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0E" w:rsidRDefault="00C7300E" w:rsidP="00C7300E">
      <w:pPr>
        <w:rPr>
          <w:rFonts w:ascii="Gill Sans MT" w:hAnsi="Gill Sans MT"/>
          <w:b/>
          <w:sz w:val="56"/>
          <w:szCs w:val="56"/>
        </w:rPr>
      </w:pPr>
      <w:r>
        <w:rPr>
          <w:rFonts w:ascii="Gill Sans MT" w:hAnsi="Gill Sans MT"/>
          <w:b/>
          <w:sz w:val="56"/>
          <w:szCs w:val="56"/>
        </w:rPr>
        <w:t>Rapporto</w:t>
      </w:r>
    </w:p>
    <w:p w:rsidR="00C84019" w:rsidRPr="00C7300E" w:rsidRDefault="00C84019" w:rsidP="00AB1B96">
      <w:pPr>
        <w:tabs>
          <w:tab w:val="left" w:pos="2098"/>
          <w:tab w:val="left" w:pos="4933"/>
        </w:tabs>
        <w:rPr>
          <w:sz w:val="29"/>
          <w:szCs w:val="29"/>
        </w:rPr>
      </w:pPr>
      <w:bookmarkStart w:id="0" w:name="_GoBack"/>
      <w:bookmarkEnd w:id="0"/>
    </w:p>
    <w:p w:rsidR="002A1D30" w:rsidRPr="00C7300E" w:rsidRDefault="002A1D30" w:rsidP="00AB1B96">
      <w:pPr>
        <w:tabs>
          <w:tab w:val="left" w:pos="2098"/>
          <w:tab w:val="left" w:pos="4933"/>
        </w:tabs>
        <w:rPr>
          <w:sz w:val="29"/>
          <w:szCs w:val="29"/>
        </w:rPr>
      </w:pPr>
    </w:p>
    <w:p w:rsidR="00BF3FC3" w:rsidRDefault="00F8277A" w:rsidP="00AB1B96">
      <w:pPr>
        <w:tabs>
          <w:tab w:val="left" w:pos="2098"/>
          <w:tab w:val="left" w:pos="4933"/>
        </w:tabs>
      </w:pPr>
      <w:r>
        <w:rPr>
          <w:b/>
          <w:sz w:val="32"/>
        </w:rPr>
        <w:t>7632</w:t>
      </w:r>
      <w:r w:rsidR="00AB1B96">
        <w:rPr>
          <w:b/>
          <w:sz w:val="32"/>
        </w:rPr>
        <w:t xml:space="preserve"> R</w:t>
      </w:r>
      <w:r w:rsidR="00BF3FC3">
        <w:rPr>
          <w:sz w:val="28"/>
        </w:rPr>
        <w:tab/>
      </w:r>
      <w:r w:rsidR="00264AA9">
        <w:rPr>
          <w:sz w:val="28"/>
        </w:rPr>
        <w:t>2</w:t>
      </w:r>
      <w:r w:rsidR="00B94646">
        <w:rPr>
          <w:sz w:val="28"/>
        </w:rPr>
        <w:t xml:space="preserve">0 aprile </w:t>
      </w:r>
      <w:r>
        <w:rPr>
          <w:sz w:val="28"/>
        </w:rPr>
        <w:t>20</w:t>
      </w:r>
      <w:r w:rsidR="00FF2D3A">
        <w:rPr>
          <w:sz w:val="28"/>
        </w:rPr>
        <w:t>2</w:t>
      </w:r>
      <w:r w:rsidR="009B297E">
        <w:rPr>
          <w:sz w:val="28"/>
        </w:rPr>
        <w:t>1</w:t>
      </w:r>
      <w:r w:rsidR="00BF3FC3">
        <w:rPr>
          <w:sz w:val="28"/>
        </w:rPr>
        <w:tab/>
      </w:r>
      <w:r w:rsidR="002A1D30">
        <w:rPr>
          <w:sz w:val="28"/>
        </w:rPr>
        <w:t>FINANZE E ECONOMIA</w:t>
      </w:r>
    </w:p>
    <w:p w:rsidR="00BF3FC3" w:rsidRDefault="00BF3FC3" w:rsidP="00AB1B96"/>
    <w:p w:rsidR="00FD5A47" w:rsidRDefault="00FD5A47" w:rsidP="00AB1B96"/>
    <w:p w:rsidR="00EA73B9" w:rsidRDefault="00EA73B9" w:rsidP="00AB1B96"/>
    <w:p w:rsidR="002A1D30" w:rsidRDefault="00EA73B9" w:rsidP="00AB1B96">
      <w:pPr>
        <w:rPr>
          <w:b/>
          <w:sz w:val="28"/>
          <w:szCs w:val="28"/>
        </w:rPr>
      </w:pPr>
      <w:r w:rsidRPr="00B94646">
        <w:rPr>
          <w:b/>
          <w:sz w:val="28"/>
          <w:szCs w:val="28"/>
        </w:rPr>
        <w:t xml:space="preserve">della </w:t>
      </w:r>
      <w:r w:rsidR="002A1D30">
        <w:rPr>
          <w:b/>
          <w:sz w:val="28"/>
          <w:szCs w:val="28"/>
        </w:rPr>
        <w:t>C</w:t>
      </w:r>
      <w:r w:rsidRPr="00B94646">
        <w:rPr>
          <w:b/>
          <w:sz w:val="28"/>
          <w:szCs w:val="28"/>
        </w:rPr>
        <w:t xml:space="preserve">ommissione </w:t>
      </w:r>
      <w:r w:rsidR="002A1D30">
        <w:rPr>
          <w:b/>
          <w:sz w:val="28"/>
          <w:szCs w:val="28"/>
        </w:rPr>
        <w:t>g</w:t>
      </w:r>
      <w:r w:rsidRPr="00B94646">
        <w:rPr>
          <w:b/>
          <w:sz w:val="28"/>
          <w:szCs w:val="28"/>
        </w:rPr>
        <w:t>estione</w:t>
      </w:r>
      <w:r w:rsidR="002A1D30">
        <w:rPr>
          <w:b/>
          <w:sz w:val="28"/>
          <w:szCs w:val="28"/>
        </w:rPr>
        <w:t xml:space="preserve"> e finanze</w:t>
      </w:r>
    </w:p>
    <w:p w:rsidR="00F8277A" w:rsidRPr="002A1D30" w:rsidRDefault="002A1D30" w:rsidP="00AB1B96">
      <w:pPr>
        <w:spacing w:after="120"/>
        <w:rPr>
          <w:b/>
          <w:sz w:val="28"/>
          <w:szCs w:val="28"/>
        </w:rPr>
      </w:pPr>
      <w:r>
        <w:rPr>
          <w:b/>
          <w:sz w:val="28"/>
          <w:szCs w:val="28"/>
        </w:rPr>
        <w:t xml:space="preserve">sulla </w:t>
      </w:r>
      <w:r w:rsidR="00F8277A" w:rsidRPr="00CA78BF">
        <w:rPr>
          <w:rFonts w:cs="Arial"/>
          <w:b/>
          <w:sz w:val="28"/>
          <w:szCs w:val="28"/>
        </w:rPr>
        <w:t xml:space="preserve">mozione </w:t>
      </w:r>
      <w:r w:rsidR="00F8277A">
        <w:rPr>
          <w:rFonts w:cs="Arial"/>
          <w:b/>
          <w:sz w:val="28"/>
          <w:szCs w:val="28"/>
        </w:rPr>
        <w:t>28 maggio 2018 presentata da Maurizio Agustoni</w:t>
      </w:r>
      <w:r w:rsidR="00F8277A" w:rsidRPr="00CA78BF">
        <w:rPr>
          <w:rFonts w:cs="Arial"/>
          <w:b/>
          <w:sz w:val="28"/>
          <w:szCs w:val="28"/>
        </w:rPr>
        <w:t xml:space="preserve"> </w:t>
      </w:r>
      <w:r w:rsidR="00F8277A">
        <w:rPr>
          <w:rFonts w:cs="Arial"/>
          <w:b/>
          <w:sz w:val="28"/>
          <w:szCs w:val="28"/>
        </w:rPr>
        <w:t xml:space="preserve">per il Gruppo PPD+GG </w:t>
      </w:r>
      <w:r w:rsidR="00F8277A" w:rsidRPr="00CA78BF">
        <w:rPr>
          <w:rFonts w:cs="Arial"/>
          <w:b/>
          <w:sz w:val="28"/>
          <w:szCs w:val="28"/>
        </w:rPr>
        <w:t>"</w:t>
      </w:r>
      <w:r w:rsidR="00F8277A">
        <w:rPr>
          <w:rFonts w:cs="Arial"/>
          <w:b/>
          <w:sz w:val="28"/>
          <w:szCs w:val="28"/>
        </w:rPr>
        <w:t xml:space="preserve">Utili BNS </w:t>
      </w:r>
      <w:r>
        <w:rPr>
          <w:rFonts w:cs="Arial"/>
          <w:b/>
          <w:sz w:val="28"/>
          <w:szCs w:val="28"/>
        </w:rPr>
        <w:t>-</w:t>
      </w:r>
      <w:r w:rsidR="00F8277A">
        <w:rPr>
          <w:rFonts w:cs="Arial"/>
          <w:b/>
          <w:sz w:val="28"/>
          <w:szCs w:val="28"/>
        </w:rPr>
        <w:t xml:space="preserve"> decidiamo assieme! Il Consiglio di Stato presenti un messaggio per l’impiego degli utili della Banca Nazionale Svizzera</w:t>
      </w:r>
      <w:r w:rsidR="00F8277A" w:rsidRPr="00CA78BF">
        <w:rPr>
          <w:rFonts w:cs="Arial"/>
          <w:b/>
          <w:sz w:val="28"/>
          <w:szCs w:val="28"/>
        </w:rPr>
        <w:t>”</w:t>
      </w:r>
    </w:p>
    <w:p w:rsidR="00FD5A47" w:rsidRPr="002A1D30" w:rsidRDefault="002A1D30" w:rsidP="00AB1B96">
      <w:pPr>
        <w:rPr>
          <w:b/>
          <w:sz w:val="26"/>
          <w:szCs w:val="26"/>
        </w:rPr>
      </w:pPr>
      <w:r w:rsidRPr="002A1D30">
        <w:rPr>
          <w:b/>
          <w:sz w:val="26"/>
          <w:szCs w:val="26"/>
        </w:rPr>
        <w:t>(v. messaggio 13 febbraio 2019 n. 7632)</w:t>
      </w:r>
    </w:p>
    <w:p w:rsidR="002A1D30" w:rsidRDefault="002A1D30" w:rsidP="00AB1B96"/>
    <w:p w:rsidR="002A1D30" w:rsidRDefault="002A1D30" w:rsidP="00AB1B96"/>
    <w:p w:rsidR="002A1D30" w:rsidRDefault="002A1D30" w:rsidP="00AB1B96"/>
    <w:p w:rsidR="00EA73B9" w:rsidRPr="00EA73B9" w:rsidRDefault="00EA73B9" w:rsidP="00AB1B96">
      <w:pPr>
        <w:spacing w:after="120"/>
        <w:rPr>
          <w:b/>
        </w:rPr>
      </w:pPr>
      <w:r w:rsidRPr="00EA73B9">
        <w:rPr>
          <w:b/>
        </w:rPr>
        <w:t>PREMESSA</w:t>
      </w:r>
    </w:p>
    <w:p w:rsidR="005E338D" w:rsidRDefault="00EA73B9" w:rsidP="00AB1B96">
      <w:pPr>
        <w:rPr>
          <w:rFonts w:cs="Arial"/>
          <w:szCs w:val="24"/>
        </w:rPr>
      </w:pPr>
      <w:r>
        <w:t xml:space="preserve">Il </w:t>
      </w:r>
      <w:r w:rsidR="00FF2D3A">
        <w:t>rapporto</w:t>
      </w:r>
      <w:r>
        <w:t xml:space="preserve"> in oggetto risponde al</w:t>
      </w:r>
      <w:r w:rsidR="00FF2D3A">
        <w:rPr>
          <w:rFonts w:cs="Arial"/>
          <w:szCs w:val="24"/>
        </w:rPr>
        <w:t xml:space="preserve"> messaggio del Consiglio di Stato riguardo alla </w:t>
      </w:r>
      <w:r w:rsidR="005E338D">
        <w:rPr>
          <w:rFonts w:cs="Arial"/>
          <w:szCs w:val="24"/>
        </w:rPr>
        <w:t>mozione</w:t>
      </w:r>
      <w:r>
        <w:rPr>
          <w:rFonts w:cs="Arial"/>
          <w:szCs w:val="24"/>
        </w:rPr>
        <w:t xml:space="preserve"> Agustoni (PPD) </w:t>
      </w:r>
      <w:r w:rsidR="00FF2D3A">
        <w:rPr>
          <w:rFonts w:cs="Arial"/>
          <w:szCs w:val="24"/>
        </w:rPr>
        <w:t>che tratta</w:t>
      </w:r>
      <w:r>
        <w:rPr>
          <w:rFonts w:cs="Arial"/>
          <w:szCs w:val="24"/>
        </w:rPr>
        <w:t xml:space="preserve"> </w:t>
      </w:r>
      <w:r w:rsidR="00FF2D3A">
        <w:rPr>
          <w:rFonts w:cs="Arial"/>
          <w:szCs w:val="24"/>
        </w:rPr>
        <w:t>i</w:t>
      </w:r>
      <w:r>
        <w:rPr>
          <w:rFonts w:cs="Arial"/>
          <w:szCs w:val="24"/>
        </w:rPr>
        <w:t>l tema dell’impiego degli utili della BNS che vengono annualmente riversati ai Cantoni.</w:t>
      </w:r>
      <w:r w:rsidR="00035BD2">
        <w:rPr>
          <w:rFonts w:cs="Arial"/>
          <w:szCs w:val="24"/>
        </w:rPr>
        <w:t xml:space="preserve"> </w:t>
      </w:r>
      <w:r>
        <w:rPr>
          <w:rFonts w:cs="Arial"/>
          <w:szCs w:val="24"/>
        </w:rPr>
        <w:t xml:space="preserve">La mozione </w:t>
      </w:r>
      <w:r w:rsidR="005E338D">
        <w:rPr>
          <w:rFonts w:cs="Arial"/>
          <w:szCs w:val="24"/>
        </w:rPr>
        <w:t xml:space="preserve">chiede che il </w:t>
      </w:r>
      <w:r w:rsidR="005E338D" w:rsidRPr="008041F7">
        <w:rPr>
          <w:rFonts w:cs="Arial"/>
          <w:i/>
          <w:szCs w:val="24"/>
        </w:rPr>
        <w:t>“Consiglio di Stato, in caso di dividendo distribuito da BNS superiore a quanto inserito a preventivo, presenti al Gran Consiglio un messaggio sull’impiego del dividendo supplementare e allestisca delle linee guida da applicare nel medio-lungo termine”</w:t>
      </w:r>
      <w:r w:rsidR="005E338D">
        <w:rPr>
          <w:rFonts w:cs="Arial"/>
          <w:szCs w:val="24"/>
        </w:rPr>
        <w:t>.</w:t>
      </w:r>
    </w:p>
    <w:p w:rsidR="008041F7" w:rsidRDefault="008041F7" w:rsidP="00AB1B96">
      <w:pPr>
        <w:rPr>
          <w:rFonts w:cs="Arial"/>
          <w:szCs w:val="24"/>
        </w:rPr>
      </w:pPr>
    </w:p>
    <w:p w:rsidR="00EA73B9" w:rsidRDefault="00FF2D3A" w:rsidP="00AB1B96">
      <w:pPr>
        <w:rPr>
          <w:rFonts w:cs="Arial"/>
          <w:iCs/>
          <w:color w:val="000000" w:themeColor="text1"/>
          <w:szCs w:val="24"/>
        </w:rPr>
      </w:pPr>
      <w:r w:rsidRPr="00FF2D3A">
        <w:rPr>
          <w:rFonts w:cs="Arial"/>
          <w:iCs/>
          <w:color w:val="000000" w:themeColor="text1"/>
          <w:szCs w:val="24"/>
        </w:rPr>
        <w:t xml:space="preserve">Secondo i </w:t>
      </w:r>
      <w:proofErr w:type="spellStart"/>
      <w:r w:rsidRPr="00FF2D3A">
        <w:rPr>
          <w:rFonts w:cs="Arial"/>
          <w:iCs/>
          <w:color w:val="000000" w:themeColor="text1"/>
          <w:szCs w:val="24"/>
        </w:rPr>
        <w:t>mozionanti</w:t>
      </w:r>
      <w:proofErr w:type="spellEnd"/>
      <w:r w:rsidRPr="00FF2D3A">
        <w:rPr>
          <w:rFonts w:cs="Arial"/>
          <w:iCs/>
          <w:color w:val="000000" w:themeColor="text1"/>
          <w:szCs w:val="24"/>
        </w:rPr>
        <w:t xml:space="preserve"> l’utile della BNS riversato ai Cantoni rappresenta un’entrata straordinaria, che andrebbe utilizzata in maniera diversa dall’ordinario impiego delle finanze pubbliche, che vengono utilizzate secondo un modello globale che per esprimerci in maniera colloquiale è da considerarsi un “calderone”.</w:t>
      </w:r>
    </w:p>
    <w:p w:rsidR="008041F7" w:rsidRPr="00FF2D3A" w:rsidRDefault="008041F7" w:rsidP="00AB1B96">
      <w:pPr>
        <w:rPr>
          <w:rFonts w:cs="Arial"/>
          <w:iCs/>
          <w:color w:val="000000" w:themeColor="text1"/>
          <w:szCs w:val="24"/>
        </w:rPr>
      </w:pPr>
    </w:p>
    <w:p w:rsidR="00FF2D3A" w:rsidRDefault="00FF2D3A" w:rsidP="00AB1B96">
      <w:pPr>
        <w:rPr>
          <w:rFonts w:cs="Arial"/>
          <w:iCs/>
          <w:color w:val="000000" w:themeColor="text1"/>
          <w:szCs w:val="24"/>
        </w:rPr>
      </w:pPr>
      <w:r w:rsidRPr="00FF2D3A">
        <w:rPr>
          <w:rFonts w:cs="Arial"/>
          <w:iCs/>
          <w:color w:val="000000" w:themeColor="text1"/>
          <w:szCs w:val="24"/>
        </w:rPr>
        <w:t xml:space="preserve">I </w:t>
      </w:r>
      <w:proofErr w:type="spellStart"/>
      <w:r w:rsidRPr="00FF2D3A">
        <w:rPr>
          <w:rFonts w:cs="Arial"/>
          <w:iCs/>
          <w:color w:val="000000" w:themeColor="text1"/>
          <w:szCs w:val="24"/>
        </w:rPr>
        <w:t>mozionanti</w:t>
      </w:r>
      <w:proofErr w:type="spellEnd"/>
      <w:r w:rsidRPr="00FF2D3A">
        <w:rPr>
          <w:rFonts w:cs="Arial"/>
          <w:iCs/>
          <w:color w:val="000000" w:themeColor="text1"/>
          <w:szCs w:val="24"/>
        </w:rPr>
        <w:t xml:space="preserve"> vorrebbero ricevere dal Governo un messaggio dedicato specificatamente all’utilizzo de</w:t>
      </w:r>
      <w:r w:rsidR="004E56F7">
        <w:rPr>
          <w:rFonts w:cs="Arial"/>
          <w:iCs/>
          <w:color w:val="000000" w:themeColor="text1"/>
          <w:szCs w:val="24"/>
        </w:rPr>
        <w:t>gli</w:t>
      </w:r>
      <w:r w:rsidRPr="00FF2D3A">
        <w:rPr>
          <w:rFonts w:cs="Arial"/>
          <w:iCs/>
          <w:color w:val="000000" w:themeColor="text1"/>
          <w:szCs w:val="24"/>
        </w:rPr>
        <w:t xml:space="preserve"> utili </w:t>
      </w:r>
      <w:r w:rsidR="004E56F7">
        <w:rPr>
          <w:rFonts w:cs="Arial"/>
          <w:iCs/>
          <w:color w:val="000000" w:themeColor="text1"/>
          <w:szCs w:val="24"/>
        </w:rPr>
        <w:t xml:space="preserve">“in eccesso” versati </w:t>
      </w:r>
      <w:r w:rsidRPr="00FF2D3A">
        <w:rPr>
          <w:rFonts w:cs="Arial"/>
          <w:iCs/>
          <w:color w:val="000000" w:themeColor="text1"/>
          <w:szCs w:val="24"/>
        </w:rPr>
        <w:t>d</w:t>
      </w:r>
      <w:r w:rsidR="004E56F7">
        <w:rPr>
          <w:rFonts w:cs="Arial"/>
          <w:iCs/>
          <w:color w:val="000000" w:themeColor="text1"/>
          <w:szCs w:val="24"/>
        </w:rPr>
        <w:t>a</w:t>
      </w:r>
      <w:r w:rsidRPr="00FF2D3A">
        <w:rPr>
          <w:rFonts w:cs="Arial"/>
          <w:iCs/>
          <w:color w:val="000000" w:themeColor="text1"/>
          <w:szCs w:val="24"/>
        </w:rPr>
        <w:t>lla BNS</w:t>
      </w:r>
      <w:r w:rsidR="004E56F7">
        <w:rPr>
          <w:rFonts w:cs="Arial"/>
          <w:iCs/>
          <w:color w:val="000000" w:themeColor="text1"/>
          <w:szCs w:val="24"/>
        </w:rPr>
        <w:t xml:space="preserve">. </w:t>
      </w:r>
      <w:r w:rsidR="007312C9">
        <w:rPr>
          <w:rFonts w:cs="Arial"/>
          <w:iCs/>
          <w:color w:val="000000" w:themeColor="text1"/>
          <w:szCs w:val="24"/>
        </w:rPr>
        <w:t xml:space="preserve">Per precisione i </w:t>
      </w:r>
      <w:proofErr w:type="spellStart"/>
      <w:r w:rsidR="007312C9">
        <w:rPr>
          <w:rFonts w:cs="Arial"/>
          <w:iCs/>
          <w:color w:val="000000" w:themeColor="text1"/>
          <w:szCs w:val="24"/>
        </w:rPr>
        <w:t>mozionanti</w:t>
      </w:r>
      <w:proofErr w:type="spellEnd"/>
      <w:r w:rsidR="007312C9">
        <w:rPr>
          <w:rFonts w:cs="Arial"/>
          <w:iCs/>
          <w:color w:val="000000" w:themeColor="text1"/>
          <w:szCs w:val="24"/>
        </w:rPr>
        <w:t xml:space="preserve"> vorrebbero ricevere un messaggio dedicato in particolare all’impiego d</w:t>
      </w:r>
      <w:r w:rsidR="00FA59E4">
        <w:rPr>
          <w:rFonts w:cs="Arial"/>
          <w:iCs/>
          <w:color w:val="000000" w:themeColor="text1"/>
          <w:szCs w:val="24"/>
        </w:rPr>
        <w:t xml:space="preserve">i quella parte di </w:t>
      </w:r>
      <w:r w:rsidR="007312C9">
        <w:rPr>
          <w:rFonts w:cs="Arial"/>
          <w:iCs/>
          <w:color w:val="000000" w:themeColor="text1"/>
          <w:szCs w:val="24"/>
        </w:rPr>
        <w:t>dividendo straordinario non previsto a preventivo.</w:t>
      </w:r>
    </w:p>
    <w:p w:rsidR="008041F7" w:rsidRDefault="008041F7" w:rsidP="00AB1B96">
      <w:pPr>
        <w:rPr>
          <w:rFonts w:cs="Arial"/>
          <w:iCs/>
          <w:color w:val="000000" w:themeColor="text1"/>
          <w:szCs w:val="24"/>
        </w:rPr>
      </w:pPr>
    </w:p>
    <w:p w:rsidR="008041F7" w:rsidRDefault="008041F7" w:rsidP="00AB1B96">
      <w:pPr>
        <w:rPr>
          <w:rFonts w:cs="Arial"/>
          <w:iCs/>
          <w:color w:val="000000" w:themeColor="text1"/>
          <w:szCs w:val="24"/>
        </w:rPr>
      </w:pPr>
    </w:p>
    <w:p w:rsidR="008041F7" w:rsidRDefault="008041F7" w:rsidP="00AB1B96">
      <w:pPr>
        <w:rPr>
          <w:rFonts w:cs="Arial"/>
          <w:iCs/>
          <w:color w:val="000000" w:themeColor="text1"/>
          <w:szCs w:val="24"/>
        </w:rPr>
      </w:pPr>
    </w:p>
    <w:p w:rsidR="00EB0218" w:rsidRPr="00EB0218" w:rsidRDefault="008041F7" w:rsidP="00AB1B96">
      <w:pPr>
        <w:spacing w:after="120"/>
        <w:rPr>
          <w:rFonts w:cs="Arial"/>
          <w:b/>
          <w:bCs/>
          <w:iCs/>
          <w:color w:val="000000" w:themeColor="text1"/>
          <w:szCs w:val="24"/>
        </w:rPr>
      </w:pPr>
      <w:r w:rsidRPr="00EB0218">
        <w:rPr>
          <w:rFonts w:cs="Arial"/>
          <w:b/>
          <w:bCs/>
          <w:iCs/>
          <w:color w:val="000000" w:themeColor="text1"/>
          <w:szCs w:val="24"/>
        </w:rPr>
        <w:t>LE ARGOMENTAZIONI DEL CONSIGLIO DI STATO</w:t>
      </w:r>
    </w:p>
    <w:p w:rsidR="00E1178B" w:rsidRDefault="00EB0218" w:rsidP="00AB1B96">
      <w:pPr>
        <w:rPr>
          <w:rFonts w:cs="Arial"/>
          <w:iCs/>
          <w:color w:val="000000" w:themeColor="text1"/>
          <w:szCs w:val="24"/>
        </w:rPr>
      </w:pPr>
      <w:bookmarkStart w:id="1" w:name="_Hlk65252215"/>
      <w:r w:rsidRPr="00EB0218">
        <w:rPr>
          <w:rFonts w:cs="Arial"/>
          <w:iCs/>
          <w:color w:val="000000" w:themeColor="text1"/>
          <w:szCs w:val="24"/>
        </w:rPr>
        <w:t>Il Consiglio di Stato</w:t>
      </w:r>
      <w:r w:rsidR="004E56F7">
        <w:rPr>
          <w:rFonts w:cs="Arial"/>
          <w:iCs/>
          <w:color w:val="000000" w:themeColor="text1"/>
          <w:szCs w:val="24"/>
        </w:rPr>
        <w:t>, d’altro canto,</w:t>
      </w:r>
      <w:r w:rsidRPr="00EB0218">
        <w:rPr>
          <w:rFonts w:cs="Arial"/>
          <w:iCs/>
          <w:color w:val="000000" w:themeColor="text1"/>
          <w:szCs w:val="24"/>
        </w:rPr>
        <w:t xml:space="preserve"> ritiene </w:t>
      </w:r>
      <w:r w:rsidR="00E1178B" w:rsidRPr="00E1178B">
        <w:rPr>
          <w:rFonts w:cs="Arial"/>
          <w:i/>
          <w:color w:val="000000" w:themeColor="text1"/>
          <w:szCs w:val="24"/>
        </w:rPr>
        <w:t>ci siano delle oggettive difficoltà nel definire delle destinazioni specifiche per questo tipo di entrata.</w:t>
      </w:r>
      <w:r w:rsidR="004E56F7">
        <w:rPr>
          <w:rFonts w:cs="Arial"/>
          <w:i/>
          <w:color w:val="000000" w:themeColor="text1"/>
          <w:szCs w:val="24"/>
        </w:rPr>
        <w:t xml:space="preserve"> </w:t>
      </w:r>
      <w:r w:rsidR="004E56F7">
        <w:rPr>
          <w:rFonts w:cs="Arial"/>
          <w:iCs/>
          <w:color w:val="000000" w:themeColor="text1"/>
          <w:szCs w:val="24"/>
        </w:rPr>
        <w:t>Infatti</w:t>
      </w:r>
      <w:r w:rsidR="00AB0C19">
        <w:rPr>
          <w:rFonts w:cs="Arial"/>
          <w:iCs/>
          <w:color w:val="000000" w:themeColor="text1"/>
          <w:szCs w:val="24"/>
        </w:rPr>
        <w:t xml:space="preserve"> il Consiglio di Stato fa valere in questo campo una serie di flussi finanziari tra la Confederazione e il Cantone, in particolare nel settore ospedaliero, dove il Cantone ha dovuto subire un aggravio di oltre 140 milioni di franchi. Sulla base di questi oneri supplementari il governo cantonale vuole approfittare quan</w:t>
      </w:r>
      <w:r w:rsidR="004E56F7">
        <w:rPr>
          <w:rFonts w:cs="Arial"/>
          <w:iCs/>
          <w:color w:val="000000" w:themeColor="text1"/>
          <w:szCs w:val="24"/>
        </w:rPr>
        <w:t>t</w:t>
      </w:r>
      <w:r w:rsidR="00AB0C19">
        <w:rPr>
          <w:rFonts w:cs="Arial"/>
          <w:iCs/>
          <w:color w:val="000000" w:themeColor="text1"/>
          <w:szCs w:val="24"/>
        </w:rPr>
        <w:t>o</w:t>
      </w:r>
      <w:r w:rsidR="004E56F7">
        <w:rPr>
          <w:rFonts w:cs="Arial"/>
          <w:iCs/>
          <w:color w:val="000000" w:themeColor="text1"/>
          <w:szCs w:val="24"/>
        </w:rPr>
        <w:t xml:space="preserve"> più</w:t>
      </w:r>
      <w:r w:rsidR="00AB0C19">
        <w:rPr>
          <w:rFonts w:cs="Arial"/>
          <w:iCs/>
          <w:color w:val="000000" w:themeColor="text1"/>
          <w:szCs w:val="24"/>
        </w:rPr>
        <w:t xml:space="preserve"> possibile di tutte le entrate straordinarie compresa quella degli utili </w:t>
      </w:r>
      <w:r w:rsidR="004E56F7">
        <w:rPr>
          <w:rFonts w:cs="Arial"/>
          <w:iCs/>
          <w:color w:val="000000" w:themeColor="text1"/>
          <w:szCs w:val="24"/>
        </w:rPr>
        <w:t xml:space="preserve">straordinari </w:t>
      </w:r>
      <w:r w:rsidR="00AB0C19">
        <w:rPr>
          <w:rFonts w:cs="Arial"/>
          <w:iCs/>
          <w:color w:val="000000" w:themeColor="text1"/>
          <w:szCs w:val="24"/>
        </w:rPr>
        <w:t>della BNS.</w:t>
      </w:r>
    </w:p>
    <w:p w:rsidR="008041F7" w:rsidRPr="004E56F7" w:rsidRDefault="008041F7" w:rsidP="00AB1B96">
      <w:pPr>
        <w:rPr>
          <w:rFonts w:cs="Arial"/>
          <w:i/>
          <w:color w:val="000000" w:themeColor="text1"/>
          <w:szCs w:val="24"/>
        </w:rPr>
      </w:pPr>
    </w:p>
    <w:bookmarkEnd w:id="1"/>
    <w:p w:rsidR="00FF2D3A" w:rsidRDefault="00D4363F" w:rsidP="00AB1B96">
      <w:pPr>
        <w:rPr>
          <w:rFonts w:cs="Arial"/>
          <w:i/>
          <w:color w:val="000000" w:themeColor="text1"/>
          <w:szCs w:val="24"/>
        </w:rPr>
      </w:pPr>
      <w:r w:rsidRPr="00D4363F">
        <w:rPr>
          <w:rFonts w:cs="Arial"/>
          <w:iCs/>
          <w:color w:val="000000" w:themeColor="text1"/>
          <w:szCs w:val="24"/>
        </w:rPr>
        <w:t>Come ultima argomentazione il governo fa valere</w:t>
      </w:r>
      <w:r w:rsidRPr="00D4363F">
        <w:rPr>
          <w:rFonts w:cs="Arial"/>
          <w:i/>
          <w:color w:val="000000" w:themeColor="text1"/>
          <w:szCs w:val="24"/>
        </w:rPr>
        <w:t xml:space="preserve"> </w:t>
      </w:r>
      <w:r w:rsidR="00FF2D3A" w:rsidRPr="00D4363F">
        <w:rPr>
          <w:rFonts w:cs="Arial"/>
          <w:i/>
          <w:color w:val="000000" w:themeColor="text1"/>
          <w:szCs w:val="24"/>
        </w:rPr>
        <w:t xml:space="preserve">come la proposta oggetto della mozione sia in contrasto con l’attuale quadro legislativo. In effetti, gli artt. 2 e 8 della Legge sulla gestione e sul controllo finanziario (LGF) prevedono il principio del divieto del vincolo delle </w:t>
      </w:r>
      <w:r w:rsidR="00FF2D3A" w:rsidRPr="00D4363F">
        <w:rPr>
          <w:rFonts w:cs="Arial"/>
          <w:i/>
          <w:color w:val="000000" w:themeColor="text1"/>
          <w:szCs w:val="24"/>
        </w:rPr>
        <w:lastRenderedPageBreak/>
        <w:t xml:space="preserve">entrate, sia di conto economico che d’investimento, secondo il quale, fatte salve le eccezioni previste all’art. 13 della LGF concernente i finanziamenti speciali, non è possibile vincolare delle voci di ricavo a scopi specifici. </w:t>
      </w:r>
    </w:p>
    <w:p w:rsidR="00035BD2" w:rsidRDefault="00035BD2" w:rsidP="00AB1B96">
      <w:pPr>
        <w:rPr>
          <w:rFonts w:cs="Arial"/>
          <w:color w:val="000000" w:themeColor="text1"/>
          <w:szCs w:val="24"/>
        </w:rPr>
      </w:pPr>
    </w:p>
    <w:p w:rsidR="00C84019" w:rsidRPr="00C84019" w:rsidRDefault="00C84019" w:rsidP="00AB1B96">
      <w:pPr>
        <w:rPr>
          <w:rFonts w:cs="Arial"/>
          <w:color w:val="000000" w:themeColor="text1"/>
          <w:szCs w:val="24"/>
        </w:rPr>
      </w:pPr>
    </w:p>
    <w:p w:rsidR="00035BD2" w:rsidRPr="008041F7" w:rsidRDefault="00035BD2" w:rsidP="00AB1B96">
      <w:pPr>
        <w:spacing w:after="120"/>
        <w:rPr>
          <w:rFonts w:cs="Arial"/>
          <w:b/>
          <w:bCs/>
          <w:color w:val="000000" w:themeColor="text1"/>
          <w:szCs w:val="24"/>
        </w:rPr>
      </w:pPr>
      <w:r w:rsidRPr="008041F7">
        <w:rPr>
          <w:rFonts w:cs="Arial"/>
          <w:b/>
          <w:bCs/>
          <w:color w:val="000000" w:themeColor="text1"/>
          <w:szCs w:val="24"/>
        </w:rPr>
        <w:t>Dati finanziari</w:t>
      </w:r>
    </w:p>
    <w:p w:rsidR="00035BD2" w:rsidRDefault="00035BD2" w:rsidP="00AB1B96">
      <w:pPr>
        <w:rPr>
          <w:rFonts w:cs="Arial"/>
          <w:szCs w:val="24"/>
        </w:rPr>
      </w:pPr>
      <w:r>
        <w:rPr>
          <w:rFonts w:cs="Arial"/>
          <w:szCs w:val="24"/>
        </w:rPr>
        <w:t>Ricordiamo che la distribuzione degli utili della BNS avviene sulla base di convenzioni siglate tra la BNS e l’Amministrazione federale delle finanze. Le convenzioni vengono riviste periodicamente con conseguenze anche importanti sugli importi distribuiti a Confederazione e Cantoni come è ben evidente nella tabella che segue.</w:t>
      </w:r>
    </w:p>
    <w:p w:rsidR="00035BD2" w:rsidRDefault="00035BD2" w:rsidP="00AB1B96">
      <w:pPr>
        <w:rPr>
          <w:rFonts w:cs="Arial"/>
          <w:szCs w:val="24"/>
        </w:rPr>
      </w:pPr>
      <w:r>
        <w:rPr>
          <w:rFonts w:cs="Arial"/>
          <w:szCs w:val="24"/>
        </w:rPr>
        <w:t xml:space="preserve">Dal 2012, in base alla convenzione del 2011, che ha sostituito quella del 2008, il Cantone ha subito una riduzione di oltre 40 milioni di franchi della quota precedentemente incassata; nel 2014 non ha peraltro beneficiato di alcun versamento. Di fatto, le quote aggiuntive degli utili della BNS incassate tra il 2017 e il 2019 (quella del 2015 compensa il mancato introito del 2014) non sono nemmeno sufficienti per compensare la riduzione di quota che si è prodotta a partire dal 2012. </w:t>
      </w:r>
    </w:p>
    <w:p w:rsidR="00035BD2" w:rsidRDefault="00035BD2" w:rsidP="00AB1B96">
      <w:pPr>
        <w:rPr>
          <w:rFonts w:cs="Arial"/>
          <w:szCs w:val="24"/>
        </w:rPr>
      </w:pPr>
    </w:p>
    <w:p w:rsidR="00035BD2" w:rsidRDefault="00035BD2" w:rsidP="00AB1B96">
      <w:pPr>
        <w:rPr>
          <w:rFonts w:cs="Arial"/>
          <w:szCs w:val="24"/>
        </w:rPr>
      </w:pPr>
      <w:r>
        <w:rPr>
          <w:rFonts w:cs="Arial"/>
          <w:szCs w:val="24"/>
        </w:rPr>
        <w:t>L’aumento consistente della quota incassata nel 2020 dipende da un’aggiunta decisa nel febbraio 2020 alla convenzione per il periodo 2016-2019, che è tuttavia limitata alla distribuzione degli utili 2019 e 2020.</w:t>
      </w:r>
    </w:p>
    <w:p w:rsidR="00035BD2" w:rsidRDefault="00035BD2" w:rsidP="00AB1B96">
      <w:pPr>
        <w:rPr>
          <w:rFonts w:cs="Arial"/>
          <w:szCs w:val="24"/>
        </w:rPr>
      </w:pPr>
    </w:p>
    <w:p w:rsidR="00035BD2" w:rsidRDefault="00035BD2" w:rsidP="00AB1B96">
      <w:pPr>
        <w:spacing w:after="120"/>
        <w:rPr>
          <w:rFonts w:cs="Arial"/>
          <w:szCs w:val="24"/>
        </w:rPr>
      </w:pPr>
      <w:r>
        <w:rPr>
          <w:rFonts w:cs="Arial"/>
          <w:szCs w:val="24"/>
        </w:rPr>
        <w:t>Nella tabella che segue sono evidenziate le quote base e le quote aggiuntive ricevute dal Cantone nel periodo considerato in funzione alle convenzioni vigenti.</w:t>
      </w:r>
    </w:p>
    <w:bookmarkStart w:id="2" w:name="_MON_1664190365"/>
    <w:bookmarkEnd w:id="2"/>
    <w:p w:rsidR="00035BD2" w:rsidRDefault="008041F7" w:rsidP="00AB1B96">
      <w:pPr>
        <w:rPr>
          <w:rFonts w:cs="Arial"/>
          <w:noProof/>
          <w:szCs w:val="24"/>
        </w:rPr>
      </w:pPr>
      <w:r w:rsidRPr="00B50835">
        <w:rPr>
          <w:rFonts w:cs="Arial"/>
          <w:noProof/>
          <w:szCs w:val="24"/>
        </w:rPr>
        <w:object w:dxaOrig="9677" w:dyaOrig="8602" w14:anchorId="12AC9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0.95pt;height:383.1pt;mso-width-percent:0;mso-height-percent:0;mso-width-percent:0;mso-height-percent:0" o:ole="">
            <v:imagedata r:id="rId8" o:title=""/>
          </v:shape>
          <o:OLEObject Type="Embed" ProgID="Excel.Sheet.12" ShapeID="_x0000_i1025" DrawAspect="Content" ObjectID="_1680503623" r:id="rId9"/>
        </w:object>
      </w:r>
    </w:p>
    <w:p w:rsidR="00C84019" w:rsidRDefault="00C84019" w:rsidP="00AB1B96">
      <w:pPr>
        <w:rPr>
          <w:rFonts w:cs="Arial"/>
          <w:szCs w:val="24"/>
        </w:rPr>
      </w:pPr>
    </w:p>
    <w:p w:rsidR="0001713E" w:rsidRDefault="008041F7" w:rsidP="00AB1B96">
      <w:pPr>
        <w:spacing w:after="120"/>
        <w:rPr>
          <w:rFonts w:cs="Arial"/>
          <w:b/>
          <w:bCs/>
          <w:szCs w:val="24"/>
        </w:rPr>
      </w:pPr>
      <w:r w:rsidRPr="00FA59E4">
        <w:rPr>
          <w:rFonts w:cs="Arial"/>
          <w:b/>
          <w:bCs/>
          <w:szCs w:val="24"/>
        </w:rPr>
        <w:lastRenderedPageBreak/>
        <w:t>LA SITUAZIONE ATTUALE</w:t>
      </w:r>
    </w:p>
    <w:p w:rsidR="00FA59E4" w:rsidRPr="00FA59E4" w:rsidRDefault="00C872EA" w:rsidP="00AB1B96">
      <w:pPr>
        <w:rPr>
          <w:rFonts w:cs="Arial"/>
          <w:szCs w:val="24"/>
        </w:rPr>
      </w:pPr>
      <w:r>
        <w:rPr>
          <w:rFonts w:cs="Arial"/>
          <w:szCs w:val="24"/>
        </w:rPr>
        <w:t>In un primo</w:t>
      </w:r>
      <w:r w:rsidR="00035BD2">
        <w:rPr>
          <w:rFonts w:cs="Arial"/>
          <w:szCs w:val="24"/>
        </w:rPr>
        <w:t xml:space="preserve"> tempo</w:t>
      </w:r>
      <w:r>
        <w:rPr>
          <w:rFonts w:cs="Arial"/>
          <w:szCs w:val="24"/>
        </w:rPr>
        <w:t xml:space="preserve"> la Commissione era intenzionata a sostenere lo spirito</w:t>
      </w:r>
      <w:r w:rsidR="00035BD2">
        <w:rPr>
          <w:rFonts w:cs="Arial"/>
          <w:szCs w:val="24"/>
        </w:rPr>
        <w:t xml:space="preserve"> in maniera sostanziale</w:t>
      </w:r>
      <w:r>
        <w:rPr>
          <w:rFonts w:cs="Arial"/>
          <w:szCs w:val="24"/>
        </w:rPr>
        <w:t xml:space="preserve"> della mozione, tuttavia la</w:t>
      </w:r>
      <w:r w:rsidR="00FA59E4" w:rsidRPr="00FA59E4">
        <w:rPr>
          <w:rFonts w:cs="Arial"/>
          <w:szCs w:val="24"/>
        </w:rPr>
        <w:t xml:space="preserve"> </w:t>
      </w:r>
      <w:r w:rsidR="00FA59E4">
        <w:rPr>
          <w:rFonts w:cs="Arial"/>
          <w:szCs w:val="24"/>
        </w:rPr>
        <w:t>pandemia di Covid19 ha, ovviamente, modificato la pianificazione strategica della gestione delle risorse pubbliche. Le forze politiche hanno de facto archiviato i piani finanziari precedenti e stanno affrontando le sfide straordinarie attuali, tra le altre: aumento della spesa pubblica per la sanità, aumento degli aiuti in favore delle imprese e dei lavoratori, diminuzione del gettito fiscale.</w:t>
      </w:r>
    </w:p>
    <w:p w:rsidR="00FA59E4" w:rsidRDefault="00FA59E4" w:rsidP="00AB1B96">
      <w:pPr>
        <w:rPr>
          <w:rFonts w:cs="Arial"/>
          <w:szCs w:val="24"/>
        </w:rPr>
      </w:pPr>
    </w:p>
    <w:p w:rsidR="00C872EA" w:rsidRDefault="00C872EA" w:rsidP="00AB1B96">
      <w:pPr>
        <w:rPr>
          <w:rFonts w:cs="Arial"/>
          <w:szCs w:val="24"/>
        </w:rPr>
      </w:pPr>
      <w:r>
        <w:rPr>
          <w:rFonts w:cs="Arial"/>
          <w:szCs w:val="24"/>
        </w:rPr>
        <w:t xml:space="preserve">Per questa ragione la </w:t>
      </w:r>
      <w:r w:rsidR="00C84019">
        <w:rPr>
          <w:rFonts w:cs="Arial"/>
          <w:szCs w:val="24"/>
        </w:rPr>
        <w:t>C</w:t>
      </w:r>
      <w:r>
        <w:rPr>
          <w:rFonts w:cs="Arial"/>
          <w:szCs w:val="24"/>
        </w:rPr>
        <w:t xml:space="preserve">ommissione </w:t>
      </w:r>
      <w:r w:rsidR="00C84019">
        <w:rPr>
          <w:rFonts w:cs="Arial"/>
          <w:szCs w:val="24"/>
        </w:rPr>
        <w:t>g</w:t>
      </w:r>
      <w:r>
        <w:rPr>
          <w:rFonts w:cs="Arial"/>
          <w:szCs w:val="24"/>
        </w:rPr>
        <w:t xml:space="preserve">estione </w:t>
      </w:r>
      <w:r w:rsidR="00C84019">
        <w:rPr>
          <w:rFonts w:cs="Arial"/>
          <w:szCs w:val="24"/>
        </w:rPr>
        <w:t xml:space="preserve">e finanze </w:t>
      </w:r>
      <w:r>
        <w:rPr>
          <w:rFonts w:cs="Arial"/>
          <w:szCs w:val="24"/>
        </w:rPr>
        <w:t>ha aperto un dialogo con il Consiglio di Stato per discutere come pianificare</w:t>
      </w:r>
      <w:r w:rsidR="00035BD2">
        <w:rPr>
          <w:rFonts w:cs="Arial"/>
          <w:szCs w:val="24"/>
        </w:rPr>
        <w:t xml:space="preserve"> tra le altre questioni, anche</w:t>
      </w:r>
      <w:r>
        <w:rPr>
          <w:rFonts w:cs="Arial"/>
          <w:szCs w:val="24"/>
        </w:rPr>
        <w:t xml:space="preserve"> la gestione degli utili della BNS. Questi utili serviranno a corto termine a coprire i forti deficit previsti, ma a medio termin</w:t>
      </w:r>
      <w:r w:rsidR="00035BD2">
        <w:rPr>
          <w:rFonts w:cs="Arial"/>
          <w:szCs w:val="24"/>
        </w:rPr>
        <w:t>e</w:t>
      </w:r>
      <w:r>
        <w:rPr>
          <w:rFonts w:cs="Arial"/>
          <w:szCs w:val="24"/>
        </w:rPr>
        <w:t xml:space="preserve"> potrebbero servire a costituire una riserva finanziaria importante da sciogliere in caso di nuove, e non auspicate, situazioni straordinarie. </w:t>
      </w:r>
      <w:r w:rsidR="00FA59E4">
        <w:rPr>
          <w:rFonts w:cs="Arial"/>
          <w:szCs w:val="24"/>
        </w:rPr>
        <w:t xml:space="preserve">A tal proposito il Consiglio di Stato </w:t>
      </w:r>
      <w:r>
        <w:rPr>
          <w:rFonts w:cs="Arial"/>
          <w:szCs w:val="24"/>
        </w:rPr>
        <w:t>ha elaborato la seguente proposta</w:t>
      </w:r>
    </w:p>
    <w:p w:rsidR="00C872EA" w:rsidRDefault="00C872EA" w:rsidP="00AB1B96">
      <w:pPr>
        <w:rPr>
          <w:rFonts w:cs="Arial"/>
          <w:szCs w:val="24"/>
        </w:rPr>
      </w:pPr>
    </w:p>
    <w:p w:rsidR="00B94646" w:rsidRDefault="00B94646" w:rsidP="00AB1B96">
      <w:pPr>
        <w:rPr>
          <w:rFonts w:cs="Arial"/>
          <w:szCs w:val="24"/>
        </w:rPr>
      </w:pPr>
    </w:p>
    <w:p w:rsidR="008041F7" w:rsidRDefault="008041F7" w:rsidP="00AB1B96">
      <w:pPr>
        <w:rPr>
          <w:rFonts w:cs="Arial"/>
          <w:szCs w:val="24"/>
        </w:rPr>
      </w:pPr>
    </w:p>
    <w:p w:rsidR="00C872EA" w:rsidRDefault="008041F7" w:rsidP="00AB1B96">
      <w:pPr>
        <w:spacing w:after="120"/>
        <w:rPr>
          <w:rFonts w:cs="Arial"/>
          <w:b/>
          <w:bCs/>
          <w:szCs w:val="24"/>
        </w:rPr>
      </w:pPr>
      <w:r w:rsidRPr="00C872EA">
        <w:rPr>
          <w:rFonts w:cs="Arial"/>
          <w:b/>
          <w:bCs/>
          <w:szCs w:val="24"/>
        </w:rPr>
        <w:t xml:space="preserve">LA PROPOSTA DI </w:t>
      </w:r>
      <w:r>
        <w:rPr>
          <w:rFonts w:cs="Arial"/>
          <w:b/>
          <w:bCs/>
          <w:szCs w:val="24"/>
        </w:rPr>
        <w:t>CONTROPROGETTO</w:t>
      </w:r>
    </w:p>
    <w:p w:rsidR="00035BD2" w:rsidRPr="00035BD2" w:rsidRDefault="00035BD2" w:rsidP="00AB1B96">
      <w:pPr>
        <w:rPr>
          <w:rFonts w:cs="Arial"/>
          <w:szCs w:val="24"/>
        </w:rPr>
      </w:pPr>
      <w:bookmarkStart w:id="3" w:name="_Hlk65251653"/>
      <w:r w:rsidRPr="00035BD2">
        <w:rPr>
          <w:rFonts w:cs="Arial"/>
          <w:szCs w:val="24"/>
        </w:rPr>
        <w:t xml:space="preserve">La </w:t>
      </w:r>
      <w:r w:rsidR="008041F7">
        <w:rPr>
          <w:rFonts w:cs="Arial"/>
          <w:szCs w:val="24"/>
        </w:rPr>
        <w:t>C</w:t>
      </w:r>
      <w:r w:rsidRPr="00035BD2">
        <w:rPr>
          <w:rFonts w:cs="Arial"/>
          <w:szCs w:val="24"/>
        </w:rPr>
        <w:t xml:space="preserve">ommissione </w:t>
      </w:r>
      <w:r w:rsidR="008041F7">
        <w:rPr>
          <w:rFonts w:cs="Arial"/>
          <w:szCs w:val="24"/>
        </w:rPr>
        <w:t>g</w:t>
      </w:r>
      <w:r w:rsidRPr="00035BD2">
        <w:rPr>
          <w:rFonts w:cs="Arial"/>
          <w:szCs w:val="24"/>
        </w:rPr>
        <w:t xml:space="preserve">estione </w:t>
      </w:r>
      <w:r w:rsidR="008041F7">
        <w:rPr>
          <w:rFonts w:cs="Arial"/>
          <w:szCs w:val="24"/>
        </w:rPr>
        <w:t xml:space="preserve">e finanze </w:t>
      </w:r>
      <w:r w:rsidRPr="00035BD2">
        <w:rPr>
          <w:rFonts w:cs="Arial"/>
          <w:szCs w:val="24"/>
        </w:rPr>
        <w:t>ha in un primo tempo proposto la possibilità di creare un fondo specifico alimentato con le differenze delle quote sugli utili della BNS, in una secon</w:t>
      </w:r>
      <w:r>
        <w:rPr>
          <w:rFonts w:cs="Arial"/>
          <w:szCs w:val="24"/>
        </w:rPr>
        <w:t>d</w:t>
      </w:r>
      <w:r w:rsidRPr="00035BD2">
        <w:rPr>
          <w:rFonts w:cs="Arial"/>
          <w:szCs w:val="24"/>
        </w:rPr>
        <w:t>a fas</w:t>
      </w:r>
      <w:r>
        <w:rPr>
          <w:rFonts w:cs="Arial"/>
          <w:szCs w:val="24"/>
        </w:rPr>
        <w:t>e, però, e</w:t>
      </w:r>
      <w:r w:rsidRPr="00035BD2">
        <w:rPr>
          <w:rFonts w:cs="Arial"/>
          <w:szCs w:val="24"/>
        </w:rPr>
        <w:t xml:space="preserve"> viste le argomentazioni del </w:t>
      </w:r>
      <w:r w:rsidR="009B297E">
        <w:rPr>
          <w:rFonts w:cs="Arial"/>
          <w:szCs w:val="24"/>
        </w:rPr>
        <w:t>G</w:t>
      </w:r>
      <w:r w:rsidRPr="00035BD2">
        <w:rPr>
          <w:rFonts w:cs="Arial"/>
          <w:szCs w:val="24"/>
        </w:rPr>
        <w:t>overno</w:t>
      </w:r>
      <w:r w:rsidR="009B297E">
        <w:rPr>
          <w:rFonts w:cs="Arial"/>
          <w:szCs w:val="24"/>
        </w:rPr>
        <w:t>,</w:t>
      </w:r>
      <w:r w:rsidRPr="00035BD2">
        <w:rPr>
          <w:rFonts w:cs="Arial"/>
          <w:szCs w:val="24"/>
        </w:rPr>
        <w:t xml:space="preserve"> che qui </w:t>
      </w:r>
      <w:r w:rsidR="009B297E">
        <w:rPr>
          <w:rFonts w:cs="Arial"/>
          <w:szCs w:val="24"/>
        </w:rPr>
        <w:t xml:space="preserve">di seguito </w:t>
      </w:r>
      <w:r w:rsidRPr="00035BD2">
        <w:rPr>
          <w:rFonts w:cs="Arial"/>
          <w:szCs w:val="24"/>
        </w:rPr>
        <w:t xml:space="preserve">per chiarezza riportiamo </w:t>
      </w:r>
      <w:r w:rsidR="009B297E">
        <w:rPr>
          <w:rFonts w:cs="Arial"/>
          <w:szCs w:val="24"/>
        </w:rPr>
        <w:t xml:space="preserve">in larga parte, </w:t>
      </w:r>
      <w:r w:rsidRPr="00035BD2">
        <w:rPr>
          <w:rFonts w:cs="Arial"/>
          <w:szCs w:val="24"/>
        </w:rPr>
        <w:t>si è giunti alla proposta tesa alla creazione di una specifica riserva di politica finanziaria nell’ambito del capitale proprio.</w:t>
      </w:r>
    </w:p>
    <w:bookmarkEnd w:id="3"/>
    <w:p w:rsidR="009B297E" w:rsidRDefault="009B297E" w:rsidP="00AB1B96">
      <w:pPr>
        <w:rPr>
          <w:rFonts w:cs="Arial"/>
          <w:szCs w:val="24"/>
        </w:rPr>
      </w:pPr>
    </w:p>
    <w:p w:rsidR="008041F7" w:rsidRDefault="008041F7" w:rsidP="00AB1B96">
      <w:pPr>
        <w:rPr>
          <w:rFonts w:cs="Arial"/>
          <w:szCs w:val="24"/>
        </w:rPr>
      </w:pPr>
    </w:p>
    <w:p w:rsidR="0001713E" w:rsidRPr="008041F7" w:rsidRDefault="0001713E" w:rsidP="00AB1B96">
      <w:pPr>
        <w:tabs>
          <w:tab w:val="left" w:pos="426"/>
        </w:tabs>
        <w:spacing w:after="120"/>
        <w:ind w:left="426" w:hanging="426"/>
        <w:rPr>
          <w:rFonts w:cs="Arial"/>
          <w:b/>
          <w:szCs w:val="24"/>
        </w:rPr>
      </w:pPr>
      <w:r w:rsidRPr="008041F7">
        <w:rPr>
          <w:rFonts w:cs="Arial"/>
          <w:b/>
          <w:szCs w:val="24"/>
        </w:rPr>
        <w:t>A.</w:t>
      </w:r>
      <w:r w:rsidR="00AB1B96">
        <w:rPr>
          <w:rFonts w:cs="Arial"/>
          <w:b/>
          <w:szCs w:val="24"/>
        </w:rPr>
        <w:tab/>
      </w:r>
      <w:r w:rsidRPr="008041F7">
        <w:rPr>
          <w:rFonts w:cs="Arial"/>
          <w:b/>
          <w:szCs w:val="24"/>
        </w:rPr>
        <w:t>Disposizioni di diritto finanziario e modello contabile armonizzato (raccomandazioni)</w:t>
      </w:r>
    </w:p>
    <w:p w:rsidR="0001713E" w:rsidRDefault="0001713E" w:rsidP="00AB1B96">
      <w:pPr>
        <w:rPr>
          <w:rFonts w:cs="Arial"/>
          <w:szCs w:val="24"/>
        </w:rPr>
      </w:pPr>
      <w:r>
        <w:rPr>
          <w:rFonts w:cs="Arial"/>
          <w:szCs w:val="24"/>
        </w:rPr>
        <w:t xml:space="preserve">L’art. 2 lett. g) della </w:t>
      </w:r>
      <w:r w:rsidR="008041F7">
        <w:rPr>
          <w:rFonts w:cs="Arial"/>
          <w:szCs w:val="24"/>
        </w:rPr>
        <w:t>L</w:t>
      </w:r>
      <w:r>
        <w:rPr>
          <w:rFonts w:cs="Arial"/>
          <w:szCs w:val="24"/>
        </w:rPr>
        <w:t xml:space="preserve">egge sulla gestione e sul controllo finanziario dello Stato (LGF) stabilisce il principio del divieto del vincolo delle entrate. L’art. 8 precisa che per la copertura di singole spese non possono essere prelevate quote fisse dalle entrate, riservato il caso dei finanziamenti speciali definiti all’art. 13, che consistono in risorse prelevate per uno specifico </w:t>
      </w:r>
      <w:r w:rsidRPr="0077391B">
        <w:rPr>
          <w:rFonts w:cs="Arial"/>
          <w:szCs w:val="24"/>
        </w:rPr>
        <w:t xml:space="preserve">compito pubblico e vincolate per legge all’adempimento di un compito. </w:t>
      </w:r>
    </w:p>
    <w:p w:rsidR="0001713E" w:rsidRDefault="0001713E" w:rsidP="00AB1B96">
      <w:pPr>
        <w:rPr>
          <w:rFonts w:cs="Arial"/>
          <w:szCs w:val="24"/>
        </w:rPr>
      </w:pPr>
      <w:r w:rsidRPr="00F265B6">
        <w:rPr>
          <w:rFonts w:cs="Arial"/>
          <w:szCs w:val="24"/>
        </w:rPr>
        <w:t>Per esempio, sono finanziamenti speciali i fondi di intervento selvaggina e per la fauna ittica e la pesca (prelievo sulle patenti), il fondo incendi (prelievo di una quota sulle polizze assicurative, che viene utilizzata per il finanziamento del settore pompieristico) o ancora il fondo per la formazione professionale (alimentato con contributi federali e contributi dei datori di lavoro).</w:t>
      </w:r>
    </w:p>
    <w:p w:rsidR="0001713E" w:rsidRDefault="0001713E" w:rsidP="00AB1B96">
      <w:pPr>
        <w:rPr>
          <w:rFonts w:cs="Arial"/>
          <w:szCs w:val="24"/>
        </w:rPr>
      </w:pPr>
    </w:p>
    <w:p w:rsidR="0001713E" w:rsidRDefault="0001713E" w:rsidP="00AB1B96">
      <w:pPr>
        <w:rPr>
          <w:rFonts w:cs="Arial"/>
          <w:szCs w:val="24"/>
        </w:rPr>
      </w:pPr>
      <w:r>
        <w:rPr>
          <w:rFonts w:cs="Arial"/>
          <w:szCs w:val="24"/>
        </w:rPr>
        <w:t>Il diritto finanziario riconosce al capitale proprio la funzione di riserva generale. Secondo l’art. 12 cpv. 3 della LGF il</w:t>
      </w:r>
      <w:r w:rsidRPr="00E966B7">
        <w:rPr>
          <w:rFonts w:cs="Arial"/>
          <w:szCs w:val="24"/>
        </w:rPr>
        <w:t xml:space="preserve"> “</w:t>
      </w:r>
      <w:r w:rsidRPr="00E966B7">
        <w:rPr>
          <w:i/>
          <w:szCs w:val="24"/>
        </w:rPr>
        <w:t>capitale proprio</w:t>
      </w:r>
      <w:r w:rsidRPr="00E966B7">
        <w:rPr>
          <w:rFonts w:cs="Arial"/>
          <w:i/>
          <w:szCs w:val="24"/>
        </w:rPr>
        <w:t xml:space="preserve"> è composto dai fondi di </w:t>
      </w:r>
      <w:r w:rsidRPr="00E966B7">
        <w:rPr>
          <w:i/>
          <w:szCs w:val="24"/>
        </w:rPr>
        <w:t>capitale proprio</w:t>
      </w:r>
      <w:r w:rsidRPr="00E966B7">
        <w:rPr>
          <w:rFonts w:cs="Arial"/>
          <w:i/>
          <w:szCs w:val="24"/>
        </w:rPr>
        <w:t>, dalle riserve e dall’eccedenza attiva o passiva del valore totale dei beni amministrativi e patrimoniali rispetto al totale degli impegni</w:t>
      </w:r>
      <w:r>
        <w:rPr>
          <w:rFonts w:cs="Arial"/>
          <w:szCs w:val="24"/>
        </w:rPr>
        <w:t>”. L’esistenza di un capitale proprio positivo permette quindi di compensare gli effetti negativi legati per esempio a crisi economiche importanti.</w:t>
      </w:r>
    </w:p>
    <w:p w:rsidR="0001713E" w:rsidRDefault="0001713E" w:rsidP="00AB1B96">
      <w:pPr>
        <w:rPr>
          <w:rFonts w:cs="Arial"/>
          <w:szCs w:val="24"/>
        </w:rPr>
      </w:pPr>
    </w:p>
    <w:p w:rsidR="0001713E" w:rsidRDefault="0001713E" w:rsidP="00AB1B96">
      <w:pPr>
        <w:rPr>
          <w:rFonts w:cs="Arial"/>
          <w:szCs w:val="24"/>
        </w:rPr>
      </w:pPr>
      <w:r>
        <w:rPr>
          <w:rFonts w:cs="Arial"/>
          <w:szCs w:val="24"/>
        </w:rPr>
        <w:t>La Conferenza dei direttori cantonali delle finanze ha pubblicato nel corso del 2008 un nuovo modello contabile armonizzato per le collettività pubbliche (MCA2), composto da una serie di raccomandazioni.</w:t>
      </w:r>
    </w:p>
    <w:p w:rsidR="0001713E" w:rsidRDefault="0001713E" w:rsidP="00AB1B96">
      <w:pPr>
        <w:rPr>
          <w:rFonts w:cs="Arial"/>
          <w:szCs w:val="24"/>
        </w:rPr>
      </w:pPr>
    </w:p>
    <w:p w:rsidR="0001713E" w:rsidRDefault="0001713E" w:rsidP="00AB1B96">
      <w:pPr>
        <w:rPr>
          <w:rFonts w:cs="Arial"/>
          <w:szCs w:val="24"/>
        </w:rPr>
      </w:pPr>
      <w:r>
        <w:rPr>
          <w:rFonts w:cs="Arial"/>
          <w:szCs w:val="24"/>
        </w:rPr>
        <w:t xml:space="preserve">Questo nuovo modello contabile prevede la possibilità di creare un conto </w:t>
      </w:r>
      <w:r w:rsidRPr="008041F7">
        <w:rPr>
          <w:rFonts w:cs="Arial"/>
          <w:i/>
          <w:szCs w:val="24"/>
        </w:rPr>
        <w:t>“Riserva di politica finanziaria”</w:t>
      </w:r>
      <w:r w:rsidRPr="005E6767">
        <w:rPr>
          <w:rFonts w:cs="Arial"/>
          <w:szCs w:val="24"/>
        </w:rPr>
        <w:t xml:space="preserve">. </w:t>
      </w:r>
      <w:r>
        <w:rPr>
          <w:rFonts w:cs="Arial"/>
          <w:szCs w:val="24"/>
        </w:rPr>
        <w:t xml:space="preserve">Si tratta di un conto al passivo di bilancio evidenziato a parte rispetto al capitale </w:t>
      </w:r>
      <w:r>
        <w:rPr>
          <w:rFonts w:cs="Arial"/>
          <w:szCs w:val="24"/>
        </w:rPr>
        <w:lastRenderedPageBreak/>
        <w:t xml:space="preserve">proprio generale, ma che di fatto partecipa alla quantificazione del capitale proprio complessivo della collettività. Nell’ambito delle raccomandazioni MCA2, questa pratica è tollerata, osservando comunque che </w:t>
      </w:r>
      <w:r w:rsidRPr="00781AD4">
        <w:rPr>
          <w:rFonts w:cs="Arial"/>
          <w:szCs w:val="24"/>
        </w:rPr>
        <w:t>«</w:t>
      </w:r>
      <w:r w:rsidRPr="00781AD4">
        <w:rPr>
          <w:rFonts w:cs="Arial"/>
          <w:i/>
          <w:szCs w:val="24"/>
        </w:rPr>
        <w:t xml:space="preserve">le SRS-CSPCP est </w:t>
      </w:r>
      <w:proofErr w:type="spellStart"/>
      <w:r w:rsidRPr="00781AD4">
        <w:rPr>
          <w:rFonts w:cs="Arial"/>
          <w:i/>
          <w:szCs w:val="24"/>
        </w:rPr>
        <w:t>conscient</w:t>
      </w:r>
      <w:proofErr w:type="spellEnd"/>
      <w:r w:rsidRPr="00781AD4">
        <w:rPr>
          <w:rFonts w:cs="Arial"/>
          <w:i/>
          <w:szCs w:val="24"/>
        </w:rPr>
        <w:t xml:space="preserve"> </w:t>
      </w:r>
      <w:proofErr w:type="spellStart"/>
      <w:r w:rsidRPr="00781AD4">
        <w:rPr>
          <w:rFonts w:cs="Arial"/>
          <w:i/>
          <w:szCs w:val="24"/>
        </w:rPr>
        <w:t>du</w:t>
      </w:r>
      <w:proofErr w:type="spellEnd"/>
      <w:r w:rsidRPr="00781AD4">
        <w:rPr>
          <w:rFonts w:cs="Arial"/>
          <w:i/>
          <w:szCs w:val="24"/>
        </w:rPr>
        <w:t xml:space="preserve"> </w:t>
      </w:r>
      <w:proofErr w:type="spellStart"/>
      <w:r w:rsidRPr="00781AD4">
        <w:rPr>
          <w:rFonts w:cs="Arial"/>
          <w:i/>
          <w:szCs w:val="24"/>
        </w:rPr>
        <w:t>fait</w:t>
      </w:r>
      <w:proofErr w:type="spellEnd"/>
      <w:r w:rsidRPr="00781AD4">
        <w:rPr>
          <w:rFonts w:cs="Arial"/>
          <w:i/>
          <w:szCs w:val="24"/>
        </w:rPr>
        <w:t xml:space="preserve"> </w:t>
      </w:r>
      <w:proofErr w:type="spellStart"/>
      <w:r w:rsidRPr="00781AD4">
        <w:rPr>
          <w:rFonts w:cs="Arial"/>
          <w:i/>
          <w:szCs w:val="24"/>
        </w:rPr>
        <w:t>que</w:t>
      </w:r>
      <w:proofErr w:type="spellEnd"/>
      <w:r w:rsidRPr="00781AD4">
        <w:rPr>
          <w:rFonts w:cs="Arial"/>
          <w:i/>
          <w:szCs w:val="24"/>
        </w:rPr>
        <w:t xml:space="preserve"> </w:t>
      </w:r>
      <w:proofErr w:type="spellStart"/>
      <w:r w:rsidRPr="00781AD4">
        <w:rPr>
          <w:rFonts w:cs="Arial"/>
          <w:i/>
          <w:szCs w:val="24"/>
        </w:rPr>
        <w:t>cette</w:t>
      </w:r>
      <w:proofErr w:type="spellEnd"/>
      <w:r w:rsidRPr="00781AD4">
        <w:rPr>
          <w:rFonts w:cs="Arial"/>
          <w:i/>
          <w:szCs w:val="24"/>
        </w:rPr>
        <w:t xml:space="preserve"> </w:t>
      </w:r>
      <w:proofErr w:type="spellStart"/>
      <w:r w:rsidRPr="00781AD4">
        <w:rPr>
          <w:rFonts w:cs="Arial"/>
          <w:i/>
          <w:szCs w:val="24"/>
        </w:rPr>
        <w:t>manière</w:t>
      </w:r>
      <w:proofErr w:type="spellEnd"/>
      <w:r w:rsidRPr="00781AD4">
        <w:rPr>
          <w:rFonts w:cs="Arial"/>
          <w:i/>
          <w:szCs w:val="24"/>
        </w:rPr>
        <w:t xml:space="preserve"> de </w:t>
      </w:r>
      <w:proofErr w:type="spellStart"/>
      <w:r w:rsidRPr="00781AD4">
        <w:rPr>
          <w:rFonts w:cs="Arial"/>
          <w:i/>
          <w:szCs w:val="24"/>
        </w:rPr>
        <w:t>procéder</w:t>
      </w:r>
      <w:proofErr w:type="spellEnd"/>
      <w:r w:rsidRPr="00781AD4">
        <w:rPr>
          <w:rFonts w:cs="Arial"/>
          <w:i/>
          <w:szCs w:val="24"/>
        </w:rPr>
        <w:t xml:space="preserve"> n’est </w:t>
      </w:r>
      <w:proofErr w:type="spellStart"/>
      <w:r w:rsidRPr="00781AD4">
        <w:rPr>
          <w:rFonts w:cs="Arial"/>
          <w:i/>
          <w:szCs w:val="24"/>
        </w:rPr>
        <w:t>pas</w:t>
      </w:r>
      <w:proofErr w:type="spellEnd"/>
      <w:r w:rsidRPr="00781AD4">
        <w:rPr>
          <w:rFonts w:cs="Arial"/>
          <w:i/>
          <w:szCs w:val="24"/>
        </w:rPr>
        <w:t xml:space="preserve"> conforme </w:t>
      </w:r>
      <w:proofErr w:type="spellStart"/>
      <w:r w:rsidRPr="00781AD4">
        <w:rPr>
          <w:rFonts w:cs="Arial"/>
          <w:i/>
          <w:szCs w:val="24"/>
        </w:rPr>
        <w:t>aux</w:t>
      </w:r>
      <w:proofErr w:type="spellEnd"/>
      <w:r w:rsidRPr="00781AD4">
        <w:rPr>
          <w:rFonts w:cs="Arial"/>
          <w:i/>
          <w:szCs w:val="24"/>
        </w:rPr>
        <w:t xml:space="preserve"> </w:t>
      </w:r>
      <w:proofErr w:type="spellStart"/>
      <w:r w:rsidRPr="00781AD4">
        <w:rPr>
          <w:rFonts w:cs="Arial"/>
          <w:i/>
          <w:szCs w:val="24"/>
        </w:rPr>
        <w:t>normes</w:t>
      </w:r>
      <w:proofErr w:type="spellEnd"/>
      <w:r w:rsidRPr="00781AD4">
        <w:rPr>
          <w:rFonts w:cs="Arial"/>
          <w:i/>
          <w:szCs w:val="24"/>
        </w:rPr>
        <w:t xml:space="preserve"> IPSAS»</w:t>
      </w:r>
      <w:r w:rsidRPr="00781AD4">
        <w:rPr>
          <w:rFonts w:cs="Arial"/>
          <w:szCs w:val="24"/>
        </w:rPr>
        <w:t>.</w:t>
      </w:r>
    </w:p>
    <w:p w:rsidR="0001713E" w:rsidRPr="00781AD4" w:rsidRDefault="0001713E" w:rsidP="00AB1B96">
      <w:pPr>
        <w:rPr>
          <w:rFonts w:cs="Arial"/>
          <w:szCs w:val="24"/>
        </w:rPr>
      </w:pPr>
    </w:p>
    <w:p w:rsidR="0001713E" w:rsidRPr="008041F7" w:rsidRDefault="0001713E" w:rsidP="00AB1B96">
      <w:pPr>
        <w:pStyle w:val="Default"/>
        <w:jc w:val="both"/>
        <w:rPr>
          <w:sz w:val="22"/>
          <w:szCs w:val="22"/>
        </w:rPr>
      </w:pPr>
      <w:r w:rsidRPr="008041F7">
        <w:rPr>
          <w:color w:val="auto"/>
        </w:rPr>
        <w:t>Per creare, alimentare e utilizzare questa riserva, le raccomandazioni MCA2 invitano a creare una base legale esplicita e chiara, evidenziando che «</w:t>
      </w:r>
      <w:proofErr w:type="spellStart"/>
      <w:r w:rsidRPr="008041F7">
        <w:rPr>
          <w:i/>
          <w:color w:val="auto"/>
        </w:rPr>
        <w:t>les</w:t>
      </w:r>
      <w:proofErr w:type="spellEnd"/>
      <w:r w:rsidRPr="008041F7">
        <w:rPr>
          <w:i/>
          <w:color w:val="auto"/>
        </w:rPr>
        <w:t xml:space="preserve"> </w:t>
      </w:r>
      <w:proofErr w:type="spellStart"/>
      <w:r w:rsidRPr="008041F7">
        <w:rPr>
          <w:i/>
          <w:color w:val="auto"/>
        </w:rPr>
        <w:t>attributions</w:t>
      </w:r>
      <w:proofErr w:type="spellEnd"/>
      <w:r w:rsidRPr="008041F7">
        <w:rPr>
          <w:i/>
          <w:color w:val="auto"/>
        </w:rPr>
        <w:t xml:space="preserve"> à </w:t>
      </w:r>
      <w:proofErr w:type="spellStart"/>
      <w:r w:rsidRPr="008041F7">
        <w:rPr>
          <w:i/>
          <w:color w:val="auto"/>
        </w:rPr>
        <w:t>cette</w:t>
      </w:r>
      <w:proofErr w:type="spellEnd"/>
      <w:r w:rsidRPr="008041F7">
        <w:rPr>
          <w:i/>
          <w:color w:val="auto"/>
        </w:rPr>
        <w:t xml:space="preserve"> </w:t>
      </w:r>
      <w:proofErr w:type="spellStart"/>
      <w:r w:rsidRPr="008041F7">
        <w:rPr>
          <w:i/>
          <w:color w:val="auto"/>
        </w:rPr>
        <w:t>réserve</w:t>
      </w:r>
      <w:proofErr w:type="spellEnd"/>
      <w:r w:rsidRPr="008041F7">
        <w:rPr>
          <w:i/>
          <w:color w:val="auto"/>
        </w:rPr>
        <w:t xml:space="preserve"> et </w:t>
      </w:r>
      <w:proofErr w:type="spellStart"/>
      <w:r w:rsidRPr="008041F7">
        <w:rPr>
          <w:i/>
          <w:color w:val="auto"/>
        </w:rPr>
        <w:t>les</w:t>
      </w:r>
      <w:proofErr w:type="spellEnd"/>
      <w:r w:rsidRPr="008041F7">
        <w:rPr>
          <w:i/>
          <w:color w:val="auto"/>
        </w:rPr>
        <w:t xml:space="preserve"> </w:t>
      </w:r>
      <w:proofErr w:type="spellStart"/>
      <w:r w:rsidRPr="008041F7">
        <w:rPr>
          <w:i/>
          <w:color w:val="auto"/>
        </w:rPr>
        <w:t>prélèvements</w:t>
      </w:r>
      <w:proofErr w:type="spellEnd"/>
      <w:r w:rsidRPr="008041F7">
        <w:rPr>
          <w:i/>
          <w:color w:val="auto"/>
        </w:rPr>
        <w:t xml:space="preserve"> </w:t>
      </w:r>
      <w:proofErr w:type="spellStart"/>
      <w:r w:rsidRPr="008041F7">
        <w:rPr>
          <w:i/>
          <w:color w:val="auto"/>
        </w:rPr>
        <w:t>sur</w:t>
      </w:r>
      <w:proofErr w:type="spellEnd"/>
      <w:r w:rsidRPr="008041F7">
        <w:rPr>
          <w:i/>
          <w:color w:val="auto"/>
        </w:rPr>
        <w:t xml:space="preserve"> celle-ci </w:t>
      </w:r>
      <w:proofErr w:type="spellStart"/>
      <w:r w:rsidRPr="008041F7">
        <w:rPr>
          <w:i/>
          <w:color w:val="auto"/>
        </w:rPr>
        <w:t>devraient</w:t>
      </w:r>
      <w:proofErr w:type="spellEnd"/>
      <w:r w:rsidRPr="008041F7">
        <w:rPr>
          <w:i/>
          <w:color w:val="auto"/>
        </w:rPr>
        <w:t xml:space="preserve"> </w:t>
      </w:r>
      <w:proofErr w:type="spellStart"/>
      <w:r w:rsidRPr="008041F7">
        <w:rPr>
          <w:i/>
          <w:color w:val="auto"/>
        </w:rPr>
        <w:t>être</w:t>
      </w:r>
      <w:proofErr w:type="spellEnd"/>
      <w:r w:rsidRPr="008041F7">
        <w:rPr>
          <w:i/>
          <w:color w:val="auto"/>
        </w:rPr>
        <w:t xml:space="preserve"> </w:t>
      </w:r>
      <w:proofErr w:type="spellStart"/>
      <w:r w:rsidRPr="008041F7">
        <w:rPr>
          <w:i/>
          <w:color w:val="auto"/>
        </w:rPr>
        <w:t>réglée</w:t>
      </w:r>
      <w:proofErr w:type="spellEnd"/>
      <w:r w:rsidRPr="008041F7">
        <w:rPr>
          <w:i/>
          <w:color w:val="auto"/>
        </w:rPr>
        <w:t xml:space="preserve"> de </w:t>
      </w:r>
      <w:proofErr w:type="spellStart"/>
      <w:r w:rsidRPr="008041F7">
        <w:rPr>
          <w:i/>
          <w:color w:val="auto"/>
        </w:rPr>
        <w:t>manière</w:t>
      </w:r>
      <w:proofErr w:type="spellEnd"/>
      <w:r w:rsidRPr="008041F7">
        <w:rPr>
          <w:i/>
          <w:color w:val="auto"/>
        </w:rPr>
        <w:t xml:space="preserve"> </w:t>
      </w:r>
      <w:proofErr w:type="spellStart"/>
      <w:r w:rsidRPr="008041F7">
        <w:rPr>
          <w:i/>
          <w:color w:val="auto"/>
        </w:rPr>
        <w:t>contraignante</w:t>
      </w:r>
      <w:proofErr w:type="spellEnd"/>
      <w:r w:rsidRPr="008041F7">
        <w:rPr>
          <w:i/>
          <w:color w:val="auto"/>
        </w:rPr>
        <w:t xml:space="preserve"> </w:t>
      </w:r>
      <w:proofErr w:type="spellStart"/>
      <w:r w:rsidRPr="008041F7">
        <w:rPr>
          <w:i/>
          <w:color w:val="auto"/>
        </w:rPr>
        <w:t>au</w:t>
      </w:r>
      <w:proofErr w:type="spellEnd"/>
      <w:r w:rsidRPr="008041F7">
        <w:rPr>
          <w:i/>
          <w:color w:val="auto"/>
        </w:rPr>
        <w:t xml:space="preserve"> </w:t>
      </w:r>
      <w:proofErr w:type="spellStart"/>
      <w:r w:rsidRPr="008041F7">
        <w:rPr>
          <w:i/>
          <w:color w:val="auto"/>
        </w:rPr>
        <w:t>niveau</w:t>
      </w:r>
      <w:proofErr w:type="spellEnd"/>
      <w:r w:rsidRPr="008041F7">
        <w:rPr>
          <w:i/>
          <w:color w:val="auto"/>
        </w:rPr>
        <w:t xml:space="preserve"> </w:t>
      </w:r>
      <w:proofErr w:type="spellStart"/>
      <w:r w:rsidRPr="008041F7">
        <w:rPr>
          <w:i/>
          <w:color w:val="auto"/>
        </w:rPr>
        <w:t>légal</w:t>
      </w:r>
      <w:proofErr w:type="spellEnd"/>
      <w:r w:rsidRPr="008041F7">
        <w:rPr>
          <w:i/>
          <w:color w:val="auto"/>
        </w:rPr>
        <w:t xml:space="preserve"> (par </w:t>
      </w:r>
      <w:proofErr w:type="spellStart"/>
      <w:r w:rsidRPr="008041F7">
        <w:rPr>
          <w:i/>
          <w:color w:val="auto"/>
        </w:rPr>
        <w:t>exemple</w:t>
      </w:r>
      <w:proofErr w:type="spellEnd"/>
      <w:r w:rsidRPr="008041F7">
        <w:rPr>
          <w:i/>
          <w:color w:val="auto"/>
        </w:rPr>
        <w:t xml:space="preserve">, en </w:t>
      </w:r>
      <w:proofErr w:type="spellStart"/>
      <w:r w:rsidRPr="008041F7">
        <w:rPr>
          <w:i/>
          <w:color w:val="auto"/>
        </w:rPr>
        <w:t>stipulant</w:t>
      </w:r>
      <w:proofErr w:type="spellEnd"/>
      <w:r w:rsidRPr="008041F7">
        <w:rPr>
          <w:i/>
          <w:color w:val="auto"/>
        </w:rPr>
        <w:t xml:space="preserve"> </w:t>
      </w:r>
      <w:proofErr w:type="spellStart"/>
      <w:r w:rsidRPr="008041F7">
        <w:rPr>
          <w:i/>
          <w:color w:val="auto"/>
        </w:rPr>
        <w:t>que</w:t>
      </w:r>
      <w:proofErr w:type="spellEnd"/>
      <w:r w:rsidRPr="008041F7">
        <w:rPr>
          <w:i/>
          <w:color w:val="auto"/>
        </w:rPr>
        <w:t xml:space="preserve"> </w:t>
      </w:r>
      <w:proofErr w:type="spellStart"/>
      <w:r w:rsidRPr="008041F7">
        <w:rPr>
          <w:i/>
          <w:color w:val="auto"/>
        </w:rPr>
        <w:t>les</w:t>
      </w:r>
      <w:proofErr w:type="spellEnd"/>
      <w:r w:rsidRPr="008041F7">
        <w:rPr>
          <w:i/>
          <w:color w:val="auto"/>
        </w:rPr>
        <w:t xml:space="preserve"> </w:t>
      </w:r>
      <w:proofErr w:type="spellStart"/>
      <w:r w:rsidRPr="008041F7">
        <w:rPr>
          <w:i/>
          <w:color w:val="auto"/>
        </w:rPr>
        <w:t>prélèvements</w:t>
      </w:r>
      <w:proofErr w:type="spellEnd"/>
      <w:r w:rsidRPr="008041F7">
        <w:rPr>
          <w:i/>
          <w:color w:val="auto"/>
        </w:rPr>
        <w:t xml:space="preserve"> ne </w:t>
      </w:r>
      <w:proofErr w:type="spellStart"/>
      <w:r w:rsidRPr="008041F7">
        <w:rPr>
          <w:i/>
          <w:color w:val="auto"/>
        </w:rPr>
        <w:t>sont</w:t>
      </w:r>
      <w:proofErr w:type="spellEnd"/>
      <w:r w:rsidRPr="008041F7">
        <w:rPr>
          <w:i/>
          <w:color w:val="auto"/>
        </w:rPr>
        <w:t xml:space="preserve"> </w:t>
      </w:r>
      <w:proofErr w:type="spellStart"/>
      <w:r w:rsidRPr="008041F7">
        <w:rPr>
          <w:i/>
          <w:color w:val="auto"/>
        </w:rPr>
        <w:t>possibles</w:t>
      </w:r>
      <w:proofErr w:type="spellEnd"/>
      <w:r w:rsidRPr="008041F7">
        <w:rPr>
          <w:i/>
          <w:color w:val="auto"/>
        </w:rPr>
        <w:t xml:space="preserve"> </w:t>
      </w:r>
      <w:proofErr w:type="spellStart"/>
      <w:r w:rsidRPr="008041F7">
        <w:rPr>
          <w:i/>
          <w:color w:val="auto"/>
        </w:rPr>
        <w:t>qu’en</w:t>
      </w:r>
      <w:proofErr w:type="spellEnd"/>
      <w:r w:rsidRPr="008041F7">
        <w:rPr>
          <w:i/>
          <w:color w:val="auto"/>
        </w:rPr>
        <w:t xml:space="preserve"> </w:t>
      </w:r>
      <w:proofErr w:type="spellStart"/>
      <w:r w:rsidRPr="008041F7">
        <w:rPr>
          <w:i/>
          <w:color w:val="auto"/>
        </w:rPr>
        <w:t>cas</w:t>
      </w:r>
      <w:proofErr w:type="spellEnd"/>
      <w:r w:rsidRPr="008041F7">
        <w:rPr>
          <w:i/>
          <w:color w:val="auto"/>
        </w:rPr>
        <w:t xml:space="preserve"> de </w:t>
      </w:r>
      <w:proofErr w:type="spellStart"/>
      <w:r w:rsidRPr="008041F7">
        <w:rPr>
          <w:i/>
          <w:color w:val="auto"/>
        </w:rPr>
        <w:t>récession</w:t>
      </w:r>
      <w:proofErr w:type="spellEnd"/>
      <w:r w:rsidRPr="008041F7">
        <w:rPr>
          <w:i/>
          <w:color w:val="auto"/>
        </w:rPr>
        <w:t xml:space="preserve"> </w:t>
      </w:r>
      <w:proofErr w:type="spellStart"/>
      <w:r w:rsidRPr="008041F7">
        <w:rPr>
          <w:i/>
          <w:color w:val="auto"/>
        </w:rPr>
        <w:t>officiellement</w:t>
      </w:r>
      <w:proofErr w:type="spellEnd"/>
      <w:r w:rsidRPr="008041F7">
        <w:rPr>
          <w:i/>
          <w:color w:val="auto"/>
        </w:rPr>
        <w:t xml:space="preserve"> </w:t>
      </w:r>
      <w:proofErr w:type="spellStart"/>
      <w:r w:rsidRPr="008041F7">
        <w:rPr>
          <w:i/>
          <w:color w:val="auto"/>
        </w:rPr>
        <w:t>reconnue</w:t>
      </w:r>
      <w:proofErr w:type="spellEnd"/>
      <w:r w:rsidRPr="008041F7">
        <w:rPr>
          <w:i/>
          <w:color w:val="auto"/>
        </w:rPr>
        <w:t xml:space="preserve"> </w:t>
      </w:r>
      <w:proofErr w:type="spellStart"/>
      <w:r w:rsidRPr="008041F7">
        <w:rPr>
          <w:i/>
          <w:color w:val="auto"/>
        </w:rPr>
        <w:t>comme</w:t>
      </w:r>
      <w:proofErr w:type="spellEnd"/>
      <w:r w:rsidRPr="008041F7">
        <w:rPr>
          <w:i/>
          <w:color w:val="auto"/>
        </w:rPr>
        <w:t xml:space="preserve"> </w:t>
      </w:r>
      <w:proofErr w:type="spellStart"/>
      <w:r w:rsidRPr="008041F7">
        <w:rPr>
          <w:i/>
          <w:color w:val="auto"/>
        </w:rPr>
        <w:t>telle</w:t>
      </w:r>
      <w:proofErr w:type="spellEnd"/>
      <w:r w:rsidRPr="008041F7">
        <w:rPr>
          <w:i/>
          <w:color w:val="auto"/>
        </w:rPr>
        <w:t xml:space="preserve"> et, </w:t>
      </w:r>
      <w:proofErr w:type="spellStart"/>
      <w:r w:rsidRPr="008041F7">
        <w:rPr>
          <w:i/>
          <w:color w:val="auto"/>
        </w:rPr>
        <w:t>qu’après</w:t>
      </w:r>
      <w:proofErr w:type="spellEnd"/>
      <w:r w:rsidRPr="008041F7">
        <w:rPr>
          <w:i/>
          <w:color w:val="auto"/>
        </w:rPr>
        <w:t xml:space="preserve"> </w:t>
      </w:r>
      <w:proofErr w:type="spellStart"/>
      <w:r w:rsidRPr="008041F7">
        <w:rPr>
          <w:i/>
          <w:color w:val="auto"/>
        </w:rPr>
        <w:t>des</w:t>
      </w:r>
      <w:proofErr w:type="spellEnd"/>
      <w:r w:rsidRPr="008041F7">
        <w:rPr>
          <w:i/>
          <w:color w:val="auto"/>
        </w:rPr>
        <w:t xml:space="preserve"> </w:t>
      </w:r>
      <w:proofErr w:type="spellStart"/>
      <w:r w:rsidRPr="008041F7">
        <w:rPr>
          <w:i/>
          <w:color w:val="auto"/>
        </w:rPr>
        <w:t>prélèvements</w:t>
      </w:r>
      <w:proofErr w:type="spellEnd"/>
      <w:r w:rsidRPr="008041F7">
        <w:rPr>
          <w:i/>
          <w:color w:val="auto"/>
        </w:rPr>
        <w:t xml:space="preserve">, </w:t>
      </w:r>
      <w:proofErr w:type="spellStart"/>
      <w:r w:rsidRPr="008041F7">
        <w:rPr>
          <w:i/>
          <w:color w:val="auto"/>
        </w:rPr>
        <w:t>des</w:t>
      </w:r>
      <w:proofErr w:type="spellEnd"/>
      <w:r w:rsidRPr="008041F7">
        <w:rPr>
          <w:i/>
          <w:color w:val="auto"/>
        </w:rPr>
        <w:t xml:space="preserve"> </w:t>
      </w:r>
      <w:proofErr w:type="spellStart"/>
      <w:r w:rsidRPr="008041F7">
        <w:rPr>
          <w:i/>
          <w:color w:val="auto"/>
        </w:rPr>
        <w:t>attributions</w:t>
      </w:r>
      <w:proofErr w:type="spellEnd"/>
      <w:r w:rsidRPr="008041F7">
        <w:rPr>
          <w:i/>
          <w:color w:val="auto"/>
        </w:rPr>
        <w:t xml:space="preserve"> </w:t>
      </w:r>
      <w:proofErr w:type="spellStart"/>
      <w:r w:rsidRPr="008041F7">
        <w:rPr>
          <w:i/>
          <w:color w:val="auto"/>
        </w:rPr>
        <w:t>doivent</w:t>
      </w:r>
      <w:proofErr w:type="spellEnd"/>
      <w:r w:rsidRPr="008041F7">
        <w:rPr>
          <w:i/>
          <w:color w:val="auto"/>
        </w:rPr>
        <w:t xml:space="preserve"> </w:t>
      </w:r>
      <w:proofErr w:type="spellStart"/>
      <w:r w:rsidRPr="008041F7">
        <w:rPr>
          <w:i/>
          <w:color w:val="auto"/>
        </w:rPr>
        <w:t>être</w:t>
      </w:r>
      <w:proofErr w:type="spellEnd"/>
      <w:r w:rsidRPr="008041F7">
        <w:rPr>
          <w:i/>
          <w:color w:val="auto"/>
        </w:rPr>
        <w:t xml:space="preserve"> </w:t>
      </w:r>
      <w:proofErr w:type="spellStart"/>
      <w:r w:rsidRPr="008041F7">
        <w:rPr>
          <w:i/>
          <w:color w:val="auto"/>
        </w:rPr>
        <w:t>effectuées</w:t>
      </w:r>
      <w:proofErr w:type="spellEnd"/>
      <w:r w:rsidRPr="008041F7">
        <w:rPr>
          <w:i/>
          <w:color w:val="auto"/>
        </w:rPr>
        <w:t xml:space="preserve"> </w:t>
      </w:r>
      <w:proofErr w:type="spellStart"/>
      <w:r w:rsidRPr="008041F7">
        <w:rPr>
          <w:i/>
          <w:color w:val="auto"/>
        </w:rPr>
        <w:t>lorsque</w:t>
      </w:r>
      <w:proofErr w:type="spellEnd"/>
      <w:r w:rsidRPr="008041F7">
        <w:rPr>
          <w:i/>
          <w:color w:val="auto"/>
        </w:rPr>
        <w:t xml:space="preserve"> la </w:t>
      </w:r>
      <w:proofErr w:type="spellStart"/>
      <w:r w:rsidRPr="008041F7">
        <w:rPr>
          <w:i/>
          <w:color w:val="auto"/>
        </w:rPr>
        <w:t>conjoncture</w:t>
      </w:r>
      <w:proofErr w:type="spellEnd"/>
      <w:r w:rsidRPr="008041F7">
        <w:rPr>
          <w:i/>
          <w:color w:val="auto"/>
        </w:rPr>
        <w:t xml:space="preserve"> se </w:t>
      </w:r>
      <w:proofErr w:type="spellStart"/>
      <w:r w:rsidRPr="008041F7">
        <w:rPr>
          <w:i/>
          <w:color w:val="auto"/>
        </w:rPr>
        <w:t>rétablit</w:t>
      </w:r>
      <w:proofErr w:type="spellEnd"/>
      <w:r w:rsidRPr="008041F7">
        <w:rPr>
          <w:i/>
          <w:color w:val="auto"/>
        </w:rPr>
        <w:t>)».</w:t>
      </w:r>
      <w:r w:rsidRPr="008041F7">
        <w:rPr>
          <w:sz w:val="22"/>
          <w:szCs w:val="22"/>
        </w:rPr>
        <w:t xml:space="preserve"> </w:t>
      </w:r>
    </w:p>
    <w:p w:rsidR="0001713E" w:rsidRDefault="0001713E" w:rsidP="00AB1B96">
      <w:pPr>
        <w:rPr>
          <w:rFonts w:cs="Arial"/>
          <w:szCs w:val="24"/>
          <w:lang w:val="fr-CH"/>
        </w:rPr>
      </w:pPr>
    </w:p>
    <w:p w:rsidR="00B94646" w:rsidRPr="00E904F5" w:rsidRDefault="00B94646" w:rsidP="00AB1B96">
      <w:pPr>
        <w:rPr>
          <w:rFonts w:cs="Arial"/>
          <w:szCs w:val="24"/>
          <w:lang w:val="fr-CH"/>
        </w:rPr>
      </w:pPr>
    </w:p>
    <w:p w:rsidR="0001713E" w:rsidRPr="008041F7" w:rsidRDefault="0001713E" w:rsidP="00AB1B96">
      <w:pPr>
        <w:tabs>
          <w:tab w:val="left" w:pos="426"/>
        </w:tabs>
        <w:spacing w:after="120"/>
        <w:rPr>
          <w:rFonts w:cs="Arial"/>
          <w:b/>
          <w:szCs w:val="24"/>
        </w:rPr>
      </w:pPr>
      <w:r w:rsidRPr="008041F7">
        <w:rPr>
          <w:rFonts w:cs="Arial"/>
          <w:b/>
          <w:szCs w:val="24"/>
        </w:rPr>
        <w:t xml:space="preserve">B. </w:t>
      </w:r>
      <w:r w:rsidR="00AB1B96">
        <w:rPr>
          <w:rFonts w:cs="Arial"/>
          <w:b/>
          <w:szCs w:val="24"/>
        </w:rPr>
        <w:tab/>
      </w:r>
      <w:r w:rsidRPr="008041F7">
        <w:rPr>
          <w:rFonts w:cs="Arial"/>
          <w:b/>
          <w:szCs w:val="24"/>
        </w:rPr>
        <w:t>Possibilità di creare una riserva destinata a far fronte ad eventi avversi</w:t>
      </w:r>
    </w:p>
    <w:p w:rsidR="0001713E" w:rsidRDefault="0001713E" w:rsidP="00AB1B96">
      <w:pPr>
        <w:rPr>
          <w:rFonts w:cs="Arial"/>
          <w:szCs w:val="24"/>
        </w:rPr>
      </w:pPr>
      <w:r>
        <w:rPr>
          <w:rFonts w:cs="Arial"/>
          <w:szCs w:val="24"/>
        </w:rPr>
        <w:t xml:space="preserve">Tenuto conto delle disposizioni finanziarie vigenti e delle raccomandazioni MCA2, la costituzione di un fondo specifico </w:t>
      </w:r>
      <w:proofErr w:type="spellStart"/>
      <w:r>
        <w:rPr>
          <w:rFonts w:cs="Arial"/>
          <w:szCs w:val="24"/>
        </w:rPr>
        <w:t>sottoforma</w:t>
      </w:r>
      <w:proofErr w:type="spellEnd"/>
      <w:r>
        <w:rPr>
          <w:rFonts w:cs="Arial"/>
          <w:szCs w:val="24"/>
        </w:rPr>
        <w:t xml:space="preserve"> di finanziamento speciale alimentato per esempio con le differenze tra preventivo e consuntivo delle quote sugli utili della BNS non è possibile. È per contro possibile la creazione di una specifica riserva di politica finanziaria nell’ambito del capitale proprio in linea con quanto suggerisce la controproposta della Commissione della gestione e delle finanze.</w:t>
      </w:r>
    </w:p>
    <w:p w:rsidR="0001713E" w:rsidRDefault="0001713E" w:rsidP="00AB1B96">
      <w:pPr>
        <w:rPr>
          <w:rFonts w:cs="Arial"/>
          <w:szCs w:val="24"/>
        </w:rPr>
      </w:pPr>
    </w:p>
    <w:p w:rsidR="0001713E" w:rsidRDefault="0001713E" w:rsidP="00AB1B96">
      <w:pPr>
        <w:rPr>
          <w:rFonts w:cs="Arial"/>
          <w:szCs w:val="24"/>
        </w:rPr>
      </w:pPr>
      <w:r>
        <w:rPr>
          <w:rFonts w:cs="Arial"/>
          <w:szCs w:val="24"/>
        </w:rPr>
        <w:t>Questa riserva, anche se considerata nel capitale proprio, può essere utilizzata soltanto per far fronte a situazion</w:t>
      </w:r>
      <w:r w:rsidR="00324C50">
        <w:rPr>
          <w:rFonts w:cs="Arial"/>
          <w:szCs w:val="24"/>
        </w:rPr>
        <w:t>i</w:t>
      </w:r>
      <w:r>
        <w:rPr>
          <w:rFonts w:cs="Arial"/>
          <w:szCs w:val="24"/>
        </w:rPr>
        <w:t xml:space="preserve"> eccezionali e non può essere utilizzata per far fronte a periodi normali di disavanzi legati all’evoluzione normale del ciclo economico. Introduce quindi uno strumento più restrittivo per la politica finanziaria visto che l’eventuale supplemento di entrate non può alimentare il capitale proprio generale, ma deve andare a costituire una riserva particolare da utilizzare soltanto in caso di situazioni eccezionali.</w:t>
      </w:r>
    </w:p>
    <w:p w:rsidR="0001713E" w:rsidRDefault="0001713E" w:rsidP="00AB1B96">
      <w:pPr>
        <w:rPr>
          <w:rFonts w:cs="Arial"/>
          <w:szCs w:val="24"/>
        </w:rPr>
      </w:pPr>
    </w:p>
    <w:p w:rsidR="0001713E" w:rsidRDefault="0001713E" w:rsidP="00AB1B96">
      <w:pPr>
        <w:rPr>
          <w:rFonts w:cs="Arial"/>
          <w:szCs w:val="24"/>
        </w:rPr>
      </w:pPr>
    </w:p>
    <w:p w:rsidR="0001713E" w:rsidRPr="008041F7" w:rsidRDefault="0001713E" w:rsidP="00AB1B96">
      <w:pPr>
        <w:tabs>
          <w:tab w:val="left" w:pos="426"/>
        </w:tabs>
        <w:spacing w:after="120"/>
        <w:ind w:left="426" w:hanging="426"/>
        <w:rPr>
          <w:rFonts w:cs="Arial"/>
          <w:b/>
          <w:szCs w:val="24"/>
        </w:rPr>
      </w:pPr>
      <w:r w:rsidRPr="008041F7">
        <w:rPr>
          <w:rFonts w:cs="Arial"/>
          <w:b/>
          <w:szCs w:val="24"/>
        </w:rPr>
        <w:t xml:space="preserve">C. </w:t>
      </w:r>
      <w:r w:rsidR="008041F7">
        <w:rPr>
          <w:rFonts w:cs="Arial"/>
          <w:b/>
          <w:szCs w:val="24"/>
        </w:rPr>
        <w:tab/>
      </w:r>
      <w:r w:rsidRPr="008041F7">
        <w:rPr>
          <w:rFonts w:cs="Arial"/>
          <w:b/>
          <w:szCs w:val="24"/>
        </w:rPr>
        <w:t>Possibile soluzione per la creazione un fondo di crisi sotto</w:t>
      </w:r>
      <w:r w:rsidR="00324C50" w:rsidRPr="008041F7">
        <w:rPr>
          <w:rFonts w:cs="Arial"/>
          <w:b/>
          <w:szCs w:val="24"/>
        </w:rPr>
        <w:t xml:space="preserve"> </w:t>
      </w:r>
      <w:r w:rsidRPr="008041F7">
        <w:rPr>
          <w:rFonts w:cs="Arial"/>
          <w:b/>
          <w:szCs w:val="24"/>
        </w:rPr>
        <w:t>forma di riserva di politica finanziaria</w:t>
      </w:r>
    </w:p>
    <w:p w:rsidR="0001713E" w:rsidRDefault="0001713E" w:rsidP="00AB1B96">
      <w:pPr>
        <w:spacing w:after="160"/>
        <w:rPr>
          <w:rFonts w:cs="Arial"/>
          <w:szCs w:val="24"/>
        </w:rPr>
      </w:pPr>
      <w:bookmarkStart w:id="4" w:name="_Hlk65251952"/>
      <w:r>
        <w:rPr>
          <w:rFonts w:cs="Arial"/>
          <w:szCs w:val="24"/>
        </w:rPr>
        <w:t>Riteniamo che la creazione di una riserva di politica finanziaria debba rispettare alcune condizioni nell’ottica di una corretta gestione finanziaria:</w:t>
      </w:r>
    </w:p>
    <w:p w:rsidR="0001713E" w:rsidRDefault="0001713E" w:rsidP="00AB1B96">
      <w:pPr>
        <w:pStyle w:val="Paragrafoelenco"/>
        <w:numPr>
          <w:ilvl w:val="0"/>
          <w:numId w:val="22"/>
        </w:numPr>
        <w:spacing w:after="160"/>
        <w:ind w:left="284" w:hanging="284"/>
        <w:contextualSpacing w:val="0"/>
        <w:rPr>
          <w:rFonts w:cs="Arial"/>
          <w:szCs w:val="24"/>
        </w:rPr>
      </w:pPr>
      <w:r>
        <w:rPr>
          <w:rFonts w:cs="Arial"/>
          <w:szCs w:val="24"/>
        </w:rPr>
        <w:t xml:space="preserve">una </w:t>
      </w:r>
      <w:r w:rsidRPr="00BE5D8E">
        <w:rPr>
          <w:rFonts w:cs="Arial"/>
          <w:szCs w:val="24"/>
        </w:rPr>
        <w:t xml:space="preserve">riserva di politica finanziaria </w:t>
      </w:r>
      <w:r>
        <w:rPr>
          <w:rFonts w:cs="Arial"/>
          <w:szCs w:val="24"/>
        </w:rPr>
        <w:t>può essere alimentata soltanto se vi è un capitale proprio positivo. Alimentare infatti una riserva di politica finanziaria per eventi straordinari quando non si dispone di una riserva generale per compensare i risultati nel medio periodo appare infatti contrario alla logica.</w:t>
      </w:r>
    </w:p>
    <w:p w:rsidR="0001713E" w:rsidRDefault="0001713E" w:rsidP="00AB1B96">
      <w:pPr>
        <w:pStyle w:val="Paragrafoelenco"/>
        <w:numPr>
          <w:ilvl w:val="0"/>
          <w:numId w:val="22"/>
        </w:numPr>
        <w:spacing w:after="160"/>
        <w:ind w:left="284" w:hanging="284"/>
        <w:contextualSpacing w:val="0"/>
        <w:rPr>
          <w:rFonts w:cs="Arial"/>
          <w:szCs w:val="24"/>
        </w:rPr>
      </w:pPr>
      <w:r>
        <w:rPr>
          <w:rFonts w:cs="Arial"/>
          <w:szCs w:val="24"/>
        </w:rPr>
        <w:t xml:space="preserve">L’attribuzione di una parte delle entrate alla riserva di politica finanziaria è possibile soltanto se il risultato d’esercizio dopo l’attribuzione è perlomeno in pareggio. Non avrebbe infatti senso alimentare la riserva di politica finanziaria se in seguito all’attribuzione il risultato diventa negativo, andando a ridurre il capitale proprio generale. </w:t>
      </w:r>
    </w:p>
    <w:p w:rsidR="0001713E" w:rsidRDefault="0001713E" w:rsidP="00AB1B96">
      <w:pPr>
        <w:pStyle w:val="Paragrafoelenco"/>
        <w:numPr>
          <w:ilvl w:val="0"/>
          <w:numId w:val="22"/>
        </w:numPr>
        <w:spacing w:after="160"/>
        <w:ind w:left="284" w:hanging="284"/>
        <w:contextualSpacing w:val="0"/>
        <w:rPr>
          <w:rFonts w:cs="Arial"/>
          <w:szCs w:val="24"/>
        </w:rPr>
      </w:pPr>
      <w:r>
        <w:rPr>
          <w:rFonts w:cs="Arial"/>
          <w:szCs w:val="24"/>
        </w:rPr>
        <w:t>L’attribuzione e il prelievo dalla riserva di politica finanziaria devono essere regolamentate tramite una disposizione legale nella LGF. C</w:t>
      </w:r>
      <w:r w:rsidRPr="00625E46">
        <w:rPr>
          <w:rFonts w:cs="Arial"/>
          <w:szCs w:val="24"/>
        </w:rPr>
        <w:t>on</w:t>
      </w:r>
      <w:r>
        <w:rPr>
          <w:rFonts w:cs="Arial"/>
          <w:szCs w:val="24"/>
        </w:rPr>
        <w:t xml:space="preserve">siderato che lo scopo della riserva è quello di far fronte a situazioni eccezionali, la sola destinazione possibile è quella di </w:t>
      </w:r>
      <w:r w:rsidRPr="00625E46">
        <w:rPr>
          <w:rFonts w:cs="Arial"/>
          <w:szCs w:val="24"/>
        </w:rPr>
        <w:t xml:space="preserve">compensare </w:t>
      </w:r>
      <w:r>
        <w:rPr>
          <w:rFonts w:cs="Arial"/>
          <w:szCs w:val="24"/>
        </w:rPr>
        <w:t>gli oneri supplementari</w:t>
      </w:r>
      <w:r w:rsidRPr="00625E46">
        <w:rPr>
          <w:rFonts w:cs="Arial"/>
          <w:szCs w:val="24"/>
        </w:rPr>
        <w:t xml:space="preserve"> in caso di situazioni eccezionali. Prevedere altri vincoli</w:t>
      </w:r>
      <w:r>
        <w:rPr>
          <w:rFonts w:cs="Arial"/>
          <w:szCs w:val="24"/>
        </w:rPr>
        <w:t>, per esempio destinandola a settori specifici,</w:t>
      </w:r>
      <w:r w:rsidRPr="00625E46">
        <w:rPr>
          <w:rFonts w:cs="Arial"/>
          <w:szCs w:val="24"/>
        </w:rPr>
        <w:t xml:space="preserve"> significherebbe non rispettare il principio del non vincolo delle risorse generali dello Stato per determinati compiti.</w:t>
      </w:r>
    </w:p>
    <w:p w:rsidR="0001713E" w:rsidRDefault="0001713E" w:rsidP="00AB1B96">
      <w:pPr>
        <w:pStyle w:val="Paragrafoelenco"/>
        <w:numPr>
          <w:ilvl w:val="0"/>
          <w:numId w:val="21"/>
        </w:numPr>
        <w:spacing w:after="160"/>
        <w:ind w:left="284" w:hanging="284"/>
        <w:contextualSpacing w:val="0"/>
        <w:rPr>
          <w:rFonts w:cs="Arial"/>
          <w:szCs w:val="24"/>
        </w:rPr>
      </w:pPr>
      <w:r>
        <w:rPr>
          <w:rFonts w:cs="Arial"/>
          <w:szCs w:val="24"/>
        </w:rPr>
        <w:t>È escluso l’utilizzo della riserva per sostenere l’avvio di programmi di spesa specifici, che poi diventerebbero strutturali.</w:t>
      </w:r>
    </w:p>
    <w:p w:rsidR="0001713E" w:rsidRPr="00625E46" w:rsidRDefault="0001713E" w:rsidP="00AB1B96">
      <w:pPr>
        <w:pStyle w:val="Paragrafoelenco"/>
        <w:numPr>
          <w:ilvl w:val="0"/>
          <w:numId w:val="22"/>
        </w:numPr>
        <w:ind w:left="284" w:hanging="284"/>
        <w:rPr>
          <w:rFonts w:cs="Arial"/>
          <w:szCs w:val="24"/>
        </w:rPr>
      </w:pPr>
      <w:r>
        <w:rPr>
          <w:rFonts w:cs="Arial"/>
          <w:szCs w:val="24"/>
        </w:rPr>
        <w:lastRenderedPageBreak/>
        <w:t>L’utilizzo delle riserve deve essere regolamentato in modo preciso: per esempio si può prevedere che possa essere utilizzata unicamente di fronte a una crisi economica importante (per esempio di fronte a un PIL negativo) per finanziare delle spese straordinarie del Cantone o un calo importante del gettito. D’altra parte, sarà opportuno definire un limite massimo di riserva, per esempio fissandolo rispetto alle entrate correnti del Cantone.</w:t>
      </w:r>
    </w:p>
    <w:bookmarkEnd w:id="4"/>
    <w:p w:rsidR="00B94646" w:rsidRDefault="00B94646" w:rsidP="00AB1B96">
      <w:pPr>
        <w:rPr>
          <w:rFonts w:cs="Arial"/>
          <w:szCs w:val="24"/>
        </w:rPr>
      </w:pPr>
    </w:p>
    <w:p w:rsidR="00AB1B96" w:rsidRDefault="00AB1B96" w:rsidP="00AB1B96">
      <w:pPr>
        <w:rPr>
          <w:rFonts w:cs="Arial"/>
          <w:szCs w:val="24"/>
        </w:rPr>
      </w:pPr>
    </w:p>
    <w:p w:rsidR="0001713E" w:rsidRPr="008041F7" w:rsidRDefault="0001713E" w:rsidP="00AB1B96">
      <w:pPr>
        <w:spacing w:after="120"/>
        <w:ind w:left="426" w:hanging="426"/>
        <w:rPr>
          <w:rFonts w:cs="Arial"/>
          <w:b/>
          <w:szCs w:val="24"/>
        </w:rPr>
      </w:pPr>
      <w:r w:rsidRPr="008041F7">
        <w:rPr>
          <w:rFonts w:cs="Arial"/>
          <w:b/>
          <w:szCs w:val="24"/>
        </w:rPr>
        <w:t xml:space="preserve">D. </w:t>
      </w:r>
      <w:r w:rsidR="00AB1B96">
        <w:rPr>
          <w:rFonts w:cs="Arial"/>
          <w:b/>
          <w:szCs w:val="24"/>
        </w:rPr>
        <w:tab/>
      </w:r>
      <w:r w:rsidRPr="008041F7">
        <w:rPr>
          <w:rFonts w:cs="Arial"/>
          <w:b/>
          <w:szCs w:val="24"/>
        </w:rPr>
        <w:t>Effetti finanziari relativi all’attribuzione o al prelievo della riserva di politica finanziaria</w:t>
      </w:r>
    </w:p>
    <w:p w:rsidR="0001713E" w:rsidRDefault="0001713E" w:rsidP="00AB1B96">
      <w:pPr>
        <w:rPr>
          <w:rFonts w:cs="Arial"/>
          <w:szCs w:val="24"/>
        </w:rPr>
      </w:pPr>
      <w:r>
        <w:rPr>
          <w:rFonts w:cs="Arial"/>
          <w:szCs w:val="24"/>
        </w:rPr>
        <w:t>Diversamente dal capitale proprio generale che aumenta o diminuisce senza una specifica registrazione nel conto economico in base al valore del risultato di esercizio, l’attribuzione alla riserva di politica finanziaria influenza il risultato di esercizio. Infatti l’attribuzione alla riserva di politica finanziaria avviene a debito del conto economico, riducendo quindi il risultato d’esercizio. L’effetto inverso lo si ha in caso di prelievo dalla riserva.</w:t>
      </w:r>
    </w:p>
    <w:p w:rsidR="0001713E" w:rsidRDefault="0001713E" w:rsidP="00AB1B96">
      <w:pPr>
        <w:rPr>
          <w:rFonts w:cs="Arial"/>
          <w:szCs w:val="24"/>
        </w:rPr>
      </w:pPr>
    </w:p>
    <w:p w:rsidR="00B94646" w:rsidRDefault="00B94646" w:rsidP="00AB1B96">
      <w:pPr>
        <w:rPr>
          <w:rFonts w:cs="Arial"/>
          <w:szCs w:val="24"/>
        </w:rPr>
      </w:pPr>
    </w:p>
    <w:p w:rsidR="0001713E" w:rsidRPr="008041F7" w:rsidRDefault="0001713E" w:rsidP="00AB1B96">
      <w:pPr>
        <w:tabs>
          <w:tab w:val="left" w:pos="426"/>
        </w:tabs>
        <w:spacing w:after="120"/>
        <w:rPr>
          <w:rFonts w:cs="Arial"/>
          <w:b/>
          <w:szCs w:val="24"/>
        </w:rPr>
      </w:pPr>
      <w:r w:rsidRPr="008041F7">
        <w:rPr>
          <w:rFonts w:cs="Arial"/>
          <w:b/>
          <w:szCs w:val="24"/>
        </w:rPr>
        <w:t xml:space="preserve">E. </w:t>
      </w:r>
      <w:r w:rsidR="00AB1B96">
        <w:rPr>
          <w:rFonts w:cs="Arial"/>
          <w:b/>
          <w:szCs w:val="24"/>
        </w:rPr>
        <w:tab/>
      </w:r>
      <w:r w:rsidRPr="008041F7">
        <w:rPr>
          <w:rFonts w:cs="Arial"/>
          <w:b/>
          <w:szCs w:val="24"/>
        </w:rPr>
        <w:t>Entità delle attribuzioni</w:t>
      </w:r>
    </w:p>
    <w:p w:rsidR="0001713E" w:rsidRDefault="0001713E" w:rsidP="00AB1B96">
      <w:pPr>
        <w:rPr>
          <w:rFonts w:cs="Arial"/>
          <w:szCs w:val="24"/>
        </w:rPr>
      </w:pPr>
      <w:r>
        <w:rPr>
          <w:rFonts w:cs="Arial"/>
          <w:szCs w:val="24"/>
        </w:rPr>
        <w:t xml:space="preserve">La </w:t>
      </w:r>
      <w:r w:rsidR="008041F7">
        <w:rPr>
          <w:rFonts w:cs="Arial"/>
          <w:szCs w:val="24"/>
        </w:rPr>
        <w:t>C</w:t>
      </w:r>
      <w:r>
        <w:rPr>
          <w:rFonts w:cs="Arial"/>
          <w:szCs w:val="24"/>
        </w:rPr>
        <w:t xml:space="preserve">ommissione propone di attribuire le entrate straordinarie relative alla quota sugli utili della BNS per la costituzione della riserva. </w:t>
      </w:r>
    </w:p>
    <w:p w:rsidR="0001713E" w:rsidRDefault="0001713E" w:rsidP="00AB1B96">
      <w:pPr>
        <w:rPr>
          <w:rFonts w:cs="Arial"/>
          <w:szCs w:val="24"/>
        </w:rPr>
      </w:pPr>
      <w:r>
        <w:rPr>
          <w:rFonts w:cs="Arial"/>
          <w:szCs w:val="24"/>
        </w:rPr>
        <w:t>Così come proposto dal testo della mozione, proponiamo di considerare come entrate straordinarie la differenza tra quanto previsto a preventivo e quanto effettivamente incassato.</w:t>
      </w:r>
    </w:p>
    <w:p w:rsidR="0001713E" w:rsidRDefault="0001713E" w:rsidP="00AB1B96">
      <w:pPr>
        <w:tabs>
          <w:tab w:val="left" w:pos="6804"/>
        </w:tabs>
        <w:rPr>
          <w:rFonts w:cs="Arial"/>
          <w:szCs w:val="24"/>
        </w:rPr>
      </w:pPr>
    </w:p>
    <w:p w:rsidR="00FF2D3A" w:rsidRPr="00324C50" w:rsidRDefault="0001713E" w:rsidP="00AB1B96">
      <w:pPr>
        <w:rPr>
          <w:rFonts w:cs="Arial"/>
          <w:szCs w:val="24"/>
        </w:rPr>
      </w:pPr>
      <w:r>
        <w:rPr>
          <w:rFonts w:cs="Arial"/>
          <w:szCs w:val="24"/>
        </w:rPr>
        <w:t xml:space="preserve">Sulla base delle indicazioni che precedono il Consiglio di Stato conferma la fattibilità giuridica della proposta commissionale, non tramite la costituzione di uno specifico fondo, ma attraverso la creazione di una riserva di politica finanziaria. </w:t>
      </w:r>
    </w:p>
    <w:p w:rsidR="00FF2D3A" w:rsidRDefault="00FF2D3A" w:rsidP="00AB1B96">
      <w:pPr>
        <w:rPr>
          <w:rFonts w:cs="Arial"/>
          <w:iCs/>
          <w:szCs w:val="24"/>
        </w:rPr>
      </w:pPr>
    </w:p>
    <w:p w:rsidR="008041F7" w:rsidRPr="00B94646" w:rsidRDefault="008041F7" w:rsidP="00AB1B96">
      <w:pPr>
        <w:rPr>
          <w:rFonts w:cs="Arial"/>
          <w:iCs/>
          <w:szCs w:val="24"/>
        </w:rPr>
      </w:pPr>
    </w:p>
    <w:p w:rsidR="00B94646" w:rsidRPr="00B94646" w:rsidRDefault="00B94646" w:rsidP="00AB1B96">
      <w:pPr>
        <w:rPr>
          <w:rFonts w:cs="Arial"/>
          <w:iCs/>
          <w:szCs w:val="24"/>
        </w:rPr>
      </w:pPr>
    </w:p>
    <w:p w:rsidR="00E1178B" w:rsidRPr="00D4363F" w:rsidRDefault="008041F7" w:rsidP="00AB1B96">
      <w:pPr>
        <w:spacing w:after="120"/>
        <w:rPr>
          <w:rFonts w:cs="Arial"/>
          <w:b/>
          <w:bCs/>
          <w:iCs/>
          <w:color w:val="000000" w:themeColor="text1"/>
          <w:szCs w:val="24"/>
        </w:rPr>
      </w:pPr>
      <w:r>
        <w:rPr>
          <w:rFonts w:cs="Arial"/>
          <w:b/>
          <w:bCs/>
          <w:iCs/>
          <w:color w:val="000000" w:themeColor="text1"/>
          <w:szCs w:val="24"/>
        </w:rPr>
        <w:t>CONCLUSIONI</w:t>
      </w:r>
    </w:p>
    <w:p w:rsidR="00DA0708" w:rsidRDefault="00DA0708" w:rsidP="00AB1B96">
      <w:pPr>
        <w:rPr>
          <w:rFonts w:cs="Arial"/>
          <w:iCs/>
          <w:color w:val="000000" w:themeColor="text1"/>
          <w:szCs w:val="24"/>
        </w:rPr>
      </w:pPr>
      <w:r>
        <w:rPr>
          <w:rFonts w:cs="Arial"/>
          <w:iCs/>
          <w:color w:val="000000" w:themeColor="text1"/>
          <w:szCs w:val="24"/>
        </w:rPr>
        <w:t xml:space="preserve">In questo contesto, è risultato evidente come i paesi e gli enti che in questa fase </w:t>
      </w:r>
      <w:r w:rsidR="00324C50">
        <w:rPr>
          <w:rFonts w:cs="Arial"/>
          <w:iCs/>
          <w:color w:val="000000" w:themeColor="text1"/>
          <w:szCs w:val="24"/>
        </w:rPr>
        <w:t xml:space="preserve">dovuta </w:t>
      </w:r>
      <w:r w:rsidR="00CA01F5">
        <w:rPr>
          <w:rFonts w:cs="Arial"/>
          <w:iCs/>
          <w:color w:val="000000" w:themeColor="text1"/>
          <w:szCs w:val="24"/>
        </w:rPr>
        <w:t>a</w:t>
      </w:r>
      <w:r w:rsidR="00324C50">
        <w:rPr>
          <w:rFonts w:cs="Arial"/>
          <w:iCs/>
          <w:color w:val="000000" w:themeColor="text1"/>
          <w:szCs w:val="24"/>
        </w:rPr>
        <w:t xml:space="preserve">lla Pandemia di Covid19 </w:t>
      </w:r>
      <w:r>
        <w:rPr>
          <w:rFonts w:cs="Arial"/>
          <w:iCs/>
          <w:color w:val="000000" w:themeColor="text1"/>
          <w:szCs w:val="24"/>
        </w:rPr>
        <w:t>hanno potuto beneficiare di importanti riserve finanziarie, siano riusciti ad affrontare meglio la situazione nel momento dell’emergenza</w:t>
      </w:r>
      <w:r w:rsidR="007312C9">
        <w:rPr>
          <w:rFonts w:cs="Arial"/>
          <w:iCs/>
          <w:color w:val="000000" w:themeColor="text1"/>
          <w:szCs w:val="24"/>
        </w:rPr>
        <w:t xml:space="preserve"> rispetto invece alle organizzazioni prive di riserve</w:t>
      </w:r>
      <w:r>
        <w:rPr>
          <w:rFonts w:cs="Arial"/>
          <w:iCs/>
          <w:color w:val="000000" w:themeColor="text1"/>
          <w:szCs w:val="24"/>
        </w:rPr>
        <w:t xml:space="preserve">. </w:t>
      </w:r>
    </w:p>
    <w:p w:rsidR="00DA0708" w:rsidRDefault="00DA0708" w:rsidP="00AB1B96">
      <w:pPr>
        <w:rPr>
          <w:rFonts w:cs="Arial"/>
          <w:iCs/>
          <w:color w:val="000000" w:themeColor="text1"/>
          <w:szCs w:val="24"/>
        </w:rPr>
      </w:pPr>
    </w:p>
    <w:p w:rsidR="00DA0708" w:rsidRDefault="00DA0708" w:rsidP="00AB1B96">
      <w:pPr>
        <w:rPr>
          <w:rFonts w:cs="Arial"/>
          <w:iCs/>
          <w:color w:val="000000" w:themeColor="text1"/>
          <w:szCs w:val="24"/>
        </w:rPr>
      </w:pPr>
      <w:bookmarkStart w:id="5" w:name="_Hlk65251512"/>
      <w:r w:rsidRPr="004E56F7">
        <w:rPr>
          <w:rFonts w:cs="Arial"/>
          <w:b/>
          <w:bCs/>
          <w:iCs/>
          <w:color w:val="000000" w:themeColor="text1"/>
          <w:szCs w:val="24"/>
        </w:rPr>
        <w:t>Per quest</w:t>
      </w:r>
      <w:r w:rsidR="009B297E">
        <w:rPr>
          <w:rFonts w:cs="Arial"/>
          <w:b/>
          <w:bCs/>
          <w:iCs/>
          <w:color w:val="000000" w:themeColor="text1"/>
          <w:szCs w:val="24"/>
        </w:rPr>
        <w:t>e</w:t>
      </w:r>
      <w:r w:rsidRPr="004E56F7">
        <w:rPr>
          <w:rFonts w:cs="Arial"/>
          <w:b/>
          <w:bCs/>
          <w:iCs/>
          <w:color w:val="000000" w:themeColor="text1"/>
          <w:szCs w:val="24"/>
        </w:rPr>
        <w:t xml:space="preserve"> ragion</w:t>
      </w:r>
      <w:r w:rsidR="009B297E">
        <w:rPr>
          <w:rFonts w:cs="Arial"/>
          <w:b/>
          <w:bCs/>
          <w:iCs/>
          <w:color w:val="000000" w:themeColor="text1"/>
          <w:szCs w:val="24"/>
        </w:rPr>
        <w:t>i</w:t>
      </w:r>
      <w:r w:rsidRPr="004E56F7">
        <w:rPr>
          <w:rFonts w:cs="Arial"/>
          <w:b/>
          <w:bCs/>
          <w:iCs/>
          <w:color w:val="000000" w:themeColor="text1"/>
          <w:szCs w:val="24"/>
        </w:rPr>
        <w:t xml:space="preserve"> propon</w:t>
      </w:r>
      <w:r w:rsidR="00324C50">
        <w:rPr>
          <w:rFonts w:cs="Arial"/>
          <w:b/>
          <w:bCs/>
          <w:iCs/>
          <w:color w:val="000000" w:themeColor="text1"/>
          <w:szCs w:val="24"/>
        </w:rPr>
        <w:t>iamo</w:t>
      </w:r>
      <w:r w:rsidRPr="004E56F7">
        <w:rPr>
          <w:rFonts w:cs="Arial"/>
          <w:b/>
          <w:bCs/>
          <w:iCs/>
          <w:color w:val="000000" w:themeColor="text1"/>
          <w:szCs w:val="24"/>
        </w:rPr>
        <w:t xml:space="preserve"> </w:t>
      </w:r>
      <w:r w:rsidR="00324C50">
        <w:rPr>
          <w:rFonts w:cs="Arial"/>
          <w:b/>
          <w:bCs/>
          <w:iCs/>
          <w:color w:val="000000" w:themeColor="text1"/>
          <w:szCs w:val="24"/>
        </w:rPr>
        <w:t>di ritenere la mozione parzialmente accolta e invitiamo i</w:t>
      </w:r>
      <w:r w:rsidRPr="004E56F7">
        <w:rPr>
          <w:rFonts w:cs="Arial"/>
          <w:b/>
          <w:bCs/>
          <w:iCs/>
          <w:color w:val="000000" w:themeColor="text1"/>
          <w:szCs w:val="24"/>
        </w:rPr>
        <w:t xml:space="preserve">l </w:t>
      </w:r>
      <w:r w:rsidR="00324C50">
        <w:rPr>
          <w:rFonts w:cs="Arial"/>
          <w:b/>
          <w:bCs/>
          <w:iCs/>
          <w:color w:val="000000" w:themeColor="text1"/>
          <w:szCs w:val="24"/>
        </w:rPr>
        <w:t>Consiglio di Stato</w:t>
      </w:r>
      <w:r w:rsidRPr="004E56F7">
        <w:rPr>
          <w:rFonts w:cs="Arial"/>
          <w:b/>
          <w:bCs/>
          <w:iCs/>
          <w:color w:val="000000" w:themeColor="text1"/>
          <w:szCs w:val="24"/>
        </w:rPr>
        <w:t xml:space="preserve"> </w:t>
      </w:r>
      <w:r w:rsidR="00324C50">
        <w:rPr>
          <w:rFonts w:cs="Arial"/>
          <w:b/>
          <w:bCs/>
          <w:iCs/>
          <w:color w:val="000000" w:themeColor="text1"/>
          <w:szCs w:val="24"/>
        </w:rPr>
        <w:t>a elaborare una proposta legislativa per la c</w:t>
      </w:r>
      <w:r w:rsidR="009B297E">
        <w:rPr>
          <w:rFonts w:cs="Arial"/>
          <w:b/>
          <w:bCs/>
          <w:iCs/>
          <w:color w:val="000000" w:themeColor="text1"/>
          <w:szCs w:val="24"/>
        </w:rPr>
        <w:t>reazione di una specifica riserva di politica finanziaria.</w:t>
      </w:r>
    </w:p>
    <w:p w:rsidR="00DA0708" w:rsidRDefault="00DA0708" w:rsidP="00AB1B96">
      <w:pPr>
        <w:rPr>
          <w:rFonts w:cs="Arial"/>
          <w:iCs/>
          <w:color w:val="000000" w:themeColor="text1"/>
          <w:szCs w:val="24"/>
        </w:rPr>
      </w:pPr>
    </w:p>
    <w:bookmarkEnd w:id="5"/>
    <w:p w:rsidR="00F14DA7" w:rsidRPr="00B94646" w:rsidRDefault="00F14DA7" w:rsidP="00AB1B96">
      <w:pPr>
        <w:rPr>
          <w:rFonts w:cs="Arial"/>
          <w:i/>
          <w:szCs w:val="24"/>
        </w:rPr>
      </w:pPr>
    </w:p>
    <w:p w:rsidR="00FF2D3A" w:rsidRPr="00B94646" w:rsidRDefault="00FF2D3A" w:rsidP="00AB1B96">
      <w:pPr>
        <w:rPr>
          <w:rFonts w:cs="Arial"/>
          <w:i/>
          <w:szCs w:val="24"/>
        </w:rPr>
      </w:pPr>
    </w:p>
    <w:p w:rsidR="00F8277A" w:rsidRDefault="002F3E1F" w:rsidP="00AB1B96">
      <w:pPr>
        <w:spacing w:after="120"/>
      </w:pPr>
      <w:r>
        <w:t>Per la Commissione gestione e finanze</w:t>
      </w:r>
      <w:r w:rsidR="002A1D30">
        <w:t>:</w:t>
      </w:r>
    </w:p>
    <w:p w:rsidR="002F3E1F" w:rsidRDefault="002F3E1F" w:rsidP="00AB1B96">
      <w:r>
        <w:t>Boris Bignasca</w:t>
      </w:r>
      <w:r w:rsidR="002A1D30">
        <w:t>, relatore</w:t>
      </w:r>
    </w:p>
    <w:p w:rsidR="00C76ED6" w:rsidRDefault="002A1D30" w:rsidP="00AB1B96">
      <w:r>
        <w:t xml:space="preserve">Agustoni - Bang - Biscossa - Bourgoin </w:t>
      </w:r>
      <w:r w:rsidR="00C76ED6">
        <w:t>-</w:t>
      </w:r>
      <w:r w:rsidR="00AB1B96">
        <w:t xml:space="preserve"> </w:t>
      </w:r>
    </w:p>
    <w:p w:rsidR="008C4376" w:rsidRDefault="002A1D30" w:rsidP="00AB1B96">
      <w:r>
        <w:t xml:space="preserve">Caprara </w:t>
      </w:r>
      <w:r w:rsidR="00AB1B96">
        <w:t>-</w:t>
      </w:r>
      <w:r>
        <w:t xml:space="preserve"> Dadò - Durisch </w:t>
      </w:r>
      <w:r w:rsidR="00C76ED6">
        <w:t>-</w:t>
      </w:r>
      <w:r>
        <w:t xml:space="preserve"> Jelmini </w:t>
      </w:r>
      <w:r w:rsidR="008C4376">
        <w:t>-</w:t>
      </w:r>
      <w:r>
        <w:t xml:space="preserve"> </w:t>
      </w:r>
    </w:p>
    <w:p w:rsidR="008C4376" w:rsidRDefault="002A1D30" w:rsidP="00AB1B96">
      <w:r>
        <w:t xml:space="preserve">Gianella </w:t>
      </w:r>
      <w:r w:rsidR="00C76ED6">
        <w:t xml:space="preserve">Alessandra </w:t>
      </w:r>
      <w:r w:rsidR="00AB1B96">
        <w:t>-</w:t>
      </w:r>
      <w:r>
        <w:t xml:space="preserve"> Guerra </w:t>
      </w:r>
      <w:r w:rsidR="008C4376">
        <w:t>-</w:t>
      </w:r>
      <w:r>
        <w:t xml:space="preserve"> </w:t>
      </w:r>
    </w:p>
    <w:p w:rsidR="002A1D30" w:rsidRDefault="002A1D30" w:rsidP="00AB1B96">
      <w:r>
        <w:t xml:space="preserve">Pamini (con riserva) </w:t>
      </w:r>
      <w:r w:rsidR="008C4376">
        <w:t>-</w:t>
      </w:r>
      <w:r w:rsidR="00AB1B96">
        <w:t xml:space="preserve"> </w:t>
      </w:r>
      <w:r>
        <w:t>Pini - Quadranti</w:t>
      </w:r>
    </w:p>
    <w:p w:rsidR="002A1D30" w:rsidRDefault="002A1D30" w:rsidP="00AB1B96"/>
    <w:sectPr w:rsidR="002A1D30"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E" w:rsidRDefault="00D9765E">
      <w:r>
        <w:separator/>
      </w:r>
    </w:p>
  </w:endnote>
  <w:endnote w:type="continuationSeparator" w:id="0">
    <w:p w:rsidR="00D9765E" w:rsidRDefault="00D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3979A4">
    <w:pPr>
      <w:pStyle w:val="Pidipagina"/>
      <w:jc w:val="center"/>
      <w:rPr>
        <w:sz w:val="20"/>
      </w:rPr>
    </w:pPr>
    <w:r>
      <w:rPr>
        <w:rStyle w:val="Numeropagina"/>
        <w:sz w:val="20"/>
      </w:rPr>
      <w:fldChar w:fldCharType="begin"/>
    </w:r>
    <w:r w:rsidR="00BF3FC3">
      <w:rPr>
        <w:rStyle w:val="Numeropagina"/>
        <w:sz w:val="20"/>
      </w:rPr>
      <w:instrText xml:space="preserve"> PAGE </w:instrText>
    </w:r>
    <w:r>
      <w:rPr>
        <w:rStyle w:val="Numeropagina"/>
        <w:sz w:val="20"/>
      </w:rPr>
      <w:fldChar w:fldCharType="separate"/>
    </w:r>
    <w:r w:rsidR="00C7300E">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E" w:rsidRDefault="00D9765E">
      <w:r>
        <w:separator/>
      </w:r>
    </w:p>
  </w:footnote>
  <w:footnote w:type="continuationSeparator" w:id="0">
    <w:p w:rsidR="00D9765E" w:rsidRDefault="00D9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1" w15:restartNumberingAfterBreak="0">
    <w:nsid w:val="09AE1C32"/>
    <w:multiLevelType w:val="hybridMultilevel"/>
    <w:tmpl w:val="9CACE316"/>
    <w:lvl w:ilvl="0" w:tplc="DA2AF67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07688"/>
    <w:multiLevelType w:val="hybridMultilevel"/>
    <w:tmpl w:val="292CDB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15:restartNumberingAfterBreak="0">
    <w:nsid w:val="26640A4E"/>
    <w:multiLevelType w:val="hybridMultilevel"/>
    <w:tmpl w:val="E150358E"/>
    <w:lvl w:ilvl="0" w:tplc="B1BAA5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15:restartNumberingAfterBreak="0">
    <w:nsid w:val="6DE67108"/>
    <w:multiLevelType w:val="hybridMultilevel"/>
    <w:tmpl w:val="0DD4030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3"/>
  </w:num>
  <w:num w:numId="7">
    <w:abstractNumId w:val="14"/>
  </w:num>
  <w:num w:numId="8">
    <w:abstractNumId w:val="18"/>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0"/>
  </w:num>
  <w:num w:numId="14">
    <w:abstractNumId w:val="6"/>
  </w:num>
  <w:num w:numId="15">
    <w:abstractNumId w:val="20"/>
  </w:num>
  <w:num w:numId="16">
    <w:abstractNumId w:val="15"/>
  </w:num>
  <w:num w:numId="17">
    <w:abstractNumId w:val="2"/>
  </w:num>
  <w:num w:numId="18">
    <w:abstractNumId w:val="0"/>
  </w:num>
  <w:num w:numId="19">
    <w:abstractNumId w:val="1"/>
  </w:num>
  <w:num w:numId="20">
    <w:abstractNumId w:val="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1713E"/>
    <w:rsid w:val="00035BD2"/>
    <w:rsid w:val="00056425"/>
    <w:rsid w:val="0009445D"/>
    <w:rsid w:val="000A2454"/>
    <w:rsid w:val="000D0633"/>
    <w:rsid w:val="000D377A"/>
    <w:rsid w:val="000D6EDD"/>
    <w:rsid w:val="000F592D"/>
    <w:rsid w:val="00107C86"/>
    <w:rsid w:val="0017133E"/>
    <w:rsid w:val="00180F3B"/>
    <w:rsid w:val="00264AA9"/>
    <w:rsid w:val="00296F84"/>
    <w:rsid w:val="002A1D30"/>
    <w:rsid w:val="002B3873"/>
    <w:rsid w:val="002B698B"/>
    <w:rsid w:val="002C0D3F"/>
    <w:rsid w:val="002F3E1F"/>
    <w:rsid w:val="002F4A1C"/>
    <w:rsid w:val="00324C50"/>
    <w:rsid w:val="0032692E"/>
    <w:rsid w:val="003362B4"/>
    <w:rsid w:val="00341CED"/>
    <w:rsid w:val="003453D1"/>
    <w:rsid w:val="00381A93"/>
    <w:rsid w:val="0039601B"/>
    <w:rsid w:val="003979A4"/>
    <w:rsid w:val="003C16EA"/>
    <w:rsid w:val="003D50F6"/>
    <w:rsid w:val="00435BA3"/>
    <w:rsid w:val="00452A7E"/>
    <w:rsid w:val="00483B1C"/>
    <w:rsid w:val="00493E71"/>
    <w:rsid w:val="004948C5"/>
    <w:rsid w:val="004B6B6F"/>
    <w:rsid w:val="004E56F7"/>
    <w:rsid w:val="00504E17"/>
    <w:rsid w:val="00522EC0"/>
    <w:rsid w:val="0053660F"/>
    <w:rsid w:val="0059602E"/>
    <w:rsid w:val="005B03BF"/>
    <w:rsid w:val="005E338D"/>
    <w:rsid w:val="00622B0B"/>
    <w:rsid w:val="006470C0"/>
    <w:rsid w:val="006E1E7D"/>
    <w:rsid w:val="007312C9"/>
    <w:rsid w:val="0073572C"/>
    <w:rsid w:val="00747C39"/>
    <w:rsid w:val="007A28FC"/>
    <w:rsid w:val="008041F7"/>
    <w:rsid w:val="0082115E"/>
    <w:rsid w:val="008B2EE9"/>
    <w:rsid w:val="008C4376"/>
    <w:rsid w:val="00914556"/>
    <w:rsid w:val="00942AAE"/>
    <w:rsid w:val="009832AD"/>
    <w:rsid w:val="00983B5B"/>
    <w:rsid w:val="00995265"/>
    <w:rsid w:val="009A6197"/>
    <w:rsid w:val="009B297E"/>
    <w:rsid w:val="009B4B90"/>
    <w:rsid w:val="009B655A"/>
    <w:rsid w:val="00A05B99"/>
    <w:rsid w:val="00A133CF"/>
    <w:rsid w:val="00A4247B"/>
    <w:rsid w:val="00A45778"/>
    <w:rsid w:val="00A8611B"/>
    <w:rsid w:val="00A9424E"/>
    <w:rsid w:val="00AA68D5"/>
    <w:rsid w:val="00AB0C19"/>
    <w:rsid w:val="00AB1B96"/>
    <w:rsid w:val="00AE6F3D"/>
    <w:rsid w:val="00AF5992"/>
    <w:rsid w:val="00B01474"/>
    <w:rsid w:val="00B364FB"/>
    <w:rsid w:val="00B378FB"/>
    <w:rsid w:val="00B50835"/>
    <w:rsid w:val="00B56C78"/>
    <w:rsid w:val="00B93BA2"/>
    <w:rsid w:val="00B94646"/>
    <w:rsid w:val="00BF3FC3"/>
    <w:rsid w:val="00C7300E"/>
    <w:rsid w:val="00C76ED6"/>
    <w:rsid w:val="00C84019"/>
    <w:rsid w:val="00C872EA"/>
    <w:rsid w:val="00C92A1A"/>
    <w:rsid w:val="00C946E4"/>
    <w:rsid w:val="00CA01F5"/>
    <w:rsid w:val="00CE008E"/>
    <w:rsid w:val="00D06436"/>
    <w:rsid w:val="00D35E8D"/>
    <w:rsid w:val="00D4363F"/>
    <w:rsid w:val="00D54A9E"/>
    <w:rsid w:val="00D76075"/>
    <w:rsid w:val="00D9765E"/>
    <w:rsid w:val="00DA0708"/>
    <w:rsid w:val="00DF434B"/>
    <w:rsid w:val="00E1178B"/>
    <w:rsid w:val="00E15EE0"/>
    <w:rsid w:val="00E2192F"/>
    <w:rsid w:val="00E762E7"/>
    <w:rsid w:val="00EA22D9"/>
    <w:rsid w:val="00EA601A"/>
    <w:rsid w:val="00EA73B9"/>
    <w:rsid w:val="00EB0218"/>
    <w:rsid w:val="00F042BE"/>
    <w:rsid w:val="00F14DA7"/>
    <w:rsid w:val="00F22EEA"/>
    <w:rsid w:val="00F8277A"/>
    <w:rsid w:val="00FA59E4"/>
    <w:rsid w:val="00FC0218"/>
    <w:rsid w:val="00FD1B18"/>
    <w:rsid w:val="00FD5A47"/>
    <w:rsid w:val="00FF2D3A"/>
    <w:rsid w:val="00FF32DE"/>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72240E-CE9E-584A-9D4D-F8C0C9A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9A4"/>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979A4"/>
    <w:pPr>
      <w:tabs>
        <w:tab w:val="center" w:pos="4819"/>
        <w:tab w:val="right" w:pos="9638"/>
      </w:tabs>
    </w:pPr>
  </w:style>
  <w:style w:type="paragraph" w:styleId="Pidipagina">
    <w:name w:val="footer"/>
    <w:basedOn w:val="Normale"/>
    <w:link w:val="PidipaginaCarattere"/>
    <w:rsid w:val="003979A4"/>
    <w:pPr>
      <w:tabs>
        <w:tab w:val="center" w:pos="4819"/>
        <w:tab w:val="right" w:pos="9638"/>
      </w:tabs>
    </w:pPr>
  </w:style>
  <w:style w:type="character" w:styleId="Numeropagina">
    <w:name w:val="page number"/>
    <w:basedOn w:val="Carpredefinitoparagrafo"/>
    <w:rsid w:val="003979A4"/>
  </w:style>
  <w:style w:type="paragraph" w:styleId="Corpotesto">
    <w:name w:val="Body Text"/>
    <w:basedOn w:val="Normale"/>
    <w:link w:val="CorpotestoCarattere"/>
    <w:rsid w:val="003979A4"/>
    <w:pPr>
      <w:tabs>
        <w:tab w:val="left" w:pos="284"/>
        <w:tab w:val="left" w:pos="426"/>
        <w:tab w:val="left" w:pos="4962"/>
      </w:tabs>
    </w:pPr>
  </w:style>
  <w:style w:type="paragraph" w:styleId="Corpodeltesto2">
    <w:name w:val="Body Text 2"/>
    <w:basedOn w:val="Normale"/>
    <w:link w:val="Corpodeltesto2Carattere"/>
    <w:rsid w:val="003979A4"/>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1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Foglio_di_lavoro_di_Microsoft_Excel.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1657-77CF-4A56-B74F-EB8CD3C9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11099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2021-04-20T12:09:00Z</cp:lastPrinted>
  <dcterms:created xsi:type="dcterms:W3CDTF">2021-04-21T07:47:00Z</dcterms:created>
  <dcterms:modified xsi:type="dcterms:W3CDTF">2021-04-21T07:47:00Z</dcterms:modified>
</cp:coreProperties>
</file>