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19" w:rsidRDefault="00D97119" w:rsidP="00D97119">
      <w:pPr>
        <w:rPr>
          <w:rFonts w:ascii="Gill Sans MT" w:hAnsi="Gill Sans MT"/>
          <w:b/>
          <w:sz w:val="56"/>
          <w:szCs w:val="56"/>
        </w:rPr>
      </w:pPr>
      <w:r>
        <w:rPr>
          <w:rFonts w:ascii="Gill Sans MT" w:hAnsi="Gill Sans MT"/>
          <w:b/>
          <w:sz w:val="56"/>
          <w:szCs w:val="56"/>
        </w:rPr>
        <w:t>Rapporto</w:t>
      </w:r>
    </w:p>
    <w:p w:rsidR="003E2076" w:rsidRDefault="003E2076" w:rsidP="009F1D35">
      <w:pPr>
        <w:tabs>
          <w:tab w:val="left" w:pos="567"/>
        </w:tabs>
      </w:pPr>
    </w:p>
    <w:p w:rsidR="003E2076" w:rsidRDefault="003E2076" w:rsidP="009F1D35">
      <w:pPr>
        <w:tabs>
          <w:tab w:val="left" w:pos="567"/>
        </w:tabs>
      </w:pPr>
    </w:p>
    <w:p w:rsidR="004947C6" w:rsidRPr="0093489A" w:rsidRDefault="004947C6" w:rsidP="004947C6">
      <w:pPr>
        <w:tabs>
          <w:tab w:val="left" w:pos="1985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7850 R</w:t>
      </w:r>
      <w:r w:rsidRPr="0093489A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11 maggio </w:t>
      </w:r>
      <w:r w:rsidRPr="0093489A"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</w:rPr>
        <w:t>21</w:t>
      </w:r>
      <w:r w:rsidRPr="0093489A">
        <w:rPr>
          <w:rFonts w:cs="Arial"/>
          <w:sz w:val="28"/>
          <w:szCs w:val="28"/>
        </w:rPr>
        <w:tab/>
      </w:r>
      <w:r w:rsidRPr="0038227A">
        <w:rPr>
          <w:sz w:val="28"/>
          <w:szCs w:val="28"/>
        </w:rPr>
        <w:t>FINANZE E ECONOMIA</w:t>
      </w:r>
    </w:p>
    <w:p w:rsidR="004947C6" w:rsidRDefault="004947C6" w:rsidP="004947C6">
      <w:pPr>
        <w:rPr>
          <w:lang w:val="it-CH"/>
        </w:rPr>
      </w:pPr>
      <w:bookmarkStart w:id="0" w:name="wnsrif"/>
      <w:bookmarkStart w:id="1" w:name="wvsrif"/>
      <w:bookmarkEnd w:id="0"/>
      <w:bookmarkEnd w:id="1"/>
    </w:p>
    <w:p w:rsidR="004947C6" w:rsidRDefault="004947C6" w:rsidP="004947C6">
      <w:pPr>
        <w:rPr>
          <w:lang w:val="it-CH"/>
        </w:rPr>
      </w:pPr>
    </w:p>
    <w:p w:rsidR="004947C6" w:rsidRDefault="004947C6" w:rsidP="004947C6"/>
    <w:p w:rsidR="004947C6" w:rsidRDefault="004947C6" w:rsidP="004947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della Commissione gestione e finanze</w:t>
      </w:r>
    </w:p>
    <w:p w:rsidR="004947C6" w:rsidRPr="0096738E" w:rsidRDefault="004947C6" w:rsidP="004947C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sulla mozione 16 settembre </w:t>
      </w:r>
      <w:r w:rsidRPr="0033501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 w:rsidRPr="00335017">
        <w:rPr>
          <w:b/>
          <w:sz w:val="28"/>
          <w:szCs w:val="28"/>
        </w:rPr>
        <w:t xml:space="preserve"> presentata da </w:t>
      </w:r>
      <w:r>
        <w:rPr>
          <w:b/>
          <w:sz w:val="28"/>
          <w:szCs w:val="28"/>
        </w:rPr>
        <w:t>Tiziano Galeazzi e cofirmatari “</w:t>
      </w:r>
      <w:r w:rsidRPr="0096738E">
        <w:rPr>
          <w:b/>
          <w:sz w:val="28"/>
          <w:szCs w:val="28"/>
        </w:rPr>
        <w:t>Velocizzazione nell</w:t>
      </w:r>
      <w:r>
        <w:rPr>
          <w:b/>
          <w:sz w:val="28"/>
          <w:szCs w:val="28"/>
        </w:rPr>
        <w:t xml:space="preserve">e pratiche fiscali col sistema </w:t>
      </w:r>
      <w:r w:rsidRPr="0096738E">
        <w:rPr>
          <w:rFonts w:ascii="Tahoma" w:hAnsi="Tahoma" w:cs="Tahoma"/>
          <w:b/>
          <w:szCs w:val="24"/>
        </w:rPr>
        <w:t>«</w:t>
      </w:r>
      <w:r w:rsidRPr="0096738E">
        <w:rPr>
          <w:b/>
          <w:sz w:val="28"/>
          <w:szCs w:val="28"/>
        </w:rPr>
        <w:t>casuale</w:t>
      </w:r>
      <w:r w:rsidRPr="0096738E">
        <w:rPr>
          <w:rFonts w:ascii="Tahoma" w:hAnsi="Tahoma" w:cs="Tahoma"/>
          <w:b/>
          <w:szCs w:val="24"/>
        </w:rPr>
        <w:t>»</w:t>
      </w:r>
      <w:r w:rsidRPr="0096738E">
        <w:rPr>
          <w:b/>
          <w:sz w:val="28"/>
          <w:szCs w:val="28"/>
        </w:rPr>
        <w:t>”</w:t>
      </w:r>
    </w:p>
    <w:p w:rsidR="004947C6" w:rsidRPr="002A1D30" w:rsidRDefault="004947C6" w:rsidP="004947C6">
      <w:pPr>
        <w:rPr>
          <w:b/>
          <w:sz w:val="26"/>
          <w:szCs w:val="26"/>
        </w:rPr>
      </w:pPr>
      <w:r w:rsidRPr="002A1D30">
        <w:rPr>
          <w:b/>
          <w:sz w:val="26"/>
          <w:szCs w:val="26"/>
        </w:rPr>
        <w:t xml:space="preserve">(v. messaggio </w:t>
      </w:r>
      <w:r>
        <w:rPr>
          <w:b/>
          <w:sz w:val="26"/>
          <w:szCs w:val="26"/>
        </w:rPr>
        <w:t>8 luglio 2018 n. 7850</w:t>
      </w:r>
      <w:r w:rsidRPr="002A1D30">
        <w:rPr>
          <w:b/>
          <w:sz w:val="26"/>
          <w:szCs w:val="26"/>
        </w:rPr>
        <w:t>)</w:t>
      </w:r>
    </w:p>
    <w:p w:rsidR="004947C6" w:rsidRDefault="004947C6" w:rsidP="004947C6"/>
    <w:p w:rsidR="004947C6" w:rsidRPr="007530A2" w:rsidRDefault="004947C6" w:rsidP="004947C6"/>
    <w:p w:rsidR="004947C6" w:rsidRDefault="004947C6" w:rsidP="004947C6">
      <w:bookmarkStart w:id="2" w:name="_Toc316973975"/>
      <w:bookmarkStart w:id="3" w:name="_Toc381024231"/>
      <w:bookmarkStart w:id="4" w:name="_Toc393113402"/>
      <w:bookmarkStart w:id="5" w:name="_Toc445911173"/>
    </w:p>
    <w:p w:rsidR="004947C6" w:rsidRPr="00304DF2" w:rsidRDefault="004947C6" w:rsidP="003774C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/>
        <w:ind w:left="567" w:hanging="567"/>
        <w:contextualSpacing w:val="0"/>
        <w:jc w:val="left"/>
        <w:rPr>
          <w:rFonts w:cs="Arial"/>
          <w:b/>
          <w:bCs/>
          <w:szCs w:val="24"/>
          <w:lang w:val="it-CH" w:eastAsia="it-CH"/>
        </w:rPr>
      </w:pPr>
      <w:r>
        <w:rPr>
          <w:rFonts w:cs="Arial"/>
          <w:b/>
          <w:bCs/>
          <w:szCs w:val="24"/>
          <w:lang w:val="it-CH" w:eastAsia="it-CH"/>
        </w:rPr>
        <w:t xml:space="preserve">LA PROPOSTA DELLA MOZIONE </w:t>
      </w:r>
      <w:bookmarkStart w:id="6" w:name="_GoBack"/>
      <w:bookmarkEnd w:id="6"/>
    </w:p>
    <w:p w:rsidR="004947C6" w:rsidRDefault="004947C6" w:rsidP="004947C6">
      <w:pPr>
        <w:rPr>
          <w:lang w:val="it-CH"/>
        </w:rPr>
      </w:pPr>
      <w:r>
        <w:rPr>
          <w:lang w:val="it-CH"/>
        </w:rPr>
        <w:t xml:space="preserve">Considerata l’entrata in vigore del sistema elettronico di compilazione della dichiarazione fiscale delle persone fisiche, il </w:t>
      </w:r>
      <w:proofErr w:type="spellStart"/>
      <w:r>
        <w:rPr>
          <w:lang w:val="it-CH"/>
        </w:rPr>
        <w:t>mozionante</w:t>
      </w:r>
      <w:proofErr w:type="spellEnd"/>
      <w:r>
        <w:rPr>
          <w:lang w:val="it-CH"/>
        </w:rPr>
        <w:t xml:space="preserve"> propone di introdurre un sistema di verifica a campionatura delle dichiarazioni, procedendo parallelamente all’emissione di decisioni di tassazione sulla base delle dichiarazioni fiscali senza </w:t>
      </w:r>
      <w:proofErr w:type="spellStart"/>
      <w:r w:rsidRPr="0023649F">
        <w:rPr>
          <w:lang w:val="it-CH"/>
        </w:rPr>
        <w:t>senza</w:t>
      </w:r>
      <w:proofErr w:type="spellEnd"/>
      <w:r w:rsidRPr="0023649F">
        <w:rPr>
          <w:lang w:val="it-CH"/>
        </w:rPr>
        <w:t xml:space="preserve"> </w:t>
      </w:r>
      <w:r>
        <w:rPr>
          <w:lang w:val="it-CH"/>
        </w:rPr>
        <w:t xml:space="preserve">più procedere ad </w:t>
      </w:r>
      <w:r w:rsidRPr="0023649F">
        <w:rPr>
          <w:lang w:val="it-CH"/>
        </w:rPr>
        <w:t xml:space="preserve">un approfondito controllo di dettaglio. </w:t>
      </w:r>
      <w:r>
        <w:rPr>
          <w:lang w:val="it-CH"/>
        </w:rPr>
        <w:t xml:space="preserve">Tale approccio potrebbe a giudizio dei </w:t>
      </w:r>
      <w:proofErr w:type="spellStart"/>
      <w:r>
        <w:rPr>
          <w:lang w:val="it-CH"/>
        </w:rPr>
        <w:t>mozionanti</w:t>
      </w:r>
      <w:proofErr w:type="spellEnd"/>
      <w:r>
        <w:rPr>
          <w:lang w:val="it-CH"/>
        </w:rPr>
        <w:t xml:space="preserve"> </w:t>
      </w:r>
      <w:r w:rsidRPr="0023649F">
        <w:rPr>
          <w:lang w:val="it-CH"/>
        </w:rPr>
        <w:t>agevolare coloro che ogni anno hanno a riprendere quasi le stesse fonti di reddito, deduzioni e sostanza. Vi sono categorie di persone come gli anziani fuori dal mondo lavorativo più lineari nel tempo, o categorie di contribuenti salariati anch’essi lineari (</w:t>
      </w:r>
      <w:r>
        <w:rPr>
          <w:lang w:val="it-CH"/>
        </w:rPr>
        <w:t xml:space="preserve">per </w:t>
      </w:r>
      <w:r w:rsidRPr="0023649F">
        <w:rPr>
          <w:lang w:val="it-CH"/>
        </w:rPr>
        <w:t xml:space="preserve">esempio </w:t>
      </w:r>
      <w:r>
        <w:rPr>
          <w:lang w:val="it-CH"/>
        </w:rPr>
        <w:t>i dipendenti de</w:t>
      </w:r>
      <w:r w:rsidRPr="0023649F">
        <w:rPr>
          <w:lang w:val="it-CH"/>
        </w:rPr>
        <w:t>ll’amministrazione pubblica)</w:t>
      </w:r>
      <w:r>
        <w:rPr>
          <w:lang w:val="it-CH"/>
        </w:rPr>
        <w:t>.</w:t>
      </w:r>
    </w:p>
    <w:p w:rsidR="004947C6" w:rsidRPr="003774C2" w:rsidRDefault="004947C6" w:rsidP="004947C6">
      <w:pPr>
        <w:rPr>
          <w:sz w:val="22"/>
          <w:szCs w:val="22"/>
          <w:lang w:val="it-CH"/>
        </w:rPr>
      </w:pPr>
    </w:p>
    <w:p w:rsidR="004947C6" w:rsidRDefault="004947C6" w:rsidP="003774C2">
      <w:pPr>
        <w:spacing w:after="60"/>
        <w:rPr>
          <w:lang w:val="it-CH"/>
        </w:rPr>
      </w:pPr>
      <w:r>
        <w:rPr>
          <w:lang w:val="it-CH"/>
        </w:rPr>
        <w:t>I vantaggi prospettati potrebbero essere riassunti come segue:</w:t>
      </w:r>
    </w:p>
    <w:p w:rsidR="004947C6" w:rsidRDefault="004947C6" w:rsidP="003774C2">
      <w:pPr>
        <w:pStyle w:val="Paragrafoelenco"/>
        <w:numPr>
          <w:ilvl w:val="0"/>
          <w:numId w:val="26"/>
        </w:numPr>
        <w:spacing w:after="60"/>
        <w:ind w:left="425" w:hanging="425"/>
        <w:contextualSpacing w:val="0"/>
      </w:pPr>
      <w:r>
        <w:t>razionalizzazione del lavoro di controllo e verifica e immediata notifica fiscale;</w:t>
      </w:r>
    </w:p>
    <w:p w:rsidR="004947C6" w:rsidRDefault="004947C6" w:rsidP="003774C2">
      <w:pPr>
        <w:pStyle w:val="Paragrafoelenco"/>
        <w:numPr>
          <w:ilvl w:val="0"/>
          <w:numId w:val="26"/>
        </w:numPr>
        <w:spacing w:after="60"/>
        <w:ind w:left="425" w:hanging="425"/>
        <w:contextualSpacing w:val="0"/>
      </w:pPr>
      <w:r>
        <w:t>velocizzazione degli incassi delle imposte cantonali, comunali e federali;</w:t>
      </w:r>
    </w:p>
    <w:p w:rsidR="004947C6" w:rsidRDefault="004947C6" w:rsidP="003774C2">
      <w:pPr>
        <w:pStyle w:val="Paragrafoelenco"/>
        <w:numPr>
          <w:ilvl w:val="0"/>
          <w:numId w:val="26"/>
        </w:numPr>
        <w:spacing w:after="60"/>
        <w:ind w:left="425" w:hanging="425"/>
        <w:contextualSpacing w:val="0"/>
      </w:pPr>
      <w:r>
        <w:t>maggior certezza per i contribuenti senza attese nel tempo (pianificazione del budget famigliare);</w:t>
      </w:r>
    </w:p>
    <w:p w:rsidR="004947C6" w:rsidRPr="000F2B5A" w:rsidRDefault="004947C6" w:rsidP="003774C2">
      <w:pPr>
        <w:pStyle w:val="Paragrafoelenco"/>
        <w:numPr>
          <w:ilvl w:val="0"/>
          <w:numId w:val="26"/>
        </w:numPr>
        <w:ind w:left="426" w:hanging="426"/>
      </w:pPr>
      <w:r>
        <w:t>maggior fiducia tra Stato e cittadino.</w:t>
      </w:r>
    </w:p>
    <w:p w:rsidR="004947C6" w:rsidRPr="003774C2" w:rsidRDefault="004947C6" w:rsidP="004947C6">
      <w:pPr>
        <w:rPr>
          <w:sz w:val="22"/>
          <w:szCs w:val="22"/>
        </w:rPr>
      </w:pPr>
    </w:p>
    <w:p w:rsidR="004947C6" w:rsidRDefault="004947C6" w:rsidP="0079667F">
      <w:pPr>
        <w:spacing w:after="60"/>
      </w:pPr>
      <w:r>
        <w:t>La mozione chiede pertanto al Consiglio di Stato di</w:t>
      </w:r>
    </w:p>
    <w:p w:rsidR="004947C6" w:rsidRDefault="004947C6" w:rsidP="0079667F">
      <w:pPr>
        <w:pStyle w:val="Paragrafoelenco"/>
        <w:numPr>
          <w:ilvl w:val="0"/>
          <w:numId w:val="27"/>
        </w:numPr>
        <w:spacing w:after="60"/>
        <w:ind w:left="425" w:hanging="425"/>
        <w:contextualSpacing w:val="0"/>
      </w:pPr>
      <w:r>
        <w:t>valutare concretamente la possibilità di adottare un sistema di ottimizzazione e razionalizzazione dell’evasione delle pratiche fiscali (raccolta documentazione, dati manuali ed elettroniche con E-</w:t>
      </w:r>
      <w:proofErr w:type="spellStart"/>
      <w:r>
        <w:t>TaxTicino</w:t>
      </w:r>
      <w:proofErr w:type="spellEnd"/>
      <w:r>
        <w:t>) nel rilasciare la notifica della decisione di tassazione, in particolare per le persone fisiche;</w:t>
      </w:r>
    </w:p>
    <w:p w:rsidR="004947C6" w:rsidRDefault="004947C6" w:rsidP="003774C2">
      <w:pPr>
        <w:pStyle w:val="Paragrafoelenco"/>
        <w:numPr>
          <w:ilvl w:val="0"/>
          <w:numId w:val="27"/>
        </w:numPr>
        <w:ind w:left="426" w:hanging="426"/>
      </w:pPr>
      <w:r>
        <w:t>valutare la possibilità di introdurre un sistema di controllo “casuale o a random” (basato su algoritmi) sulle verifiche e sui controlli, affinché si possa raggiungere l’obiettivo di cui al punto 1.</w:t>
      </w:r>
    </w:p>
    <w:p w:rsidR="004947C6" w:rsidRPr="003774C2" w:rsidRDefault="004947C6" w:rsidP="004947C6">
      <w:pPr>
        <w:rPr>
          <w:sz w:val="22"/>
          <w:szCs w:val="22"/>
        </w:rPr>
      </w:pPr>
    </w:p>
    <w:p w:rsidR="003774C2" w:rsidRPr="003774C2" w:rsidRDefault="003774C2" w:rsidP="004947C6">
      <w:pPr>
        <w:rPr>
          <w:sz w:val="22"/>
          <w:szCs w:val="22"/>
        </w:rPr>
      </w:pPr>
    </w:p>
    <w:p w:rsidR="003774C2" w:rsidRPr="003774C2" w:rsidRDefault="003774C2" w:rsidP="004947C6">
      <w:pPr>
        <w:rPr>
          <w:sz w:val="22"/>
          <w:szCs w:val="22"/>
        </w:rPr>
      </w:pPr>
    </w:p>
    <w:p w:rsidR="004947C6" w:rsidRPr="00304DF2" w:rsidRDefault="004947C6" w:rsidP="003774C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/>
        <w:ind w:left="567" w:hanging="567"/>
        <w:contextualSpacing w:val="0"/>
        <w:jc w:val="left"/>
        <w:rPr>
          <w:rFonts w:cs="Arial"/>
          <w:b/>
          <w:bCs/>
          <w:szCs w:val="24"/>
          <w:lang w:val="it-CH" w:eastAsia="it-CH"/>
        </w:rPr>
      </w:pPr>
      <w:r>
        <w:rPr>
          <w:rFonts w:cs="Arial"/>
          <w:b/>
          <w:bCs/>
          <w:szCs w:val="24"/>
          <w:lang w:val="it-CH" w:eastAsia="it-CH"/>
        </w:rPr>
        <w:t xml:space="preserve">LE INFORMAZIONI CONTENUTE NEL MESSAGGIO </w:t>
      </w:r>
      <w:r w:rsidR="003774C2">
        <w:rPr>
          <w:rFonts w:cs="Arial"/>
          <w:b/>
          <w:bCs/>
          <w:szCs w:val="24"/>
          <w:lang w:val="it-CH" w:eastAsia="it-CH"/>
        </w:rPr>
        <w:t xml:space="preserve">N. </w:t>
      </w:r>
      <w:r>
        <w:rPr>
          <w:rFonts w:cs="Arial"/>
          <w:b/>
          <w:bCs/>
          <w:szCs w:val="24"/>
          <w:lang w:val="it-CH" w:eastAsia="it-CH"/>
        </w:rPr>
        <w:t>7850</w:t>
      </w:r>
    </w:p>
    <w:p w:rsidR="004947C6" w:rsidRDefault="004947C6" w:rsidP="003774C2">
      <w:pPr>
        <w:spacing w:after="240"/>
      </w:pPr>
      <w:r>
        <w:t>Negli scorsi anni la Divisione delle contribuzioni (</w:t>
      </w:r>
      <w:proofErr w:type="spellStart"/>
      <w:r>
        <w:t>DdC</w:t>
      </w:r>
      <w:proofErr w:type="spellEnd"/>
      <w:r>
        <w:t>) si è occupata del progetto “</w:t>
      </w:r>
      <w:proofErr w:type="spellStart"/>
      <w:r>
        <w:t>eDossier</w:t>
      </w:r>
      <w:proofErr w:type="spellEnd"/>
      <w:r>
        <w:t xml:space="preserve"> </w:t>
      </w:r>
      <w:proofErr w:type="spellStart"/>
      <w:r>
        <w:t>DdC</w:t>
      </w:r>
      <w:proofErr w:type="spellEnd"/>
      <w:r>
        <w:t xml:space="preserve"> PF” teso alla digitalizzazione delle procedure di dichiarazione e accertamento fiscale delle persone fisiche. Il progetto si è concluso nel mese di marzo 2018.</w:t>
      </w:r>
    </w:p>
    <w:p w:rsidR="004947C6" w:rsidRDefault="004947C6" w:rsidP="004947C6">
      <w:r w:rsidRPr="00AE78C1">
        <w:lastRenderedPageBreak/>
        <w:t>Il programma “</w:t>
      </w:r>
      <w:proofErr w:type="spellStart"/>
      <w:r w:rsidRPr="00AE78C1">
        <w:t>eTAX</w:t>
      </w:r>
      <w:proofErr w:type="spellEnd"/>
      <w:r w:rsidRPr="00AE78C1">
        <w:t xml:space="preserve"> PF”, </w:t>
      </w:r>
      <w:r>
        <w:t xml:space="preserve">da anni </w:t>
      </w:r>
      <w:r w:rsidRPr="00AE78C1">
        <w:t>disponibile su Internet per la compilazione su PC da parte del contribuente persona fisica della dichiarazione d’imposta, è stato completato con la possibilità di inoltro elettronico</w:t>
      </w:r>
      <w:r>
        <w:t>. I</w:t>
      </w:r>
      <w:r w:rsidRPr="00AE78C1">
        <w:t>l programma utilizzato fino a quel momento a supporto dell’attività di accertamento delle dichiarazioni d’imposta delle persone fisiche (PF) su base cartacea è stato completato da un sistema di gestione elettronica dei flussi di lavoro e da un dossier elettronico integrale, nel quale è confluita tutta la documentazione prima cartacea relativa al caso da tassare. I moduli ufficiali della dichiarazione d’imposta, i relativi allegati e tutti i giustificativi sono così consultabili dai tassatori in formato esclusivamente elettronico, con l’utilizzo di postazioni PC dotate di tre schermi.</w:t>
      </w:r>
      <w:r>
        <w:t xml:space="preserve"> La documentazione trasmessa da alcuni contribuenti in forma cartacea viene scansionata.</w:t>
      </w:r>
    </w:p>
    <w:p w:rsidR="004947C6" w:rsidRPr="003774C2" w:rsidRDefault="004947C6" w:rsidP="004947C6">
      <w:pPr>
        <w:rPr>
          <w:sz w:val="22"/>
          <w:szCs w:val="22"/>
        </w:rPr>
      </w:pPr>
    </w:p>
    <w:p w:rsidR="004947C6" w:rsidRDefault="004947C6" w:rsidP="004947C6">
      <w:r>
        <w:t>Tra le funzionalità implementate sui programmi utilizzati dai tassatori per l’accertamento delle dichiarazioni d’imposta vi è stata – in linea con quanto proposto dalla mozione – l’adozione di un sistema in grado, per le casistiche più semplici e senza importanti scostamenti tra un anno fiscale e l’altro, di procedere ad un’emissione automatica della rispettiva decisione di tassazione.</w:t>
      </w:r>
    </w:p>
    <w:p w:rsidR="004947C6" w:rsidRPr="003774C2" w:rsidRDefault="004947C6" w:rsidP="004947C6">
      <w:pPr>
        <w:rPr>
          <w:sz w:val="22"/>
          <w:szCs w:val="22"/>
        </w:rPr>
      </w:pPr>
    </w:p>
    <w:p w:rsidR="004947C6" w:rsidRDefault="004947C6" w:rsidP="004947C6">
      <w:r>
        <w:t>Il sistema prevede, oltre agli usuali controlli di plausibilità, un confronto preliminare automatico dei dati dichiarati dal contribuente con quelli accertati dell’anno precedente; in caso di scostamenti entro determinati limiti la relativa decisione di tassazione può essere emessa in automatico, senza intervento del tassatore. Tale sistema automatico è completato da un controllo a campione di tutte le dichiarazioni fiscali, indipendentemente dai suddetti filtri. In tal modo, a</w:t>
      </w:r>
      <w:r w:rsidRPr="00AE78C1">
        <w:t>nche un determinato numero di casi semplici, a cadenze regolari, è oggetto di un accertamento approfondito.</w:t>
      </w:r>
    </w:p>
    <w:p w:rsidR="004947C6" w:rsidRPr="003774C2" w:rsidRDefault="004947C6" w:rsidP="004947C6">
      <w:pPr>
        <w:rPr>
          <w:sz w:val="22"/>
          <w:szCs w:val="22"/>
        </w:rPr>
      </w:pPr>
    </w:p>
    <w:p w:rsidR="004947C6" w:rsidRDefault="004947C6" w:rsidP="004947C6">
      <w:r>
        <w:t xml:space="preserve">Secondo quanto descritto dal Consiglio di Stato e dalla </w:t>
      </w:r>
      <w:proofErr w:type="spellStart"/>
      <w:r>
        <w:t>DdC</w:t>
      </w:r>
      <w:proofErr w:type="spellEnd"/>
      <w:r>
        <w:t>, l</w:t>
      </w:r>
      <w:r w:rsidRPr="00AE78C1">
        <w:t xml:space="preserve">e nuove modalità operative sono state accolte positivamente dai collaboratori della </w:t>
      </w:r>
      <w:proofErr w:type="spellStart"/>
      <w:r>
        <w:t>DdC</w:t>
      </w:r>
      <w:proofErr w:type="spellEnd"/>
      <w:r w:rsidRPr="00AE78C1">
        <w:t xml:space="preserve">. Le postazioni di lavoro sono oggi equipaggiate con tre schermi </w:t>
      </w:r>
      <w:r>
        <w:t>–</w:t>
      </w:r>
      <w:r w:rsidRPr="00AE78C1">
        <w:t xml:space="preserve"> uno per il sistema d’accertamento, uno per il dossier elettronico, un terzo per strumenti di supporto all’accertamento </w:t>
      </w:r>
      <w:r>
        <w:t>–</w:t>
      </w:r>
      <w:r w:rsidRPr="00AE78C1">
        <w:t xml:space="preserve"> permettendo così un’operatività al 100% senza carta. Rimangono relativamente pochi i casi che, per il loro volume cartaceo importante, necessitano ancora di un accesso fisico al dossier.</w:t>
      </w:r>
    </w:p>
    <w:p w:rsidR="004947C6" w:rsidRPr="003774C2" w:rsidRDefault="004947C6" w:rsidP="004947C6">
      <w:pPr>
        <w:rPr>
          <w:sz w:val="22"/>
          <w:szCs w:val="22"/>
        </w:rPr>
      </w:pPr>
    </w:p>
    <w:p w:rsidR="004947C6" w:rsidRDefault="004947C6" w:rsidP="004947C6">
      <w:r>
        <w:t>In termini di produttività, il nuovo sistema – unitamente ad un potenziamento effettuato tramite l’assunzione di personale ausiliario limitato nel tempo fino a fine 2020 – ha permesso di recuperare i ritardi accumulati negli anni precedenti a causa dell’incremento del numero dei contribuenti assoggettati e della complessità dei casi. Il sistema realizzato per l’emissione in automatico delle decisioni di tassazione ha ottenuto risultati molto positivi, in particolare per le casistiche più semplici e senza scostamenti importanti. Il sistema in uso è costantemente monitorato e perfezionato, con l’obiettivo di valutare un eventuale incremento progressivo del numero di casi per i quali le decisioni di tassazione possono essere emesse in automatico senza rischi fiscali significativi.</w:t>
      </w:r>
    </w:p>
    <w:p w:rsidR="004947C6" w:rsidRPr="003774C2" w:rsidRDefault="004947C6" w:rsidP="004947C6">
      <w:pPr>
        <w:rPr>
          <w:sz w:val="22"/>
          <w:szCs w:val="22"/>
        </w:rPr>
      </w:pPr>
    </w:p>
    <w:p w:rsidR="004947C6" w:rsidRDefault="004947C6" w:rsidP="004947C6">
      <w:r>
        <w:t>La digitalizzazione delle procedure di accertamento fiscale delle persone fisiche ha peraltro permesso di gestire il carico di lavoro anche durante il periodo di confinamento a causa della crisi pandemica Covid-19. Più precisamente, essa ha permesso il passaggio in modalità telelavoro in tempi molto rapidi.</w:t>
      </w:r>
    </w:p>
    <w:p w:rsidR="004947C6" w:rsidRPr="003774C2" w:rsidRDefault="004947C6" w:rsidP="004947C6">
      <w:pPr>
        <w:rPr>
          <w:sz w:val="22"/>
          <w:szCs w:val="22"/>
        </w:rPr>
      </w:pPr>
    </w:p>
    <w:p w:rsidR="003774C2" w:rsidRPr="003774C2" w:rsidRDefault="003774C2" w:rsidP="004947C6">
      <w:pPr>
        <w:rPr>
          <w:sz w:val="22"/>
          <w:szCs w:val="22"/>
        </w:rPr>
      </w:pPr>
    </w:p>
    <w:p w:rsidR="003774C2" w:rsidRPr="003774C2" w:rsidRDefault="003774C2" w:rsidP="004947C6">
      <w:pPr>
        <w:rPr>
          <w:sz w:val="22"/>
          <w:szCs w:val="22"/>
        </w:rPr>
      </w:pPr>
    </w:p>
    <w:p w:rsidR="004947C6" w:rsidRPr="00304DF2" w:rsidRDefault="004947C6" w:rsidP="003774C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/>
        <w:ind w:left="567" w:hanging="567"/>
        <w:contextualSpacing w:val="0"/>
        <w:jc w:val="left"/>
        <w:rPr>
          <w:rFonts w:cs="Arial"/>
          <w:b/>
          <w:bCs/>
          <w:szCs w:val="24"/>
          <w:lang w:val="it-CH" w:eastAsia="it-CH"/>
        </w:rPr>
      </w:pPr>
      <w:r>
        <w:rPr>
          <w:rFonts w:cs="Arial"/>
          <w:b/>
          <w:bCs/>
          <w:szCs w:val="24"/>
          <w:lang w:val="it-CH" w:eastAsia="it-CH"/>
        </w:rPr>
        <w:t>DISCUSSIONI COMMISSIONALI E CONCLUSIONI</w:t>
      </w:r>
    </w:p>
    <w:p w:rsidR="004947C6" w:rsidRDefault="004947C6" w:rsidP="004947C6">
      <w:r>
        <w:t xml:space="preserve">La Sottocommissione Fisco della Commissione gestione e finanze ha </w:t>
      </w:r>
      <w:proofErr w:type="spellStart"/>
      <w:r>
        <w:t>audizionato</w:t>
      </w:r>
      <w:proofErr w:type="spellEnd"/>
      <w:r>
        <w:t xml:space="preserve"> in più occasioni il Direttore del Dipartimento </w:t>
      </w:r>
      <w:r w:rsidR="003774C2">
        <w:t>f</w:t>
      </w:r>
      <w:r>
        <w:t xml:space="preserve">inanze e </w:t>
      </w:r>
      <w:r w:rsidR="003774C2">
        <w:t>e</w:t>
      </w:r>
      <w:r>
        <w:t xml:space="preserve">conomia e la Direzione della </w:t>
      </w:r>
      <w:proofErr w:type="spellStart"/>
      <w:r>
        <w:t>DdC</w:t>
      </w:r>
      <w:proofErr w:type="spellEnd"/>
      <w:r>
        <w:t xml:space="preserve">. In tali </w:t>
      </w:r>
      <w:r>
        <w:lastRenderedPageBreak/>
        <w:t>occasioni, così come nelle successive discussioni alla Commissione gestione e finanze, non sono emersi ulteriori quesiti degni di nota.</w:t>
      </w:r>
    </w:p>
    <w:p w:rsidR="004947C6" w:rsidRDefault="004947C6" w:rsidP="004947C6"/>
    <w:p w:rsidR="004947C6" w:rsidRPr="003774C2" w:rsidRDefault="004947C6" w:rsidP="004947C6">
      <w:pPr>
        <w:rPr>
          <w:rFonts w:cs="Arial"/>
          <w:szCs w:val="24"/>
        </w:rPr>
      </w:pPr>
      <w:r w:rsidRPr="003774C2">
        <w:rPr>
          <w:rFonts w:cs="Arial"/>
          <w:szCs w:val="24"/>
        </w:rPr>
        <w:t xml:space="preserve">Per tali ragioni, la Commissione gestione e finanze invita il Gran Consiglio ad accettare il messaggio </w:t>
      </w:r>
      <w:r w:rsidR="003774C2" w:rsidRPr="003774C2">
        <w:rPr>
          <w:rFonts w:cs="Arial"/>
          <w:szCs w:val="24"/>
        </w:rPr>
        <w:t xml:space="preserve">n. </w:t>
      </w:r>
      <w:r w:rsidRPr="003774C2">
        <w:rPr>
          <w:rFonts w:cs="Arial"/>
          <w:szCs w:val="24"/>
        </w:rPr>
        <w:t xml:space="preserve">7850 che ritiene evasa la mozione </w:t>
      </w:r>
      <w:r w:rsidR="003774C2" w:rsidRPr="003774C2">
        <w:rPr>
          <w:rFonts w:cs="Arial"/>
          <w:szCs w:val="24"/>
        </w:rPr>
        <w:t>16 settembre 2019 presentata da Tiziano Galeazzi e cofirmatari “Velocizzazione nelle pratiche fiscali col sistema «casuale»”</w:t>
      </w:r>
      <w:r w:rsidR="003774C2">
        <w:rPr>
          <w:rFonts w:cs="Arial"/>
          <w:szCs w:val="24"/>
        </w:rPr>
        <w:t>.</w:t>
      </w:r>
    </w:p>
    <w:p w:rsidR="004947C6" w:rsidRDefault="004947C6" w:rsidP="004947C6"/>
    <w:p w:rsidR="004947C6" w:rsidRDefault="004947C6" w:rsidP="004947C6"/>
    <w:p w:rsidR="003774C2" w:rsidRDefault="003774C2" w:rsidP="004947C6"/>
    <w:p w:rsidR="004947C6" w:rsidRDefault="004947C6" w:rsidP="003774C2">
      <w:pPr>
        <w:spacing w:after="120"/>
      </w:pPr>
      <w:r>
        <w:t>Per la Commissione gestione e finanze:</w:t>
      </w:r>
    </w:p>
    <w:p w:rsidR="004947C6" w:rsidRDefault="004947C6" w:rsidP="004947C6">
      <w:r>
        <w:t>Paolo Pamini, relatore</w:t>
      </w:r>
    </w:p>
    <w:bookmarkEnd w:id="2"/>
    <w:bookmarkEnd w:id="3"/>
    <w:bookmarkEnd w:id="4"/>
    <w:bookmarkEnd w:id="5"/>
    <w:p w:rsidR="004947C6" w:rsidRDefault="0079667F" w:rsidP="004947C6">
      <w:r>
        <w:t>Agustoni - Bignasca - Biscossa - Bourgoin -</w:t>
      </w:r>
    </w:p>
    <w:p w:rsidR="0079667F" w:rsidRDefault="0079667F" w:rsidP="004947C6">
      <w:r>
        <w:t>Caprara - Caverzasio - Dadò - Durisch -</w:t>
      </w:r>
    </w:p>
    <w:p w:rsidR="0052403E" w:rsidRDefault="0079667F" w:rsidP="004947C6">
      <w:r>
        <w:t xml:space="preserve">Foletti - Gianella Alessandra - Guerra </w:t>
      </w:r>
      <w:r w:rsidR="0052403E">
        <w:t>-</w:t>
      </w:r>
      <w:r>
        <w:t xml:space="preserve"> </w:t>
      </w:r>
    </w:p>
    <w:p w:rsidR="0079667F" w:rsidRDefault="0052403E" w:rsidP="004947C6">
      <w:r>
        <w:t xml:space="preserve">Jelmini - </w:t>
      </w:r>
      <w:r w:rsidR="0079667F">
        <w:t>Maderni - Quadranti - Sirica</w:t>
      </w:r>
    </w:p>
    <w:p w:rsidR="00D752D6" w:rsidRDefault="00D752D6" w:rsidP="00D752D6"/>
    <w:sectPr w:rsidR="00D752D6" w:rsidSect="003774C2">
      <w:footerReference w:type="default" r:id="rId8"/>
      <w:pgSz w:w="11906" w:h="16838"/>
      <w:pgMar w:top="1134" w:right="1134" w:bottom="102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07" w:rsidRDefault="006D5C07">
      <w:r>
        <w:separator/>
      </w:r>
    </w:p>
  </w:endnote>
  <w:endnote w:type="continuationSeparator" w:id="0">
    <w:p w:rsidR="006D5C07" w:rsidRDefault="006D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72 Light">
    <w:altName w:val="Corbel Light"/>
    <w:charset w:val="00"/>
    <w:family w:val="swiss"/>
    <w:pitch w:val="variable"/>
    <w:sig w:usb0="A00002EF" w:usb1="5000205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C3" w:rsidRDefault="00BF3FC3">
    <w:pPr>
      <w:pStyle w:val="Pidipagina"/>
      <w:jc w:val="center"/>
      <w:rPr>
        <w:sz w:val="20"/>
      </w:rPr>
    </w:pP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FC3DBD">
      <w:rPr>
        <w:rStyle w:val="Numeropagina"/>
        <w:noProof/>
        <w:sz w:val="20"/>
      </w:rPr>
      <w:t>3</w:t>
    </w:r>
    <w:r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07" w:rsidRDefault="006D5C07">
      <w:r>
        <w:separator/>
      </w:r>
    </w:p>
  </w:footnote>
  <w:footnote w:type="continuationSeparator" w:id="0">
    <w:p w:rsidR="006D5C07" w:rsidRDefault="006D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46F"/>
    <w:multiLevelType w:val="hybridMultilevel"/>
    <w:tmpl w:val="9126D2FE"/>
    <w:lvl w:ilvl="0" w:tplc="253CE9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C7A"/>
    <w:multiLevelType w:val="hybridMultilevel"/>
    <w:tmpl w:val="6B8C6B3C"/>
    <w:lvl w:ilvl="0" w:tplc="52027DA4">
      <w:start w:val="1"/>
      <w:numFmt w:val="low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08100019" w:tentative="1">
      <w:start w:val="1"/>
      <w:numFmt w:val="lowerLetter"/>
      <w:lvlText w:val="%2."/>
      <w:lvlJc w:val="left"/>
      <w:pPr>
        <w:ind w:left="1140" w:hanging="360"/>
      </w:pPr>
    </w:lvl>
    <w:lvl w:ilvl="2" w:tplc="0810001B" w:tentative="1">
      <w:start w:val="1"/>
      <w:numFmt w:val="lowerRoman"/>
      <w:lvlText w:val="%3."/>
      <w:lvlJc w:val="right"/>
      <w:pPr>
        <w:ind w:left="1860" w:hanging="180"/>
      </w:pPr>
    </w:lvl>
    <w:lvl w:ilvl="3" w:tplc="0810000F" w:tentative="1">
      <w:start w:val="1"/>
      <w:numFmt w:val="decimal"/>
      <w:lvlText w:val="%4."/>
      <w:lvlJc w:val="left"/>
      <w:pPr>
        <w:ind w:left="2580" w:hanging="360"/>
      </w:pPr>
    </w:lvl>
    <w:lvl w:ilvl="4" w:tplc="08100019" w:tentative="1">
      <w:start w:val="1"/>
      <w:numFmt w:val="lowerLetter"/>
      <w:lvlText w:val="%5."/>
      <w:lvlJc w:val="left"/>
      <w:pPr>
        <w:ind w:left="3300" w:hanging="360"/>
      </w:pPr>
    </w:lvl>
    <w:lvl w:ilvl="5" w:tplc="0810001B" w:tentative="1">
      <w:start w:val="1"/>
      <w:numFmt w:val="lowerRoman"/>
      <w:lvlText w:val="%6."/>
      <w:lvlJc w:val="right"/>
      <w:pPr>
        <w:ind w:left="4020" w:hanging="180"/>
      </w:pPr>
    </w:lvl>
    <w:lvl w:ilvl="6" w:tplc="0810000F" w:tentative="1">
      <w:start w:val="1"/>
      <w:numFmt w:val="decimal"/>
      <w:lvlText w:val="%7."/>
      <w:lvlJc w:val="left"/>
      <w:pPr>
        <w:ind w:left="4740" w:hanging="360"/>
      </w:pPr>
    </w:lvl>
    <w:lvl w:ilvl="7" w:tplc="08100019" w:tentative="1">
      <w:start w:val="1"/>
      <w:numFmt w:val="lowerLetter"/>
      <w:lvlText w:val="%8."/>
      <w:lvlJc w:val="left"/>
      <w:pPr>
        <w:ind w:left="5460" w:hanging="360"/>
      </w:pPr>
    </w:lvl>
    <w:lvl w:ilvl="8" w:tplc="08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3C65F7"/>
    <w:multiLevelType w:val="hybridMultilevel"/>
    <w:tmpl w:val="1DB4D7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63AEE"/>
    <w:multiLevelType w:val="hybridMultilevel"/>
    <w:tmpl w:val="16C274E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5FE2"/>
    <w:multiLevelType w:val="hybridMultilevel"/>
    <w:tmpl w:val="8C10E3D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85E8F"/>
    <w:multiLevelType w:val="hybridMultilevel"/>
    <w:tmpl w:val="B1C68A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C5218"/>
    <w:multiLevelType w:val="hybridMultilevel"/>
    <w:tmpl w:val="6A04B3A4"/>
    <w:lvl w:ilvl="0" w:tplc="0810000F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8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299C722F"/>
    <w:multiLevelType w:val="hybridMultilevel"/>
    <w:tmpl w:val="EAA42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3DB"/>
    <w:multiLevelType w:val="singleLevel"/>
    <w:tmpl w:val="F6EC73C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784CDF"/>
    <w:multiLevelType w:val="hybridMultilevel"/>
    <w:tmpl w:val="DDD004D2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1567"/>
    <w:multiLevelType w:val="hybridMultilevel"/>
    <w:tmpl w:val="A25045E6"/>
    <w:lvl w:ilvl="0" w:tplc="ED7A1F94">
      <w:start w:val="1"/>
      <w:numFmt w:val="bullet"/>
      <w:lvlText w:val="-"/>
      <w:lvlJc w:val="left"/>
      <w:pPr>
        <w:ind w:left="720" w:hanging="360"/>
      </w:pPr>
      <w:rPr>
        <w:rFonts w:ascii="72 Light" w:hAnsi="72 Light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4CDA"/>
    <w:multiLevelType w:val="hybridMultilevel"/>
    <w:tmpl w:val="27C6400E"/>
    <w:lvl w:ilvl="0" w:tplc="F1783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6082F"/>
    <w:multiLevelType w:val="hybridMultilevel"/>
    <w:tmpl w:val="3A764FFC"/>
    <w:lvl w:ilvl="0" w:tplc="08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472806BC"/>
    <w:multiLevelType w:val="hybridMultilevel"/>
    <w:tmpl w:val="2C2038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E2424"/>
    <w:multiLevelType w:val="hybridMultilevel"/>
    <w:tmpl w:val="58424C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9245B"/>
    <w:multiLevelType w:val="hybridMultilevel"/>
    <w:tmpl w:val="D8F49114"/>
    <w:lvl w:ilvl="0" w:tplc="27680DE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3F6837"/>
    <w:multiLevelType w:val="hybridMultilevel"/>
    <w:tmpl w:val="C4C2F7E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77B35"/>
    <w:multiLevelType w:val="hybridMultilevel"/>
    <w:tmpl w:val="DCA4F88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38D2"/>
    <w:multiLevelType w:val="hybridMultilevel"/>
    <w:tmpl w:val="172C6D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7601F"/>
    <w:multiLevelType w:val="hybridMultilevel"/>
    <w:tmpl w:val="D690F186"/>
    <w:lvl w:ilvl="0" w:tplc="08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C66572C"/>
    <w:multiLevelType w:val="hybridMultilevel"/>
    <w:tmpl w:val="4AC00C52"/>
    <w:lvl w:ilvl="0" w:tplc="572ED112">
      <w:start w:val="1"/>
      <w:numFmt w:val="upperRoman"/>
      <w:lvlText w:val="%1."/>
      <w:lvlJc w:val="left"/>
      <w:pPr>
        <w:ind w:left="1080" w:hanging="720"/>
      </w:p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>
      <w:start w:val="1"/>
      <w:numFmt w:val="lowerRoman"/>
      <w:lvlText w:val="%3."/>
      <w:lvlJc w:val="right"/>
      <w:pPr>
        <w:ind w:left="2160" w:hanging="180"/>
      </w:p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08100019">
      <w:start w:val="1"/>
      <w:numFmt w:val="lowerLetter"/>
      <w:lvlText w:val="%5."/>
      <w:lvlJc w:val="left"/>
      <w:pPr>
        <w:ind w:left="3600" w:hanging="360"/>
      </w:pPr>
    </w:lvl>
    <w:lvl w:ilvl="5" w:tplc="0810001B">
      <w:start w:val="1"/>
      <w:numFmt w:val="lowerRoman"/>
      <w:lvlText w:val="%6."/>
      <w:lvlJc w:val="right"/>
      <w:pPr>
        <w:ind w:left="4320" w:hanging="180"/>
      </w:pPr>
    </w:lvl>
    <w:lvl w:ilvl="6" w:tplc="0810000F">
      <w:start w:val="1"/>
      <w:numFmt w:val="decimal"/>
      <w:lvlText w:val="%7."/>
      <w:lvlJc w:val="left"/>
      <w:pPr>
        <w:ind w:left="5040" w:hanging="360"/>
      </w:pPr>
    </w:lvl>
    <w:lvl w:ilvl="7" w:tplc="08100019">
      <w:start w:val="1"/>
      <w:numFmt w:val="lowerLetter"/>
      <w:lvlText w:val="%8."/>
      <w:lvlJc w:val="left"/>
      <w:pPr>
        <w:ind w:left="5760" w:hanging="360"/>
      </w:pPr>
    </w:lvl>
    <w:lvl w:ilvl="8" w:tplc="08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D0FAA"/>
    <w:multiLevelType w:val="hybridMultilevel"/>
    <w:tmpl w:val="746260A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0D2392"/>
    <w:multiLevelType w:val="multilevel"/>
    <w:tmpl w:val="998CF81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BD79ED"/>
    <w:multiLevelType w:val="hybridMultilevel"/>
    <w:tmpl w:val="3C94874C"/>
    <w:lvl w:ilvl="0" w:tplc="EF066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D1FA2"/>
    <w:multiLevelType w:val="hybridMultilevel"/>
    <w:tmpl w:val="9E6AB746"/>
    <w:lvl w:ilvl="0" w:tplc="D264C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91992"/>
    <w:multiLevelType w:val="hybridMultilevel"/>
    <w:tmpl w:val="6624FECA"/>
    <w:lvl w:ilvl="0" w:tplc="08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7"/>
  </w:num>
  <w:num w:numId="6">
    <w:abstractNumId w:val="4"/>
  </w:num>
  <w:num w:numId="7">
    <w:abstractNumId w:val="18"/>
  </w:num>
  <w:num w:numId="8">
    <w:abstractNumId w:val="22"/>
  </w:num>
  <w:num w:numId="9">
    <w:abstractNumId w:val="1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2"/>
  </w:num>
  <w:num w:numId="14">
    <w:abstractNumId w:val="6"/>
  </w:num>
  <w:num w:numId="15">
    <w:abstractNumId w:val="25"/>
  </w:num>
  <w:num w:numId="16">
    <w:abstractNumId w:val="19"/>
  </w:num>
  <w:num w:numId="17">
    <w:abstractNumId w:val="3"/>
  </w:num>
  <w:num w:numId="18">
    <w:abstractNumId w:val="1"/>
  </w:num>
  <w:num w:numId="19">
    <w:abstractNumId w:val="0"/>
  </w:num>
  <w:num w:numId="20">
    <w:abstractNumId w:val="24"/>
  </w:num>
  <w:num w:numId="21">
    <w:abstractNumId w:val="16"/>
  </w:num>
  <w:num w:numId="22">
    <w:abstractNumId w:val="11"/>
  </w:num>
  <w:num w:numId="23">
    <w:abstractNumId w:val="9"/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FB"/>
    <w:rsid w:val="000141A9"/>
    <w:rsid w:val="00017DEC"/>
    <w:rsid w:val="00032AF8"/>
    <w:rsid w:val="00056425"/>
    <w:rsid w:val="00065640"/>
    <w:rsid w:val="00066B75"/>
    <w:rsid w:val="00066C9F"/>
    <w:rsid w:val="00073353"/>
    <w:rsid w:val="000834E8"/>
    <w:rsid w:val="00084650"/>
    <w:rsid w:val="0009445D"/>
    <w:rsid w:val="000D5A19"/>
    <w:rsid w:val="000D6EDD"/>
    <w:rsid w:val="001031B7"/>
    <w:rsid w:val="00107C86"/>
    <w:rsid w:val="00152187"/>
    <w:rsid w:val="00160B6A"/>
    <w:rsid w:val="0016240F"/>
    <w:rsid w:val="0017044C"/>
    <w:rsid w:val="0017133E"/>
    <w:rsid w:val="00180F3B"/>
    <w:rsid w:val="001903E9"/>
    <w:rsid w:val="001A4B56"/>
    <w:rsid w:val="001C766C"/>
    <w:rsid w:val="00216270"/>
    <w:rsid w:val="0021749D"/>
    <w:rsid w:val="00217C9B"/>
    <w:rsid w:val="00246B66"/>
    <w:rsid w:val="002549F3"/>
    <w:rsid w:val="00296F84"/>
    <w:rsid w:val="002B3873"/>
    <w:rsid w:val="002B46E8"/>
    <w:rsid w:val="002B698B"/>
    <w:rsid w:val="002C0D3F"/>
    <w:rsid w:val="002E6B65"/>
    <w:rsid w:val="002F0AA0"/>
    <w:rsid w:val="002F4A1C"/>
    <w:rsid w:val="00302E9E"/>
    <w:rsid w:val="0032692E"/>
    <w:rsid w:val="00336115"/>
    <w:rsid w:val="003362B4"/>
    <w:rsid w:val="00341CED"/>
    <w:rsid w:val="00342404"/>
    <w:rsid w:val="003453D1"/>
    <w:rsid w:val="00376C65"/>
    <w:rsid w:val="003774C2"/>
    <w:rsid w:val="00381A93"/>
    <w:rsid w:val="0039601B"/>
    <w:rsid w:val="003A5B04"/>
    <w:rsid w:val="003B4DEE"/>
    <w:rsid w:val="003C16EA"/>
    <w:rsid w:val="003C4458"/>
    <w:rsid w:val="003D36C8"/>
    <w:rsid w:val="003E2076"/>
    <w:rsid w:val="003E7231"/>
    <w:rsid w:val="00420207"/>
    <w:rsid w:val="00424BE8"/>
    <w:rsid w:val="00432073"/>
    <w:rsid w:val="0043295D"/>
    <w:rsid w:val="00435BA3"/>
    <w:rsid w:val="0044483A"/>
    <w:rsid w:val="00452A7E"/>
    <w:rsid w:val="00456CFF"/>
    <w:rsid w:val="0047194B"/>
    <w:rsid w:val="00483B1C"/>
    <w:rsid w:val="00492715"/>
    <w:rsid w:val="004947C6"/>
    <w:rsid w:val="00497DAD"/>
    <w:rsid w:val="004A583E"/>
    <w:rsid w:val="004B6B6F"/>
    <w:rsid w:val="004E1D44"/>
    <w:rsid w:val="004E25D2"/>
    <w:rsid w:val="004E328B"/>
    <w:rsid w:val="005200EB"/>
    <w:rsid w:val="00522EC0"/>
    <w:rsid w:val="0052403E"/>
    <w:rsid w:val="0053660F"/>
    <w:rsid w:val="0055250A"/>
    <w:rsid w:val="0059602E"/>
    <w:rsid w:val="005B03BF"/>
    <w:rsid w:val="005B28DA"/>
    <w:rsid w:val="005B614E"/>
    <w:rsid w:val="005D4CC0"/>
    <w:rsid w:val="005D6595"/>
    <w:rsid w:val="005E2D4F"/>
    <w:rsid w:val="005E7511"/>
    <w:rsid w:val="00611E8E"/>
    <w:rsid w:val="00616F3F"/>
    <w:rsid w:val="006470C0"/>
    <w:rsid w:val="00671AD0"/>
    <w:rsid w:val="00675488"/>
    <w:rsid w:val="00685288"/>
    <w:rsid w:val="00687D13"/>
    <w:rsid w:val="006908EE"/>
    <w:rsid w:val="006A454A"/>
    <w:rsid w:val="006B28B1"/>
    <w:rsid w:val="006B335E"/>
    <w:rsid w:val="006B6B97"/>
    <w:rsid w:val="006C3C25"/>
    <w:rsid w:val="006D5C07"/>
    <w:rsid w:val="006D6A91"/>
    <w:rsid w:val="006E1E7D"/>
    <w:rsid w:val="006E7C99"/>
    <w:rsid w:val="0070065F"/>
    <w:rsid w:val="007022F3"/>
    <w:rsid w:val="00734FE8"/>
    <w:rsid w:val="0073572C"/>
    <w:rsid w:val="00737AED"/>
    <w:rsid w:val="007479F9"/>
    <w:rsid w:val="00747C39"/>
    <w:rsid w:val="0075285C"/>
    <w:rsid w:val="007642FB"/>
    <w:rsid w:val="0079485D"/>
    <w:rsid w:val="0079667F"/>
    <w:rsid w:val="007C4410"/>
    <w:rsid w:val="007E6F05"/>
    <w:rsid w:val="007F4348"/>
    <w:rsid w:val="00813826"/>
    <w:rsid w:val="0082115E"/>
    <w:rsid w:val="008325B2"/>
    <w:rsid w:val="00840B99"/>
    <w:rsid w:val="00844F1E"/>
    <w:rsid w:val="00846075"/>
    <w:rsid w:val="00875E78"/>
    <w:rsid w:val="008B2EE9"/>
    <w:rsid w:val="008B54AB"/>
    <w:rsid w:val="008D2867"/>
    <w:rsid w:val="009252F3"/>
    <w:rsid w:val="00942AAE"/>
    <w:rsid w:val="00947AD2"/>
    <w:rsid w:val="0096184F"/>
    <w:rsid w:val="00963F36"/>
    <w:rsid w:val="009832AD"/>
    <w:rsid w:val="00983B5B"/>
    <w:rsid w:val="00987D36"/>
    <w:rsid w:val="00990891"/>
    <w:rsid w:val="00995265"/>
    <w:rsid w:val="009C1C0A"/>
    <w:rsid w:val="009C26E9"/>
    <w:rsid w:val="009E01DE"/>
    <w:rsid w:val="009F1D35"/>
    <w:rsid w:val="009F6526"/>
    <w:rsid w:val="00A05B99"/>
    <w:rsid w:val="00A1255F"/>
    <w:rsid w:val="00A133CF"/>
    <w:rsid w:val="00A3484D"/>
    <w:rsid w:val="00A4241B"/>
    <w:rsid w:val="00A7222D"/>
    <w:rsid w:val="00A722A2"/>
    <w:rsid w:val="00A81133"/>
    <w:rsid w:val="00A86083"/>
    <w:rsid w:val="00A8611B"/>
    <w:rsid w:val="00A9424E"/>
    <w:rsid w:val="00A96BBA"/>
    <w:rsid w:val="00AA68D5"/>
    <w:rsid w:val="00AC3B2D"/>
    <w:rsid w:val="00AC733F"/>
    <w:rsid w:val="00AC7E01"/>
    <w:rsid w:val="00AE6F3D"/>
    <w:rsid w:val="00AF5992"/>
    <w:rsid w:val="00B01474"/>
    <w:rsid w:val="00B031DC"/>
    <w:rsid w:val="00B06BCE"/>
    <w:rsid w:val="00B358CF"/>
    <w:rsid w:val="00B364FB"/>
    <w:rsid w:val="00B378FB"/>
    <w:rsid w:val="00B45213"/>
    <w:rsid w:val="00B56C78"/>
    <w:rsid w:val="00B752AB"/>
    <w:rsid w:val="00B87F01"/>
    <w:rsid w:val="00B93BA2"/>
    <w:rsid w:val="00BA7814"/>
    <w:rsid w:val="00BB3B75"/>
    <w:rsid w:val="00BC0FA9"/>
    <w:rsid w:val="00BD4B29"/>
    <w:rsid w:val="00BF3FC3"/>
    <w:rsid w:val="00C0269E"/>
    <w:rsid w:val="00C047BC"/>
    <w:rsid w:val="00C42EBF"/>
    <w:rsid w:val="00C5528A"/>
    <w:rsid w:val="00C6048D"/>
    <w:rsid w:val="00C6495D"/>
    <w:rsid w:val="00C8452C"/>
    <w:rsid w:val="00C87295"/>
    <w:rsid w:val="00C92A1A"/>
    <w:rsid w:val="00C946E4"/>
    <w:rsid w:val="00C96061"/>
    <w:rsid w:val="00CA420C"/>
    <w:rsid w:val="00CB0941"/>
    <w:rsid w:val="00CB47D5"/>
    <w:rsid w:val="00CD47CD"/>
    <w:rsid w:val="00CE008E"/>
    <w:rsid w:val="00CF6355"/>
    <w:rsid w:val="00D22BDA"/>
    <w:rsid w:val="00D54A9E"/>
    <w:rsid w:val="00D752D6"/>
    <w:rsid w:val="00D76075"/>
    <w:rsid w:val="00D907FC"/>
    <w:rsid w:val="00D97119"/>
    <w:rsid w:val="00DA035D"/>
    <w:rsid w:val="00DA11ED"/>
    <w:rsid w:val="00DA33B1"/>
    <w:rsid w:val="00DB7017"/>
    <w:rsid w:val="00DF15A9"/>
    <w:rsid w:val="00DF434B"/>
    <w:rsid w:val="00DF5DE8"/>
    <w:rsid w:val="00E15EE0"/>
    <w:rsid w:val="00E20067"/>
    <w:rsid w:val="00E2192F"/>
    <w:rsid w:val="00E21FB3"/>
    <w:rsid w:val="00E45F7B"/>
    <w:rsid w:val="00E55B40"/>
    <w:rsid w:val="00E762E7"/>
    <w:rsid w:val="00E9002E"/>
    <w:rsid w:val="00E90217"/>
    <w:rsid w:val="00E91B3D"/>
    <w:rsid w:val="00EA2253"/>
    <w:rsid w:val="00EA22D9"/>
    <w:rsid w:val="00EA49A9"/>
    <w:rsid w:val="00EA77B4"/>
    <w:rsid w:val="00EB705B"/>
    <w:rsid w:val="00EC0246"/>
    <w:rsid w:val="00EF717D"/>
    <w:rsid w:val="00F16E8F"/>
    <w:rsid w:val="00F22EEA"/>
    <w:rsid w:val="00F37CDB"/>
    <w:rsid w:val="00F54A17"/>
    <w:rsid w:val="00F73D27"/>
    <w:rsid w:val="00F82448"/>
    <w:rsid w:val="00FA71CE"/>
    <w:rsid w:val="00FB0291"/>
    <w:rsid w:val="00FC3DBD"/>
    <w:rsid w:val="00FD5A47"/>
    <w:rsid w:val="00FE4ECE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AF2C1A1-555B-4CD2-8A22-5B82C78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483B1C"/>
    <w:pPr>
      <w:keepNext/>
      <w:tabs>
        <w:tab w:val="left" w:pos="567"/>
      </w:tabs>
      <w:spacing w:after="120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83B1C"/>
    <w:pPr>
      <w:keepNext/>
      <w:tabs>
        <w:tab w:val="left" w:pos="567"/>
      </w:tabs>
      <w:spacing w:after="12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483B1C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</w:rPr>
  </w:style>
  <w:style w:type="paragraph" w:styleId="Titolo4">
    <w:name w:val="heading 4"/>
    <w:basedOn w:val="Normale"/>
    <w:next w:val="Normale"/>
    <w:link w:val="Titolo4Carattere"/>
    <w:qFormat/>
    <w:rsid w:val="00483B1C"/>
    <w:pPr>
      <w:keepNext/>
      <w:tabs>
        <w:tab w:val="left" w:pos="709"/>
      </w:tabs>
      <w:spacing w:before="120" w:after="120"/>
      <w:outlineLvl w:val="3"/>
    </w:pPr>
    <w:rPr>
      <w:b/>
      <w:sz w:val="22"/>
      <w:szCs w:val="22"/>
      <w:lang w:val="it-CH"/>
    </w:rPr>
  </w:style>
  <w:style w:type="paragraph" w:styleId="Titolo5">
    <w:name w:val="heading 5"/>
    <w:basedOn w:val="Normale"/>
    <w:next w:val="Normale"/>
    <w:link w:val="Titolo5Carattere"/>
    <w:qFormat/>
    <w:rsid w:val="00483B1C"/>
    <w:pPr>
      <w:keepNext/>
      <w:tabs>
        <w:tab w:val="left" w:pos="851"/>
      </w:tabs>
      <w:spacing w:after="120"/>
      <w:outlineLvl w:val="4"/>
    </w:pPr>
    <w:rPr>
      <w:b/>
      <w:i/>
      <w:sz w:val="22"/>
      <w:szCs w:val="22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tabs>
        <w:tab w:val="left" w:pos="284"/>
        <w:tab w:val="left" w:pos="426"/>
        <w:tab w:val="left" w:pos="4962"/>
      </w:tabs>
    </w:pPr>
  </w:style>
  <w:style w:type="paragraph" w:styleId="Corpodeltesto2">
    <w:name w:val="Body Text 2"/>
    <w:basedOn w:val="Normale"/>
    <w:link w:val="Corpodeltesto2Carattere"/>
    <w:pPr>
      <w:tabs>
        <w:tab w:val="left" w:pos="284"/>
        <w:tab w:val="left" w:pos="426"/>
        <w:tab w:val="left" w:pos="4962"/>
      </w:tabs>
    </w:pPr>
    <w:rPr>
      <w:b/>
      <w:sz w:val="26"/>
    </w:rPr>
  </w:style>
  <w:style w:type="paragraph" w:styleId="Testofumetto">
    <w:name w:val="Balloon Text"/>
    <w:basedOn w:val="Normale"/>
    <w:link w:val="TestofumettoCarattere"/>
    <w:semiHidden/>
    <w:rsid w:val="00435BA3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240"/>
    </w:pPr>
    <w:rPr>
      <w:caps/>
      <w:sz w:val="22"/>
      <w:szCs w:val="22"/>
    </w:rPr>
  </w:style>
  <w:style w:type="paragraph" w:styleId="Sommario2">
    <w:name w:val="toc 2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1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B01474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B01474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B01474"/>
    <w:rPr>
      <w:rFonts w:ascii="Arial" w:hAnsi="Arial"/>
      <w:b/>
      <w:i/>
      <w:sz w:val="23"/>
      <w:szCs w:val="23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B014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01474"/>
    <w:rPr>
      <w:rFonts w:ascii="Arial" w:hAnsi="Arial"/>
      <w:lang w:val="it-IT" w:eastAsia="it-IT"/>
    </w:rPr>
  </w:style>
  <w:style w:type="character" w:styleId="Rimandonotaapidipagina">
    <w:name w:val="footnote reference"/>
    <w:rsid w:val="00B01474"/>
    <w:rPr>
      <w:vertAlign w:val="superscript"/>
    </w:rPr>
  </w:style>
  <w:style w:type="character" w:styleId="Collegamentoipertestuale">
    <w:name w:val="Hyperlink"/>
    <w:unhideWhenUsed/>
    <w:rsid w:val="00B01474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107C86"/>
    <w:rPr>
      <w:rFonts w:ascii="Arial" w:hAnsi="Arial"/>
      <w:b/>
      <w:sz w:val="22"/>
      <w:szCs w:val="2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07C86"/>
    <w:rPr>
      <w:rFonts w:ascii="Arial" w:hAnsi="Arial"/>
      <w:b/>
      <w:i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C86"/>
    <w:rPr>
      <w:rFonts w:ascii="Arial" w:hAnsi="Arial"/>
      <w:sz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07C86"/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07C86"/>
    <w:rPr>
      <w:rFonts w:ascii="Arial" w:hAnsi="Arial"/>
      <w:sz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07C86"/>
    <w:rPr>
      <w:rFonts w:ascii="Arial" w:hAnsi="Arial"/>
      <w:b/>
      <w:sz w:val="2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7C86"/>
    <w:rPr>
      <w:rFonts w:ascii="Tahoma" w:hAnsi="Tahoma" w:cs="Tahoma"/>
      <w:sz w:val="16"/>
      <w:szCs w:val="16"/>
      <w:lang w:val="it-IT" w:eastAsia="it-IT"/>
    </w:rPr>
  </w:style>
  <w:style w:type="paragraph" w:customStyle="1" w:styleId="rientro">
    <w:name w:val="rientro"/>
    <w:basedOn w:val="Normale"/>
    <w:rsid w:val="00107C86"/>
    <w:pPr>
      <w:ind w:left="1134" w:right="1134"/>
      <w:jc w:val="left"/>
    </w:pPr>
    <w:rPr>
      <w:rFonts w:ascii="Courier" w:hAnsi="Courier"/>
    </w:rPr>
  </w:style>
  <w:style w:type="paragraph" w:styleId="Paragrafoelenco">
    <w:name w:val="List Paragraph"/>
    <w:basedOn w:val="Normale"/>
    <w:uiPriority w:val="99"/>
    <w:qFormat/>
    <w:rsid w:val="002C0D3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2C0D3F"/>
    <w:pPr>
      <w:jc w:val="left"/>
    </w:pPr>
    <w:rPr>
      <w:rFonts w:ascii="Courier New" w:eastAsiaTheme="minorHAnsi" w:hAnsi="Courier New" w:cs="Courier New"/>
      <w:sz w:val="20"/>
      <w:lang w:val="it-CH" w:eastAsia="it-CH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0D3F"/>
    <w:rPr>
      <w:rFonts w:ascii="Courier New" w:eastAsiaTheme="minorHAnsi" w:hAnsi="Courier New" w:cs="Courier New"/>
    </w:rPr>
  </w:style>
  <w:style w:type="table" w:styleId="Grigliatabella">
    <w:name w:val="Table Grid"/>
    <w:basedOn w:val="Tabellanormale"/>
    <w:uiPriority w:val="59"/>
    <w:rsid w:val="003960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D6A9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Carpredefinitoparagrafo"/>
    <w:rsid w:val="00065640"/>
  </w:style>
  <w:style w:type="table" w:customStyle="1" w:styleId="Grigliatabella1">
    <w:name w:val="Griglia tabella1"/>
    <w:basedOn w:val="Tabellanormale"/>
    <w:next w:val="Grigliatabella"/>
    <w:uiPriority w:val="59"/>
    <w:rsid w:val="00CB47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Normale"/>
    <w:link w:val="testoCarattere"/>
    <w:rsid w:val="00CB47D5"/>
    <w:pPr>
      <w:tabs>
        <w:tab w:val="left" w:pos="567"/>
      </w:tabs>
      <w:spacing w:before="120"/>
    </w:pPr>
    <w:rPr>
      <w:snapToGrid w:val="0"/>
      <w:sz w:val="22"/>
      <w:lang w:val="it-CH"/>
    </w:rPr>
  </w:style>
  <w:style w:type="character" w:customStyle="1" w:styleId="testoCarattere">
    <w:name w:val="testo Carattere"/>
    <w:link w:val="testo"/>
    <w:rsid w:val="00CB47D5"/>
    <w:rPr>
      <w:rFonts w:ascii="Arial" w:hAnsi="Arial"/>
      <w:snapToGrid w:val="0"/>
      <w:sz w:val="22"/>
      <w:lang w:eastAsia="it-IT"/>
    </w:rPr>
  </w:style>
  <w:style w:type="paragraph" w:customStyle="1" w:styleId="TXT01Normale">
    <w:name w:val="TXT 01 Normale"/>
    <w:basedOn w:val="Normale"/>
    <w:rsid w:val="00B45213"/>
    <w:pPr>
      <w:widowControl w:val="0"/>
      <w:tabs>
        <w:tab w:val="left" w:pos="567"/>
      </w:tabs>
      <w:autoSpaceDE w:val="0"/>
      <w:autoSpaceDN w:val="0"/>
      <w:adjustRightInd w:val="0"/>
      <w:spacing w:after="120"/>
      <w:ind w:left="851"/>
      <w:jc w:val="left"/>
    </w:pPr>
    <w:rPr>
      <w:rFonts w:cs="Arial"/>
      <w:sz w:val="23"/>
      <w:szCs w:val="23"/>
      <w:lang w:val="it-CH"/>
    </w:rPr>
  </w:style>
  <w:style w:type="paragraph" w:customStyle="1" w:styleId="TXTgrisNormale">
    <w:name w:val="TXT gris Normale"/>
    <w:basedOn w:val="Normale"/>
    <w:rsid w:val="00B45213"/>
    <w:pPr>
      <w:widowControl w:val="0"/>
      <w:autoSpaceDE w:val="0"/>
      <w:autoSpaceDN w:val="0"/>
      <w:adjustRightInd w:val="0"/>
      <w:spacing w:before="120"/>
      <w:ind w:left="851"/>
      <w:jc w:val="left"/>
    </w:pPr>
    <w:rPr>
      <w:rFonts w:cs="Arial"/>
      <w:color w:val="808080"/>
      <w:sz w:val="20"/>
      <w:szCs w:val="22"/>
      <w:lang w:val="it-CH"/>
    </w:rPr>
  </w:style>
  <w:style w:type="paragraph" w:styleId="Didascalia">
    <w:name w:val="caption"/>
    <w:basedOn w:val="Normale"/>
    <w:next w:val="Normale"/>
    <w:qFormat/>
    <w:rsid w:val="00D752D6"/>
    <w:pPr>
      <w:widowControl w:val="0"/>
      <w:spacing w:before="120" w:after="240" w:line="260" w:lineRule="atLeast"/>
      <w:jc w:val="left"/>
    </w:pPr>
    <w:rPr>
      <w:b/>
      <w:bCs/>
      <w:sz w:val="18"/>
      <w:szCs w:val="18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A86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63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3321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5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74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205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55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8202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5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577922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069857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223410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26623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48232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063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212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8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1868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2114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422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9213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337483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258054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951967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5722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6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8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224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4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5714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8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86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9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92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40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01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18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3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0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63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0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1020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50146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17402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553584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12527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058081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287557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36949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607954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51431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15237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27629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028612">
                                                      <w:marLeft w:val="1134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82993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839940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474716">
                                                      <w:marLeft w:val="72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1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47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1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92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9937">
                                                          <w:marLeft w:val="72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50340">
                                                          <w:marLeft w:val="1134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67198">
                                                          <w:marLeft w:val="1134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428125">
                                                          <w:marLeft w:val="1134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7151">
                                                          <w:marLeft w:val="1134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36773">
                                                          <w:marLeft w:val="1134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361807">
                                                          <w:marLeft w:val="1134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57875">
                                                          <w:marLeft w:val="72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5902">
                                                          <w:marLeft w:val="72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015805">
                                                          <w:marLeft w:val="72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811691">
                                                          <w:marLeft w:val="72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30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17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50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91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46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7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81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9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39989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32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1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88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932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2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632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356">
                                          <w:marLeft w:val="720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81683">
                                          <w:marLeft w:val="1134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477576">
                                          <w:marLeft w:val="1134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070427">
                                          <w:marLeft w:val="1134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945424">
                                          <w:marLeft w:val="1134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534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462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6885">
                                          <w:marLeft w:val="1134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232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082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53425">
                                          <w:marLeft w:val="1134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915112">
                                          <w:marLeft w:val="720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617393">
                                          <w:marLeft w:val="720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406617">
                                          <w:marLeft w:val="720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762096">
                                          <w:marLeft w:val="720"/>
                                          <w:marRight w:val="1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50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F592-9F68-40A5-A628-035E233A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</vt:lpstr>
    </vt:vector>
  </TitlesOfParts>
  <Company>CCI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</dc:title>
  <dc:creator>Agostinetti Jole</dc:creator>
  <cp:lastModifiedBy>Morandi Marisa</cp:lastModifiedBy>
  <cp:revision>3</cp:revision>
  <cp:lastPrinted>2021-05-18T08:39:00Z</cp:lastPrinted>
  <dcterms:created xsi:type="dcterms:W3CDTF">2021-05-18T08:39:00Z</dcterms:created>
  <dcterms:modified xsi:type="dcterms:W3CDTF">2021-05-18T15:56:00Z</dcterms:modified>
</cp:coreProperties>
</file>