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8B" w:rsidRDefault="00184E8B" w:rsidP="00184E8B">
      <w:pPr>
        <w:rPr>
          <w:rFonts w:ascii="Gill Sans MT" w:hAnsi="Gill Sans MT"/>
          <w:b/>
          <w:sz w:val="56"/>
          <w:szCs w:val="56"/>
        </w:rPr>
      </w:pPr>
      <w:bookmarkStart w:id="0" w:name="_GoBack"/>
      <w:bookmarkEnd w:id="0"/>
      <w:r>
        <w:rPr>
          <w:rFonts w:ascii="Gill Sans MT" w:hAnsi="Gill Sans MT"/>
          <w:b/>
          <w:sz w:val="56"/>
          <w:szCs w:val="56"/>
        </w:rPr>
        <w:t>Rapporto</w:t>
      </w:r>
    </w:p>
    <w:p w:rsidR="00C84019" w:rsidRPr="00C84019" w:rsidRDefault="00C84019" w:rsidP="00AB1B96">
      <w:pPr>
        <w:tabs>
          <w:tab w:val="left" w:pos="2098"/>
          <w:tab w:val="left" w:pos="4933"/>
        </w:tabs>
        <w:rPr>
          <w:szCs w:val="24"/>
        </w:rPr>
      </w:pPr>
    </w:p>
    <w:p w:rsidR="002A1D30" w:rsidRPr="00C84019" w:rsidRDefault="002A1D30" w:rsidP="00AB1B96">
      <w:pPr>
        <w:tabs>
          <w:tab w:val="left" w:pos="2098"/>
          <w:tab w:val="left" w:pos="4933"/>
        </w:tabs>
        <w:rPr>
          <w:szCs w:val="24"/>
        </w:rPr>
      </w:pPr>
    </w:p>
    <w:p w:rsidR="001B08E4" w:rsidRPr="008B59BF" w:rsidRDefault="001B08E4" w:rsidP="00AE59AB">
      <w:pPr>
        <w:tabs>
          <w:tab w:val="left" w:pos="2127"/>
          <w:tab w:val="left" w:pos="4962"/>
        </w:tabs>
        <w:rPr>
          <w:rFonts w:cs="Arial"/>
          <w:position w:val="4"/>
        </w:rPr>
      </w:pPr>
      <w:r>
        <w:rPr>
          <w:rFonts w:cs="Arial"/>
          <w:b/>
          <w:position w:val="4"/>
          <w:sz w:val="32"/>
        </w:rPr>
        <w:t>7957</w:t>
      </w:r>
      <w:r w:rsidRPr="008B59BF">
        <w:rPr>
          <w:rFonts w:cs="Arial"/>
          <w:b/>
          <w:position w:val="4"/>
          <w:sz w:val="32"/>
        </w:rPr>
        <w:t xml:space="preserve"> R</w:t>
      </w:r>
      <w:r w:rsidRPr="008B59BF">
        <w:rPr>
          <w:rFonts w:cs="Arial"/>
          <w:position w:val="4"/>
          <w:sz w:val="28"/>
        </w:rPr>
        <w:tab/>
      </w:r>
      <w:r>
        <w:rPr>
          <w:rFonts w:cs="Arial"/>
          <w:position w:val="4"/>
          <w:sz w:val="28"/>
        </w:rPr>
        <w:t>29</w:t>
      </w:r>
      <w:r w:rsidR="00AE59AB">
        <w:rPr>
          <w:rFonts w:cs="Arial"/>
          <w:position w:val="4"/>
          <w:sz w:val="28"/>
        </w:rPr>
        <w:t xml:space="preserve"> aprile </w:t>
      </w:r>
      <w:r>
        <w:rPr>
          <w:rFonts w:cs="Arial"/>
          <w:position w:val="4"/>
          <w:sz w:val="28"/>
        </w:rPr>
        <w:t>2021</w:t>
      </w:r>
      <w:r w:rsidRPr="008B59BF">
        <w:rPr>
          <w:rFonts w:cs="Arial"/>
          <w:position w:val="4"/>
          <w:sz w:val="28"/>
        </w:rPr>
        <w:tab/>
      </w:r>
      <w:r>
        <w:rPr>
          <w:rFonts w:cs="Arial"/>
          <w:position w:val="4"/>
          <w:sz w:val="28"/>
        </w:rPr>
        <w:t>TERRITORIO</w:t>
      </w:r>
    </w:p>
    <w:p w:rsidR="001B08E4" w:rsidRPr="008B59BF" w:rsidRDefault="001B08E4" w:rsidP="001B08E4">
      <w:pPr>
        <w:rPr>
          <w:rFonts w:cs="Arial"/>
        </w:rPr>
      </w:pPr>
    </w:p>
    <w:p w:rsidR="001B08E4" w:rsidRPr="008B59BF" w:rsidRDefault="001B08E4" w:rsidP="001B08E4">
      <w:pPr>
        <w:rPr>
          <w:rFonts w:cs="Arial"/>
        </w:rPr>
      </w:pPr>
    </w:p>
    <w:p w:rsidR="001B08E4" w:rsidRPr="008B59BF" w:rsidRDefault="001B08E4" w:rsidP="001B08E4">
      <w:pPr>
        <w:rPr>
          <w:rFonts w:cs="Arial"/>
        </w:rPr>
      </w:pPr>
    </w:p>
    <w:p w:rsidR="001B08E4" w:rsidRPr="008B59BF" w:rsidRDefault="001B08E4" w:rsidP="001B08E4">
      <w:pPr>
        <w:rPr>
          <w:rFonts w:cs="Arial"/>
          <w:b/>
          <w:sz w:val="28"/>
        </w:rPr>
      </w:pPr>
      <w:r w:rsidRPr="008B59BF">
        <w:rPr>
          <w:rFonts w:cs="Arial"/>
          <w:b/>
          <w:sz w:val="28"/>
        </w:rPr>
        <w:t xml:space="preserve">della Commissione </w:t>
      </w:r>
      <w:r>
        <w:rPr>
          <w:rFonts w:cs="Arial"/>
          <w:b/>
          <w:sz w:val="28"/>
        </w:rPr>
        <w:t>ambiente, territorio ed energia</w:t>
      </w:r>
    </w:p>
    <w:p w:rsidR="001B08E4" w:rsidRPr="009E6F5C" w:rsidRDefault="001B08E4" w:rsidP="001B08E4">
      <w:pPr>
        <w:rPr>
          <w:rFonts w:cs="Arial"/>
          <w:b/>
          <w:sz w:val="26"/>
          <w:szCs w:val="26"/>
        </w:rPr>
      </w:pPr>
      <w:r>
        <w:rPr>
          <w:rFonts w:cs="Arial"/>
          <w:b/>
          <w:sz w:val="28"/>
        </w:rPr>
        <w:t>sul messaggio 10 febbraio 2021 concernente l’a</w:t>
      </w:r>
      <w:r w:rsidRPr="002962C4">
        <w:rPr>
          <w:rFonts w:cs="Arial"/>
          <w:b/>
          <w:sz w:val="28"/>
        </w:rPr>
        <w:t xml:space="preserve">pprovazione del progetto integrale (selvicoltura e infrastrutture di allacciamento con rete idranti) nel bosco di protezione in territorio del Comune di </w:t>
      </w:r>
      <w:proofErr w:type="spellStart"/>
      <w:r w:rsidRPr="002962C4">
        <w:rPr>
          <w:rFonts w:cs="Arial"/>
          <w:b/>
          <w:sz w:val="28"/>
        </w:rPr>
        <w:t>Orselina</w:t>
      </w:r>
      <w:proofErr w:type="spellEnd"/>
      <w:r w:rsidRPr="002962C4">
        <w:rPr>
          <w:rFonts w:cs="Arial"/>
          <w:b/>
          <w:sz w:val="28"/>
        </w:rPr>
        <w:t>, e lo stanziamento di un credito di 875’</w:t>
      </w:r>
      <w:proofErr w:type="gramStart"/>
      <w:r w:rsidRPr="002962C4">
        <w:rPr>
          <w:rFonts w:cs="Arial"/>
          <w:b/>
          <w:sz w:val="28"/>
        </w:rPr>
        <w:t>400.--</w:t>
      </w:r>
      <w:proofErr w:type="gramEnd"/>
      <w:r w:rsidRPr="002962C4">
        <w:rPr>
          <w:rFonts w:cs="Arial"/>
          <w:b/>
          <w:sz w:val="28"/>
        </w:rPr>
        <w:t xml:space="preserve"> franchi quale sussidio cantonale, rispettivamente l’autorizzazione alla spesa di 1'768'800.-- franchi quale sussidio complessivo cantonale e federale</w:t>
      </w:r>
    </w:p>
    <w:p w:rsidR="001B08E4" w:rsidRPr="008B59BF" w:rsidRDefault="001B08E4" w:rsidP="001B08E4">
      <w:pPr>
        <w:rPr>
          <w:rFonts w:cs="Arial"/>
        </w:rPr>
      </w:pPr>
    </w:p>
    <w:p w:rsidR="001B08E4" w:rsidRPr="008B59BF" w:rsidRDefault="001B08E4" w:rsidP="001B08E4">
      <w:pPr>
        <w:rPr>
          <w:rFonts w:cs="Arial"/>
        </w:rPr>
      </w:pPr>
    </w:p>
    <w:p w:rsidR="001B08E4" w:rsidRPr="008B59BF" w:rsidRDefault="001B08E4" w:rsidP="001B08E4">
      <w:pPr>
        <w:rPr>
          <w:rFonts w:cs="Arial"/>
        </w:rPr>
      </w:pPr>
    </w:p>
    <w:p w:rsidR="001B08E4" w:rsidRPr="0013549E" w:rsidRDefault="001B08E4" w:rsidP="00AE59AB">
      <w:pPr>
        <w:pStyle w:val="Titolo1"/>
        <w:numPr>
          <w:ilvl w:val="0"/>
          <w:numId w:val="32"/>
        </w:numPr>
        <w:tabs>
          <w:tab w:val="clear" w:pos="567"/>
        </w:tabs>
        <w:ind w:left="567" w:hanging="567"/>
      </w:pPr>
      <w:r>
        <w:t>INTRODUZIONE</w:t>
      </w:r>
    </w:p>
    <w:p w:rsidR="001B08E4" w:rsidRDefault="001B08E4" w:rsidP="001B08E4">
      <w:pPr>
        <w:rPr>
          <w:rFonts w:cs="Arial"/>
        </w:rPr>
      </w:pPr>
      <w:r>
        <w:rPr>
          <w:rFonts w:cs="Arial"/>
        </w:rPr>
        <w:t xml:space="preserve">Scopo del messaggio in oggetto è finanziare il progetto integrale per la cura del bosco di protezione in territorio di </w:t>
      </w:r>
      <w:proofErr w:type="spellStart"/>
      <w:r>
        <w:rPr>
          <w:rFonts w:cs="Arial"/>
        </w:rPr>
        <w:t>Orselina</w:t>
      </w:r>
      <w:proofErr w:type="spellEnd"/>
      <w:r>
        <w:rPr>
          <w:rFonts w:cs="Arial"/>
        </w:rPr>
        <w:t>, nel quale è compresa la costruzione di una nuova pista forestale. Il progetto si svolgerà sull’arco di 10 anni, suddiviso in due tappe, e avrà un costo totale di fr. 2'360'000.-.</w:t>
      </w:r>
    </w:p>
    <w:p w:rsidR="001B08E4" w:rsidRDefault="001B08E4" w:rsidP="001B08E4">
      <w:pPr>
        <w:rPr>
          <w:rFonts w:cs="Arial"/>
        </w:rPr>
      </w:pPr>
    </w:p>
    <w:p w:rsidR="001B08E4" w:rsidRDefault="001B08E4" w:rsidP="001B08E4">
      <w:pPr>
        <w:rPr>
          <w:rFonts w:cs="Arial"/>
        </w:rPr>
      </w:pPr>
      <w:r>
        <w:rPr>
          <w:rFonts w:cs="Arial"/>
        </w:rPr>
        <w:t>Il progetto è conforme al Piano forestale cantonale (PFC) e all’Inventario federale dei boschi con funzione protettiva (</w:t>
      </w:r>
      <w:proofErr w:type="spellStart"/>
      <w:r>
        <w:rPr>
          <w:rFonts w:cs="Arial"/>
        </w:rPr>
        <w:t>SilvaProtect</w:t>
      </w:r>
      <w:proofErr w:type="spellEnd"/>
      <w:r>
        <w:rPr>
          <w:rFonts w:cs="Arial"/>
        </w:rPr>
        <w:t xml:space="preserve">), oltre che al Piano di gestione dei boschi di </w:t>
      </w:r>
      <w:proofErr w:type="spellStart"/>
      <w:r>
        <w:rPr>
          <w:rFonts w:cs="Arial"/>
        </w:rPr>
        <w:t>Orselina</w:t>
      </w:r>
      <w:proofErr w:type="spellEnd"/>
      <w:r>
        <w:rPr>
          <w:rFonts w:cs="Arial"/>
        </w:rPr>
        <w:t>.</w:t>
      </w:r>
    </w:p>
    <w:p w:rsidR="001B08E4" w:rsidRDefault="001B08E4" w:rsidP="001B08E4">
      <w:pPr>
        <w:rPr>
          <w:rFonts w:cs="Arial"/>
        </w:rPr>
      </w:pPr>
    </w:p>
    <w:p w:rsidR="001B08E4" w:rsidRDefault="001B08E4" w:rsidP="001B08E4">
      <w:pPr>
        <w:rPr>
          <w:rFonts w:cs="Arial"/>
        </w:rPr>
      </w:pPr>
    </w:p>
    <w:p w:rsidR="00AE59AB" w:rsidRDefault="00AE59AB" w:rsidP="001B08E4">
      <w:pPr>
        <w:rPr>
          <w:rFonts w:cs="Arial"/>
        </w:rPr>
      </w:pPr>
    </w:p>
    <w:p w:rsidR="001B08E4" w:rsidRDefault="001B08E4" w:rsidP="00AE59AB">
      <w:pPr>
        <w:pStyle w:val="Titolo1"/>
        <w:numPr>
          <w:ilvl w:val="0"/>
          <w:numId w:val="32"/>
        </w:numPr>
        <w:tabs>
          <w:tab w:val="clear" w:pos="567"/>
        </w:tabs>
        <w:ind w:left="567" w:hanging="573"/>
      </w:pPr>
      <w:r>
        <w:t>IL PROGETTO</w:t>
      </w:r>
    </w:p>
    <w:p w:rsidR="001B08E4" w:rsidRDefault="001B08E4" w:rsidP="00AE59AB">
      <w:pPr>
        <w:pStyle w:val="Paragrafoelenco"/>
        <w:keepNext/>
        <w:numPr>
          <w:ilvl w:val="1"/>
          <w:numId w:val="32"/>
        </w:numPr>
        <w:spacing w:after="120"/>
        <w:ind w:left="567" w:hanging="573"/>
        <w:contextualSpacing w:val="0"/>
        <w:outlineLvl w:val="0"/>
        <w:rPr>
          <w:rFonts w:eastAsiaTheme="minorHAnsi" w:cs="Arial"/>
          <w:b/>
          <w:bCs/>
          <w:iCs/>
          <w:szCs w:val="24"/>
          <w:lang w:eastAsia="en-US"/>
        </w:rPr>
      </w:pPr>
      <w:r>
        <w:rPr>
          <w:rFonts w:eastAsiaTheme="minorHAnsi" w:cs="Arial"/>
          <w:b/>
          <w:bCs/>
          <w:iCs/>
          <w:szCs w:val="24"/>
          <w:lang w:eastAsia="en-US"/>
        </w:rPr>
        <w:t xml:space="preserve">Gli interventi </w:t>
      </w:r>
      <w:proofErr w:type="spellStart"/>
      <w:r>
        <w:rPr>
          <w:rFonts w:eastAsiaTheme="minorHAnsi" w:cs="Arial"/>
          <w:b/>
          <w:bCs/>
          <w:iCs/>
          <w:szCs w:val="24"/>
          <w:lang w:eastAsia="en-US"/>
        </w:rPr>
        <w:t>selvicolturali</w:t>
      </w:r>
      <w:proofErr w:type="spellEnd"/>
      <w:r>
        <w:rPr>
          <w:rFonts w:eastAsiaTheme="minorHAnsi" w:cs="Arial"/>
          <w:b/>
          <w:bCs/>
          <w:iCs/>
          <w:szCs w:val="24"/>
          <w:lang w:eastAsia="en-US"/>
        </w:rPr>
        <w:t xml:space="preserve"> e la realizzazione della pista forestale</w:t>
      </w:r>
    </w:p>
    <w:p w:rsidR="001B08E4" w:rsidRDefault="001B08E4" w:rsidP="001B08E4">
      <w:pPr>
        <w:pStyle w:val="Paragrafoelenco"/>
        <w:ind w:left="0"/>
        <w:rPr>
          <w:rFonts w:eastAsiaTheme="minorHAnsi" w:cs="Arial"/>
          <w:iCs/>
          <w:szCs w:val="24"/>
          <w:lang w:eastAsia="en-US"/>
        </w:rPr>
      </w:pPr>
      <w:r>
        <w:rPr>
          <w:rFonts w:eastAsiaTheme="minorHAnsi" w:cs="Arial"/>
          <w:iCs/>
          <w:szCs w:val="24"/>
          <w:lang w:eastAsia="en-US"/>
        </w:rPr>
        <w:t xml:space="preserve">Per poter assolvere ai suoi compiti, un bosco di protezione deve avere un popolamento stabile, con piante a diversi gradi di sviluppo e distribuite in maniera omogenea su tutta la superficie interessata. Nel caso in esame, si notano invece una mancanza di rinnovazione e una limitatissima varietà di specie. Inoltre, nella parte bassa del comprensorio vi è una forte presenza di cedui castanili instabili, che richiedono interventi mirati. Questa situazione compromette anche la regolarità dei deflussi dei riali, le cui sponde necessitano di essere consolidate. </w:t>
      </w:r>
    </w:p>
    <w:p w:rsidR="001B08E4" w:rsidRDefault="001B08E4" w:rsidP="001B08E4">
      <w:pPr>
        <w:pStyle w:val="Paragrafoelenco"/>
        <w:ind w:left="0"/>
        <w:rPr>
          <w:rFonts w:eastAsiaTheme="minorHAnsi" w:cs="Arial"/>
          <w:iCs/>
          <w:szCs w:val="24"/>
          <w:lang w:eastAsia="en-US"/>
        </w:rPr>
      </w:pPr>
    </w:p>
    <w:p w:rsidR="001B08E4" w:rsidRDefault="001B08E4" w:rsidP="001B08E4">
      <w:pPr>
        <w:pStyle w:val="Paragrafoelenco"/>
        <w:ind w:left="0"/>
        <w:rPr>
          <w:rFonts w:eastAsiaTheme="minorHAnsi" w:cs="Arial"/>
          <w:iCs/>
          <w:szCs w:val="24"/>
          <w:lang w:eastAsia="en-US"/>
        </w:rPr>
      </w:pPr>
      <w:r>
        <w:rPr>
          <w:rFonts w:eastAsiaTheme="minorHAnsi" w:cs="Arial"/>
          <w:iCs/>
          <w:szCs w:val="24"/>
          <w:lang w:eastAsia="en-US"/>
        </w:rPr>
        <w:t>La prima tappa degli interventi (2021-2025) sarà dedicata agli interventi più urgenti, che prevedono l’eliminazione di alberi instabili (zone di cedui castanili particolarmente compromessi), in particolare nei pressi degli abitati, e la pulizia dei corsi d’acqua; con la seconda tappa (2026-2030) si procederà a tagli di cura più mirata dei cedui castanili per far spazio ad altre specie e si prenderanno provvedimenti per lottare contro le neofite invasive.</w:t>
      </w:r>
    </w:p>
    <w:p w:rsidR="001B08E4" w:rsidRDefault="001B08E4" w:rsidP="001B08E4">
      <w:pPr>
        <w:pStyle w:val="Paragrafoelenco"/>
        <w:ind w:left="0"/>
        <w:rPr>
          <w:rFonts w:eastAsiaTheme="minorHAnsi" w:cs="Arial"/>
          <w:iCs/>
          <w:szCs w:val="24"/>
          <w:lang w:eastAsia="en-US"/>
        </w:rPr>
      </w:pPr>
    </w:p>
    <w:p w:rsidR="001B08E4" w:rsidRPr="001664A8" w:rsidRDefault="001B08E4" w:rsidP="001B08E4">
      <w:pPr>
        <w:pStyle w:val="Paragrafoelenco"/>
        <w:ind w:left="0"/>
        <w:rPr>
          <w:rFonts w:eastAsiaTheme="minorHAnsi" w:cs="Arial"/>
          <w:iCs/>
          <w:szCs w:val="24"/>
          <w:lang w:eastAsia="en-US"/>
        </w:rPr>
      </w:pPr>
      <w:r>
        <w:rPr>
          <w:rFonts w:eastAsiaTheme="minorHAnsi" w:cs="Arial"/>
          <w:iCs/>
          <w:szCs w:val="24"/>
          <w:lang w:eastAsia="en-US"/>
        </w:rPr>
        <w:t xml:space="preserve">Anche le infrastrutture saranno oggetto di intervento. Innanzitutto, sarà estesa la rete di idranti, perché la zona presenta un marcato pericolo di incendio. Inoltre, a nord, sarà prolungata la pista forestale Varenna (che si trova in territorio di Locarno) e sarà realizzato un piazzale per il deposito del legname che potrebbe fungere anche da ubicazione per </w:t>
      </w:r>
      <w:r>
        <w:rPr>
          <w:rFonts w:eastAsiaTheme="minorHAnsi" w:cs="Arial"/>
          <w:iCs/>
          <w:szCs w:val="24"/>
          <w:lang w:eastAsia="en-US"/>
        </w:rPr>
        <w:lastRenderedPageBreak/>
        <w:t>vasche anti-incendio mobili in caso di bisogno. Questi interventi saranno realizzati nel corso della prima tappa.</w:t>
      </w:r>
    </w:p>
    <w:p w:rsidR="001B08E4" w:rsidRDefault="001B08E4" w:rsidP="001B08E4">
      <w:pPr>
        <w:rPr>
          <w:rFonts w:eastAsiaTheme="minorHAnsi" w:cs="Arial"/>
          <w:iCs/>
          <w:szCs w:val="24"/>
          <w:lang w:eastAsia="en-US"/>
        </w:rPr>
      </w:pPr>
    </w:p>
    <w:p w:rsidR="001B08E4" w:rsidRPr="002F502C" w:rsidRDefault="001B08E4" w:rsidP="001B08E4">
      <w:pPr>
        <w:rPr>
          <w:rFonts w:eastAsiaTheme="minorHAnsi" w:cs="Arial"/>
          <w:iCs/>
          <w:spacing w:val="-4"/>
          <w:szCs w:val="24"/>
          <w:lang w:eastAsia="en-US"/>
        </w:rPr>
      </w:pPr>
      <w:r w:rsidRPr="002F502C">
        <w:rPr>
          <w:rFonts w:eastAsiaTheme="minorHAnsi" w:cs="Arial"/>
          <w:iCs/>
          <w:spacing w:val="-4"/>
          <w:szCs w:val="24"/>
          <w:lang w:eastAsia="en-US"/>
        </w:rPr>
        <w:t xml:space="preserve">Il progetto è stato allestito secondo i principi generali del documento </w:t>
      </w:r>
      <w:r w:rsidRPr="002F502C">
        <w:rPr>
          <w:rFonts w:eastAsiaTheme="minorHAnsi" w:cs="Arial"/>
          <w:i/>
          <w:spacing w:val="-4"/>
          <w:szCs w:val="24"/>
          <w:lang w:eastAsia="en-US"/>
        </w:rPr>
        <w:t>Continuità nel bosco di protezione e controllo dell’efficacia</w:t>
      </w:r>
      <w:r w:rsidRPr="002F502C">
        <w:rPr>
          <w:rFonts w:eastAsiaTheme="minorHAnsi" w:cs="Arial"/>
          <w:iCs/>
          <w:spacing w:val="-4"/>
          <w:szCs w:val="24"/>
          <w:lang w:eastAsia="en-US"/>
        </w:rPr>
        <w:t xml:space="preserve"> (</w:t>
      </w:r>
      <w:proofErr w:type="spellStart"/>
      <w:r w:rsidRPr="002F502C">
        <w:rPr>
          <w:rFonts w:eastAsiaTheme="minorHAnsi" w:cs="Arial"/>
          <w:iCs/>
          <w:spacing w:val="-4"/>
          <w:szCs w:val="24"/>
          <w:lang w:eastAsia="en-US"/>
        </w:rPr>
        <w:t>NAiS</w:t>
      </w:r>
      <w:proofErr w:type="spellEnd"/>
      <w:r w:rsidRPr="002F502C">
        <w:rPr>
          <w:rFonts w:eastAsiaTheme="minorHAnsi" w:cs="Arial"/>
          <w:iCs/>
          <w:spacing w:val="-4"/>
          <w:szCs w:val="24"/>
          <w:lang w:eastAsia="en-US"/>
        </w:rPr>
        <w:t>), che contiene le istruzioni per le cure nei boschi con funzione protettiva elaborate dall’Ufficio federale dell’ambiente, delle foreste e del paesaggio.</w:t>
      </w:r>
    </w:p>
    <w:p w:rsidR="001B08E4" w:rsidRDefault="001B08E4" w:rsidP="00AE59AB">
      <w:pPr>
        <w:rPr>
          <w:rFonts w:eastAsiaTheme="minorHAnsi" w:cs="Arial"/>
          <w:iCs/>
          <w:szCs w:val="24"/>
          <w:lang w:eastAsia="en-US"/>
        </w:rPr>
      </w:pPr>
    </w:p>
    <w:p w:rsidR="00AE59AB" w:rsidRDefault="00AE59AB" w:rsidP="00AE59AB">
      <w:pPr>
        <w:rPr>
          <w:rFonts w:eastAsiaTheme="minorHAnsi" w:cs="Arial"/>
          <w:iCs/>
          <w:szCs w:val="24"/>
          <w:lang w:eastAsia="en-US"/>
        </w:rPr>
      </w:pPr>
    </w:p>
    <w:p w:rsidR="001B08E4" w:rsidRPr="00F358E4" w:rsidRDefault="001B08E4" w:rsidP="00AE59AB">
      <w:pPr>
        <w:pStyle w:val="Paragrafoelenco"/>
        <w:numPr>
          <w:ilvl w:val="1"/>
          <w:numId w:val="32"/>
        </w:numPr>
        <w:spacing w:after="120"/>
        <w:ind w:left="567" w:hanging="573"/>
        <w:contextualSpacing w:val="0"/>
        <w:rPr>
          <w:rFonts w:eastAsiaTheme="minorHAnsi" w:cs="Arial"/>
          <w:b/>
          <w:bCs/>
          <w:iCs/>
          <w:szCs w:val="24"/>
          <w:lang w:eastAsia="en-US"/>
        </w:rPr>
      </w:pPr>
      <w:r>
        <w:rPr>
          <w:rFonts w:eastAsiaTheme="minorHAnsi" w:cs="Arial"/>
          <w:b/>
          <w:bCs/>
          <w:iCs/>
          <w:szCs w:val="24"/>
          <w:lang w:eastAsia="en-US"/>
        </w:rPr>
        <w:t>Preventivo di spesa e contributi</w:t>
      </w:r>
    </w:p>
    <w:p w:rsidR="001B08E4" w:rsidRDefault="001B08E4" w:rsidP="001B08E4">
      <w:pPr>
        <w:rPr>
          <w:rFonts w:eastAsiaTheme="minorHAnsi" w:cs="Arial"/>
          <w:iCs/>
          <w:szCs w:val="24"/>
          <w:lang w:eastAsia="en-US"/>
        </w:rPr>
      </w:pPr>
      <w:r>
        <w:rPr>
          <w:rFonts w:eastAsiaTheme="minorHAnsi" w:cs="Arial"/>
          <w:iCs/>
          <w:szCs w:val="24"/>
          <w:lang w:eastAsia="en-US"/>
        </w:rPr>
        <w:t>Il preventivo di spesa è il seguente.</w:t>
      </w:r>
    </w:p>
    <w:p w:rsidR="001B08E4" w:rsidRDefault="001B08E4" w:rsidP="001B08E4">
      <w:pPr>
        <w:rPr>
          <w:rFonts w:eastAsiaTheme="minorHAnsi" w:cs="Arial"/>
          <w:iCs/>
          <w:szCs w:val="24"/>
          <w:lang w:eastAsia="en-US"/>
        </w:rPr>
      </w:pPr>
    </w:p>
    <w:p w:rsidR="001B08E4" w:rsidRPr="00867BF7" w:rsidRDefault="001B08E4" w:rsidP="001B08E4">
      <w:pPr>
        <w:pStyle w:val="Titolo2"/>
      </w:pPr>
      <w:r w:rsidRPr="00867BF7">
        <w:t xml:space="preserve">Interventi </w:t>
      </w:r>
      <w:proofErr w:type="spellStart"/>
      <w:r w:rsidRPr="00867BF7">
        <w:t>selvicolturali</w:t>
      </w:r>
      <w:proofErr w:type="spellEnd"/>
    </w:p>
    <w:tbl>
      <w:tblPr>
        <w:tblStyle w:val="Grigliatabella"/>
        <w:tblW w:w="0" w:type="auto"/>
        <w:tblInd w:w="108" w:type="dxa"/>
        <w:tblLook w:val="01E0" w:firstRow="1" w:lastRow="1" w:firstColumn="1" w:lastColumn="1" w:noHBand="0" w:noVBand="0"/>
      </w:tblPr>
      <w:tblGrid>
        <w:gridCol w:w="5308"/>
        <w:gridCol w:w="416"/>
        <w:gridCol w:w="1376"/>
      </w:tblGrid>
      <w:tr w:rsidR="001B08E4" w:rsidRPr="00634A44" w:rsidTr="000714FA">
        <w:tc>
          <w:tcPr>
            <w:tcW w:w="0" w:type="auto"/>
            <w:tcBorders>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Installazione cantiere</w:t>
            </w:r>
          </w:p>
        </w:tc>
        <w:tc>
          <w:tcPr>
            <w:tcW w:w="0" w:type="auto"/>
            <w:tcBorders>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0" w:type="auto"/>
            <w:tcBorders>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50'000.00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Creazione della foreste</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44’800.00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Protezione della rinnovazione</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83’790.00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 xml:space="preserve">Cure </w:t>
            </w:r>
            <w:proofErr w:type="spellStart"/>
            <w:r w:rsidRPr="00634A44">
              <w:rPr>
                <w:sz w:val="20"/>
              </w:rPr>
              <w:t>selvicolturali</w:t>
            </w:r>
            <w:proofErr w:type="spellEnd"/>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136’400.00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Taglio del bosco</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254’000.00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Esbosco del legname</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457’600.00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Lavorazione del legname sul piazzale d’esbosco</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79’800.00</w:t>
            </w:r>
          </w:p>
        </w:tc>
      </w:tr>
      <w:tr w:rsidR="001B08E4" w:rsidRPr="00FE3C88"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Trasporto legname dal deposito intermedio a quello finale</w:t>
            </w:r>
          </w:p>
        </w:tc>
        <w:tc>
          <w:tcPr>
            <w:tcW w:w="0" w:type="auto"/>
            <w:tcBorders>
              <w:top w:val="dotted" w:sz="4" w:space="0" w:color="auto"/>
              <w:left w:val="nil"/>
              <w:bottom w:val="dotted" w:sz="4" w:space="0" w:color="auto"/>
              <w:right w:val="nil"/>
            </w:tcBorders>
          </w:tcPr>
          <w:p w:rsidR="001B08E4" w:rsidRPr="00634A44" w:rsidRDefault="001B08E4" w:rsidP="000714FA">
            <w:pPr>
              <w:jc w:val="center"/>
              <w:rPr>
                <w:sz w:val="20"/>
              </w:rPr>
            </w:pPr>
            <w:r w:rsidRPr="00634A44">
              <w:rPr>
                <w:sz w:val="20"/>
              </w:rPr>
              <w:t>fr.</w:t>
            </w:r>
          </w:p>
        </w:tc>
        <w:tc>
          <w:tcPr>
            <w:tcW w:w="0" w:type="auto"/>
            <w:tcBorders>
              <w:top w:val="dotted" w:sz="4" w:space="0" w:color="auto"/>
              <w:left w:val="nil"/>
              <w:bottom w:val="dotted" w:sz="4" w:space="0" w:color="auto"/>
              <w:right w:val="nil"/>
            </w:tcBorders>
          </w:tcPr>
          <w:p w:rsidR="001B08E4" w:rsidRPr="00FE3C88" w:rsidRDefault="001B08E4" w:rsidP="000714FA">
            <w:pPr>
              <w:tabs>
                <w:tab w:val="left" w:pos="567"/>
                <w:tab w:val="left" w:pos="1134"/>
              </w:tabs>
              <w:jc w:val="right"/>
              <w:rPr>
                <w:sz w:val="20"/>
              </w:rPr>
            </w:pPr>
            <w:r w:rsidRPr="00FE3C88">
              <w:rPr>
                <w:sz w:val="20"/>
              </w:rPr>
              <w:t>39'000.00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Opere tecniche</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48'900.00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Imprevisti (8%)</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95'543.20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Lavori a regia</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161’200.00</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Indennità intemperie (1%)</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12'898.33</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IVA per opere da impresario forestale (7.7%)</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112'722.73</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Progettazione e direzione lavori (10%)</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174'123.98</w:t>
            </w:r>
          </w:p>
        </w:tc>
      </w:tr>
      <w:tr w:rsidR="001B08E4" w:rsidRPr="00634A44" w:rsidTr="000714FA">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left"/>
              <w:rPr>
                <w:sz w:val="20"/>
              </w:rPr>
            </w:pPr>
            <w:r w:rsidRPr="00634A44">
              <w:rPr>
                <w:sz w:val="20"/>
              </w:rPr>
              <w:t>IVA per progettazione e direzione lavori (7.7%)</w:t>
            </w:r>
          </w:p>
        </w:tc>
        <w:tc>
          <w:tcPr>
            <w:tcW w:w="0" w:type="auto"/>
            <w:tcBorders>
              <w:top w:val="dotted" w:sz="4" w:space="0" w:color="auto"/>
              <w:left w:val="nil"/>
              <w:bottom w:val="dotted"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13'407.55</w:t>
            </w:r>
          </w:p>
        </w:tc>
      </w:tr>
      <w:tr w:rsidR="001B08E4" w:rsidRPr="00634A44" w:rsidTr="000714FA">
        <w:tc>
          <w:tcPr>
            <w:tcW w:w="0" w:type="auto"/>
            <w:tcBorders>
              <w:top w:val="dotted" w:sz="4" w:space="0" w:color="auto"/>
              <w:left w:val="nil"/>
              <w:bottom w:val="single" w:sz="4" w:space="0" w:color="auto"/>
              <w:right w:val="nil"/>
            </w:tcBorders>
          </w:tcPr>
          <w:p w:rsidR="001B08E4" w:rsidRPr="00634A44" w:rsidRDefault="001B08E4" w:rsidP="000714FA">
            <w:pPr>
              <w:tabs>
                <w:tab w:val="left" w:pos="567"/>
                <w:tab w:val="left" w:pos="1134"/>
              </w:tabs>
              <w:jc w:val="left"/>
              <w:rPr>
                <w:sz w:val="20"/>
              </w:rPr>
            </w:pPr>
            <w:r w:rsidRPr="00634A44">
              <w:rPr>
                <w:sz w:val="20"/>
              </w:rPr>
              <w:t>Arrotondamento</w:t>
            </w:r>
          </w:p>
        </w:tc>
        <w:tc>
          <w:tcPr>
            <w:tcW w:w="0" w:type="auto"/>
            <w:tcBorders>
              <w:top w:val="dotted" w:sz="4" w:space="0" w:color="auto"/>
              <w:left w:val="nil"/>
              <w:bottom w:val="single" w:sz="4" w:space="0" w:color="auto"/>
              <w:right w:val="nil"/>
            </w:tcBorders>
          </w:tcPr>
          <w:p w:rsidR="001B08E4" w:rsidRPr="00634A44" w:rsidRDefault="001B08E4" w:rsidP="000714FA">
            <w:pPr>
              <w:jc w:val="center"/>
            </w:pPr>
            <w:r w:rsidRPr="00634A44">
              <w:rPr>
                <w:sz w:val="20"/>
              </w:rPr>
              <w:t>fr.</w:t>
            </w:r>
          </w:p>
        </w:tc>
        <w:tc>
          <w:tcPr>
            <w:tcW w:w="0" w:type="auto"/>
            <w:tcBorders>
              <w:top w:val="dotted" w:sz="4" w:space="0" w:color="auto"/>
              <w:left w:val="nil"/>
              <w:bottom w:val="single" w:sz="4" w:space="0" w:color="auto"/>
              <w:right w:val="nil"/>
            </w:tcBorders>
          </w:tcPr>
          <w:p w:rsidR="001B08E4" w:rsidRPr="00634A44" w:rsidRDefault="001B08E4" w:rsidP="000714FA">
            <w:pPr>
              <w:tabs>
                <w:tab w:val="left" w:pos="567"/>
                <w:tab w:val="left" w:pos="1134"/>
              </w:tabs>
              <w:jc w:val="right"/>
              <w:rPr>
                <w:sz w:val="20"/>
              </w:rPr>
            </w:pPr>
            <w:r w:rsidRPr="00634A44">
              <w:rPr>
                <w:sz w:val="20"/>
              </w:rPr>
              <w:t>-185.79</w:t>
            </w:r>
          </w:p>
        </w:tc>
      </w:tr>
      <w:tr w:rsidR="001B08E4" w:rsidRPr="00634A44" w:rsidTr="000714FA">
        <w:tc>
          <w:tcPr>
            <w:tcW w:w="0" w:type="auto"/>
            <w:tcBorders>
              <w:left w:val="nil"/>
              <w:right w:val="nil"/>
            </w:tcBorders>
            <w:shd w:val="pct15" w:color="auto" w:fill="auto"/>
          </w:tcPr>
          <w:p w:rsidR="001B08E4" w:rsidRPr="00634A44" w:rsidRDefault="001B08E4" w:rsidP="000714FA">
            <w:pPr>
              <w:tabs>
                <w:tab w:val="left" w:pos="567"/>
                <w:tab w:val="left" w:pos="1134"/>
              </w:tabs>
              <w:jc w:val="left"/>
              <w:rPr>
                <w:b/>
                <w:sz w:val="20"/>
              </w:rPr>
            </w:pPr>
            <w:r w:rsidRPr="00634A44">
              <w:rPr>
                <w:b/>
                <w:sz w:val="20"/>
              </w:rPr>
              <w:t>Totale</w:t>
            </w:r>
            <w:r w:rsidRPr="00634A44">
              <w:rPr>
                <w:sz w:val="20"/>
                <w:vertAlign w:val="superscript"/>
              </w:rPr>
              <w:t>1)</w:t>
            </w:r>
          </w:p>
        </w:tc>
        <w:tc>
          <w:tcPr>
            <w:tcW w:w="0" w:type="auto"/>
            <w:tcBorders>
              <w:left w:val="nil"/>
              <w:right w:val="nil"/>
            </w:tcBorders>
            <w:shd w:val="pct15" w:color="auto" w:fill="auto"/>
          </w:tcPr>
          <w:p w:rsidR="001B08E4" w:rsidRPr="00634A44" w:rsidRDefault="001B08E4" w:rsidP="000714FA">
            <w:pPr>
              <w:jc w:val="center"/>
              <w:rPr>
                <w:b/>
              </w:rPr>
            </w:pPr>
            <w:r w:rsidRPr="00634A44">
              <w:rPr>
                <w:b/>
                <w:sz w:val="20"/>
              </w:rPr>
              <w:t>fr.</w:t>
            </w:r>
          </w:p>
        </w:tc>
        <w:tc>
          <w:tcPr>
            <w:tcW w:w="0" w:type="auto"/>
            <w:tcBorders>
              <w:left w:val="nil"/>
              <w:right w:val="nil"/>
            </w:tcBorders>
            <w:shd w:val="pct15" w:color="auto" w:fill="auto"/>
          </w:tcPr>
          <w:p w:rsidR="001B08E4" w:rsidRPr="00634A44" w:rsidRDefault="001B08E4" w:rsidP="000714FA">
            <w:pPr>
              <w:tabs>
                <w:tab w:val="left" w:pos="567"/>
                <w:tab w:val="left" w:pos="1134"/>
              </w:tabs>
              <w:jc w:val="right"/>
              <w:rPr>
                <w:b/>
                <w:sz w:val="20"/>
              </w:rPr>
            </w:pPr>
            <w:r w:rsidRPr="00634A44">
              <w:rPr>
                <w:b/>
                <w:sz w:val="20"/>
              </w:rPr>
              <w:t>1'764’000.00</w:t>
            </w:r>
          </w:p>
        </w:tc>
      </w:tr>
    </w:tbl>
    <w:p w:rsidR="001B08E4" w:rsidRPr="00634A44" w:rsidRDefault="001B08E4" w:rsidP="001B08E4">
      <w:pPr>
        <w:tabs>
          <w:tab w:val="left" w:pos="284"/>
          <w:tab w:val="left" w:pos="426"/>
          <w:tab w:val="left" w:pos="4962"/>
        </w:tabs>
        <w:spacing w:before="80"/>
        <w:rPr>
          <w:rFonts w:cs="Arial"/>
          <w:sz w:val="16"/>
          <w:szCs w:val="16"/>
        </w:rPr>
      </w:pPr>
      <w:r w:rsidRPr="0071373F">
        <w:rPr>
          <w:rFonts w:cs="Arial"/>
          <w:sz w:val="16"/>
          <w:szCs w:val="16"/>
          <w:vertAlign w:val="superscript"/>
        </w:rPr>
        <w:t>1)</w:t>
      </w:r>
      <w:r w:rsidRPr="0071373F">
        <w:rPr>
          <w:rFonts w:cs="Arial"/>
          <w:sz w:val="16"/>
          <w:szCs w:val="16"/>
        </w:rPr>
        <w:t xml:space="preserve"> compreso rincaro (0.5% all’anno)</w:t>
      </w:r>
    </w:p>
    <w:p w:rsidR="001B08E4" w:rsidRDefault="001B08E4" w:rsidP="001B08E4">
      <w:pPr>
        <w:rPr>
          <w:rFonts w:eastAsiaTheme="minorHAnsi" w:cs="Arial"/>
          <w:iCs/>
          <w:szCs w:val="24"/>
          <w:lang w:eastAsia="en-US"/>
        </w:rPr>
      </w:pPr>
    </w:p>
    <w:p w:rsidR="001B08E4" w:rsidRPr="00867BF7" w:rsidRDefault="001B08E4" w:rsidP="001B08E4">
      <w:pPr>
        <w:pStyle w:val="Titolo2"/>
      </w:pPr>
      <w:bookmarkStart w:id="1" w:name="OLE_LINK8"/>
      <w:bookmarkStart w:id="2" w:name="OLE_LINK9"/>
      <w:r w:rsidRPr="00867BF7">
        <w:t>Infrastrutture di allacciamento e rete antincendio</w:t>
      </w:r>
    </w:p>
    <w:tbl>
      <w:tblPr>
        <w:tblStyle w:val="Grigliatabella"/>
        <w:tblW w:w="0" w:type="auto"/>
        <w:tblLook w:val="01E0" w:firstRow="1" w:lastRow="1" w:firstColumn="1" w:lastColumn="1" w:noHBand="0" w:noVBand="0"/>
      </w:tblPr>
      <w:tblGrid>
        <w:gridCol w:w="5387"/>
        <w:gridCol w:w="425"/>
        <w:gridCol w:w="1418"/>
      </w:tblGrid>
      <w:tr w:rsidR="001B08E4" w:rsidRPr="00634A44" w:rsidTr="000714FA">
        <w:tc>
          <w:tcPr>
            <w:tcW w:w="5387" w:type="dxa"/>
            <w:tcBorders>
              <w:left w:val="nil"/>
              <w:bottom w:val="dotted" w:sz="4" w:space="0" w:color="auto"/>
              <w:right w:val="nil"/>
            </w:tcBorders>
          </w:tcPr>
          <w:bookmarkEnd w:id="1"/>
          <w:bookmarkEnd w:id="2"/>
          <w:p w:rsidR="001B08E4" w:rsidRPr="00634A44" w:rsidRDefault="001B08E4" w:rsidP="000714FA">
            <w:pPr>
              <w:tabs>
                <w:tab w:val="left" w:pos="567"/>
                <w:tab w:val="left" w:pos="1134"/>
              </w:tabs>
              <w:rPr>
                <w:b/>
                <w:sz w:val="20"/>
                <w:u w:val="single"/>
              </w:rPr>
            </w:pPr>
            <w:r w:rsidRPr="00634A44">
              <w:rPr>
                <w:b/>
                <w:sz w:val="20"/>
                <w:u w:val="single"/>
              </w:rPr>
              <w:t>Accessibilità</w:t>
            </w:r>
          </w:p>
          <w:p w:rsidR="001B08E4" w:rsidRPr="00634A44" w:rsidRDefault="001B08E4" w:rsidP="000714FA">
            <w:pPr>
              <w:tabs>
                <w:tab w:val="left" w:pos="567"/>
                <w:tab w:val="left" w:pos="1134"/>
              </w:tabs>
              <w:rPr>
                <w:sz w:val="20"/>
              </w:rPr>
            </w:pPr>
            <w:r w:rsidRPr="00634A44">
              <w:rPr>
                <w:sz w:val="20"/>
              </w:rPr>
              <w:t>Pista forestale “</w:t>
            </w:r>
            <w:proofErr w:type="spellStart"/>
            <w:r w:rsidRPr="00634A44">
              <w:rPr>
                <w:sz w:val="20"/>
              </w:rPr>
              <w:t>Trigumo</w:t>
            </w:r>
            <w:proofErr w:type="spellEnd"/>
            <w:r w:rsidRPr="00634A44">
              <w:rPr>
                <w:sz w:val="20"/>
              </w:rPr>
              <w:t>” con piazzale finale</w:t>
            </w:r>
          </w:p>
        </w:tc>
        <w:tc>
          <w:tcPr>
            <w:tcW w:w="425" w:type="dxa"/>
            <w:tcBorders>
              <w:left w:val="nil"/>
              <w:bottom w:val="dotted" w:sz="4" w:space="0" w:color="auto"/>
              <w:right w:val="nil"/>
            </w:tcBorders>
          </w:tcPr>
          <w:p w:rsidR="001B08E4" w:rsidRPr="00634A44" w:rsidRDefault="001B08E4" w:rsidP="000714FA">
            <w:pPr>
              <w:tabs>
                <w:tab w:val="left" w:pos="567"/>
                <w:tab w:val="left" w:pos="1134"/>
              </w:tabs>
              <w:jc w:val="center"/>
              <w:rPr>
                <w:b/>
                <w:sz w:val="20"/>
              </w:rPr>
            </w:pPr>
          </w:p>
          <w:p w:rsidR="001B08E4" w:rsidRPr="00634A44" w:rsidRDefault="001B08E4" w:rsidP="000714FA">
            <w:pPr>
              <w:tabs>
                <w:tab w:val="left" w:pos="567"/>
                <w:tab w:val="left" w:pos="1134"/>
              </w:tabs>
              <w:jc w:val="center"/>
              <w:rPr>
                <w:sz w:val="20"/>
              </w:rPr>
            </w:pPr>
            <w:r w:rsidRPr="00634A44">
              <w:rPr>
                <w:sz w:val="20"/>
              </w:rPr>
              <w:t>fr.</w:t>
            </w:r>
          </w:p>
        </w:tc>
        <w:tc>
          <w:tcPr>
            <w:tcW w:w="1418" w:type="dxa"/>
            <w:tcBorders>
              <w:left w:val="nil"/>
              <w:bottom w:val="dotted" w:sz="4" w:space="0" w:color="auto"/>
              <w:right w:val="nil"/>
            </w:tcBorders>
          </w:tcPr>
          <w:p w:rsidR="001B08E4" w:rsidRPr="00634A44" w:rsidRDefault="001B08E4" w:rsidP="000714FA">
            <w:pPr>
              <w:tabs>
                <w:tab w:val="left" w:pos="567"/>
                <w:tab w:val="left" w:pos="1134"/>
              </w:tabs>
              <w:jc w:val="right"/>
              <w:rPr>
                <w:b/>
                <w:sz w:val="20"/>
              </w:rPr>
            </w:pPr>
          </w:p>
          <w:p w:rsidR="001B08E4" w:rsidRPr="00634A44" w:rsidRDefault="001B08E4" w:rsidP="000714FA">
            <w:pPr>
              <w:tabs>
                <w:tab w:val="left" w:pos="567"/>
                <w:tab w:val="left" w:pos="1134"/>
              </w:tabs>
              <w:jc w:val="right"/>
              <w:rPr>
                <w:sz w:val="20"/>
              </w:rPr>
            </w:pPr>
            <w:r w:rsidRPr="00634A44">
              <w:rPr>
                <w:sz w:val="20"/>
              </w:rPr>
              <w:t>199’990.00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Risanamento e ampliamento piazzale “</w:t>
            </w:r>
            <w:proofErr w:type="spellStart"/>
            <w:r w:rsidRPr="00634A44">
              <w:rPr>
                <w:sz w:val="20"/>
              </w:rPr>
              <w:t>Rabissale</w:t>
            </w:r>
            <w:proofErr w:type="spellEnd"/>
            <w:r w:rsidRPr="00634A44">
              <w:rPr>
                <w:sz w:val="20"/>
              </w:rPr>
              <w:t>”</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119’745.00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Rincaro periodo 2021-2022 (0%)</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Indennità intemperie e imprevisti (</w:t>
            </w:r>
            <w:proofErr w:type="spellStart"/>
            <w:r w:rsidRPr="00634A44">
              <w:rPr>
                <w:sz w:val="20"/>
              </w:rPr>
              <w:t>ca</w:t>
            </w:r>
            <w:proofErr w:type="spellEnd"/>
            <w:r w:rsidRPr="00634A44">
              <w:rPr>
                <w:sz w:val="20"/>
              </w:rPr>
              <w:t>. 10%)</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32'000.00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Lavori a regia</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15’025.00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IVA lavori (7.7%)</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28'240.50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Progettazione e direzione lavori (10.5%)</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40'000.00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IVA progettazione e direzione lavori (7.7%)</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3'080.00</w:t>
            </w:r>
          </w:p>
        </w:tc>
      </w:tr>
      <w:tr w:rsidR="001B08E4" w:rsidRPr="00FE3C88" w:rsidTr="000714FA">
        <w:tc>
          <w:tcPr>
            <w:tcW w:w="5387" w:type="dxa"/>
            <w:tcBorders>
              <w:top w:val="dotted" w:sz="4" w:space="0" w:color="auto"/>
              <w:left w:val="nil"/>
              <w:bottom w:val="single" w:sz="4" w:space="0" w:color="auto"/>
              <w:right w:val="nil"/>
            </w:tcBorders>
          </w:tcPr>
          <w:p w:rsidR="001B08E4" w:rsidRPr="00634A44" w:rsidRDefault="001B08E4" w:rsidP="000714FA">
            <w:pPr>
              <w:tabs>
                <w:tab w:val="left" w:pos="567"/>
                <w:tab w:val="left" w:pos="1134"/>
              </w:tabs>
              <w:rPr>
                <w:sz w:val="20"/>
              </w:rPr>
            </w:pPr>
            <w:r w:rsidRPr="00634A44">
              <w:rPr>
                <w:sz w:val="20"/>
              </w:rPr>
              <w:t>Arrotondamento</w:t>
            </w:r>
          </w:p>
        </w:tc>
        <w:tc>
          <w:tcPr>
            <w:tcW w:w="425" w:type="dxa"/>
            <w:tcBorders>
              <w:top w:val="dotted" w:sz="4" w:space="0" w:color="auto"/>
              <w:left w:val="nil"/>
              <w:bottom w:val="single"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single" w:sz="4" w:space="0" w:color="auto"/>
              <w:right w:val="nil"/>
            </w:tcBorders>
          </w:tcPr>
          <w:p w:rsidR="001B08E4" w:rsidRPr="00FE3C88" w:rsidRDefault="001B08E4" w:rsidP="000714FA">
            <w:pPr>
              <w:tabs>
                <w:tab w:val="left" w:pos="567"/>
                <w:tab w:val="left" w:pos="1134"/>
              </w:tabs>
              <w:jc w:val="right"/>
              <w:rPr>
                <w:sz w:val="20"/>
              </w:rPr>
            </w:pPr>
            <w:r w:rsidRPr="00FE3C88">
              <w:rPr>
                <w:sz w:val="20"/>
              </w:rPr>
              <w:t>919.50</w:t>
            </w:r>
          </w:p>
        </w:tc>
      </w:tr>
      <w:tr w:rsidR="001B08E4" w:rsidRPr="00634A44" w:rsidTr="000714FA">
        <w:tc>
          <w:tcPr>
            <w:tcW w:w="5387" w:type="dxa"/>
            <w:tcBorders>
              <w:top w:val="dotted" w:sz="4" w:space="0" w:color="auto"/>
              <w:left w:val="nil"/>
              <w:bottom w:val="double" w:sz="4" w:space="0" w:color="auto"/>
              <w:right w:val="nil"/>
            </w:tcBorders>
          </w:tcPr>
          <w:p w:rsidR="001B08E4" w:rsidRPr="00634A44" w:rsidRDefault="001B08E4" w:rsidP="000714FA">
            <w:pPr>
              <w:tabs>
                <w:tab w:val="left" w:pos="567"/>
                <w:tab w:val="left" w:pos="1134"/>
              </w:tabs>
              <w:rPr>
                <w:b/>
                <w:sz w:val="20"/>
              </w:rPr>
            </w:pPr>
            <w:r w:rsidRPr="00634A44">
              <w:rPr>
                <w:b/>
                <w:sz w:val="20"/>
              </w:rPr>
              <w:t>Subtotale</w:t>
            </w:r>
          </w:p>
        </w:tc>
        <w:tc>
          <w:tcPr>
            <w:tcW w:w="425" w:type="dxa"/>
            <w:tcBorders>
              <w:top w:val="dotted" w:sz="4" w:space="0" w:color="auto"/>
              <w:left w:val="nil"/>
              <w:bottom w:val="double" w:sz="4" w:space="0" w:color="auto"/>
              <w:right w:val="nil"/>
            </w:tcBorders>
          </w:tcPr>
          <w:p w:rsidR="001B08E4" w:rsidRPr="00634A44" w:rsidRDefault="001B08E4" w:rsidP="000714FA">
            <w:pPr>
              <w:tabs>
                <w:tab w:val="left" w:pos="567"/>
                <w:tab w:val="left" w:pos="1134"/>
              </w:tabs>
              <w:jc w:val="center"/>
              <w:rPr>
                <w:b/>
                <w:sz w:val="20"/>
              </w:rPr>
            </w:pPr>
            <w:r w:rsidRPr="00634A44">
              <w:rPr>
                <w:b/>
                <w:sz w:val="20"/>
              </w:rPr>
              <w:t>fr.</w:t>
            </w:r>
          </w:p>
        </w:tc>
        <w:tc>
          <w:tcPr>
            <w:tcW w:w="1418" w:type="dxa"/>
            <w:tcBorders>
              <w:top w:val="dotted" w:sz="4" w:space="0" w:color="auto"/>
              <w:left w:val="nil"/>
              <w:bottom w:val="double" w:sz="4" w:space="0" w:color="auto"/>
              <w:right w:val="nil"/>
            </w:tcBorders>
          </w:tcPr>
          <w:p w:rsidR="001B08E4" w:rsidRPr="00634A44" w:rsidRDefault="001B08E4" w:rsidP="000714FA">
            <w:pPr>
              <w:tabs>
                <w:tab w:val="left" w:pos="567"/>
                <w:tab w:val="left" w:pos="1134"/>
              </w:tabs>
              <w:jc w:val="right"/>
              <w:rPr>
                <w:b/>
                <w:sz w:val="20"/>
              </w:rPr>
            </w:pPr>
            <w:r w:rsidRPr="00634A44">
              <w:rPr>
                <w:b/>
                <w:sz w:val="20"/>
              </w:rPr>
              <w:t>439'000.</w:t>
            </w:r>
            <w:r>
              <w:rPr>
                <w:b/>
                <w:sz w:val="20"/>
              </w:rPr>
              <w:t>00</w:t>
            </w:r>
          </w:p>
        </w:tc>
      </w:tr>
      <w:tr w:rsidR="001B08E4" w:rsidRPr="00634A44" w:rsidTr="000714FA">
        <w:tc>
          <w:tcPr>
            <w:tcW w:w="5387" w:type="dxa"/>
            <w:tcBorders>
              <w:top w:val="double" w:sz="4" w:space="0" w:color="auto"/>
              <w:left w:val="nil"/>
              <w:bottom w:val="dotted" w:sz="4" w:space="0" w:color="auto"/>
              <w:right w:val="nil"/>
            </w:tcBorders>
          </w:tcPr>
          <w:p w:rsidR="001B08E4" w:rsidRPr="00634A44" w:rsidRDefault="001B08E4" w:rsidP="000714FA">
            <w:pPr>
              <w:tabs>
                <w:tab w:val="left" w:pos="567"/>
                <w:tab w:val="left" w:pos="1134"/>
              </w:tabs>
              <w:rPr>
                <w:b/>
                <w:sz w:val="20"/>
                <w:u w:val="single"/>
              </w:rPr>
            </w:pPr>
            <w:r w:rsidRPr="00634A44">
              <w:rPr>
                <w:b/>
                <w:sz w:val="20"/>
                <w:u w:val="single"/>
              </w:rPr>
              <w:t>Antincendio</w:t>
            </w:r>
          </w:p>
          <w:p w:rsidR="001B08E4" w:rsidRPr="00634A44" w:rsidRDefault="001B08E4" w:rsidP="000714FA">
            <w:pPr>
              <w:tabs>
                <w:tab w:val="left" w:pos="567"/>
                <w:tab w:val="left" w:pos="1134"/>
              </w:tabs>
              <w:rPr>
                <w:sz w:val="20"/>
              </w:rPr>
            </w:pPr>
            <w:r w:rsidRPr="00634A44">
              <w:rPr>
                <w:sz w:val="20"/>
              </w:rPr>
              <w:t>Rete idranti</w:t>
            </w:r>
          </w:p>
        </w:tc>
        <w:tc>
          <w:tcPr>
            <w:tcW w:w="425" w:type="dxa"/>
            <w:tcBorders>
              <w:top w:val="double"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p>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uble"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p>
          <w:p w:rsidR="001B08E4" w:rsidRPr="00634A44" w:rsidRDefault="001B08E4" w:rsidP="000714FA">
            <w:pPr>
              <w:tabs>
                <w:tab w:val="left" w:pos="567"/>
                <w:tab w:val="left" w:pos="1134"/>
              </w:tabs>
              <w:jc w:val="right"/>
              <w:rPr>
                <w:sz w:val="20"/>
              </w:rPr>
            </w:pPr>
            <w:r w:rsidRPr="00634A44">
              <w:rPr>
                <w:sz w:val="20"/>
              </w:rPr>
              <w:t>114'025.00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Rincaro periodo 2021-2022 (0%)</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Indennità intemperie e imprevisti (</w:t>
            </w:r>
            <w:proofErr w:type="spellStart"/>
            <w:r w:rsidRPr="00634A44">
              <w:rPr>
                <w:sz w:val="20"/>
              </w:rPr>
              <w:t>ca</w:t>
            </w:r>
            <w:proofErr w:type="spellEnd"/>
            <w:r w:rsidRPr="00634A44">
              <w:rPr>
                <w:sz w:val="20"/>
              </w:rPr>
              <w:t>. 10%)</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12'000.00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Lavori a regia</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5’355.00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IVA lavori (7.7%)</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10'116.25</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Progettazione e direzione lavori (10.7%)</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14'000.00</w:t>
            </w:r>
          </w:p>
        </w:tc>
      </w:tr>
      <w:tr w:rsidR="001B08E4" w:rsidRPr="00634A44" w:rsidTr="000714FA">
        <w:tc>
          <w:tcPr>
            <w:tcW w:w="5387"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rPr>
                <w:sz w:val="20"/>
              </w:rPr>
            </w:pPr>
            <w:r w:rsidRPr="00634A44">
              <w:rPr>
                <w:sz w:val="20"/>
              </w:rPr>
              <w:t>IVA progettazione e direzione lavori (7.7%)</w:t>
            </w:r>
          </w:p>
        </w:tc>
        <w:tc>
          <w:tcPr>
            <w:tcW w:w="425"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dotted" w:sz="4" w:space="0" w:color="auto"/>
              <w:right w:val="nil"/>
            </w:tcBorders>
          </w:tcPr>
          <w:p w:rsidR="001B08E4" w:rsidRPr="00634A44" w:rsidRDefault="001B08E4" w:rsidP="000714FA">
            <w:pPr>
              <w:tabs>
                <w:tab w:val="left" w:pos="567"/>
                <w:tab w:val="left" w:pos="1134"/>
              </w:tabs>
              <w:jc w:val="right"/>
              <w:rPr>
                <w:sz w:val="20"/>
              </w:rPr>
            </w:pPr>
            <w:r w:rsidRPr="00634A44">
              <w:rPr>
                <w:sz w:val="20"/>
              </w:rPr>
              <w:t>1’078.00</w:t>
            </w:r>
          </w:p>
        </w:tc>
      </w:tr>
      <w:tr w:rsidR="001B08E4" w:rsidRPr="00FE3C88" w:rsidTr="000714FA">
        <w:tc>
          <w:tcPr>
            <w:tcW w:w="5387" w:type="dxa"/>
            <w:tcBorders>
              <w:top w:val="dotted" w:sz="4" w:space="0" w:color="auto"/>
              <w:left w:val="nil"/>
              <w:bottom w:val="single" w:sz="4" w:space="0" w:color="auto"/>
              <w:right w:val="nil"/>
            </w:tcBorders>
          </w:tcPr>
          <w:p w:rsidR="001B08E4" w:rsidRPr="00634A44" w:rsidRDefault="001B08E4" w:rsidP="000714FA">
            <w:pPr>
              <w:tabs>
                <w:tab w:val="left" w:pos="567"/>
                <w:tab w:val="left" w:pos="1134"/>
              </w:tabs>
              <w:rPr>
                <w:sz w:val="20"/>
              </w:rPr>
            </w:pPr>
            <w:r w:rsidRPr="00634A44">
              <w:rPr>
                <w:sz w:val="20"/>
              </w:rPr>
              <w:t>Arrotondamento</w:t>
            </w:r>
          </w:p>
        </w:tc>
        <w:tc>
          <w:tcPr>
            <w:tcW w:w="425" w:type="dxa"/>
            <w:tcBorders>
              <w:top w:val="dotted" w:sz="4" w:space="0" w:color="auto"/>
              <w:left w:val="nil"/>
              <w:bottom w:val="single" w:sz="4" w:space="0" w:color="auto"/>
              <w:right w:val="nil"/>
            </w:tcBorders>
          </w:tcPr>
          <w:p w:rsidR="001B08E4" w:rsidRPr="00634A44" w:rsidRDefault="001B08E4" w:rsidP="000714FA">
            <w:pPr>
              <w:tabs>
                <w:tab w:val="left" w:pos="567"/>
                <w:tab w:val="left" w:pos="1134"/>
              </w:tabs>
              <w:jc w:val="center"/>
              <w:rPr>
                <w:sz w:val="20"/>
              </w:rPr>
            </w:pPr>
            <w:r w:rsidRPr="00634A44">
              <w:rPr>
                <w:sz w:val="20"/>
              </w:rPr>
              <w:t>fr.</w:t>
            </w:r>
          </w:p>
        </w:tc>
        <w:tc>
          <w:tcPr>
            <w:tcW w:w="1418" w:type="dxa"/>
            <w:tcBorders>
              <w:top w:val="dotted" w:sz="4" w:space="0" w:color="auto"/>
              <w:left w:val="nil"/>
              <w:bottom w:val="single" w:sz="4" w:space="0" w:color="auto"/>
              <w:right w:val="nil"/>
            </w:tcBorders>
          </w:tcPr>
          <w:p w:rsidR="001B08E4" w:rsidRPr="00FE3C88" w:rsidRDefault="001B08E4" w:rsidP="000714FA">
            <w:pPr>
              <w:tabs>
                <w:tab w:val="left" w:pos="567"/>
                <w:tab w:val="left" w:pos="1134"/>
              </w:tabs>
              <w:jc w:val="right"/>
              <w:rPr>
                <w:sz w:val="20"/>
              </w:rPr>
            </w:pPr>
            <w:r w:rsidRPr="00FE3C88">
              <w:rPr>
                <w:sz w:val="20"/>
              </w:rPr>
              <w:t>425.75</w:t>
            </w:r>
          </w:p>
        </w:tc>
      </w:tr>
      <w:tr w:rsidR="001B08E4" w:rsidRPr="00634A44" w:rsidTr="000714FA">
        <w:tc>
          <w:tcPr>
            <w:tcW w:w="5387" w:type="dxa"/>
            <w:tcBorders>
              <w:top w:val="dotted" w:sz="4" w:space="0" w:color="auto"/>
              <w:left w:val="nil"/>
              <w:bottom w:val="double" w:sz="4" w:space="0" w:color="auto"/>
              <w:right w:val="nil"/>
            </w:tcBorders>
          </w:tcPr>
          <w:p w:rsidR="001B08E4" w:rsidRPr="00634A44" w:rsidRDefault="001B08E4" w:rsidP="000714FA">
            <w:pPr>
              <w:tabs>
                <w:tab w:val="left" w:pos="567"/>
                <w:tab w:val="left" w:pos="1134"/>
              </w:tabs>
              <w:rPr>
                <w:sz w:val="20"/>
              </w:rPr>
            </w:pPr>
            <w:r w:rsidRPr="00634A44">
              <w:rPr>
                <w:b/>
                <w:sz w:val="20"/>
              </w:rPr>
              <w:t>Subtotale</w:t>
            </w:r>
          </w:p>
        </w:tc>
        <w:tc>
          <w:tcPr>
            <w:tcW w:w="425" w:type="dxa"/>
            <w:tcBorders>
              <w:top w:val="dotted" w:sz="4" w:space="0" w:color="auto"/>
              <w:left w:val="nil"/>
              <w:bottom w:val="double" w:sz="4" w:space="0" w:color="auto"/>
              <w:right w:val="nil"/>
            </w:tcBorders>
          </w:tcPr>
          <w:p w:rsidR="001B08E4" w:rsidRPr="00A55F4C" w:rsidRDefault="001B08E4" w:rsidP="000714FA">
            <w:pPr>
              <w:tabs>
                <w:tab w:val="left" w:pos="567"/>
                <w:tab w:val="left" w:pos="1134"/>
              </w:tabs>
              <w:jc w:val="center"/>
              <w:rPr>
                <w:b/>
                <w:sz w:val="20"/>
              </w:rPr>
            </w:pPr>
            <w:r w:rsidRPr="00A55F4C">
              <w:rPr>
                <w:b/>
                <w:sz w:val="20"/>
              </w:rPr>
              <w:t>fr.</w:t>
            </w:r>
          </w:p>
        </w:tc>
        <w:tc>
          <w:tcPr>
            <w:tcW w:w="1418" w:type="dxa"/>
            <w:tcBorders>
              <w:top w:val="dotted" w:sz="4" w:space="0" w:color="auto"/>
              <w:left w:val="nil"/>
              <w:bottom w:val="double" w:sz="4" w:space="0" w:color="auto"/>
              <w:right w:val="nil"/>
            </w:tcBorders>
          </w:tcPr>
          <w:p w:rsidR="001B08E4" w:rsidRPr="00CF568D" w:rsidRDefault="001B08E4" w:rsidP="000714FA">
            <w:pPr>
              <w:tabs>
                <w:tab w:val="left" w:pos="567"/>
                <w:tab w:val="left" w:pos="1134"/>
              </w:tabs>
              <w:jc w:val="right"/>
              <w:rPr>
                <w:b/>
                <w:sz w:val="20"/>
              </w:rPr>
            </w:pPr>
            <w:r w:rsidRPr="00CF568D">
              <w:rPr>
                <w:b/>
                <w:sz w:val="20"/>
              </w:rPr>
              <w:t>157'000.00</w:t>
            </w:r>
          </w:p>
        </w:tc>
      </w:tr>
      <w:tr w:rsidR="001B08E4" w:rsidRPr="00634A44" w:rsidTr="000714FA">
        <w:tc>
          <w:tcPr>
            <w:tcW w:w="5387" w:type="dxa"/>
            <w:tcBorders>
              <w:top w:val="double" w:sz="4" w:space="0" w:color="auto"/>
              <w:left w:val="nil"/>
              <w:right w:val="nil"/>
            </w:tcBorders>
            <w:shd w:val="pct15" w:color="auto" w:fill="auto"/>
          </w:tcPr>
          <w:p w:rsidR="001B08E4" w:rsidRPr="00634A44" w:rsidRDefault="001B08E4" w:rsidP="000714FA">
            <w:pPr>
              <w:tabs>
                <w:tab w:val="left" w:pos="567"/>
                <w:tab w:val="left" w:pos="1134"/>
              </w:tabs>
              <w:rPr>
                <w:b/>
                <w:sz w:val="20"/>
              </w:rPr>
            </w:pPr>
            <w:r w:rsidRPr="00634A44">
              <w:rPr>
                <w:b/>
                <w:sz w:val="20"/>
              </w:rPr>
              <w:t>Totale</w:t>
            </w:r>
          </w:p>
        </w:tc>
        <w:tc>
          <w:tcPr>
            <w:tcW w:w="425" w:type="dxa"/>
            <w:tcBorders>
              <w:top w:val="double" w:sz="4" w:space="0" w:color="auto"/>
              <w:left w:val="nil"/>
              <w:right w:val="nil"/>
            </w:tcBorders>
            <w:shd w:val="pct15" w:color="auto" w:fill="auto"/>
          </w:tcPr>
          <w:p w:rsidR="001B08E4" w:rsidRPr="00634A44" w:rsidRDefault="001B08E4" w:rsidP="000714FA">
            <w:pPr>
              <w:tabs>
                <w:tab w:val="left" w:pos="567"/>
                <w:tab w:val="left" w:pos="1134"/>
              </w:tabs>
              <w:jc w:val="center"/>
              <w:rPr>
                <w:b/>
                <w:sz w:val="20"/>
              </w:rPr>
            </w:pPr>
            <w:r w:rsidRPr="00634A44">
              <w:rPr>
                <w:b/>
                <w:sz w:val="20"/>
              </w:rPr>
              <w:t>fr.</w:t>
            </w:r>
          </w:p>
        </w:tc>
        <w:tc>
          <w:tcPr>
            <w:tcW w:w="1418" w:type="dxa"/>
            <w:tcBorders>
              <w:top w:val="double" w:sz="4" w:space="0" w:color="auto"/>
              <w:left w:val="nil"/>
              <w:right w:val="nil"/>
            </w:tcBorders>
            <w:shd w:val="pct15" w:color="auto" w:fill="auto"/>
          </w:tcPr>
          <w:p w:rsidR="001B08E4" w:rsidRPr="00634A44" w:rsidRDefault="001B08E4" w:rsidP="000714FA">
            <w:pPr>
              <w:tabs>
                <w:tab w:val="left" w:pos="567"/>
                <w:tab w:val="left" w:pos="1134"/>
              </w:tabs>
              <w:jc w:val="right"/>
              <w:rPr>
                <w:b/>
                <w:sz w:val="20"/>
              </w:rPr>
            </w:pPr>
            <w:r w:rsidRPr="00634A44">
              <w:rPr>
                <w:b/>
                <w:sz w:val="20"/>
              </w:rPr>
              <w:t>596’000.00</w:t>
            </w:r>
          </w:p>
        </w:tc>
      </w:tr>
    </w:tbl>
    <w:p w:rsidR="00AE59AB" w:rsidRDefault="00AE59AB" w:rsidP="001B08E4">
      <w:pPr>
        <w:rPr>
          <w:rFonts w:eastAsiaTheme="minorHAnsi" w:cs="Arial"/>
          <w:iCs/>
          <w:szCs w:val="24"/>
          <w:lang w:eastAsia="en-US"/>
        </w:rPr>
      </w:pPr>
    </w:p>
    <w:p w:rsidR="001B08E4" w:rsidRDefault="001B08E4" w:rsidP="001B08E4">
      <w:pPr>
        <w:rPr>
          <w:rFonts w:eastAsiaTheme="minorHAnsi" w:cs="Arial"/>
          <w:iCs/>
          <w:szCs w:val="24"/>
          <w:lang w:eastAsia="en-US"/>
        </w:rPr>
      </w:pPr>
      <w:r>
        <w:rPr>
          <w:rFonts w:eastAsiaTheme="minorHAnsi" w:cs="Arial"/>
          <w:iCs/>
          <w:szCs w:val="24"/>
          <w:lang w:eastAsia="en-US"/>
        </w:rPr>
        <w:lastRenderedPageBreak/>
        <w:t xml:space="preserve">Il Comune di </w:t>
      </w:r>
      <w:proofErr w:type="spellStart"/>
      <w:r>
        <w:rPr>
          <w:rFonts w:eastAsiaTheme="minorHAnsi" w:cs="Arial"/>
          <w:iCs/>
          <w:szCs w:val="24"/>
          <w:lang w:eastAsia="en-US"/>
        </w:rPr>
        <w:t>Orselina</w:t>
      </w:r>
      <w:proofErr w:type="spellEnd"/>
      <w:r>
        <w:rPr>
          <w:rFonts w:eastAsiaTheme="minorHAnsi" w:cs="Arial"/>
          <w:iCs/>
          <w:szCs w:val="24"/>
          <w:lang w:eastAsia="en-US"/>
        </w:rPr>
        <w:t xml:space="preserve"> funge da ente esecutore e sosterrà parte delle spese. Cantone e Confederazione partecipano ai costi. La ripartizione è stabilita in base alla nuova perequazione finanziaria tra Confederazione e Cantone (NPC) e al </w:t>
      </w:r>
      <w:r w:rsidRPr="00E704F6">
        <w:rPr>
          <w:rFonts w:eastAsiaTheme="minorHAnsi" w:cs="Arial"/>
          <w:i/>
          <w:szCs w:val="24"/>
          <w:lang w:eastAsia="en-US"/>
        </w:rPr>
        <w:t>Manuale accordi programmatici nel settore ambientale 2020-2024</w:t>
      </w:r>
      <w:r>
        <w:rPr>
          <w:rFonts w:eastAsiaTheme="minorHAnsi" w:cs="Arial"/>
          <w:iCs/>
          <w:szCs w:val="24"/>
          <w:lang w:eastAsia="en-US"/>
        </w:rPr>
        <w:t>.</w:t>
      </w:r>
    </w:p>
    <w:p w:rsidR="001B08E4" w:rsidRDefault="001B08E4" w:rsidP="001B08E4">
      <w:pPr>
        <w:rPr>
          <w:rFonts w:eastAsiaTheme="minorHAnsi" w:cs="Arial"/>
          <w:iCs/>
          <w:szCs w:val="24"/>
          <w:lang w:eastAsia="en-US"/>
        </w:rPr>
      </w:pPr>
    </w:p>
    <w:p w:rsidR="001B08E4" w:rsidRDefault="001B08E4" w:rsidP="001B08E4">
      <w:pPr>
        <w:rPr>
          <w:szCs w:val="24"/>
        </w:rPr>
      </w:pPr>
      <w:r>
        <w:rPr>
          <w:rFonts w:eastAsiaTheme="minorHAnsi" w:cs="Arial"/>
          <w:iCs/>
          <w:szCs w:val="24"/>
          <w:lang w:eastAsia="en-US"/>
        </w:rPr>
        <w:t xml:space="preserve">Per gli interventi </w:t>
      </w:r>
      <w:proofErr w:type="spellStart"/>
      <w:r>
        <w:rPr>
          <w:rFonts w:eastAsiaTheme="minorHAnsi" w:cs="Arial"/>
          <w:iCs/>
          <w:szCs w:val="24"/>
          <w:lang w:eastAsia="en-US"/>
        </w:rPr>
        <w:t>selvicolturali</w:t>
      </w:r>
      <w:proofErr w:type="spellEnd"/>
      <w:r>
        <w:rPr>
          <w:rFonts w:eastAsiaTheme="minorHAnsi" w:cs="Arial"/>
          <w:iCs/>
          <w:szCs w:val="24"/>
          <w:lang w:eastAsia="en-US"/>
        </w:rPr>
        <w:t xml:space="preserve"> è stato deciso un sussidio complessivo dell’80% (art. 31c cpv. 1 </w:t>
      </w:r>
      <w:proofErr w:type="spellStart"/>
      <w:r w:rsidRPr="00E704F6">
        <w:rPr>
          <w:rFonts w:eastAsiaTheme="minorHAnsi" w:cs="Arial"/>
          <w:iCs/>
          <w:szCs w:val="24"/>
          <w:lang w:eastAsia="en-US"/>
        </w:rPr>
        <w:t>LCFo</w:t>
      </w:r>
      <w:proofErr w:type="spellEnd"/>
      <w:r>
        <w:rPr>
          <w:rFonts w:eastAsiaTheme="minorHAnsi" w:cs="Arial"/>
          <w:iCs/>
          <w:szCs w:val="24"/>
          <w:lang w:eastAsia="en-US"/>
        </w:rPr>
        <w:t xml:space="preserve">). </w:t>
      </w:r>
      <w:r>
        <w:rPr>
          <w:szCs w:val="24"/>
        </w:rPr>
        <w:t xml:space="preserve">Il sussidio cantonale corrisponde al 42.87% della spesa, pari al massimo a </w:t>
      </w:r>
      <w:r w:rsidR="00553194">
        <w:rPr>
          <w:szCs w:val="24"/>
        </w:rPr>
        <w:br/>
      </w:r>
      <w:r>
        <w:rPr>
          <w:szCs w:val="24"/>
        </w:rPr>
        <w:t>fr. 756'200; la Confederazione concede fr. 5'</w:t>
      </w:r>
      <w:proofErr w:type="gramStart"/>
      <w:r>
        <w:rPr>
          <w:szCs w:val="24"/>
        </w:rPr>
        <w:t>000.-</w:t>
      </w:r>
      <w:proofErr w:type="gramEnd"/>
      <w:r>
        <w:rPr>
          <w:szCs w:val="24"/>
        </w:rPr>
        <w:t xml:space="preserve"> per ettaro di superficie, pari al massimo a fr. 655'000 (131 ettari). Il sussidio totale ammonta quindi a fr. </w:t>
      </w:r>
      <w:r w:rsidRPr="0074570F">
        <w:rPr>
          <w:szCs w:val="24"/>
        </w:rPr>
        <w:t>1'411'200</w:t>
      </w:r>
      <w:r>
        <w:rPr>
          <w:szCs w:val="24"/>
        </w:rPr>
        <w:t>.</w:t>
      </w:r>
    </w:p>
    <w:p w:rsidR="001B08E4" w:rsidRDefault="001B08E4" w:rsidP="001B08E4">
      <w:pPr>
        <w:tabs>
          <w:tab w:val="num" w:pos="426"/>
        </w:tabs>
        <w:rPr>
          <w:szCs w:val="24"/>
        </w:rPr>
      </w:pPr>
    </w:p>
    <w:p w:rsidR="001B08E4" w:rsidRDefault="001B08E4" w:rsidP="001B08E4">
      <w:pPr>
        <w:tabs>
          <w:tab w:val="num" w:pos="426"/>
        </w:tabs>
        <w:rPr>
          <w:rFonts w:eastAsiaTheme="minorHAnsi" w:cs="Arial"/>
          <w:iCs/>
          <w:szCs w:val="24"/>
          <w:lang w:eastAsia="en-US"/>
        </w:rPr>
      </w:pPr>
      <w:r>
        <w:rPr>
          <w:szCs w:val="24"/>
        </w:rPr>
        <w:t xml:space="preserve">Per i miglioramenti infrastrutturali è stato deciso un sussidio complessivo del 60% </w:t>
      </w:r>
      <w:r>
        <w:rPr>
          <w:rFonts w:eastAsiaTheme="minorHAnsi" w:cs="Arial"/>
          <w:iCs/>
          <w:szCs w:val="24"/>
          <w:lang w:eastAsia="en-US"/>
        </w:rPr>
        <w:t xml:space="preserve">(art. 31c cpv. 1 </w:t>
      </w:r>
      <w:proofErr w:type="spellStart"/>
      <w:r w:rsidRPr="00E704F6">
        <w:rPr>
          <w:rFonts w:eastAsiaTheme="minorHAnsi" w:cs="Arial"/>
          <w:iCs/>
          <w:szCs w:val="24"/>
          <w:lang w:eastAsia="en-US"/>
        </w:rPr>
        <w:t>LCFo</w:t>
      </w:r>
      <w:proofErr w:type="spellEnd"/>
      <w:r>
        <w:rPr>
          <w:rFonts w:eastAsiaTheme="minorHAnsi" w:cs="Arial"/>
          <w:iCs/>
          <w:szCs w:val="24"/>
          <w:lang w:eastAsia="en-US"/>
        </w:rPr>
        <w:t>), pari a fr. 357'600; il 40% è assicurato dalla Confederazione (fr. 238'400) e il 20% dal Cantone (fr. 119'200).</w:t>
      </w:r>
    </w:p>
    <w:p w:rsidR="001B08E4" w:rsidRDefault="001B08E4" w:rsidP="001B08E4">
      <w:pPr>
        <w:rPr>
          <w:rFonts w:eastAsiaTheme="minorHAnsi" w:cs="Arial"/>
          <w:iCs/>
          <w:szCs w:val="24"/>
          <w:lang w:eastAsia="en-US"/>
        </w:rPr>
      </w:pPr>
    </w:p>
    <w:p w:rsidR="001B08E4" w:rsidRDefault="001B08E4" w:rsidP="001B08E4">
      <w:pPr>
        <w:rPr>
          <w:rFonts w:eastAsiaTheme="minorHAnsi" w:cs="Arial"/>
          <w:iCs/>
          <w:szCs w:val="24"/>
          <w:lang w:eastAsia="en-US"/>
        </w:rPr>
      </w:pPr>
      <w:r>
        <w:rPr>
          <w:rFonts w:eastAsiaTheme="minorHAnsi" w:cs="Arial"/>
          <w:iCs/>
          <w:szCs w:val="24"/>
          <w:lang w:eastAsia="en-US"/>
        </w:rPr>
        <w:t>Il ricavo dalla vendita di legname contribuirà a finanziare il progetto.</w:t>
      </w:r>
    </w:p>
    <w:p w:rsidR="001B08E4" w:rsidRDefault="001B08E4" w:rsidP="001B08E4">
      <w:pPr>
        <w:rPr>
          <w:rFonts w:eastAsiaTheme="minorHAnsi" w:cs="Arial"/>
          <w:iCs/>
          <w:szCs w:val="24"/>
          <w:lang w:eastAsia="en-US"/>
        </w:rPr>
      </w:pPr>
    </w:p>
    <w:tbl>
      <w:tblPr>
        <w:tblW w:w="8700" w:type="dxa"/>
        <w:tblCellMar>
          <w:left w:w="70" w:type="dxa"/>
          <w:right w:w="70" w:type="dxa"/>
        </w:tblCellMar>
        <w:tblLook w:val="04A0" w:firstRow="1" w:lastRow="0" w:firstColumn="1" w:lastColumn="0" w:noHBand="0" w:noVBand="1"/>
      </w:tblPr>
      <w:tblGrid>
        <w:gridCol w:w="2760"/>
        <w:gridCol w:w="1560"/>
        <w:gridCol w:w="1760"/>
        <w:gridCol w:w="1555"/>
        <w:gridCol w:w="1065"/>
      </w:tblGrid>
      <w:tr w:rsidR="001B08E4" w:rsidRPr="00BD33C4" w:rsidTr="000714FA">
        <w:trPr>
          <w:trHeight w:val="792"/>
        </w:trPr>
        <w:tc>
          <w:tcPr>
            <w:tcW w:w="2760" w:type="dxa"/>
            <w:tcBorders>
              <w:top w:val="single" w:sz="4" w:space="0" w:color="auto"/>
              <w:left w:val="nil"/>
              <w:bottom w:val="nil"/>
              <w:right w:val="single" w:sz="4" w:space="0" w:color="auto"/>
            </w:tcBorders>
            <w:shd w:val="clear" w:color="auto" w:fill="auto"/>
            <w:noWrap/>
            <w:vAlign w:val="center"/>
            <w:hideMark/>
          </w:tcPr>
          <w:p w:rsidR="001B08E4" w:rsidRPr="00BD33C4" w:rsidRDefault="001B08E4" w:rsidP="000714FA">
            <w:pPr>
              <w:jc w:val="left"/>
              <w:rPr>
                <w:rFonts w:cs="Arial"/>
                <w:sz w:val="20"/>
                <w:lang w:val="it-CH" w:eastAsia="it-CH"/>
              </w:rPr>
            </w:pPr>
            <w:r w:rsidRPr="00BD33C4">
              <w:rPr>
                <w:rFonts w:cs="Arial"/>
                <w:sz w:val="20"/>
                <w:lang w:val="it-CH" w:eastAsia="it-CH"/>
              </w:rPr>
              <w:t> </w:t>
            </w:r>
          </w:p>
        </w:tc>
        <w:tc>
          <w:tcPr>
            <w:tcW w:w="1560" w:type="dxa"/>
            <w:tcBorders>
              <w:top w:val="single" w:sz="4" w:space="0" w:color="auto"/>
              <w:left w:val="nil"/>
              <w:bottom w:val="nil"/>
              <w:right w:val="single" w:sz="4" w:space="0" w:color="auto"/>
            </w:tcBorders>
            <w:shd w:val="clear" w:color="auto" w:fill="auto"/>
            <w:noWrap/>
            <w:vAlign w:val="center"/>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Selvicoltura</w:t>
            </w:r>
          </w:p>
        </w:tc>
        <w:tc>
          <w:tcPr>
            <w:tcW w:w="1760" w:type="dxa"/>
            <w:tcBorders>
              <w:top w:val="single" w:sz="4" w:space="0" w:color="auto"/>
              <w:left w:val="nil"/>
              <w:bottom w:val="nil"/>
              <w:right w:val="single" w:sz="4" w:space="0" w:color="auto"/>
            </w:tcBorders>
            <w:shd w:val="clear" w:color="auto" w:fill="auto"/>
            <w:vAlign w:val="center"/>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Allacciamenti</w:t>
            </w:r>
            <w:r w:rsidRPr="00BD33C4">
              <w:rPr>
                <w:rFonts w:cs="Arial"/>
                <w:b/>
                <w:bCs/>
                <w:sz w:val="20"/>
                <w:lang w:val="it-CH" w:eastAsia="it-CH"/>
              </w:rPr>
              <w:br/>
              <w:t>e</w:t>
            </w:r>
            <w:r w:rsidRPr="00BD33C4">
              <w:rPr>
                <w:rFonts w:cs="Arial"/>
                <w:b/>
                <w:bCs/>
                <w:sz w:val="20"/>
                <w:lang w:val="it-CH" w:eastAsia="it-CH"/>
              </w:rPr>
              <w:br/>
              <w:t>antincendio</w:t>
            </w:r>
          </w:p>
        </w:tc>
        <w:tc>
          <w:tcPr>
            <w:tcW w:w="2620" w:type="dxa"/>
            <w:gridSpan w:val="2"/>
            <w:tcBorders>
              <w:top w:val="single" w:sz="4" w:space="0" w:color="auto"/>
              <w:left w:val="nil"/>
              <w:bottom w:val="nil"/>
              <w:right w:val="nil"/>
            </w:tcBorders>
            <w:shd w:val="clear" w:color="000000" w:fill="D9D9D9"/>
            <w:noWrap/>
            <w:vAlign w:val="center"/>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Totale</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left"/>
              <w:rPr>
                <w:rFonts w:cs="Arial"/>
                <w:sz w:val="20"/>
                <w:lang w:val="it-CH" w:eastAsia="it-CH"/>
              </w:rPr>
            </w:pPr>
            <w:r w:rsidRPr="00BD33C4">
              <w:rPr>
                <w:rFonts w:cs="Arial"/>
                <w:sz w:val="20"/>
                <w:lang w:val="it-CH" w:eastAsia="it-CH"/>
              </w:rPr>
              <w:t> </w:t>
            </w:r>
          </w:p>
        </w:tc>
        <w:tc>
          <w:tcPr>
            <w:tcW w:w="15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[fr.]</w:t>
            </w:r>
          </w:p>
        </w:tc>
        <w:tc>
          <w:tcPr>
            <w:tcW w:w="1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[fr.]</w:t>
            </w:r>
          </w:p>
        </w:tc>
        <w:tc>
          <w:tcPr>
            <w:tcW w:w="155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[fr.]</w:t>
            </w:r>
          </w:p>
        </w:tc>
        <w:tc>
          <w:tcPr>
            <w:tcW w:w="106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center"/>
              <w:rPr>
                <w:rFonts w:cs="Arial"/>
                <w:b/>
                <w:bCs/>
                <w:sz w:val="20"/>
                <w:lang w:val="it-CH" w:eastAsia="it-CH"/>
              </w:rPr>
            </w:pPr>
            <w:r w:rsidRPr="00BD33C4">
              <w:rPr>
                <w:rFonts w:cs="Arial"/>
                <w:b/>
                <w:bCs/>
                <w:sz w:val="20"/>
                <w:lang w:val="it-CH" w:eastAsia="it-CH"/>
              </w:rPr>
              <w:t>[%]</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left"/>
              <w:rPr>
                <w:rFonts w:cs="Arial"/>
                <w:sz w:val="20"/>
                <w:lang w:val="it-CH" w:eastAsia="it-CH"/>
              </w:rPr>
            </w:pPr>
            <w:r w:rsidRPr="00BD33C4">
              <w:rPr>
                <w:rFonts w:cs="Arial"/>
                <w:sz w:val="20"/>
                <w:lang w:val="it-CH" w:eastAsia="it-CH"/>
              </w:rPr>
              <w:t>Cantone</w:t>
            </w:r>
          </w:p>
        </w:tc>
        <w:tc>
          <w:tcPr>
            <w:tcW w:w="15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756.200,00</w:t>
            </w:r>
          </w:p>
        </w:tc>
        <w:tc>
          <w:tcPr>
            <w:tcW w:w="1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119.200,00</w:t>
            </w:r>
          </w:p>
        </w:tc>
        <w:tc>
          <w:tcPr>
            <w:tcW w:w="1555"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875.400,00</w:t>
            </w:r>
          </w:p>
        </w:tc>
        <w:tc>
          <w:tcPr>
            <w:tcW w:w="106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37,09%</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left"/>
              <w:rPr>
                <w:rFonts w:cs="Arial"/>
                <w:sz w:val="20"/>
                <w:lang w:val="it-CH" w:eastAsia="it-CH"/>
              </w:rPr>
            </w:pPr>
            <w:r w:rsidRPr="00BD33C4">
              <w:rPr>
                <w:rFonts w:cs="Arial"/>
                <w:sz w:val="20"/>
                <w:lang w:val="it-CH" w:eastAsia="it-CH"/>
              </w:rPr>
              <w:t>Confederazione</w:t>
            </w:r>
          </w:p>
        </w:tc>
        <w:tc>
          <w:tcPr>
            <w:tcW w:w="15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655.000,00</w:t>
            </w:r>
          </w:p>
        </w:tc>
        <w:tc>
          <w:tcPr>
            <w:tcW w:w="1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238.400,00</w:t>
            </w:r>
          </w:p>
        </w:tc>
        <w:tc>
          <w:tcPr>
            <w:tcW w:w="1555"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893.400,00</w:t>
            </w:r>
          </w:p>
        </w:tc>
        <w:tc>
          <w:tcPr>
            <w:tcW w:w="106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37,86%</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left"/>
              <w:rPr>
                <w:rFonts w:cs="Arial"/>
                <w:sz w:val="20"/>
                <w:lang w:val="it-CH" w:eastAsia="it-CH"/>
              </w:rPr>
            </w:pPr>
            <w:r w:rsidRPr="00BD33C4">
              <w:rPr>
                <w:rFonts w:cs="Arial"/>
                <w:sz w:val="20"/>
                <w:lang w:val="it-CH" w:eastAsia="it-CH"/>
              </w:rPr>
              <w:t xml:space="preserve">Comune di </w:t>
            </w:r>
            <w:proofErr w:type="spellStart"/>
            <w:r w:rsidRPr="00BD33C4">
              <w:rPr>
                <w:rFonts w:cs="Arial"/>
                <w:sz w:val="20"/>
                <w:lang w:val="it-CH" w:eastAsia="it-CH"/>
              </w:rPr>
              <w:t>Orselina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140.300,00</w:t>
            </w:r>
          </w:p>
        </w:tc>
        <w:tc>
          <w:tcPr>
            <w:tcW w:w="1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238.400,00</w:t>
            </w:r>
          </w:p>
        </w:tc>
        <w:tc>
          <w:tcPr>
            <w:tcW w:w="1555"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378.700,00</w:t>
            </w:r>
          </w:p>
        </w:tc>
        <w:tc>
          <w:tcPr>
            <w:tcW w:w="106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16,05%</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left"/>
              <w:rPr>
                <w:rFonts w:cs="Arial"/>
                <w:sz w:val="20"/>
                <w:lang w:val="it-CH" w:eastAsia="it-CH"/>
              </w:rPr>
            </w:pPr>
            <w:r w:rsidRPr="00BD33C4">
              <w:rPr>
                <w:rFonts w:cs="Arial"/>
                <w:sz w:val="20"/>
                <w:lang w:val="it-CH" w:eastAsia="it-CH"/>
              </w:rPr>
              <w:t>Ricavo forfettario legname</w:t>
            </w:r>
          </w:p>
        </w:tc>
        <w:tc>
          <w:tcPr>
            <w:tcW w:w="15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212.500,00</w:t>
            </w:r>
          </w:p>
        </w:tc>
        <w:tc>
          <w:tcPr>
            <w:tcW w:w="1760" w:type="dxa"/>
            <w:tcBorders>
              <w:top w:val="nil"/>
              <w:left w:val="nil"/>
              <w:bottom w:val="single" w:sz="4" w:space="0" w:color="auto"/>
              <w:right w:val="single" w:sz="4" w:space="0" w:color="auto"/>
            </w:tcBorders>
            <w:shd w:val="clear" w:color="auto" w:fill="auto"/>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0,00</w:t>
            </w:r>
          </w:p>
        </w:tc>
        <w:tc>
          <w:tcPr>
            <w:tcW w:w="1555"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212.500,00</w:t>
            </w:r>
          </w:p>
        </w:tc>
        <w:tc>
          <w:tcPr>
            <w:tcW w:w="1065" w:type="dxa"/>
            <w:tcBorders>
              <w:top w:val="nil"/>
              <w:left w:val="nil"/>
              <w:bottom w:val="single" w:sz="4" w:space="0" w:color="auto"/>
              <w:right w:val="nil"/>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9,00%</w:t>
            </w:r>
          </w:p>
        </w:tc>
      </w:tr>
      <w:tr w:rsidR="001B08E4" w:rsidRPr="00BD33C4" w:rsidTr="000714FA">
        <w:trPr>
          <w:trHeight w:val="264"/>
        </w:trPr>
        <w:tc>
          <w:tcPr>
            <w:tcW w:w="2760"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left"/>
              <w:rPr>
                <w:rFonts w:cs="Arial"/>
                <w:b/>
                <w:bCs/>
                <w:sz w:val="20"/>
                <w:lang w:val="it-CH" w:eastAsia="it-CH"/>
              </w:rPr>
            </w:pPr>
            <w:r w:rsidRPr="00BD33C4">
              <w:rPr>
                <w:rFonts w:cs="Arial"/>
                <w:b/>
                <w:bCs/>
                <w:sz w:val="20"/>
                <w:lang w:val="it-CH" w:eastAsia="it-CH"/>
              </w:rPr>
              <w:t>Totale</w:t>
            </w:r>
          </w:p>
        </w:tc>
        <w:tc>
          <w:tcPr>
            <w:tcW w:w="1560"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b/>
                <w:bCs/>
                <w:sz w:val="20"/>
                <w:lang w:val="it-CH" w:eastAsia="it-CH"/>
              </w:rPr>
            </w:pPr>
            <w:r w:rsidRPr="00BD33C4">
              <w:rPr>
                <w:rFonts w:cs="Arial"/>
                <w:b/>
                <w:bCs/>
                <w:sz w:val="20"/>
                <w:lang w:val="it-CH" w:eastAsia="it-CH"/>
              </w:rPr>
              <w:t>1.764.000,00</w:t>
            </w:r>
          </w:p>
        </w:tc>
        <w:tc>
          <w:tcPr>
            <w:tcW w:w="1760"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b/>
                <w:bCs/>
                <w:sz w:val="20"/>
                <w:lang w:val="it-CH" w:eastAsia="it-CH"/>
              </w:rPr>
            </w:pPr>
            <w:r w:rsidRPr="00BD33C4">
              <w:rPr>
                <w:rFonts w:cs="Arial"/>
                <w:b/>
                <w:bCs/>
                <w:sz w:val="20"/>
                <w:lang w:val="it-CH" w:eastAsia="it-CH"/>
              </w:rPr>
              <w:t>596.000,00</w:t>
            </w:r>
          </w:p>
        </w:tc>
        <w:tc>
          <w:tcPr>
            <w:tcW w:w="1555" w:type="dxa"/>
            <w:tcBorders>
              <w:top w:val="nil"/>
              <w:left w:val="nil"/>
              <w:bottom w:val="single" w:sz="4" w:space="0" w:color="auto"/>
              <w:right w:val="single" w:sz="4" w:space="0" w:color="auto"/>
            </w:tcBorders>
            <w:shd w:val="clear" w:color="000000" w:fill="D9D9D9"/>
            <w:noWrap/>
            <w:vAlign w:val="bottom"/>
            <w:hideMark/>
          </w:tcPr>
          <w:p w:rsidR="001B08E4" w:rsidRPr="00BD33C4" w:rsidRDefault="001B08E4" w:rsidP="000714FA">
            <w:pPr>
              <w:jc w:val="right"/>
              <w:rPr>
                <w:rFonts w:cs="Arial"/>
                <w:b/>
                <w:bCs/>
                <w:sz w:val="20"/>
                <w:lang w:val="it-CH" w:eastAsia="it-CH"/>
              </w:rPr>
            </w:pPr>
            <w:r w:rsidRPr="00BD33C4">
              <w:rPr>
                <w:rFonts w:cs="Arial"/>
                <w:b/>
                <w:bCs/>
                <w:sz w:val="20"/>
                <w:lang w:val="it-CH" w:eastAsia="it-CH"/>
              </w:rPr>
              <w:t>2.360.000,00</w:t>
            </w:r>
          </w:p>
        </w:tc>
        <w:tc>
          <w:tcPr>
            <w:tcW w:w="1065" w:type="dxa"/>
            <w:tcBorders>
              <w:top w:val="single" w:sz="4" w:space="0" w:color="auto"/>
              <w:left w:val="nil"/>
              <w:bottom w:val="single" w:sz="4" w:space="0" w:color="auto"/>
              <w:right w:val="nil"/>
            </w:tcBorders>
            <w:shd w:val="clear" w:color="000000" w:fill="D9D9D9"/>
            <w:noWrap/>
            <w:vAlign w:val="bottom"/>
            <w:hideMark/>
          </w:tcPr>
          <w:p w:rsidR="001B08E4" w:rsidRPr="00BD33C4" w:rsidRDefault="001B08E4" w:rsidP="000714FA">
            <w:pPr>
              <w:jc w:val="right"/>
              <w:rPr>
                <w:rFonts w:cs="Arial"/>
                <w:sz w:val="20"/>
                <w:lang w:val="it-CH" w:eastAsia="it-CH"/>
              </w:rPr>
            </w:pPr>
            <w:r w:rsidRPr="00BD33C4">
              <w:rPr>
                <w:rFonts w:cs="Arial"/>
                <w:sz w:val="20"/>
                <w:lang w:val="it-CH" w:eastAsia="it-CH"/>
              </w:rPr>
              <w:t>100,00%</w:t>
            </w:r>
          </w:p>
        </w:tc>
      </w:tr>
    </w:tbl>
    <w:p w:rsidR="001B08E4" w:rsidRDefault="001B08E4" w:rsidP="001B08E4">
      <w:pPr>
        <w:rPr>
          <w:rFonts w:eastAsiaTheme="minorHAnsi" w:cs="Arial"/>
          <w:iCs/>
          <w:szCs w:val="24"/>
          <w:lang w:eastAsia="en-US"/>
        </w:rPr>
      </w:pPr>
    </w:p>
    <w:p w:rsidR="001B08E4" w:rsidRDefault="001B08E4" w:rsidP="001B08E4">
      <w:pPr>
        <w:rPr>
          <w:rFonts w:cs="Arial"/>
        </w:rPr>
      </w:pPr>
    </w:p>
    <w:p w:rsidR="00AE59AB" w:rsidRPr="00890094" w:rsidRDefault="00AE59AB" w:rsidP="001B08E4">
      <w:pPr>
        <w:rPr>
          <w:rFonts w:cs="Arial"/>
        </w:rPr>
      </w:pPr>
    </w:p>
    <w:p w:rsidR="001B08E4" w:rsidRDefault="001B08E4" w:rsidP="00AE59AB">
      <w:pPr>
        <w:pStyle w:val="Titolo1"/>
        <w:numPr>
          <w:ilvl w:val="0"/>
          <w:numId w:val="32"/>
        </w:numPr>
        <w:ind w:left="567" w:hanging="567"/>
      </w:pPr>
      <w:r>
        <w:t>lE CONSIDERAZIONI delLA COMMISSIONE</w:t>
      </w:r>
    </w:p>
    <w:p w:rsidR="001B08E4" w:rsidRDefault="001B08E4" w:rsidP="00AE59AB">
      <w:pPr>
        <w:spacing w:after="120"/>
        <w:rPr>
          <w:rFonts w:eastAsiaTheme="minorHAnsi" w:cs="Arial"/>
          <w:iCs/>
          <w:szCs w:val="24"/>
          <w:lang w:eastAsia="en-US"/>
        </w:rPr>
      </w:pPr>
      <w:r>
        <w:rPr>
          <w:rFonts w:eastAsiaTheme="minorHAnsi" w:cs="Arial"/>
          <w:iCs/>
          <w:szCs w:val="24"/>
          <w:lang w:eastAsia="en-US"/>
        </w:rPr>
        <w:t xml:space="preserve">In data 27 aprile il relatore ha effettuato un sopralluogo con il forestale di zona ing. </w:t>
      </w:r>
      <w:proofErr w:type="spellStart"/>
      <w:r>
        <w:rPr>
          <w:rFonts w:eastAsiaTheme="minorHAnsi" w:cs="Arial"/>
          <w:iCs/>
          <w:szCs w:val="24"/>
          <w:lang w:eastAsia="en-US"/>
        </w:rPr>
        <w:t>Bomio</w:t>
      </w:r>
      <w:proofErr w:type="spellEnd"/>
      <w:r>
        <w:rPr>
          <w:rFonts w:eastAsiaTheme="minorHAnsi" w:cs="Arial"/>
          <w:iCs/>
          <w:szCs w:val="24"/>
          <w:lang w:eastAsia="en-US"/>
        </w:rPr>
        <w:t xml:space="preserve"> </w:t>
      </w:r>
      <w:proofErr w:type="spellStart"/>
      <w:r>
        <w:rPr>
          <w:rFonts w:eastAsiaTheme="minorHAnsi" w:cs="Arial"/>
          <w:iCs/>
          <w:szCs w:val="24"/>
          <w:lang w:eastAsia="en-US"/>
        </w:rPr>
        <w:t>Pacciorini</w:t>
      </w:r>
      <w:proofErr w:type="spellEnd"/>
      <w:r>
        <w:rPr>
          <w:rFonts w:eastAsiaTheme="minorHAnsi" w:cs="Arial"/>
          <w:iCs/>
          <w:szCs w:val="24"/>
          <w:lang w:eastAsia="en-US"/>
        </w:rPr>
        <w:t xml:space="preserve"> e con il progettista ing. Raffaele Sartori. I punti da evidenziare sono i seguenti:</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L’intervento è necessario perché il bosco (in larga parte ceduo castanile) è spesso in pessimo stato e la funzione protettiva è compromessa anche a causa delle forti pendenze del pendio che accentuano le conseguenze negative. Le ceppaie che cadono a valle possono provocare il rotolamento di massi verso l’abitato.</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Nelle varie porzioni di territorio si interverrà in modo diverso e non uniforme: gli interventi più drastici (tagli ampi e nuove piantagioni) saranno nel comparto immediatamente a nord della strada forestale esistente e a sud dell’abitato di San Bernardo. A sud della strada e all’estremo nord del comparto invece gli interventi potranno essere più mirati, in parte anche valorizzando quanto già cresce spontaneamente.</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 xml:space="preserve">Si confermano le preoccupazioni per il futuro del castagno nei boschi di bassa quota locarnesi e </w:t>
      </w:r>
      <w:proofErr w:type="spellStart"/>
      <w:r>
        <w:rPr>
          <w:rFonts w:eastAsiaTheme="minorHAnsi" w:cs="Arial"/>
          <w:iCs/>
          <w:szCs w:val="24"/>
          <w:lang w:eastAsia="en-US"/>
        </w:rPr>
        <w:t>bellinzonesi</w:t>
      </w:r>
      <w:proofErr w:type="spellEnd"/>
      <w:r>
        <w:rPr>
          <w:rFonts w:eastAsiaTheme="minorHAnsi" w:cs="Arial"/>
          <w:iCs/>
          <w:szCs w:val="24"/>
          <w:lang w:eastAsia="en-US"/>
        </w:rPr>
        <w:t>, soprattutto sui pendii esposti a sud: cinipide, mal dell’inchiostro, scarse precipitazioni nei periodi più caldi dell’anno lo stanno deteriorando rapidamente. Come già accennato, nel comparto di progetto, laddove si constata ancora una certa vitalità, viene aiutato a crescere eliminando ceppaie instabili e diradando il bosco; mentre laddove tale vitalità non c’è più, i tagli saranno più incisivi ed i ripopolamenti prevedono di diversificare le specie.</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Si saluta positivamente la decisione di minimizzare l’uso dell’elicottero, grazie alla posa di teleferiche fisse e mobili, e alla presenza di adeguati piazzali di esbosco che accorciano comunque la durata dei voli dove questi sono necessari.</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lastRenderedPageBreak/>
        <w:t>Utile anche il prolungamento della pista forestale nella parte alta del comparto, che permette una migliore gestione presente e futura, e che potrà fungere anche da piazzale per installazioni temporanee antincendio.</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Gli interventi negli alvei dei ruscelli saranno mirati, eliminando alberi già caduti o la cui caduta in un futuro prossimo è probabile, ma non si farà tabula rasa, per non compromettere il paesaggio e per evitare di creare le condizioni di proliferazione di neofite invasive, che a queste quote non faticano certo ad insediarsi.</w:t>
      </w:r>
    </w:p>
    <w:p w:rsidR="001B08E4" w:rsidRDefault="001B08E4" w:rsidP="00AE59AB">
      <w:pPr>
        <w:pStyle w:val="Paragrafoelenco"/>
        <w:numPr>
          <w:ilvl w:val="0"/>
          <w:numId w:val="33"/>
        </w:numPr>
        <w:spacing w:after="120"/>
        <w:ind w:left="426" w:hanging="426"/>
        <w:contextualSpacing w:val="0"/>
        <w:rPr>
          <w:rFonts w:eastAsiaTheme="minorHAnsi" w:cs="Arial"/>
          <w:iCs/>
          <w:szCs w:val="24"/>
          <w:lang w:eastAsia="en-US"/>
        </w:rPr>
      </w:pPr>
      <w:r>
        <w:rPr>
          <w:rFonts w:eastAsiaTheme="minorHAnsi" w:cs="Arial"/>
          <w:iCs/>
          <w:szCs w:val="24"/>
          <w:lang w:eastAsia="en-US"/>
        </w:rPr>
        <w:t>Sarà possibile la vendita di legname a favore di centrali di teleriscaldamento della regione, in un concetto di economia circolare, mentre purtroppo lo stato del bosco non permette di valorizzare il legname come materiale d’opera.</w:t>
      </w:r>
    </w:p>
    <w:p w:rsidR="001B08E4" w:rsidRPr="00A943F9" w:rsidRDefault="001B08E4" w:rsidP="00AE59AB">
      <w:pPr>
        <w:pStyle w:val="Paragrafoelenco"/>
        <w:numPr>
          <w:ilvl w:val="0"/>
          <w:numId w:val="33"/>
        </w:numPr>
        <w:ind w:left="426" w:hanging="426"/>
        <w:rPr>
          <w:rFonts w:eastAsiaTheme="minorHAnsi" w:cs="Arial"/>
          <w:iCs/>
          <w:szCs w:val="24"/>
          <w:lang w:eastAsia="en-US"/>
        </w:rPr>
      </w:pPr>
      <w:r>
        <w:rPr>
          <w:rFonts w:eastAsiaTheme="minorHAnsi" w:cs="Arial"/>
          <w:iCs/>
          <w:szCs w:val="24"/>
          <w:lang w:eastAsia="en-US"/>
        </w:rPr>
        <w:t>Interessante, nella discussione con gli specialisti, la constatazione che gli interventi forestali a favore del bosco manifestano i loro effetti nel medio e lungo periodo, con dei ritmi ed una durata di vita assai diversi da quelli dell’essere umano, per cui il lavoro contiene sempre una componente di incertezza legata al clima, alle neofite, agli antagonisti, ecc. che solo le generazioni successive potranno valutare pienamente.</w:t>
      </w:r>
    </w:p>
    <w:p w:rsidR="001B08E4" w:rsidRDefault="001B08E4" w:rsidP="00AE59AB">
      <w:pPr>
        <w:ind w:left="426" w:hanging="426"/>
        <w:rPr>
          <w:rFonts w:cs="Arial"/>
        </w:rPr>
      </w:pPr>
    </w:p>
    <w:p w:rsidR="00AE59AB" w:rsidRDefault="00AE59AB" w:rsidP="00AE59AB">
      <w:pPr>
        <w:ind w:left="426" w:hanging="426"/>
        <w:rPr>
          <w:rFonts w:cs="Arial"/>
        </w:rPr>
      </w:pPr>
    </w:p>
    <w:p w:rsidR="001B08E4" w:rsidRDefault="001B08E4" w:rsidP="001B08E4">
      <w:pPr>
        <w:rPr>
          <w:rFonts w:cs="Arial"/>
        </w:rPr>
      </w:pPr>
    </w:p>
    <w:p w:rsidR="001B08E4" w:rsidRDefault="001B08E4" w:rsidP="00AE59AB">
      <w:pPr>
        <w:pStyle w:val="Titolo1"/>
        <w:numPr>
          <w:ilvl w:val="0"/>
          <w:numId w:val="32"/>
        </w:numPr>
        <w:tabs>
          <w:tab w:val="clear" w:pos="567"/>
          <w:tab w:val="left" w:pos="425"/>
        </w:tabs>
        <w:ind w:left="357" w:hanging="357"/>
      </w:pPr>
      <w:r>
        <w:t>conclusioni</w:t>
      </w:r>
    </w:p>
    <w:p w:rsidR="001B08E4" w:rsidRDefault="001B08E4" w:rsidP="001B08E4">
      <w:pPr>
        <w:rPr>
          <w:rFonts w:cs="Arial"/>
        </w:rPr>
      </w:pPr>
      <w:r>
        <w:rPr>
          <w:rFonts w:cs="Arial"/>
        </w:rPr>
        <w:t>La Commissione invita il Gran Consiglio ad approvare il disegno di decreto legislativo annesso al messaggio governativo.</w:t>
      </w:r>
    </w:p>
    <w:p w:rsidR="001B08E4" w:rsidRPr="008B59BF" w:rsidRDefault="001B08E4" w:rsidP="001B08E4">
      <w:pPr>
        <w:rPr>
          <w:rFonts w:cs="Arial"/>
        </w:rPr>
      </w:pPr>
    </w:p>
    <w:p w:rsidR="001B08E4" w:rsidRPr="008B59BF" w:rsidRDefault="001B08E4" w:rsidP="001B08E4">
      <w:pPr>
        <w:rPr>
          <w:rFonts w:cs="Arial"/>
        </w:rPr>
      </w:pPr>
    </w:p>
    <w:p w:rsidR="001B08E4" w:rsidRPr="008B59BF" w:rsidRDefault="001B08E4" w:rsidP="001B08E4">
      <w:pPr>
        <w:rPr>
          <w:rFonts w:cs="Arial"/>
        </w:rPr>
      </w:pPr>
    </w:p>
    <w:p w:rsidR="001B08E4" w:rsidRPr="008B59BF" w:rsidRDefault="001B08E4" w:rsidP="001B08E4">
      <w:pPr>
        <w:spacing w:after="120"/>
        <w:rPr>
          <w:rFonts w:cs="Arial"/>
        </w:rPr>
      </w:pPr>
      <w:r w:rsidRPr="008B59BF">
        <w:rPr>
          <w:rFonts w:cs="Arial"/>
        </w:rPr>
        <w:t xml:space="preserve">Per la Commissione </w:t>
      </w:r>
      <w:r>
        <w:rPr>
          <w:rFonts w:cs="Arial"/>
        </w:rPr>
        <w:t>ambiente, territorio ed energia</w:t>
      </w:r>
      <w:r w:rsidRPr="008B59BF">
        <w:rPr>
          <w:rFonts w:cs="Arial"/>
        </w:rPr>
        <w:t>:</w:t>
      </w:r>
    </w:p>
    <w:p w:rsidR="001B08E4" w:rsidRPr="008B59BF" w:rsidRDefault="001B08E4" w:rsidP="001B08E4">
      <w:pPr>
        <w:rPr>
          <w:rFonts w:cs="Arial"/>
        </w:rPr>
      </w:pPr>
      <w:r>
        <w:rPr>
          <w:rFonts w:cs="Arial"/>
        </w:rPr>
        <w:t>Fabrizio Garbani Nerini</w:t>
      </w:r>
      <w:r w:rsidRPr="008B59BF">
        <w:rPr>
          <w:rFonts w:cs="Arial"/>
        </w:rPr>
        <w:t>, relatore</w:t>
      </w:r>
    </w:p>
    <w:p w:rsidR="00AB2B7B" w:rsidRDefault="00AB2B7B" w:rsidP="00AB2B7B">
      <w:r>
        <w:t xml:space="preserve">Alberti - Bang - Battaglioni - Berardi - </w:t>
      </w:r>
    </w:p>
    <w:p w:rsidR="00AB2B7B" w:rsidRDefault="00AB2B7B" w:rsidP="00AB2B7B">
      <w:r>
        <w:t xml:space="preserve">Buri - Caroni - Cedraschi - Gaffuri - Garzoli - </w:t>
      </w:r>
    </w:p>
    <w:p w:rsidR="00AB2B7B" w:rsidRDefault="00AB2B7B" w:rsidP="00AB2B7B">
      <w:r>
        <w:t xml:space="preserve">Genini - Gnesa - Pinoja - Schnellmann - </w:t>
      </w:r>
    </w:p>
    <w:p w:rsidR="00AB2B7B" w:rsidRDefault="00AB2B7B" w:rsidP="00AB2B7B">
      <w:r>
        <w:t>Schoenenberger - Terraneo - Tonini</w:t>
      </w:r>
    </w:p>
    <w:p w:rsidR="001B08E4" w:rsidRPr="008B59BF" w:rsidRDefault="001B08E4" w:rsidP="001B08E4">
      <w:pPr>
        <w:rPr>
          <w:rFonts w:cs="Arial"/>
        </w:rPr>
      </w:pPr>
    </w:p>
    <w:sectPr w:rsidR="001B08E4" w:rsidRPr="008B59BF" w:rsidSect="00DF434B">
      <w:footerReference w:type="default" r:id="rId8"/>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5E" w:rsidRDefault="00D9765E">
      <w:r>
        <w:separator/>
      </w:r>
    </w:p>
  </w:endnote>
  <w:endnote w:type="continuationSeparator" w:id="0">
    <w:p w:rsidR="00D9765E" w:rsidRDefault="00D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C3" w:rsidRDefault="003979A4">
    <w:pPr>
      <w:pStyle w:val="Pidipagina"/>
      <w:jc w:val="center"/>
      <w:rPr>
        <w:sz w:val="20"/>
      </w:rPr>
    </w:pPr>
    <w:r>
      <w:rPr>
        <w:rStyle w:val="Numeropagina"/>
        <w:sz w:val="20"/>
      </w:rPr>
      <w:fldChar w:fldCharType="begin"/>
    </w:r>
    <w:r w:rsidR="00BF3FC3">
      <w:rPr>
        <w:rStyle w:val="Numeropagina"/>
        <w:sz w:val="20"/>
      </w:rPr>
      <w:instrText xml:space="preserve"> PAGE </w:instrText>
    </w:r>
    <w:r>
      <w:rPr>
        <w:rStyle w:val="Numeropagina"/>
        <w:sz w:val="20"/>
      </w:rPr>
      <w:fldChar w:fldCharType="separate"/>
    </w:r>
    <w:r w:rsidR="00184E8B">
      <w:rPr>
        <w:rStyle w:val="Numeropagina"/>
        <w:noProof/>
        <w:sz w:val="20"/>
      </w:rPr>
      <w:t>1</w:t>
    </w:r>
    <w:r>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5E" w:rsidRDefault="00D9765E">
      <w:r>
        <w:separator/>
      </w:r>
    </w:p>
  </w:footnote>
  <w:footnote w:type="continuationSeparator" w:id="0">
    <w:p w:rsidR="00D9765E" w:rsidRDefault="00D9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80B"/>
    <w:multiLevelType w:val="hybridMultilevel"/>
    <w:tmpl w:val="31E45A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DB4387"/>
    <w:multiLevelType w:val="hybridMultilevel"/>
    <w:tmpl w:val="F12E14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E24C7A"/>
    <w:multiLevelType w:val="hybridMultilevel"/>
    <w:tmpl w:val="6B8C6B3C"/>
    <w:lvl w:ilvl="0" w:tplc="52027DA4">
      <w:start w:val="1"/>
      <w:numFmt w:val="lowerLetter"/>
      <w:lvlText w:val="%1)"/>
      <w:lvlJc w:val="left"/>
      <w:pPr>
        <w:ind w:left="420" w:hanging="360"/>
      </w:pPr>
      <w:rPr>
        <w:rFonts w:hint="default"/>
        <w:u w:val="none"/>
      </w:rPr>
    </w:lvl>
    <w:lvl w:ilvl="1" w:tplc="08100019" w:tentative="1">
      <w:start w:val="1"/>
      <w:numFmt w:val="lowerLetter"/>
      <w:lvlText w:val="%2."/>
      <w:lvlJc w:val="left"/>
      <w:pPr>
        <w:ind w:left="1140" w:hanging="360"/>
      </w:pPr>
    </w:lvl>
    <w:lvl w:ilvl="2" w:tplc="0810001B" w:tentative="1">
      <w:start w:val="1"/>
      <w:numFmt w:val="lowerRoman"/>
      <w:lvlText w:val="%3."/>
      <w:lvlJc w:val="right"/>
      <w:pPr>
        <w:ind w:left="1860" w:hanging="180"/>
      </w:pPr>
    </w:lvl>
    <w:lvl w:ilvl="3" w:tplc="0810000F" w:tentative="1">
      <w:start w:val="1"/>
      <w:numFmt w:val="decimal"/>
      <w:lvlText w:val="%4."/>
      <w:lvlJc w:val="left"/>
      <w:pPr>
        <w:ind w:left="2580" w:hanging="360"/>
      </w:pPr>
    </w:lvl>
    <w:lvl w:ilvl="4" w:tplc="08100019" w:tentative="1">
      <w:start w:val="1"/>
      <w:numFmt w:val="lowerLetter"/>
      <w:lvlText w:val="%5."/>
      <w:lvlJc w:val="left"/>
      <w:pPr>
        <w:ind w:left="3300" w:hanging="360"/>
      </w:pPr>
    </w:lvl>
    <w:lvl w:ilvl="5" w:tplc="0810001B" w:tentative="1">
      <w:start w:val="1"/>
      <w:numFmt w:val="lowerRoman"/>
      <w:lvlText w:val="%6."/>
      <w:lvlJc w:val="right"/>
      <w:pPr>
        <w:ind w:left="4020" w:hanging="180"/>
      </w:pPr>
    </w:lvl>
    <w:lvl w:ilvl="6" w:tplc="0810000F" w:tentative="1">
      <w:start w:val="1"/>
      <w:numFmt w:val="decimal"/>
      <w:lvlText w:val="%7."/>
      <w:lvlJc w:val="left"/>
      <w:pPr>
        <w:ind w:left="4740" w:hanging="360"/>
      </w:pPr>
    </w:lvl>
    <w:lvl w:ilvl="7" w:tplc="08100019" w:tentative="1">
      <w:start w:val="1"/>
      <w:numFmt w:val="lowerLetter"/>
      <w:lvlText w:val="%8."/>
      <w:lvlJc w:val="left"/>
      <w:pPr>
        <w:ind w:left="5460" w:hanging="360"/>
      </w:pPr>
    </w:lvl>
    <w:lvl w:ilvl="8" w:tplc="0810001B" w:tentative="1">
      <w:start w:val="1"/>
      <w:numFmt w:val="lowerRoman"/>
      <w:lvlText w:val="%9."/>
      <w:lvlJc w:val="right"/>
      <w:pPr>
        <w:ind w:left="6180" w:hanging="180"/>
      </w:pPr>
    </w:lvl>
  </w:abstractNum>
  <w:abstractNum w:abstractNumId="3" w15:restartNumberingAfterBreak="0">
    <w:nsid w:val="09AE1C32"/>
    <w:multiLevelType w:val="hybridMultilevel"/>
    <w:tmpl w:val="9CACE316"/>
    <w:lvl w:ilvl="0" w:tplc="DA2AF67C">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FD63AEE"/>
    <w:multiLevelType w:val="hybridMultilevel"/>
    <w:tmpl w:val="16C274E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1CB50015"/>
    <w:multiLevelType w:val="hybridMultilevel"/>
    <w:tmpl w:val="8A66E3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9C5FE2"/>
    <w:multiLevelType w:val="hybridMultilevel"/>
    <w:tmpl w:val="8C10E3D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985E8F"/>
    <w:multiLevelType w:val="hybridMultilevel"/>
    <w:tmpl w:val="B1C68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07688"/>
    <w:multiLevelType w:val="hybridMultilevel"/>
    <w:tmpl w:val="292CDBC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248C5218"/>
    <w:multiLevelType w:val="hybridMultilevel"/>
    <w:tmpl w:val="6A04B3A4"/>
    <w:lvl w:ilvl="0" w:tplc="0810000F">
      <w:start w:val="1"/>
      <w:numFmt w:val="decimal"/>
      <w:lvlText w:val="%1."/>
      <w:lvlJc w:val="left"/>
      <w:pPr>
        <w:ind w:left="854" w:hanging="360"/>
      </w:pPr>
      <w:rPr>
        <w:rFonts w:hint="default"/>
      </w:rPr>
    </w:lvl>
    <w:lvl w:ilvl="1" w:tplc="08100003" w:tentative="1">
      <w:start w:val="1"/>
      <w:numFmt w:val="bullet"/>
      <w:lvlText w:val="o"/>
      <w:lvlJc w:val="left"/>
      <w:pPr>
        <w:ind w:left="1574" w:hanging="360"/>
      </w:pPr>
      <w:rPr>
        <w:rFonts w:ascii="Courier New" w:hAnsi="Courier New" w:cs="Courier New" w:hint="default"/>
      </w:rPr>
    </w:lvl>
    <w:lvl w:ilvl="2" w:tplc="08100005" w:tentative="1">
      <w:start w:val="1"/>
      <w:numFmt w:val="bullet"/>
      <w:lvlText w:val=""/>
      <w:lvlJc w:val="left"/>
      <w:pPr>
        <w:ind w:left="2294" w:hanging="360"/>
      </w:pPr>
      <w:rPr>
        <w:rFonts w:ascii="Wingdings" w:hAnsi="Wingdings" w:hint="default"/>
      </w:rPr>
    </w:lvl>
    <w:lvl w:ilvl="3" w:tplc="08100001" w:tentative="1">
      <w:start w:val="1"/>
      <w:numFmt w:val="bullet"/>
      <w:lvlText w:val=""/>
      <w:lvlJc w:val="left"/>
      <w:pPr>
        <w:ind w:left="3014" w:hanging="360"/>
      </w:pPr>
      <w:rPr>
        <w:rFonts w:ascii="Symbol" w:hAnsi="Symbol" w:hint="default"/>
      </w:rPr>
    </w:lvl>
    <w:lvl w:ilvl="4" w:tplc="08100003" w:tentative="1">
      <w:start w:val="1"/>
      <w:numFmt w:val="bullet"/>
      <w:lvlText w:val="o"/>
      <w:lvlJc w:val="left"/>
      <w:pPr>
        <w:ind w:left="3734" w:hanging="360"/>
      </w:pPr>
      <w:rPr>
        <w:rFonts w:ascii="Courier New" w:hAnsi="Courier New" w:cs="Courier New" w:hint="default"/>
      </w:rPr>
    </w:lvl>
    <w:lvl w:ilvl="5" w:tplc="08100005" w:tentative="1">
      <w:start w:val="1"/>
      <w:numFmt w:val="bullet"/>
      <w:lvlText w:val=""/>
      <w:lvlJc w:val="left"/>
      <w:pPr>
        <w:ind w:left="4454" w:hanging="360"/>
      </w:pPr>
      <w:rPr>
        <w:rFonts w:ascii="Wingdings" w:hAnsi="Wingdings" w:hint="default"/>
      </w:rPr>
    </w:lvl>
    <w:lvl w:ilvl="6" w:tplc="08100001" w:tentative="1">
      <w:start w:val="1"/>
      <w:numFmt w:val="bullet"/>
      <w:lvlText w:val=""/>
      <w:lvlJc w:val="left"/>
      <w:pPr>
        <w:ind w:left="5174" w:hanging="360"/>
      </w:pPr>
      <w:rPr>
        <w:rFonts w:ascii="Symbol" w:hAnsi="Symbol" w:hint="default"/>
      </w:rPr>
    </w:lvl>
    <w:lvl w:ilvl="7" w:tplc="08100003" w:tentative="1">
      <w:start w:val="1"/>
      <w:numFmt w:val="bullet"/>
      <w:lvlText w:val="o"/>
      <w:lvlJc w:val="left"/>
      <w:pPr>
        <w:ind w:left="5894" w:hanging="360"/>
      </w:pPr>
      <w:rPr>
        <w:rFonts w:ascii="Courier New" w:hAnsi="Courier New" w:cs="Courier New" w:hint="default"/>
      </w:rPr>
    </w:lvl>
    <w:lvl w:ilvl="8" w:tplc="08100005" w:tentative="1">
      <w:start w:val="1"/>
      <w:numFmt w:val="bullet"/>
      <w:lvlText w:val=""/>
      <w:lvlJc w:val="left"/>
      <w:pPr>
        <w:ind w:left="6614" w:hanging="360"/>
      </w:pPr>
      <w:rPr>
        <w:rFonts w:ascii="Wingdings" w:hAnsi="Wingdings" w:hint="default"/>
      </w:rPr>
    </w:lvl>
  </w:abstractNum>
  <w:abstractNum w:abstractNumId="10" w15:restartNumberingAfterBreak="0">
    <w:nsid w:val="26640A4E"/>
    <w:multiLevelType w:val="hybridMultilevel"/>
    <w:tmpl w:val="E150358E"/>
    <w:lvl w:ilvl="0" w:tplc="B1BAA5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9C722F"/>
    <w:multiLevelType w:val="hybridMultilevel"/>
    <w:tmpl w:val="EAA42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653DB"/>
    <w:multiLevelType w:val="singleLevel"/>
    <w:tmpl w:val="F6EC73C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016E60"/>
    <w:multiLevelType w:val="hybridMultilevel"/>
    <w:tmpl w:val="26585E34"/>
    <w:lvl w:ilvl="0" w:tplc="70C2380A">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34061A91"/>
    <w:multiLevelType w:val="hybridMultilevel"/>
    <w:tmpl w:val="BA7CA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7E75829"/>
    <w:multiLevelType w:val="hybridMultilevel"/>
    <w:tmpl w:val="EF042F88"/>
    <w:lvl w:ilvl="0" w:tplc="3F309098">
      <w:numFmt w:val="bullet"/>
      <w:lvlText w:val="-"/>
      <w:lvlJc w:val="left"/>
      <w:pPr>
        <w:ind w:left="720" w:hanging="360"/>
      </w:pPr>
      <w:rPr>
        <w:rFonts w:ascii="Arial" w:eastAsia="Times New Roman"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6" w15:restartNumberingAfterBreak="0">
    <w:nsid w:val="3BB6082F"/>
    <w:multiLevelType w:val="hybridMultilevel"/>
    <w:tmpl w:val="3A764FFC"/>
    <w:lvl w:ilvl="0" w:tplc="08100001">
      <w:start w:val="1"/>
      <w:numFmt w:val="bullet"/>
      <w:lvlText w:val=""/>
      <w:lvlJc w:val="left"/>
      <w:pPr>
        <w:ind w:left="854" w:hanging="360"/>
      </w:pPr>
      <w:rPr>
        <w:rFonts w:ascii="Symbol" w:hAnsi="Symbol" w:hint="default"/>
      </w:rPr>
    </w:lvl>
    <w:lvl w:ilvl="1" w:tplc="08100003" w:tentative="1">
      <w:start w:val="1"/>
      <w:numFmt w:val="bullet"/>
      <w:lvlText w:val="o"/>
      <w:lvlJc w:val="left"/>
      <w:pPr>
        <w:ind w:left="1574" w:hanging="360"/>
      </w:pPr>
      <w:rPr>
        <w:rFonts w:ascii="Courier New" w:hAnsi="Courier New" w:cs="Courier New" w:hint="default"/>
      </w:rPr>
    </w:lvl>
    <w:lvl w:ilvl="2" w:tplc="08100005" w:tentative="1">
      <w:start w:val="1"/>
      <w:numFmt w:val="bullet"/>
      <w:lvlText w:val=""/>
      <w:lvlJc w:val="left"/>
      <w:pPr>
        <w:ind w:left="2294" w:hanging="360"/>
      </w:pPr>
      <w:rPr>
        <w:rFonts w:ascii="Wingdings" w:hAnsi="Wingdings" w:hint="default"/>
      </w:rPr>
    </w:lvl>
    <w:lvl w:ilvl="3" w:tplc="08100001" w:tentative="1">
      <w:start w:val="1"/>
      <w:numFmt w:val="bullet"/>
      <w:lvlText w:val=""/>
      <w:lvlJc w:val="left"/>
      <w:pPr>
        <w:ind w:left="3014" w:hanging="360"/>
      </w:pPr>
      <w:rPr>
        <w:rFonts w:ascii="Symbol" w:hAnsi="Symbol" w:hint="default"/>
      </w:rPr>
    </w:lvl>
    <w:lvl w:ilvl="4" w:tplc="08100003" w:tentative="1">
      <w:start w:val="1"/>
      <w:numFmt w:val="bullet"/>
      <w:lvlText w:val="o"/>
      <w:lvlJc w:val="left"/>
      <w:pPr>
        <w:ind w:left="3734" w:hanging="360"/>
      </w:pPr>
      <w:rPr>
        <w:rFonts w:ascii="Courier New" w:hAnsi="Courier New" w:cs="Courier New" w:hint="default"/>
      </w:rPr>
    </w:lvl>
    <w:lvl w:ilvl="5" w:tplc="08100005" w:tentative="1">
      <w:start w:val="1"/>
      <w:numFmt w:val="bullet"/>
      <w:lvlText w:val=""/>
      <w:lvlJc w:val="left"/>
      <w:pPr>
        <w:ind w:left="4454" w:hanging="360"/>
      </w:pPr>
      <w:rPr>
        <w:rFonts w:ascii="Wingdings" w:hAnsi="Wingdings" w:hint="default"/>
      </w:rPr>
    </w:lvl>
    <w:lvl w:ilvl="6" w:tplc="08100001" w:tentative="1">
      <w:start w:val="1"/>
      <w:numFmt w:val="bullet"/>
      <w:lvlText w:val=""/>
      <w:lvlJc w:val="left"/>
      <w:pPr>
        <w:ind w:left="5174" w:hanging="360"/>
      </w:pPr>
      <w:rPr>
        <w:rFonts w:ascii="Symbol" w:hAnsi="Symbol" w:hint="default"/>
      </w:rPr>
    </w:lvl>
    <w:lvl w:ilvl="7" w:tplc="08100003" w:tentative="1">
      <w:start w:val="1"/>
      <w:numFmt w:val="bullet"/>
      <w:lvlText w:val="o"/>
      <w:lvlJc w:val="left"/>
      <w:pPr>
        <w:ind w:left="5894" w:hanging="360"/>
      </w:pPr>
      <w:rPr>
        <w:rFonts w:ascii="Courier New" w:hAnsi="Courier New" w:cs="Courier New" w:hint="default"/>
      </w:rPr>
    </w:lvl>
    <w:lvl w:ilvl="8" w:tplc="08100005" w:tentative="1">
      <w:start w:val="1"/>
      <w:numFmt w:val="bullet"/>
      <w:lvlText w:val=""/>
      <w:lvlJc w:val="left"/>
      <w:pPr>
        <w:ind w:left="6614" w:hanging="360"/>
      </w:pPr>
      <w:rPr>
        <w:rFonts w:ascii="Wingdings" w:hAnsi="Wingdings" w:hint="default"/>
      </w:rPr>
    </w:lvl>
  </w:abstractNum>
  <w:abstractNum w:abstractNumId="17" w15:restartNumberingAfterBreak="0">
    <w:nsid w:val="400532CE"/>
    <w:multiLevelType w:val="hybridMultilevel"/>
    <w:tmpl w:val="87A0ABD8"/>
    <w:lvl w:ilvl="0" w:tplc="0FF8E69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41180441"/>
    <w:multiLevelType w:val="hybridMultilevel"/>
    <w:tmpl w:val="A08EDD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65C0205"/>
    <w:multiLevelType w:val="hybridMultilevel"/>
    <w:tmpl w:val="75A46E6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786"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6B2675E"/>
    <w:multiLevelType w:val="hybridMultilevel"/>
    <w:tmpl w:val="C08AF4B0"/>
    <w:lvl w:ilvl="0" w:tplc="C360C154">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472806BC"/>
    <w:multiLevelType w:val="hybridMultilevel"/>
    <w:tmpl w:val="2C20385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A1E2424"/>
    <w:multiLevelType w:val="hybridMultilevel"/>
    <w:tmpl w:val="58424C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9245B"/>
    <w:multiLevelType w:val="hybridMultilevel"/>
    <w:tmpl w:val="D8F49114"/>
    <w:lvl w:ilvl="0" w:tplc="27680DEA">
      <w:start w:val="1"/>
      <w:numFmt w:val="decimal"/>
      <w:lvlText w:val="%1."/>
      <w:lvlJc w:val="left"/>
      <w:pPr>
        <w:ind w:left="570" w:hanging="57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4" w15:restartNumberingAfterBreak="0">
    <w:nsid w:val="611C38D2"/>
    <w:multiLevelType w:val="hybridMultilevel"/>
    <w:tmpl w:val="172C6D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60FF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7601F"/>
    <w:multiLevelType w:val="hybridMultilevel"/>
    <w:tmpl w:val="D690F186"/>
    <w:lvl w:ilvl="0" w:tplc="08100001">
      <w:start w:val="1"/>
      <w:numFmt w:val="bullet"/>
      <w:lvlText w:val=""/>
      <w:lvlJc w:val="left"/>
      <w:pPr>
        <w:ind w:left="777" w:hanging="360"/>
      </w:pPr>
      <w:rPr>
        <w:rFonts w:ascii="Symbol" w:hAnsi="Symbol" w:hint="default"/>
      </w:rPr>
    </w:lvl>
    <w:lvl w:ilvl="1" w:tplc="08100003" w:tentative="1">
      <w:start w:val="1"/>
      <w:numFmt w:val="bullet"/>
      <w:lvlText w:val="o"/>
      <w:lvlJc w:val="left"/>
      <w:pPr>
        <w:ind w:left="1497" w:hanging="360"/>
      </w:pPr>
      <w:rPr>
        <w:rFonts w:ascii="Courier New" w:hAnsi="Courier New" w:cs="Courier New" w:hint="default"/>
      </w:rPr>
    </w:lvl>
    <w:lvl w:ilvl="2" w:tplc="08100005" w:tentative="1">
      <w:start w:val="1"/>
      <w:numFmt w:val="bullet"/>
      <w:lvlText w:val=""/>
      <w:lvlJc w:val="left"/>
      <w:pPr>
        <w:ind w:left="2217" w:hanging="360"/>
      </w:pPr>
      <w:rPr>
        <w:rFonts w:ascii="Wingdings" w:hAnsi="Wingdings" w:hint="default"/>
      </w:rPr>
    </w:lvl>
    <w:lvl w:ilvl="3" w:tplc="08100001" w:tentative="1">
      <w:start w:val="1"/>
      <w:numFmt w:val="bullet"/>
      <w:lvlText w:val=""/>
      <w:lvlJc w:val="left"/>
      <w:pPr>
        <w:ind w:left="2937" w:hanging="360"/>
      </w:pPr>
      <w:rPr>
        <w:rFonts w:ascii="Symbol" w:hAnsi="Symbol" w:hint="default"/>
      </w:rPr>
    </w:lvl>
    <w:lvl w:ilvl="4" w:tplc="08100003" w:tentative="1">
      <w:start w:val="1"/>
      <w:numFmt w:val="bullet"/>
      <w:lvlText w:val="o"/>
      <w:lvlJc w:val="left"/>
      <w:pPr>
        <w:ind w:left="3657" w:hanging="360"/>
      </w:pPr>
      <w:rPr>
        <w:rFonts w:ascii="Courier New" w:hAnsi="Courier New" w:cs="Courier New" w:hint="default"/>
      </w:rPr>
    </w:lvl>
    <w:lvl w:ilvl="5" w:tplc="08100005" w:tentative="1">
      <w:start w:val="1"/>
      <w:numFmt w:val="bullet"/>
      <w:lvlText w:val=""/>
      <w:lvlJc w:val="left"/>
      <w:pPr>
        <w:ind w:left="4377" w:hanging="360"/>
      </w:pPr>
      <w:rPr>
        <w:rFonts w:ascii="Wingdings" w:hAnsi="Wingdings" w:hint="default"/>
      </w:rPr>
    </w:lvl>
    <w:lvl w:ilvl="6" w:tplc="08100001" w:tentative="1">
      <w:start w:val="1"/>
      <w:numFmt w:val="bullet"/>
      <w:lvlText w:val=""/>
      <w:lvlJc w:val="left"/>
      <w:pPr>
        <w:ind w:left="5097" w:hanging="360"/>
      </w:pPr>
      <w:rPr>
        <w:rFonts w:ascii="Symbol" w:hAnsi="Symbol" w:hint="default"/>
      </w:rPr>
    </w:lvl>
    <w:lvl w:ilvl="7" w:tplc="08100003" w:tentative="1">
      <w:start w:val="1"/>
      <w:numFmt w:val="bullet"/>
      <w:lvlText w:val="o"/>
      <w:lvlJc w:val="left"/>
      <w:pPr>
        <w:ind w:left="5817" w:hanging="360"/>
      </w:pPr>
      <w:rPr>
        <w:rFonts w:ascii="Courier New" w:hAnsi="Courier New" w:cs="Courier New" w:hint="default"/>
      </w:rPr>
    </w:lvl>
    <w:lvl w:ilvl="8" w:tplc="08100005" w:tentative="1">
      <w:start w:val="1"/>
      <w:numFmt w:val="bullet"/>
      <w:lvlText w:val=""/>
      <w:lvlJc w:val="left"/>
      <w:pPr>
        <w:ind w:left="6537" w:hanging="360"/>
      </w:pPr>
      <w:rPr>
        <w:rFonts w:ascii="Wingdings" w:hAnsi="Wingdings" w:hint="default"/>
      </w:rPr>
    </w:lvl>
  </w:abstractNum>
  <w:abstractNum w:abstractNumId="27" w15:restartNumberingAfterBreak="0">
    <w:nsid w:val="6DE67108"/>
    <w:multiLevelType w:val="hybridMultilevel"/>
    <w:tmpl w:val="0DD4030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6E7D0FAA"/>
    <w:multiLevelType w:val="hybridMultilevel"/>
    <w:tmpl w:val="746260A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720D2392"/>
    <w:multiLevelType w:val="multilevel"/>
    <w:tmpl w:val="998CF81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D79ED"/>
    <w:multiLevelType w:val="hybridMultilevel"/>
    <w:tmpl w:val="3C94874C"/>
    <w:lvl w:ilvl="0" w:tplc="EF066AE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91992"/>
    <w:multiLevelType w:val="hybridMultilevel"/>
    <w:tmpl w:val="6624FECA"/>
    <w:lvl w:ilvl="0" w:tplc="08100001">
      <w:start w:val="1"/>
      <w:numFmt w:val="bullet"/>
      <w:lvlText w:val=""/>
      <w:lvlJc w:val="left"/>
      <w:pPr>
        <w:ind w:left="777" w:hanging="360"/>
      </w:pPr>
      <w:rPr>
        <w:rFonts w:ascii="Symbol" w:hAnsi="Symbol" w:hint="default"/>
      </w:rPr>
    </w:lvl>
    <w:lvl w:ilvl="1" w:tplc="08100003" w:tentative="1">
      <w:start w:val="1"/>
      <w:numFmt w:val="bullet"/>
      <w:lvlText w:val="o"/>
      <w:lvlJc w:val="left"/>
      <w:pPr>
        <w:ind w:left="1497" w:hanging="360"/>
      </w:pPr>
      <w:rPr>
        <w:rFonts w:ascii="Courier New" w:hAnsi="Courier New" w:cs="Courier New" w:hint="default"/>
      </w:rPr>
    </w:lvl>
    <w:lvl w:ilvl="2" w:tplc="08100005" w:tentative="1">
      <w:start w:val="1"/>
      <w:numFmt w:val="bullet"/>
      <w:lvlText w:val=""/>
      <w:lvlJc w:val="left"/>
      <w:pPr>
        <w:ind w:left="2217" w:hanging="360"/>
      </w:pPr>
      <w:rPr>
        <w:rFonts w:ascii="Wingdings" w:hAnsi="Wingdings" w:hint="default"/>
      </w:rPr>
    </w:lvl>
    <w:lvl w:ilvl="3" w:tplc="08100001" w:tentative="1">
      <w:start w:val="1"/>
      <w:numFmt w:val="bullet"/>
      <w:lvlText w:val=""/>
      <w:lvlJc w:val="left"/>
      <w:pPr>
        <w:ind w:left="2937" w:hanging="360"/>
      </w:pPr>
      <w:rPr>
        <w:rFonts w:ascii="Symbol" w:hAnsi="Symbol" w:hint="default"/>
      </w:rPr>
    </w:lvl>
    <w:lvl w:ilvl="4" w:tplc="08100003" w:tentative="1">
      <w:start w:val="1"/>
      <w:numFmt w:val="bullet"/>
      <w:lvlText w:val="o"/>
      <w:lvlJc w:val="left"/>
      <w:pPr>
        <w:ind w:left="3657" w:hanging="360"/>
      </w:pPr>
      <w:rPr>
        <w:rFonts w:ascii="Courier New" w:hAnsi="Courier New" w:cs="Courier New" w:hint="default"/>
      </w:rPr>
    </w:lvl>
    <w:lvl w:ilvl="5" w:tplc="08100005" w:tentative="1">
      <w:start w:val="1"/>
      <w:numFmt w:val="bullet"/>
      <w:lvlText w:val=""/>
      <w:lvlJc w:val="left"/>
      <w:pPr>
        <w:ind w:left="4377" w:hanging="360"/>
      </w:pPr>
      <w:rPr>
        <w:rFonts w:ascii="Wingdings" w:hAnsi="Wingdings" w:hint="default"/>
      </w:rPr>
    </w:lvl>
    <w:lvl w:ilvl="6" w:tplc="08100001" w:tentative="1">
      <w:start w:val="1"/>
      <w:numFmt w:val="bullet"/>
      <w:lvlText w:val=""/>
      <w:lvlJc w:val="left"/>
      <w:pPr>
        <w:ind w:left="5097" w:hanging="360"/>
      </w:pPr>
      <w:rPr>
        <w:rFonts w:ascii="Symbol" w:hAnsi="Symbol" w:hint="default"/>
      </w:rPr>
    </w:lvl>
    <w:lvl w:ilvl="7" w:tplc="08100003" w:tentative="1">
      <w:start w:val="1"/>
      <w:numFmt w:val="bullet"/>
      <w:lvlText w:val="o"/>
      <w:lvlJc w:val="left"/>
      <w:pPr>
        <w:ind w:left="5817" w:hanging="360"/>
      </w:pPr>
      <w:rPr>
        <w:rFonts w:ascii="Courier New" w:hAnsi="Courier New" w:cs="Courier New" w:hint="default"/>
      </w:rPr>
    </w:lvl>
    <w:lvl w:ilvl="8" w:tplc="08100005" w:tentative="1">
      <w:start w:val="1"/>
      <w:numFmt w:val="bullet"/>
      <w:lvlText w:val=""/>
      <w:lvlJc w:val="left"/>
      <w:pPr>
        <w:ind w:left="6537" w:hanging="360"/>
      </w:pPr>
      <w:rPr>
        <w:rFonts w:ascii="Wingdings" w:hAnsi="Wingdings" w:hint="default"/>
      </w:rPr>
    </w:lvl>
  </w:abstractNum>
  <w:num w:numId="1">
    <w:abstractNumId w:val="1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11"/>
  </w:num>
  <w:num w:numId="6">
    <w:abstractNumId w:val="6"/>
  </w:num>
  <w:num w:numId="7">
    <w:abstractNumId w:val="24"/>
  </w:num>
  <w:num w:numId="8">
    <w:abstractNumId w:val="29"/>
  </w:num>
  <w:num w:numId="9">
    <w:abstractNumId w:val="23"/>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8"/>
  </w:num>
  <w:num w:numId="13">
    <w:abstractNumId w:val="16"/>
  </w:num>
  <w:num w:numId="14">
    <w:abstractNumId w:val="9"/>
  </w:num>
  <w:num w:numId="15">
    <w:abstractNumId w:val="31"/>
  </w:num>
  <w:num w:numId="16">
    <w:abstractNumId w:val="26"/>
  </w:num>
  <w:num w:numId="17">
    <w:abstractNumId w:val="4"/>
  </w:num>
  <w:num w:numId="18">
    <w:abstractNumId w:val="2"/>
  </w:num>
  <w:num w:numId="19">
    <w:abstractNumId w:val="3"/>
  </w:num>
  <w:num w:numId="20">
    <w:abstractNumId w:val="10"/>
  </w:num>
  <w:num w:numId="21">
    <w:abstractNumId w:val="8"/>
  </w:num>
  <w:num w:numId="22">
    <w:abstractNumId w:val="27"/>
  </w:num>
  <w:num w:numId="23">
    <w:abstractNumId w:val="15"/>
  </w:num>
  <w:num w:numId="24">
    <w:abstractNumId w:val="17"/>
  </w:num>
  <w:num w:numId="25">
    <w:abstractNumId w:val="20"/>
  </w:num>
  <w:num w:numId="26">
    <w:abstractNumId w:val="5"/>
  </w:num>
  <w:num w:numId="27">
    <w:abstractNumId w:val="18"/>
  </w:num>
  <w:num w:numId="28">
    <w:abstractNumId w:val="14"/>
  </w:num>
  <w:num w:numId="29">
    <w:abstractNumId w:val="0"/>
  </w:num>
  <w:num w:numId="30">
    <w:abstractNumId w:val="1"/>
  </w:num>
  <w:num w:numId="31">
    <w:abstractNumId w:val="19"/>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FB"/>
    <w:rsid w:val="0001713E"/>
    <w:rsid w:val="00035BD2"/>
    <w:rsid w:val="00056425"/>
    <w:rsid w:val="00074568"/>
    <w:rsid w:val="0009445D"/>
    <w:rsid w:val="000A2454"/>
    <w:rsid w:val="000D0633"/>
    <w:rsid w:val="000D377A"/>
    <w:rsid w:val="000D6EDD"/>
    <w:rsid w:val="000F592D"/>
    <w:rsid w:val="00107C86"/>
    <w:rsid w:val="0017133E"/>
    <w:rsid w:val="00180F3B"/>
    <w:rsid w:val="00184E8B"/>
    <w:rsid w:val="001B08E4"/>
    <w:rsid w:val="00223C6F"/>
    <w:rsid w:val="00264AA9"/>
    <w:rsid w:val="00296F84"/>
    <w:rsid w:val="002A1D30"/>
    <w:rsid w:val="002B3873"/>
    <w:rsid w:val="002B698B"/>
    <w:rsid w:val="002C0D3F"/>
    <w:rsid w:val="002D22DA"/>
    <w:rsid w:val="002F3E1F"/>
    <w:rsid w:val="002F4A1C"/>
    <w:rsid w:val="00311339"/>
    <w:rsid w:val="003246E7"/>
    <w:rsid w:val="00324C50"/>
    <w:rsid w:val="0032692E"/>
    <w:rsid w:val="003362B4"/>
    <w:rsid w:val="00341CED"/>
    <w:rsid w:val="00345311"/>
    <w:rsid w:val="003453D1"/>
    <w:rsid w:val="00381A93"/>
    <w:rsid w:val="0039601B"/>
    <w:rsid w:val="003979A4"/>
    <w:rsid w:val="003A2C0B"/>
    <w:rsid w:val="003C16EA"/>
    <w:rsid w:val="003D50F6"/>
    <w:rsid w:val="003E3D43"/>
    <w:rsid w:val="003E4399"/>
    <w:rsid w:val="00435BA3"/>
    <w:rsid w:val="00452A7E"/>
    <w:rsid w:val="00483B1C"/>
    <w:rsid w:val="00493E71"/>
    <w:rsid w:val="004948C5"/>
    <w:rsid w:val="004B6B6F"/>
    <w:rsid w:val="004E56F7"/>
    <w:rsid w:val="00504E17"/>
    <w:rsid w:val="00522EC0"/>
    <w:rsid w:val="0053660F"/>
    <w:rsid w:val="00553194"/>
    <w:rsid w:val="005908E2"/>
    <w:rsid w:val="0059602E"/>
    <w:rsid w:val="005B03BF"/>
    <w:rsid w:val="005E338D"/>
    <w:rsid w:val="006171EF"/>
    <w:rsid w:val="00622B0B"/>
    <w:rsid w:val="006470C0"/>
    <w:rsid w:val="006D2F00"/>
    <w:rsid w:val="006E1E7D"/>
    <w:rsid w:val="007312C9"/>
    <w:rsid w:val="0073572C"/>
    <w:rsid w:val="00747C39"/>
    <w:rsid w:val="007A28FC"/>
    <w:rsid w:val="008041F7"/>
    <w:rsid w:val="0082115E"/>
    <w:rsid w:val="008273E4"/>
    <w:rsid w:val="008B2EE9"/>
    <w:rsid w:val="00914556"/>
    <w:rsid w:val="00941378"/>
    <w:rsid w:val="00942AAE"/>
    <w:rsid w:val="009832AD"/>
    <w:rsid w:val="00983B5B"/>
    <w:rsid w:val="00995265"/>
    <w:rsid w:val="009A6197"/>
    <w:rsid w:val="009B297E"/>
    <w:rsid w:val="009B4B90"/>
    <w:rsid w:val="009B655A"/>
    <w:rsid w:val="00A05B99"/>
    <w:rsid w:val="00A133CF"/>
    <w:rsid w:val="00A4247B"/>
    <w:rsid w:val="00A45778"/>
    <w:rsid w:val="00A8611B"/>
    <w:rsid w:val="00A9424E"/>
    <w:rsid w:val="00AA68D5"/>
    <w:rsid w:val="00AB0C19"/>
    <w:rsid w:val="00AB1B96"/>
    <w:rsid w:val="00AB2B7B"/>
    <w:rsid w:val="00AE59AB"/>
    <w:rsid w:val="00AE6F3D"/>
    <w:rsid w:val="00AF5992"/>
    <w:rsid w:val="00B01474"/>
    <w:rsid w:val="00B364FB"/>
    <w:rsid w:val="00B378FB"/>
    <w:rsid w:val="00B50835"/>
    <w:rsid w:val="00B56C78"/>
    <w:rsid w:val="00B70864"/>
    <w:rsid w:val="00B93459"/>
    <w:rsid w:val="00B93BA2"/>
    <w:rsid w:val="00B94646"/>
    <w:rsid w:val="00BF3FC3"/>
    <w:rsid w:val="00BF4A11"/>
    <w:rsid w:val="00C84019"/>
    <w:rsid w:val="00C872EA"/>
    <w:rsid w:val="00C92A1A"/>
    <w:rsid w:val="00C946E4"/>
    <w:rsid w:val="00CA01F5"/>
    <w:rsid w:val="00CE008E"/>
    <w:rsid w:val="00D06436"/>
    <w:rsid w:val="00D35E8D"/>
    <w:rsid w:val="00D4363F"/>
    <w:rsid w:val="00D54A9E"/>
    <w:rsid w:val="00D5647E"/>
    <w:rsid w:val="00D76075"/>
    <w:rsid w:val="00D9765E"/>
    <w:rsid w:val="00DA0708"/>
    <w:rsid w:val="00DF434B"/>
    <w:rsid w:val="00E1178B"/>
    <w:rsid w:val="00E15EE0"/>
    <w:rsid w:val="00E2192F"/>
    <w:rsid w:val="00E762E7"/>
    <w:rsid w:val="00EA22D9"/>
    <w:rsid w:val="00EA601A"/>
    <w:rsid w:val="00EA73B9"/>
    <w:rsid w:val="00EB0218"/>
    <w:rsid w:val="00F042BE"/>
    <w:rsid w:val="00F14DA7"/>
    <w:rsid w:val="00F22EEA"/>
    <w:rsid w:val="00F8277A"/>
    <w:rsid w:val="00FA59E4"/>
    <w:rsid w:val="00FC0218"/>
    <w:rsid w:val="00FC49B7"/>
    <w:rsid w:val="00FD1B18"/>
    <w:rsid w:val="00FD5A47"/>
    <w:rsid w:val="00FF2D3A"/>
    <w:rsid w:val="00FF32DE"/>
  </w:rsids>
  <m:mathPr>
    <m:mathFont m:val="Cambria Math"/>
    <m:brkBin m:val="before"/>
    <m:brkBinSub m:val="--"/>
    <m:smallFrac/>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2240E-CE9E-584A-9D4D-F8C0C9A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79A4"/>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link w:val="Titolo2Carattere"/>
    <w:uiPriority w:val="9"/>
    <w:qFormat/>
    <w:rsid w:val="00483B1C"/>
    <w:pPr>
      <w:keepNext/>
      <w:tabs>
        <w:tab w:val="left" w:pos="567"/>
      </w:tabs>
      <w:spacing w:after="120"/>
      <w:outlineLvl w:val="1"/>
    </w:pPr>
    <w:rPr>
      <w:b/>
    </w:rPr>
  </w:style>
  <w:style w:type="paragraph" w:styleId="Titolo3">
    <w:name w:val="heading 3"/>
    <w:basedOn w:val="Normale"/>
    <w:next w:val="Normale"/>
    <w:link w:val="Titolo3Carattere"/>
    <w:qFormat/>
    <w:rsid w:val="00483B1C"/>
    <w:pPr>
      <w:keepNext/>
      <w:tabs>
        <w:tab w:val="left" w:pos="709"/>
      </w:tabs>
      <w:spacing w:before="120" w:after="120"/>
      <w:outlineLvl w:val="2"/>
    </w:pPr>
    <w:rPr>
      <w:b/>
      <w:i/>
      <w:sz w:val="23"/>
      <w:szCs w:val="23"/>
    </w:rPr>
  </w:style>
  <w:style w:type="paragraph" w:styleId="Titolo4">
    <w:name w:val="heading 4"/>
    <w:basedOn w:val="Normale"/>
    <w:next w:val="Normale"/>
    <w:link w:val="Titolo4Caratter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link w:val="Titolo5Carattere"/>
    <w:qFormat/>
    <w:rsid w:val="00483B1C"/>
    <w:pPr>
      <w:keepNext/>
      <w:tabs>
        <w:tab w:val="left" w:pos="851"/>
      </w:tabs>
      <w:spacing w:after="120"/>
      <w:outlineLvl w:val="4"/>
    </w:pPr>
    <w:rPr>
      <w:b/>
      <w:i/>
      <w:sz w:val="22"/>
      <w:szCs w:val="22"/>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979A4"/>
    <w:pPr>
      <w:tabs>
        <w:tab w:val="center" w:pos="4819"/>
        <w:tab w:val="right" w:pos="9638"/>
      </w:tabs>
    </w:pPr>
  </w:style>
  <w:style w:type="paragraph" w:styleId="Pidipagina">
    <w:name w:val="footer"/>
    <w:basedOn w:val="Normale"/>
    <w:link w:val="PidipaginaCarattere"/>
    <w:rsid w:val="003979A4"/>
    <w:pPr>
      <w:tabs>
        <w:tab w:val="center" w:pos="4819"/>
        <w:tab w:val="right" w:pos="9638"/>
      </w:tabs>
    </w:pPr>
  </w:style>
  <w:style w:type="character" w:styleId="Numeropagina">
    <w:name w:val="page number"/>
    <w:basedOn w:val="Carpredefinitoparagrafo"/>
    <w:rsid w:val="003979A4"/>
  </w:style>
  <w:style w:type="paragraph" w:styleId="Corpotesto">
    <w:name w:val="Body Text"/>
    <w:basedOn w:val="Normale"/>
    <w:link w:val="CorpotestoCarattere"/>
    <w:rsid w:val="003979A4"/>
    <w:pPr>
      <w:tabs>
        <w:tab w:val="left" w:pos="284"/>
        <w:tab w:val="left" w:pos="426"/>
        <w:tab w:val="left" w:pos="4962"/>
      </w:tabs>
    </w:pPr>
  </w:style>
  <w:style w:type="paragraph" w:styleId="Corpodeltesto2">
    <w:name w:val="Body Text 2"/>
    <w:basedOn w:val="Normale"/>
    <w:link w:val="Corpodeltesto2Carattere"/>
    <w:rsid w:val="003979A4"/>
    <w:pPr>
      <w:tabs>
        <w:tab w:val="left" w:pos="284"/>
        <w:tab w:val="left" w:pos="426"/>
        <w:tab w:val="left" w:pos="4962"/>
      </w:tabs>
    </w:pPr>
    <w:rPr>
      <w:b/>
      <w:sz w:val="26"/>
    </w:rPr>
  </w:style>
  <w:style w:type="paragraph" w:styleId="Testofumetto">
    <w:name w:val="Balloon Text"/>
    <w:basedOn w:val="Normale"/>
    <w:link w:val="TestofumettoCarattere"/>
    <w:semiHidden/>
    <w:rsid w:val="00435BA3"/>
    <w:rPr>
      <w:rFonts w:ascii="Tahoma" w:hAnsi="Tahoma" w:cs="Tahoma"/>
      <w:sz w:val="16"/>
      <w:szCs w:val="16"/>
    </w:rPr>
  </w:style>
  <w:style w:type="paragraph" w:styleId="Sommario1">
    <w:name w:val="toc 1"/>
    <w:basedOn w:val="Normale"/>
    <w:next w:val="Normale"/>
    <w:autoRedefine/>
    <w:semiHidden/>
    <w:rsid w:val="00FF32DE"/>
    <w:pPr>
      <w:tabs>
        <w:tab w:val="left" w:pos="709"/>
        <w:tab w:val="right" w:leader="dot" w:pos="9639"/>
      </w:tabs>
      <w:spacing w:before="240"/>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customStyle="1" w:styleId="Titolo1Carattere">
    <w:name w:val="Titolo 1 Carattere"/>
    <w:basedOn w:val="Carpredefinitoparagrafo"/>
    <w:link w:val="Titolo1"/>
    <w:rsid w:val="00B01474"/>
    <w:rPr>
      <w:rFonts w:ascii="Arial" w:hAnsi="Arial"/>
      <w:b/>
      <w:caps/>
      <w:sz w:val="24"/>
      <w:szCs w:val="24"/>
      <w:lang w:val="it-IT" w:eastAsia="it-IT"/>
    </w:rPr>
  </w:style>
  <w:style w:type="character" w:customStyle="1" w:styleId="Titolo2Carattere">
    <w:name w:val="Titolo 2 Carattere"/>
    <w:basedOn w:val="Carpredefinitoparagrafo"/>
    <w:link w:val="Titolo2"/>
    <w:uiPriority w:val="9"/>
    <w:rsid w:val="00B01474"/>
    <w:rPr>
      <w:rFonts w:ascii="Arial" w:hAnsi="Arial"/>
      <w:b/>
      <w:sz w:val="24"/>
      <w:lang w:val="it-IT" w:eastAsia="it-IT"/>
    </w:rPr>
  </w:style>
  <w:style w:type="character" w:customStyle="1" w:styleId="Titolo3Carattere">
    <w:name w:val="Titolo 3 Carattere"/>
    <w:basedOn w:val="Carpredefinitoparagrafo"/>
    <w:link w:val="Titolo3"/>
    <w:rsid w:val="00B01474"/>
    <w:rPr>
      <w:rFonts w:ascii="Arial" w:hAnsi="Arial"/>
      <w:b/>
      <w:i/>
      <w:sz w:val="23"/>
      <w:szCs w:val="23"/>
      <w:lang w:val="it-IT" w:eastAsia="it-IT"/>
    </w:rPr>
  </w:style>
  <w:style w:type="paragraph" w:styleId="Testonotaapidipagina">
    <w:name w:val="footnote text"/>
    <w:basedOn w:val="Normale"/>
    <w:link w:val="TestonotaapidipaginaCarattere"/>
    <w:rsid w:val="00B01474"/>
    <w:rPr>
      <w:sz w:val="20"/>
    </w:rPr>
  </w:style>
  <w:style w:type="character" w:customStyle="1" w:styleId="TestonotaapidipaginaCarattere">
    <w:name w:val="Testo nota a piè di pagina Carattere"/>
    <w:basedOn w:val="Carpredefinitoparagrafo"/>
    <w:link w:val="Testonotaapidipagina"/>
    <w:rsid w:val="00B01474"/>
    <w:rPr>
      <w:rFonts w:ascii="Arial" w:hAnsi="Arial"/>
      <w:lang w:val="it-IT" w:eastAsia="it-IT"/>
    </w:rPr>
  </w:style>
  <w:style w:type="character" w:styleId="Rimandonotaapidipagina">
    <w:name w:val="footnote reference"/>
    <w:rsid w:val="00B01474"/>
    <w:rPr>
      <w:vertAlign w:val="superscript"/>
    </w:rPr>
  </w:style>
  <w:style w:type="character" w:styleId="Collegamentoipertestuale">
    <w:name w:val="Hyperlink"/>
    <w:unhideWhenUsed/>
    <w:rsid w:val="00B01474"/>
    <w:rPr>
      <w:color w:val="0000FF"/>
      <w:u w:val="single"/>
    </w:rPr>
  </w:style>
  <w:style w:type="character" w:customStyle="1" w:styleId="Titolo4Carattere">
    <w:name w:val="Titolo 4 Carattere"/>
    <w:basedOn w:val="Carpredefinitoparagrafo"/>
    <w:link w:val="Titolo4"/>
    <w:rsid w:val="00107C86"/>
    <w:rPr>
      <w:rFonts w:ascii="Arial" w:hAnsi="Arial"/>
      <w:b/>
      <w:sz w:val="22"/>
      <w:szCs w:val="22"/>
      <w:lang w:eastAsia="it-IT"/>
    </w:rPr>
  </w:style>
  <w:style w:type="character" w:customStyle="1" w:styleId="Titolo5Carattere">
    <w:name w:val="Titolo 5 Carattere"/>
    <w:basedOn w:val="Carpredefinitoparagrafo"/>
    <w:link w:val="Titolo5"/>
    <w:rsid w:val="00107C86"/>
    <w:rPr>
      <w:rFonts w:ascii="Arial" w:hAnsi="Arial"/>
      <w:b/>
      <w:i/>
      <w:sz w:val="22"/>
      <w:szCs w:val="22"/>
      <w:lang w:eastAsia="it-IT"/>
    </w:rPr>
  </w:style>
  <w:style w:type="character" w:customStyle="1" w:styleId="IntestazioneCarattere">
    <w:name w:val="Intestazione Carattere"/>
    <w:basedOn w:val="Carpredefinitoparagrafo"/>
    <w:link w:val="Intestazione"/>
    <w:rsid w:val="00107C86"/>
    <w:rPr>
      <w:rFonts w:ascii="Arial" w:hAnsi="Arial"/>
      <w:sz w:val="24"/>
      <w:lang w:val="it-IT" w:eastAsia="it-IT"/>
    </w:rPr>
  </w:style>
  <w:style w:type="character" w:customStyle="1" w:styleId="PidipaginaCarattere">
    <w:name w:val="Piè di pagina Carattere"/>
    <w:basedOn w:val="Carpredefinitoparagrafo"/>
    <w:link w:val="Pidipagina"/>
    <w:rsid w:val="00107C86"/>
    <w:rPr>
      <w:rFonts w:ascii="Arial" w:hAnsi="Arial"/>
      <w:sz w:val="24"/>
      <w:lang w:val="it-IT" w:eastAsia="it-IT"/>
    </w:rPr>
  </w:style>
  <w:style w:type="character" w:customStyle="1" w:styleId="CorpotestoCarattere">
    <w:name w:val="Corpo testo Carattere"/>
    <w:basedOn w:val="Carpredefinitoparagrafo"/>
    <w:link w:val="Corpotesto"/>
    <w:rsid w:val="00107C86"/>
    <w:rPr>
      <w:rFonts w:ascii="Arial" w:hAnsi="Arial"/>
      <w:sz w:val="24"/>
      <w:lang w:val="it-IT" w:eastAsia="it-IT"/>
    </w:rPr>
  </w:style>
  <w:style w:type="character" w:customStyle="1" w:styleId="Corpodeltesto2Carattere">
    <w:name w:val="Corpo del testo 2 Carattere"/>
    <w:basedOn w:val="Carpredefinitoparagrafo"/>
    <w:link w:val="Corpodeltesto2"/>
    <w:rsid w:val="00107C86"/>
    <w:rPr>
      <w:rFonts w:ascii="Arial" w:hAnsi="Arial"/>
      <w:b/>
      <w:sz w:val="26"/>
      <w:lang w:val="it-IT" w:eastAsia="it-IT"/>
    </w:rPr>
  </w:style>
  <w:style w:type="character" w:customStyle="1" w:styleId="TestofumettoCarattere">
    <w:name w:val="Testo fumetto Carattere"/>
    <w:basedOn w:val="Carpredefinitoparagrafo"/>
    <w:link w:val="Testofumetto"/>
    <w:semiHidden/>
    <w:rsid w:val="00107C86"/>
    <w:rPr>
      <w:rFonts w:ascii="Tahoma" w:hAnsi="Tahoma" w:cs="Tahoma"/>
      <w:sz w:val="16"/>
      <w:szCs w:val="16"/>
      <w:lang w:val="it-IT" w:eastAsia="it-IT"/>
    </w:rPr>
  </w:style>
  <w:style w:type="paragraph" w:customStyle="1" w:styleId="rientro">
    <w:name w:val="rientro"/>
    <w:basedOn w:val="Normale"/>
    <w:rsid w:val="00107C86"/>
    <w:pPr>
      <w:ind w:left="1134" w:right="1134"/>
      <w:jc w:val="left"/>
    </w:pPr>
    <w:rPr>
      <w:rFonts w:ascii="Courier" w:hAnsi="Courier"/>
    </w:rPr>
  </w:style>
  <w:style w:type="paragraph" w:styleId="Paragrafoelenco">
    <w:name w:val="List Paragraph"/>
    <w:aliases w:val="List Paragraph 1,Elenco a colori - Colore 11"/>
    <w:basedOn w:val="Normale"/>
    <w:link w:val="ParagrafoelencoCarattere"/>
    <w:uiPriority w:val="34"/>
    <w:qFormat/>
    <w:rsid w:val="002C0D3F"/>
    <w:pPr>
      <w:ind w:left="720"/>
      <w:contextualSpacing/>
    </w:pPr>
  </w:style>
  <w:style w:type="paragraph" w:styleId="Testonormale">
    <w:name w:val="Plain Text"/>
    <w:basedOn w:val="Normale"/>
    <w:link w:val="TestonormaleCarattere"/>
    <w:uiPriority w:val="99"/>
    <w:unhideWhenUsed/>
    <w:rsid w:val="002C0D3F"/>
    <w:pPr>
      <w:jc w:val="left"/>
    </w:pPr>
    <w:rPr>
      <w:rFonts w:ascii="Courier New" w:eastAsiaTheme="minorHAnsi" w:hAnsi="Courier New" w:cs="Courier New"/>
      <w:sz w:val="20"/>
      <w:lang w:val="it-CH" w:eastAsia="it-CH"/>
    </w:rPr>
  </w:style>
  <w:style w:type="character" w:customStyle="1" w:styleId="TestonormaleCarattere">
    <w:name w:val="Testo normale Carattere"/>
    <w:basedOn w:val="Carpredefinitoparagrafo"/>
    <w:link w:val="Testonormale"/>
    <w:uiPriority w:val="99"/>
    <w:rsid w:val="002C0D3F"/>
    <w:rPr>
      <w:rFonts w:ascii="Courier New" w:eastAsiaTheme="minorHAnsi" w:hAnsi="Courier New" w:cs="Courier New"/>
    </w:rPr>
  </w:style>
  <w:style w:type="table" w:styleId="Grigliatabella">
    <w:name w:val="Table Grid"/>
    <w:basedOn w:val="Tabellanormale"/>
    <w:rsid w:val="003960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13E"/>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2D22DA"/>
    <w:pPr>
      <w:spacing w:before="100" w:beforeAutospacing="1" w:after="100" w:afterAutospacing="1"/>
      <w:jc w:val="left"/>
    </w:pPr>
    <w:rPr>
      <w:rFonts w:ascii="Times New Roman" w:hAnsi="Times New Roman"/>
      <w:szCs w:val="24"/>
    </w:rPr>
  </w:style>
  <w:style w:type="character" w:customStyle="1" w:styleId="ParagrafoelencoCarattere">
    <w:name w:val="Paragrafo elenco Carattere"/>
    <w:aliases w:val="List Paragraph 1 Carattere,Elenco a colori - Colore 11 Carattere"/>
    <w:link w:val="Paragrafoelenco"/>
    <w:uiPriority w:val="34"/>
    <w:locked/>
    <w:rsid w:val="002D22DA"/>
    <w:rPr>
      <w:rFonts w:ascii="Arial" w:hAnsi="Arial"/>
      <w:sz w:val="24"/>
      <w:lang w:val="it-IT" w:eastAsia="it-IT"/>
    </w:rPr>
  </w:style>
  <w:style w:type="paragraph" w:customStyle="1" w:styleId="TXT01Normale">
    <w:name w:val="TXT 01 Normale"/>
    <w:basedOn w:val="Normale"/>
    <w:uiPriority w:val="99"/>
    <w:rsid w:val="002D22DA"/>
    <w:pPr>
      <w:widowControl w:val="0"/>
      <w:tabs>
        <w:tab w:val="left" w:pos="567"/>
      </w:tabs>
      <w:autoSpaceDE w:val="0"/>
      <w:autoSpaceDN w:val="0"/>
      <w:adjustRightInd w:val="0"/>
      <w:spacing w:after="120"/>
      <w:ind w:left="851"/>
      <w:jc w:val="left"/>
    </w:pPr>
    <w:rPr>
      <w:rFonts w:cs="Arial"/>
      <w:sz w:val="23"/>
      <w:szCs w:val="23"/>
      <w:lang w:val="it-CH"/>
    </w:rPr>
  </w:style>
  <w:style w:type="character" w:customStyle="1" w:styleId="st">
    <w:name w:val="st"/>
    <w:basedOn w:val="Carpredefinitoparagrafo"/>
    <w:rsid w:val="002D22DA"/>
  </w:style>
  <w:style w:type="paragraph" w:styleId="Rientronormale">
    <w:name w:val="Normal Indent"/>
    <w:basedOn w:val="Normale"/>
    <w:semiHidden/>
    <w:rsid w:val="002D22DA"/>
    <w:pPr>
      <w:ind w:left="1440"/>
      <w:jc w:val="left"/>
    </w:pPr>
    <w:rPr>
      <w:sz w:val="22"/>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14B9-37CD-4772-BEAE-C29FC3B0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Agostinetti Jole</dc:creator>
  <cp:lastModifiedBy>Morandi Marisa</cp:lastModifiedBy>
  <cp:revision>2</cp:revision>
  <cp:lastPrinted>2021-05-04T13:27:00Z</cp:lastPrinted>
  <dcterms:created xsi:type="dcterms:W3CDTF">2021-05-18T08:29:00Z</dcterms:created>
  <dcterms:modified xsi:type="dcterms:W3CDTF">2021-05-18T08:29:00Z</dcterms:modified>
</cp:coreProperties>
</file>