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774" w:rsidRDefault="00542774" w:rsidP="00542774">
      <w:pPr>
        <w:rPr>
          <w:rFonts w:ascii="Gill Sans MT" w:hAnsi="Gill Sans MT"/>
          <w:b/>
          <w:sz w:val="56"/>
          <w:szCs w:val="56"/>
        </w:rPr>
      </w:pPr>
      <w:bookmarkStart w:id="0" w:name="_GoBack"/>
      <w:bookmarkEnd w:id="0"/>
      <w:r>
        <w:rPr>
          <w:rFonts w:ascii="Gill Sans MT" w:hAnsi="Gill Sans MT"/>
          <w:b/>
          <w:sz w:val="56"/>
          <w:szCs w:val="56"/>
        </w:rPr>
        <w:t>Rapporto</w:t>
      </w:r>
    </w:p>
    <w:p w:rsidR="00B860C2" w:rsidRDefault="00B860C2" w:rsidP="00B860C2">
      <w:pPr>
        <w:rPr>
          <w:rFonts w:cs="Arial"/>
          <w:szCs w:val="24"/>
        </w:rPr>
      </w:pPr>
    </w:p>
    <w:p w:rsidR="00B860C2" w:rsidRDefault="00B860C2" w:rsidP="00B860C2">
      <w:pPr>
        <w:rPr>
          <w:rFonts w:cs="Arial"/>
          <w:szCs w:val="24"/>
        </w:rPr>
      </w:pPr>
    </w:p>
    <w:p w:rsidR="00B860C2" w:rsidRDefault="00265DED" w:rsidP="00B860C2">
      <w:pPr>
        <w:tabs>
          <w:tab w:val="left" w:pos="2098"/>
          <w:tab w:val="left" w:pos="4933"/>
        </w:tabs>
        <w:rPr>
          <w:rFonts w:cs="Arial"/>
          <w:szCs w:val="24"/>
        </w:rPr>
      </w:pPr>
      <w:r>
        <w:rPr>
          <w:rFonts w:cs="Arial"/>
          <w:b/>
          <w:sz w:val="32"/>
          <w:szCs w:val="32"/>
        </w:rPr>
        <w:t>7959</w:t>
      </w:r>
      <w:r w:rsidR="00B860C2" w:rsidRPr="008B4137">
        <w:rPr>
          <w:rFonts w:cs="Arial"/>
          <w:b/>
          <w:sz w:val="32"/>
          <w:szCs w:val="32"/>
        </w:rPr>
        <w:t xml:space="preserve"> R</w:t>
      </w:r>
      <w:r w:rsidR="00B860C2" w:rsidRPr="008B4137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>11 maggio 2021</w:t>
      </w:r>
      <w:r w:rsidR="00B860C2" w:rsidRPr="008B4137">
        <w:rPr>
          <w:rFonts w:cs="Arial"/>
          <w:sz w:val="28"/>
          <w:szCs w:val="28"/>
        </w:rPr>
        <w:tab/>
      </w:r>
      <w:r>
        <w:rPr>
          <w:sz w:val="28"/>
        </w:rPr>
        <w:t>ISTITUZIONI</w:t>
      </w:r>
    </w:p>
    <w:p w:rsidR="00B860C2" w:rsidRPr="00265DED" w:rsidRDefault="00B860C2" w:rsidP="00B860C2">
      <w:pPr>
        <w:rPr>
          <w:rFonts w:cs="Arial"/>
          <w:sz w:val="20"/>
          <w:szCs w:val="20"/>
        </w:rPr>
      </w:pPr>
    </w:p>
    <w:p w:rsidR="00B860C2" w:rsidRPr="00265DED" w:rsidRDefault="00B860C2" w:rsidP="00B860C2">
      <w:pPr>
        <w:rPr>
          <w:rFonts w:cs="Arial"/>
          <w:sz w:val="20"/>
          <w:szCs w:val="20"/>
        </w:rPr>
      </w:pPr>
    </w:p>
    <w:p w:rsidR="00B860C2" w:rsidRPr="00265DED" w:rsidRDefault="00B860C2" w:rsidP="00B860C2">
      <w:pPr>
        <w:rPr>
          <w:rFonts w:cs="Arial"/>
          <w:sz w:val="20"/>
          <w:szCs w:val="20"/>
        </w:rPr>
      </w:pPr>
    </w:p>
    <w:p w:rsidR="00265DED" w:rsidRPr="00265DED" w:rsidRDefault="00265DED" w:rsidP="00265DED">
      <w:pPr>
        <w:rPr>
          <w:rFonts w:cs="Arial"/>
          <w:b/>
          <w:bCs/>
          <w:sz w:val="28"/>
          <w:szCs w:val="28"/>
        </w:rPr>
      </w:pPr>
      <w:r w:rsidRPr="00265DED">
        <w:rPr>
          <w:rFonts w:cs="Arial"/>
          <w:b/>
          <w:bCs/>
          <w:sz w:val="28"/>
          <w:szCs w:val="28"/>
        </w:rPr>
        <w:t>della Commissione Costituzione e leggi</w:t>
      </w:r>
    </w:p>
    <w:p w:rsidR="00265DED" w:rsidRPr="00265DED" w:rsidRDefault="00265DED" w:rsidP="00265DED">
      <w:pPr>
        <w:rPr>
          <w:rFonts w:cs="Arial"/>
          <w:b/>
          <w:sz w:val="28"/>
          <w:szCs w:val="28"/>
        </w:rPr>
      </w:pPr>
      <w:r w:rsidRPr="00265DED">
        <w:rPr>
          <w:rFonts w:cs="Arial"/>
          <w:b/>
          <w:sz w:val="28"/>
          <w:szCs w:val="28"/>
        </w:rPr>
        <w:t xml:space="preserve">sul messaggio 10 febbraio 2021 concernente l'abbandono del progetto di aggregazione tra i Comuni di Bedano e </w:t>
      </w:r>
      <w:proofErr w:type="spellStart"/>
      <w:r w:rsidRPr="00265DED">
        <w:rPr>
          <w:rFonts w:cs="Arial"/>
          <w:b/>
          <w:sz w:val="28"/>
          <w:szCs w:val="28"/>
        </w:rPr>
        <w:t>Gravesano</w:t>
      </w:r>
      <w:proofErr w:type="spellEnd"/>
    </w:p>
    <w:p w:rsidR="00B860C2" w:rsidRPr="00AE24CD" w:rsidRDefault="00B860C2" w:rsidP="00B860C2">
      <w:pPr>
        <w:rPr>
          <w:rFonts w:cs="Arial"/>
          <w:szCs w:val="24"/>
        </w:rPr>
      </w:pPr>
    </w:p>
    <w:p w:rsidR="00B860C2" w:rsidRPr="00AE24CD" w:rsidRDefault="00B860C2" w:rsidP="00B860C2">
      <w:pPr>
        <w:rPr>
          <w:rFonts w:cs="Arial"/>
          <w:szCs w:val="24"/>
        </w:rPr>
      </w:pPr>
    </w:p>
    <w:p w:rsidR="00B860C2" w:rsidRPr="00AE24CD" w:rsidRDefault="00B860C2" w:rsidP="00B860C2">
      <w:pPr>
        <w:rPr>
          <w:rFonts w:cs="Arial"/>
          <w:szCs w:val="24"/>
        </w:rPr>
      </w:pPr>
    </w:p>
    <w:p w:rsidR="00265DED" w:rsidRDefault="00265DED" w:rsidP="00265DED">
      <w:pPr>
        <w:tabs>
          <w:tab w:val="left" w:pos="284"/>
          <w:tab w:val="left" w:pos="426"/>
          <w:tab w:val="left" w:pos="4962"/>
        </w:tabs>
        <w:rPr>
          <w:szCs w:val="24"/>
        </w:rPr>
      </w:pPr>
      <w:r>
        <w:rPr>
          <w:szCs w:val="24"/>
        </w:rPr>
        <w:t>Il presente breve rapporto si limita a riassumere l'iter del progetto e a portare le considerazioni e le conclusioni commissionali.</w:t>
      </w:r>
    </w:p>
    <w:p w:rsidR="00265DED" w:rsidRDefault="00265DED" w:rsidP="00265DED">
      <w:pPr>
        <w:rPr>
          <w:szCs w:val="24"/>
        </w:rPr>
      </w:pPr>
    </w:p>
    <w:p w:rsidR="00AE24CD" w:rsidRPr="00AE24CD" w:rsidRDefault="00AE24CD" w:rsidP="00265DED">
      <w:pPr>
        <w:rPr>
          <w:szCs w:val="24"/>
        </w:rPr>
      </w:pPr>
    </w:p>
    <w:p w:rsidR="00265DED" w:rsidRPr="00AE24CD" w:rsidRDefault="00265DED" w:rsidP="00265DED">
      <w:pPr>
        <w:rPr>
          <w:szCs w:val="24"/>
        </w:rPr>
      </w:pPr>
    </w:p>
    <w:p w:rsidR="00265DED" w:rsidRPr="00AD6C0F" w:rsidRDefault="00265DED" w:rsidP="00265DED">
      <w:pPr>
        <w:pStyle w:val="Titolo1"/>
      </w:pPr>
      <w:r w:rsidRPr="00AD6C0F">
        <w:t>LE TAPPE CHE HANNO CONDOTTO ALLA VOTAZIONE CONSULTIVA</w:t>
      </w:r>
    </w:p>
    <w:p w:rsidR="00265DED" w:rsidRDefault="00265DED" w:rsidP="00265DED">
      <w:pPr>
        <w:rPr>
          <w:rFonts w:cs="Arial"/>
        </w:rPr>
      </w:pPr>
      <w:r w:rsidRPr="008636F0">
        <w:rPr>
          <w:rFonts w:cs="Arial"/>
        </w:rPr>
        <w:t>L</w:t>
      </w:r>
      <w:r>
        <w:rPr>
          <w:rFonts w:cs="Arial"/>
        </w:rPr>
        <w:t>'</w:t>
      </w:r>
      <w:r w:rsidRPr="008636F0">
        <w:rPr>
          <w:rFonts w:cs="Arial"/>
        </w:rPr>
        <w:t xml:space="preserve">iter formale di questo progetto ha preso inizio il 13 novembre 2018 quando i </w:t>
      </w:r>
      <w:r>
        <w:rPr>
          <w:rFonts w:cs="Arial"/>
        </w:rPr>
        <w:t>M</w:t>
      </w:r>
      <w:r w:rsidRPr="008636F0">
        <w:rPr>
          <w:rFonts w:cs="Arial"/>
        </w:rPr>
        <w:t xml:space="preserve">unicipi di Bedano e </w:t>
      </w:r>
      <w:proofErr w:type="spellStart"/>
      <w:r w:rsidRPr="008636F0">
        <w:rPr>
          <w:rFonts w:cs="Arial"/>
        </w:rPr>
        <w:t>Gravesano</w:t>
      </w:r>
      <w:proofErr w:type="spellEnd"/>
      <w:r w:rsidRPr="008636F0">
        <w:rPr>
          <w:rFonts w:cs="Arial"/>
        </w:rPr>
        <w:t xml:space="preserve"> hanno trasmesso </w:t>
      </w:r>
      <w:r>
        <w:rPr>
          <w:rFonts w:cs="Arial"/>
        </w:rPr>
        <w:t>l'</w:t>
      </w:r>
      <w:r w:rsidRPr="008636F0">
        <w:rPr>
          <w:rFonts w:cs="Arial"/>
        </w:rPr>
        <w:t>istanza di aggregazione al Consiglio di Stato.</w:t>
      </w:r>
    </w:p>
    <w:p w:rsidR="00265DED" w:rsidRPr="008636F0" w:rsidRDefault="00265DED" w:rsidP="00265DED">
      <w:pPr>
        <w:spacing w:before="120"/>
        <w:rPr>
          <w:rFonts w:cs="Arial"/>
        </w:rPr>
      </w:pPr>
      <w:r>
        <w:rPr>
          <w:rFonts w:cs="Arial"/>
        </w:rPr>
        <w:t>I</w:t>
      </w:r>
      <w:r w:rsidRPr="008636F0">
        <w:rPr>
          <w:rFonts w:cs="Arial"/>
        </w:rPr>
        <w:t xml:space="preserve">l 16 gennaio 2019 il </w:t>
      </w:r>
      <w:r>
        <w:rPr>
          <w:rFonts w:cs="Arial"/>
        </w:rPr>
        <w:t>Governo</w:t>
      </w:r>
      <w:r w:rsidRPr="008636F0">
        <w:rPr>
          <w:rFonts w:cs="Arial"/>
        </w:rPr>
        <w:t xml:space="preserve"> ha accolto l</w:t>
      </w:r>
      <w:r>
        <w:rPr>
          <w:rFonts w:cs="Arial"/>
        </w:rPr>
        <w:t>'</w:t>
      </w:r>
      <w:r w:rsidRPr="008636F0">
        <w:rPr>
          <w:rFonts w:cs="Arial"/>
        </w:rPr>
        <w:t>istanza e istituito l</w:t>
      </w:r>
      <w:r>
        <w:rPr>
          <w:rFonts w:cs="Arial"/>
        </w:rPr>
        <w:t>'</w:t>
      </w:r>
      <w:r w:rsidRPr="008636F0">
        <w:rPr>
          <w:rFonts w:cs="Arial"/>
        </w:rPr>
        <w:t>apposita Commissione di studio incaricata di presentare un progetto di nuovo Comune aggregato. Nel corso dello studio, la Commissione ha organizzato dei momenti informativi per presentare la bozza di rapporto e raccogliere opinioni e suggerimenti: il 3 giugno 2019</w:t>
      </w:r>
      <w:r>
        <w:rPr>
          <w:rFonts w:cs="Arial"/>
        </w:rPr>
        <w:t xml:space="preserve"> </w:t>
      </w:r>
      <w:r w:rsidRPr="008636F0">
        <w:rPr>
          <w:rFonts w:cs="Arial"/>
        </w:rPr>
        <w:t xml:space="preserve">il documento è </w:t>
      </w:r>
      <w:r>
        <w:rPr>
          <w:rFonts w:cs="Arial"/>
        </w:rPr>
        <w:t xml:space="preserve">stato </w:t>
      </w:r>
      <w:r w:rsidRPr="008636F0">
        <w:rPr>
          <w:rFonts w:cs="Arial"/>
        </w:rPr>
        <w:t xml:space="preserve">presentato ai due </w:t>
      </w:r>
      <w:r>
        <w:rPr>
          <w:rFonts w:cs="Arial"/>
        </w:rPr>
        <w:t>M</w:t>
      </w:r>
      <w:r w:rsidRPr="008636F0">
        <w:rPr>
          <w:rFonts w:cs="Arial"/>
        </w:rPr>
        <w:t xml:space="preserve">unicipi, il 16 settembre 2019 ai </w:t>
      </w:r>
      <w:r>
        <w:rPr>
          <w:rFonts w:cs="Arial"/>
        </w:rPr>
        <w:t>C</w:t>
      </w:r>
      <w:r w:rsidRPr="008636F0">
        <w:rPr>
          <w:rFonts w:cs="Arial"/>
        </w:rPr>
        <w:t xml:space="preserve">onsigli comunali, e in ottobre (21 e 22) alla popolazione dei </w:t>
      </w:r>
      <w:r>
        <w:rPr>
          <w:rFonts w:cs="Arial"/>
        </w:rPr>
        <w:t>C</w:t>
      </w:r>
      <w:r w:rsidRPr="008636F0">
        <w:rPr>
          <w:rFonts w:cs="Arial"/>
        </w:rPr>
        <w:t>omuni in occasione di due serate pubbliche.</w:t>
      </w:r>
    </w:p>
    <w:p w:rsidR="00265DED" w:rsidRPr="008636F0" w:rsidRDefault="00265DED" w:rsidP="00265DED">
      <w:pPr>
        <w:spacing w:before="120"/>
        <w:rPr>
          <w:rFonts w:cs="Arial"/>
        </w:rPr>
      </w:pPr>
      <w:r w:rsidRPr="008636F0">
        <w:rPr>
          <w:rFonts w:cs="Arial"/>
        </w:rPr>
        <w:t xml:space="preserve">La Commissione ha sottoscritto il rapporto finale il 10 gennaio 2020, trasmettendolo ai </w:t>
      </w:r>
      <w:r>
        <w:rPr>
          <w:rFonts w:cs="Arial"/>
        </w:rPr>
        <w:t>C</w:t>
      </w:r>
      <w:r w:rsidRPr="008636F0">
        <w:rPr>
          <w:rFonts w:cs="Arial"/>
        </w:rPr>
        <w:t xml:space="preserve">omuni per i preavvisi dei </w:t>
      </w:r>
      <w:r>
        <w:rPr>
          <w:rFonts w:cs="Arial"/>
        </w:rPr>
        <w:t>C</w:t>
      </w:r>
      <w:r w:rsidRPr="008636F0">
        <w:rPr>
          <w:rFonts w:cs="Arial"/>
        </w:rPr>
        <w:t xml:space="preserve">onsigli comunali e dei </w:t>
      </w:r>
      <w:r>
        <w:rPr>
          <w:rFonts w:cs="Arial"/>
        </w:rPr>
        <w:t>M</w:t>
      </w:r>
      <w:r w:rsidRPr="008636F0">
        <w:rPr>
          <w:rFonts w:cs="Arial"/>
        </w:rPr>
        <w:t>unicipi</w:t>
      </w:r>
      <w:r>
        <w:rPr>
          <w:rFonts w:cs="Arial"/>
        </w:rPr>
        <w:t xml:space="preserve">, che hanno tutti </w:t>
      </w:r>
      <w:r w:rsidRPr="008636F0">
        <w:rPr>
          <w:rFonts w:cs="Arial"/>
        </w:rPr>
        <w:t>espresso parere favorevole allo studio aggregativo.</w:t>
      </w:r>
      <w:r>
        <w:rPr>
          <w:rFonts w:cs="Arial"/>
        </w:rPr>
        <w:t xml:space="preserve"> L</w:t>
      </w:r>
      <w:r w:rsidRPr="008636F0">
        <w:rPr>
          <w:rFonts w:cs="Arial"/>
        </w:rPr>
        <w:t>a sera del 16 giugno 2020</w:t>
      </w:r>
      <w:r>
        <w:rPr>
          <w:rFonts w:cs="Arial"/>
        </w:rPr>
        <w:t>,</w:t>
      </w:r>
      <w:r w:rsidRPr="008636F0">
        <w:rPr>
          <w:rFonts w:cs="Arial"/>
        </w:rPr>
        <w:t xml:space="preserve"> i due </w:t>
      </w:r>
      <w:r>
        <w:rPr>
          <w:rFonts w:cs="Arial"/>
        </w:rPr>
        <w:t>C</w:t>
      </w:r>
      <w:r w:rsidRPr="008636F0">
        <w:rPr>
          <w:rFonts w:cs="Arial"/>
        </w:rPr>
        <w:t>onsigli comunali hanno preso posizione con il seguente risultato:</w:t>
      </w:r>
    </w:p>
    <w:p w:rsidR="00265DED" w:rsidRPr="008636F0" w:rsidRDefault="00265DED" w:rsidP="00265DED">
      <w:pPr>
        <w:tabs>
          <w:tab w:val="left" w:pos="1560"/>
          <w:tab w:val="left" w:pos="3261"/>
          <w:tab w:val="left" w:pos="4678"/>
        </w:tabs>
        <w:spacing w:before="60"/>
        <w:rPr>
          <w:rFonts w:cs="Arial"/>
        </w:rPr>
      </w:pPr>
      <w:r w:rsidRPr="008636F0">
        <w:rPr>
          <w:rFonts w:cs="Arial"/>
        </w:rPr>
        <w:t>Bedano:</w:t>
      </w:r>
      <w:r w:rsidRPr="008636F0">
        <w:rPr>
          <w:rFonts w:cs="Arial"/>
        </w:rPr>
        <w:tab/>
        <w:t>19 favorevoli</w:t>
      </w:r>
      <w:r w:rsidRPr="008636F0">
        <w:rPr>
          <w:rFonts w:cs="Arial"/>
        </w:rPr>
        <w:tab/>
        <w:t>0 contrari</w:t>
      </w:r>
      <w:r w:rsidRPr="008636F0">
        <w:rPr>
          <w:rFonts w:cs="Arial"/>
        </w:rPr>
        <w:tab/>
        <w:t>1 astenuto</w:t>
      </w:r>
    </w:p>
    <w:p w:rsidR="00265DED" w:rsidRPr="008636F0" w:rsidRDefault="00265DED" w:rsidP="00265DED">
      <w:pPr>
        <w:tabs>
          <w:tab w:val="left" w:pos="1560"/>
          <w:tab w:val="left" w:pos="3261"/>
          <w:tab w:val="left" w:pos="4678"/>
        </w:tabs>
        <w:spacing w:before="60"/>
        <w:rPr>
          <w:rFonts w:cs="Arial"/>
        </w:rPr>
      </w:pPr>
      <w:proofErr w:type="spellStart"/>
      <w:r w:rsidRPr="008636F0">
        <w:rPr>
          <w:rFonts w:cs="Arial"/>
        </w:rPr>
        <w:t>Gravesano</w:t>
      </w:r>
      <w:proofErr w:type="spellEnd"/>
      <w:r w:rsidRPr="008636F0">
        <w:rPr>
          <w:rFonts w:cs="Arial"/>
        </w:rPr>
        <w:tab/>
        <w:t>11 favorevoli</w:t>
      </w:r>
      <w:r w:rsidRPr="008636F0">
        <w:rPr>
          <w:rFonts w:cs="Arial"/>
        </w:rPr>
        <w:tab/>
        <w:t>7 contrari</w:t>
      </w:r>
      <w:r w:rsidRPr="008636F0">
        <w:rPr>
          <w:rFonts w:cs="Arial"/>
        </w:rPr>
        <w:tab/>
        <w:t>1 astenuto</w:t>
      </w:r>
    </w:p>
    <w:p w:rsidR="00265DED" w:rsidRPr="008636F0" w:rsidRDefault="00265DED" w:rsidP="00265DED">
      <w:pPr>
        <w:spacing w:before="120"/>
        <w:rPr>
          <w:rFonts w:cs="Arial"/>
        </w:rPr>
      </w:pPr>
      <w:r w:rsidRPr="008636F0">
        <w:rPr>
          <w:rFonts w:cs="Arial"/>
        </w:rPr>
        <w:t>Con successive risoluzioni mu</w:t>
      </w:r>
      <w:r>
        <w:rPr>
          <w:rFonts w:cs="Arial"/>
        </w:rPr>
        <w:t>nicipali del 23 giugno (Bedano)</w:t>
      </w:r>
      <w:r w:rsidRPr="008636F0">
        <w:rPr>
          <w:rFonts w:cs="Arial"/>
        </w:rPr>
        <w:t xml:space="preserve"> rispettivamente del</w:t>
      </w:r>
      <w:r>
        <w:rPr>
          <w:rFonts w:cs="Arial"/>
        </w:rPr>
        <w:br/>
      </w:r>
      <w:r w:rsidRPr="008636F0">
        <w:rPr>
          <w:rFonts w:cs="Arial"/>
        </w:rPr>
        <w:t>22 giugno (</w:t>
      </w:r>
      <w:proofErr w:type="spellStart"/>
      <w:r w:rsidRPr="008636F0">
        <w:rPr>
          <w:rFonts w:cs="Arial"/>
        </w:rPr>
        <w:t>Gravesano</w:t>
      </w:r>
      <w:proofErr w:type="spellEnd"/>
      <w:r w:rsidRPr="008636F0">
        <w:rPr>
          <w:rFonts w:cs="Arial"/>
        </w:rPr>
        <w:t xml:space="preserve">), i due </w:t>
      </w:r>
      <w:r>
        <w:rPr>
          <w:rFonts w:cs="Arial"/>
        </w:rPr>
        <w:t>M</w:t>
      </w:r>
      <w:r w:rsidRPr="008636F0">
        <w:rPr>
          <w:rFonts w:cs="Arial"/>
        </w:rPr>
        <w:t>unicipi hanno pure preavvisato favorevolmente lo studio di aggregazione; il primo all</w:t>
      </w:r>
      <w:r>
        <w:rPr>
          <w:rFonts w:cs="Arial"/>
        </w:rPr>
        <w:t>'</w:t>
      </w:r>
      <w:r w:rsidRPr="008636F0">
        <w:rPr>
          <w:rFonts w:cs="Arial"/>
        </w:rPr>
        <w:t>unanimità, il secondo con 3 voti favorevoli e 2 contrari.</w:t>
      </w:r>
    </w:p>
    <w:p w:rsidR="00265DED" w:rsidRPr="008636F0" w:rsidRDefault="00265DED" w:rsidP="00265DED">
      <w:pPr>
        <w:spacing w:before="120"/>
        <w:rPr>
          <w:rFonts w:cs="Arial"/>
        </w:rPr>
      </w:pPr>
      <w:r w:rsidRPr="008636F0">
        <w:rPr>
          <w:rFonts w:cs="Arial"/>
        </w:rPr>
        <w:t>Il 25 giugno 2020 la Commissione ha trasmesso al Consiglio di Stato lo studio di aggregazione corredato dai relativi preavvisi, che il Governo ha approvato con risoluzione dell</w:t>
      </w:r>
      <w:r>
        <w:rPr>
          <w:rFonts w:cs="Arial"/>
        </w:rPr>
        <w:t>'</w:t>
      </w:r>
      <w:r w:rsidRPr="008636F0">
        <w:rPr>
          <w:rFonts w:cs="Arial"/>
        </w:rPr>
        <w:t>8 luglio 2020, fissando nel contempo la data della votazione consultiva per il successivo 18 ottobre.</w:t>
      </w:r>
    </w:p>
    <w:p w:rsidR="00265DED" w:rsidRDefault="00265DED" w:rsidP="00265DED">
      <w:pPr>
        <w:spacing w:before="120"/>
        <w:rPr>
          <w:rFonts w:cs="Arial"/>
        </w:rPr>
      </w:pPr>
      <w:r w:rsidRPr="008636F0">
        <w:rPr>
          <w:rFonts w:cs="Arial"/>
        </w:rPr>
        <w:t>Nei mesi che hanno preceduto la consultazione si è svolta l</w:t>
      </w:r>
      <w:r>
        <w:rPr>
          <w:rFonts w:cs="Arial"/>
        </w:rPr>
        <w:t>'</w:t>
      </w:r>
      <w:r w:rsidRPr="008636F0">
        <w:rPr>
          <w:rFonts w:cs="Arial"/>
        </w:rPr>
        <w:t xml:space="preserve">informazione alla cittadinanza, </w:t>
      </w:r>
      <w:r>
        <w:rPr>
          <w:rFonts w:cs="Arial"/>
        </w:rPr>
        <w:t xml:space="preserve">consultazione </w:t>
      </w:r>
      <w:r w:rsidRPr="008636F0">
        <w:rPr>
          <w:rFonts w:cs="Arial"/>
        </w:rPr>
        <w:t>che</w:t>
      </w:r>
      <w:r>
        <w:rPr>
          <w:rFonts w:cs="Arial"/>
        </w:rPr>
        <w:t>,</w:t>
      </w:r>
      <w:r w:rsidRPr="008636F0">
        <w:rPr>
          <w:rFonts w:cs="Arial"/>
        </w:rPr>
        <w:t xml:space="preserve"> </w:t>
      </w:r>
      <w:r>
        <w:rPr>
          <w:rFonts w:cs="Arial"/>
        </w:rPr>
        <w:t>considerando la</w:t>
      </w:r>
      <w:r w:rsidRPr="008636F0">
        <w:rPr>
          <w:rFonts w:cs="Arial"/>
        </w:rPr>
        <w:t xml:space="preserve"> situazione sanitaria, si è tenuta anche con formule adattate volte al rispetto delle misure di prevenzione. Come per ogni votazione consultiva, il Consiglio di Stato ha distribuito il proprio Rapporto alla cittadinanza.</w:t>
      </w:r>
    </w:p>
    <w:p w:rsidR="00265DED" w:rsidRDefault="00265DED" w:rsidP="00265DED">
      <w:pPr>
        <w:rPr>
          <w:rFonts w:cs="Arial"/>
        </w:rPr>
      </w:pPr>
    </w:p>
    <w:p w:rsidR="00265DED" w:rsidRPr="008636F0" w:rsidRDefault="00265DED" w:rsidP="00265DED"/>
    <w:p w:rsidR="00265DED" w:rsidRPr="00265DED" w:rsidRDefault="00265DED" w:rsidP="00265DED">
      <w:pPr>
        <w:pStyle w:val="Titolo2"/>
        <w:rPr>
          <w:rStyle w:val="Titolo1Carattere"/>
        </w:rPr>
      </w:pPr>
      <w:r>
        <w:br w:type="page"/>
      </w:r>
      <w:r w:rsidRPr="00265DED">
        <w:lastRenderedPageBreak/>
        <w:t>2</w:t>
      </w:r>
      <w:r w:rsidRPr="00265DED">
        <w:rPr>
          <w:b w:val="0"/>
          <w:caps/>
        </w:rPr>
        <w:t>.</w:t>
      </w:r>
      <w:r w:rsidRPr="00265DED">
        <w:rPr>
          <w:b w:val="0"/>
          <w:caps/>
        </w:rPr>
        <w:tab/>
      </w:r>
      <w:r w:rsidRPr="00265DED">
        <w:rPr>
          <w:caps/>
        </w:rPr>
        <w:t>ESITO DELLA VOTAZIONE CONSULTIVA E PROPOSTA DI ABBANDONO</w:t>
      </w:r>
    </w:p>
    <w:p w:rsidR="00265DED" w:rsidRPr="008636F0" w:rsidRDefault="00265DED" w:rsidP="00265DED">
      <w:pPr>
        <w:rPr>
          <w:rFonts w:cs="Arial"/>
        </w:rPr>
      </w:pPr>
      <w:r w:rsidRPr="008636F0">
        <w:rPr>
          <w:rFonts w:cs="Arial"/>
        </w:rPr>
        <w:t>La votazione consultiva si è svolta il 18 ottobre 2020 e ha dato il seguente risultato:</w:t>
      </w:r>
    </w:p>
    <w:p w:rsidR="00265DED" w:rsidRPr="00265DED" w:rsidRDefault="00265DED" w:rsidP="00265DED">
      <w:pPr>
        <w:rPr>
          <w:rFonts w:cs="Arial"/>
          <w:sz w:val="20"/>
          <w:szCs w:val="20"/>
        </w:rPr>
      </w:pPr>
    </w:p>
    <w:tbl>
      <w:tblPr>
        <w:tblW w:w="0" w:type="auto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900"/>
        <w:gridCol w:w="741"/>
        <w:gridCol w:w="850"/>
        <w:gridCol w:w="642"/>
        <w:gridCol w:w="567"/>
        <w:gridCol w:w="776"/>
        <w:gridCol w:w="850"/>
        <w:gridCol w:w="851"/>
        <w:gridCol w:w="850"/>
        <w:gridCol w:w="851"/>
      </w:tblGrid>
      <w:tr w:rsidR="00265DED" w:rsidRPr="008636F0" w:rsidTr="002B71FF">
        <w:tc>
          <w:tcPr>
            <w:tcW w:w="1440" w:type="dxa"/>
            <w:shd w:val="clear" w:color="auto" w:fill="auto"/>
          </w:tcPr>
          <w:p w:rsidR="00265DED" w:rsidRPr="008636F0" w:rsidRDefault="00265DED" w:rsidP="002B71FF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:rsidR="00265DED" w:rsidRPr="008636F0" w:rsidRDefault="00265DED" w:rsidP="002B71FF">
            <w:pPr>
              <w:jc w:val="right"/>
              <w:rPr>
                <w:rFonts w:ascii="Arial Narrow" w:hAnsi="Arial Narrow" w:cs="Arial"/>
                <w:sz w:val="20"/>
              </w:rPr>
            </w:pPr>
            <w:r w:rsidRPr="008636F0">
              <w:rPr>
                <w:rFonts w:ascii="Arial Narrow" w:hAnsi="Arial Narrow" w:cs="Arial"/>
                <w:sz w:val="20"/>
              </w:rPr>
              <w:t>iscritti in catalogo</w:t>
            </w:r>
          </w:p>
        </w:tc>
        <w:tc>
          <w:tcPr>
            <w:tcW w:w="741" w:type="dxa"/>
            <w:shd w:val="clear" w:color="auto" w:fill="auto"/>
          </w:tcPr>
          <w:p w:rsidR="00265DED" w:rsidRPr="008636F0" w:rsidRDefault="00265DED" w:rsidP="002B71FF">
            <w:pPr>
              <w:jc w:val="right"/>
              <w:rPr>
                <w:rFonts w:ascii="Arial Narrow" w:hAnsi="Arial Narrow" w:cs="Arial"/>
                <w:sz w:val="20"/>
              </w:rPr>
            </w:pPr>
            <w:r w:rsidRPr="008636F0">
              <w:rPr>
                <w:rFonts w:ascii="Arial Narrow" w:hAnsi="Arial Narrow" w:cs="Arial"/>
                <w:sz w:val="20"/>
              </w:rPr>
              <w:t>totale votanti</w:t>
            </w:r>
          </w:p>
        </w:tc>
        <w:tc>
          <w:tcPr>
            <w:tcW w:w="850" w:type="dxa"/>
            <w:shd w:val="clear" w:color="auto" w:fill="auto"/>
          </w:tcPr>
          <w:p w:rsidR="00265DED" w:rsidRPr="008636F0" w:rsidRDefault="00265DED" w:rsidP="002B71FF">
            <w:pPr>
              <w:jc w:val="right"/>
              <w:rPr>
                <w:rFonts w:ascii="Arial Narrow" w:hAnsi="Arial Narrow" w:cs="Arial"/>
                <w:sz w:val="20"/>
              </w:rPr>
            </w:pPr>
            <w:r w:rsidRPr="008636F0">
              <w:rPr>
                <w:rFonts w:ascii="Arial Narrow" w:hAnsi="Arial Narrow" w:cs="Arial"/>
                <w:sz w:val="20"/>
              </w:rPr>
              <w:t>parteci-</w:t>
            </w:r>
            <w:proofErr w:type="spellStart"/>
            <w:r w:rsidRPr="008636F0">
              <w:rPr>
                <w:rFonts w:ascii="Arial Narrow" w:hAnsi="Arial Narrow" w:cs="Arial"/>
                <w:sz w:val="20"/>
              </w:rPr>
              <w:t>pazione</w:t>
            </w:r>
            <w:proofErr w:type="spellEnd"/>
          </w:p>
        </w:tc>
        <w:tc>
          <w:tcPr>
            <w:tcW w:w="642" w:type="dxa"/>
            <w:shd w:val="clear" w:color="auto" w:fill="auto"/>
          </w:tcPr>
          <w:p w:rsidR="00265DED" w:rsidRPr="008636F0" w:rsidRDefault="00265DED" w:rsidP="002B71FF">
            <w:pPr>
              <w:jc w:val="right"/>
              <w:rPr>
                <w:rFonts w:ascii="Arial Narrow" w:hAnsi="Arial Narrow" w:cs="Arial"/>
                <w:sz w:val="20"/>
              </w:rPr>
            </w:pPr>
            <w:proofErr w:type="spellStart"/>
            <w:r w:rsidRPr="008636F0">
              <w:rPr>
                <w:rFonts w:ascii="Arial Narrow" w:hAnsi="Arial Narrow" w:cs="Arial"/>
                <w:sz w:val="20"/>
              </w:rPr>
              <w:t>bian</w:t>
            </w:r>
            <w:proofErr w:type="spellEnd"/>
            <w:r w:rsidRPr="008636F0">
              <w:rPr>
                <w:rFonts w:ascii="Arial Narrow" w:hAnsi="Arial Narrow" w:cs="Arial"/>
                <w:sz w:val="20"/>
              </w:rPr>
              <w:t>-che</w:t>
            </w:r>
          </w:p>
        </w:tc>
        <w:tc>
          <w:tcPr>
            <w:tcW w:w="567" w:type="dxa"/>
            <w:shd w:val="clear" w:color="auto" w:fill="auto"/>
          </w:tcPr>
          <w:p w:rsidR="00265DED" w:rsidRPr="008636F0" w:rsidRDefault="00265DED" w:rsidP="002B71FF">
            <w:pPr>
              <w:jc w:val="right"/>
              <w:rPr>
                <w:rFonts w:ascii="Arial Narrow" w:hAnsi="Arial Narrow" w:cs="Arial"/>
                <w:sz w:val="20"/>
              </w:rPr>
            </w:pPr>
            <w:r w:rsidRPr="008636F0">
              <w:rPr>
                <w:rFonts w:ascii="Arial Narrow" w:hAnsi="Arial Narrow" w:cs="Arial"/>
                <w:sz w:val="20"/>
              </w:rPr>
              <w:t>nulle</w:t>
            </w:r>
          </w:p>
        </w:tc>
        <w:tc>
          <w:tcPr>
            <w:tcW w:w="776" w:type="dxa"/>
            <w:shd w:val="clear" w:color="auto" w:fill="auto"/>
          </w:tcPr>
          <w:p w:rsidR="00265DED" w:rsidRPr="008636F0" w:rsidRDefault="00265DED" w:rsidP="002B71FF">
            <w:pPr>
              <w:jc w:val="right"/>
              <w:rPr>
                <w:rFonts w:ascii="Arial Narrow" w:hAnsi="Arial Narrow" w:cs="Arial"/>
                <w:sz w:val="20"/>
              </w:rPr>
            </w:pPr>
            <w:r w:rsidRPr="008636F0">
              <w:rPr>
                <w:rFonts w:ascii="Arial Narrow" w:hAnsi="Arial Narrow" w:cs="Arial"/>
                <w:sz w:val="20"/>
              </w:rPr>
              <w:t xml:space="preserve">schede </w:t>
            </w:r>
            <w:proofErr w:type="spellStart"/>
            <w:r w:rsidRPr="008636F0">
              <w:rPr>
                <w:rFonts w:ascii="Arial Narrow" w:hAnsi="Arial Narrow" w:cs="Arial"/>
                <w:sz w:val="20"/>
              </w:rPr>
              <w:t>compu-tabili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265DED" w:rsidRPr="008636F0" w:rsidRDefault="00265DED" w:rsidP="002B71FF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 w:rsidRPr="008636F0">
              <w:rPr>
                <w:rFonts w:ascii="Arial Narrow" w:hAnsi="Arial Narrow" w:cs="Arial"/>
                <w:b/>
                <w:sz w:val="20"/>
              </w:rPr>
              <w:t>SI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265DED" w:rsidRPr="008636F0" w:rsidRDefault="00265DED" w:rsidP="002B71FF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 w:rsidRPr="008636F0">
              <w:rPr>
                <w:rFonts w:ascii="Arial Narrow" w:hAnsi="Arial Narrow" w:cs="Arial"/>
                <w:b/>
                <w:sz w:val="20"/>
              </w:rPr>
              <w:t>% sì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5DED" w:rsidRPr="008636F0" w:rsidRDefault="00265DED" w:rsidP="002B71FF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 w:rsidRPr="008636F0">
              <w:rPr>
                <w:rFonts w:ascii="Arial Narrow" w:hAnsi="Arial Narrow" w:cs="Arial"/>
                <w:b/>
                <w:sz w:val="20"/>
              </w:rPr>
              <w:t>NO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265DED" w:rsidRPr="008636F0" w:rsidRDefault="00265DED" w:rsidP="002B71FF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 w:rsidRPr="008636F0">
              <w:rPr>
                <w:rFonts w:ascii="Arial Narrow" w:hAnsi="Arial Narrow" w:cs="Arial"/>
                <w:b/>
                <w:sz w:val="20"/>
              </w:rPr>
              <w:t>% no</w:t>
            </w:r>
          </w:p>
        </w:tc>
      </w:tr>
      <w:tr w:rsidR="00265DED" w:rsidRPr="008636F0" w:rsidTr="002B71FF">
        <w:tc>
          <w:tcPr>
            <w:tcW w:w="1440" w:type="dxa"/>
            <w:shd w:val="clear" w:color="auto" w:fill="auto"/>
          </w:tcPr>
          <w:p w:rsidR="00265DED" w:rsidRPr="008636F0" w:rsidRDefault="00265DED" w:rsidP="002B71FF">
            <w:pPr>
              <w:spacing w:before="40" w:after="20"/>
              <w:rPr>
                <w:rFonts w:ascii="Arial Narrow" w:hAnsi="Arial Narrow" w:cs="Arial"/>
                <w:sz w:val="20"/>
              </w:rPr>
            </w:pPr>
            <w:r w:rsidRPr="008636F0">
              <w:rPr>
                <w:rFonts w:ascii="Arial Narrow" w:hAnsi="Arial Narrow" w:cs="Arial"/>
                <w:sz w:val="20"/>
              </w:rPr>
              <w:t>Bedano</w:t>
            </w:r>
          </w:p>
        </w:tc>
        <w:tc>
          <w:tcPr>
            <w:tcW w:w="900" w:type="dxa"/>
            <w:shd w:val="clear" w:color="auto" w:fill="auto"/>
          </w:tcPr>
          <w:p w:rsidR="00265DED" w:rsidRPr="008636F0" w:rsidRDefault="00265DED" w:rsidP="002B71FF">
            <w:pPr>
              <w:spacing w:before="40" w:after="20"/>
              <w:jc w:val="right"/>
              <w:rPr>
                <w:rFonts w:ascii="Arial Narrow" w:hAnsi="Arial Narrow" w:cs="Arial"/>
                <w:sz w:val="20"/>
              </w:rPr>
            </w:pPr>
            <w:r w:rsidRPr="008636F0">
              <w:rPr>
                <w:rFonts w:ascii="Arial Narrow" w:hAnsi="Arial Narrow" w:cs="Arial"/>
                <w:sz w:val="20"/>
              </w:rPr>
              <w:t>1</w:t>
            </w:r>
            <w:r>
              <w:rPr>
                <w:rFonts w:ascii="Arial Narrow" w:hAnsi="Arial Narrow" w:cs="Arial"/>
                <w:sz w:val="20"/>
              </w:rPr>
              <w:t>'</w:t>
            </w:r>
            <w:r w:rsidRPr="008636F0">
              <w:rPr>
                <w:rFonts w:ascii="Arial Narrow" w:hAnsi="Arial Narrow" w:cs="Arial"/>
                <w:sz w:val="20"/>
              </w:rPr>
              <w:t>043</w:t>
            </w:r>
          </w:p>
        </w:tc>
        <w:tc>
          <w:tcPr>
            <w:tcW w:w="741" w:type="dxa"/>
            <w:shd w:val="clear" w:color="auto" w:fill="auto"/>
          </w:tcPr>
          <w:p w:rsidR="00265DED" w:rsidRPr="008636F0" w:rsidRDefault="00265DED" w:rsidP="002B71FF">
            <w:pPr>
              <w:spacing w:before="40" w:after="20"/>
              <w:jc w:val="right"/>
              <w:rPr>
                <w:rFonts w:ascii="Arial Narrow" w:hAnsi="Arial Narrow" w:cs="Arial"/>
                <w:sz w:val="20"/>
              </w:rPr>
            </w:pPr>
            <w:r w:rsidRPr="008636F0">
              <w:rPr>
                <w:rFonts w:ascii="Arial Narrow" w:hAnsi="Arial Narrow" w:cs="Arial"/>
                <w:sz w:val="20"/>
              </w:rPr>
              <w:t>679</w:t>
            </w:r>
          </w:p>
        </w:tc>
        <w:tc>
          <w:tcPr>
            <w:tcW w:w="850" w:type="dxa"/>
            <w:shd w:val="clear" w:color="auto" w:fill="auto"/>
          </w:tcPr>
          <w:p w:rsidR="00265DED" w:rsidRPr="008636F0" w:rsidRDefault="00265DED" w:rsidP="002B71FF">
            <w:pPr>
              <w:spacing w:before="40" w:after="20"/>
              <w:jc w:val="right"/>
              <w:rPr>
                <w:rFonts w:ascii="Arial Narrow" w:hAnsi="Arial Narrow" w:cs="Arial"/>
                <w:sz w:val="20"/>
              </w:rPr>
            </w:pPr>
            <w:r w:rsidRPr="008636F0">
              <w:rPr>
                <w:rFonts w:ascii="Arial Narrow" w:hAnsi="Arial Narrow" w:cs="Arial"/>
                <w:sz w:val="20"/>
              </w:rPr>
              <w:t>65%</w:t>
            </w:r>
          </w:p>
        </w:tc>
        <w:tc>
          <w:tcPr>
            <w:tcW w:w="642" w:type="dxa"/>
            <w:shd w:val="clear" w:color="auto" w:fill="auto"/>
          </w:tcPr>
          <w:p w:rsidR="00265DED" w:rsidRPr="008636F0" w:rsidRDefault="00265DED" w:rsidP="002B71FF">
            <w:pPr>
              <w:spacing w:before="40" w:after="20"/>
              <w:jc w:val="right"/>
              <w:rPr>
                <w:rFonts w:ascii="Arial Narrow" w:hAnsi="Arial Narrow" w:cs="Arial"/>
                <w:sz w:val="20"/>
              </w:rPr>
            </w:pPr>
            <w:r w:rsidRPr="008636F0">
              <w:rPr>
                <w:rFonts w:ascii="Arial Narrow" w:hAnsi="Arial Narrow" w:cs="Arial"/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265DED" w:rsidRPr="008636F0" w:rsidRDefault="00265DED" w:rsidP="002B71FF">
            <w:pPr>
              <w:spacing w:before="40" w:after="20"/>
              <w:jc w:val="right"/>
              <w:rPr>
                <w:rFonts w:ascii="Arial Narrow" w:hAnsi="Arial Narrow" w:cs="Arial"/>
                <w:sz w:val="20"/>
              </w:rPr>
            </w:pPr>
            <w:r w:rsidRPr="008636F0">
              <w:rPr>
                <w:rFonts w:ascii="Arial Narrow" w:hAnsi="Arial Narrow" w:cs="Arial"/>
                <w:sz w:val="20"/>
              </w:rPr>
              <w:t>4</w:t>
            </w:r>
          </w:p>
        </w:tc>
        <w:tc>
          <w:tcPr>
            <w:tcW w:w="776" w:type="dxa"/>
            <w:shd w:val="clear" w:color="auto" w:fill="auto"/>
          </w:tcPr>
          <w:p w:rsidR="00265DED" w:rsidRPr="008636F0" w:rsidRDefault="00265DED" w:rsidP="002B71FF">
            <w:pPr>
              <w:spacing w:before="40" w:after="20"/>
              <w:jc w:val="right"/>
              <w:rPr>
                <w:rFonts w:ascii="Arial Narrow" w:hAnsi="Arial Narrow" w:cs="Arial"/>
                <w:sz w:val="20"/>
              </w:rPr>
            </w:pPr>
            <w:r w:rsidRPr="008636F0">
              <w:rPr>
                <w:rFonts w:ascii="Arial Narrow" w:hAnsi="Arial Narrow" w:cs="Arial"/>
                <w:sz w:val="20"/>
              </w:rPr>
              <w:t>665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:rsidR="00265DED" w:rsidRPr="008636F0" w:rsidRDefault="00265DED" w:rsidP="002B71FF">
            <w:pPr>
              <w:spacing w:before="40" w:after="20"/>
              <w:jc w:val="right"/>
              <w:rPr>
                <w:rFonts w:ascii="Arial Narrow" w:hAnsi="Arial Narrow" w:cs="Arial"/>
                <w:sz w:val="20"/>
              </w:rPr>
            </w:pPr>
            <w:r w:rsidRPr="008636F0">
              <w:rPr>
                <w:rFonts w:ascii="Arial Narrow" w:hAnsi="Arial Narrow" w:cs="Arial"/>
                <w:sz w:val="20"/>
              </w:rPr>
              <w:t>532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65DED" w:rsidRPr="008636F0" w:rsidRDefault="00265DED" w:rsidP="002B71FF">
            <w:pPr>
              <w:spacing w:before="40" w:after="20"/>
              <w:jc w:val="right"/>
              <w:rPr>
                <w:rFonts w:ascii="Arial Narrow" w:hAnsi="Arial Narrow" w:cs="Arial"/>
                <w:b/>
                <w:sz w:val="20"/>
              </w:rPr>
            </w:pPr>
            <w:r w:rsidRPr="008636F0">
              <w:rPr>
                <w:rFonts w:ascii="Arial Narrow" w:hAnsi="Arial Narrow" w:cs="Arial"/>
                <w:b/>
                <w:sz w:val="20"/>
              </w:rPr>
              <w:t>80.0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</w:tcPr>
          <w:p w:rsidR="00265DED" w:rsidRPr="008636F0" w:rsidRDefault="00265DED" w:rsidP="002B71FF">
            <w:pPr>
              <w:spacing w:before="40" w:after="20"/>
              <w:jc w:val="right"/>
              <w:rPr>
                <w:rFonts w:ascii="Arial Narrow" w:hAnsi="Arial Narrow" w:cs="Arial"/>
                <w:sz w:val="20"/>
              </w:rPr>
            </w:pPr>
            <w:r w:rsidRPr="008636F0">
              <w:rPr>
                <w:rFonts w:ascii="Arial Narrow" w:hAnsi="Arial Narrow" w:cs="Arial"/>
                <w:sz w:val="20"/>
              </w:rPr>
              <w:t>133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auto"/>
          </w:tcPr>
          <w:p w:rsidR="00265DED" w:rsidRPr="008636F0" w:rsidRDefault="00265DED" w:rsidP="002B71FF">
            <w:pPr>
              <w:spacing w:before="40" w:after="20"/>
              <w:jc w:val="right"/>
              <w:rPr>
                <w:rFonts w:ascii="Arial Narrow" w:hAnsi="Arial Narrow" w:cs="Arial"/>
                <w:b/>
                <w:sz w:val="20"/>
              </w:rPr>
            </w:pPr>
            <w:r w:rsidRPr="008636F0">
              <w:rPr>
                <w:rFonts w:ascii="Arial Narrow" w:hAnsi="Arial Narrow" w:cs="Arial"/>
                <w:b/>
                <w:sz w:val="20"/>
              </w:rPr>
              <w:t>20.0</w:t>
            </w:r>
          </w:p>
        </w:tc>
      </w:tr>
      <w:tr w:rsidR="00265DED" w:rsidRPr="008636F0" w:rsidTr="002B71FF">
        <w:tc>
          <w:tcPr>
            <w:tcW w:w="1440" w:type="dxa"/>
            <w:tcBorders>
              <w:bottom w:val="single" w:sz="12" w:space="0" w:color="auto"/>
            </w:tcBorders>
            <w:shd w:val="clear" w:color="auto" w:fill="auto"/>
          </w:tcPr>
          <w:p w:rsidR="00265DED" w:rsidRPr="008636F0" w:rsidRDefault="00265DED" w:rsidP="002B71FF">
            <w:pPr>
              <w:spacing w:before="40" w:after="20"/>
              <w:rPr>
                <w:rFonts w:ascii="Arial Narrow" w:hAnsi="Arial Narrow" w:cs="Arial"/>
                <w:sz w:val="20"/>
              </w:rPr>
            </w:pPr>
            <w:proofErr w:type="spellStart"/>
            <w:r w:rsidRPr="008636F0">
              <w:rPr>
                <w:rFonts w:ascii="Arial Narrow" w:hAnsi="Arial Narrow" w:cs="Arial"/>
                <w:sz w:val="20"/>
              </w:rPr>
              <w:t>Gravesano</w:t>
            </w:r>
            <w:proofErr w:type="spellEnd"/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265DED" w:rsidRPr="008636F0" w:rsidRDefault="00265DED" w:rsidP="002B71FF">
            <w:pPr>
              <w:spacing w:before="40" w:after="20"/>
              <w:jc w:val="right"/>
              <w:rPr>
                <w:rFonts w:ascii="Arial Narrow" w:hAnsi="Arial Narrow" w:cs="Arial"/>
                <w:sz w:val="20"/>
              </w:rPr>
            </w:pPr>
            <w:r w:rsidRPr="008636F0">
              <w:rPr>
                <w:rFonts w:ascii="Arial Narrow" w:hAnsi="Arial Narrow" w:cs="Arial"/>
                <w:sz w:val="20"/>
              </w:rPr>
              <w:t>906</w:t>
            </w:r>
          </w:p>
        </w:tc>
        <w:tc>
          <w:tcPr>
            <w:tcW w:w="741" w:type="dxa"/>
            <w:tcBorders>
              <w:bottom w:val="single" w:sz="12" w:space="0" w:color="auto"/>
            </w:tcBorders>
            <w:shd w:val="clear" w:color="auto" w:fill="auto"/>
          </w:tcPr>
          <w:p w:rsidR="00265DED" w:rsidRPr="008636F0" w:rsidRDefault="00265DED" w:rsidP="002B71FF">
            <w:pPr>
              <w:spacing w:before="40" w:after="20"/>
              <w:jc w:val="right"/>
              <w:rPr>
                <w:rFonts w:ascii="Arial Narrow" w:hAnsi="Arial Narrow" w:cs="Arial"/>
                <w:sz w:val="20"/>
              </w:rPr>
            </w:pPr>
            <w:r w:rsidRPr="008636F0">
              <w:rPr>
                <w:rFonts w:ascii="Arial Narrow" w:hAnsi="Arial Narrow" w:cs="Arial"/>
                <w:sz w:val="20"/>
              </w:rPr>
              <w:t>567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265DED" w:rsidRPr="008636F0" w:rsidRDefault="00265DED" w:rsidP="002B71FF">
            <w:pPr>
              <w:spacing w:before="40" w:after="20"/>
              <w:jc w:val="right"/>
              <w:rPr>
                <w:rFonts w:ascii="Arial Narrow" w:hAnsi="Arial Narrow" w:cs="Arial"/>
                <w:sz w:val="20"/>
              </w:rPr>
            </w:pPr>
            <w:r w:rsidRPr="008636F0">
              <w:rPr>
                <w:rFonts w:ascii="Arial Narrow" w:hAnsi="Arial Narrow" w:cs="Arial"/>
                <w:sz w:val="20"/>
              </w:rPr>
              <w:t>63%</w:t>
            </w:r>
          </w:p>
        </w:tc>
        <w:tc>
          <w:tcPr>
            <w:tcW w:w="642" w:type="dxa"/>
            <w:tcBorders>
              <w:bottom w:val="single" w:sz="12" w:space="0" w:color="auto"/>
            </w:tcBorders>
            <w:shd w:val="clear" w:color="auto" w:fill="auto"/>
          </w:tcPr>
          <w:p w:rsidR="00265DED" w:rsidRPr="008636F0" w:rsidRDefault="00265DED" w:rsidP="002B71FF">
            <w:pPr>
              <w:spacing w:before="40" w:after="20"/>
              <w:jc w:val="right"/>
              <w:rPr>
                <w:rFonts w:ascii="Arial Narrow" w:hAnsi="Arial Narrow" w:cs="Arial"/>
                <w:sz w:val="20"/>
              </w:rPr>
            </w:pPr>
            <w:r w:rsidRPr="008636F0">
              <w:rPr>
                <w:rFonts w:ascii="Arial Narrow" w:hAnsi="Arial Narrow" w:cs="Arial"/>
                <w:sz w:val="20"/>
              </w:rPr>
              <w:t>7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:rsidR="00265DED" w:rsidRPr="008636F0" w:rsidRDefault="00265DED" w:rsidP="002B71FF">
            <w:pPr>
              <w:spacing w:before="40" w:after="20"/>
              <w:jc w:val="right"/>
              <w:rPr>
                <w:rFonts w:ascii="Arial Narrow" w:hAnsi="Arial Narrow" w:cs="Arial"/>
                <w:sz w:val="20"/>
              </w:rPr>
            </w:pPr>
            <w:r w:rsidRPr="008636F0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776" w:type="dxa"/>
            <w:tcBorders>
              <w:bottom w:val="single" w:sz="12" w:space="0" w:color="auto"/>
            </w:tcBorders>
            <w:shd w:val="clear" w:color="auto" w:fill="auto"/>
          </w:tcPr>
          <w:p w:rsidR="00265DED" w:rsidRPr="008636F0" w:rsidRDefault="00265DED" w:rsidP="002B71FF">
            <w:pPr>
              <w:spacing w:before="40" w:after="20"/>
              <w:jc w:val="right"/>
              <w:rPr>
                <w:rFonts w:ascii="Arial Narrow" w:hAnsi="Arial Narrow" w:cs="Arial"/>
                <w:sz w:val="20"/>
              </w:rPr>
            </w:pPr>
            <w:r w:rsidRPr="008636F0">
              <w:rPr>
                <w:rFonts w:ascii="Arial Narrow" w:hAnsi="Arial Narrow" w:cs="Arial"/>
                <w:sz w:val="20"/>
              </w:rPr>
              <w:t>560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265DED" w:rsidRPr="008636F0" w:rsidRDefault="00265DED" w:rsidP="002B71FF">
            <w:pPr>
              <w:spacing w:before="40" w:after="20"/>
              <w:jc w:val="right"/>
              <w:rPr>
                <w:rFonts w:ascii="Arial Narrow" w:hAnsi="Arial Narrow" w:cs="Arial"/>
                <w:sz w:val="20"/>
              </w:rPr>
            </w:pPr>
            <w:r w:rsidRPr="008636F0">
              <w:rPr>
                <w:rFonts w:ascii="Arial Narrow" w:hAnsi="Arial Narrow" w:cs="Arial"/>
                <w:sz w:val="20"/>
              </w:rPr>
              <w:t>249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:rsidR="00265DED" w:rsidRPr="008636F0" w:rsidRDefault="00265DED" w:rsidP="002B71FF">
            <w:pPr>
              <w:spacing w:before="40" w:after="20"/>
              <w:jc w:val="right"/>
              <w:rPr>
                <w:rFonts w:ascii="Arial Narrow" w:hAnsi="Arial Narrow" w:cs="Arial"/>
                <w:b/>
                <w:sz w:val="20"/>
              </w:rPr>
            </w:pPr>
            <w:r w:rsidRPr="008636F0">
              <w:rPr>
                <w:rFonts w:ascii="Arial Narrow" w:hAnsi="Arial Narrow" w:cs="Arial"/>
                <w:b/>
                <w:sz w:val="20"/>
              </w:rPr>
              <w:t>44.5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265DED" w:rsidRPr="008636F0" w:rsidRDefault="00265DED" w:rsidP="002B71FF">
            <w:pPr>
              <w:spacing w:before="40" w:after="20"/>
              <w:jc w:val="right"/>
              <w:rPr>
                <w:rFonts w:ascii="Arial Narrow" w:hAnsi="Arial Narrow" w:cs="Arial"/>
                <w:sz w:val="20"/>
              </w:rPr>
            </w:pPr>
            <w:r w:rsidRPr="008636F0">
              <w:rPr>
                <w:rFonts w:ascii="Arial Narrow" w:hAnsi="Arial Narrow" w:cs="Arial"/>
                <w:sz w:val="20"/>
              </w:rPr>
              <w:t>311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65DED" w:rsidRPr="008636F0" w:rsidRDefault="00265DED" w:rsidP="002B71FF">
            <w:pPr>
              <w:spacing w:before="40" w:after="20"/>
              <w:jc w:val="right"/>
              <w:rPr>
                <w:rFonts w:ascii="Arial Narrow" w:hAnsi="Arial Narrow" w:cs="Arial"/>
                <w:b/>
                <w:sz w:val="20"/>
              </w:rPr>
            </w:pPr>
            <w:r w:rsidRPr="008636F0">
              <w:rPr>
                <w:rFonts w:ascii="Arial Narrow" w:hAnsi="Arial Narrow" w:cs="Arial"/>
                <w:b/>
                <w:sz w:val="20"/>
              </w:rPr>
              <w:t>55.6</w:t>
            </w:r>
          </w:p>
        </w:tc>
      </w:tr>
      <w:tr w:rsidR="00265DED" w:rsidRPr="008636F0" w:rsidTr="002B71FF"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DED" w:rsidRPr="008636F0" w:rsidRDefault="00265DED" w:rsidP="002B71FF">
            <w:pPr>
              <w:spacing w:before="120"/>
              <w:rPr>
                <w:rFonts w:ascii="Arial Narrow" w:hAnsi="Arial Narrow" w:cs="Arial"/>
                <w:b/>
                <w:sz w:val="20"/>
              </w:rPr>
            </w:pPr>
            <w:r w:rsidRPr="008636F0">
              <w:rPr>
                <w:rFonts w:ascii="Arial Narrow" w:hAnsi="Arial Narrow" w:cs="Arial"/>
                <w:b/>
                <w:sz w:val="20"/>
              </w:rPr>
              <w:t>TOTALI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DED" w:rsidRPr="008636F0" w:rsidRDefault="00265DED" w:rsidP="002B71FF">
            <w:pPr>
              <w:spacing w:before="120"/>
              <w:jc w:val="right"/>
              <w:rPr>
                <w:rFonts w:ascii="Arial Narrow" w:hAnsi="Arial Narrow" w:cs="Arial"/>
                <w:sz w:val="20"/>
              </w:rPr>
            </w:pPr>
            <w:r w:rsidRPr="008636F0">
              <w:rPr>
                <w:rFonts w:ascii="Arial Narrow" w:hAnsi="Arial Narrow" w:cs="Arial"/>
                <w:sz w:val="20"/>
              </w:rPr>
              <w:t>1</w:t>
            </w:r>
            <w:r>
              <w:rPr>
                <w:rFonts w:ascii="Arial Narrow" w:hAnsi="Arial Narrow" w:cs="Arial"/>
                <w:sz w:val="20"/>
              </w:rPr>
              <w:t>'</w:t>
            </w:r>
            <w:r w:rsidRPr="008636F0">
              <w:rPr>
                <w:rFonts w:ascii="Arial Narrow" w:hAnsi="Arial Narrow" w:cs="Arial"/>
                <w:sz w:val="20"/>
              </w:rPr>
              <w:t>949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DED" w:rsidRPr="008636F0" w:rsidRDefault="00265DED" w:rsidP="002B71FF">
            <w:pPr>
              <w:spacing w:before="120"/>
              <w:jc w:val="right"/>
              <w:rPr>
                <w:rFonts w:ascii="Arial Narrow" w:hAnsi="Arial Narrow" w:cs="Arial"/>
                <w:sz w:val="20"/>
              </w:rPr>
            </w:pPr>
            <w:r w:rsidRPr="008636F0">
              <w:rPr>
                <w:rFonts w:ascii="Arial Narrow" w:hAnsi="Arial Narrow" w:cs="Arial"/>
                <w:sz w:val="20"/>
              </w:rPr>
              <w:t>1</w:t>
            </w:r>
            <w:r>
              <w:rPr>
                <w:rFonts w:ascii="Arial Narrow" w:hAnsi="Arial Narrow" w:cs="Arial"/>
                <w:sz w:val="20"/>
              </w:rPr>
              <w:t>'</w:t>
            </w:r>
            <w:r w:rsidRPr="008636F0">
              <w:rPr>
                <w:rFonts w:ascii="Arial Narrow" w:hAnsi="Arial Narrow" w:cs="Arial"/>
                <w:sz w:val="20"/>
              </w:rPr>
              <w:t>246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DED" w:rsidRPr="008636F0" w:rsidRDefault="00265DED" w:rsidP="002B71FF">
            <w:pPr>
              <w:spacing w:before="120"/>
              <w:jc w:val="right"/>
              <w:rPr>
                <w:rFonts w:ascii="Arial Narrow" w:hAnsi="Arial Narrow" w:cs="Arial"/>
                <w:sz w:val="20"/>
              </w:rPr>
            </w:pPr>
            <w:r w:rsidRPr="008636F0">
              <w:rPr>
                <w:rFonts w:ascii="Arial Narrow" w:hAnsi="Arial Narrow" w:cs="Arial"/>
                <w:sz w:val="20"/>
              </w:rPr>
              <w:t>64%</w:t>
            </w:r>
          </w:p>
        </w:tc>
        <w:tc>
          <w:tcPr>
            <w:tcW w:w="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DED" w:rsidRPr="008636F0" w:rsidRDefault="00265DED" w:rsidP="002B71FF">
            <w:pPr>
              <w:spacing w:before="120"/>
              <w:jc w:val="right"/>
              <w:rPr>
                <w:rFonts w:ascii="Arial Narrow" w:hAnsi="Arial Narrow" w:cs="Arial"/>
                <w:sz w:val="20"/>
              </w:rPr>
            </w:pPr>
            <w:r w:rsidRPr="008636F0">
              <w:rPr>
                <w:rFonts w:ascii="Arial Narrow" w:hAnsi="Arial Narrow" w:cs="Arial"/>
                <w:sz w:val="20"/>
              </w:rPr>
              <w:t>17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DED" w:rsidRPr="008636F0" w:rsidRDefault="00265DED" w:rsidP="002B71FF">
            <w:pPr>
              <w:spacing w:before="120"/>
              <w:jc w:val="right"/>
              <w:rPr>
                <w:rFonts w:ascii="Arial Narrow" w:hAnsi="Arial Narrow" w:cs="Arial"/>
                <w:sz w:val="20"/>
              </w:rPr>
            </w:pPr>
            <w:r w:rsidRPr="008636F0">
              <w:rPr>
                <w:rFonts w:ascii="Arial Narrow" w:hAnsi="Arial Narrow" w:cs="Arial"/>
                <w:sz w:val="20"/>
              </w:rPr>
              <w:t>4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DED" w:rsidRPr="008636F0" w:rsidRDefault="00265DED" w:rsidP="002B71FF">
            <w:pPr>
              <w:spacing w:before="120"/>
              <w:jc w:val="right"/>
              <w:rPr>
                <w:rFonts w:ascii="Arial Narrow" w:hAnsi="Arial Narrow" w:cs="Arial"/>
                <w:sz w:val="20"/>
              </w:rPr>
            </w:pPr>
            <w:r w:rsidRPr="008636F0">
              <w:rPr>
                <w:rFonts w:ascii="Arial Narrow" w:hAnsi="Arial Narrow" w:cs="Arial"/>
                <w:sz w:val="20"/>
              </w:rPr>
              <w:t>1</w:t>
            </w:r>
            <w:r>
              <w:rPr>
                <w:rFonts w:ascii="Arial Narrow" w:hAnsi="Arial Narrow" w:cs="Arial"/>
                <w:sz w:val="20"/>
              </w:rPr>
              <w:t>'</w:t>
            </w:r>
            <w:r w:rsidRPr="008636F0">
              <w:rPr>
                <w:rFonts w:ascii="Arial Narrow" w:hAnsi="Arial Narrow" w:cs="Arial"/>
                <w:sz w:val="20"/>
              </w:rPr>
              <w:t>225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DED" w:rsidRPr="008636F0" w:rsidRDefault="00265DED" w:rsidP="002B71FF">
            <w:pPr>
              <w:spacing w:before="120"/>
              <w:jc w:val="right"/>
              <w:rPr>
                <w:rFonts w:ascii="Arial Narrow" w:hAnsi="Arial Narrow" w:cs="Arial"/>
                <w:b/>
                <w:sz w:val="20"/>
              </w:rPr>
            </w:pPr>
            <w:r w:rsidRPr="008636F0">
              <w:rPr>
                <w:rFonts w:ascii="Arial Narrow" w:hAnsi="Arial Narrow" w:cs="Arial"/>
                <w:b/>
                <w:sz w:val="20"/>
              </w:rPr>
              <w:t>781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DED" w:rsidRPr="008636F0" w:rsidRDefault="00265DED" w:rsidP="002B71FF">
            <w:pPr>
              <w:spacing w:before="120"/>
              <w:jc w:val="right"/>
              <w:rPr>
                <w:rFonts w:ascii="Arial Narrow" w:hAnsi="Arial Narrow" w:cs="Arial"/>
                <w:b/>
                <w:sz w:val="20"/>
              </w:rPr>
            </w:pPr>
            <w:r w:rsidRPr="008636F0">
              <w:rPr>
                <w:rFonts w:ascii="Arial Narrow" w:hAnsi="Arial Narrow" w:cs="Arial"/>
                <w:b/>
                <w:sz w:val="20"/>
              </w:rPr>
              <w:t>63.8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DED" w:rsidRPr="008636F0" w:rsidRDefault="00265DED" w:rsidP="002B71FF">
            <w:pPr>
              <w:spacing w:before="120"/>
              <w:jc w:val="right"/>
              <w:rPr>
                <w:rFonts w:ascii="Arial Narrow" w:hAnsi="Arial Narrow" w:cs="Arial"/>
                <w:b/>
                <w:sz w:val="20"/>
              </w:rPr>
            </w:pPr>
            <w:r w:rsidRPr="008636F0">
              <w:rPr>
                <w:rFonts w:ascii="Arial Narrow" w:hAnsi="Arial Narrow" w:cs="Arial"/>
                <w:b/>
                <w:sz w:val="20"/>
              </w:rPr>
              <w:t>444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DED" w:rsidRPr="008636F0" w:rsidRDefault="00265DED" w:rsidP="002B71FF">
            <w:pPr>
              <w:spacing w:before="120"/>
              <w:jc w:val="right"/>
              <w:rPr>
                <w:rFonts w:ascii="Arial Narrow" w:hAnsi="Arial Narrow" w:cs="Arial"/>
                <w:b/>
                <w:sz w:val="20"/>
              </w:rPr>
            </w:pPr>
            <w:r w:rsidRPr="008636F0">
              <w:rPr>
                <w:rFonts w:ascii="Arial Narrow" w:hAnsi="Arial Narrow" w:cs="Arial"/>
                <w:b/>
                <w:sz w:val="20"/>
              </w:rPr>
              <w:t>36.2</w:t>
            </w:r>
          </w:p>
        </w:tc>
      </w:tr>
    </w:tbl>
    <w:p w:rsidR="00265DED" w:rsidRPr="00265DED" w:rsidRDefault="00265DED" w:rsidP="00AE24CD">
      <w:pPr>
        <w:spacing w:after="120"/>
        <w:rPr>
          <w:rFonts w:cs="Arial"/>
          <w:sz w:val="20"/>
          <w:szCs w:val="20"/>
        </w:rPr>
      </w:pPr>
    </w:p>
    <w:p w:rsidR="00265DED" w:rsidRPr="008636F0" w:rsidRDefault="00265DED" w:rsidP="00265DED">
      <w:pPr>
        <w:rPr>
          <w:rFonts w:cs="Arial"/>
        </w:rPr>
      </w:pPr>
      <w:r>
        <w:rPr>
          <w:rFonts w:cs="Arial"/>
        </w:rPr>
        <w:t>L'</w:t>
      </w:r>
      <w:r w:rsidRPr="008636F0">
        <w:rPr>
          <w:rFonts w:cs="Arial"/>
        </w:rPr>
        <w:t>aggregazione è stat</w:t>
      </w:r>
      <w:r>
        <w:rPr>
          <w:rFonts w:cs="Arial"/>
        </w:rPr>
        <w:t>a</w:t>
      </w:r>
      <w:r w:rsidRPr="008636F0">
        <w:rPr>
          <w:rFonts w:cs="Arial"/>
        </w:rPr>
        <w:t xml:space="preserve"> accolt</w:t>
      </w:r>
      <w:r>
        <w:rPr>
          <w:rFonts w:cs="Arial"/>
        </w:rPr>
        <w:t>a</w:t>
      </w:r>
      <w:r w:rsidRPr="008636F0">
        <w:rPr>
          <w:rFonts w:cs="Arial"/>
        </w:rPr>
        <w:t xml:space="preserve"> da una maggioranz</w:t>
      </w:r>
      <w:r>
        <w:rPr>
          <w:rFonts w:cs="Arial"/>
        </w:rPr>
        <w:t>a</w:t>
      </w:r>
      <w:r w:rsidRPr="00566C44">
        <w:rPr>
          <w:rFonts w:cs="Arial"/>
        </w:rPr>
        <w:t xml:space="preserve"> </w:t>
      </w:r>
      <w:r w:rsidRPr="008636F0">
        <w:rPr>
          <w:rFonts w:cs="Arial"/>
        </w:rPr>
        <w:t>molto ampia</w:t>
      </w:r>
      <w:r>
        <w:rPr>
          <w:rFonts w:cs="Arial"/>
        </w:rPr>
        <w:t xml:space="preserve"> (quattro quinti dei votanti) de</w:t>
      </w:r>
      <w:r w:rsidRPr="008636F0">
        <w:rPr>
          <w:rFonts w:cs="Arial"/>
        </w:rPr>
        <w:t>lla cittadinanza di Bedano, mentre q</w:t>
      </w:r>
      <w:r>
        <w:rPr>
          <w:rFonts w:cs="Arial"/>
        </w:rPr>
        <w:t xml:space="preserve">uella di </w:t>
      </w:r>
      <w:proofErr w:type="spellStart"/>
      <w:r>
        <w:rPr>
          <w:rFonts w:cs="Arial"/>
        </w:rPr>
        <w:t>Gravesano</w:t>
      </w:r>
      <w:proofErr w:type="spellEnd"/>
      <w:r>
        <w:rPr>
          <w:rFonts w:cs="Arial"/>
        </w:rPr>
        <w:t xml:space="preserve"> l'ha respinta</w:t>
      </w:r>
      <w:r w:rsidRPr="008636F0">
        <w:rPr>
          <w:rFonts w:cs="Arial"/>
        </w:rPr>
        <w:t xml:space="preserve"> con una prevalenza di voti negativi pari al 55.54%. Nell</w:t>
      </w:r>
      <w:r>
        <w:rPr>
          <w:rFonts w:cs="Arial"/>
        </w:rPr>
        <w:t>'</w:t>
      </w:r>
      <w:r w:rsidRPr="008636F0">
        <w:rPr>
          <w:rFonts w:cs="Arial"/>
        </w:rPr>
        <w:t>insieme del comprensorio l</w:t>
      </w:r>
      <w:r>
        <w:rPr>
          <w:rFonts w:cs="Arial"/>
        </w:rPr>
        <w:t>'</w:t>
      </w:r>
      <w:r w:rsidRPr="008636F0">
        <w:rPr>
          <w:rFonts w:cs="Arial"/>
        </w:rPr>
        <w:t>esito è stato chiaramente favorevole, conseguenza però della sola vasta adesione registrata a Bedano.</w:t>
      </w:r>
    </w:p>
    <w:p w:rsidR="00265DED" w:rsidRPr="00E778D6" w:rsidRDefault="00265DED" w:rsidP="00265DED">
      <w:pPr>
        <w:pStyle w:val="Corpotesto"/>
        <w:spacing w:before="120"/>
        <w:rPr>
          <w:rFonts w:cs="Arial"/>
          <w:szCs w:val="24"/>
        </w:rPr>
      </w:pPr>
      <w:r w:rsidRPr="008636F0">
        <w:rPr>
          <w:rFonts w:cs="Arial"/>
          <w:szCs w:val="24"/>
        </w:rPr>
        <w:t>L</w:t>
      </w:r>
      <w:r>
        <w:rPr>
          <w:rFonts w:cs="Arial"/>
          <w:szCs w:val="24"/>
        </w:rPr>
        <w:t>'</w:t>
      </w:r>
      <w:r w:rsidRPr="008636F0">
        <w:rPr>
          <w:rFonts w:cs="Arial"/>
          <w:szCs w:val="24"/>
        </w:rPr>
        <w:t>aggregazione</w:t>
      </w:r>
      <w:r>
        <w:rPr>
          <w:rFonts w:cs="Arial"/>
          <w:szCs w:val="24"/>
        </w:rPr>
        <w:t xml:space="preserve"> in questione</w:t>
      </w:r>
      <w:r w:rsidRPr="008636F0">
        <w:rPr>
          <w:rFonts w:cs="Arial"/>
          <w:szCs w:val="24"/>
        </w:rPr>
        <w:t xml:space="preserve"> è stata sin dall</w:t>
      </w:r>
      <w:r>
        <w:rPr>
          <w:rFonts w:cs="Arial"/>
          <w:szCs w:val="24"/>
        </w:rPr>
        <w:t>'</w:t>
      </w:r>
      <w:r w:rsidRPr="008636F0">
        <w:rPr>
          <w:rFonts w:cs="Arial"/>
          <w:szCs w:val="24"/>
        </w:rPr>
        <w:t>inizio progettata e presentata come un</w:t>
      </w:r>
      <w:r>
        <w:rPr>
          <w:rFonts w:cs="Arial"/>
          <w:szCs w:val="24"/>
        </w:rPr>
        <w:t>'</w:t>
      </w:r>
      <w:r w:rsidRPr="008636F0">
        <w:rPr>
          <w:rFonts w:cs="Arial"/>
          <w:szCs w:val="24"/>
        </w:rPr>
        <w:t xml:space="preserve">unione di opportunità, </w:t>
      </w:r>
      <w:r>
        <w:rPr>
          <w:rFonts w:cs="Arial"/>
          <w:szCs w:val="24"/>
        </w:rPr>
        <w:t>ossia u</w:t>
      </w:r>
      <w:r w:rsidRPr="008636F0">
        <w:rPr>
          <w:rFonts w:cs="Arial"/>
        </w:rPr>
        <w:t>n</w:t>
      </w:r>
      <w:r>
        <w:rPr>
          <w:rFonts w:cs="Arial"/>
        </w:rPr>
        <w:t>a proposta</w:t>
      </w:r>
      <w:r w:rsidRPr="008636F0">
        <w:rPr>
          <w:rFonts w:cs="Arial"/>
        </w:rPr>
        <w:t xml:space="preserve"> di ottimizzazione tra due </w:t>
      </w:r>
      <w:r>
        <w:rPr>
          <w:rFonts w:cs="Arial"/>
        </w:rPr>
        <w:t>C</w:t>
      </w:r>
      <w:r w:rsidRPr="008636F0">
        <w:rPr>
          <w:rFonts w:cs="Arial"/>
        </w:rPr>
        <w:t>omuni molto simili</w:t>
      </w:r>
      <w:r>
        <w:rPr>
          <w:rFonts w:cs="Arial"/>
        </w:rPr>
        <w:t xml:space="preserve"> sotto vari aspetti (</w:t>
      </w:r>
      <w:r w:rsidRPr="008636F0">
        <w:rPr>
          <w:rFonts w:cs="Arial"/>
        </w:rPr>
        <w:t>ad esempio per popolazione</w:t>
      </w:r>
      <w:r>
        <w:rPr>
          <w:rFonts w:cs="Arial"/>
        </w:rPr>
        <w:t>,</w:t>
      </w:r>
      <w:r w:rsidRPr="008636F0">
        <w:rPr>
          <w:rFonts w:cs="Arial"/>
        </w:rPr>
        <w:t xml:space="preserve"> per situazione finanziaria</w:t>
      </w:r>
      <w:r>
        <w:rPr>
          <w:rFonts w:cs="Arial"/>
        </w:rPr>
        <w:t xml:space="preserve"> e</w:t>
      </w:r>
      <w:r w:rsidRPr="008636F0">
        <w:rPr>
          <w:rFonts w:cs="Arial"/>
        </w:rPr>
        <w:t xml:space="preserve"> per vocazione territoriale</w:t>
      </w:r>
      <w:r>
        <w:rPr>
          <w:rFonts w:cs="Arial"/>
        </w:rPr>
        <w:t>).</w:t>
      </w:r>
      <w:r w:rsidRPr="008636F0">
        <w:rPr>
          <w:rFonts w:cs="Arial"/>
        </w:rPr>
        <w:t xml:space="preserve"> </w:t>
      </w:r>
      <w:r>
        <w:rPr>
          <w:rFonts w:cs="Arial"/>
        </w:rPr>
        <w:t xml:space="preserve">Va infatti sottolineato che </w:t>
      </w:r>
      <w:r w:rsidRPr="00E778D6">
        <w:rPr>
          <w:rFonts w:cs="Arial"/>
          <w:szCs w:val="24"/>
        </w:rPr>
        <w:t xml:space="preserve">sia Bedano </w:t>
      </w:r>
      <w:r>
        <w:rPr>
          <w:rFonts w:cs="Arial"/>
          <w:szCs w:val="24"/>
        </w:rPr>
        <w:t>sia</w:t>
      </w:r>
      <w:r w:rsidRPr="00E778D6">
        <w:rPr>
          <w:rFonts w:cs="Arial"/>
          <w:szCs w:val="24"/>
        </w:rPr>
        <w:t xml:space="preserve"> </w:t>
      </w:r>
      <w:proofErr w:type="spellStart"/>
      <w:r w:rsidRPr="00E778D6">
        <w:rPr>
          <w:rFonts w:cs="Arial"/>
          <w:szCs w:val="24"/>
        </w:rPr>
        <w:t>Gravesano</w:t>
      </w:r>
      <w:proofErr w:type="spellEnd"/>
      <w:r w:rsidRPr="00E778D6">
        <w:rPr>
          <w:rFonts w:cs="Arial"/>
          <w:szCs w:val="24"/>
        </w:rPr>
        <w:t xml:space="preserve"> erano e rimangono finanziariamente e amministrativamente autonomi e in grado di assolvere i propri compiti istituzionali.</w:t>
      </w:r>
    </w:p>
    <w:p w:rsidR="00265DED" w:rsidRPr="00E778D6" w:rsidRDefault="00265DED" w:rsidP="00265DED">
      <w:pPr>
        <w:spacing w:before="120"/>
        <w:rPr>
          <w:rFonts w:cs="Arial"/>
        </w:rPr>
      </w:pPr>
      <w:r>
        <w:rPr>
          <w:rFonts w:cs="Arial"/>
        </w:rPr>
        <w:t xml:space="preserve">Visto quanto precede, il Consiglio di Stato </w:t>
      </w:r>
      <w:r w:rsidRPr="00E778D6">
        <w:rPr>
          <w:rFonts w:cs="Arial"/>
        </w:rPr>
        <w:t>propone l</w:t>
      </w:r>
      <w:r>
        <w:rPr>
          <w:rFonts w:cs="Arial"/>
        </w:rPr>
        <w:t>'abbandono dell'aggregazione; q</w:t>
      </w:r>
      <w:r w:rsidRPr="00E778D6">
        <w:rPr>
          <w:rFonts w:cs="Arial"/>
        </w:rPr>
        <w:t>uesta è pure l</w:t>
      </w:r>
      <w:r>
        <w:rPr>
          <w:rFonts w:cs="Arial"/>
        </w:rPr>
        <w:t>'</w:t>
      </w:r>
      <w:r w:rsidRPr="00E778D6">
        <w:rPr>
          <w:rFonts w:cs="Arial"/>
        </w:rPr>
        <w:t xml:space="preserve">opinione dei due </w:t>
      </w:r>
      <w:r>
        <w:rPr>
          <w:rFonts w:cs="Arial"/>
        </w:rPr>
        <w:t>M</w:t>
      </w:r>
      <w:r w:rsidRPr="00E778D6">
        <w:rPr>
          <w:rFonts w:cs="Arial"/>
        </w:rPr>
        <w:t>unicipi interessati</w:t>
      </w:r>
      <w:r>
        <w:rPr>
          <w:rFonts w:cs="Arial"/>
        </w:rPr>
        <w:t xml:space="preserve">. </w:t>
      </w:r>
    </w:p>
    <w:p w:rsidR="00265DED" w:rsidRPr="00265DED" w:rsidRDefault="00265DED" w:rsidP="00265DED">
      <w:pPr>
        <w:rPr>
          <w:sz w:val="20"/>
          <w:szCs w:val="20"/>
        </w:rPr>
      </w:pPr>
    </w:p>
    <w:p w:rsidR="00265DED" w:rsidRPr="00265DED" w:rsidRDefault="00265DED" w:rsidP="00265DED">
      <w:pPr>
        <w:rPr>
          <w:sz w:val="20"/>
          <w:szCs w:val="20"/>
        </w:rPr>
      </w:pPr>
    </w:p>
    <w:p w:rsidR="00265DED" w:rsidRPr="00265DED" w:rsidRDefault="00265DED" w:rsidP="00265DED">
      <w:pPr>
        <w:rPr>
          <w:sz w:val="20"/>
          <w:szCs w:val="20"/>
        </w:rPr>
      </w:pPr>
    </w:p>
    <w:p w:rsidR="00265DED" w:rsidRPr="00341E0F" w:rsidRDefault="00265DED" w:rsidP="00265DED">
      <w:pPr>
        <w:pStyle w:val="Titolo2"/>
      </w:pPr>
      <w:r>
        <w:t>3</w:t>
      </w:r>
      <w:r w:rsidRPr="00341E0F">
        <w:t>.</w:t>
      </w:r>
      <w:r w:rsidRPr="00341E0F">
        <w:tab/>
      </w:r>
      <w:r>
        <w:t>CONCLUSIONI</w:t>
      </w:r>
    </w:p>
    <w:p w:rsidR="00265DED" w:rsidRDefault="00265DED" w:rsidP="00265DED">
      <w:pPr>
        <w:rPr>
          <w:rFonts w:cs="Arial"/>
        </w:rPr>
      </w:pPr>
      <w:r w:rsidRPr="00E469EB">
        <w:rPr>
          <w:rFonts w:cs="Arial"/>
        </w:rPr>
        <w:t>Dal profilo formale la procedura iniziata con l</w:t>
      </w:r>
      <w:r>
        <w:rPr>
          <w:rFonts w:cs="Arial"/>
        </w:rPr>
        <w:t>'</w:t>
      </w:r>
      <w:r w:rsidRPr="00E469EB">
        <w:rPr>
          <w:rFonts w:cs="Arial"/>
        </w:rPr>
        <w:t>inoltro dell</w:t>
      </w:r>
      <w:r>
        <w:rPr>
          <w:rFonts w:cs="Arial"/>
        </w:rPr>
        <w:t>'</w:t>
      </w:r>
      <w:r w:rsidRPr="00E469EB">
        <w:rPr>
          <w:rFonts w:cs="Arial"/>
        </w:rPr>
        <w:t>istanza di aggregazione va conclusa con una decisione parlamentare. L</w:t>
      </w:r>
      <w:r>
        <w:rPr>
          <w:rFonts w:cs="Arial"/>
        </w:rPr>
        <w:t>'</w:t>
      </w:r>
      <w:r w:rsidRPr="00E469EB">
        <w:rPr>
          <w:rFonts w:cs="Arial"/>
        </w:rPr>
        <w:t xml:space="preserve">art. 7 </w:t>
      </w:r>
      <w:r>
        <w:rPr>
          <w:rFonts w:cs="Arial"/>
        </w:rPr>
        <w:t xml:space="preserve">della </w:t>
      </w:r>
      <w:r w:rsidRPr="00CD24A5">
        <w:rPr>
          <w:rFonts w:cs="Arial"/>
        </w:rPr>
        <w:t>Legge</w:t>
      </w:r>
      <w:r>
        <w:rPr>
          <w:rFonts w:cs="Arial"/>
        </w:rPr>
        <w:t xml:space="preserve"> </w:t>
      </w:r>
      <w:r w:rsidRPr="00CD24A5">
        <w:rPr>
          <w:rFonts w:cs="Arial"/>
        </w:rPr>
        <w:t xml:space="preserve">sulle aggregazioni e separazioni dei Comuni </w:t>
      </w:r>
      <w:r>
        <w:rPr>
          <w:rFonts w:cs="Arial"/>
        </w:rPr>
        <w:t>(</w:t>
      </w:r>
      <w:proofErr w:type="spellStart"/>
      <w:r w:rsidRPr="00E469EB">
        <w:rPr>
          <w:rFonts w:cs="Arial"/>
        </w:rPr>
        <w:t>LAggr</w:t>
      </w:r>
      <w:proofErr w:type="spellEnd"/>
      <w:r>
        <w:rPr>
          <w:rFonts w:cs="Arial"/>
        </w:rPr>
        <w:t>)</w:t>
      </w:r>
      <w:r w:rsidRPr="00E469EB">
        <w:rPr>
          <w:rFonts w:cs="Arial"/>
        </w:rPr>
        <w:t xml:space="preserve"> indica che il Consiglio di Stato sottopone la propria proposta </w:t>
      </w:r>
      <w:r>
        <w:rPr>
          <w:rFonts w:cs="Arial"/>
        </w:rPr>
        <w:t xml:space="preserve">di aggregazione o di abbandono al Gran Consiglio; </w:t>
      </w:r>
      <w:r w:rsidRPr="00E469EB">
        <w:rPr>
          <w:rFonts w:cs="Arial"/>
        </w:rPr>
        <w:t>l</w:t>
      </w:r>
      <w:r>
        <w:rPr>
          <w:rFonts w:cs="Arial"/>
        </w:rPr>
        <w:t>'</w:t>
      </w:r>
      <w:r w:rsidRPr="00E469EB">
        <w:rPr>
          <w:rFonts w:cs="Arial"/>
        </w:rPr>
        <w:t xml:space="preserve">art. 8 </w:t>
      </w:r>
      <w:proofErr w:type="spellStart"/>
      <w:r w:rsidRPr="00E469EB">
        <w:rPr>
          <w:rFonts w:cs="Arial"/>
        </w:rPr>
        <w:t>LAggr</w:t>
      </w:r>
      <w:proofErr w:type="spellEnd"/>
      <w:r w:rsidRPr="00E469EB">
        <w:rPr>
          <w:rFonts w:cs="Arial"/>
        </w:rPr>
        <w:t xml:space="preserve"> prevede che quest</w:t>
      </w:r>
      <w:r>
        <w:rPr>
          <w:rFonts w:cs="Arial"/>
        </w:rPr>
        <w:t>'</w:t>
      </w:r>
      <w:r w:rsidRPr="00E469EB">
        <w:rPr>
          <w:rFonts w:cs="Arial"/>
        </w:rPr>
        <w:t>ultimo decida in merito secondo l</w:t>
      </w:r>
      <w:r>
        <w:rPr>
          <w:rFonts w:cs="Arial"/>
        </w:rPr>
        <w:t>'</w:t>
      </w:r>
      <w:r w:rsidRPr="00E469EB">
        <w:rPr>
          <w:rFonts w:cs="Arial"/>
        </w:rPr>
        <w:t xml:space="preserve">interesse generale. </w:t>
      </w:r>
    </w:p>
    <w:p w:rsidR="00265DED" w:rsidRPr="00265DED" w:rsidRDefault="00265DED" w:rsidP="00265DED">
      <w:pPr>
        <w:spacing w:before="120"/>
      </w:pPr>
      <w:r w:rsidRPr="00265DED">
        <w:t xml:space="preserve">Preso atto del risultato della votazione consultiva avvenuta nei Comuni di Bedano e </w:t>
      </w:r>
      <w:proofErr w:type="spellStart"/>
      <w:r w:rsidRPr="00265DED">
        <w:t>Gravesano</w:t>
      </w:r>
      <w:proofErr w:type="spellEnd"/>
      <w:r w:rsidRPr="00265DED">
        <w:t xml:space="preserve">, con particolare riferimento al voto negativo di </w:t>
      </w:r>
      <w:proofErr w:type="spellStart"/>
      <w:r w:rsidRPr="00265DED">
        <w:t>Gravesano</w:t>
      </w:r>
      <w:proofErr w:type="spellEnd"/>
      <w:r w:rsidRPr="00265DED">
        <w:t xml:space="preserve">, condividendo le motivazioni del Consiglio di Stato che propone l'abbandono del progetto aggregativo (intenzione peraltro condivisa anche dai due Municipi), considerato il fatto che non vi è attualmente un interesse pubblico generale a non seguire il risultato della votazione consultiva e a imporre quindi un progetto aggregativo in un comprensorio nel quale un'aggregazione rappresentava e semmai potrà rappresentare un'opportunità piuttosto che una necessità, la Commissione Costituzione e leggi invita il Gran Consiglio ad accogliere il presente rapporto e il Disegno di decreto legislativo concernente l'abbandono del progetto aggregativo tra i Comuni di Bedano e </w:t>
      </w:r>
      <w:proofErr w:type="spellStart"/>
      <w:r w:rsidRPr="00265DED">
        <w:t>Gravesano</w:t>
      </w:r>
      <w:proofErr w:type="spellEnd"/>
      <w:r w:rsidRPr="00265DED">
        <w:t xml:space="preserve"> annesso al messaggio governativo.</w:t>
      </w:r>
    </w:p>
    <w:p w:rsidR="00265DED" w:rsidRPr="00265DED" w:rsidRDefault="00265DED" w:rsidP="00265DED">
      <w:pPr>
        <w:rPr>
          <w:rFonts w:cs="Arial"/>
          <w:sz w:val="20"/>
          <w:szCs w:val="20"/>
        </w:rPr>
      </w:pPr>
    </w:p>
    <w:p w:rsidR="00265DED" w:rsidRPr="00265DED" w:rsidRDefault="00265DED" w:rsidP="00265DED">
      <w:pPr>
        <w:rPr>
          <w:rFonts w:cs="Arial"/>
          <w:sz w:val="20"/>
          <w:szCs w:val="20"/>
        </w:rPr>
      </w:pPr>
    </w:p>
    <w:p w:rsidR="00265DED" w:rsidRPr="00265DED" w:rsidRDefault="00265DED" w:rsidP="00265DED">
      <w:pPr>
        <w:rPr>
          <w:rFonts w:cs="Arial"/>
          <w:sz w:val="20"/>
          <w:szCs w:val="20"/>
        </w:rPr>
      </w:pPr>
    </w:p>
    <w:p w:rsidR="00265DED" w:rsidRPr="00AA1612" w:rsidRDefault="00265DED" w:rsidP="00265DED">
      <w:pPr>
        <w:rPr>
          <w:rFonts w:cs="Arial"/>
        </w:rPr>
      </w:pPr>
      <w:r>
        <w:rPr>
          <w:rFonts w:cs="Arial"/>
        </w:rPr>
        <w:t>Per la Commissione Costituzione e leggi:</w:t>
      </w:r>
    </w:p>
    <w:p w:rsidR="00265DED" w:rsidRDefault="00265DED" w:rsidP="00265DED">
      <w:pPr>
        <w:spacing w:before="120"/>
      </w:pPr>
      <w:r>
        <w:t>Omar Balli, relatore</w:t>
      </w:r>
    </w:p>
    <w:p w:rsidR="00AE24CD" w:rsidRDefault="00265DED" w:rsidP="00265DED">
      <w:r>
        <w:t xml:space="preserve">Aldi - Bertoli - Buzzini - Censi - Corti </w:t>
      </w:r>
      <w:r w:rsidR="00AE24CD">
        <w:t>-</w:t>
      </w:r>
      <w:r>
        <w:t xml:space="preserve"> </w:t>
      </w:r>
    </w:p>
    <w:p w:rsidR="00AE24CD" w:rsidRDefault="00265DED" w:rsidP="00265DED">
      <w:r>
        <w:t>Filippini -</w:t>
      </w:r>
      <w:r w:rsidR="00AE24CD">
        <w:t xml:space="preserve"> </w:t>
      </w:r>
      <w:r>
        <w:t xml:space="preserve">Franscella - Gendotti - Ghisolfi </w:t>
      </w:r>
      <w:r w:rsidR="00AE24CD">
        <w:t>-</w:t>
      </w:r>
      <w:r>
        <w:t xml:space="preserve"> </w:t>
      </w:r>
    </w:p>
    <w:p w:rsidR="00AE24CD" w:rsidRDefault="00265DED" w:rsidP="00265DED">
      <w:r>
        <w:t>Käppeli -</w:t>
      </w:r>
      <w:r w:rsidR="00542774">
        <w:t xml:space="preserve"> </w:t>
      </w:r>
      <w:r>
        <w:t xml:space="preserve">Lepori C. (con riserva) - Lepori D. </w:t>
      </w:r>
      <w:r w:rsidR="00AE24CD">
        <w:t>-</w:t>
      </w:r>
      <w:r>
        <w:t xml:space="preserve"> </w:t>
      </w:r>
    </w:p>
    <w:p w:rsidR="00265DED" w:rsidRPr="00BB60A0" w:rsidRDefault="00265DED" w:rsidP="00265DED">
      <w:r>
        <w:t>Ortelli P. - Ris - Stephani - Viscardi</w:t>
      </w:r>
    </w:p>
    <w:sectPr w:rsidR="00265DED" w:rsidRPr="00BB60A0" w:rsidSect="008B4137">
      <w:footerReference w:type="default" r:id="rId8"/>
      <w:pgSz w:w="11906" w:h="16838"/>
      <w:pgMar w:top="1418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DED" w:rsidRDefault="00265DED" w:rsidP="008E77C6">
      <w:r>
        <w:separator/>
      </w:r>
    </w:p>
  </w:endnote>
  <w:endnote w:type="continuationSeparator" w:id="0">
    <w:p w:rsidR="00265DED" w:rsidRDefault="00265DED" w:rsidP="008E7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C6" w:rsidRPr="008E77C6" w:rsidRDefault="008E77C6">
    <w:pPr>
      <w:pStyle w:val="Pidipagina"/>
      <w:jc w:val="center"/>
      <w:rPr>
        <w:sz w:val="20"/>
        <w:szCs w:val="20"/>
      </w:rPr>
    </w:pPr>
    <w:r w:rsidRPr="008E77C6">
      <w:rPr>
        <w:sz w:val="20"/>
        <w:szCs w:val="20"/>
      </w:rPr>
      <w:fldChar w:fldCharType="begin"/>
    </w:r>
    <w:r w:rsidRPr="008E77C6">
      <w:rPr>
        <w:sz w:val="20"/>
        <w:szCs w:val="20"/>
      </w:rPr>
      <w:instrText>PAGE   \* MERGEFORMAT</w:instrText>
    </w:r>
    <w:r w:rsidRPr="008E77C6">
      <w:rPr>
        <w:sz w:val="20"/>
        <w:szCs w:val="20"/>
      </w:rPr>
      <w:fldChar w:fldCharType="separate"/>
    </w:r>
    <w:r w:rsidR="00542774" w:rsidRPr="00542774">
      <w:rPr>
        <w:noProof/>
        <w:sz w:val="20"/>
        <w:szCs w:val="20"/>
        <w:lang w:val="it-IT"/>
      </w:rPr>
      <w:t>2</w:t>
    </w:r>
    <w:r w:rsidRPr="008E77C6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DED" w:rsidRDefault="00265DED" w:rsidP="008E77C6">
      <w:r>
        <w:separator/>
      </w:r>
    </w:p>
  </w:footnote>
  <w:footnote w:type="continuationSeparator" w:id="0">
    <w:p w:rsidR="00265DED" w:rsidRDefault="00265DED" w:rsidP="008E7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2CA429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355C0C"/>
    <w:multiLevelType w:val="hybridMultilevel"/>
    <w:tmpl w:val="1F8A3B46"/>
    <w:lvl w:ilvl="0" w:tplc="3FBC9440">
      <w:start w:val="1"/>
      <w:numFmt w:val="decimal"/>
      <w:pStyle w:val="Titolo1"/>
      <w:lvlText w:val="%1."/>
      <w:lvlJc w:val="left"/>
      <w:pPr>
        <w:ind w:left="927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647" w:hanging="360"/>
      </w:pPr>
    </w:lvl>
    <w:lvl w:ilvl="2" w:tplc="0810001B" w:tentative="1">
      <w:start w:val="1"/>
      <w:numFmt w:val="lowerRoman"/>
      <w:lvlText w:val="%3."/>
      <w:lvlJc w:val="right"/>
      <w:pPr>
        <w:ind w:left="2367" w:hanging="180"/>
      </w:pPr>
    </w:lvl>
    <w:lvl w:ilvl="3" w:tplc="0810000F" w:tentative="1">
      <w:start w:val="1"/>
      <w:numFmt w:val="decimal"/>
      <w:lvlText w:val="%4."/>
      <w:lvlJc w:val="left"/>
      <w:pPr>
        <w:ind w:left="3087" w:hanging="360"/>
      </w:pPr>
    </w:lvl>
    <w:lvl w:ilvl="4" w:tplc="08100019" w:tentative="1">
      <w:start w:val="1"/>
      <w:numFmt w:val="lowerLetter"/>
      <w:lvlText w:val="%5."/>
      <w:lvlJc w:val="left"/>
      <w:pPr>
        <w:ind w:left="3807" w:hanging="360"/>
      </w:pPr>
    </w:lvl>
    <w:lvl w:ilvl="5" w:tplc="0810001B" w:tentative="1">
      <w:start w:val="1"/>
      <w:numFmt w:val="lowerRoman"/>
      <w:lvlText w:val="%6."/>
      <w:lvlJc w:val="right"/>
      <w:pPr>
        <w:ind w:left="4527" w:hanging="180"/>
      </w:pPr>
    </w:lvl>
    <w:lvl w:ilvl="6" w:tplc="0810000F" w:tentative="1">
      <w:start w:val="1"/>
      <w:numFmt w:val="decimal"/>
      <w:lvlText w:val="%7."/>
      <w:lvlJc w:val="left"/>
      <w:pPr>
        <w:ind w:left="5247" w:hanging="360"/>
      </w:pPr>
    </w:lvl>
    <w:lvl w:ilvl="7" w:tplc="08100019" w:tentative="1">
      <w:start w:val="1"/>
      <w:numFmt w:val="lowerLetter"/>
      <w:lvlText w:val="%8."/>
      <w:lvlJc w:val="left"/>
      <w:pPr>
        <w:ind w:left="5967" w:hanging="360"/>
      </w:pPr>
    </w:lvl>
    <w:lvl w:ilvl="8" w:tplc="08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5A916B4"/>
    <w:multiLevelType w:val="hybridMultilevel"/>
    <w:tmpl w:val="71241184"/>
    <w:lvl w:ilvl="0" w:tplc="3996A1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453EC"/>
    <w:multiLevelType w:val="hybridMultilevel"/>
    <w:tmpl w:val="BBE02A84"/>
    <w:lvl w:ilvl="0" w:tplc="8988A65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8988A65E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01A79"/>
    <w:multiLevelType w:val="hybridMultilevel"/>
    <w:tmpl w:val="9F786C86"/>
    <w:lvl w:ilvl="0" w:tplc="3996A1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AAA05160">
      <w:numFmt w:val="bullet"/>
      <w:lvlText w:val="−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E2424"/>
    <w:multiLevelType w:val="hybridMultilevel"/>
    <w:tmpl w:val="58424C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E66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A1F66EE"/>
    <w:multiLevelType w:val="hybridMultilevel"/>
    <w:tmpl w:val="2556DA38"/>
    <w:lvl w:ilvl="0" w:tplc="3996A1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C26B62"/>
    <w:multiLevelType w:val="multilevel"/>
    <w:tmpl w:val="0810001D"/>
    <w:styleLink w:val="Sti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360" w:hanging="360"/>
      </w:pPr>
    </w:lvl>
    <w:lvl w:ilvl="3">
      <w:start w:val="1"/>
      <w:numFmt w:val="decimal"/>
      <w:lvlText w:val="(%4)"/>
      <w:lvlJc w:val="left"/>
      <w:pPr>
        <w:ind w:left="36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2A623D6"/>
    <w:multiLevelType w:val="hybridMultilevel"/>
    <w:tmpl w:val="660A06E4"/>
    <w:lvl w:ilvl="0" w:tplc="0810000F">
      <w:start w:val="1"/>
      <w:numFmt w:val="decimal"/>
      <w:lvlText w:val="%1."/>
      <w:lvlJc w:val="left"/>
      <w:pPr>
        <w:ind w:left="720" w:hanging="360"/>
      </w:p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F718E1"/>
    <w:multiLevelType w:val="hybridMultilevel"/>
    <w:tmpl w:val="4F4203DC"/>
    <w:lvl w:ilvl="0" w:tplc="8D0A19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10"/>
  </w:num>
  <w:num w:numId="4">
    <w:abstractNumId w:val="1"/>
  </w:num>
  <w:num w:numId="5">
    <w:abstractNumId w:val="4"/>
  </w:num>
  <w:num w:numId="6">
    <w:abstractNumId w:val="0"/>
  </w:num>
  <w:num w:numId="7">
    <w:abstractNumId w:val="9"/>
  </w:num>
  <w:num w:numId="8">
    <w:abstractNumId w:val="2"/>
  </w:num>
  <w:num w:numId="9">
    <w:abstractNumId w:val="7"/>
  </w:num>
  <w:num w:numId="10">
    <w:abstractNumId w:val="6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DED"/>
    <w:rsid w:val="00076E70"/>
    <w:rsid w:val="001574D7"/>
    <w:rsid w:val="00260C8C"/>
    <w:rsid w:val="00265DED"/>
    <w:rsid w:val="002677DC"/>
    <w:rsid w:val="002E5E40"/>
    <w:rsid w:val="0052425A"/>
    <w:rsid w:val="00542774"/>
    <w:rsid w:val="00586A8D"/>
    <w:rsid w:val="006C17AA"/>
    <w:rsid w:val="006D7A3B"/>
    <w:rsid w:val="006E4AE2"/>
    <w:rsid w:val="007352D3"/>
    <w:rsid w:val="007B5462"/>
    <w:rsid w:val="008034BD"/>
    <w:rsid w:val="00876352"/>
    <w:rsid w:val="008B2655"/>
    <w:rsid w:val="008B4137"/>
    <w:rsid w:val="008C767A"/>
    <w:rsid w:val="008E77C6"/>
    <w:rsid w:val="009770BB"/>
    <w:rsid w:val="009E008D"/>
    <w:rsid w:val="00A5465F"/>
    <w:rsid w:val="00A77678"/>
    <w:rsid w:val="00AE24CD"/>
    <w:rsid w:val="00B860C2"/>
    <w:rsid w:val="00BC4C95"/>
    <w:rsid w:val="00BD5944"/>
    <w:rsid w:val="00CC59CF"/>
    <w:rsid w:val="00CF6858"/>
    <w:rsid w:val="00D377B5"/>
    <w:rsid w:val="00D93B31"/>
    <w:rsid w:val="00DE5307"/>
    <w:rsid w:val="00E505DB"/>
    <w:rsid w:val="00E7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B782A6"/>
  <w15:docId w15:val="{553A59CF-C940-42F8-A5CF-642B42F4F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CH" w:eastAsia="it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6E70"/>
    <w:pPr>
      <w:jc w:val="both"/>
    </w:pPr>
    <w:rPr>
      <w:rFonts w:ascii="Arial" w:hAnsi="Arial"/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autoRedefine/>
    <w:qFormat/>
    <w:rsid w:val="00076E70"/>
    <w:pPr>
      <w:keepNext/>
      <w:numPr>
        <w:numId w:val="4"/>
      </w:numPr>
      <w:tabs>
        <w:tab w:val="left" w:pos="567"/>
      </w:tabs>
      <w:spacing w:after="120"/>
      <w:ind w:left="567" w:hanging="567"/>
      <w:outlineLvl w:val="0"/>
    </w:pPr>
    <w:rPr>
      <w:b/>
      <w:caps/>
      <w:szCs w:val="24"/>
      <w:lang w:val="it-IT" w:eastAsia="it-IT"/>
    </w:rPr>
  </w:style>
  <w:style w:type="paragraph" w:styleId="Titolo2">
    <w:name w:val="heading 2"/>
    <w:basedOn w:val="Normale"/>
    <w:next w:val="Normale"/>
    <w:link w:val="Titolo2Carattere"/>
    <w:autoRedefine/>
    <w:qFormat/>
    <w:rsid w:val="006D7A3B"/>
    <w:pPr>
      <w:keepNext/>
      <w:tabs>
        <w:tab w:val="left" w:pos="567"/>
      </w:tabs>
      <w:spacing w:after="120"/>
      <w:outlineLvl w:val="1"/>
    </w:pPr>
    <w:rPr>
      <w:b/>
      <w:lang w:val="it-IT"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6D7A3B"/>
    <w:pPr>
      <w:keepNext/>
      <w:tabs>
        <w:tab w:val="left" w:pos="709"/>
      </w:tabs>
      <w:spacing w:before="120" w:after="120"/>
      <w:outlineLvl w:val="2"/>
    </w:pPr>
    <w:rPr>
      <w:b/>
      <w:i/>
      <w:sz w:val="23"/>
      <w:szCs w:val="23"/>
      <w:lang w:val="it-IT"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76E70"/>
    <w:pPr>
      <w:keepNext/>
      <w:keepLines/>
      <w:spacing w:before="120" w:after="120"/>
      <w:outlineLvl w:val="3"/>
    </w:pPr>
    <w:rPr>
      <w:rFonts w:eastAsia="Times New Roman"/>
      <w:b/>
      <w:bCs/>
      <w:iCs/>
      <w:sz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076E70"/>
    <w:pPr>
      <w:keepNext/>
      <w:keepLines/>
      <w:tabs>
        <w:tab w:val="left" w:pos="993"/>
      </w:tabs>
      <w:spacing w:after="120"/>
      <w:outlineLvl w:val="4"/>
    </w:pPr>
    <w:rPr>
      <w:rFonts w:eastAsia="Times New Roman"/>
      <w:b/>
      <w:i/>
      <w:color w:val="243F6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uiPriority w:val="39"/>
    <w:unhideWhenUsed/>
    <w:rsid w:val="0052425A"/>
    <w:pPr>
      <w:spacing w:before="240"/>
    </w:pPr>
    <w:rPr>
      <w:caps/>
      <w:szCs w:val="24"/>
      <w:lang w:val="it-IT"/>
    </w:rPr>
  </w:style>
  <w:style w:type="character" w:customStyle="1" w:styleId="Titolo1Carattere">
    <w:name w:val="Titolo 1 Carattere"/>
    <w:link w:val="Titolo1"/>
    <w:rsid w:val="00076E70"/>
    <w:rPr>
      <w:rFonts w:ascii="Arial" w:hAnsi="Arial"/>
      <w:b/>
      <w:caps/>
      <w:sz w:val="24"/>
      <w:szCs w:val="24"/>
      <w:lang w:val="it-IT" w:eastAsia="it-IT"/>
    </w:rPr>
  </w:style>
  <w:style w:type="character" w:customStyle="1" w:styleId="Titolo2Carattere">
    <w:name w:val="Titolo 2 Carattere"/>
    <w:link w:val="Titolo2"/>
    <w:rsid w:val="006D7A3B"/>
    <w:rPr>
      <w:rFonts w:ascii="Arial" w:hAnsi="Arial"/>
      <w:b/>
      <w:sz w:val="24"/>
      <w:lang w:val="it-IT" w:eastAsia="it-IT"/>
    </w:rPr>
  </w:style>
  <w:style w:type="character" w:customStyle="1" w:styleId="Titolo3Carattere">
    <w:name w:val="Titolo 3 Carattere"/>
    <w:link w:val="Titolo3"/>
    <w:rsid w:val="006D7A3B"/>
    <w:rPr>
      <w:rFonts w:ascii="Arial" w:hAnsi="Arial"/>
      <w:b/>
      <w:i/>
      <w:sz w:val="23"/>
      <w:szCs w:val="23"/>
      <w:lang w:val="it-IT" w:eastAsia="it-IT"/>
    </w:rPr>
  </w:style>
  <w:style w:type="numbering" w:customStyle="1" w:styleId="Stile1">
    <w:name w:val="Stile1"/>
    <w:uiPriority w:val="99"/>
    <w:rsid w:val="0052425A"/>
    <w:pPr>
      <w:numPr>
        <w:numId w:val="1"/>
      </w:numPr>
    </w:pPr>
  </w:style>
  <w:style w:type="paragraph" w:styleId="Sommario3">
    <w:name w:val="toc 3"/>
    <w:basedOn w:val="Normale"/>
    <w:next w:val="Normale"/>
    <w:autoRedefine/>
    <w:uiPriority w:val="39"/>
    <w:unhideWhenUsed/>
    <w:rsid w:val="0052425A"/>
    <w:pPr>
      <w:spacing w:before="60"/>
    </w:pPr>
    <w:rPr>
      <w:szCs w:val="24"/>
      <w:lang w:val="it-IT"/>
    </w:rPr>
  </w:style>
  <w:style w:type="paragraph" w:styleId="Sommario2">
    <w:name w:val="toc 2"/>
    <w:basedOn w:val="Normale"/>
    <w:next w:val="Normale"/>
    <w:autoRedefine/>
    <w:uiPriority w:val="39"/>
    <w:unhideWhenUsed/>
    <w:rsid w:val="0052425A"/>
    <w:rPr>
      <w:szCs w:val="24"/>
      <w:lang w:val="it-IT"/>
    </w:rPr>
  </w:style>
  <w:style w:type="paragraph" w:styleId="Paragrafoelenco">
    <w:name w:val="List Paragraph"/>
    <w:basedOn w:val="Normale"/>
    <w:uiPriority w:val="99"/>
    <w:qFormat/>
    <w:rsid w:val="0052425A"/>
  </w:style>
  <w:style w:type="character" w:customStyle="1" w:styleId="Titolo4Carattere">
    <w:name w:val="Titolo 4 Carattere"/>
    <w:link w:val="Titolo4"/>
    <w:uiPriority w:val="9"/>
    <w:rsid w:val="00076E70"/>
    <w:rPr>
      <w:rFonts w:ascii="Arial" w:eastAsia="Times New Roman" w:hAnsi="Arial" w:cs="Times New Roman"/>
      <w:b/>
      <w:bCs/>
      <w:iCs/>
    </w:rPr>
  </w:style>
  <w:style w:type="character" w:customStyle="1" w:styleId="Titolo5Carattere">
    <w:name w:val="Titolo 5 Carattere"/>
    <w:link w:val="Titolo5"/>
    <w:uiPriority w:val="9"/>
    <w:rsid w:val="00076E70"/>
    <w:rPr>
      <w:rFonts w:ascii="Arial" w:eastAsia="Times New Roman" w:hAnsi="Arial" w:cs="Times New Roman"/>
      <w:b/>
      <w:i/>
      <w:color w:val="243F60"/>
    </w:rPr>
  </w:style>
  <w:style w:type="paragraph" w:styleId="Nessunaspaziatura">
    <w:name w:val="No Spacing"/>
    <w:uiPriority w:val="1"/>
    <w:qFormat/>
    <w:rsid w:val="00076E70"/>
    <w:pPr>
      <w:jc w:val="both"/>
    </w:pPr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E77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E77C6"/>
    <w:rPr>
      <w:rFonts w:ascii="Arial" w:hAnsi="Arial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8E77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E77C6"/>
    <w:rPr>
      <w:rFonts w:ascii="Arial" w:hAnsi="Arial"/>
      <w:sz w:val="24"/>
    </w:rPr>
  </w:style>
  <w:style w:type="table" w:styleId="Grigliatabella">
    <w:name w:val="Table Grid"/>
    <w:basedOn w:val="Tabellanormale"/>
    <w:rsid w:val="00260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1574D7"/>
    <w:pPr>
      <w:tabs>
        <w:tab w:val="left" w:pos="284"/>
        <w:tab w:val="left" w:pos="426"/>
        <w:tab w:val="left" w:pos="4962"/>
      </w:tabs>
    </w:pPr>
    <w:rPr>
      <w:rFonts w:eastAsia="Times New Roman"/>
      <w:szCs w:val="20"/>
      <w:lang w:val="it-IT" w:eastAsia="it-IT"/>
    </w:rPr>
  </w:style>
  <w:style w:type="character" w:customStyle="1" w:styleId="CorpotestoCarattere">
    <w:name w:val="Corpo testo Carattere"/>
    <w:link w:val="Corpotesto"/>
    <w:rsid w:val="001574D7"/>
    <w:rPr>
      <w:rFonts w:ascii="Arial" w:eastAsia="Times New Roman" w:hAnsi="Arial" w:cs="Times New Roman"/>
      <w:sz w:val="24"/>
      <w:szCs w:val="20"/>
      <w:lang w:val="it-IT" w:eastAsia="it-IT"/>
    </w:rPr>
  </w:style>
  <w:style w:type="paragraph" w:customStyle="1" w:styleId="Default">
    <w:name w:val="Default"/>
    <w:rsid w:val="006E4AE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6E4AE2"/>
    <w:pPr>
      <w:widowControl w:val="0"/>
      <w:numPr>
        <w:numId w:val="6"/>
      </w:numPr>
      <w:contextualSpacing/>
    </w:pPr>
    <w:rPr>
      <w:rFonts w:eastAsia="Arial" w:cs="Arial"/>
      <w:color w:val="000000"/>
      <w:szCs w:val="24"/>
      <w:lang w:eastAsia="it-CH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0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860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A5F15-4462-420E-BB21-0F0E52C18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Amministrazione Cantonale</Company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Venturi Luca / t128124</dc:creator>
  <cp:keywords/>
  <cp:lastModifiedBy>Morandi Marisa</cp:lastModifiedBy>
  <cp:revision>2</cp:revision>
  <cp:lastPrinted>2018-08-29T13:06:00Z</cp:lastPrinted>
  <dcterms:created xsi:type="dcterms:W3CDTF">2021-05-18T09:14:00Z</dcterms:created>
  <dcterms:modified xsi:type="dcterms:W3CDTF">2021-05-18T09:14:00Z</dcterms:modified>
</cp:coreProperties>
</file>