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99A227" w14:textId="77777777" w:rsidR="00EE28A2" w:rsidRDefault="00EE28A2" w:rsidP="00EE28A2">
      <w:pPr>
        <w:rPr>
          <w:rFonts w:ascii="Gill Sans MT" w:hAnsi="Gill Sans MT"/>
          <w:b/>
          <w:sz w:val="56"/>
          <w:szCs w:val="56"/>
        </w:rPr>
      </w:pPr>
      <w:r>
        <w:rPr>
          <w:rFonts w:ascii="Gill Sans MT" w:hAnsi="Gill Sans MT"/>
          <w:b/>
          <w:sz w:val="56"/>
          <w:szCs w:val="56"/>
        </w:rPr>
        <w:t>Rapporto</w:t>
      </w:r>
    </w:p>
    <w:p w14:paraId="5A1FD762" w14:textId="4B171FF6" w:rsidR="00C91565" w:rsidRDefault="00C91565" w:rsidP="008B59BF">
      <w:pPr>
        <w:rPr>
          <w:rFonts w:cs="Arial"/>
          <w:sz w:val="23"/>
          <w:szCs w:val="23"/>
        </w:rPr>
      </w:pPr>
    </w:p>
    <w:p w14:paraId="51320465" w14:textId="77777777" w:rsidR="00EE28A2" w:rsidRPr="00706F55" w:rsidRDefault="00EE28A2" w:rsidP="008B59BF">
      <w:pPr>
        <w:rPr>
          <w:rFonts w:cs="Arial"/>
          <w:sz w:val="23"/>
          <w:szCs w:val="23"/>
        </w:rPr>
      </w:pPr>
      <w:bookmarkStart w:id="0" w:name="_GoBack"/>
      <w:bookmarkEnd w:id="0"/>
    </w:p>
    <w:p w14:paraId="1296B334" w14:textId="4546636A" w:rsidR="00C91565" w:rsidRPr="008B59BF" w:rsidRDefault="009E6F5C" w:rsidP="00775DCC">
      <w:pPr>
        <w:tabs>
          <w:tab w:val="left" w:pos="2127"/>
          <w:tab w:val="left" w:pos="4962"/>
        </w:tabs>
        <w:rPr>
          <w:rFonts w:cs="Arial"/>
          <w:position w:val="4"/>
        </w:rPr>
      </w:pPr>
      <w:r>
        <w:rPr>
          <w:rFonts w:cs="Arial"/>
          <w:b/>
          <w:position w:val="4"/>
          <w:sz w:val="32"/>
        </w:rPr>
        <w:t>79</w:t>
      </w:r>
      <w:r w:rsidR="007B73E4">
        <w:rPr>
          <w:rFonts w:cs="Arial"/>
          <w:b/>
          <w:position w:val="4"/>
          <w:sz w:val="32"/>
        </w:rPr>
        <w:t>21</w:t>
      </w:r>
      <w:r w:rsidR="00C91565" w:rsidRPr="008B59BF">
        <w:rPr>
          <w:rFonts w:cs="Arial"/>
          <w:b/>
          <w:position w:val="4"/>
          <w:sz w:val="32"/>
        </w:rPr>
        <w:t xml:space="preserve"> R</w:t>
      </w:r>
      <w:r w:rsidR="00C91565" w:rsidRPr="008B59BF">
        <w:rPr>
          <w:rFonts w:cs="Arial"/>
          <w:position w:val="4"/>
          <w:sz w:val="28"/>
        </w:rPr>
        <w:tab/>
      </w:r>
      <w:r w:rsidR="006079BB">
        <w:rPr>
          <w:rFonts w:cs="Arial"/>
          <w:position w:val="4"/>
          <w:sz w:val="28"/>
        </w:rPr>
        <w:t>29</w:t>
      </w:r>
      <w:r w:rsidR="00775DCC">
        <w:rPr>
          <w:rFonts w:cs="Arial"/>
          <w:position w:val="4"/>
          <w:sz w:val="28"/>
        </w:rPr>
        <w:t xml:space="preserve"> aprile </w:t>
      </w:r>
      <w:r>
        <w:rPr>
          <w:rFonts w:cs="Arial"/>
          <w:position w:val="4"/>
          <w:sz w:val="28"/>
        </w:rPr>
        <w:t>2021</w:t>
      </w:r>
      <w:r w:rsidR="00C91565" w:rsidRPr="008B59BF">
        <w:rPr>
          <w:rFonts w:cs="Arial"/>
          <w:position w:val="4"/>
          <w:sz w:val="28"/>
        </w:rPr>
        <w:tab/>
      </w:r>
      <w:r w:rsidR="004D6579">
        <w:rPr>
          <w:rFonts w:cs="Arial"/>
          <w:position w:val="4"/>
          <w:sz w:val="28"/>
        </w:rPr>
        <w:t>FINANZE E ECONOMIA</w:t>
      </w:r>
    </w:p>
    <w:p w14:paraId="3A659B3F" w14:textId="77777777" w:rsidR="00C91565" w:rsidRPr="008B59BF" w:rsidRDefault="00C91565">
      <w:pPr>
        <w:rPr>
          <w:rFonts w:cs="Arial"/>
        </w:rPr>
      </w:pPr>
    </w:p>
    <w:p w14:paraId="6701930E" w14:textId="77777777" w:rsidR="00C91565" w:rsidRPr="008B59BF" w:rsidRDefault="00C91565">
      <w:pPr>
        <w:rPr>
          <w:rFonts w:cs="Arial"/>
        </w:rPr>
      </w:pPr>
    </w:p>
    <w:p w14:paraId="427371C1" w14:textId="77777777" w:rsidR="00C91565" w:rsidRPr="008B59BF" w:rsidRDefault="00C91565">
      <w:pPr>
        <w:rPr>
          <w:rFonts w:cs="Arial"/>
        </w:rPr>
      </w:pPr>
    </w:p>
    <w:p w14:paraId="61DFC1A4" w14:textId="77777777" w:rsidR="00C91565" w:rsidRPr="008B59BF" w:rsidRDefault="00C91565">
      <w:pPr>
        <w:rPr>
          <w:rFonts w:cs="Arial"/>
          <w:b/>
          <w:sz w:val="28"/>
        </w:rPr>
      </w:pPr>
      <w:r w:rsidRPr="008B59BF">
        <w:rPr>
          <w:rFonts w:cs="Arial"/>
          <w:b/>
          <w:sz w:val="28"/>
        </w:rPr>
        <w:t xml:space="preserve">della Commissione </w:t>
      </w:r>
      <w:r w:rsidR="00101B56">
        <w:rPr>
          <w:rFonts w:cs="Arial"/>
          <w:b/>
          <w:sz w:val="28"/>
        </w:rPr>
        <w:t>ambiente, territorio ed energia</w:t>
      </w:r>
    </w:p>
    <w:p w14:paraId="4FF7428A" w14:textId="343A4633" w:rsidR="004D6579" w:rsidRDefault="004D6579" w:rsidP="004D6579">
      <w:r>
        <w:rPr>
          <w:rFonts w:cs="Arial"/>
          <w:b/>
          <w:sz w:val="28"/>
        </w:rPr>
        <w:t>sulla mozione 20 aprile 2020 presentata da Lorenzo Jelmini e cofirmatari</w:t>
      </w:r>
    </w:p>
    <w:p w14:paraId="5BC076CE" w14:textId="6558C2F5" w:rsidR="004D6579" w:rsidRPr="004D6579" w:rsidRDefault="004D6579" w:rsidP="004D6579">
      <w:pPr>
        <w:rPr>
          <w:rFonts w:cs="Arial"/>
          <w:b/>
          <w:sz w:val="28"/>
        </w:rPr>
      </w:pPr>
      <w:r w:rsidRPr="004D6579">
        <w:rPr>
          <w:rFonts w:cs="Arial"/>
          <w:b/>
          <w:iCs/>
          <w:sz w:val="28"/>
        </w:rPr>
        <w:t>"Misure a favore del settore vitivinicolo ticinese!"</w:t>
      </w:r>
    </w:p>
    <w:p w14:paraId="019AB267" w14:textId="4A781182" w:rsidR="004D6579" w:rsidRPr="009E6F5C" w:rsidRDefault="004D6579" w:rsidP="004D6579">
      <w:pPr>
        <w:spacing w:before="120"/>
        <w:rPr>
          <w:rFonts w:cs="Arial"/>
          <w:b/>
          <w:sz w:val="26"/>
          <w:szCs w:val="26"/>
        </w:rPr>
      </w:pPr>
      <w:r w:rsidRPr="009E6F5C">
        <w:rPr>
          <w:rFonts w:cs="Arial"/>
          <w:b/>
          <w:sz w:val="26"/>
          <w:szCs w:val="26"/>
        </w:rPr>
        <w:t>(</w:t>
      </w:r>
      <w:r>
        <w:rPr>
          <w:rFonts w:cs="Arial"/>
          <w:b/>
          <w:sz w:val="26"/>
          <w:szCs w:val="26"/>
        </w:rPr>
        <w:t xml:space="preserve">v. </w:t>
      </w:r>
      <w:r w:rsidRPr="009E6F5C">
        <w:rPr>
          <w:rFonts w:cs="Arial"/>
          <w:b/>
          <w:sz w:val="26"/>
          <w:szCs w:val="26"/>
        </w:rPr>
        <w:t>messaggio 11 novembre 2020</w:t>
      </w:r>
      <w:r>
        <w:rPr>
          <w:rFonts w:cs="Arial"/>
          <w:b/>
          <w:sz w:val="26"/>
          <w:szCs w:val="26"/>
        </w:rPr>
        <w:t xml:space="preserve"> n. 7921)</w:t>
      </w:r>
    </w:p>
    <w:p w14:paraId="26BACCAC" w14:textId="77777777" w:rsidR="004D6579" w:rsidRPr="008B59BF" w:rsidRDefault="004D6579" w:rsidP="004D6579">
      <w:pPr>
        <w:rPr>
          <w:rFonts w:cs="Arial"/>
        </w:rPr>
      </w:pPr>
    </w:p>
    <w:p w14:paraId="674A9F40" w14:textId="77777777" w:rsidR="004D6579" w:rsidRPr="008B59BF" w:rsidRDefault="004D6579" w:rsidP="004D6579">
      <w:pPr>
        <w:rPr>
          <w:rFonts w:cs="Arial"/>
        </w:rPr>
      </w:pPr>
    </w:p>
    <w:p w14:paraId="34CC4B81" w14:textId="77777777" w:rsidR="004D6579" w:rsidRPr="008B59BF" w:rsidRDefault="004D6579" w:rsidP="004D6579">
      <w:pPr>
        <w:rPr>
          <w:rFonts w:cs="Arial"/>
        </w:rPr>
      </w:pPr>
    </w:p>
    <w:p w14:paraId="1C796F94" w14:textId="77777777" w:rsidR="004D6579" w:rsidRPr="0013549E" w:rsidRDefault="004D6579" w:rsidP="00706F55">
      <w:pPr>
        <w:pStyle w:val="Titolo1"/>
        <w:numPr>
          <w:ilvl w:val="0"/>
          <w:numId w:val="6"/>
        </w:numPr>
        <w:tabs>
          <w:tab w:val="clear" w:pos="425"/>
          <w:tab w:val="left" w:pos="567"/>
        </w:tabs>
        <w:ind w:left="0" w:firstLine="0"/>
      </w:pPr>
      <w:r>
        <w:t>le richieste della mozione</w:t>
      </w:r>
    </w:p>
    <w:p w14:paraId="7955EA77" w14:textId="77777777" w:rsidR="004D6579" w:rsidRDefault="004D6579" w:rsidP="004D6579">
      <w:r>
        <w:t>La pandemia di Covid-19 ha colpito duramente molti settori dell’economia ticinese e svizzera in generale. Le autorità federali e cantonali sono intervenute per lenire le difficoltà di lavoratori e imprenditori, ma fra le pieghe del variegato tessuto economico e sociale è difficile individuare tutti i settori che necessitano di un aiuto e prevedere gli interventi più opportuni e proporzionati a loro sostegno.</w:t>
      </w:r>
    </w:p>
    <w:p w14:paraId="7010D555" w14:textId="77777777" w:rsidR="004D6579" w:rsidRPr="0097525C" w:rsidRDefault="004D6579" w:rsidP="004D6579">
      <w:pPr>
        <w:rPr>
          <w:sz w:val="20"/>
        </w:rPr>
      </w:pPr>
    </w:p>
    <w:p w14:paraId="50D512B1" w14:textId="77777777" w:rsidR="004D6579" w:rsidRDefault="004D6579" w:rsidP="004D6579">
      <w:r>
        <w:t>Un settore in sofferenza è sicuramente quello vitivinicolo. La chiusura della ristorazione, la cancellazione degli eventi, la diminuzione delle esportazioni – peraltro già non molto elevate in precedenza – e lo sviluppo non ancora accentuato di canali di vendita alternativi (online) hanno causato una brusca caduta delle vendite di vino, non compensata dall’aumento delle vendite da parte della grande distribuzione. Tutto ciò ha colpito in maniera particolare i piccoli coltivatori e produttori, che non hanno potuto accedere al lavoro ridotto, perché evidentemente non è possibile sospendere le lavorazioni richieste dalla natura in vigna e in cantina.</w:t>
      </w:r>
    </w:p>
    <w:p w14:paraId="193AF109" w14:textId="77777777" w:rsidR="004D6579" w:rsidRPr="0097525C" w:rsidRDefault="004D6579" w:rsidP="004D6579">
      <w:pPr>
        <w:rPr>
          <w:sz w:val="20"/>
        </w:rPr>
      </w:pPr>
    </w:p>
    <w:p w14:paraId="053DACDB" w14:textId="77777777" w:rsidR="004D6579" w:rsidRDefault="004D6579" w:rsidP="004D6579">
      <w:pPr>
        <w:spacing w:after="120"/>
      </w:pPr>
      <w:r>
        <w:t>Di fronte a queste difficoltà e tenuto conto dell’importanza del settore vitivinicolo, dal punto di vista agricolo, enogastronomico, turistico e della gestione paesaggistica del territorio, la mozione presenta le seguenti richieste:</w:t>
      </w:r>
    </w:p>
    <w:p w14:paraId="3658C0F5" w14:textId="2AF390BF" w:rsidR="004D6579" w:rsidRPr="0097525C" w:rsidRDefault="004D6579" w:rsidP="0097525C">
      <w:pPr>
        <w:numPr>
          <w:ilvl w:val="0"/>
          <w:numId w:val="5"/>
        </w:numPr>
        <w:spacing w:after="120"/>
        <w:ind w:left="284" w:hanging="284"/>
        <w:rPr>
          <w:rFonts w:cs="Arial"/>
          <w:i/>
          <w:iCs/>
          <w:sz w:val="22"/>
          <w:szCs w:val="22"/>
        </w:rPr>
      </w:pPr>
      <w:r w:rsidRPr="0097525C">
        <w:rPr>
          <w:rFonts w:cs="Arial"/>
          <w:i/>
          <w:iCs/>
          <w:sz w:val="22"/>
          <w:szCs w:val="22"/>
        </w:rPr>
        <w:t xml:space="preserve">predisporre contributi a fondo perso per l’eliminazione di stock di vini bianchi e rossi attualmente in vasca o già in bottiglia. </w:t>
      </w:r>
      <w:r w:rsidRPr="0097525C">
        <w:rPr>
          <w:rFonts w:cs="Arial"/>
          <w:iCs/>
          <w:sz w:val="22"/>
          <w:szCs w:val="22"/>
        </w:rPr>
        <w:t>[</w:t>
      </w:r>
      <w:r w:rsidRPr="0097525C">
        <w:rPr>
          <w:rFonts w:cs="Arial"/>
          <w:sz w:val="22"/>
          <w:szCs w:val="22"/>
        </w:rPr>
        <w:t>…]</w:t>
      </w:r>
      <w:r w:rsidRPr="0097525C">
        <w:rPr>
          <w:rFonts w:cs="Arial"/>
          <w:iCs/>
          <w:sz w:val="22"/>
          <w:szCs w:val="22"/>
        </w:rPr>
        <w:t>;</w:t>
      </w:r>
    </w:p>
    <w:p w14:paraId="05EF580A" w14:textId="77777777" w:rsidR="004D6579" w:rsidRPr="0097525C" w:rsidRDefault="004D6579" w:rsidP="0097525C">
      <w:pPr>
        <w:numPr>
          <w:ilvl w:val="0"/>
          <w:numId w:val="5"/>
        </w:numPr>
        <w:spacing w:after="120"/>
        <w:ind w:left="284" w:hanging="284"/>
        <w:rPr>
          <w:rFonts w:cs="Arial"/>
          <w:i/>
          <w:iCs/>
          <w:sz w:val="22"/>
          <w:szCs w:val="22"/>
        </w:rPr>
      </w:pPr>
      <w:r w:rsidRPr="0097525C">
        <w:rPr>
          <w:rFonts w:cs="Arial"/>
          <w:i/>
          <w:iCs/>
          <w:sz w:val="22"/>
          <w:szCs w:val="22"/>
        </w:rPr>
        <w:t>concedere un aiuto straordinario e supplementare per la promozione dei prodotti vitivinicoli ticinesi;</w:t>
      </w:r>
    </w:p>
    <w:p w14:paraId="4A1133BA" w14:textId="77777777" w:rsidR="004D6579" w:rsidRPr="0097525C" w:rsidRDefault="004D6579" w:rsidP="0097525C">
      <w:pPr>
        <w:numPr>
          <w:ilvl w:val="0"/>
          <w:numId w:val="5"/>
        </w:numPr>
        <w:spacing w:after="120"/>
        <w:ind w:left="284" w:hanging="284"/>
        <w:rPr>
          <w:rFonts w:cs="Arial"/>
          <w:i/>
          <w:iCs/>
          <w:sz w:val="22"/>
          <w:szCs w:val="22"/>
        </w:rPr>
      </w:pPr>
      <w:r w:rsidRPr="0097525C">
        <w:rPr>
          <w:rFonts w:cs="Arial"/>
          <w:i/>
          <w:iCs/>
          <w:sz w:val="22"/>
          <w:szCs w:val="22"/>
        </w:rPr>
        <w:t>eliminare per la vendemmia 2020 l’obbligo di versamento della tassa e dei contributi per le uve trasformate in favore dell’IVVT. L’importo complessivo per il 2020 delle tasse destinate alla promozione andrà versato dal Cantone all’associazione di categoria;</w:t>
      </w:r>
    </w:p>
    <w:p w14:paraId="10FA33F9" w14:textId="77777777" w:rsidR="004D6579" w:rsidRPr="0097525C" w:rsidRDefault="004D6579" w:rsidP="0097525C">
      <w:pPr>
        <w:numPr>
          <w:ilvl w:val="0"/>
          <w:numId w:val="5"/>
        </w:numPr>
        <w:spacing w:after="120"/>
        <w:ind w:left="284" w:hanging="284"/>
        <w:rPr>
          <w:rFonts w:cs="Arial"/>
          <w:i/>
          <w:iCs/>
          <w:sz w:val="22"/>
          <w:szCs w:val="22"/>
        </w:rPr>
      </w:pPr>
      <w:r w:rsidRPr="0097525C">
        <w:rPr>
          <w:rFonts w:cs="Arial"/>
          <w:i/>
          <w:iCs/>
          <w:sz w:val="22"/>
          <w:szCs w:val="22"/>
        </w:rPr>
        <w:t>sensibilizzare la grande distribuzione a lavorare prioritariamente con i vini svizzeri;</w:t>
      </w:r>
    </w:p>
    <w:p w14:paraId="69A8A348" w14:textId="77777777" w:rsidR="004D6579" w:rsidRPr="0097525C" w:rsidRDefault="004D6579" w:rsidP="0097525C">
      <w:pPr>
        <w:numPr>
          <w:ilvl w:val="0"/>
          <w:numId w:val="5"/>
        </w:numPr>
        <w:spacing w:after="120"/>
        <w:ind w:left="284" w:hanging="284"/>
        <w:rPr>
          <w:rFonts w:cs="Arial"/>
          <w:i/>
          <w:iCs/>
          <w:sz w:val="22"/>
          <w:szCs w:val="22"/>
        </w:rPr>
      </w:pPr>
      <w:r w:rsidRPr="0097525C">
        <w:rPr>
          <w:rFonts w:cs="Arial"/>
          <w:i/>
          <w:iCs/>
          <w:sz w:val="22"/>
          <w:szCs w:val="22"/>
        </w:rPr>
        <w:t>invitare gli importatori di vino e la grande distribuzione che hanno sede in Ticino a promuovere e vendere i vini svizzeri (in linea con quanto proposto dai viticoltori svizzeri al Consiglio federale);</w:t>
      </w:r>
    </w:p>
    <w:p w14:paraId="058CFA78" w14:textId="77777777" w:rsidR="004D6579" w:rsidRPr="0097525C" w:rsidRDefault="004D6579" w:rsidP="0097525C">
      <w:pPr>
        <w:numPr>
          <w:ilvl w:val="0"/>
          <w:numId w:val="5"/>
        </w:numPr>
        <w:ind w:left="284" w:hanging="284"/>
        <w:rPr>
          <w:rFonts w:cs="Arial"/>
          <w:i/>
          <w:iCs/>
          <w:sz w:val="22"/>
          <w:szCs w:val="22"/>
        </w:rPr>
      </w:pPr>
      <w:r w:rsidRPr="0097525C">
        <w:rPr>
          <w:rFonts w:cs="Arial"/>
          <w:i/>
          <w:iCs/>
          <w:sz w:val="22"/>
          <w:szCs w:val="22"/>
        </w:rPr>
        <w:t>Investire nella promozione dei vini ticinesi e svizzeri.</w:t>
      </w:r>
    </w:p>
    <w:p w14:paraId="0C7183FF" w14:textId="77777777" w:rsidR="004D6579" w:rsidRPr="0097525C" w:rsidRDefault="004D6579" w:rsidP="004D6579">
      <w:pPr>
        <w:rPr>
          <w:rFonts w:cs="Arial"/>
          <w:sz w:val="20"/>
        </w:rPr>
      </w:pPr>
    </w:p>
    <w:p w14:paraId="79E17C2A" w14:textId="77777777" w:rsidR="004D6579" w:rsidRPr="0005442D" w:rsidRDefault="004D6579" w:rsidP="004D6579">
      <w:pPr>
        <w:rPr>
          <w:rFonts w:cs="Arial"/>
        </w:rPr>
      </w:pPr>
      <w:r>
        <w:rPr>
          <w:rFonts w:cs="Arial"/>
        </w:rPr>
        <w:t xml:space="preserve">Ricordiamo che sulla tematica è pendente anche la mozione di Aron Piezzi e cofirmatari del 21 settembre 2020, </w:t>
      </w:r>
      <w:r w:rsidRPr="0005442D">
        <w:rPr>
          <w:rFonts w:cs="Arial"/>
          <w:i/>
          <w:iCs/>
        </w:rPr>
        <w:t>Richiesta di sostegno ai viticoltori per la perdita di guadagno</w:t>
      </w:r>
      <w:r>
        <w:rPr>
          <w:rFonts w:cs="Arial"/>
        </w:rPr>
        <w:t>.</w:t>
      </w:r>
    </w:p>
    <w:p w14:paraId="51ADBBC9" w14:textId="77777777" w:rsidR="004D6579" w:rsidRDefault="004D6579" w:rsidP="00706F55">
      <w:pPr>
        <w:pStyle w:val="Titolo1"/>
        <w:numPr>
          <w:ilvl w:val="0"/>
          <w:numId w:val="6"/>
        </w:numPr>
        <w:tabs>
          <w:tab w:val="clear" w:pos="425"/>
          <w:tab w:val="left" w:pos="567"/>
        </w:tabs>
        <w:ind w:left="0" w:firstLine="0"/>
      </w:pPr>
      <w:r>
        <w:lastRenderedPageBreak/>
        <w:t>la posizione del Consiglio di stato</w:t>
      </w:r>
    </w:p>
    <w:p w14:paraId="425048C5" w14:textId="77777777" w:rsidR="004D6579" w:rsidRDefault="004D6579" w:rsidP="004D6579">
      <w:pPr>
        <w:rPr>
          <w:rFonts w:eastAsiaTheme="minorHAnsi" w:cs="Arial"/>
          <w:iCs/>
          <w:szCs w:val="24"/>
          <w:lang w:eastAsia="en-US"/>
        </w:rPr>
      </w:pPr>
      <w:r>
        <w:rPr>
          <w:rFonts w:eastAsiaTheme="minorHAnsi" w:cs="Arial"/>
          <w:iCs/>
          <w:szCs w:val="24"/>
          <w:lang w:eastAsia="en-US"/>
        </w:rPr>
        <w:t xml:space="preserve">Nel messaggio il Consiglio di Stato riconosce che il settore vitivinicolo è stato molto penalizzato dal Covid-19 e ricorda gli interventi già adottati dal Consiglio federale e a livello cantonale. Si tratta in particolare dell’Ordinanza Covid-19 declassamento dei vini, che si propone di favorire lo smaltimento delle eccedenze tramite un contributo di 2 fr. per ogni litro di vino DOC declassato a vino da tavola. Il Consiglio di Stato nel mese di agosto del 2020 ha stabilito una misura complementare, che prevede lo stanziamento di 1 fr. per ogni chilo di uve rosse originariamente destinate alla produzione di vini DOC trasformate in prodotti alternativi quali alcool ottenuto con la distillazione del vino declassato, spumante, succo d’uva e aceto. Il Consiglio di Stato ricorda poi i progetti “Uniti” </w:t>
      </w:r>
      <w:proofErr w:type="gramStart"/>
      <w:r>
        <w:rPr>
          <w:rFonts w:eastAsiaTheme="minorHAnsi" w:cs="Arial"/>
          <w:iCs/>
          <w:szCs w:val="24"/>
          <w:lang w:eastAsia="en-US"/>
        </w:rPr>
        <w:t>e “</w:t>
      </w:r>
      <w:proofErr w:type="gramEnd"/>
      <w:r>
        <w:rPr>
          <w:rFonts w:eastAsiaTheme="minorHAnsi" w:cs="Arial"/>
          <w:iCs/>
          <w:szCs w:val="24"/>
          <w:lang w:eastAsia="en-US"/>
        </w:rPr>
        <w:t>Vivi il tuo Ticino”.</w:t>
      </w:r>
    </w:p>
    <w:p w14:paraId="1D047DAB" w14:textId="77777777" w:rsidR="004D6579" w:rsidRDefault="004D6579" w:rsidP="004D6579">
      <w:pPr>
        <w:rPr>
          <w:rFonts w:eastAsiaTheme="minorHAnsi" w:cs="Arial"/>
          <w:iCs/>
          <w:szCs w:val="24"/>
          <w:lang w:eastAsia="en-US"/>
        </w:rPr>
      </w:pPr>
    </w:p>
    <w:p w14:paraId="5055C344" w14:textId="77777777" w:rsidR="004D6579" w:rsidRDefault="004D6579" w:rsidP="004D6579">
      <w:pPr>
        <w:rPr>
          <w:rFonts w:eastAsiaTheme="minorHAnsi" w:cs="Arial"/>
          <w:iCs/>
          <w:szCs w:val="24"/>
          <w:lang w:eastAsia="en-US"/>
        </w:rPr>
      </w:pPr>
      <w:r>
        <w:rPr>
          <w:rFonts w:eastAsiaTheme="minorHAnsi" w:cs="Arial"/>
          <w:iCs/>
          <w:szCs w:val="24"/>
          <w:lang w:eastAsia="en-US"/>
        </w:rPr>
        <w:t>Nel merito delle singole richieste, il Consiglio di Stato prende posizione come segue.</w:t>
      </w:r>
    </w:p>
    <w:p w14:paraId="0530DFBF" w14:textId="77777777" w:rsidR="004D6579" w:rsidRDefault="004D6579" w:rsidP="004D6579">
      <w:pPr>
        <w:rPr>
          <w:rFonts w:eastAsiaTheme="minorHAnsi" w:cs="Arial"/>
          <w:iCs/>
          <w:szCs w:val="24"/>
          <w:lang w:eastAsia="en-US"/>
        </w:rPr>
      </w:pPr>
    </w:p>
    <w:p w14:paraId="3F046646" w14:textId="77777777" w:rsidR="004D6579" w:rsidRPr="00EB0FA4" w:rsidRDefault="004D6579" w:rsidP="004D6579">
      <w:pPr>
        <w:pStyle w:val="Paragrafoelenco"/>
        <w:numPr>
          <w:ilvl w:val="0"/>
          <w:numId w:val="8"/>
        </w:numPr>
        <w:ind w:left="426" w:hanging="426"/>
        <w:rPr>
          <w:rFonts w:eastAsiaTheme="minorHAnsi" w:cs="Arial"/>
          <w:iCs/>
          <w:szCs w:val="24"/>
          <w:lang w:eastAsia="en-US"/>
        </w:rPr>
      </w:pPr>
      <w:r w:rsidRPr="00EB0FA4">
        <w:rPr>
          <w:rFonts w:eastAsiaTheme="minorHAnsi" w:cs="Arial"/>
          <w:iCs/>
          <w:szCs w:val="24"/>
          <w:lang w:eastAsia="en-US"/>
        </w:rPr>
        <w:t xml:space="preserve">Le eccedenze di vini, soprattutto rossi, che si prospettavano durante il primo </w:t>
      </w:r>
      <w:proofErr w:type="spellStart"/>
      <w:r w:rsidRPr="00EB0FA4">
        <w:rPr>
          <w:rFonts w:eastAsiaTheme="minorHAnsi" w:cs="Arial"/>
          <w:iCs/>
          <w:szCs w:val="24"/>
          <w:lang w:eastAsia="en-US"/>
        </w:rPr>
        <w:t>lockdown</w:t>
      </w:r>
      <w:proofErr w:type="spellEnd"/>
      <w:r>
        <w:rPr>
          <w:rFonts w:eastAsiaTheme="minorHAnsi" w:cs="Arial"/>
          <w:iCs/>
          <w:szCs w:val="24"/>
          <w:lang w:eastAsia="en-US"/>
        </w:rPr>
        <w:t>,</w:t>
      </w:r>
      <w:r w:rsidRPr="00EB0FA4">
        <w:rPr>
          <w:rFonts w:eastAsiaTheme="minorHAnsi" w:cs="Arial"/>
          <w:iCs/>
          <w:szCs w:val="24"/>
          <w:lang w:eastAsia="en-US"/>
        </w:rPr>
        <w:t xml:space="preserve"> fortunatamente sono state di molto ridimensionate e quindi non appare necessario intervenire per il loro smaltimento.</w:t>
      </w:r>
    </w:p>
    <w:p w14:paraId="26D454A3" w14:textId="77777777" w:rsidR="004D6579" w:rsidRPr="0097525C" w:rsidRDefault="004D6579" w:rsidP="004D6579">
      <w:pPr>
        <w:ind w:left="426" w:hanging="426"/>
        <w:rPr>
          <w:rFonts w:eastAsiaTheme="minorHAnsi" w:cs="Arial"/>
          <w:iCs/>
          <w:sz w:val="20"/>
          <w:lang w:eastAsia="en-US"/>
        </w:rPr>
      </w:pPr>
    </w:p>
    <w:p w14:paraId="3ABFB673" w14:textId="77777777" w:rsidR="004D6579" w:rsidRPr="00EB0FA4" w:rsidRDefault="004D6579" w:rsidP="004D6579">
      <w:pPr>
        <w:pStyle w:val="Paragrafoelenco"/>
        <w:numPr>
          <w:ilvl w:val="0"/>
          <w:numId w:val="8"/>
        </w:numPr>
        <w:ind w:left="426" w:hanging="426"/>
        <w:rPr>
          <w:rFonts w:eastAsiaTheme="minorHAnsi" w:cs="Arial"/>
          <w:iCs/>
          <w:szCs w:val="24"/>
          <w:lang w:eastAsia="en-US"/>
        </w:rPr>
      </w:pPr>
      <w:r w:rsidRPr="00EB0FA4">
        <w:rPr>
          <w:rFonts w:eastAsiaTheme="minorHAnsi" w:cs="Arial"/>
          <w:iCs/>
          <w:szCs w:val="24"/>
          <w:lang w:eastAsia="en-US"/>
        </w:rPr>
        <w:t>Il Consiglio di Stato annuncia di essere pronto a valutare un aumento temporaneo dell’aliquota del contributo cantonale per la promozione dei vini dal 50% al 60%, come previsto dall’art. 12 della Legge sull’agricoltura per i settori agricoli particolarmente deboli.</w:t>
      </w:r>
    </w:p>
    <w:p w14:paraId="67C72D52" w14:textId="77777777" w:rsidR="004D6579" w:rsidRPr="0097525C" w:rsidRDefault="004D6579" w:rsidP="004D6579">
      <w:pPr>
        <w:ind w:left="426" w:hanging="426"/>
        <w:rPr>
          <w:rFonts w:eastAsiaTheme="minorHAnsi" w:cs="Arial"/>
          <w:iCs/>
          <w:sz w:val="20"/>
          <w:lang w:eastAsia="en-US"/>
        </w:rPr>
      </w:pPr>
    </w:p>
    <w:p w14:paraId="5F2290EF" w14:textId="77777777" w:rsidR="004D6579" w:rsidRPr="00EB0FA4" w:rsidRDefault="004D6579" w:rsidP="004D6579">
      <w:pPr>
        <w:pStyle w:val="Paragrafoelenco"/>
        <w:numPr>
          <w:ilvl w:val="0"/>
          <w:numId w:val="8"/>
        </w:numPr>
        <w:ind w:left="426" w:hanging="426"/>
        <w:rPr>
          <w:rFonts w:eastAsiaTheme="minorHAnsi" w:cs="Arial"/>
          <w:iCs/>
          <w:szCs w:val="24"/>
          <w:lang w:eastAsia="en-US"/>
        </w:rPr>
      </w:pPr>
      <w:r w:rsidRPr="00EB0FA4">
        <w:rPr>
          <w:rFonts w:eastAsiaTheme="minorHAnsi" w:cs="Arial"/>
          <w:iCs/>
          <w:szCs w:val="24"/>
          <w:lang w:eastAsia="en-US"/>
        </w:rPr>
        <w:t>Il Governo non ritiene opportuno eliminare l’obbligo di versare i contributi all’</w:t>
      </w:r>
      <w:proofErr w:type="spellStart"/>
      <w:r w:rsidRPr="00773F3C">
        <w:rPr>
          <w:rFonts w:eastAsiaTheme="minorHAnsi" w:cs="Arial"/>
          <w:iCs/>
          <w:szCs w:val="24"/>
          <w:lang w:eastAsia="en-US"/>
        </w:rPr>
        <w:t>Interprofessione</w:t>
      </w:r>
      <w:proofErr w:type="spellEnd"/>
      <w:r w:rsidRPr="00773F3C">
        <w:rPr>
          <w:rFonts w:eastAsiaTheme="minorHAnsi" w:cs="Arial"/>
          <w:iCs/>
          <w:szCs w:val="24"/>
          <w:lang w:eastAsia="en-US"/>
        </w:rPr>
        <w:t xml:space="preserve"> della Vite e del Vino Ticinese </w:t>
      </w:r>
      <w:r>
        <w:rPr>
          <w:rFonts w:eastAsiaTheme="minorHAnsi" w:cs="Arial"/>
          <w:iCs/>
          <w:szCs w:val="24"/>
          <w:lang w:eastAsia="en-US"/>
        </w:rPr>
        <w:t>(</w:t>
      </w:r>
      <w:r w:rsidRPr="00EB0FA4">
        <w:rPr>
          <w:rFonts w:eastAsiaTheme="minorHAnsi" w:cs="Arial"/>
          <w:iCs/>
          <w:szCs w:val="24"/>
          <w:lang w:eastAsia="en-US"/>
        </w:rPr>
        <w:t>IVVT</w:t>
      </w:r>
      <w:r>
        <w:rPr>
          <w:rFonts w:eastAsiaTheme="minorHAnsi" w:cs="Arial"/>
          <w:iCs/>
          <w:szCs w:val="24"/>
          <w:lang w:eastAsia="en-US"/>
        </w:rPr>
        <w:t>)</w:t>
      </w:r>
      <w:r w:rsidRPr="00EB0FA4">
        <w:rPr>
          <w:rFonts w:eastAsiaTheme="minorHAnsi" w:cs="Arial"/>
          <w:iCs/>
          <w:szCs w:val="24"/>
          <w:lang w:eastAsia="en-US"/>
        </w:rPr>
        <w:t>.</w:t>
      </w:r>
    </w:p>
    <w:p w14:paraId="4C1EFB1D" w14:textId="77777777" w:rsidR="004D6579" w:rsidRPr="0097525C" w:rsidRDefault="004D6579" w:rsidP="004D6579">
      <w:pPr>
        <w:ind w:left="426" w:hanging="426"/>
        <w:rPr>
          <w:rFonts w:eastAsiaTheme="minorHAnsi" w:cs="Arial"/>
          <w:iCs/>
          <w:sz w:val="20"/>
          <w:lang w:eastAsia="en-US"/>
        </w:rPr>
      </w:pPr>
    </w:p>
    <w:p w14:paraId="5B945CA7" w14:textId="77777777" w:rsidR="004D6579" w:rsidRPr="00EB0FA4" w:rsidRDefault="004D6579" w:rsidP="004D6579">
      <w:pPr>
        <w:pStyle w:val="Paragrafoelenco"/>
        <w:numPr>
          <w:ilvl w:val="0"/>
          <w:numId w:val="8"/>
        </w:numPr>
        <w:ind w:left="426" w:hanging="426"/>
        <w:rPr>
          <w:rFonts w:eastAsiaTheme="minorHAnsi" w:cs="Arial"/>
          <w:iCs/>
          <w:szCs w:val="24"/>
          <w:lang w:eastAsia="en-US"/>
        </w:rPr>
      </w:pPr>
      <w:r w:rsidRPr="00EB0FA4">
        <w:rPr>
          <w:rFonts w:eastAsiaTheme="minorHAnsi" w:cs="Arial"/>
          <w:iCs/>
          <w:szCs w:val="24"/>
          <w:lang w:eastAsia="en-US"/>
        </w:rPr>
        <w:t xml:space="preserve">Nel messaggio sono ricordate le attività del Centro di Competenze Agroalimentari Ticino </w:t>
      </w:r>
      <w:r>
        <w:rPr>
          <w:rFonts w:eastAsiaTheme="minorHAnsi" w:cs="Arial"/>
          <w:iCs/>
          <w:szCs w:val="24"/>
          <w:lang w:eastAsia="en-US"/>
        </w:rPr>
        <w:t xml:space="preserve">(CCAT) </w:t>
      </w:r>
      <w:r w:rsidRPr="00EB0FA4">
        <w:rPr>
          <w:rFonts w:eastAsiaTheme="minorHAnsi" w:cs="Arial"/>
          <w:iCs/>
          <w:szCs w:val="24"/>
          <w:lang w:eastAsia="en-US"/>
        </w:rPr>
        <w:t xml:space="preserve">e, a livello nazionale, di </w:t>
      </w:r>
      <w:proofErr w:type="spellStart"/>
      <w:r w:rsidRPr="00EB0FA4">
        <w:rPr>
          <w:rFonts w:eastAsiaTheme="minorHAnsi" w:cs="Arial"/>
          <w:iCs/>
          <w:szCs w:val="24"/>
          <w:lang w:eastAsia="en-US"/>
        </w:rPr>
        <w:t>Swiss</w:t>
      </w:r>
      <w:proofErr w:type="spellEnd"/>
      <w:r w:rsidRPr="00EB0FA4">
        <w:rPr>
          <w:rFonts w:eastAsiaTheme="minorHAnsi" w:cs="Arial"/>
          <w:iCs/>
          <w:szCs w:val="24"/>
          <w:lang w:eastAsia="en-US"/>
        </w:rPr>
        <w:t xml:space="preserve"> Wine Promotion.</w:t>
      </w:r>
    </w:p>
    <w:p w14:paraId="65B359B1" w14:textId="77777777" w:rsidR="004D6579" w:rsidRPr="0097525C" w:rsidRDefault="004D6579" w:rsidP="004D6579">
      <w:pPr>
        <w:ind w:left="426" w:hanging="426"/>
        <w:rPr>
          <w:rFonts w:eastAsiaTheme="minorHAnsi" w:cs="Arial"/>
          <w:iCs/>
          <w:sz w:val="20"/>
          <w:lang w:eastAsia="en-US"/>
        </w:rPr>
      </w:pPr>
    </w:p>
    <w:p w14:paraId="2C84D223" w14:textId="77777777" w:rsidR="004D6579" w:rsidRPr="00EB0FA4" w:rsidRDefault="004D6579" w:rsidP="004D6579">
      <w:pPr>
        <w:pStyle w:val="Paragrafoelenco"/>
        <w:numPr>
          <w:ilvl w:val="0"/>
          <w:numId w:val="8"/>
        </w:numPr>
        <w:ind w:left="426" w:hanging="426"/>
        <w:rPr>
          <w:rFonts w:eastAsiaTheme="minorHAnsi" w:cs="Arial"/>
          <w:iCs/>
          <w:szCs w:val="24"/>
          <w:lang w:eastAsia="en-US"/>
        </w:rPr>
      </w:pPr>
      <w:r w:rsidRPr="00EB0FA4">
        <w:rPr>
          <w:rFonts w:eastAsiaTheme="minorHAnsi" w:cs="Arial"/>
          <w:iCs/>
          <w:szCs w:val="24"/>
          <w:lang w:eastAsia="en-US"/>
        </w:rPr>
        <w:t>Il Governo osserva che introdurre per gli importatori un obbligo di vendere anche una percentuale di vini svizzeri spetterebbe eventualmente alla Confederazione, ma che avrebbe delle controindicazioni, già rilevate dal Consiglio federale</w:t>
      </w:r>
      <w:r>
        <w:rPr>
          <w:rFonts w:eastAsiaTheme="minorHAnsi" w:cs="Arial"/>
          <w:iCs/>
          <w:szCs w:val="24"/>
          <w:lang w:eastAsia="en-US"/>
        </w:rPr>
        <w:t xml:space="preserve"> rispondendo a un atto parlamentare</w:t>
      </w:r>
      <w:r w:rsidRPr="00EB0FA4">
        <w:rPr>
          <w:rFonts w:eastAsiaTheme="minorHAnsi" w:cs="Arial"/>
          <w:iCs/>
          <w:szCs w:val="24"/>
          <w:lang w:eastAsia="en-US"/>
        </w:rPr>
        <w:t>. Secondo il messaggio, conviene sostenere la promozione dei vini indigeni, per cercare di ampliare lo spettro e il numero dei consumatori.</w:t>
      </w:r>
    </w:p>
    <w:p w14:paraId="7E7E65B3" w14:textId="77777777" w:rsidR="004D6579" w:rsidRPr="0097525C" w:rsidRDefault="004D6579" w:rsidP="004D6579">
      <w:pPr>
        <w:ind w:left="426" w:hanging="426"/>
        <w:rPr>
          <w:rFonts w:eastAsiaTheme="minorHAnsi" w:cs="Arial"/>
          <w:iCs/>
          <w:sz w:val="20"/>
          <w:lang w:eastAsia="en-US"/>
        </w:rPr>
      </w:pPr>
    </w:p>
    <w:p w14:paraId="52106DD3" w14:textId="77777777" w:rsidR="004D6579" w:rsidRPr="00EB0FA4" w:rsidRDefault="004D6579" w:rsidP="004D6579">
      <w:pPr>
        <w:pStyle w:val="Paragrafoelenco"/>
        <w:numPr>
          <w:ilvl w:val="0"/>
          <w:numId w:val="8"/>
        </w:numPr>
        <w:ind w:left="426" w:hanging="426"/>
        <w:rPr>
          <w:rFonts w:eastAsiaTheme="minorHAnsi" w:cs="Arial"/>
          <w:iCs/>
          <w:szCs w:val="24"/>
          <w:lang w:eastAsia="en-US"/>
        </w:rPr>
      </w:pPr>
      <w:r w:rsidRPr="00EB0FA4">
        <w:rPr>
          <w:rFonts w:eastAsiaTheme="minorHAnsi" w:cs="Arial"/>
          <w:iCs/>
          <w:szCs w:val="24"/>
          <w:lang w:eastAsia="en-US"/>
        </w:rPr>
        <w:t xml:space="preserve">La promozione dei vini ticinesi è già sostenuta tramite l’usuale budget a disposizione della Sezione dell’agricoltura per la promozione dei prodotti agricoli. Inoltre, è ricordato il ruolo del </w:t>
      </w:r>
      <w:r>
        <w:rPr>
          <w:rFonts w:eastAsiaTheme="minorHAnsi" w:cs="Arial"/>
          <w:iCs/>
          <w:szCs w:val="24"/>
          <w:lang w:eastAsia="en-US"/>
        </w:rPr>
        <w:t>CCAT</w:t>
      </w:r>
      <w:r w:rsidRPr="00EB0FA4">
        <w:rPr>
          <w:rFonts w:eastAsiaTheme="minorHAnsi" w:cs="Arial"/>
          <w:iCs/>
          <w:szCs w:val="24"/>
          <w:lang w:eastAsia="en-US"/>
        </w:rPr>
        <w:t xml:space="preserve"> e il prospettato aumento del contributo cantonale per la promozione dei vini.</w:t>
      </w:r>
    </w:p>
    <w:p w14:paraId="5B5223C6" w14:textId="77777777" w:rsidR="004D6579" w:rsidRPr="0097525C" w:rsidRDefault="004D6579" w:rsidP="004D6579">
      <w:pPr>
        <w:rPr>
          <w:rFonts w:eastAsiaTheme="minorHAnsi" w:cs="Arial"/>
          <w:iCs/>
          <w:sz w:val="20"/>
          <w:lang w:eastAsia="en-US"/>
        </w:rPr>
      </w:pPr>
    </w:p>
    <w:p w14:paraId="793340E3" w14:textId="77777777" w:rsidR="004D6579" w:rsidRDefault="004D6579" w:rsidP="004D6579">
      <w:pPr>
        <w:rPr>
          <w:rFonts w:eastAsiaTheme="minorHAnsi" w:cs="Arial"/>
          <w:iCs/>
          <w:szCs w:val="24"/>
          <w:lang w:eastAsia="en-US"/>
        </w:rPr>
      </w:pPr>
      <w:r>
        <w:rPr>
          <w:rFonts w:eastAsiaTheme="minorHAnsi" w:cs="Arial"/>
          <w:iCs/>
          <w:szCs w:val="24"/>
          <w:lang w:eastAsia="en-US"/>
        </w:rPr>
        <w:t>In conclusione, il Consiglio di Stato propone di dichiarare evasa la mozione.</w:t>
      </w:r>
    </w:p>
    <w:p w14:paraId="3408749D" w14:textId="6200AC4D" w:rsidR="004D6579" w:rsidRDefault="004D6579" w:rsidP="004D6579">
      <w:pPr>
        <w:rPr>
          <w:rFonts w:cs="Arial"/>
        </w:rPr>
      </w:pPr>
    </w:p>
    <w:p w14:paraId="4EDEF0D2" w14:textId="77777777" w:rsidR="0097525C" w:rsidRDefault="0097525C" w:rsidP="004D6579">
      <w:pPr>
        <w:rPr>
          <w:rFonts w:cs="Arial"/>
        </w:rPr>
      </w:pPr>
    </w:p>
    <w:p w14:paraId="0E609166" w14:textId="77777777" w:rsidR="0097525C" w:rsidRDefault="0097525C" w:rsidP="004D6579">
      <w:pPr>
        <w:rPr>
          <w:rFonts w:cs="Arial"/>
        </w:rPr>
      </w:pPr>
    </w:p>
    <w:p w14:paraId="436E6E79" w14:textId="77777777" w:rsidR="004D6579" w:rsidRDefault="004D6579" w:rsidP="00706F55">
      <w:pPr>
        <w:pStyle w:val="Titolo1"/>
        <w:numPr>
          <w:ilvl w:val="0"/>
          <w:numId w:val="6"/>
        </w:numPr>
        <w:tabs>
          <w:tab w:val="clear" w:pos="425"/>
          <w:tab w:val="left" w:pos="567"/>
        </w:tabs>
        <w:ind w:left="0" w:firstLine="0"/>
      </w:pPr>
      <w:r>
        <w:t>considerazioni della Commissione</w:t>
      </w:r>
    </w:p>
    <w:p w14:paraId="16969372" w14:textId="77777777" w:rsidR="004D6579" w:rsidRPr="00F358E4" w:rsidRDefault="004D6579" w:rsidP="00706F55">
      <w:pPr>
        <w:pStyle w:val="Paragrafoelenco"/>
        <w:keepNext/>
        <w:numPr>
          <w:ilvl w:val="1"/>
          <w:numId w:val="6"/>
        </w:numPr>
        <w:tabs>
          <w:tab w:val="left" w:pos="567"/>
        </w:tabs>
        <w:spacing w:after="120"/>
        <w:ind w:left="357" w:hanging="357"/>
        <w:contextualSpacing w:val="0"/>
        <w:outlineLvl w:val="0"/>
        <w:rPr>
          <w:rFonts w:eastAsiaTheme="minorHAnsi" w:cs="Arial"/>
          <w:b/>
          <w:bCs/>
          <w:iCs/>
          <w:szCs w:val="24"/>
          <w:lang w:eastAsia="en-US"/>
        </w:rPr>
      </w:pPr>
      <w:r w:rsidRPr="00F358E4">
        <w:rPr>
          <w:rFonts w:eastAsiaTheme="minorHAnsi" w:cs="Arial"/>
          <w:b/>
          <w:bCs/>
          <w:iCs/>
          <w:szCs w:val="24"/>
          <w:lang w:eastAsia="en-US"/>
        </w:rPr>
        <w:t>L’incontro con i professionisti del settore</w:t>
      </w:r>
    </w:p>
    <w:p w14:paraId="732F1DFB" w14:textId="77777777" w:rsidR="004D6579" w:rsidRDefault="004D6579" w:rsidP="004D6579">
      <w:pPr>
        <w:rPr>
          <w:rFonts w:eastAsiaTheme="minorHAnsi" w:cs="Arial"/>
          <w:iCs/>
          <w:szCs w:val="24"/>
          <w:lang w:eastAsia="en-US"/>
        </w:rPr>
      </w:pPr>
      <w:r>
        <w:rPr>
          <w:rFonts w:eastAsiaTheme="minorHAnsi" w:cs="Arial"/>
          <w:iCs/>
          <w:szCs w:val="24"/>
          <w:lang w:eastAsia="en-US"/>
        </w:rPr>
        <w:t xml:space="preserve">Il 22 marzo 2021 il relatore, assieme al </w:t>
      </w:r>
      <w:proofErr w:type="spellStart"/>
      <w:r>
        <w:rPr>
          <w:rFonts w:eastAsiaTheme="minorHAnsi" w:cs="Arial"/>
          <w:iCs/>
          <w:szCs w:val="24"/>
          <w:lang w:eastAsia="en-US"/>
        </w:rPr>
        <w:t>mozionante</w:t>
      </w:r>
      <w:proofErr w:type="spellEnd"/>
      <w:r>
        <w:rPr>
          <w:rFonts w:eastAsiaTheme="minorHAnsi" w:cs="Arial"/>
          <w:iCs/>
          <w:szCs w:val="24"/>
          <w:lang w:eastAsia="en-US"/>
        </w:rPr>
        <w:t xml:space="preserve"> e ad Aron Piezzi, primo firmatario della mozione </w:t>
      </w:r>
      <w:r w:rsidRPr="000266D9">
        <w:rPr>
          <w:rFonts w:eastAsiaTheme="minorHAnsi" w:cs="Arial"/>
          <w:i/>
          <w:szCs w:val="24"/>
          <w:lang w:eastAsia="en-US"/>
        </w:rPr>
        <w:t>Proposta di istituire un fondo cantonale che incentivi la salvaguardia e la valorizzazione dei vigneti tradizionali</w:t>
      </w:r>
      <w:r>
        <w:rPr>
          <w:rFonts w:eastAsiaTheme="minorHAnsi" w:cs="Arial"/>
          <w:iCs/>
          <w:szCs w:val="24"/>
          <w:lang w:eastAsia="en-US"/>
        </w:rPr>
        <w:t xml:space="preserve"> datata 16 settembre 2019 (messaggio n. </w:t>
      </w:r>
      <w:r w:rsidRPr="000266D9">
        <w:rPr>
          <w:rFonts w:eastAsiaTheme="minorHAnsi" w:cs="Arial"/>
          <w:iCs/>
          <w:szCs w:val="24"/>
          <w:lang w:eastAsia="en-US"/>
        </w:rPr>
        <w:t>7961</w:t>
      </w:r>
      <w:r>
        <w:rPr>
          <w:rFonts w:eastAsiaTheme="minorHAnsi" w:cs="Arial"/>
          <w:iCs/>
          <w:szCs w:val="24"/>
          <w:lang w:eastAsia="en-US"/>
        </w:rPr>
        <w:t xml:space="preserve"> del 2 febbraio </w:t>
      </w:r>
      <w:r w:rsidRPr="000266D9">
        <w:rPr>
          <w:rFonts w:eastAsiaTheme="minorHAnsi" w:cs="Arial"/>
          <w:iCs/>
          <w:szCs w:val="24"/>
          <w:lang w:eastAsia="en-US"/>
        </w:rPr>
        <w:t>2021)</w:t>
      </w:r>
      <w:r>
        <w:rPr>
          <w:rFonts w:eastAsiaTheme="minorHAnsi" w:cs="Arial"/>
          <w:iCs/>
          <w:szCs w:val="24"/>
          <w:lang w:eastAsia="en-US"/>
        </w:rPr>
        <w:t xml:space="preserve"> ha incontrato l’IVVT, rappresentata da </w:t>
      </w:r>
      <w:r w:rsidRPr="000266D9">
        <w:rPr>
          <w:rFonts w:eastAsiaTheme="minorHAnsi" w:cs="Arial"/>
          <w:iCs/>
          <w:szCs w:val="24"/>
          <w:lang w:eastAsia="en-US"/>
        </w:rPr>
        <w:t>Gianni Moresi, presidente</w:t>
      </w:r>
      <w:r>
        <w:rPr>
          <w:rFonts w:eastAsiaTheme="minorHAnsi" w:cs="Arial"/>
          <w:iCs/>
          <w:szCs w:val="24"/>
          <w:lang w:eastAsia="en-US"/>
        </w:rPr>
        <w:t xml:space="preserve">, e </w:t>
      </w:r>
      <w:r w:rsidRPr="000266D9">
        <w:rPr>
          <w:rFonts w:eastAsiaTheme="minorHAnsi" w:cs="Arial"/>
          <w:iCs/>
          <w:szCs w:val="24"/>
          <w:lang w:eastAsia="en-US"/>
        </w:rPr>
        <w:t>Andrea Conconi, direttore</w:t>
      </w:r>
      <w:r>
        <w:rPr>
          <w:rFonts w:eastAsiaTheme="minorHAnsi" w:cs="Arial"/>
          <w:iCs/>
          <w:szCs w:val="24"/>
          <w:lang w:eastAsia="en-US"/>
        </w:rPr>
        <w:t xml:space="preserve"> (oltre che direttore di </w:t>
      </w:r>
      <w:proofErr w:type="spellStart"/>
      <w:r w:rsidRPr="000266D9">
        <w:rPr>
          <w:rFonts w:eastAsiaTheme="minorHAnsi" w:cs="Arial"/>
          <w:iCs/>
          <w:szCs w:val="24"/>
          <w:lang w:eastAsia="en-US"/>
        </w:rPr>
        <w:t>Ticinowine</w:t>
      </w:r>
      <w:proofErr w:type="spellEnd"/>
      <w:r>
        <w:rPr>
          <w:rFonts w:eastAsiaTheme="minorHAnsi" w:cs="Arial"/>
          <w:iCs/>
          <w:szCs w:val="24"/>
          <w:lang w:eastAsia="en-US"/>
        </w:rPr>
        <w:t xml:space="preserve">) e la </w:t>
      </w:r>
      <w:r w:rsidRPr="000266D9">
        <w:rPr>
          <w:rFonts w:eastAsiaTheme="minorHAnsi" w:cs="Arial"/>
          <w:iCs/>
          <w:szCs w:val="24"/>
          <w:lang w:eastAsia="en-US"/>
        </w:rPr>
        <w:t>Federazione dei viticoltori della Svizzera italiana (</w:t>
      </w:r>
      <w:proofErr w:type="spellStart"/>
      <w:r w:rsidRPr="000266D9">
        <w:rPr>
          <w:rFonts w:eastAsiaTheme="minorHAnsi" w:cs="Arial"/>
          <w:iCs/>
          <w:szCs w:val="24"/>
          <w:lang w:eastAsia="en-US"/>
        </w:rPr>
        <w:t>Federviti</w:t>
      </w:r>
      <w:proofErr w:type="spellEnd"/>
      <w:r w:rsidRPr="000266D9">
        <w:rPr>
          <w:rFonts w:eastAsiaTheme="minorHAnsi" w:cs="Arial"/>
          <w:iCs/>
          <w:szCs w:val="24"/>
          <w:lang w:eastAsia="en-US"/>
        </w:rPr>
        <w:t>)</w:t>
      </w:r>
      <w:r>
        <w:rPr>
          <w:rFonts w:eastAsiaTheme="minorHAnsi" w:cs="Arial"/>
          <w:iCs/>
          <w:szCs w:val="24"/>
          <w:lang w:eastAsia="en-US"/>
        </w:rPr>
        <w:t>,</w:t>
      </w:r>
      <w:r w:rsidRPr="000266D9">
        <w:rPr>
          <w:rFonts w:eastAsiaTheme="minorHAnsi" w:cs="Arial"/>
          <w:iCs/>
          <w:szCs w:val="24"/>
          <w:lang w:eastAsia="en-US"/>
        </w:rPr>
        <w:t xml:space="preserve"> </w:t>
      </w:r>
      <w:r>
        <w:rPr>
          <w:rFonts w:eastAsiaTheme="minorHAnsi" w:cs="Arial"/>
          <w:iCs/>
          <w:szCs w:val="24"/>
          <w:lang w:eastAsia="en-US"/>
        </w:rPr>
        <w:t xml:space="preserve">nella persona del suo presidente, </w:t>
      </w:r>
      <w:r w:rsidRPr="000266D9">
        <w:rPr>
          <w:rFonts w:eastAsiaTheme="minorHAnsi" w:cs="Arial"/>
          <w:iCs/>
          <w:szCs w:val="24"/>
          <w:lang w:eastAsia="en-US"/>
        </w:rPr>
        <w:t>Giuliano Maddalena</w:t>
      </w:r>
      <w:r>
        <w:rPr>
          <w:rFonts w:eastAsiaTheme="minorHAnsi" w:cs="Arial"/>
          <w:iCs/>
          <w:szCs w:val="24"/>
          <w:lang w:eastAsia="en-US"/>
        </w:rPr>
        <w:t>.</w:t>
      </w:r>
    </w:p>
    <w:p w14:paraId="719E2722" w14:textId="77777777" w:rsidR="004D6579" w:rsidRDefault="004D6579" w:rsidP="004D6579">
      <w:pPr>
        <w:rPr>
          <w:rFonts w:eastAsiaTheme="minorHAnsi" w:cs="Arial"/>
          <w:iCs/>
          <w:szCs w:val="24"/>
          <w:lang w:eastAsia="en-US"/>
        </w:rPr>
      </w:pPr>
      <w:r>
        <w:rPr>
          <w:rFonts w:eastAsiaTheme="minorHAnsi" w:cs="Arial"/>
          <w:iCs/>
          <w:szCs w:val="24"/>
          <w:lang w:eastAsia="en-US"/>
        </w:rPr>
        <w:lastRenderedPageBreak/>
        <w:t>Nel corso dell’incontro sono state esposte le difficoltà del settore, gli interventi già adottati dal Cantone e le esigenze rimaste.</w:t>
      </w:r>
    </w:p>
    <w:p w14:paraId="5B50346B" w14:textId="77777777" w:rsidR="004D6579" w:rsidRPr="0097525C" w:rsidRDefault="004D6579" w:rsidP="004D6579">
      <w:pPr>
        <w:rPr>
          <w:rFonts w:eastAsiaTheme="minorHAnsi" w:cs="Arial"/>
          <w:iCs/>
          <w:sz w:val="20"/>
          <w:lang w:eastAsia="en-US"/>
        </w:rPr>
      </w:pPr>
    </w:p>
    <w:p w14:paraId="2EF7CA75" w14:textId="77777777" w:rsidR="004D6579" w:rsidRDefault="004D6579" w:rsidP="004D6579">
      <w:pPr>
        <w:rPr>
          <w:rFonts w:eastAsiaTheme="minorHAnsi" w:cs="Arial"/>
          <w:iCs/>
          <w:szCs w:val="24"/>
          <w:lang w:eastAsia="en-US"/>
        </w:rPr>
      </w:pPr>
      <w:r>
        <w:rPr>
          <w:rFonts w:eastAsiaTheme="minorHAnsi" w:cs="Arial"/>
          <w:iCs/>
          <w:szCs w:val="24"/>
          <w:lang w:eastAsia="en-US"/>
        </w:rPr>
        <w:t xml:space="preserve">Al momento della presentazione della mozione, in pieno </w:t>
      </w:r>
      <w:proofErr w:type="spellStart"/>
      <w:r>
        <w:rPr>
          <w:rFonts w:eastAsiaTheme="minorHAnsi" w:cs="Arial"/>
          <w:iCs/>
          <w:szCs w:val="24"/>
          <w:lang w:eastAsia="en-US"/>
        </w:rPr>
        <w:t>lockdown</w:t>
      </w:r>
      <w:proofErr w:type="spellEnd"/>
      <w:r>
        <w:rPr>
          <w:rFonts w:eastAsiaTheme="minorHAnsi" w:cs="Arial"/>
          <w:iCs/>
          <w:szCs w:val="24"/>
          <w:lang w:eastAsia="en-US"/>
        </w:rPr>
        <w:t xml:space="preserve">, per il settore si prospettava un periodo tetro. Per la vendemmia 2020 </w:t>
      </w:r>
      <w:r w:rsidRPr="008F5513">
        <w:rPr>
          <w:rFonts w:eastAsiaTheme="minorHAnsi" w:cs="Arial"/>
          <w:iCs/>
          <w:szCs w:val="24"/>
          <w:lang w:eastAsia="en-US"/>
        </w:rPr>
        <w:t xml:space="preserve">il quantitativo di produzione per le uve rosse </w:t>
      </w:r>
      <w:r>
        <w:rPr>
          <w:rFonts w:eastAsiaTheme="minorHAnsi" w:cs="Arial"/>
          <w:iCs/>
          <w:szCs w:val="24"/>
          <w:lang w:eastAsia="en-US"/>
        </w:rPr>
        <w:t>è stato</w:t>
      </w:r>
      <w:r w:rsidRPr="008F5513">
        <w:rPr>
          <w:rFonts w:eastAsiaTheme="minorHAnsi" w:cs="Arial"/>
          <w:iCs/>
          <w:szCs w:val="24"/>
          <w:lang w:eastAsia="en-US"/>
        </w:rPr>
        <w:t xml:space="preserve"> ridotto da 1 </w:t>
      </w:r>
      <w:r>
        <w:rPr>
          <w:rFonts w:eastAsiaTheme="minorHAnsi" w:cs="Arial"/>
          <w:iCs/>
          <w:szCs w:val="24"/>
          <w:lang w:eastAsia="en-US"/>
        </w:rPr>
        <w:t>kg/m</w:t>
      </w:r>
      <w:r w:rsidRPr="00773F3C">
        <w:rPr>
          <w:rFonts w:eastAsiaTheme="minorHAnsi" w:cs="Arial"/>
          <w:iCs/>
          <w:szCs w:val="24"/>
          <w:vertAlign w:val="superscript"/>
          <w:lang w:eastAsia="en-US"/>
        </w:rPr>
        <w:t>2</w:t>
      </w:r>
      <w:r w:rsidRPr="008F5513">
        <w:rPr>
          <w:rFonts w:eastAsiaTheme="minorHAnsi" w:cs="Arial"/>
          <w:iCs/>
          <w:szCs w:val="24"/>
          <w:lang w:eastAsia="en-US"/>
        </w:rPr>
        <w:t xml:space="preserve"> a 800 </w:t>
      </w:r>
      <w:r>
        <w:rPr>
          <w:rFonts w:eastAsiaTheme="minorHAnsi" w:cs="Arial"/>
          <w:iCs/>
          <w:szCs w:val="24"/>
          <w:lang w:eastAsia="en-US"/>
        </w:rPr>
        <w:t>g/m</w:t>
      </w:r>
      <w:r w:rsidRPr="00773F3C">
        <w:rPr>
          <w:rFonts w:eastAsiaTheme="minorHAnsi" w:cs="Arial"/>
          <w:iCs/>
          <w:szCs w:val="24"/>
          <w:vertAlign w:val="superscript"/>
          <w:lang w:eastAsia="en-US"/>
        </w:rPr>
        <w:t>2</w:t>
      </w:r>
      <w:r>
        <w:rPr>
          <w:rFonts w:eastAsiaTheme="minorHAnsi" w:cs="Arial"/>
          <w:iCs/>
          <w:szCs w:val="24"/>
          <w:lang w:eastAsia="en-US"/>
        </w:rPr>
        <w:t xml:space="preserve"> </w:t>
      </w:r>
      <w:r w:rsidRPr="008F5513">
        <w:rPr>
          <w:rFonts w:eastAsiaTheme="minorHAnsi" w:cs="Arial"/>
          <w:iCs/>
          <w:szCs w:val="24"/>
          <w:lang w:eastAsia="en-US"/>
        </w:rPr>
        <w:t xml:space="preserve">e le cantine si </w:t>
      </w:r>
      <w:r>
        <w:rPr>
          <w:rFonts w:eastAsiaTheme="minorHAnsi" w:cs="Arial"/>
          <w:iCs/>
          <w:szCs w:val="24"/>
          <w:lang w:eastAsia="en-US"/>
        </w:rPr>
        <w:t>sono impegnate</w:t>
      </w:r>
      <w:r w:rsidRPr="008F5513">
        <w:rPr>
          <w:rFonts w:eastAsiaTheme="minorHAnsi" w:cs="Arial"/>
          <w:iCs/>
          <w:szCs w:val="24"/>
          <w:lang w:eastAsia="en-US"/>
        </w:rPr>
        <w:t xml:space="preserve"> a ritirarne 500 grammi</w:t>
      </w:r>
      <w:r>
        <w:rPr>
          <w:rFonts w:eastAsiaTheme="minorHAnsi" w:cs="Arial"/>
          <w:iCs/>
          <w:szCs w:val="24"/>
          <w:lang w:eastAsia="en-US"/>
        </w:rPr>
        <w:t xml:space="preserve">, pagati 4.15 </w:t>
      </w:r>
      <w:proofErr w:type="gramStart"/>
      <w:r>
        <w:rPr>
          <w:rFonts w:eastAsiaTheme="minorHAnsi" w:cs="Arial"/>
          <w:iCs/>
          <w:szCs w:val="24"/>
          <w:lang w:eastAsia="en-US"/>
        </w:rPr>
        <w:t>fr./</w:t>
      </w:r>
      <w:proofErr w:type="gramEnd"/>
      <w:r>
        <w:rPr>
          <w:rFonts w:eastAsiaTheme="minorHAnsi" w:cs="Arial"/>
          <w:iCs/>
          <w:szCs w:val="24"/>
          <w:lang w:eastAsia="en-US"/>
        </w:rPr>
        <w:t>kg. I quantitativi raccolti non sono stati ingenti (di poco superiori al 2014). A fine 2020 effettivamente e per fortuna la situazione era un po' meglio di quanto immaginato in primavera. Le eccedenze riguardano il vino rosso, mentre il vino bianco ha trovato un buono smercio. Si è registrato un aumento delle vendite di vino ticinese del 4% circa presso la grande distribuzione e ha avuto un incremento la vendita diretta ai privati, anche se ciò è stato nettamente insufficiente per compensare le perdite dovute alla mancanza di eventi e alla chiusura della ristorazione. Dati precisi saranno disponibili con le statistiche vitivinicole del 2020, che saranno pubblicate dall’Ufficio federale dell’agricoltura tra fine aprile e inizio maggio.</w:t>
      </w:r>
    </w:p>
    <w:p w14:paraId="731EBF52" w14:textId="77777777" w:rsidR="004D6579" w:rsidRDefault="004D6579" w:rsidP="004D6579">
      <w:pPr>
        <w:rPr>
          <w:rFonts w:eastAsiaTheme="minorHAnsi" w:cs="Arial"/>
          <w:iCs/>
          <w:szCs w:val="24"/>
          <w:lang w:eastAsia="en-US"/>
        </w:rPr>
      </w:pPr>
      <w:r>
        <w:rPr>
          <w:rFonts w:eastAsiaTheme="minorHAnsi" w:cs="Arial"/>
          <w:iCs/>
          <w:szCs w:val="24"/>
          <w:lang w:eastAsia="en-US"/>
        </w:rPr>
        <w:t xml:space="preserve">Dato il costo alla produzione più elevato in Ticino rispetto ad altri Cantoni, il contributo federale di 2 </w:t>
      </w:r>
      <w:proofErr w:type="gramStart"/>
      <w:r>
        <w:rPr>
          <w:rFonts w:eastAsiaTheme="minorHAnsi" w:cs="Arial"/>
          <w:iCs/>
          <w:szCs w:val="24"/>
          <w:lang w:eastAsia="en-US"/>
        </w:rPr>
        <w:t>fr./</w:t>
      </w:r>
      <w:proofErr w:type="gramEnd"/>
      <w:r>
        <w:rPr>
          <w:rFonts w:eastAsiaTheme="minorHAnsi" w:cs="Arial"/>
          <w:iCs/>
          <w:szCs w:val="24"/>
          <w:lang w:eastAsia="en-US"/>
        </w:rPr>
        <w:t>l (3 fr./l con il complemento del contributo cantonale) per il declassamento del vino DOC a vino da tavola è inadeguato, quindi il quantitativo di vino declassato non è stato importante; infatti, d</w:t>
      </w:r>
      <w:r w:rsidRPr="00005DB2">
        <w:rPr>
          <w:rFonts w:eastAsiaTheme="minorHAnsi" w:cs="Arial"/>
          <w:iCs/>
          <w:szCs w:val="24"/>
          <w:lang w:eastAsia="en-US"/>
        </w:rPr>
        <w:t xml:space="preserve">ei 500'000 </w:t>
      </w:r>
      <w:r>
        <w:rPr>
          <w:rFonts w:eastAsiaTheme="minorHAnsi" w:cs="Arial"/>
          <w:iCs/>
          <w:szCs w:val="24"/>
          <w:lang w:eastAsia="en-US"/>
        </w:rPr>
        <w:t xml:space="preserve">franchi </w:t>
      </w:r>
      <w:r w:rsidRPr="00005DB2">
        <w:rPr>
          <w:rFonts w:eastAsiaTheme="minorHAnsi" w:cs="Arial"/>
          <w:iCs/>
          <w:szCs w:val="24"/>
          <w:lang w:eastAsia="en-US"/>
        </w:rPr>
        <w:t>messi a disposizione dal Cantone per il declassamento del vino ad agosto 2020, ne sono stati utilizzati solo 300'000</w:t>
      </w:r>
      <w:r>
        <w:rPr>
          <w:rFonts w:eastAsiaTheme="minorHAnsi" w:cs="Arial"/>
          <w:iCs/>
          <w:szCs w:val="24"/>
          <w:lang w:eastAsia="en-US"/>
        </w:rPr>
        <w:t>. Circa 200'000 litri di vino sono stati distillati e trasformati in disinfettante, è stato prodotto aceto e una piccola parte di uve è stata trasformata in succo.</w:t>
      </w:r>
    </w:p>
    <w:p w14:paraId="7D9E9E4D" w14:textId="77777777" w:rsidR="004D6579" w:rsidRDefault="004D6579" w:rsidP="004D6579">
      <w:pPr>
        <w:rPr>
          <w:rFonts w:eastAsiaTheme="minorHAnsi" w:cs="Arial"/>
          <w:iCs/>
          <w:szCs w:val="24"/>
          <w:lang w:eastAsia="en-US"/>
        </w:rPr>
      </w:pPr>
      <w:r>
        <w:rPr>
          <w:rFonts w:eastAsiaTheme="minorHAnsi" w:cs="Arial"/>
          <w:iCs/>
          <w:szCs w:val="24"/>
          <w:lang w:eastAsia="en-US"/>
        </w:rPr>
        <w:t>Un sondaggio compiuto dal</w:t>
      </w:r>
      <w:r w:rsidRPr="00526F2D">
        <w:rPr>
          <w:rFonts w:eastAsiaTheme="minorHAnsi" w:cs="Arial"/>
          <w:iCs/>
          <w:szCs w:val="24"/>
          <w:lang w:eastAsia="en-US"/>
        </w:rPr>
        <w:t>l’I</w:t>
      </w:r>
      <w:r>
        <w:rPr>
          <w:rFonts w:eastAsiaTheme="minorHAnsi" w:cs="Arial"/>
          <w:iCs/>
          <w:szCs w:val="24"/>
          <w:lang w:eastAsia="en-US"/>
        </w:rPr>
        <w:t>VVT presso le cantine permette di stimare una perdita media del 15% del fatturato, meno pesante per le grandi realtà, più pesante per quelle piccole. Si tratta di una perdita incisiva per le attività, ma non sufficiente per rientrare nei casi di rigore.</w:t>
      </w:r>
    </w:p>
    <w:p w14:paraId="492BF75E" w14:textId="77777777" w:rsidR="004D6579" w:rsidRPr="0097525C" w:rsidRDefault="004D6579" w:rsidP="004D6579">
      <w:pPr>
        <w:rPr>
          <w:rFonts w:eastAsiaTheme="minorHAnsi" w:cs="Arial"/>
          <w:iCs/>
          <w:sz w:val="20"/>
          <w:lang w:eastAsia="en-US"/>
        </w:rPr>
      </w:pPr>
    </w:p>
    <w:p w14:paraId="36BDB3AE" w14:textId="77777777" w:rsidR="004D6579" w:rsidRDefault="004D6579" w:rsidP="004D6579">
      <w:pPr>
        <w:rPr>
          <w:rFonts w:eastAsiaTheme="minorHAnsi" w:cs="Arial"/>
          <w:iCs/>
          <w:szCs w:val="24"/>
          <w:lang w:eastAsia="en-US"/>
        </w:rPr>
      </w:pPr>
      <w:r>
        <w:rPr>
          <w:rFonts w:eastAsiaTheme="minorHAnsi" w:cs="Arial"/>
          <w:iCs/>
          <w:szCs w:val="24"/>
          <w:lang w:eastAsia="en-US"/>
        </w:rPr>
        <w:t xml:space="preserve">I viticoltori devono cercare di rendere redditizia la coltivazione di terreni spesso difficili e devono sostenere costi crescenti (per il prossimo anno è stato reintrodotto l’obbligo della lotta alla </w:t>
      </w:r>
      <w:proofErr w:type="spellStart"/>
      <w:r>
        <w:rPr>
          <w:rFonts w:eastAsiaTheme="minorHAnsi" w:cs="Arial"/>
          <w:iCs/>
          <w:szCs w:val="24"/>
          <w:lang w:eastAsia="en-US"/>
        </w:rPr>
        <w:t>flavescenza</w:t>
      </w:r>
      <w:proofErr w:type="spellEnd"/>
      <w:r>
        <w:rPr>
          <w:rFonts w:eastAsiaTheme="minorHAnsi" w:cs="Arial"/>
          <w:iCs/>
          <w:szCs w:val="24"/>
          <w:lang w:eastAsia="en-US"/>
        </w:rPr>
        <w:t xml:space="preserve"> dorata e la Confederazione ha adottato misure urgenti per contrastare la diffusione del coleottero giapponese, che sta diffondendosi nel </w:t>
      </w:r>
      <w:proofErr w:type="spellStart"/>
      <w:r>
        <w:rPr>
          <w:rFonts w:eastAsiaTheme="minorHAnsi" w:cs="Arial"/>
          <w:iCs/>
          <w:szCs w:val="24"/>
          <w:lang w:eastAsia="en-US"/>
        </w:rPr>
        <w:t>Sottoceneri</w:t>
      </w:r>
      <w:proofErr w:type="spellEnd"/>
      <w:r>
        <w:rPr>
          <w:rFonts w:eastAsiaTheme="minorHAnsi" w:cs="Arial"/>
          <w:iCs/>
          <w:szCs w:val="24"/>
          <w:lang w:eastAsia="en-US"/>
        </w:rPr>
        <w:t>); dal canto loro le cantine e i venditori di vini ticinesi e svizzeri sono confrontati con una concorrenza sempre più agguerrita del mercato internazionale.</w:t>
      </w:r>
      <w:r w:rsidRPr="0005442D">
        <w:rPr>
          <w:rFonts w:eastAsiaTheme="minorHAnsi" w:cs="Arial"/>
          <w:iCs/>
          <w:szCs w:val="24"/>
          <w:lang w:eastAsia="en-US"/>
        </w:rPr>
        <w:t xml:space="preserve"> </w:t>
      </w:r>
      <w:r>
        <w:rPr>
          <w:rFonts w:eastAsiaTheme="minorHAnsi" w:cs="Arial"/>
          <w:iCs/>
          <w:szCs w:val="24"/>
          <w:lang w:eastAsia="en-US"/>
        </w:rPr>
        <w:t>La crisi dovuta al Covid-19 ha esacerbato queste difficoltà e ha causato a varie aziende problemi di liquidità. Oggi pesa l’incognita dell’evoluzione nei prossimi mesi.</w:t>
      </w:r>
    </w:p>
    <w:p w14:paraId="26A2EE95" w14:textId="0BE2B3EC" w:rsidR="004D6579" w:rsidRDefault="004D6579" w:rsidP="0097525C">
      <w:pPr>
        <w:rPr>
          <w:rFonts w:eastAsiaTheme="minorHAnsi" w:cs="Arial"/>
          <w:iCs/>
          <w:szCs w:val="24"/>
          <w:lang w:eastAsia="en-US"/>
        </w:rPr>
      </w:pPr>
    </w:p>
    <w:p w14:paraId="131D155E" w14:textId="77777777" w:rsidR="0097525C" w:rsidRDefault="0097525C" w:rsidP="0097525C">
      <w:pPr>
        <w:rPr>
          <w:rFonts w:eastAsiaTheme="minorHAnsi" w:cs="Arial"/>
          <w:iCs/>
          <w:szCs w:val="24"/>
          <w:lang w:eastAsia="en-US"/>
        </w:rPr>
      </w:pPr>
    </w:p>
    <w:p w14:paraId="53A791D6" w14:textId="77777777" w:rsidR="004D6579" w:rsidRPr="00F358E4" w:rsidRDefault="004D6579" w:rsidP="004D6579">
      <w:pPr>
        <w:pStyle w:val="Paragrafoelenco"/>
        <w:keepNext/>
        <w:numPr>
          <w:ilvl w:val="1"/>
          <w:numId w:val="6"/>
        </w:numPr>
        <w:spacing w:after="120"/>
        <w:ind w:left="357" w:hanging="357"/>
        <w:contextualSpacing w:val="0"/>
        <w:outlineLvl w:val="0"/>
        <w:rPr>
          <w:rFonts w:eastAsiaTheme="minorHAnsi" w:cs="Arial"/>
          <w:b/>
          <w:bCs/>
          <w:iCs/>
          <w:szCs w:val="24"/>
          <w:lang w:eastAsia="en-US"/>
        </w:rPr>
      </w:pPr>
      <w:r w:rsidRPr="00F358E4">
        <w:rPr>
          <w:rFonts w:eastAsiaTheme="minorHAnsi" w:cs="Arial"/>
          <w:b/>
          <w:bCs/>
          <w:iCs/>
          <w:szCs w:val="24"/>
          <w:lang w:eastAsia="en-US"/>
        </w:rPr>
        <w:t>Le proposte della Commissione</w:t>
      </w:r>
    </w:p>
    <w:p w14:paraId="37FA490E" w14:textId="77777777" w:rsidR="004D6579" w:rsidRDefault="004D6579" w:rsidP="004D6579">
      <w:pPr>
        <w:rPr>
          <w:rFonts w:eastAsiaTheme="minorHAnsi" w:cs="Arial"/>
          <w:iCs/>
          <w:szCs w:val="24"/>
          <w:lang w:eastAsia="en-US"/>
        </w:rPr>
      </w:pPr>
      <w:r>
        <w:rPr>
          <w:rFonts w:eastAsiaTheme="minorHAnsi" w:cs="Arial"/>
          <w:iCs/>
          <w:szCs w:val="24"/>
          <w:lang w:eastAsia="en-US"/>
        </w:rPr>
        <w:t>Valutando le risposte del Consiglio di Stato e alla luce dell’incontro con i rappresentanti dei professionisti della vite e del vino, la Commissione ambiente osserva quanto segue in merito alle proposte della mozione di Lorenzo Jelmini.</w:t>
      </w:r>
    </w:p>
    <w:p w14:paraId="17D15E61" w14:textId="77777777" w:rsidR="004D6579" w:rsidRDefault="004D6579" w:rsidP="004D6579">
      <w:pPr>
        <w:rPr>
          <w:rFonts w:eastAsiaTheme="minorHAnsi" w:cs="Arial"/>
          <w:iCs/>
          <w:szCs w:val="24"/>
          <w:lang w:eastAsia="en-US"/>
        </w:rPr>
      </w:pPr>
    </w:p>
    <w:p w14:paraId="561E5CDE" w14:textId="77777777" w:rsidR="004D6579" w:rsidRPr="00EB0FA4" w:rsidRDefault="004D6579" w:rsidP="004D6579">
      <w:pPr>
        <w:pStyle w:val="Paragrafoelenco"/>
        <w:numPr>
          <w:ilvl w:val="0"/>
          <w:numId w:val="9"/>
        </w:numPr>
        <w:ind w:left="426" w:hanging="426"/>
        <w:rPr>
          <w:rFonts w:eastAsiaTheme="minorHAnsi" w:cs="Arial"/>
          <w:iCs/>
          <w:szCs w:val="24"/>
          <w:lang w:eastAsia="en-US"/>
        </w:rPr>
      </w:pPr>
      <w:r w:rsidRPr="00EB0FA4">
        <w:rPr>
          <w:rFonts w:eastAsiaTheme="minorHAnsi" w:cs="Arial"/>
          <w:iCs/>
          <w:szCs w:val="24"/>
          <w:lang w:eastAsia="en-US"/>
        </w:rPr>
        <w:t xml:space="preserve">A fronte degli alti costi di produzione ticinesi, le misure per la realizzazione di prodotti alternativi hanno dimostrato di essere poco efficaci, perciò </w:t>
      </w:r>
      <w:r w:rsidRPr="00EB0FA4">
        <w:rPr>
          <w:rFonts w:eastAsiaTheme="minorHAnsi" w:cs="Arial"/>
          <w:iCs/>
          <w:szCs w:val="24"/>
          <w:u w:val="single"/>
          <w:lang w:eastAsia="en-US"/>
        </w:rPr>
        <w:t>non appare opportuno dare seguito alla richiesta della creazione di un fondo per l’utilizzo alternativo delle uve</w:t>
      </w:r>
      <w:r w:rsidRPr="00EB0FA4">
        <w:rPr>
          <w:rFonts w:eastAsiaTheme="minorHAnsi" w:cs="Arial"/>
          <w:iCs/>
          <w:szCs w:val="24"/>
          <w:lang w:eastAsia="en-US"/>
        </w:rPr>
        <w:t>.</w:t>
      </w:r>
    </w:p>
    <w:p w14:paraId="65DDA23D" w14:textId="77777777" w:rsidR="004D6579" w:rsidRPr="00890094" w:rsidRDefault="004D6579" w:rsidP="004D6579">
      <w:pPr>
        <w:rPr>
          <w:rFonts w:eastAsiaTheme="minorHAnsi" w:cs="Arial"/>
          <w:iCs/>
          <w:szCs w:val="24"/>
          <w:lang w:eastAsia="en-US"/>
        </w:rPr>
      </w:pPr>
    </w:p>
    <w:p w14:paraId="02A5E617" w14:textId="77777777" w:rsidR="004D6579" w:rsidRPr="00EB0FA4" w:rsidRDefault="004D6579" w:rsidP="0097525C">
      <w:pPr>
        <w:pStyle w:val="Paragrafoelenco"/>
        <w:numPr>
          <w:ilvl w:val="0"/>
          <w:numId w:val="9"/>
        </w:numPr>
        <w:spacing w:after="240"/>
        <w:ind w:left="425" w:hanging="425"/>
        <w:contextualSpacing w:val="0"/>
        <w:rPr>
          <w:rFonts w:eastAsiaTheme="minorHAnsi" w:cs="Arial"/>
          <w:iCs/>
          <w:szCs w:val="24"/>
          <w:u w:val="single"/>
          <w:lang w:eastAsia="en-US"/>
        </w:rPr>
      </w:pPr>
      <w:r w:rsidRPr="00EB0FA4">
        <w:rPr>
          <w:rFonts w:eastAsiaTheme="minorHAnsi" w:cs="Arial"/>
          <w:iCs/>
          <w:szCs w:val="24"/>
          <w:lang w:eastAsia="en-US"/>
        </w:rPr>
        <w:t xml:space="preserve">Il Cantone sta valutando un </w:t>
      </w:r>
      <w:r w:rsidRPr="00EB0FA4">
        <w:rPr>
          <w:rFonts w:eastAsiaTheme="minorHAnsi" w:cs="Arial"/>
          <w:iCs/>
          <w:szCs w:val="24"/>
          <w:u w:val="single"/>
          <w:lang w:eastAsia="en-US"/>
        </w:rPr>
        <w:t>aumento temporaneo dell’aliquota del contributo cantonale per la promozione dei vini. La Commissione è favorevole alla misura, ma</w:t>
      </w:r>
      <w:r w:rsidRPr="00EB0FA4">
        <w:rPr>
          <w:rFonts w:eastAsiaTheme="minorHAnsi" w:cs="Arial"/>
          <w:iCs/>
          <w:szCs w:val="24"/>
          <w:lang w:eastAsia="en-US"/>
        </w:rPr>
        <w:t xml:space="preserve"> dato che il 2021 è già inoltrato ed è difficilmente immaginabile una ripresa delle attività turistiche e ricreative </w:t>
      </w:r>
      <w:r w:rsidRPr="00614337">
        <w:rPr>
          <w:rFonts w:eastAsiaTheme="minorHAnsi" w:cs="Arial"/>
          <w:iCs/>
          <w:szCs w:val="24"/>
          <w:lang w:eastAsia="en-US"/>
        </w:rPr>
        <w:t xml:space="preserve">enogastronomiche (es. visita di cantine) nei prossimi mesi, </w:t>
      </w:r>
      <w:r w:rsidRPr="00614337">
        <w:rPr>
          <w:rFonts w:eastAsiaTheme="minorHAnsi" w:cs="Arial"/>
          <w:iCs/>
          <w:szCs w:val="24"/>
          <w:u w:val="single"/>
          <w:lang w:eastAsia="en-US"/>
        </w:rPr>
        <w:t>propone di posticiparla al 2022, portando però l’aliquota al 70% con particolare attenzione ai vini prodotti in zone collinari o di montagna.</w:t>
      </w:r>
    </w:p>
    <w:p w14:paraId="7E38E851" w14:textId="77777777" w:rsidR="004D6579" w:rsidRPr="00EB0FA4" w:rsidRDefault="004D6579" w:rsidP="004D6579">
      <w:pPr>
        <w:pStyle w:val="Paragrafoelenco"/>
        <w:numPr>
          <w:ilvl w:val="0"/>
          <w:numId w:val="9"/>
        </w:numPr>
        <w:ind w:left="426" w:hanging="426"/>
        <w:rPr>
          <w:rFonts w:eastAsiaTheme="minorHAnsi" w:cs="Arial"/>
          <w:iCs/>
          <w:szCs w:val="24"/>
          <w:lang w:eastAsia="en-US"/>
        </w:rPr>
      </w:pPr>
      <w:r w:rsidRPr="00EB0FA4">
        <w:rPr>
          <w:rFonts w:eastAsiaTheme="minorHAnsi" w:cs="Arial"/>
          <w:iCs/>
          <w:szCs w:val="24"/>
          <w:lang w:eastAsia="en-US"/>
        </w:rPr>
        <w:lastRenderedPageBreak/>
        <w:t xml:space="preserve">La Commissione condivide il parere del Consiglio di Stato e </w:t>
      </w:r>
      <w:r w:rsidRPr="00EB0FA4">
        <w:rPr>
          <w:rFonts w:eastAsiaTheme="minorHAnsi" w:cs="Arial"/>
          <w:iCs/>
          <w:szCs w:val="24"/>
          <w:u w:val="single"/>
          <w:lang w:eastAsia="en-US"/>
        </w:rPr>
        <w:t>propone di mantenere l’obbligo di versamento della tassa e dei contributi per le uve trasformate in favore dell’IVVT</w:t>
      </w:r>
      <w:r w:rsidRPr="00EB0FA4">
        <w:rPr>
          <w:rFonts w:eastAsiaTheme="minorHAnsi" w:cs="Arial"/>
          <w:iCs/>
          <w:szCs w:val="24"/>
          <w:lang w:eastAsia="en-US"/>
        </w:rPr>
        <w:t>.</w:t>
      </w:r>
    </w:p>
    <w:p w14:paraId="683570B9" w14:textId="77777777" w:rsidR="004D6579" w:rsidRPr="00890094" w:rsidRDefault="004D6579" w:rsidP="004D6579">
      <w:pPr>
        <w:ind w:left="426" w:hanging="426"/>
        <w:rPr>
          <w:rFonts w:eastAsiaTheme="minorHAnsi" w:cs="Arial"/>
          <w:iCs/>
          <w:szCs w:val="24"/>
          <w:lang w:eastAsia="en-US"/>
        </w:rPr>
      </w:pPr>
    </w:p>
    <w:p w14:paraId="65324870" w14:textId="77777777" w:rsidR="004D6579" w:rsidRPr="00EB0FA4" w:rsidRDefault="004D6579" w:rsidP="004D6579">
      <w:pPr>
        <w:pStyle w:val="Paragrafoelenco"/>
        <w:numPr>
          <w:ilvl w:val="0"/>
          <w:numId w:val="9"/>
        </w:numPr>
        <w:ind w:left="284" w:hanging="284"/>
        <w:rPr>
          <w:rFonts w:eastAsiaTheme="minorHAnsi" w:cs="Arial"/>
          <w:iCs/>
          <w:szCs w:val="24"/>
          <w:lang w:eastAsia="en-US"/>
        </w:rPr>
      </w:pPr>
      <w:r w:rsidRPr="0097525C">
        <w:rPr>
          <w:rFonts w:eastAsiaTheme="minorHAnsi" w:cs="Arial"/>
          <w:bCs/>
          <w:iCs/>
          <w:szCs w:val="24"/>
          <w:lang w:eastAsia="en-US"/>
        </w:rPr>
        <w:t>e 5</w:t>
      </w:r>
      <w:r>
        <w:rPr>
          <w:rFonts w:eastAsiaTheme="minorHAnsi" w:cs="Arial"/>
          <w:iCs/>
          <w:szCs w:val="24"/>
          <w:lang w:eastAsia="en-US"/>
        </w:rPr>
        <w:t xml:space="preserve">. </w:t>
      </w:r>
      <w:r w:rsidRPr="00EB0FA4">
        <w:rPr>
          <w:rFonts w:eastAsiaTheme="minorHAnsi" w:cs="Arial"/>
          <w:iCs/>
          <w:szCs w:val="24"/>
          <w:lang w:eastAsia="en-US"/>
        </w:rPr>
        <w:t xml:space="preserve">Anche per quanto riguarda le richieste 4 e 5, </w:t>
      </w:r>
      <w:r w:rsidRPr="00EB0FA4">
        <w:rPr>
          <w:rFonts w:eastAsiaTheme="minorHAnsi" w:cs="Arial"/>
          <w:iCs/>
          <w:szCs w:val="24"/>
          <w:u w:val="single"/>
          <w:lang w:eastAsia="en-US"/>
        </w:rPr>
        <w:t>la Commissione condivide la posizione del Consiglio di Stato</w:t>
      </w:r>
      <w:r w:rsidRPr="00EB0FA4">
        <w:rPr>
          <w:rFonts w:eastAsiaTheme="minorHAnsi" w:cs="Arial"/>
          <w:iCs/>
          <w:szCs w:val="24"/>
          <w:lang w:eastAsia="en-US"/>
        </w:rPr>
        <w:t xml:space="preserve">. Il confronto con le logiche del mercato è difficile, ma </w:t>
      </w:r>
      <w:r>
        <w:rPr>
          <w:rFonts w:eastAsiaTheme="minorHAnsi" w:cs="Arial"/>
          <w:iCs/>
          <w:szCs w:val="24"/>
          <w:lang w:eastAsia="en-US"/>
        </w:rPr>
        <w:t>occorre perseverare per la promozione del territorio e delle sue eccellenze anche presso la grande distribuzione e gli importatori di vino.</w:t>
      </w:r>
    </w:p>
    <w:p w14:paraId="5511EBB8" w14:textId="77777777" w:rsidR="004D6579" w:rsidRPr="00890094" w:rsidRDefault="004D6579" w:rsidP="004D6579">
      <w:pPr>
        <w:ind w:left="426" w:hanging="426"/>
        <w:rPr>
          <w:rFonts w:eastAsiaTheme="minorHAnsi" w:cs="Arial"/>
          <w:iCs/>
          <w:szCs w:val="24"/>
          <w:lang w:eastAsia="en-US"/>
        </w:rPr>
      </w:pPr>
    </w:p>
    <w:p w14:paraId="2B8CD56D" w14:textId="77777777" w:rsidR="004D6579" w:rsidRDefault="004D6579" w:rsidP="004D6579">
      <w:pPr>
        <w:pStyle w:val="Paragrafoelenco"/>
        <w:numPr>
          <w:ilvl w:val="0"/>
          <w:numId w:val="10"/>
        </w:numPr>
        <w:ind w:left="426" w:hanging="426"/>
        <w:rPr>
          <w:rFonts w:eastAsiaTheme="minorHAnsi" w:cs="Arial"/>
          <w:iCs/>
          <w:szCs w:val="24"/>
          <w:lang w:eastAsia="en-US"/>
        </w:rPr>
      </w:pPr>
      <w:r w:rsidRPr="006D1C17">
        <w:rPr>
          <w:rFonts w:eastAsiaTheme="minorHAnsi" w:cs="Arial"/>
          <w:iCs/>
          <w:szCs w:val="24"/>
          <w:u w:val="single"/>
          <w:lang w:eastAsia="en-US"/>
        </w:rPr>
        <w:t>Il Cantone è impegnato nella promozione dei vini ticinesi e in futuro lo sarà ancora di più, grazie all’aumento dell’aliquota del dedicato contributo cantonale</w:t>
      </w:r>
      <w:r>
        <w:rPr>
          <w:rFonts w:eastAsiaTheme="minorHAnsi" w:cs="Arial"/>
          <w:iCs/>
          <w:szCs w:val="24"/>
          <w:lang w:eastAsia="en-US"/>
        </w:rPr>
        <w:t xml:space="preserve"> (punto 2). Il Consiglio di Stato inoltre ha opportunamente deciso di riportare al 2021 la parte di budget a disposizione de</w:t>
      </w:r>
      <w:r w:rsidRPr="00EB0FA4">
        <w:rPr>
          <w:rFonts w:eastAsiaTheme="minorHAnsi" w:cs="Arial"/>
          <w:iCs/>
          <w:szCs w:val="24"/>
          <w:lang w:eastAsia="en-US"/>
        </w:rPr>
        <w:t>l CCAT</w:t>
      </w:r>
      <w:r>
        <w:rPr>
          <w:rFonts w:eastAsiaTheme="minorHAnsi" w:cs="Arial"/>
          <w:iCs/>
          <w:szCs w:val="24"/>
          <w:lang w:eastAsia="en-US"/>
        </w:rPr>
        <w:t xml:space="preserve"> per la promozione e che, a causa della pandemia, non è stato speso.</w:t>
      </w:r>
    </w:p>
    <w:p w14:paraId="54E4796F" w14:textId="4C96842E" w:rsidR="004D6579" w:rsidRDefault="004D6579" w:rsidP="004D6579">
      <w:pPr>
        <w:pStyle w:val="Paragrafoelenco"/>
        <w:ind w:left="426"/>
        <w:rPr>
          <w:rFonts w:eastAsiaTheme="minorHAnsi" w:cs="Arial"/>
          <w:iCs/>
          <w:szCs w:val="24"/>
          <w:lang w:eastAsia="en-US"/>
        </w:rPr>
      </w:pPr>
      <w:r w:rsidRPr="006D1C17">
        <w:rPr>
          <w:rFonts w:eastAsiaTheme="minorHAnsi" w:cs="Arial"/>
          <w:iCs/>
          <w:szCs w:val="24"/>
          <w:lang w:eastAsia="en-US"/>
        </w:rPr>
        <w:t xml:space="preserve">La promozione dei vini ticinesi </w:t>
      </w:r>
      <w:r>
        <w:rPr>
          <w:rFonts w:eastAsiaTheme="minorHAnsi" w:cs="Arial"/>
          <w:iCs/>
          <w:szCs w:val="24"/>
          <w:lang w:eastAsia="en-US"/>
        </w:rPr>
        <w:t>potrebbe ad es</w:t>
      </w:r>
      <w:r w:rsidR="0097525C">
        <w:rPr>
          <w:rFonts w:eastAsiaTheme="minorHAnsi" w:cs="Arial"/>
          <w:iCs/>
          <w:szCs w:val="24"/>
          <w:lang w:eastAsia="en-US"/>
        </w:rPr>
        <w:t>empio</w:t>
      </w:r>
      <w:r>
        <w:rPr>
          <w:rFonts w:eastAsiaTheme="minorHAnsi" w:cs="Arial"/>
          <w:iCs/>
          <w:szCs w:val="24"/>
          <w:lang w:eastAsia="en-US"/>
        </w:rPr>
        <w:t xml:space="preserve"> passare anche attraverso azioni quali un rinnovo di “Vivi il tuo Ticino” </w:t>
      </w:r>
      <w:proofErr w:type="gramStart"/>
      <w:r>
        <w:rPr>
          <w:rFonts w:eastAsiaTheme="minorHAnsi" w:cs="Arial"/>
          <w:iCs/>
          <w:szCs w:val="24"/>
          <w:lang w:eastAsia="en-US"/>
        </w:rPr>
        <w:t>e “</w:t>
      </w:r>
      <w:proofErr w:type="gramEnd"/>
      <w:r>
        <w:rPr>
          <w:rFonts w:eastAsiaTheme="minorHAnsi" w:cs="Arial"/>
          <w:iCs/>
          <w:szCs w:val="24"/>
          <w:lang w:eastAsia="en-US"/>
        </w:rPr>
        <w:t xml:space="preserve">Gusta il Ticino”, abbinando al soggiorno in una struttura ticinese o la cena in un ristorante ticinese anche il consumo di vino ticinese; oppure avviando una </w:t>
      </w:r>
      <w:r w:rsidRPr="00614337">
        <w:rPr>
          <w:rFonts w:eastAsiaTheme="minorHAnsi" w:cs="Arial"/>
          <w:iCs/>
          <w:szCs w:val="24"/>
          <w:lang w:eastAsia="en-US"/>
        </w:rPr>
        <w:t>nuova campagna “Compra il Ticino”, che preveda un incentivo all’acquisto diretto nelle cantine. A mente della commissione queste azioni sono importanti e vanno riproposte.</w:t>
      </w:r>
    </w:p>
    <w:p w14:paraId="5C137210" w14:textId="77777777" w:rsidR="004D6579" w:rsidRPr="006D1C17" w:rsidRDefault="004D6579" w:rsidP="004D6579">
      <w:pPr>
        <w:pStyle w:val="Paragrafoelenco"/>
        <w:ind w:left="426"/>
        <w:rPr>
          <w:rFonts w:eastAsiaTheme="minorHAnsi" w:cs="Arial"/>
          <w:iCs/>
          <w:szCs w:val="24"/>
          <w:lang w:eastAsia="en-US"/>
        </w:rPr>
      </w:pPr>
      <w:r>
        <w:rPr>
          <w:rFonts w:eastAsiaTheme="minorHAnsi" w:cs="Arial"/>
          <w:iCs/>
          <w:szCs w:val="24"/>
          <w:lang w:eastAsia="en-US"/>
        </w:rPr>
        <w:t>Si osserva che sarebbe positivo potenziare la vendita online, a cui però le realtà più piccole non sono avvezze. Esse andrebbero aiutate ad acquisire le competenze necessarie.</w:t>
      </w:r>
    </w:p>
    <w:p w14:paraId="710BA860" w14:textId="77777777" w:rsidR="004D6579" w:rsidRDefault="004D6579" w:rsidP="004D6579">
      <w:pPr>
        <w:rPr>
          <w:rFonts w:eastAsiaTheme="minorHAnsi" w:cs="Arial"/>
          <w:iCs/>
          <w:szCs w:val="24"/>
          <w:lang w:eastAsia="en-US"/>
        </w:rPr>
      </w:pPr>
    </w:p>
    <w:p w14:paraId="67475F89" w14:textId="77777777" w:rsidR="004D6579" w:rsidRPr="00EB0FA4" w:rsidRDefault="004D6579" w:rsidP="004D6579">
      <w:pPr>
        <w:pStyle w:val="Paragrafoelenco"/>
        <w:numPr>
          <w:ilvl w:val="0"/>
          <w:numId w:val="10"/>
        </w:numPr>
        <w:ind w:left="426" w:hanging="426"/>
        <w:rPr>
          <w:rFonts w:eastAsiaTheme="minorHAnsi" w:cs="Arial"/>
          <w:iCs/>
          <w:szCs w:val="24"/>
          <w:lang w:eastAsia="en-US"/>
        </w:rPr>
      </w:pPr>
      <w:r>
        <w:rPr>
          <w:rFonts w:eastAsiaTheme="minorHAnsi" w:cs="Arial"/>
          <w:iCs/>
          <w:szCs w:val="24"/>
          <w:lang w:eastAsia="en-US"/>
        </w:rPr>
        <w:t xml:space="preserve">Oltre alle richieste della mozione, </w:t>
      </w:r>
      <w:r w:rsidRPr="00A24B01">
        <w:rPr>
          <w:rFonts w:eastAsiaTheme="minorHAnsi" w:cs="Arial"/>
          <w:iCs/>
          <w:szCs w:val="24"/>
          <w:u w:val="single"/>
          <w:lang w:eastAsia="en-US"/>
        </w:rPr>
        <w:t>la Commissione invita il Consiglio di Stato a valutare modalità per far fronte alle difficoltà di liquidità dei produttori e dei commercianti di vino,</w:t>
      </w:r>
      <w:r>
        <w:rPr>
          <w:rFonts w:eastAsiaTheme="minorHAnsi" w:cs="Arial"/>
          <w:iCs/>
          <w:szCs w:val="24"/>
          <w:lang w:eastAsia="en-US"/>
        </w:rPr>
        <w:t xml:space="preserve"> </w:t>
      </w:r>
      <w:proofErr w:type="spellStart"/>
      <w:r>
        <w:rPr>
          <w:rFonts w:eastAsiaTheme="minorHAnsi" w:cs="Arial"/>
          <w:iCs/>
          <w:szCs w:val="24"/>
          <w:lang w:eastAsia="en-US"/>
        </w:rPr>
        <w:t>ev</w:t>
      </w:r>
      <w:proofErr w:type="spellEnd"/>
      <w:r>
        <w:rPr>
          <w:rFonts w:eastAsiaTheme="minorHAnsi" w:cs="Arial"/>
          <w:iCs/>
          <w:szCs w:val="24"/>
          <w:lang w:eastAsia="en-US"/>
        </w:rPr>
        <w:t xml:space="preserve">. con il coinvolgimento di </w:t>
      </w:r>
      <w:proofErr w:type="spellStart"/>
      <w:r>
        <w:rPr>
          <w:rFonts w:eastAsiaTheme="minorHAnsi" w:cs="Arial"/>
          <w:iCs/>
          <w:szCs w:val="24"/>
          <w:lang w:eastAsia="en-US"/>
        </w:rPr>
        <w:t>BancaStato</w:t>
      </w:r>
      <w:proofErr w:type="spellEnd"/>
      <w:r>
        <w:rPr>
          <w:rFonts w:eastAsiaTheme="minorHAnsi" w:cs="Arial"/>
          <w:iCs/>
          <w:szCs w:val="24"/>
          <w:lang w:eastAsia="en-US"/>
        </w:rPr>
        <w:t>, tramite linee di credito a tassi agevolati oppure la concessione di garanzie. Senza questi provvedimenti, il ritiro della prossima vendemmia rischia di essere in forse.</w:t>
      </w:r>
    </w:p>
    <w:p w14:paraId="382903EE" w14:textId="77777777" w:rsidR="004D6579" w:rsidRPr="00890094" w:rsidRDefault="004D6579" w:rsidP="004D6579">
      <w:pPr>
        <w:rPr>
          <w:rFonts w:eastAsiaTheme="minorHAnsi" w:cs="Arial"/>
          <w:iCs/>
          <w:szCs w:val="24"/>
          <w:lang w:eastAsia="en-US"/>
        </w:rPr>
      </w:pPr>
    </w:p>
    <w:p w14:paraId="1888904A" w14:textId="2239A066" w:rsidR="004D6579" w:rsidRDefault="004D6579" w:rsidP="004D6579">
      <w:pPr>
        <w:rPr>
          <w:rFonts w:cs="Arial"/>
        </w:rPr>
      </w:pPr>
    </w:p>
    <w:p w14:paraId="17CB23BA" w14:textId="77777777" w:rsidR="0097525C" w:rsidRDefault="0097525C" w:rsidP="004D6579">
      <w:pPr>
        <w:rPr>
          <w:rFonts w:cs="Arial"/>
        </w:rPr>
      </w:pPr>
    </w:p>
    <w:p w14:paraId="4A141DA8" w14:textId="77777777" w:rsidR="004D6579" w:rsidRDefault="004D6579" w:rsidP="00706F55">
      <w:pPr>
        <w:pStyle w:val="Titolo1"/>
        <w:numPr>
          <w:ilvl w:val="0"/>
          <w:numId w:val="6"/>
        </w:numPr>
        <w:tabs>
          <w:tab w:val="clear" w:pos="425"/>
          <w:tab w:val="left" w:pos="567"/>
        </w:tabs>
        <w:ind w:left="0" w:firstLine="0"/>
      </w:pPr>
      <w:r>
        <w:t>conclusioni</w:t>
      </w:r>
    </w:p>
    <w:p w14:paraId="41D15E4C" w14:textId="77777777" w:rsidR="004D6579" w:rsidRDefault="004D6579" w:rsidP="004D6579">
      <w:pPr>
        <w:rPr>
          <w:rFonts w:eastAsiaTheme="minorHAnsi" w:cs="Arial"/>
          <w:iCs/>
          <w:szCs w:val="24"/>
          <w:lang w:eastAsia="en-US"/>
        </w:rPr>
      </w:pPr>
      <w:r>
        <w:rPr>
          <w:rFonts w:eastAsiaTheme="minorHAnsi" w:cs="Arial"/>
          <w:iCs/>
          <w:szCs w:val="24"/>
          <w:lang w:eastAsia="en-US"/>
        </w:rPr>
        <w:t>La Commissione propone di dichiarare la mozione parzialmente accolta e di dare seguito alle richieste elencate nel capitolo 3.2.</w:t>
      </w:r>
    </w:p>
    <w:p w14:paraId="6F273845" w14:textId="77777777" w:rsidR="004D6579" w:rsidRPr="008B59BF" w:rsidRDefault="004D6579" w:rsidP="004D6579">
      <w:pPr>
        <w:rPr>
          <w:rFonts w:cs="Arial"/>
        </w:rPr>
      </w:pPr>
    </w:p>
    <w:p w14:paraId="4EA6AB5F" w14:textId="77777777" w:rsidR="004D6579" w:rsidRPr="008B59BF" w:rsidRDefault="004D6579" w:rsidP="004D6579">
      <w:pPr>
        <w:rPr>
          <w:rFonts w:cs="Arial"/>
        </w:rPr>
      </w:pPr>
    </w:p>
    <w:p w14:paraId="6B094289" w14:textId="77777777" w:rsidR="004D6579" w:rsidRPr="008B59BF" w:rsidRDefault="004D6579" w:rsidP="004D6579">
      <w:pPr>
        <w:rPr>
          <w:rFonts w:cs="Arial"/>
        </w:rPr>
      </w:pPr>
    </w:p>
    <w:p w14:paraId="5D4A789B" w14:textId="77777777" w:rsidR="004D6579" w:rsidRPr="008B59BF" w:rsidRDefault="004D6579" w:rsidP="004D6579">
      <w:pPr>
        <w:spacing w:after="120"/>
        <w:rPr>
          <w:rFonts w:cs="Arial"/>
        </w:rPr>
      </w:pPr>
      <w:r w:rsidRPr="008B59BF">
        <w:rPr>
          <w:rFonts w:cs="Arial"/>
        </w:rPr>
        <w:t xml:space="preserve">Per la Commissione </w:t>
      </w:r>
      <w:r>
        <w:rPr>
          <w:rFonts w:cs="Arial"/>
        </w:rPr>
        <w:t>ambiente, territorio ed energia</w:t>
      </w:r>
      <w:r w:rsidRPr="008B59BF">
        <w:rPr>
          <w:rFonts w:cs="Arial"/>
        </w:rPr>
        <w:t>:</w:t>
      </w:r>
    </w:p>
    <w:p w14:paraId="0D01AF73" w14:textId="77777777" w:rsidR="004D6579" w:rsidRPr="008B59BF" w:rsidRDefault="004D6579" w:rsidP="004D6579">
      <w:pPr>
        <w:rPr>
          <w:rFonts w:cs="Arial"/>
        </w:rPr>
      </w:pPr>
      <w:r>
        <w:rPr>
          <w:rFonts w:cs="Arial"/>
        </w:rPr>
        <w:t>Fabio Battaglioni</w:t>
      </w:r>
      <w:r w:rsidRPr="008B59BF">
        <w:rPr>
          <w:rFonts w:cs="Arial"/>
        </w:rPr>
        <w:t>, relatore</w:t>
      </w:r>
    </w:p>
    <w:p w14:paraId="450738F1" w14:textId="5887D9F4" w:rsidR="00D8705F" w:rsidRDefault="00B408D7" w:rsidP="00B408D7">
      <w:r w:rsidRPr="0070611F">
        <w:t>Alberti</w:t>
      </w:r>
      <w:r>
        <w:t xml:space="preserve"> - Bang - </w:t>
      </w:r>
      <w:r w:rsidR="00D8705F">
        <w:t xml:space="preserve">Berardi - </w:t>
      </w:r>
      <w:r>
        <w:t xml:space="preserve">Buri </w:t>
      </w:r>
      <w:r w:rsidR="008A3CF2">
        <w:t>-</w:t>
      </w:r>
      <w:r>
        <w:t xml:space="preserve"> </w:t>
      </w:r>
    </w:p>
    <w:p w14:paraId="0C4FE55C" w14:textId="385C3919" w:rsidR="00B408D7" w:rsidRDefault="00B408D7" w:rsidP="00B408D7">
      <w:r>
        <w:t xml:space="preserve">Caroni - Cedraschi - Gaffuri - Garbani Nerini - </w:t>
      </w:r>
    </w:p>
    <w:p w14:paraId="701EA92D" w14:textId="77777777" w:rsidR="00B408D7" w:rsidRDefault="00B408D7" w:rsidP="00B408D7">
      <w:r>
        <w:t xml:space="preserve">Garzoli - Genini - Gnesa - Pinoja - Schnellmann - </w:t>
      </w:r>
    </w:p>
    <w:p w14:paraId="634D215E" w14:textId="77777777" w:rsidR="00B408D7" w:rsidRDefault="00B408D7" w:rsidP="00B408D7">
      <w:r>
        <w:t>Schoenenberger - Terraneo - Tonini</w:t>
      </w:r>
    </w:p>
    <w:p w14:paraId="14B479CA" w14:textId="77777777" w:rsidR="004D6579" w:rsidRPr="008B59BF" w:rsidRDefault="004D6579" w:rsidP="004D6579">
      <w:pPr>
        <w:rPr>
          <w:rFonts w:cs="Arial"/>
        </w:rPr>
      </w:pPr>
    </w:p>
    <w:sectPr w:rsidR="004D6579" w:rsidRPr="008B59BF">
      <w:footerReference w:type="default" r:id="rId10"/>
      <w:pgSz w:w="11906" w:h="16838"/>
      <w:pgMar w:top="1418" w:right="1134" w:bottom="1134" w:left="1134"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390EAC" w14:textId="77777777" w:rsidR="004B74E9" w:rsidRDefault="004B74E9">
      <w:r>
        <w:separator/>
      </w:r>
    </w:p>
  </w:endnote>
  <w:endnote w:type="continuationSeparator" w:id="0">
    <w:p w14:paraId="58573E9A" w14:textId="77777777" w:rsidR="004B74E9" w:rsidRDefault="004B7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ADD9D" w14:textId="1B16B4A6" w:rsidR="00C23AD6" w:rsidRDefault="00C23AD6">
    <w:pPr>
      <w:pStyle w:val="Pidipagina"/>
      <w:jc w:val="center"/>
      <w:rPr>
        <w:sz w:val="20"/>
      </w:rPr>
    </w:pPr>
    <w:r>
      <w:rPr>
        <w:rStyle w:val="Numeropagina"/>
        <w:sz w:val="20"/>
      </w:rPr>
      <w:fldChar w:fldCharType="begin"/>
    </w:r>
    <w:r>
      <w:rPr>
        <w:rStyle w:val="Numeropagina"/>
        <w:sz w:val="20"/>
      </w:rPr>
      <w:instrText xml:space="preserve"> PAGE </w:instrText>
    </w:r>
    <w:r>
      <w:rPr>
        <w:rStyle w:val="Numeropagina"/>
        <w:sz w:val="20"/>
      </w:rPr>
      <w:fldChar w:fldCharType="separate"/>
    </w:r>
    <w:r w:rsidR="00EE28A2">
      <w:rPr>
        <w:rStyle w:val="Numeropagina"/>
        <w:noProof/>
        <w:sz w:val="20"/>
      </w:rPr>
      <w:t>2</w:t>
    </w:r>
    <w:r>
      <w:rPr>
        <w:rStyle w:val="Numeropagin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D6AFC1" w14:textId="77777777" w:rsidR="004B74E9" w:rsidRDefault="004B74E9">
      <w:r>
        <w:separator/>
      </w:r>
    </w:p>
  </w:footnote>
  <w:footnote w:type="continuationSeparator" w:id="0">
    <w:p w14:paraId="249A8C17" w14:textId="77777777" w:rsidR="004B74E9" w:rsidRDefault="004B74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5"/>
    <w:multiLevelType w:val="singleLevel"/>
    <w:tmpl w:val="00000000"/>
    <w:lvl w:ilvl="0">
      <w:start w:val="1"/>
      <w:numFmt w:val="decimal"/>
      <w:lvlText w:val="%1."/>
      <w:legacy w:legacy="1" w:legacySpace="0" w:legacyIndent="860"/>
      <w:lvlJc w:val="left"/>
      <w:pPr>
        <w:ind w:left="860" w:hanging="860"/>
      </w:pPr>
    </w:lvl>
  </w:abstractNum>
  <w:abstractNum w:abstractNumId="2" w15:restartNumberingAfterBreak="0">
    <w:nsid w:val="00000006"/>
    <w:multiLevelType w:val="singleLevel"/>
    <w:tmpl w:val="00000000"/>
    <w:lvl w:ilvl="0">
      <w:start w:val="1"/>
      <w:numFmt w:val="upperRoman"/>
      <w:lvlText w:val="%1."/>
      <w:legacy w:legacy="1" w:legacySpace="0" w:legacyIndent="720"/>
      <w:lvlJc w:val="left"/>
      <w:pPr>
        <w:ind w:left="720" w:hanging="720"/>
      </w:pPr>
    </w:lvl>
  </w:abstractNum>
  <w:abstractNum w:abstractNumId="3" w15:restartNumberingAfterBreak="0">
    <w:nsid w:val="14E83842"/>
    <w:multiLevelType w:val="hybridMultilevel"/>
    <w:tmpl w:val="87AC74D8"/>
    <w:lvl w:ilvl="0" w:tplc="1B700E8E">
      <w:start w:val="6"/>
      <w:numFmt w:val="decimal"/>
      <w:lvlText w:val="%1."/>
      <w:lvlJc w:val="left"/>
      <w:pPr>
        <w:ind w:left="720" w:hanging="360"/>
      </w:pPr>
      <w:rPr>
        <w:rFonts w:hint="default"/>
        <w:b w:val="0"/>
        <w:bCs/>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4" w15:restartNumberingAfterBreak="0">
    <w:nsid w:val="1E5C78F1"/>
    <w:multiLevelType w:val="hybridMultilevel"/>
    <w:tmpl w:val="63D0A430"/>
    <w:lvl w:ilvl="0" w:tplc="10E47F6A">
      <w:numFmt w:val="bullet"/>
      <w:lvlText w:val="-"/>
      <w:lvlJc w:val="left"/>
      <w:pPr>
        <w:ind w:left="720" w:hanging="360"/>
      </w:pPr>
      <w:rPr>
        <w:rFonts w:ascii="Arial" w:eastAsiaTheme="minorHAnsi"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5" w15:restartNumberingAfterBreak="0">
    <w:nsid w:val="244F3337"/>
    <w:multiLevelType w:val="multilevel"/>
    <w:tmpl w:val="08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4B620B9"/>
    <w:multiLevelType w:val="multilevel"/>
    <w:tmpl w:val="23A25EF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EEB1AD6"/>
    <w:multiLevelType w:val="hybridMultilevel"/>
    <w:tmpl w:val="0B5623E8"/>
    <w:lvl w:ilvl="0" w:tplc="CA1ADA44">
      <w:start w:val="1"/>
      <w:numFmt w:val="decimal"/>
      <w:lvlText w:val="%1."/>
      <w:lvlJc w:val="left"/>
      <w:pPr>
        <w:ind w:left="720" w:hanging="360"/>
      </w:pPr>
      <w:rPr>
        <w:b w:val="0"/>
        <w:bCs/>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8" w15:restartNumberingAfterBreak="0">
    <w:nsid w:val="3D023C0A"/>
    <w:multiLevelType w:val="multilevel"/>
    <w:tmpl w:val="08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7B414D1"/>
    <w:multiLevelType w:val="hybridMultilevel"/>
    <w:tmpl w:val="62CE0346"/>
    <w:lvl w:ilvl="0" w:tplc="DFA69778">
      <w:start w:val="1"/>
      <w:numFmt w:val="decimal"/>
      <w:lvlText w:val="%1."/>
      <w:lvlJc w:val="left"/>
      <w:pPr>
        <w:ind w:left="1080" w:hanging="360"/>
      </w:pPr>
      <w:rPr>
        <w:b w:val="0"/>
        <w:bCs/>
      </w:rPr>
    </w:lvl>
    <w:lvl w:ilvl="1" w:tplc="08100019" w:tentative="1">
      <w:start w:val="1"/>
      <w:numFmt w:val="lowerLetter"/>
      <w:lvlText w:val="%2."/>
      <w:lvlJc w:val="left"/>
      <w:pPr>
        <w:ind w:left="1800" w:hanging="360"/>
      </w:pPr>
    </w:lvl>
    <w:lvl w:ilvl="2" w:tplc="0810001B" w:tentative="1">
      <w:start w:val="1"/>
      <w:numFmt w:val="lowerRoman"/>
      <w:lvlText w:val="%3."/>
      <w:lvlJc w:val="right"/>
      <w:pPr>
        <w:ind w:left="2520" w:hanging="180"/>
      </w:pPr>
    </w:lvl>
    <w:lvl w:ilvl="3" w:tplc="0810000F" w:tentative="1">
      <w:start w:val="1"/>
      <w:numFmt w:val="decimal"/>
      <w:lvlText w:val="%4."/>
      <w:lvlJc w:val="left"/>
      <w:pPr>
        <w:ind w:left="3240" w:hanging="360"/>
      </w:pPr>
    </w:lvl>
    <w:lvl w:ilvl="4" w:tplc="08100019" w:tentative="1">
      <w:start w:val="1"/>
      <w:numFmt w:val="lowerLetter"/>
      <w:lvlText w:val="%5."/>
      <w:lvlJc w:val="left"/>
      <w:pPr>
        <w:ind w:left="3960" w:hanging="360"/>
      </w:pPr>
    </w:lvl>
    <w:lvl w:ilvl="5" w:tplc="0810001B" w:tentative="1">
      <w:start w:val="1"/>
      <w:numFmt w:val="lowerRoman"/>
      <w:lvlText w:val="%6."/>
      <w:lvlJc w:val="right"/>
      <w:pPr>
        <w:ind w:left="4680" w:hanging="180"/>
      </w:pPr>
    </w:lvl>
    <w:lvl w:ilvl="6" w:tplc="0810000F" w:tentative="1">
      <w:start w:val="1"/>
      <w:numFmt w:val="decimal"/>
      <w:lvlText w:val="%7."/>
      <w:lvlJc w:val="left"/>
      <w:pPr>
        <w:ind w:left="5400" w:hanging="360"/>
      </w:pPr>
    </w:lvl>
    <w:lvl w:ilvl="7" w:tplc="08100019" w:tentative="1">
      <w:start w:val="1"/>
      <w:numFmt w:val="lowerLetter"/>
      <w:lvlText w:val="%8."/>
      <w:lvlJc w:val="left"/>
      <w:pPr>
        <w:ind w:left="6120" w:hanging="360"/>
      </w:pPr>
    </w:lvl>
    <w:lvl w:ilvl="8" w:tplc="0810001B" w:tentative="1">
      <w:start w:val="1"/>
      <w:numFmt w:val="lowerRoman"/>
      <w:lvlText w:val="%9."/>
      <w:lvlJc w:val="right"/>
      <w:pPr>
        <w:ind w:left="6840" w:hanging="180"/>
      </w:pPr>
    </w:lvl>
  </w:abstractNum>
  <w:abstractNum w:abstractNumId="10" w15:restartNumberingAfterBreak="0">
    <w:nsid w:val="570643F3"/>
    <w:multiLevelType w:val="hybridMultilevel"/>
    <w:tmpl w:val="A706FF34"/>
    <w:lvl w:ilvl="0" w:tplc="1D886020">
      <w:start w:val="1"/>
      <w:numFmt w:val="decimal"/>
      <w:lvlText w:val="%1."/>
      <w:lvlJc w:val="left"/>
      <w:pPr>
        <w:ind w:left="720" w:hanging="360"/>
      </w:pPr>
      <w:rPr>
        <w:b w:val="0"/>
        <w:bCs/>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1" w15:restartNumberingAfterBreak="0">
    <w:nsid w:val="62360FF5"/>
    <w:multiLevelType w:val="multilevel"/>
    <w:tmpl w:val="08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4953A9E"/>
    <w:multiLevelType w:val="singleLevel"/>
    <w:tmpl w:val="0410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2"/>
  </w:num>
  <w:num w:numId="4">
    <w:abstractNumId w:val="12"/>
  </w:num>
  <w:num w:numId="5">
    <w:abstractNumId w:val="9"/>
  </w:num>
  <w:num w:numId="6">
    <w:abstractNumId w:val="11"/>
  </w:num>
  <w:num w:numId="7">
    <w:abstractNumId w:val="8"/>
  </w:num>
  <w:num w:numId="8">
    <w:abstractNumId w:val="7"/>
  </w:num>
  <w:num w:numId="9">
    <w:abstractNumId w:val="10"/>
  </w:num>
  <w:num w:numId="10">
    <w:abstractNumId w:val="3"/>
  </w:num>
  <w:num w:numId="11">
    <w:abstractNumId w:val="5"/>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9BF"/>
    <w:rsid w:val="00005DB2"/>
    <w:rsid w:val="000211FA"/>
    <w:rsid w:val="000266D9"/>
    <w:rsid w:val="0005442D"/>
    <w:rsid w:val="00057A10"/>
    <w:rsid w:val="000A3689"/>
    <w:rsid w:val="000D3DB6"/>
    <w:rsid w:val="00101B56"/>
    <w:rsid w:val="001116D5"/>
    <w:rsid w:val="0013549E"/>
    <w:rsid w:val="001375F5"/>
    <w:rsid w:val="00140957"/>
    <w:rsid w:val="001664A8"/>
    <w:rsid w:val="001A1EFA"/>
    <w:rsid w:val="00222901"/>
    <w:rsid w:val="002962C4"/>
    <w:rsid w:val="002A4464"/>
    <w:rsid w:val="002B16B8"/>
    <w:rsid w:val="002F0E0B"/>
    <w:rsid w:val="00304FAB"/>
    <w:rsid w:val="003079D0"/>
    <w:rsid w:val="00333E17"/>
    <w:rsid w:val="003D3BED"/>
    <w:rsid w:val="00401507"/>
    <w:rsid w:val="00495718"/>
    <w:rsid w:val="004B74E9"/>
    <w:rsid w:val="004D2E8A"/>
    <w:rsid w:val="004D6579"/>
    <w:rsid w:val="00526F2D"/>
    <w:rsid w:val="00546C0B"/>
    <w:rsid w:val="00560655"/>
    <w:rsid w:val="005D6476"/>
    <w:rsid w:val="006079BB"/>
    <w:rsid w:val="00663A2C"/>
    <w:rsid w:val="006B1192"/>
    <w:rsid w:val="006B7509"/>
    <w:rsid w:val="006D1C17"/>
    <w:rsid w:val="006F2B4C"/>
    <w:rsid w:val="0070611F"/>
    <w:rsid w:val="00706F55"/>
    <w:rsid w:val="0074570F"/>
    <w:rsid w:val="00773F3C"/>
    <w:rsid w:val="007752DA"/>
    <w:rsid w:val="00775DCC"/>
    <w:rsid w:val="00776F55"/>
    <w:rsid w:val="007B41D4"/>
    <w:rsid w:val="007B73E4"/>
    <w:rsid w:val="007E43BB"/>
    <w:rsid w:val="0084248C"/>
    <w:rsid w:val="00854703"/>
    <w:rsid w:val="00874D06"/>
    <w:rsid w:val="00890094"/>
    <w:rsid w:val="008A3CF2"/>
    <w:rsid w:val="008B59BF"/>
    <w:rsid w:val="008E43B0"/>
    <w:rsid w:val="008F5513"/>
    <w:rsid w:val="0097525C"/>
    <w:rsid w:val="0099202A"/>
    <w:rsid w:val="00994C99"/>
    <w:rsid w:val="009B19DD"/>
    <w:rsid w:val="009E6F5C"/>
    <w:rsid w:val="00A24B01"/>
    <w:rsid w:val="00A3135E"/>
    <w:rsid w:val="00A67CB0"/>
    <w:rsid w:val="00A7659D"/>
    <w:rsid w:val="00A86315"/>
    <w:rsid w:val="00B030A0"/>
    <w:rsid w:val="00B03EA2"/>
    <w:rsid w:val="00B23A8B"/>
    <w:rsid w:val="00B408D7"/>
    <w:rsid w:val="00BA0A5C"/>
    <w:rsid w:val="00BA3B32"/>
    <w:rsid w:val="00BA3BF9"/>
    <w:rsid w:val="00BB7A97"/>
    <w:rsid w:val="00BD33C4"/>
    <w:rsid w:val="00C23AD6"/>
    <w:rsid w:val="00C31F35"/>
    <w:rsid w:val="00C91565"/>
    <w:rsid w:val="00D07F4E"/>
    <w:rsid w:val="00D46636"/>
    <w:rsid w:val="00D8705F"/>
    <w:rsid w:val="00DE70AC"/>
    <w:rsid w:val="00DF0473"/>
    <w:rsid w:val="00E10459"/>
    <w:rsid w:val="00E6771F"/>
    <w:rsid w:val="00E704F6"/>
    <w:rsid w:val="00EB0FA4"/>
    <w:rsid w:val="00EE28A2"/>
    <w:rsid w:val="00EE62B7"/>
    <w:rsid w:val="00F358E4"/>
    <w:rsid w:val="00FA05D2"/>
    <w:rsid w:val="00FA5DE5"/>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F51503"/>
  <w15:chartTrackingRefBased/>
  <w15:docId w15:val="{EEB265A1-3A16-4934-B846-33D020C00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CH" w:eastAsia="it-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jc w:val="both"/>
    </w:pPr>
    <w:rPr>
      <w:rFonts w:ascii="Arial" w:hAnsi="Arial"/>
      <w:sz w:val="24"/>
      <w:lang w:val="it-IT" w:eastAsia="it-IT"/>
    </w:rPr>
  </w:style>
  <w:style w:type="paragraph" w:styleId="Titolo1">
    <w:name w:val="heading 1"/>
    <w:basedOn w:val="Normale"/>
    <w:next w:val="Normale"/>
    <w:link w:val="Titolo1Carattere"/>
    <w:qFormat/>
    <w:pPr>
      <w:keepNext/>
      <w:tabs>
        <w:tab w:val="left" w:pos="425"/>
      </w:tabs>
      <w:spacing w:after="120"/>
      <w:outlineLvl w:val="0"/>
    </w:pPr>
    <w:rPr>
      <w:b/>
      <w:caps/>
    </w:rPr>
  </w:style>
  <w:style w:type="paragraph" w:styleId="Titolo2">
    <w:name w:val="heading 2"/>
    <w:basedOn w:val="Normale"/>
    <w:next w:val="Normale"/>
    <w:qFormat/>
    <w:pPr>
      <w:keepNext/>
      <w:tabs>
        <w:tab w:val="left" w:pos="425"/>
      </w:tabs>
      <w:spacing w:after="120"/>
      <w:outlineLvl w:val="1"/>
    </w:pPr>
    <w:rPr>
      <w:b/>
    </w:rPr>
  </w:style>
  <w:style w:type="paragraph" w:styleId="Titolo3">
    <w:name w:val="heading 3"/>
    <w:basedOn w:val="Normale"/>
    <w:next w:val="Normale"/>
    <w:qFormat/>
    <w:pPr>
      <w:keepNext/>
      <w:tabs>
        <w:tab w:val="left" w:pos="425"/>
      </w:tabs>
      <w:spacing w:before="120" w:after="120"/>
      <w:outlineLvl w:val="2"/>
    </w:pPr>
    <w:rPr>
      <w:b/>
      <w:i/>
      <w:sz w:val="23"/>
    </w:rPr>
  </w:style>
  <w:style w:type="paragraph" w:styleId="Titolo4">
    <w:name w:val="heading 4"/>
    <w:basedOn w:val="Normale"/>
    <w:next w:val="Normale"/>
    <w:qFormat/>
    <w:pPr>
      <w:keepNext/>
      <w:tabs>
        <w:tab w:val="left" w:pos="425"/>
      </w:tabs>
      <w:spacing w:before="120" w:after="120"/>
      <w:outlineLvl w:val="3"/>
    </w:pPr>
    <w:rPr>
      <w:b/>
      <w:sz w:val="22"/>
      <w:lang w:val="it-CH"/>
    </w:rPr>
  </w:style>
  <w:style w:type="paragraph" w:styleId="Titolo5">
    <w:name w:val="heading 5"/>
    <w:basedOn w:val="Normale"/>
    <w:next w:val="Normale"/>
    <w:qFormat/>
    <w:pPr>
      <w:keepNext/>
      <w:outlineLvl w:val="4"/>
    </w:pPr>
    <w:rPr>
      <w:b/>
      <w:sz w:val="28"/>
      <w:lang w:val="it-CH"/>
    </w:rPr>
  </w:style>
  <w:style w:type="paragraph" w:styleId="Titolo6">
    <w:name w:val="heading 6"/>
    <w:basedOn w:val="Normale"/>
    <w:next w:val="Normale"/>
    <w:qFormat/>
    <w:pPr>
      <w:keepNext/>
      <w:tabs>
        <w:tab w:val="left" w:pos="2900"/>
        <w:tab w:val="left" w:pos="3320"/>
        <w:tab w:val="left" w:pos="5000"/>
        <w:tab w:val="left" w:pos="6400"/>
        <w:tab w:val="left" w:pos="9199"/>
      </w:tabs>
      <w:ind w:left="20" w:right="-560"/>
      <w:outlineLvl w:val="5"/>
    </w:pPr>
    <w:rPr>
      <w:rFonts w:ascii="Helvetica" w:hAnsi="Helvetica"/>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Corpotesto">
    <w:name w:val="Body Text"/>
    <w:basedOn w:val="Normale"/>
    <w:rPr>
      <w:rFonts w:ascii="Arial Narrow" w:hAnsi="Arial Narrow"/>
    </w:rPr>
  </w:style>
  <w:style w:type="paragraph" w:customStyle="1" w:styleId="Capoverso">
    <w:name w:val="Capoverso"/>
    <w:basedOn w:val="Normale"/>
    <w:pPr>
      <w:spacing w:before="120"/>
    </w:pPr>
    <w:rPr>
      <w:rFonts w:ascii="Helvetica" w:hAnsi="Helvetica"/>
    </w:rPr>
  </w:style>
  <w:style w:type="paragraph" w:customStyle="1" w:styleId="Tabella">
    <w:name w:val="Tabella"/>
    <w:basedOn w:val="Normale"/>
    <w:pPr>
      <w:tabs>
        <w:tab w:val="right" w:pos="4536"/>
        <w:tab w:val="right" w:pos="6237"/>
        <w:tab w:val="right" w:pos="7938"/>
      </w:tabs>
      <w:spacing w:before="80"/>
      <w:ind w:left="284" w:hanging="284"/>
    </w:pPr>
    <w:rPr>
      <w:rFonts w:ascii="Helvetica" w:hAnsi="Helvetica"/>
    </w:rPr>
  </w:style>
  <w:style w:type="character" w:styleId="Rimandonotaapidipagina">
    <w:name w:val="footnote reference"/>
    <w:semiHidden/>
    <w:rPr>
      <w:position w:val="6"/>
      <w:sz w:val="16"/>
    </w:rPr>
  </w:style>
  <w:style w:type="paragraph" w:customStyle="1" w:styleId="Figuralegenda">
    <w:name w:val="Figura legenda"/>
    <w:basedOn w:val="Normale"/>
    <w:pPr>
      <w:spacing w:before="120" w:after="120"/>
      <w:ind w:left="1123" w:hanging="1123"/>
      <w:jc w:val="left"/>
    </w:pPr>
    <w:rPr>
      <w:rFonts w:ascii="Helvetica" w:hAnsi="Helvetica"/>
      <w:sz w:val="20"/>
    </w:rPr>
  </w:style>
  <w:style w:type="paragraph" w:styleId="Testonotaapidipagina">
    <w:name w:val="footnote text"/>
    <w:basedOn w:val="Normale"/>
    <w:semiHidden/>
    <w:pPr>
      <w:jc w:val="left"/>
    </w:pPr>
    <w:rPr>
      <w:rFonts w:ascii="Helvetica" w:hAnsi="Helvetica"/>
      <w:sz w:val="20"/>
    </w:rPr>
  </w:style>
  <w:style w:type="character" w:styleId="Collegamentoipertestuale">
    <w:name w:val="Hyperlink"/>
    <w:basedOn w:val="Carpredefinitoparagrafo"/>
    <w:rsid w:val="000266D9"/>
    <w:rPr>
      <w:color w:val="0563C1" w:themeColor="hyperlink"/>
      <w:u w:val="single"/>
    </w:rPr>
  </w:style>
  <w:style w:type="character" w:customStyle="1" w:styleId="UnresolvedMention">
    <w:name w:val="Unresolved Mention"/>
    <w:basedOn w:val="Carpredefinitoparagrafo"/>
    <w:uiPriority w:val="99"/>
    <w:semiHidden/>
    <w:unhideWhenUsed/>
    <w:rsid w:val="000266D9"/>
    <w:rPr>
      <w:color w:val="605E5C"/>
      <w:shd w:val="clear" w:color="auto" w:fill="E1DFDD"/>
    </w:rPr>
  </w:style>
  <w:style w:type="paragraph" w:styleId="Paragrafoelenco">
    <w:name w:val="List Paragraph"/>
    <w:basedOn w:val="Normale"/>
    <w:uiPriority w:val="34"/>
    <w:qFormat/>
    <w:rsid w:val="00F358E4"/>
    <w:pPr>
      <w:ind w:left="720"/>
      <w:contextualSpacing/>
    </w:pPr>
  </w:style>
  <w:style w:type="character" w:customStyle="1" w:styleId="Titolo1Carattere">
    <w:name w:val="Titolo 1 Carattere"/>
    <w:basedOn w:val="Carpredefinitoparagrafo"/>
    <w:link w:val="Titolo1"/>
    <w:rsid w:val="001664A8"/>
    <w:rPr>
      <w:rFonts w:ascii="Arial" w:hAnsi="Arial"/>
      <w:b/>
      <w:caps/>
      <w:sz w:val="24"/>
      <w:lang w:val="it-IT" w:eastAsia="it-IT"/>
    </w:rPr>
  </w:style>
  <w:style w:type="table" w:styleId="Grigliatabella">
    <w:name w:val="Table Grid"/>
    <w:basedOn w:val="Tabellanormale"/>
    <w:rsid w:val="001116D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semiHidden/>
    <w:unhideWhenUsed/>
    <w:rsid w:val="006079BB"/>
    <w:rPr>
      <w:rFonts w:ascii="Segoe UI" w:hAnsi="Segoe UI" w:cs="Segoe UI"/>
      <w:sz w:val="18"/>
      <w:szCs w:val="18"/>
    </w:rPr>
  </w:style>
  <w:style w:type="character" w:customStyle="1" w:styleId="TestofumettoCarattere">
    <w:name w:val="Testo fumetto Carattere"/>
    <w:basedOn w:val="Carpredefinitoparagrafo"/>
    <w:link w:val="Testofumetto"/>
    <w:semiHidden/>
    <w:rsid w:val="006079BB"/>
    <w:rPr>
      <w:rFonts w:ascii="Segoe UI" w:hAnsi="Segoe UI" w:cs="Segoe UI"/>
      <w:sz w:val="18"/>
      <w:szCs w:val="18"/>
      <w:lang w:val="it-IT" w:eastAsia="it-IT"/>
    </w:rPr>
  </w:style>
  <w:style w:type="paragraph" w:styleId="NormaleWeb">
    <w:name w:val="Normal (Web)"/>
    <w:basedOn w:val="Normale"/>
    <w:uiPriority w:val="99"/>
    <w:rsid w:val="006F2B4C"/>
    <w:pPr>
      <w:spacing w:before="100" w:beforeAutospacing="1" w:after="100" w:afterAutospacing="1"/>
      <w:jc w:val="left"/>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141027">
      <w:bodyDiv w:val="1"/>
      <w:marLeft w:val="0"/>
      <w:marRight w:val="0"/>
      <w:marTop w:val="0"/>
      <w:marBottom w:val="0"/>
      <w:divBdr>
        <w:top w:val="none" w:sz="0" w:space="0" w:color="auto"/>
        <w:left w:val="none" w:sz="0" w:space="0" w:color="auto"/>
        <w:bottom w:val="none" w:sz="0" w:space="0" w:color="auto"/>
        <w:right w:val="none" w:sz="0" w:space="0" w:color="auto"/>
      </w:divBdr>
    </w:div>
    <w:div w:id="403457068">
      <w:bodyDiv w:val="1"/>
      <w:marLeft w:val="0"/>
      <w:marRight w:val="0"/>
      <w:marTop w:val="0"/>
      <w:marBottom w:val="0"/>
      <w:divBdr>
        <w:top w:val="none" w:sz="0" w:space="0" w:color="auto"/>
        <w:left w:val="none" w:sz="0" w:space="0" w:color="auto"/>
        <w:bottom w:val="none" w:sz="0" w:space="0" w:color="auto"/>
        <w:right w:val="none" w:sz="0" w:space="0" w:color="auto"/>
      </w:divBdr>
    </w:div>
    <w:div w:id="638994933">
      <w:bodyDiv w:val="1"/>
      <w:marLeft w:val="0"/>
      <w:marRight w:val="0"/>
      <w:marTop w:val="0"/>
      <w:marBottom w:val="0"/>
      <w:divBdr>
        <w:top w:val="none" w:sz="0" w:space="0" w:color="auto"/>
        <w:left w:val="none" w:sz="0" w:space="0" w:color="auto"/>
        <w:bottom w:val="none" w:sz="0" w:space="0" w:color="auto"/>
        <w:right w:val="none" w:sz="0" w:space="0" w:color="auto"/>
      </w:divBdr>
    </w:div>
    <w:div w:id="649099229">
      <w:bodyDiv w:val="1"/>
      <w:marLeft w:val="0"/>
      <w:marRight w:val="0"/>
      <w:marTop w:val="0"/>
      <w:marBottom w:val="0"/>
      <w:divBdr>
        <w:top w:val="none" w:sz="0" w:space="0" w:color="auto"/>
        <w:left w:val="none" w:sz="0" w:space="0" w:color="auto"/>
        <w:bottom w:val="none" w:sz="0" w:space="0" w:color="auto"/>
        <w:right w:val="none" w:sz="0" w:space="0" w:color="auto"/>
      </w:divBdr>
    </w:div>
    <w:div w:id="145725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GC-documento" ma:contentTypeID="0x01010006054E6C1379FE4698CFB9C223FACCAB0024D60B1C616C4C4C88FD0E0C700C3090" ma:contentTypeVersion="2" ma:contentTypeDescription="" ma:contentTypeScope="" ma:versionID="ee7d3dcdd440f5a4955755fd6aac0e17">
  <xsd:schema xmlns:xsd="http://www.w3.org/2001/XMLSchema" xmlns:xs="http://www.w3.org/2001/XMLSchema" xmlns:p="http://schemas.microsoft.com/office/2006/metadata/properties" targetNamespace="http://schemas.microsoft.com/office/2006/metadata/properties" ma:root="true" ma:fieldsID="f35462b7d4eb90d978e9ba393417966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23101B-252E-4B91-8D5A-4AF0A7D34BED}">
  <ds:schemaRefs>
    <ds:schemaRef ds:uri="http://schemas.microsoft.com/sharepoint/v3/contenttype/forms"/>
  </ds:schemaRefs>
</ds:datastoreItem>
</file>

<file path=customXml/itemProps2.xml><?xml version="1.0" encoding="utf-8"?>
<ds:datastoreItem xmlns:ds="http://schemas.openxmlformats.org/officeDocument/2006/customXml" ds:itemID="{4517DB42-B7C4-455A-A45B-1AED8391A9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86D94C6-8D04-4888-8E83-D38C2705AB91}">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1801</Words>
  <Characters>9960</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0000</vt:lpstr>
    </vt:vector>
  </TitlesOfParts>
  <Company>CCI</Company>
  <LinksUpToDate>false</LinksUpToDate>
  <CharactersWithSpaces>11738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0000</dc:title>
  <dc:subject/>
  <dc:creator>Agostinetti Jole</dc:creator>
  <cp:keywords/>
  <cp:lastModifiedBy>Morandi Marisa</cp:lastModifiedBy>
  <cp:revision>2</cp:revision>
  <cp:lastPrinted>2021-05-18T15:32:00Z</cp:lastPrinted>
  <dcterms:created xsi:type="dcterms:W3CDTF">2021-05-18T15:34:00Z</dcterms:created>
  <dcterms:modified xsi:type="dcterms:W3CDTF">2021-05-18T15:34:00Z</dcterms:modified>
</cp:coreProperties>
</file>