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7E6E3" w14:textId="7CAE645B" w:rsidR="00A04BB7" w:rsidRDefault="007D0900" w:rsidP="000D2082">
      <w:pPr>
        <w:widowControl/>
        <w:tabs>
          <w:tab w:val="left" w:pos="2410"/>
        </w:tabs>
        <w:autoSpaceDE/>
        <w:autoSpaceDN/>
        <w:adjustRightInd/>
        <w:spacing w:before="80"/>
        <w:jc w:val="both"/>
        <w:rPr>
          <w:rFonts w:eastAsiaTheme="minorHAnsi"/>
          <w:sz w:val="24"/>
          <w:szCs w:val="24"/>
          <w:lang w:val="it-CH" w:eastAsia="en-US"/>
        </w:rPr>
      </w:pPr>
      <w:bookmarkStart w:id="0" w:name="_Hlk39055030"/>
      <w:r w:rsidRPr="007D0900">
        <w:rPr>
          <w:rFonts w:ascii="Gill Sans MT" w:hAnsi="Gill Sans MT"/>
          <w:b/>
          <w:sz w:val="56"/>
          <w:szCs w:val="56"/>
        </w:rPr>
        <w:t>Rapporto</w:t>
      </w:r>
      <w:r w:rsidR="000D2082">
        <w:rPr>
          <w:rFonts w:eastAsiaTheme="minorHAnsi"/>
          <w:sz w:val="24"/>
          <w:szCs w:val="24"/>
          <w:lang w:val="it-CH" w:eastAsia="en-US"/>
        </w:rPr>
        <w:tab/>
      </w:r>
      <w:r w:rsidR="000D2082" w:rsidRPr="005C669B">
        <w:rPr>
          <w:rFonts w:ascii="Gill Sans MT" w:hAnsi="Gill Sans MT"/>
          <w:b/>
          <w:sz w:val="56"/>
          <w:szCs w:val="56"/>
        </w:rPr>
        <w:t>di maggioranza</w:t>
      </w:r>
      <w:r w:rsidR="003000B4">
        <w:rPr>
          <w:rFonts w:ascii="Gill Sans MT" w:hAnsi="Gill Sans MT"/>
          <w:b/>
          <w:sz w:val="56"/>
          <w:szCs w:val="56"/>
        </w:rPr>
        <w:tab/>
      </w:r>
    </w:p>
    <w:p w14:paraId="5FC72CFF" w14:textId="5327D38F" w:rsidR="00877153" w:rsidRPr="007D0900" w:rsidRDefault="009853B0" w:rsidP="00A04BB7">
      <w:pPr>
        <w:widowControl/>
        <w:autoSpaceDE/>
        <w:autoSpaceDN/>
        <w:adjustRightInd/>
        <w:jc w:val="both"/>
        <w:rPr>
          <w:rFonts w:eastAsiaTheme="minorHAnsi"/>
          <w:b/>
          <w:lang w:val="it-CH" w:eastAsia="en-US"/>
        </w:rPr>
      </w:pPr>
      <w:r w:rsidRPr="007D0900">
        <w:rPr>
          <w:rFonts w:eastAsiaTheme="minorHAnsi"/>
          <w:b/>
          <w:lang w:val="it-CH" w:eastAsia="en-US"/>
        </w:rPr>
        <w:t xml:space="preserve">(ANNULLA E SOSTITUISCE </w:t>
      </w:r>
      <w:r w:rsidR="007D0900" w:rsidRPr="007D0900">
        <w:rPr>
          <w:rFonts w:eastAsiaTheme="minorHAnsi"/>
          <w:b/>
          <w:lang w:val="it-CH" w:eastAsia="en-US"/>
        </w:rPr>
        <w:t xml:space="preserve">LA VERSIONE </w:t>
      </w:r>
      <w:r w:rsidRPr="007D0900">
        <w:rPr>
          <w:rFonts w:eastAsiaTheme="minorHAnsi"/>
          <w:b/>
          <w:lang w:val="it-CH" w:eastAsia="en-US"/>
        </w:rPr>
        <w:t>PRECEDENTE)</w:t>
      </w:r>
    </w:p>
    <w:p w14:paraId="59778E8D" w14:textId="77777777" w:rsidR="00A04BB7" w:rsidRPr="000D2082" w:rsidRDefault="00A04BB7" w:rsidP="00A04BB7">
      <w:pPr>
        <w:widowControl/>
        <w:autoSpaceDE/>
        <w:autoSpaceDN/>
        <w:adjustRightInd/>
        <w:jc w:val="both"/>
        <w:rPr>
          <w:rFonts w:eastAsiaTheme="minorHAnsi"/>
          <w:sz w:val="28"/>
          <w:szCs w:val="28"/>
          <w:lang w:val="it-CH" w:eastAsia="en-US"/>
        </w:rPr>
      </w:pPr>
    </w:p>
    <w:p w14:paraId="0198FC8C" w14:textId="6D734737" w:rsidR="00460758" w:rsidRPr="00BE2C94" w:rsidRDefault="00FA447A" w:rsidP="00BB4FD4">
      <w:pPr>
        <w:widowControl/>
        <w:tabs>
          <w:tab w:val="left" w:pos="2127"/>
          <w:tab w:val="left" w:pos="4962"/>
        </w:tabs>
        <w:autoSpaceDE/>
        <w:autoSpaceDN/>
        <w:adjustRightInd/>
        <w:jc w:val="both"/>
        <w:rPr>
          <w:rFonts w:eastAsiaTheme="minorHAnsi"/>
          <w:b/>
          <w:sz w:val="24"/>
          <w:szCs w:val="24"/>
          <w:lang w:val="it-CH" w:eastAsia="en-US"/>
        </w:rPr>
      </w:pPr>
      <w:r>
        <w:rPr>
          <w:rFonts w:eastAsiaTheme="minorHAnsi"/>
          <w:b/>
          <w:sz w:val="32"/>
          <w:szCs w:val="32"/>
          <w:lang w:val="it-CH" w:eastAsia="en-US"/>
        </w:rPr>
        <w:t>8002</w:t>
      </w:r>
      <w:r w:rsidR="00460758" w:rsidRPr="00A04BB7">
        <w:rPr>
          <w:rFonts w:eastAsiaTheme="minorHAnsi"/>
          <w:b/>
          <w:sz w:val="32"/>
          <w:szCs w:val="32"/>
          <w:lang w:val="it-CH" w:eastAsia="en-US"/>
        </w:rPr>
        <w:t xml:space="preserve"> R</w:t>
      </w:r>
      <w:r w:rsidR="00CC5E38">
        <w:rPr>
          <w:rFonts w:eastAsiaTheme="minorHAnsi"/>
          <w:b/>
          <w:sz w:val="32"/>
          <w:szCs w:val="32"/>
          <w:lang w:val="it-CH" w:eastAsia="en-US"/>
        </w:rPr>
        <w:t>1</w:t>
      </w:r>
      <w:r w:rsidR="00A04BB7" w:rsidRPr="00A04BB7">
        <w:rPr>
          <w:rFonts w:eastAsiaTheme="minorHAnsi"/>
          <w:sz w:val="28"/>
          <w:szCs w:val="28"/>
          <w:lang w:val="it-CH" w:eastAsia="en-US"/>
        </w:rPr>
        <w:tab/>
      </w:r>
      <w:r w:rsidR="000D2082">
        <w:rPr>
          <w:rFonts w:eastAsiaTheme="minorHAnsi"/>
          <w:sz w:val="28"/>
          <w:szCs w:val="28"/>
          <w:lang w:val="it-CH" w:eastAsia="en-US"/>
        </w:rPr>
        <w:t xml:space="preserve">8 </w:t>
      </w:r>
      <w:r w:rsidR="00C83385">
        <w:rPr>
          <w:rFonts w:eastAsiaTheme="minorHAnsi"/>
          <w:sz w:val="28"/>
          <w:szCs w:val="28"/>
          <w:lang w:val="it-CH" w:eastAsia="en-US"/>
        </w:rPr>
        <w:t>giugno</w:t>
      </w:r>
      <w:r w:rsidR="00DA0062">
        <w:rPr>
          <w:rFonts w:eastAsiaTheme="minorHAnsi"/>
          <w:sz w:val="28"/>
          <w:szCs w:val="28"/>
          <w:lang w:val="it-CH" w:eastAsia="en-US"/>
        </w:rPr>
        <w:t xml:space="preserve"> 2021</w:t>
      </w:r>
      <w:r w:rsidR="00A04BB7" w:rsidRPr="00A04BB7">
        <w:rPr>
          <w:rFonts w:eastAsiaTheme="minorHAnsi"/>
          <w:sz w:val="28"/>
          <w:szCs w:val="28"/>
          <w:lang w:val="it-CH" w:eastAsia="en-US"/>
        </w:rPr>
        <w:tab/>
      </w:r>
      <w:r w:rsidR="00C83385">
        <w:rPr>
          <w:rFonts w:eastAsiaTheme="minorHAnsi"/>
          <w:sz w:val="28"/>
          <w:szCs w:val="28"/>
          <w:lang w:val="it-CH" w:eastAsia="en-US"/>
        </w:rPr>
        <w:t>FINANZE E ECONOMIA</w:t>
      </w:r>
    </w:p>
    <w:p w14:paraId="2C11D567" w14:textId="1BCAC050" w:rsidR="00460758" w:rsidRPr="00A04BB7" w:rsidRDefault="00460758" w:rsidP="00A04BB7">
      <w:pPr>
        <w:widowControl/>
        <w:autoSpaceDE/>
        <w:autoSpaceDN/>
        <w:adjustRightInd/>
        <w:jc w:val="both"/>
        <w:rPr>
          <w:rFonts w:eastAsiaTheme="minorHAnsi"/>
          <w:sz w:val="24"/>
          <w:szCs w:val="24"/>
          <w:lang w:val="it-CH" w:eastAsia="en-US"/>
        </w:rPr>
      </w:pPr>
    </w:p>
    <w:p w14:paraId="4C407D0D" w14:textId="542DCCE2" w:rsidR="00A04BB7" w:rsidRPr="00A04BB7" w:rsidRDefault="00A04BB7" w:rsidP="00A04BB7">
      <w:pPr>
        <w:widowControl/>
        <w:autoSpaceDE/>
        <w:autoSpaceDN/>
        <w:adjustRightInd/>
        <w:jc w:val="both"/>
        <w:rPr>
          <w:rFonts w:eastAsiaTheme="minorHAnsi"/>
          <w:sz w:val="24"/>
          <w:szCs w:val="24"/>
          <w:lang w:val="it-CH" w:eastAsia="en-US"/>
        </w:rPr>
      </w:pPr>
    </w:p>
    <w:p w14:paraId="7C19E373" w14:textId="77777777" w:rsidR="00A04BB7" w:rsidRPr="00A04BB7" w:rsidRDefault="00A04BB7" w:rsidP="00A04BB7">
      <w:pPr>
        <w:widowControl/>
        <w:autoSpaceDE/>
        <w:autoSpaceDN/>
        <w:adjustRightInd/>
        <w:jc w:val="both"/>
        <w:rPr>
          <w:rFonts w:eastAsiaTheme="minorHAnsi"/>
          <w:sz w:val="24"/>
          <w:szCs w:val="24"/>
          <w:lang w:val="it-CH" w:eastAsia="en-US"/>
        </w:rPr>
      </w:pPr>
    </w:p>
    <w:p w14:paraId="33D1EF95" w14:textId="77777777" w:rsidR="000D2082" w:rsidRPr="003A0FD3" w:rsidRDefault="000D2082" w:rsidP="000D2082">
      <w:pPr>
        <w:rPr>
          <w:rFonts w:eastAsia="Calibri"/>
          <w:b/>
          <w:iCs/>
          <w:color w:val="000000"/>
          <w:sz w:val="28"/>
          <w:szCs w:val="28"/>
        </w:rPr>
      </w:pPr>
      <w:r w:rsidRPr="003A0FD3">
        <w:rPr>
          <w:rFonts w:eastAsia="Calibri"/>
          <w:b/>
          <w:color w:val="000000"/>
          <w:sz w:val="28"/>
          <w:szCs w:val="28"/>
        </w:rPr>
        <w:t>della Commissione economia e lavoro</w:t>
      </w:r>
    </w:p>
    <w:p w14:paraId="17E0FF9F" w14:textId="7ACE05F3" w:rsidR="000D2082" w:rsidRPr="003A0FD3" w:rsidRDefault="000D2082" w:rsidP="000D2082">
      <w:pPr>
        <w:spacing w:after="120"/>
        <w:jc w:val="both"/>
        <w:rPr>
          <w:rFonts w:eastAsia="MS Mincho"/>
          <w:b/>
          <w:iCs/>
          <w:sz w:val="28"/>
          <w:szCs w:val="28"/>
        </w:rPr>
      </w:pPr>
      <w:r w:rsidRPr="003A0FD3">
        <w:rPr>
          <w:rFonts w:eastAsia="Calibri"/>
          <w:b/>
          <w:color w:val="000000"/>
          <w:sz w:val="28"/>
          <w:szCs w:val="28"/>
        </w:rPr>
        <w:t>sull'</w:t>
      </w:r>
      <w:r w:rsidRPr="003A0FD3">
        <w:rPr>
          <w:rFonts w:eastAsia="Calibri"/>
          <w:b/>
          <w:iCs/>
          <w:color w:val="000000"/>
          <w:sz w:val="28"/>
          <w:szCs w:val="28"/>
        </w:rPr>
        <w:t>i</w:t>
      </w:r>
      <w:r w:rsidRPr="003A0FD3">
        <w:rPr>
          <w:rFonts w:eastAsia="MS Mincho"/>
          <w:b/>
          <w:sz w:val="28"/>
          <w:szCs w:val="28"/>
        </w:rPr>
        <w:t xml:space="preserve">niziativa parlamentare 28 maggio 2018 presentata nella forma elaborata da Giorgio Fonio e Fiorenzo Dadò per il Gruppo PPD+GG per la </w:t>
      </w:r>
      <w:r>
        <w:rPr>
          <w:rFonts w:eastAsia="MS Mincho"/>
          <w:b/>
          <w:sz w:val="28"/>
          <w:szCs w:val="28"/>
        </w:rPr>
        <w:t>m</w:t>
      </w:r>
      <w:r w:rsidRPr="003A0FD3">
        <w:rPr>
          <w:rFonts w:eastAsia="MS Mincho"/>
          <w:b/>
          <w:sz w:val="28"/>
          <w:szCs w:val="28"/>
        </w:rPr>
        <w:t xml:space="preserve">odifica dell'art. 5 della </w:t>
      </w:r>
      <w:r w:rsidRPr="003A0FD3">
        <w:rPr>
          <w:rFonts w:eastAsia="MS Mincho"/>
          <w:b/>
          <w:bCs/>
          <w:sz w:val="28"/>
          <w:szCs w:val="28"/>
        </w:rPr>
        <w:t>Legge sul rilancio dell'occupazione e sul sostegno ai disoccupati: p</w:t>
      </w:r>
      <w:r w:rsidRPr="003A0FD3">
        <w:rPr>
          <w:rFonts w:eastAsia="MS Mincho"/>
          <w:b/>
          <w:sz w:val="28"/>
          <w:szCs w:val="28"/>
        </w:rPr>
        <w:t>er un maggior sostegno all'occupazione degli over 50</w:t>
      </w:r>
    </w:p>
    <w:p w14:paraId="2DBB3E18" w14:textId="61F13311" w:rsidR="000D2082" w:rsidRPr="000D2082" w:rsidRDefault="000D2082" w:rsidP="000D2082">
      <w:pPr>
        <w:spacing w:before="100"/>
        <w:rPr>
          <w:rFonts w:eastAsia="Calibri"/>
          <w:b/>
          <w:iCs/>
          <w:color w:val="000000"/>
          <w:sz w:val="26"/>
          <w:szCs w:val="26"/>
        </w:rPr>
      </w:pPr>
      <w:r w:rsidRPr="000D2082">
        <w:rPr>
          <w:rFonts w:eastAsia="Calibri"/>
          <w:b/>
          <w:bCs/>
          <w:color w:val="000000"/>
          <w:sz w:val="26"/>
          <w:szCs w:val="26"/>
        </w:rPr>
        <w:t>(v</w:t>
      </w:r>
      <w:r w:rsidRPr="000D2082">
        <w:rPr>
          <w:rFonts w:eastAsia="Calibri"/>
          <w:b/>
          <w:bCs/>
          <w:iCs/>
          <w:color w:val="000000"/>
          <w:sz w:val="26"/>
          <w:szCs w:val="26"/>
        </w:rPr>
        <w:t xml:space="preserve">edi </w:t>
      </w:r>
      <w:r w:rsidRPr="000D2082">
        <w:rPr>
          <w:rFonts w:eastAsia="Calibri"/>
          <w:b/>
          <w:bCs/>
          <w:color w:val="000000"/>
          <w:sz w:val="26"/>
          <w:szCs w:val="26"/>
        </w:rPr>
        <w:t xml:space="preserve">messaggio 26 maggio 2021 n. </w:t>
      </w:r>
      <w:r w:rsidRPr="000D2082">
        <w:rPr>
          <w:rFonts w:eastAsia="Calibri"/>
          <w:b/>
          <w:bCs/>
          <w:sz w:val="26"/>
          <w:szCs w:val="26"/>
        </w:rPr>
        <w:t>8002</w:t>
      </w:r>
      <w:r w:rsidRPr="000D2082">
        <w:rPr>
          <w:rFonts w:eastAsia="Calibri"/>
          <w:b/>
          <w:bCs/>
          <w:color w:val="000000"/>
          <w:sz w:val="26"/>
          <w:szCs w:val="26"/>
        </w:rPr>
        <w:t xml:space="preserve">) </w:t>
      </w:r>
    </w:p>
    <w:p w14:paraId="0349F591" w14:textId="77777777" w:rsidR="000D2082" w:rsidRPr="000D2082" w:rsidRDefault="000D2082" w:rsidP="000D2082">
      <w:pPr>
        <w:tabs>
          <w:tab w:val="left" w:pos="2268"/>
        </w:tabs>
        <w:rPr>
          <w:rFonts w:eastAsia="MS Mincho"/>
          <w:iCs/>
          <w:sz w:val="24"/>
          <w:szCs w:val="24"/>
        </w:rPr>
      </w:pPr>
    </w:p>
    <w:p w14:paraId="3EBF5D49" w14:textId="2D221745" w:rsidR="000D2082" w:rsidRDefault="000D2082" w:rsidP="000D2082">
      <w:pPr>
        <w:tabs>
          <w:tab w:val="left" w:pos="2268"/>
        </w:tabs>
        <w:rPr>
          <w:rFonts w:eastAsia="MS Mincho"/>
          <w:iCs/>
          <w:sz w:val="24"/>
          <w:szCs w:val="24"/>
        </w:rPr>
      </w:pPr>
    </w:p>
    <w:p w14:paraId="0FE37222" w14:textId="77777777" w:rsidR="000D2082" w:rsidRPr="000D2082" w:rsidRDefault="000D2082" w:rsidP="000D2082">
      <w:pPr>
        <w:tabs>
          <w:tab w:val="left" w:pos="2268"/>
        </w:tabs>
        <w:rPr>
          <w:rFonts w:eastAsia="MS Mincho"/>
          <w:iCs/>
          <w:sz w:val="24"/>
          <w:szCs w:val="24"/>
        </w:rPr>
      </w:pPr>
    </w:p>
    <w:p w14:paraId="4E6A95FB" w14:textId="1BFABC85" w:rsidR="000D2082" w:rsidRPr="008A2A19" w:rsidRDefault="000D2082" w:rsidP="000D2082">
      <w:pPr>
        <w:tabs>
          <w:tab w:val="left" w:pos="567"/>
        </w:tabs>
        <w:spacing w:after="120"/>
        <w:rPr>
          <w:rFonts w:eastAsia="MS Mincho"/>
          <w:b/>
          <w:iCs/>
          <w:sz w:val="24"/>
          <w:szCs w:val="24"/>
        </w:rPr>
      </w:pPr>
      <w:r w:rsidRPr="00607E37">
        <w:rPr>
          <w:rFonts w:eastAsia="MS Mincho"/>
          <w:b/>
          <w:sz w:val="24"/>
          <w:szCs w:val="24"/>
        </w:rPr>
        <w:t xml:space="preserve">1. </w:t>
      </w:r>
      <w:r>
        <w:rPr>
          <w:rFonts w:eastAsia="MS Mincho"/>
          <w:b/>
          <w:sz w:val="24"/>
          <w:szCs w:val="24"/>
        </w:rPr>
        <w:tab/>
      </w:r>
      <w:r w:rsidRPr="00607E37">
        <w:rPr>
          <w:rFonts w:eastAsia="MS Mincho"/>
          <w:b/>
          <w:sz w:val="24"/>
          <w:szCs w:val="24"/>
        </w:rPr>
        <w:t>LE MOTIVAZIONI</w:t>
      </w:r>
    </w:p>
    <w:p w14:paraId="6791A648" w14:textId="77777777" w:rsidR="000D2082" w:rsidRPr="008A2A19" w:rsidRDefault="000D2082" w:rsidP="000D2082">
      <w:pPr>
        <w:jc w:val="both"/>
        <w:rPr>
          <w:rFonts w:eastAsia="MS Mincho"/>
          <w:iCs/>
          <w:sz w:val="24"/>
          <w:szCs w:val="24"/>
        </w:rPr>
      </w:pPr>
      <w:r w:rsidRPr="008A2A19">
        <w:rPr>
          <w:rFonts w:eastAsia="MS Mincho"/>
          <w:sz w:val="24"/>
          <w:szCs w:val="24"/>
        </w:rPr>
        <w:t xml:space="preserve">Gli </w:t>
      </w:r>
      <w:proofErr w:type="spellStart"/>
      <w:r w:rsidRPr="008A2A19">
        <w:rPr>
          <w:rFonts w:eastAsia="MS Mincho"/>
          <w:sz w:val="24"/>
          <w:szCs w:val="24"/>
        </w:rPr>
        <w:t>iniziativisti</w:t>
      </w:r>
      <w:proofErr w:type="spellEnd"/>
      <w:r w:rsidRPr="008A2A19">
        <w:rPr>
          <w:rFonts w:eastAsia="MS Mincho"/>
          <w:sz w:val="24"/>
          <w:szCs w:val="24"/>
        </w:rPr>
        <w:t xml:space="preserve"> si pr</w:t>
      </w:r>
      <w:r>
        <w:rPr>
          <w:rFonts w:eastAsia="MS Mincho"/>
          <w:sz w:val="24"/>
          <w:szCs w:val="24"/>
        </w:rPr>
        <w:t>opongono di incentivare l'</w:t>
      </w:r>
      <w:r w:rsidRPr="008A2A19">
        <w:rPr>
          <w:rFonts w:eastAsia="MS Mincho"/>
          <w:sz w:val="24"/>
          <w:szCs w:val="24"/>
        </w:rPr>
        <w:t>assunzione di persone che abbiano superato la soglia dei 50 anni e che siano alla ricerca di un impiego.</w:t>
      </w:r>
    </w:p>
    <w:p w14:paraId="59A4F37E" w14:textId="77777777" w:rsidR="000D2082" w:rsidRPr="008A2A19" w:rsidRDefault="000D2082" w:rsidP="000D2082">
      <w:pPr>
        <w:jc w:val="both"/>
        <w:rPr>
          <w:rFonts w:eastAsia="MS Mincho"/>
          <w:iCs/>
          <w:sz w:val="24"/>
          <w:szCs w:val="24"/>
        </w:rPr>
      </w:pPr>
    </w:p>
    <w:p w14:paraId="281E12B9" w14:textId="77777777" w:rsidR="000D2082" w:rsidRPr="008A2A19" w:rsidRDefault="000D2082" w:rsidP="000D2082">
      <w:pPr>
        <w:spacing w:after="120"/>
        <w:jc w:val="both"/>
        <w:rPr>
          <w:rFonts w:eastAsia="MS Mincho"/>
          <w:iCs/>
          <w:sz w:val="24"/>
          <w:szCs w:val="24"/>
        </w:rPr>
      </w:pPr>
      <w:r w:rsidRPr="008A2A19">
        <w:rPr>
          <w:rFonts w:eastAsia="MS Mincho"/>
          <w:sz w:val="24"/>
          <w:szCs w:val="24"/>
        </w:rPr>
        <w:t>Le loro proposte prendono le mosse da un</w:t>
      </w:r>
      <w:r>
        <w:rPr>
          <w:rFonts w:eastAsia="MS Mincho"/>
          <w:sz w:val="24"/>
          <w:szCs w:val="24"/>
        </w:rPr>
        <w:t>'analisi dell'</w:t>
      </w:r>
      <w:r w:rsidRPr="008A2A19">
        <w:rPr>
          <w:rFonts w:eastAsia="MS Mincho"/>
          <w:sz w:val="24"/>
          <w:szCs w:val="24"/>
        </w:rPr>
        <w:t>occupazione degli over 50 e in particolare dai seguenti dati, che a maggio 2018 indicavano la seguente situazione per il Ticino:</w:t>
      </w:r>
    </w:p>
    <w:p w14:paraId="1E9871A3" w14:textId="77777777" w:rsidR="000D2082" w:rsidRPr="008A2A19" w:rsidRDefault="000D2082" w:rsidP="000D2082">
      <w:pPr>
        <w:widowControl/>
        <w:numPr>
          <w:ilvl w:val="0"/>
          <w:numId w:val="18"/>
        </w:numPr>
        <w:autoSpaceDE/>
        <w:autoSpaceDN/>
        <w:adjustRightInd/>
        <w:spacing w:after="40"/>
        <w:ind w:left="425" w:hanging="425"/>
        <w:jc w:val="both"/>
        <w:rPr>
          <w:rFonts w:eastAsia="MS Mincho"/>
          <w:iCs/>
          <w:sz w:val="24"/>
          <w:szCs w:val="24"/>
        </w:rPr>
      </w:pPr>
      <w:r>
        <w:rPr>
          <w:rFonts w:eastAsia="MS Mincho"/>
          <w:sz w:val="24"/>
          <w:szCs w:val="24"/>
        </w:rPr>
        <w:t>8'100 persone in assistenza;</w:t>
      </w:r>
      <w:r w:rsidRPr="008A2A19">
        <w:rPr>
          <w:rFonts w:eastAsia="MS Mincho"/>
          <w:sz w:val="24"/>
          <w:szCs w:val="24"/>
        </w:rPr>
        <w:t xml:space="preserve"> </w:t>
      </w:r>
    </w:p>
    <w:p w14:paraId="594C4C43" w14:textId="77777777" w:rsidR="000D2082" w:rsidRPr="008A2A19" w:rsidRDefault="000D2082" w:rsidP="000D2082">
      <w:pPr>
        <w:widowControl/>
        <w:numPr>
          <w:ilvl w:val="0"/>
          <w:numId w:val="18"/>
        </w:numPr>
        <w:autoSpaceDE/>
        <w:autoSpaceDN/>
        <w:adjustRightInd/>
        <w:spacing w:after="40"/>
        <w:ind w:left="425" w:hanging="425"/>
        <w:jc w:val="both"/>
        <w:rPr>
          <w:rFonts w:eastAsia="MS Mincho"/>
          <w:iCs/>
          <w:sz w:val="24"/>
          <w:szCs w:val="24"/>
        </w:rPr>
      </w:pPr>
      <w:r>
        <w:rPr>
          <w:rFonts w:eastAsia="MS Mincho"/>
          <w:sz w:val="24"/>
          <w:szCs w:val="24"/>
        </w:rPr>
        <w:t>u</w:t>
      </w:r>
      <w:r w:rsidRPr="008A2A19">
        <w:rPr>
          <w:rFonts w:eastAsia="MS Mincho"/>
          <w:sz w:val="24"/>
          <w:szCs w:val="24"/>
        </w:rPr>
        <w:t>n quarto di esse (2'000) appartiene alla fascia di età che va dai 50 ai 64 anni</w:t>
      </w:r>
      <w:r>
        <w:rPr>
          <w:rFonts w:eastAsia="MS Mincho"/>
          <w:sz w:val="24"/>
          <w:szCs w:val="24"/>
        </w:rPr>
        <w:t>;</w:t>
      </w:r>
      <w:r w:rsidRPr="008A2A19">
        <w:rPr>
          <w:rFonts w:eastAsia="MS Mincho"/>
          <w:sz w:val="24"/>
          <w:szCs w:val="24"/>
        </w:rPr>
        <w:t xml:space="preserve"> </w:t>
      </w:r>
    </w:p>
    <w:p w14:paraId="5F167C35" w14:textId="77777777" w:rsidR="000D2082" w:rsidRPr="008A2A19" w:rsidRDefault="000D2082" w:rsidP="000D2082">
      <w:pPr>
        <w:widowControl/>
        <w:numPr>
          <w:ilvl w:val="0"/>
          <w:numId w:val="18"/>
        </w:numPr>
        <w:autoSpaceDE/>
        <w:autoSpaceDN/>
        <w:adjustRightInd/>
        <w:spacing w:after="40"/>
        <w:ind w:left="425" w:hanging="425"/>
        <w:jc w:val="both"/>
        <w:rPr>
          <w:rFonts w:eastAsia="MS Mincho"/>
          <w:iCs/>
          <w:sz w:val="24"/>
          <w:szCs w:val="24"/>
        </w:rPr>
      </w:pPr>
      <w:r>
        <w:rPr>
          <w:rFonts w:eastAsia="MS Mincho"/>
          <w:sz w:val="24"/>
          <w:szCs w:val="24"/>
        </w:rPr>
        <w:t>10'000 disoccupati;</w:t>
      </w:r>
    </w:p>
    <w:p w14:paraId="7CA7DD3C" w14:textId="77777777" w:rsidR="000D2082" w:rsidRPr="008A2A19" w:rsidRDefault="000D2082" w:rsidP="000D2082">
      <w:pPr>
        <w:widowControl/>
        <w:numPr>
          <w:ilvl w:val="0"/>
          <w:numId w:val="18"/>
        </w:numPr>
        <w:autoSpaceDE/>
        <w:autoSpaceDN/>
        <w:adjustRightInd/>
        <w:ind w:left="426" w:hanging="426"/>
        <w:contextualSpacing/>
        <w:jc w:val="both"/>
        <w:rPr>
          <w:rFonts w:eastAsia="MS Mincho"/>
          <w:iCs/>
          <w:sz w:val="24"/>
          <w:szCs w:val="24"/>
        </w:rPr>
      </w:pPr>
      <w:r w:rsidRPr="008A2A19">
        <w:rPr>
          <w:rFonts w:eastAsia="MS Mincho"/>
          <w:sz w:val="24"/>
          <w:szCs w:val="24"/>
        </w:rPr>
        <w:t>266 milioni di franchi versati in sussidi di cassa malati a 110'000 ticinesi.</w:t>
      </w:r>
    </w:p>
    <w:p w14:paraId="4EDF3AC9" w14:textId="77777777" w:rsidR="000D2082" w:rsidRPr="008A2A19" w:rsidRDefault="000D2082" w:rsidP="000D2082">
      <w:pPr>
        <w:contextualSpacing/>
        <w:jc w:val="both"/>
        <w:rPr>
          <w:rFonts w:eastAsia="MS Mincho"/>
          <w:iCs/>
          <w:sz w:val="24"/>
          <w:szCs w:val="24"/>
        </w:rPr>
      </w:pPr>
    </w:p>
    <w:p w14:paraId="64DF11C0" w14:textId="77777777" w:rsidR="000D2082" w:rsidRPr="008A2A19" w:rsidRDefault="000D2082" w:rsidP="000D2082">
      <w:pPr>
        <w:jc w:val="both"/>
        <w:rPr>
          <w:rFonts w:eastAsia="MS Mincho"/>
          <w:iCs/>
          <w:sz w:val="24"/>
          <w:szCs w:val="24"/>
        </w:rPr>
      </w:pPr>
      <w:r w:rsidRPr="008A2A19">
        <w:rPr>
          <w:rFonts w:eastAsia="MS Mincho"/>
          <w:sz w:val="24"/>
          <w:szCs w:val="24"/>
        </w:rPr>
        <w:t xml:space="preserve">Gli </w:t>
      </w:r>
      <w:proofErr w:type="spellStart"/>
      <w:r w:rsidRPr="008A2A19">
        <w:rPr>
          <w:rFonts w:eastAsia="MS Mincho"/>
          <w:sz w:val="24"/>
          <w:szCs w:val="24"/>
        </w:rPr>
        <w:t>iniziativisti</w:t>
      </w:r>
      <w:proofErr w:type="spellEnd"/>
      <w:r w:rsidRPr="008A2A19">
        <w:rPr>
          <w:rFonts w:eastAsia="MS Mincho"/>
          <w:sz w:val="24"/>
          <w:szCs w:val="24"/>
        </w:rPr>
        <w:t xml:space="preserve"> ricordano come, in seguito alla crisi finanziaria, il Ticino dal 2004 al 2016 abbia perso quasi 2000 posti di lavoro nel settore bancario, </w:t>
      </w:r>
    </w:p>
    <w:p w14:paraId="5CB8DFB2" w14:textId="77777777" w:rsidR="000D2082" w:rsidRPr="008A2A19" w:rsidRDefault="000D2082" w:rsidP="000D2082">
      <w:pPr>
        <w:jc w:val="both"/>
        <w:rPr>
          <w:rFonts w:eastAsia="MS Mincho"/>
          <w:iCs/>
          <w:sz w:val="24"/>
          <w:szCs w:val="24"/>
        </w:rPr>
      </w:pPr>
      <w:r w:rsidRPr="008A2A19">
        <w:rPr>
          <w:rFonts w:eastAsia="MS Mincho"/>
          <w:sz w:val="24"/>
          <w:szCs w:val="24"/>
        </w:rPr>
        <w:t xml:space="preserve">Riconoscono come numerosi datori di lavoro siano sensibili al problema della situazione degli ultra cinquantenni e si comportino in modo virtuoso nell’offrire loro prospettive professionali. </w:t>
      </w:r>
    </w:p>
    <w:p w14:paraId="3B6A8D8D" w14:textId="77777777" w:rsidR="000D2082" w:rsidRPr="008A2A19" w:rsidRDefault="000D2082" w:rsidP="000D2082">
      <w:pPr>
        <w:jc w:val="both"/>
        <w:rPr>
          <w:rFonts w:eastAsia="MS Mincho"/>
          <w:iCs/>
          <w:sz w:val="24"/>
          <w:szCs w:val="24"/>
        </w:rPr>
      </w:pPr>
      <w:r w:rsidRPr="008A2A19">
        <w:rPr>
          <w:rFonts w:eastAsia="MS Mincho"/>
          <w:sz w:val="24"/>
          <w:szCs w:val="24"/>
        </w:rPr>
        <w:t>Allo stesso tempo, però, ve ne sono altri che offrono agli ultra cinquantenni alla ricerca di un impiego sbocchi lavorativi a salari nettamente inferiori a quelli percepiti in precedenza ed inoltre non sempre conformi alle competenze professionali. Questo anche in conseguenza della retribuzione che caratterizza gli over 50, normalmente superiore a quella percepita da generazioni più giovani.</w:t>
      </w:r>
    </w:p>
    <w:p w14:paraId="01C5248E" w14:textId="77777777" w:rsidR="000D2082" w:rsidRPr="008A2A19" w:rsidRDefault="000D2082" w:rsidP="000D2082">
      <w:pPr>
        <w:rPr>
          <w:rFonts w:eastAsia="MS Mincho"/>
          <w:iCs/>
          <w:sz w:val="24"/>
          <w:szCs w:val="24"/>
        </w:rPr>
      </w:pPr>
    </w:p>
    <w:p w14:paraId="03181642" w14:textId="77777777" w:rsidR="000D2082" w:rsidRPr="008A2A19" w:rsidRDefault="000D2082" w:rsidP="000D2082">
      <w:pPr>
        <w:jc w:val="both"/>
        <w:rPr>
          <w:rFonts w:eastAsia="MS Mincho"/>
          <w:iCs/>
          <w:sz w:val="24"/>
          <w:szCs w:val="24"/>
        </w:rPr>
      </w:pPr>
      <w:r w:rsidRPr="008A2A19">
        <w:rPr>
          <w:rFonts w:eastAsia="MS Mincho"/>
          <w:sz w:val="24"/>
          <w:szCs w:val="24"/>
        </w:rPr>
        <w:t>La L-</w:t>
      </w:r>
      <w:proofErr w:type="spellStart"/>
      <w:r w:rsidRPr="008A2A19">
        <w:rPr>
          <w:rFonts w:eastAsia="MS Mincho"/>
          <w:sz w:val="24"/>
          <w:szCs w:val="24"/>
        </w:rPr>
        <w:t>rilocc</w:t>
      </w:r>
      <w:proofErr w:type="spellEnd"/>
      <w:r w:rsidRPr="008A2A19">
        <w:rPr>
          <w:rFonts w:eastAsia="MS Mincho"/>
          <w:sz w:val="24"/>
          <w:szCs w:val="24"/>
        </w:rPr>
        <w:t xml:space="preserve"> è senza dubbio uno strume</w:t>
      </w:r>
      <w:r>
        <w:rPr>
          <w:rFonts w:eastAsia="MS Mincho"/>
          <w:sz w:val="24"/>
          <w:szCs w:val="24"/>
        </w:rPr>
        <w:t>nto importante. A giudizio dell'</w:t>
      </w:r>
      <w:r w:rsidRPr="008A2A19">
        <w:rPr>
          <w:rFonts w:eastAsia="MS Mincho"/>
          <w:sz w:val="24"/>
          <w:szCs w:val="24"/>
        </w:rPr>
        <w:t>iniziativa non risulta però adeguata ai tempi, con particolare riferimento alla problematica dei cinquantenni disoccupati o in assistenza. Per questo motivo ne viene richiesto un rafforzamento.</w:t>
      </w:r>
    </w:p>
    <w:p w14:paraId="0281C52A" w14:textId="77777777" w:rsidR="00226FF6" w:rsidRDefault="000D2082" w:rsidP="000D2082">
      <w:pPr>
        <w:spacing w:after="120"/>
        <w:jc w:val="both"/>
        <w:rPr>
          <w:rFonts w:eastAsia="MS Mincho"/>
          <w:sz w:val="24"/>
          <w:szCs w:val="24"/>
        </w:rPr>
      </w:pPr>
      <w:r w:rsidRPr="008A2A19">
        <w:rPr>
          <w:rFonts w:eastAsia="MS Mincho"/>
          <w:sz w:val="24"/>
          <w:szCs w:val="24"/>
        </w:rPr>
        <w:t xml:space="preserve">Al fine di evitare che un grande numero di lavoratori over 50 rischi di terminare la propria carriera in assistenza, viene perciò proposto di modulare la durata dell'assegno di inserimento in base all'età del disoccupato, garantendone un prolungamento oltre i 12 mesi </w:t>
      </w:r>
      <w:r w:rsidR="00226FF6">
        <w:rPr>
          <w:rFonts w:eastAsia="MS Mincho"/>
          <w:sz w:val="24"/>
          <w:szCs w:val="24"/>
        </w:rPr>
        <w:br/>
      </w:r>
    </w:p>
    <w:p w14:paraId="4E1A9E12" w14:textId="26DCDFC8" w:rsidR="000D2082" w:rsidRPr="008A2A19" w:rsidRDefault="000D2082" w:rsidP="000D2082">
      <w:pPr>
        <w:spacing w:after="120"/>
        <w:jc w:val="both"/>
        <w:rPr>
          <w:rFonts w:eastAsia="MS Mincho"/>
          <w:iCs/>
          <w:sz w:val="24"/>
          <w:szCs w:val="24"/>
        </w:rPr>
      </w:pPr>
      <w:r w:rsidRPr="008A2A19">
        <w:rPr>
          <w:rFonts w:eastAsia="MS Mincho"/>
          <w:sz w:val="24"/>
          <w:szCs w:val="24"/>
        </w:rPr>
        <w:lastRenderedPageBreak/>
        <w:t>attualmente previsti. Concretamente al periodo di base fissato dall'art. 5 L-</w:t>
      </w:r>
      <w:proofErr w:type="spellStart"/>
      <w:r w:rsidRPr="008A2A19">
        <w:rPr>
          <w:rFonts w:eastAsia="MS Mincho"/>
          <w:sz w:val="24"/>
          <w:szCs w:val="24"/>
        </w:rPr>
        <w:t>rilocc</w:t>
      </w:r>
      <w:proofErr w:type="spellEnd"/>
      <w:r w:rsidRPr="008A2A19">
        <w:rPr>
          <w:rFonts w:eastAsia="MS Mincho"/>
          <w:sz w:val="24"/>
          <w:szCs w:val="24"/>
        </w:rPr>
        <w:t xml:space="preserve"> si aggiungerebbe un periodo ulteriore, differenziato per età, che modificherebbe i termini del sussidio nel modo seguente:</w:t>
      </w:r>
    </w:p>
    <w:p w14:paraId="6E2EFCF0" w14:textId="77777777" w:rsidR="000D2082" w:rsidRPr="008A2A19" w:rsidRDefault="000D2082" w:rsidP="000D2082">
      <w:pPr>
        <w:rPr>
          <w:rFonts w:eastAsia="MS Mincho"/>
          <w:iCs/>
          <w:sz w:val="24"/>
          <w:szCs w:val="24"/>
        </w:rPr>
      </w:pPr>
    </w:p>
    <w:p w14:paraId="1BAA64AC" w14:textId="77777777" w:rsidR="000D2082" w:rsidRPr="008A2A19" w:rsidRDefault="000D2082" w:rsidP="000D2082">
      <w:pPr>
        <w:shd w:val="clear" w:color="auto" w:fill="FFFFFF"/>
        <w:jc w:val="both"/>
        <w:rPr>
          <w:rFonts w:eastAsia="MS Mincho"/>
          <w:iCs/>
          <w:sz w:val="24"/>
          <w:szCs w:val="24"/>
          <w:lang w:eastAsia="it-CH"/>
        </w:rPr>
      </w:pPr>
      <w:r w:rsidRPr="008A2A19">
        <w:rPr>
          <w:rFonts w:eastAsia="MS Mincho"/>
          <w:iCs/>
          <w:noProof/>
          <w:sz w:val="24"/>
          <w:szCs w:val="24"/>
          <w:lang w:val="it-CH" w:eastAsia="it-CH"/>
        </w:rPr>
        <w:drawing>
          <wp:inline distT="0" distB="0" distL="0" distR="0" wp14:anchorId="426CCFC1" wp14:editId="636AE52B">
            <wp:extent cx="4410075" cy="552450"/>
            <wp:effectExtent l="19050" t="0" r="28575" b="19050"/>
            <wp:docPr id="81" name="Diagramma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2E4DA19" w14:textId="77777777" w:rsidR="000D2082" w:rsidRPr="008A2A19" w:rsidRDefault="000D2082" w:rsidP="000D2082">
      <w:pPr>
        <w:shd w:val="clear" w:color="auto" w:fill="FFFFFF"/>
        <w:jc w:val="both"/>
        <w:rPr>
          <w:rFonts w:eastAsia="MS Mincho"/>
          <w:iCs/>
          <w:sz w:val="24"/>
          <w:szCs w:val="24"/>
          <w:lang w:eastAsia="it-CH"/>
        </w:rPr>
      </w:pPr>
      <w:r w:rsidRPr="008A2A19">
        <w:rPr>
          <w:rFonts w:eastAsia="MS Mincho"/>
          <w:iCs/>
          <w:noProof/>
          <w:sz w:val="24"/>
          <w:szCs w:val="24"/>
          <w:lang w:val="it-CH" w:eastAsia="it-CH"/>
        </w:rPr>
        <w:drawing>
          <wp:inline distT="0" distB="0" distL="0" distR="0" wp14:anchorId="16E69C75" wp14:editId="280CF552">
            <wp:extent cx="4410075" cy="552450"/>
            <wp:effectExtent l="19050" t="0" r="28575" b="19050"/>
            <wp:docPr id="82" name="Diagramma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08FD316" w14:textId="77777777" w:rsidR="000D2082" w:rsidRPr="008A2A19" w:rsidRDefault="000D2082" w:rsidP="000D2082">
      <w:pPr>
        <w:shd w:val="clear" w:color="auto" w:fill="FFFFFF"/>
        <w:jc w:val="both"/>
        <w:rPr>
          <w:rFonts w:eastAsia="MS Mincho"/>
          <w:iCs/>
          <w:sz w:val="24"/>
          <w:szCs w:val="24"/>
          <w:lang w:eastAsia="it-CH"/>
        </w:rPr>
      </w:pPr>
      <w:r w:rsidRPr="008A2A19">
        <w:rPr>
          <w:rFonts w:eastAsia="MS Mincho"/>
          <w:iCs/>
          <w:noProof/>
          <w:sz w:val="24"/>
          <w:szCs w:val="24"/>
          <w:lang w:val="it-CH" w:eastAsia="it-CH"/>
        </w:rPr>
        <w:drawing>
          <wp:inline distT="0" distB="0" distL="0" distR="0" wp14:anchorId="142C02D7" wp14:editId="7775A07C">
            <wp:extent cx="4391025" cy="552450"/>
            <wp:effectExtent l="0" t="0" r="28575" b="19050"/>
            <wp:docPr id="83" name="Diagramma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8A1E34F" w14:textId="77777777" w:rsidR="000D2082" w:rsidRPr="008A2A19" w:rsidRDefault="000D2082" w:rsidP="000D2082">
      <w:pPr>
        <w:spacing w:after="120"/>
        <w:rPr>
          <w:rFonts w:eastAsia="MS Mincho"/>
          <w:iCs/>
          <w:sz w:val="24"/>
          <w:szCs w:val="24"/>
        </w:rPr>
      </w:pPr>
    </w:p>
    <w:p w14:paraId="359A3241" w14:textId="77777777" w:rsidR="000D2082" w:rsidRPr="008A2A19" w:rsidRDefault="000D2082" w:rsidP="000D2082">
      <w:pPr>
        <w:spacing w:after="120"/>
        <w:jc w:val="both"/>
        <w:rPr>
          <w:rFonts w:eastAsia="MS Mincho"/>
          <w:iCs/>
          <w:sz w:val="24"/>
          <w:szCs w:val="24"/>
        </w:rPr>
      </w:pPr>
      <w:r w:rsidRPr="008A2A19">
        <w:rPr>
          <w:rFonts w:eastAsia="MS Mincho"/>
          <w:sz w:val="24"/>
          <w:szCs w:val="24"/>
        </w:rPr>
        <w:t>Sarebbero in tal modo conseguibili i seguenti obiettivi:</w:t>
      </w:r>
    </w:p>
    <w:p w14:paraId="7786B84F" w14:textId="77777777" w:rsidR="000D2082" w:rsidRPr="008A2A19" w:rsidRDefault="000D2082" w:rsidP="000D2082">
      <w:pPr>
        <w:widowControl/>
        <w:numPr>
          <w:ilvl w:val="0"/>
          <w:numId w:val="18"/>
        </w:numPr>
        <w:autoSpaceDE/>
        <w:autoSpaceDN/>
        <w:adjustRightInd/>
        <w:spacing w:after="40"/>
        <w:ind w:left="425" w:hanging="425"/>
        <w:jc w:val="both"/>
        <w:rPr>
          <w:rFonts w:eastAsia="MS Mincho"/>
          <w:iCs/>
          <w:sz w:val="24"/>
          <w:szCs w:val="24"/>
        </w:rPr>
      </w:pPr>
      <w:r w:rsidRPr="008A2A19">
        <w:rPr>
          <w:rFonts w:eastAsia="MS Mincho"/>
          <w:sz w:val="24"/>
          <w:szCs w:val="24"/>
        </w:rPr>
        <w:t>incentivare l'assunzione degli over 50 disoccupati o in assistenza;</w:t>
      </w:r>
    </w:p>
    <w:p w14:paraId="0659A098" w14:textId="77777777" w:rsidR="000D2082" w:rsidRPr="008A2A19" w:rsidRDefault="000D2082" w:rsidP="000D2082">
      <w:pPr>
        <w:widowControl/>
        <w:numPr>
          <w:ilvl w:val="0"/>
          <w:numId w:val="18"/>
        </w:numPr>
        <w:autoSpaceDE/>
        <w:autoSpaceDN/>
        <w:adjustRightInd/>
        <w:spacing w:after="40"/>
        <w:ind w:left="425" w:hanging="425"/>
        <w:jc w:val="both"/>
        <w:rPr>
          <w:rFonts w:eastAsia="MS Mincho"/>
          <w:iCs/>
          <w:sz w:val="24"/>
          <w:szCs w:val="24"/>
        </w:rPr>
      </w:pPr>
      <w:r w:rsidRPr="008A2A19">
        <w:rPr>
          <w:rFonts w:eastAsia="MS Mincho"/>
          <w:sz w:val="24"/>
          <w:szCs w:val="24"/>
        </w:rPr>
        <w:t>scongiurare concretamente il rischio che una persona che ha lavorato tutta una vita, termini la propria carriera in assistenza;</w:t>
      </w:r>
    </w:p>
    <w:p w14:paraId="37729E4B" w14:textId="77777777" w:rsidR="000D2082" w:rsidRPr="008A2A19" w:rsidRDefault="000D2082" w:rsidP="000D2082">
      <w:pPr>
        <w:widowControl/>
        <w:numPr>
          <w:ilvl w:val="0"/>
          <w:numId w:val="18"/>
        </w:numPr>
        <w:autoSpaceDE/>
        <w:autoSpaceDN/>
        <w:adjustRightInd/>
        <w:spacing w:after="40"/>
        <w:ind w:left="425" w:hanging="425"/>
        <w:jc w:val="both"/>
        <w:rPr>
          <w:rFonts w:eastAsia="MS Mincho"/>
          <w:iCs/>
          <w:sz w:val="24"/>
          <w:szCs w:val="24"/>
        </w:rPr>
      </w:pPr>
      <w:r w:rsidRPr="008A2A19">
        <w:rPr>
          <w:rFonts w:eastAsia="MS Mincho"/>
          <w:sz w:val="24"/>
          <w:szCs w:val="24"/>
        </w:rPr>
        <w:t>sostenere finanziariamente le aziende che si impegnano nella formazione e nel reinserimento professionale di manodopera over 50;</w:t>
      </w:r>
    </w:p>
    <w:p w14:paraId="432F6A21" w14:textId="77777777" w:rsidR="000D2082" w:rsidRPr="008A2A19" w:rsidRDefault="000D2082" w:rsidP="000D2082">
      <w:pPr>
        <w:widowControl/>
        <w:numPr>
          <w:ilvl w:val="0"/>
          <w:numId w:val="18"/>
        </w:numPr>
        <w:autoSpaceDE/>
        <w:autoSpaceDN/>
        <w:adjustRightInd/>
        <w:spacing w:after="40"/>
        <w:ind w:left="425" w:hanging="425"/>
        <w:jc w:val="both"/>
        <w:rPr>
          <w:rFonts w:eastAsia="MS Mincho"/>
          <w:iCs/>
          <w:sz w:val="24"/>
          <w:szCs w:val="24"/>
        </w:rPr>
      </w:pPr>
      <w:r w:rsidRPr="008A2A19">
        <w:rPr>
          <w:rFonts w:eastAsia="MS Mincho"/>
          <w:sz w:val="24"/>
          <w:szCs w:val="24"/>
        </w:rPr>
        <w:t>combattere la spirale negativa di svantaggi e pregiudizi (efficienza, flessibilità, ecc.) con i quali sono confrontati i lavoratori in età avanzata;</w:t>
      </w:r>
    </w:p>
    <w:p w14:paraId="0D074763" w14:textId="77777777" w:rsidR="000D2082" w:rsidRPr="008A2A19" w:rsidRDefault="000D2082" w:rsidP="000D2082">
      <w:pPr>
        <w:widowControl/>
        <w:numPr>
          <w:ilvl w:val="0"/>
          <w:numId w:val="18"/>
        </w:numPr>
        <w:autoSpaceDE/>
        <w:autoSpaceDN/>
        <w:adjustRightInd/>
        <w:ind w:left="426" w:hanging="426"/>
        <w:contextualSpacing/>
        <w:jc w:val="both"/>
        <w:rPr>
          <w:rFonts w:eastAsia="MS Mincho"/>
          <w:iCs/>
          <w:sz w:val="24"/>
          <w:szCs w:val="24"/>
        </w:rPr>
      </w:pPr>
      <w:r w:rsidRPr="008A2A19">
        <w:rPr>
          <w:rFonts w:eastAsia="MS Mincho"/>
          <w:sz w:val="24"/>
          <w:szCs w:val="24"/>
        </w:rPr>
        <w:t>favorire l'assunzione di manodopera indigena.</w:t>
      </w:r>
    </w:p>
    <w:p w14:paraId="6B4A5ACF" w14:textId="60B0C272" w:rsidR="000D2082" w:rsidRDefault="000D2082" w:rsidP="000D2082">
      <w:pPr>
        <w:jc w:val="both"/>
        <w:rPr>
          <w:rFonts w:eastAsia="MS Mincho"/>
          <w:iCs/>
          <w:sz w:val="24"/>
          <w:szCs w:val="24"/>
        </w:rPr>
      </w:pPr>
    </w:p>
    <w:p w14:paraId="782073E4" w14:textId="5C170834" w:rsidR="000D2082" w:rsidRDefault="000D2082" w:rsidP="000D2082">
      <w:pPr>
        <w:jc w:val="both"/>
        <w:rPr>
          <w:rFonts w:eastAsia="MS Mincho"/>
          <w:iCs/>
          <w:sz w:val="24"/>
          <w:szCs w:val="24"/>
        </w:rPr>
      </w:pPr>
    </w:p>
    <w:p w14:paraId="7AA28A07" w14:textId="77777777" w:rsidR="000D2082" w:rsidRPr="008A2A19" w:rsidRDefault="000D2082" w:rsidP="000D2082">
      <w:pPr>
        <w:jc w:val="both"/>
        <w:rPr>
          <w:rFonts w:eastAsia="MS Mincho"/>
          <w:iCs/>
          <w:sz w:val="24"/>
          <w:szCs w:val="24"/>
        </w:rPr>
      </w:pPr>
    </w:p>
    <w:p w14:paraId="46386F61" w14:textId="3B936D40" w:rsidR="000D2082" w:rsidRPr="00182E93" w:rsidRDefault="000D2082" w:rsidP="000D2082">
      <w:pPr>
        <w:pStyle w:val="Standard"/>
        <w:widowControl w:val="0"/>
        <w:tabs>
          <w:tab w:val="left" w:pos="567"/>
        </w:tabs>
        <w:autoSpaceDE w:val="0"/>
        <w:autoSpaceDN w:val="0"/>
        <w:adjustRightInd w:val="0"/>
        <w:spacing w:after="120" w:line="240" w:lineRule="auto"/>
        <w:rPr>
          <w:rFonts w:ascii="Arial" w:hAnsi="Arial" w:cs="Arial"/>
          <w:b/>
          <w:sz w:val="24"/>
          <w:szCs w:val="24"/>
        </w:rPr>
      </w:pPr>
      <w:r w:rsidRPr="00182E93">
        <w:rPr>
          <w:rFonts w:ascii="Arial" w:hAnsi="Arial" w:cs="Arial"/>
          <w:b/>
          <w:sz w:val="24"/>
          <w:szCs w:val="24"/>
        </w:rPr>
        <w:t xml:space="preserve">2. </w:t>
      </w:r>
      <w:r w:rsidR="000460DE">
        <w:rPr>
          <w:rFonts w:ascii="Arial" w:hAnsi="Arial" w:cs="Arial"/>
          <w:b/>
          <w:sz w:val="24"/>
          <w:szCs w:val="24"/>
        </w:rPr>
        <w:tab/>
      </w:r>
      <w:r w:rsidRPr="00182E93">
        <w:rPr>
          <w:rFonts w:ascii="Arial" w:hAnsi="Arial" w:cs="Arial"/>
          <w:b/>
          <w:sz w:val="24"/>
          <w:szCs w:val="24"/>
        </w:rPr>
        <w:t xml:space="preserve">LA POSIZIONE DEL CONSIGLIO DI STATO </w:t>
      </w:r>
    </w:p>
    <w:p w14:paraId="204AA236" w14:textId="77777777" w:rsidR="000D2082" w:rsidRPr="008A2A19" w:rsidRDefault="000D2082" w:rsidP="000D2082">
      <w:pPr>
        <w:jc w:val="both"/>
        <w:rPr>
          <w:rFonts w:eastAsia="MS Mincho"/>
          <w:iCs/>
          <w:sz w:val="24"/>
          <w:szCs w:val="24"/>
        </w:rPr>
      </w:pPr>
      <w:r w:rsidRPr="008A2A19">
        <w:rPr>
          <w:rFonts w:eastAsia="MS Mincho"/>
          <w:sz w:val="24"/>
          <w:szCs w:val="24"/>
        </w:rPr>
        <w:t>Il Consiglio di Stato ha chiarito da subito l’intenz</w:t>
      </w:r>
      <w:r>
        <w:rPr>
          <w:rFonts w:eastAsia="MS Mincho"/>
          <w:sz w:val="24"/>
          <w:szCs w:val="24"/>
        </w:rPr>
        <w:t>ione di prendere posizione sull'</w:t>
      </w:r>
      <w:r w:rsidRPr="008A2A19">
        <w:rPr>
          <w:rFonts w:eastAsia="MS Mincho"/>
          <w:sz w:val="24"/>
          <w:szCs w:val="24"/>
        </w:rPr>
        <w:t>iniziativa tramite un messaggio.</w:t>
      </w:r>
    </w:p>
    <w:p w14:paraId="6A3DA4F1" w14:textId="783858CE" w:rsidR="000D2082" w:rsidRPr="008A2A19" w:rsidRDefault="000D2082" w:rsidP="000D2082">
      <w:pPr>
        <w:jc w:val="both"/>
        <w:rPr>
          <w:rFonts w:eastAsia="MS Mincho"/>
          <w:iCs/>
          <w:sz w:val="24"/>
          <w:szCs w:val="24"/>
        </w:rPr>
      </w:pPr>
      <w:r w:rsidRPr="008A2A19">
        <w:rPr>
          <w:rFonts w:eastAsia="MS Mincho"/>
          <w:sz w:val="24"/>
          <w:szCs w:val="24"/>
        </w:rPr>
        <w:t>Nella sua risoluzione del 21</w:t>
      </w:r>
      <w:r>
        <w:rPr>
          <w:rFonts w:eastAsia="MS Mincho"/>
          <w:sz w:val="24"/>
          <w:szCs w:val="24"/>
        </w:rPr>
        <w:t xml:space="preserve"> aprile </w:t>
      </w:r>
      <w:r w:rsidRPr="008A2A19">
        <w:rPr>
          <w:rFonts w:eastAsia="MS Mincho"/>
          <w:sz w:val="24"/>
          <w:szCs w:val="24"/>
        </w:rPr>
        <w:t xml:space="preserve">2021, il </w:t>
      </w:r>
      <w:r>
        <w:rPr>
          <w:rFonts w:eastAsia="MS Mincho"/>
          <w:sz w:val="24"/>
          <w:szCs w:val="24"/>
        </w:rPr>
        <w:t xml:space="preserve">Governo </w:t>
      </w:r>
      <w:r w:rsidRPr="008A2A19">
        <w:rPr>
          <w:rFonts w:eastAsia="MS Mincho"/>
          <w:sz w:val="24"/>
          <w:szCs w:val="24"/>
        </w:rPr>
        <w:t>indicava che:</w:t>
      </w:r>
      <w:r>
        <w:rPr>
          <w:rFonts w:eastAsia="MS Mincho"/>
          <w:sz w:val="24"/>
          <w:szCs w:val="24"/>
        </w:rPr>
        <w:t xml:space="preserve"> «</w:t>
      </w:r>
      <w:r w:rsidRPr="008A2A19">
        <w:rPr>
          <w:rFonts w:eastAsia="MS Mincho"/>
          <w:sz w:val="24"/>
          <w:szCs w:val="24"/>
        </w:rPr>
        <w:t>Innanzitutto è importante ricordare che l’iter per l’attuazione delle prestazioni transitorie per i dis</w:t>
      </w:r>
      <w:r>
        <w:rPr>
          <w:rFonts w:eastAsia="MS Mincho"/>
          <w:sz w:val="24"/>
          <w:szCs w:val="24"/>
        </w:rPr>
        <w:t>occupati anziani, previste dall'</w:t>
      </w:r>
      <w:r w:rsidRPr="008A2A19">
        <w:rPr>
          <w:rFonts w:eastAsia="MS Mincho"/>
          <w:sz w:val="24"/>
          <w:szCs w:val="24"/>
        </w:rPr>
        <w:t>omonima legge federale, non si è ancora concluso. Infatti, come illustrato nel mese di novembre 2020 dal Cons</w:t>
      </w:r>
      <w:r>
        <w:rPr>
          <w:rFonts w:eastAsia="MS Mincho"/>
          <w:sz w:val="24"/>
          <w:szCs w:val="24"/>
        </w:rPr>
        <w:t>iglio federale in risposta a un'</w:t>
      </w:r>
      <w:r w:rsidRPr="008A2A19">
        <w:rPr>
          <w:rFonts w:eastAsia="MS Mincho"/>
          <w:sz w:val="24"/>
          <w:szCs w:val="24"/>
        </w:rPr>
        <w:t>interpellanza parlam</w:t>
      </w:r>
      <w:r>
        <w:rPr>
          <w:rFonts w:eastAsia="MS Mincho"/>
          <w:sz w:val="24"/>
          <w:szCs w:val="24"/>
        </w:rPr>
        <w:t>entare (20.4182), "</w:t>
      </w:r>
      <w:r w:rsidRPr="008A2A19">
        <w:rPr>
          <w:rFonts w:eastAsia="MS Mincho"/>
          <w:sz w:val="24"/>
          <w:szCs w:val="24"/>
        </w:rPr>
        <w:t xml:space="preserve">[a] causa dello slittamento dei dibattiti parlamentari dovuto alla pandemia di coronavirus, la legge è stata approvata dal Parlamento soltanto il 19 giugno 2020. I lavori d'attuazione sono già in corso. Il 28 ottobre 2020 il Consiglio federale ha avviato l'indispensabile procedura di consultazione sull'ordinanza sulle prestazioni transitorie per i disoccupati anziani, che si concluderà nel febbraio del 2021. L'adozione del testo da parte dell'Esecutivo sarà dunque possibile soltanto nel corso del prossimo anno. Va inoltre tenuto presente che gli organi esecutivi sono già fortemente sollecitati dai provvedimenti contro la crisi dovuta al coronavirus e dagli altri progetti che entreranno in vigore il 1° gennaio 2021 (riforma delle PC (FF 2019 2259); legge federale concernente il miglioramento della conciliabilità tra attività lucrativa e assistenza ai familiari (FF 2019 7217)). Pertanto occorre dare loro il tempo minimo necessario per l'attuazione di questa nuova prestazione. Per questa ragione l'entrata in vigore è prevista </w:t>
      </w:r>
      <w:r>
        <w:rPr>
          <w:rFonts w:eastAsia="MS Mincho"/>
          <w:sz w:val="24"/>
          <w:szCs w:val="24"/>
        </w:rPr>
        <w:t xml:space="preserve">soltanto per il 1° luglio 2021». </w:t>
      </w:r>
      <w:r w:rsidRPr="008A2A19">
        <w:rPr>
          <w:rFonts w:eastAsia="MS Mincho"/>
          <w:sz w:val="24"/>
          <w:szCs w:val="24"/>
        </w:rPr>
        <w:t xml:space="preserve"> </w:t>
      </w:r>
    </w:p>
    <w:p w14:paraId="59ED9BA6" w14:textId="77777777" w:rsidR="000D2082" w:rsidRPr="008A2A19" w:rsidRDefault="000D2082" w:rsidP="000D2082">
      <w:pPr>
        <w:jc w:val="both"/>
        <w:rPr>
          <w:rFonts w:eastAsia="MS Mincho"/>
          <w:iCs/>
          <w:sz w:val="24"/>
          <w:szCs w:val="24"/>
        </w:rPr>
      </w:pPr>
    </w:p>
    <w:p w14:paraId="0B7910F1" w14:textId="77777777" w:rsidR="000D2082" w:rsidRPr="008A2A19" w:rsidRDefault="000D2082" w:rsidP="000D2082">
      <w:pPr>
        <w:jc w:val="both"/>
        <w:rPr>
          <w:rFonts w:eastAsia="MS Mincho"/>
          <w:iCs/>
          <w:sz w:val="24"/>
          <w:szCs w:val="24"/>
        </w:rPr>
      </w:pPr>
      <w:r>
        <w:rPr>
          <w:rFonts w:eastAsia="MS Mincho"/>
          <w:sz w:val="24"/>
          <w:szCs w:val="24"/>
        </w:rPr>
        <w:t>Il Consiglio di Stato</w:t>
      </w:r>
      <w:r w:rsidRPr="008A2A19">
        <w:rPr>
          <w:rFonts w:eastAsia="MS Mincho"/>
          <w:sz w:val="24"/>
          <w:szCs w:val="24"/>
        </w:rPr>
        <w:t xml:space="preserve"> aveva inizialmente previsto di stilare un rapporto entro la fine di settembre 2021.</w:t>
      </w:r>
    </w:p>
    <w:p w14:paraId="581BEE8E" w14:textId="77777777" w:rsidR="000D2082" w:rsidRPr="008A2A19" w:rsidRDefault="000D2082" w:rsidP="000D2082">
      <w:pPr>
        <w:jc w:val="both"/>
        <w:rPr>
          <w:rFonts w:eastAsia="MS Mincho"/>
          <w:iCs/>
          <w:sz w:val="24"/>
          <w:szCs w:val="24"/>
        </w:rPr>
      </w:pPr>
    </w:p>
    <w:p w14:paraId="0BD3108F" w14:textId="77777777" w:rsidR="000D2082" w:rsidRPr="008A2A19" w:rsidRDefault="000D2082" w:rsidP="000D2082">
      <w:pPr>
        <w:jc w:val="both"/>
        <w:rPr>
          <w:rFonts w:eastAsia="MS Mincho"/>
          <w:iCs/>
          <w:sz w:val="24"/>
          <w:szCs w:val="24"/>
        </w:rPr>
      </w:pPr>
      <w:r w:rsidRPr="008A2A19">
        <w:rPr>
          <w:rFonts w:eastAsia="MS Mincho"/>
          <w:sz w:val="24"/>
          <w:szCs w:val="24"/>
        </w:rPr>
        <w:lastRenderedPageBreak/>
        <w:t xml:space="preserve">Vista la richiesta degli </w:t>
      </w:r>
      <w:proofErr w:type="spellStart"/>
      <w:r w:rsidRPr="008A2A19">
        <w:rPr>
          <w:rFonts w:eastAsia="MS Mincho"/>
          <w:sz w:val="24"/>
          <w:szCs w:val="24"/>
        </w:rPr>
        <w:t>iniziativisti</w:t>
      </w:r>
      <w:proofErr w:type="spellEnd"/>
      <w:r w:rsidRPr="008A2A19">
        <w:rPr>
          <w:rFonts w:eastAsia="MS Mincho"/>
          <w:sz w:val="24"/>
          <w:szCs w:val="24"/>
        </w:rPr>
        <w:t xml:space="preserve"> di presentare la proposta entro la seduta del Gran Consi</w:t>
      </w:r>
      <w:r>
        <w:rPr>
          <w:rFonts w:eastAsia="MS Mincho"/>
          <w:sz w:val="24"/>
          <w:szCs w:val="24"/>
        </w:rPr>
        <w:t>glio di giugno 2021, il Consiglio di Stato</w:t>
      </w:r>
      <w:r w:rsidRPr="008A2A19">
        <w:rPr>
          <w:rFonts w:eastAsia="MS Mincho"/>
          <w:sz w:val="24"/>
          <w:szCs w:val="24"/>
        </w:rPr>
        <w:t xml:space="preserve"> ha</w:t>
      </w:r>
      <w:r>
        <w:rPr>
          <w:rFonts w:eastAsia="MS Mincho"/>
          <w:sz w:val="24"/>
          <w:szCs w:val="24"/>
        </w:rPr>
        <w:t xml:space="preserve"> presentato il 26 maggio 2021 il</w:t>
      </w:r>
      <w:r w:rsidRPr="008A2A19">
        <w:rPr>
          <w:rFonts w:eastAsia="MS Mincho"/>
          <w:sz w:val="24"/>
          <w:szCs w:val="24"/>
        </w:rPr>
        <w:t xml:space="preserve"> messaggio</w:t>
      </w:r>
      <w:r>
        <w:rPr>
          <w:rFonts w:eastAsia="MS Mincho"/>
          <w:sz w:val="24"/>
          <w:szCs w:val="24"/>
        </w:rPr>
        <w:t xml:space="preserve"> n. 8002</w:t>
      </w:r>
      <w:r w:rsidRPr="008A2A19">
        <w:rPr>
          <w:rFonts w:eastAsia="MS Mincho"/>
          <w:sz w:val="24"/>
          <w:szCs w:val="24"/>
        </w:rPr>
        <w:t xml:space="preserve"> che qui di seguito viene riassunto nei punti essenziali.</w:t>
      </w:r>
    </w:p>
    <w:p w14:paraId="3B2EE669" w14:textId="77777777" w:rsidR="000D2082" w:rsidRPr="008A2A19" w:rsidRDefault="000D2082" w:rsidP="000D2082">
      <w:pPr>
        <w:rPr>
          <w:rFonts w:eastAsia="MS Mincho"/>
          <w:iCs/>
          <w:sz w:val="24"/>
          <w:szCs w:val="24"/>
        </w:rPr>
      </w:pPr>
    </w:p>
    <w:p w14:paraId="114A2749" w14:textId="3D756E39" w:rsidR="000D2082" w:rsidRPr="008A2A19" w:rsidRDefault="000D2082" w:rsidP="000D2082">
      <w:pPr>
        <w:spacing w:after="120"/>
        <w:rPr>
          <w:rFonts w:eastAsia="MS Mincho"/>
          <w:iCs/>
          <w:sz w:val="24"/>
          <w:szCs w:val="24"/>
          <w:u w:val="single"/>
        </w:rPr>
      </w:pPr>
      <w:r w:rsidRPr="008A2A19">
        <w:rPr>
          <w:rFonts w:eastAsia="MS Mincho"/>
          <w:sz w:val="24"/>
          <w:szCs w:val="24"/>
          <w:u w:val="single"/>
        </w:rPr>
        <w:t>Analisi della situazione attuale</w:t>
      </w:r>
    </w:p>
    <w:p w14:paraId="64D1C687" w14:textId="77777777" w:rsidR="000D2082" w:rsidRPr="008A2A19" w:rsidRDefault="000D2082" w:rsidP="000D2082">
      <w:pPr>
        <w:jc w:val="both"/>
        <w:rPr>
          <w:rFonts w:eastAsia="MS Mincho"/>
          <w:iCs/>
          <w:sz w:val="24"/>
          <w:szCs w:val="24"/>
        </w:rPr>
      </w:pPr>
      <w:r>
        <w:rPr>
          <w:rFonts w:eastAsia="MS Mincho"/>
          <w:sz w:val="24"/>
          <w:szCs w:val="24"/>
        </w:rPr>
        <w:t>Con l'invecchiamento demografico, e l'</w:t>
      </w:r>
      <w:r w:rsidRPr="008A2A19">
        <w:rPr>
          <w:rFonts w:eastAsia="MS Mincho"/>
          <w:sz w:val="24"/>
          <w:szCs w:val="24"/>
        </w:rPr>
        <w:t>arrivo dei cosiddetti “</w:t>
      </w:r>
      <w:r w:rsidRPr="008A2A19">
        <w:rPr>
          <w:rFonts w:eastAsia="MS Mincho"/>
          <w:i/>
          <w:sz w:val="24"/>
          <w:szCs w:val="24"/>
        </w:rPr>
        <w:t xml:space="preserve">baby </w:t>
      </w:r>
      <w:proofErr w:type="spellStart"/>
      <w:r w:rsidRPr="008A2A19">
        <w:rPr>
          <w:rFonts w:eastAsia="MS Mincho"/>
          <w:i/>
          <w:sz w:val="24"/>
          <w:szCs w:val="24"/>
        </w:rPr>
        <w:t>boomers</w:t>
      </w:r>
      <w:proofErr w:type="spellEnd"/>
      <w:r w:rsidRPr="008A2A19">
        <w:rPr>
          <w:rFonts w:eastAsia="MS Mincho"/>
          <w:sz w:val="24"/>
          <w:szCs w:val="24"/>
        </w:rPr>
        <w:t>” alla soglia della pensione, il mercato del lavoro si appresta ad affrontare dinamiche di cambiamento strutturale e di portata generazionale finora sconosciute. Accanto a questa tendenza, l’accresciuta partecipazione delle donne al mercato del lavoro, nonché il progressivo aumento delle esigenze d</w:t>
      </w:r>
      <w:r>
        <w:rPr>
          <w:rFonts w:eastAsia="MS Mincho"/>
          <w:sz w:val="24"/>
          <w:szCs w:val="24"/>
        </w:rPr>
        <w:t>i qualifica richieste anche ai "lavoratori senior"</w:t>
      </w:r>
      <w:r w:rsidRPr="008A2A19">
        <w:rPr>
          <w:rFonts w:eastAsia="MS Mincho"/>
          <w:sz w:val="24"/>
          <w:szCs w:val="24"/>
        </w:rPr>
        <w:t xml:space="preserve"> completano il quadro analitico per cui la tematica dei lavoratori over-50 sul mercato del lavoro ha assunto una sempre maggiore importanza, sia a livello internazionale che nazionale e locale.</w:t>
      </w:r>
    </w:p>
    <w:p w14:paraId="5EBA0CEC" w14:textId="77777777" w:rsidR="000D2082" w:rsidRPr="008A2A19" w:rsidRDefault="000D2082" w:rsidP="000D2082">
      <w:pPr>
        <w:jc w:val="both"/>
        <w:rPr>
          <w:rFonts w:eastAsia="MS Mincho"/>
          <w:iCs/>
          <w:sz w:val="24"/>
          <w:szCs w:val="24"/>
        </w:rPr>
      </w:pPr>
      <w:r w:rsidRPr="008A2A19">
        <w:rPr>
          <w:rFonts w:eastAsia="MS Mincho"/>
          <w:sz w:val="24"/>
          <w:szCs w:val="24"/>
        </w:rPr>
        <w:t>Mantenere in attività i lavoratori senior, così come reinserire nel mercato del lavoro le persone ultracinquantenni senza impiego, sono due importanti assi di azione su cui punta il Consiglio di Stato. La necessità di attivare strategie per gli over-50 in relazione al mercato del lavoro non può dunque che essere condivisa.</w:t>
      </w:r>
    </w:p>
    <w:p w14:paraId="228E9872" w14:textId="7BA38137" w:rsidR="000D2082" w:rsidRDefault="000D2082" w:rsidP="000D2082">
      <w:pPr>
        <w:jc w:val="both"/>
        <w:rPr>
          <w:rFonts w:eastAsia="MS Mincho"/>
          <w:sz w:val="24"/>
          <w:szCs w:val="24"/>
        </w:rPr>
      </w:pPr>
      <w:r w:rsidRPr="008A2A19">
        <w:rPr>
          <w:rFonts w:eastAsia="MS Mincho"/>
          <w:sz w:val="24"/>
          <w:szCs w:val="24"/>
        </w:rPr>
        <w:t>Attualmente sono in atto misure di sostegno volte a tutte le persone alla ricerca di un impiego, nel caso specifico s</w:t>
      </w:r>
      <w:r>
        <w:rPr>
          <w:rFonts w:eastAsia="MS Mincho"/>
          <w:sz w:val="24"/>
          <w:szCs w:val="24"/>
        </w:rPr>
        <w:t xml:space="preserve">i riassumono quelle che sono a </w:t>
      </w:r>
      <w:r w:rsidRPr="008A2A19">
        <w:rPr>
          <w:rFonts w:eastAsia="MS Mincho"/>
          <w:sz w:val="24"/>
          <w:szCs w:val="24"/>
        </w:rPr>
        <w:t>sostegno alla categoria over 50:</w:t>
      </w:r>
    </w:p>
    <w:p w14:paraId="4AA107ED" w14:textId="77777777" w:rsidR="000D2082" w:rsidRPr="008A2A19" w:rsidRDefault="000D2082" w:rsidP="000D2082">
      <w:pPr>
        <w:jc w:val="both"/>
        <w:rPr>
          <w:rFonts w:eastAsia="MS Mincho"/>
          <w:iCs/>
          <w:sz w:val="24"/>
          <w:szCs w:val="24"/>
        </w:rPr>
      </w:pPr>
    </w:p>
    <w:p w14:paraId="537B17AB" w14:textId="77777777" w:rsidR="000D2082" w:rsidRPr="008A2A19" w:rsidRDefault="000D2082" w:rsidP="000D2082">
      <w:pPr>
        <w:rPr>
          <w:rFonts w:eastAsia="MS Mincho"/>
          <w:iCs/>
          <w:sz w:val="24"/>
          <w:szCs w:val="24"/>
        </w:rPr>
      </w:pPr>
      <w:r w:rsidRPr="008A2A19">
        <w:rPr>
          <w:rFonts w:eastAsia="MS Mincho"/>
          <w:iCs/>
          <w:noProof/>
          <w:sz w:val="24"/>
          <w:szCs w:val="24"/>
          <w:lang w:val="it-CH" w:eastAsia="it-CH"/>
        </w:rPr>
        <w:drawing>
          <wp:inline distT="0" distB="0" distL="0" distR="0" wp14:anchorId="769A9F98" wp14:editId="24E96F73">
            <wp:extent cx="6115050" cy="3286125"/>
            <wp:effectExtent l="0" t="0" r="0" b="9525"/>
            <wp:docPr id="8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3286125"/>
                    </a:xfrm>
                    <a:prstGeom prst="rect">
                      <a:avLst/>
                    </a:prstGeom>
                    <a:noFill/>
                    <a:ln>
                      <a:noFill/>
                    </a:ln>
                  </pic:spPr>
                </pic:pic>
              </a:graphicData>
            </a:graphic>
          </wp:inline>
        </w:drawing>
      </w:r>
    </w:p>
    <w:p w14:paraId="3447D530" w14:textId="77777777" w:rsidR="000D2082" w:rsidRPr="008A2A19" w:rsidRDefault="000D2082" w:rsidP="000D2082">
      <w:pPr>
        <w:jc w:val="both"/>
        <w:rPr>
          <w:rFonts w:eastAsia="MS Mincho"/>
          <w:iCs/>
          <w:sz w:val="20"/>
          <w:szCs w:val="20"/>
        </w:rPr>
      </w:pPr>
      <w:r w:rsidRPr="008A2A19">
        <w:rPr>
          <w:rFonts w:eastAsia="MS Mincho"/>
          <w:b/>
          <w:sz w:val="20"/>
          <w:szCs w:val="20"/>
        </w:rPr>
        <w:t>Figura 1</w:t>
      </w:r>
    </w:p>
    <w:p w14:paraId="42CA52A7" w14:textId="77777777" w:rsidR="000D2082" w:rsidRPr="008A2A19" w:rsidRDefault="000D2082" w:rsidP="000D2082">
      <w:pPr>
        <w:jc w:val="both"/>
        <w:rPr>
          <w:rFonts w:eastAsia="MS Mincho"/>
          <w:iCs/>
          <w:sz w:val="20"/>
          <w:szCs w:val="20"/>
        </w:rPr>
      </w:pPr>
      <w:r w:rsidRPr="008A2A19">
        <w:rPr>
          <w:rFonts w:eastAsia="MS Mincho"/>
          <w:sz w:val="20"/>
          <w:szCs w:val="20"/>
        </w:rPr>
        <w:t>Panoramica riassuntiva delle misure di sostegno al collocamento, con un focus sul pubblico over-50.</w:t>
      </w:r>
    </w:p>
    <w:p w14:paraId="66D19DB1" w14:textId="77777777" w:rsidR="000D2082" w:rsidRDefault="000D2082" w:rsidP="000D2082">
      <w:pPr>
        <w:rPr>
          <w:rFonts w:eastAsia="MS Mincho"/>
          <w:iCs/>
          <w:sz w:val="24"/>
          <w:szCs w:val="24"/>
        </w:rPr>
      </w:pPr>
    </w:p>
    <w:p w14:paraId="129B8504" w14:textId="77777777" w:rsidR="000D2082" w:rsidRPr="008A2A19" w:rsidRDefault="000D2082" w:rsidP="000D2082">
      <w:pPr>
        <w:rPr>
          <w:rFonts w:eastAsia="MS Mincho"/>
          <w:iCs/>
          <w:sz w:val="24"/>
          <w:szCs w:val="24"/>
        </w:rPr>
      </w:pPr>
    </w:p>
    <w:p w14:paraId="734AABA3" w14:textId="16875F92" w:rsidR="000D2082" w:rsidRDefault="000D2082" w:rsidP="000D2082">
      <w:pPr>
        <w:jc w:val="both"/>
        <w:rPr>
          <w:rFonts w:eastAsia="MS Mincho"/>
          <w:sz w:val="24"/>
          <w:szCs w:val="24"/>
        </w:rPr>
      </w:pPr>
      <w:r w:rsidRPr="008A2A19">
        <w:rPr>
          <w:rFonts w:eastAsia="MS Mincho"/>
          <w:sz w:val="24"/>
          <w:szCs w:val="24"/>
        </w:rPr>
        <w:t>In particolare si ricorda che con un comunicat</w:t>
      </w:r>
      <w:r>
        <w:rPr>
          <w:rFonts w:eastAsia="MS Mincho"/>
          <w:sz w:val="24"/>
          <w:szCs w:val="24"/>
        </w:rPr>
        <w:t>o stampa il 6 maggio 2021 il Dipartimento delle finanze e dell'economia</w:t>
      </w:r>
      <w:r w:rsidRPr="008A2A19">
        <w:rPr>
          <w:rFonts w:eastAsia="MS Mincho"/>
          <w:sz w:val="24"/>
          <w:szCs w:val="24"/>
        </w:rPr>
        <w:t xml:space="preserve"> conferma che la SECO ha approvato il progetto ticinese per la creazione del </w:t>
      </w:r>
      <w:r>
        <w:rPr>
          <w:rFonts w:eastAsia="MS Mincho"/>
          <w:sz w:val="24"/>
          <w:szCs w:val="24"/>
        </w:rPr>
        <w:t xml:space="preserve">"job </w:t>
      </w:r>
      <w:proofErr w:type="spellStart"/>
      <w:r>
        <w:rPr>
          <w:rFonts w:eastAsia="MS Mincho"/>
          <w:sz w:val="24"/>
          <w:szCs w:val="24"/>
        </w:rPr>
        <w:t>mentor</w:t>
      </w:r>
      <w:proofErr w:type="spellEnd"/>
      <w:r>
        <w:rPr>
          <w:rFonts w:eastAsia="MS Mincho"/>
          <w:sz w:val="24"/>
          <w:szCs w:val="24"/>
        </w:rPr>
        <w:t>"</w:t>
      </w:r>
      <w:r w:rsidRPr="008A2A19">
        <w:rPr>
          <w:rFonts w:eastAsia="MS Mincho"/>
          <w:sz w:val="24"/>
          <w:szCs w:val="24"/>
        </w:rPr>
        <w:t>. Figura che verrà inserita negli uffici regionali di collocamento del Cantone per permettere di sostenere in maniera mirata e personalizzata i disoccupati over-50 nel loro percorso di inserimento.</w:t>
      </w:r>
    </w:p>
    <w:p w14:paraId="626A11AB" w14:textId="77777777" w:rsidR="00264E82" w:rsidRPr="008A2A19" w:rsidRDefault="00264E82" w:rsidP="000D2082">
      <w:pPr>
        <w:jc w:val="both"/>
        <w:rPr>
          <w:rFonts w:eastAsia="MS Mincho"/>
          <w:iCs/>
          <w:sz w:val="24"/>
          <w:szCs w:val="24"/>
        </w:rPr>
      </w:pPr>
    </w:p>
    <w:p w14:paraId="12A78D78" w14:textId="77777777" w:rsidR="000D2082" w:rsidRPr="008A2A19" w:rsidRDefault="000D2082" w:rsidP="000D2082">
      <w:pPr>
        <w:jc w:val="both"/>
        <w:rPr>
          <w:rFonts w:eastAsia="MS Mincho"/>
          <w:iCs/>
          <w:sz w:val="24"/>
          <w:szCs w:val="24"/>
        </w:rPr>
      </w:pPr>
      <w:r w:rsidRPr="008A2A19">
        <w:rPr>
          <w:rFonts w:eastAsia="MS Mincho"/>
          <w:sz w:val="24"/>
          <w:szCs w:val="24"/>
        </w:rPr>
        <w:t xml:space="preserve">Il </w:t>
      </w:r>
      <w:r>
        <w:rPr>
          <w:rFonts w:eastAsia="MS Mincho"/>
          <w:sz w:val="24"/>
          <w:szCs w:val="24"/>
        </w:rPr>
        <w:t xml:space="preserve">"job </w:t>
      </w:r>
      <w:proofErr w:type="spellStart"/>
      <w:r>
        <w:rPr>
          <w:rFonts w:eastAsia="MS Mincho"/>
          <w:sz w:val="24"/>
          <w:szCs w:val="24"/>
        </w:rPr>
        <w:t>mentor</w:t>
      </w:r>
      <w:proofErr w:type="spellEnd"/>
      <w:r>
        <w:rPr>
          <w:rFonts w:eastAsia="MS Mincho"/>
          <w:sz w:val="24"/>
          <w:szCs w:val="24"/>
        </w:rPr>
        <w:t>"</w:t>
      </w:r>
      <w:r w:rsidRPr="008A2A19">
        <w:rPr>
          <w:rFonts w:eastAsia="MS Mincho"/>
          <w:sz w:val="24"/>
          <w:szCs w:val="24"/>
        </w:rPr>
        <w:t xml:space="preserve"> permetterà ai disoccupati di sentirsi maggiormente attivi nel loro percorso di inserimento o transizione professionale, consentirà anche di favorire una loro crescita, puntando su un allenamento delle competenze nella ricerca di un impiego. </w:t>
      </w:r>
    </w:p>
    <w:p w14:paraId="40EAF4CF" w14:textId="77777777" w:rsidR="000D2082" w:rsidRPr="008A2A19" w:rsidRDefault="000D2082" w:rsidP="000D2082">
      <w:pPr>
        <w:jc w:val="both"/>
        <w:rPr>
          <w:rFonts w:eastAsia="MS Mincho"/>
          <w:iCs/>
          <w:sz w:val="24"/>
          <w:szCs w:val="24"/>
        </w:rPr>
      </w:pPr>
      <w:r>
        <w:rPr>
          <w:rFonts w:eastAsia="MS Mincho"/>
          <w:sz w:val="24"/>
          <w:szCs w:val="24"/>
        </w:rPr>
        <w:lastRenderedPageBreak/>
        <w:t>Si lavorerà per creare è un'</w:t>
      </w:r>
      <w:r w:rsidRPr="008A2A19">
        <w:rPr>
          <w:rFonts w:eastAsia="MS Mincho"/>
          <w:sz w:val="24"/>
          <w:szCs w:val="24"/>
        </w:rPr>
        <w:t>accresciuta messa in rete con potenziali datori di lavoro e con il Servizio aziende URC, aumentando così le opportunità e le possibilità di successo nel collocamento. Questo progetto partirà il 1</w:t>
      </w:r>
      <w:r>
        <w:rPr>
          <w:rFonts w:eastAsia="MS Mincho"/>
          <w:sz w:val="24"/>
          <w:szCs w:val="24"/>
        </w:rPr>
        <w:t>°</w:t>
      </w:r>
      <w:r w:rsidRPr="008A2A19">
        <w:rPr>
          <w:rFonts w:eastAsia="MS Mincho"/>
          <w:sz w:val="24"/>
          <w:szCs w:val="24"/>
        </w:rPr>
        <w:t xml:space="preserve"> settembre 2021 per una durata fino a fine 2024.</w:t>
      </w:r>
    </w:p>
    <w:p w14:paraId="10BE763B" w14:textId="77777777" w:rsidR="000D2082" w:rsidRPr="008A2A19" w:rsidRDefault="000D2082" w:rsidP="000D2082">
      <w:pPr>
        <w:jc w:val="both"/>
        <w:rPr>
          <w:rFonts w:eastAsia="MS Mincho"/>
          <w:iCs/>
          <w:sz w:val="24"/>
          <w:szCs w:val="24"/>
        </w:rPr>
      </w:pPr>
    </w:p>
    <w:p w14:paraId="75CA5E6B" w14:textId="77777777" w:rsidR="000D2082" w:rsidRPr="008A2A19" w:rsidRDefault="000D2082" w:rsidP="000D2082">
      <w:pPr>
        <w:jc w:val="both"/>
        <w:rPr>
          <w:rFonts w:eastAsia="MS Mincho"/>
          <w:iCs/>
          <w:sz w:val="24"/>
          <w:szCs w:val="24"/>
        </w:rPr>
      </w:pPr>
      <w:r w:rsidRPr="008A2A19">
        <w:rPr>
          <w:rFonts w:eastAsia="MS Mincho"/>
          <w:sz w:val="24"/>
          <w:szCs w:val="24"/>
        </w:rPr>
        <w:t xml:space="preserve">La Confederazione ha varato pure la prestazione transitoria per i disoccupati più anziani, in particolare agli over-60 che hanno esaurito il diritto alle indennità di disoccupazione secondo la LADI e che adempiono a una serie di altri requisiti cumulativi (tra cui, ad esempio, 20 anni di contributi AVS). Si tratta di una prestazione che rientra nel sistema delle assicurazioni sociali, volta a garantire il fabbisogno vitale. Essa sarà calcolata, per ogni singolo caso, sulla base dei criteri delle prestazioni complementari AVS. La prestazione si estingue quando la persona interessata percepisce </w:t>
      </w:r>
      <w:r>
        <w:rPr>
          <w:rFonts w:eastAsia="MS Mincho"/>
          <w:sz w:val="24"/>
          <w:szCs w:val="24"/>
        </w:rPr>
        <w:t>una rendita di vecchiaia AVS. L'</w:t>
      </w:r>
      <w:r w:rsidRPr="008A2A19">
        <w:rPr>
          <w:rFonts w:eastAsia="MS Mincho"/>
          <w:sz w:val="24"/>
          <w:szCs w:val="24"/>
        </w:rPr>
        <w:t>entrata in vigore è prevista pure per il 1° luglio 2021, mentre a breve il</w:t>
      </w:r>
      <w:r>
        <w:rPr>
          <w:rFonts w:eastAsia="MS Mincho"/>
          <w:sz w:val="24"/>
          <w:szCs w:val="24"/>
        </w:rPr>
        <w:t xml:space="preserve"> Consiglio federale approverà l'</w:t>
      </w:r>
      <w:r w:rsidRPr="008A2A19">
        <w:rPr>
          <w:rFonts w:eastAsia="MS Mincho"/>
          <w:sz w:val="24"/>
          <w:szCs w:val="24"/>
        </w:rPr>
        <w:t>ordinanza di applicazione con la definizione di tutti i dettagli operativi. Sulla base delle informazioni attuali, è possibile comunque stimare un centinaio di beneficiari all</w:t>
      </w:r>
      <w:r>
        <w:rPr>
          <w:rFonts w:eastAsia="MS Mincho"/>
          <w:sz w:val="24"/>
          <w:szCs w:val="24"/>
        </w:rPr>
        <w:t>'</w:t>
      </w:r>
      <w:r w:rsidRPr="008A2A19">
        <w:rPr>
          <w:rFonts w:eastAsia="MS Mincho"/>
          <w:sz w:val="24"/>
          <w:szCs w:val="24"/>
        </w:rPr>
        <w:t>anno nel nostro Cantone di questa prestazione transitoria.</w:t>
      </w:r>
    </w:p>
    <w:p w14:paraId="6F95166B" w14:textId="77777777" w:rsidR="000D2082" w:rsidRPr="008A2A19" w:rsidRDefault="000D2082" w:rsidP="000D2082">
      <w:pPr>
        <w:jc w:val="both"/>
        <w:rPr>
          <w:rFonts w:eastAsia="MS Mincho"/>
          <w:iCs/>
          <w:sz w:val="24"/>
          <w:szCs w:val="24"/>
        </w:rPr>
      </w:pPr>
    </w:p>
    <w:p w14:paraId="458A0846" w14:textId="781F1C09" w:rsidR="000D2082" w:rsidRPr="008A2A19" w:rsidRDefault="000D2082" w:rsidP="00264E82">
      <w:pPr>
        <w:spacing w:after="120"/>
        <w:jc w:val="both"/>
        <w:rPr>
          <w:rFonts w:eastAsia="MS Mincho"/>
          <w:iCs/>
          <w:sz w:val="24"/>
          <w:szCs w:val="24"/>
          <w:u w:val="single"/>
        </w:rPr>
      </w:pPr>
      <w:r>
        <w:rPr>
          <w:rFonts w:eastAsia="MS Mincho"/>
          <w:sz w:val="24"/>
          <w:szCs w:val="24"/>
          <w:u w:val="single"/>
        </w:rPr>
        <w:t>Valutazione dell'</w:t>
      </w:r>
      <w:r w:rsidRPr="008A2A19">
        <w:rPr>
          <w:rFonts w:eastAsia="MS Mincho"/>
          <w:sz w:val="24"/>
          <w:szCs w:val="24"/>
          <w:u w:val="single"/>
        </w:rPr>
        <w:t>iniziativa</w:t>
      </w:r>
    </w:p>
    <w:p w14:paraId="5B6C3394" w14:textId="77777777" w:rsidR="000D2082" w:rsidRPr="008A2A19" w:rsidRDefault="000D2082" w:rsidP="000C42CB">
      <w:pPr>
        <w:spacing w:after="120"/>
        <w:jc w:val="both"/>
        <w:rPr>
          <w:rFonts w:eastAsia="MS Mincho"/>
          <w:iCs/>
          <w:sz w:val="24"/>
          <w:szCs w:val="24"/>
        </w:rPr>
      </w:pPr>
      <w:r w:rsidRPr="008A2A19">
        <w:rPr>
          <w:rFonts w:eastAsia="MS Mincho"/>
          <w:sz w:val="24"/>
          <w:szCs w:val="24"/>
        </w:rPr>
        <w:t>La proposta di potenziamento dell’articolo 5 della L-</w:t>
      </w:r>
      <w:proofErr w:type="spellStart"/>
      <w:r w:rsidRPr="008A2A19">
        <w:rPr>
          <w:rFonts w:eastAsia="MS Mincho"/>
          <w:sz w:val="24"/>
          <w:szCs w:val="24"/>
        </w:rPr>
        <w:t>riloc</w:t>
      </w:r>
      <w:r>
        <w:rPr>
          <w:rFonts w:eastAsia="MS Mincho"/>
          <w:sz w:val="24"/>
          <w:szCs w:val="24"/>
        </w:rPr>
        <w:t>c</w:t>
      </w:r>
      <w:proofErr w:type="spellEnd"/>
      <w:r>
        <w:rPr>
          <w:rFonts w:eastAsia="MS Mincho"/>
          <w:sz w:val="24"/>
          <w:szCs w:val="24"/>
        </w:rPr>
        <w:t xml:space="preserve"> si inserisce sicuramente nell'</w:t>
      </w:r>
      <w:r w:rsidRPr="008A2A19">
        <w:rPr>
          <w:rFonts w:eastAsia="MS Mincho"/>
          <w:sz w:val="24"/>
          <w:szCs w:val="24"/>
        </w:rPr>
        <w:t>ottica di un sostegno ulteriormente accresciuto alla categoria dei disoccupati over-50, incentiv</w:t>
      </w:r>
      <w:r>
        <w:rPr>
          <w:rFonts w:eastAsia="MS Mincho"/>
          <w:sz w:val="24"/>
          <w:szCs w:val="24"/>
        </w:rPr>
        <w:t>andone attivamente l'</w:t>
      </w:r>
      <w:r w:rsidRPr="008A2A19">
        <w:rPr>
          <w:rFonts w:eastAsia="MS Mincho"/>
          <w:sz w:val="24"/>
          <w:szCs w:val="24"/>
        </w:rPr>
        <w:t xml:space="preserve">assunzione da parte delle aziende. </w:t>
      </w:r>
    </w:p>
    <w:p w14:paraId="61039FE9" w14:textId="77777777" w:rsidR="000D2082" w:rsidRPr="008A2A19" w:rsidRDefault="000D2082" w:rsidP="000C42CB">
      <w:pPr>
        <w:spacing w:after="120"/>
        <w:jc w:val="both"/>
        <w:rPr>
          <w:rFonts w:eastAsia="MS Mincho"/>
          <w:iCs/>
          <w:sz w:val="24"/>
          <w:szCs w:val="24"/>
        </w:rPr>
      </w:pPr>
      <w:r w:rsidRPr="008A2A19">
        <w:rPr>
          <w:rFonts w:eastAsia="MS Mincho"/>
          <w:sz w:val="24"/>
          <w:szCs w:val="24"/>
        </w:rPr>
        <w:t>Vengono sollevate alcune criticità:</w:t>
      </w:r>
    </w:p>
    <w:p w14:paraId="10168052" w14:textId="77777777" w:rsidR="000D2082" w:rsidRPr="008A2A19" w:rsidRDefault="000D2082" w:rsidP="000C42CB">
      <w:pPr>
        <w:widowControl/>
        <w:numPr>
          <w:ilvl w:val="0"/>
          <w:numId w:val="19"/>
        </w:numPr>
        <w:autoSpaceDE/>
        <w:autoSpaceDN/>
        <w:adjustRightInd/>
        <w:spacing w:after="120"/>
        <w:ind w:left="425" w:hanging="425"/>
        <w:rPr>
          <w:rFonts w:eastAsia="MS Mincho"/>
          <w:iCs/>
          <w:sz w:val="24"/>
          <w:szCs w:val="24"/>
        </w:rPr>
      </w:pPr>
      <w:r w:rsidRPr="008A2A19">
        <w:rPr>
          <w:rFonts w:eastAsia="MS Mincho"/>
          <w:sz w:val="24"/>
          <w:szCs w:val="24"/>
        </w:rPr>
        <w:t>Effetto Manna:</w:t>
      </w:r>
    </w:p>
    <w:p w14:paraId="4A457B77" w14:textId="14A57449" w:rsidR="000D2082" w:rsidRPr="000C42CB" w:rsidRDefault="000D2082" w:rsidP="000C42CB">
      <w:pPr>
        <w:widowControl/>
        <w:numPr>
          <w:ilvl w:val="1"/>
          <w:numId w:val="19"/>
        </w:numPr>
        <w:autoSpaceDE/>
        <w:autoSpaceDN/>
        <w:adjustRightInd/>
        <w:ind w:left="851" w:hanging="425"/>
        <w:contextualSpacing/>
        <w:jc w:val="both"/>
        <w:rPr>
          <w:rFonts w:eastAsia="MS Mincho"/>
          <w:iCs/>
          <w:sz w:val="24"/>
          <w:szCs w:val="24"/>
        </w:rPr>
      </w:pPr>
      <w:r w:rsidRPr="008A2A19">
        <w:rPr>
          <w:rFonts w:eastAsia="MS Mincho"/>
          <w:sz w:val="24"/>
          <w:szCs w:val="24"/>
        </w:rPr>
        <w:t>rilevata dal rapporto scientifico di Giuliano Bonoli et. al (2013), “Valutazione delle misure cantonali per il rilancio dell’occupazione (L-</w:t>
      </w:r>
      <w:proofErr w:type="spellStart"/>
      <w:r w:rsidRPr="008A2A19">
        <w:rPr>
          <w:rFonts w:eastAsia="MS Mincho"/>
          <w:sz w:val="24"/>
          <w:szCs w:val="24"/>
        </w:rPr>
        <w:t>rilocc</w:t>
      </w:r>
      <w:proofErr w:type="spellEnd"/>
      <w:r w:rsidRPr="008A2A19">
        <w:rPr>
          <w:rFonts w:eastAsia="MS Mincho"/>
          <w:sz w:val="24"/>
          <w:szCs w:val="24"/>
        </w:rPr>
        <w:t xml:space="preserve">)”, </w:t>
      </w:r>
      <w:proofErr w:type="spellStart"/>
      <w:r w:rsidRPr="008A2A19">
        <w:rPr>
          <w:rFonts w:eastAsia="MS Mincho"/>
          <w:sz w:val="24"/>
          <w:szCs w:val="24"/>
        </w:rPr>
        <w:t>Institut</w:t>
      </w:r>
      <w:proofErr w:type="spellEnd"/>
      <w:r w:rsidRPr="008A2A19">
        <w:rPr>
          <w:rFonts w:eastAsia="MS Mincho"/>
          <w:sz w:val="24"/>
          <w:szCs w:val="24"/>
        </w:rPr>
        <w:t xml:space="preserve"> de </w:t>
      </w:r>
      <w:proofErr w:type="spellStart"/>
      <w:r w:rsidRPr="008A2A19">
        <w:rPr>
          <w:rFonts w:eastAsia="MS Mincho"/>
          <w:sz w:val="24"/>
          <w:szCs w:val="24"/>
        </w:rPr>
        <w:t>hautes</w:t>
      </w:r>
      <w:proofErr w:type="spellEnd"/>
      <w:r w:rsidRPr="008A2A19">
        <w:rPr>
          <w:rFonts w:eastAsia="MS Mincho"/>
          <w:sz w:val="24"/>
          <w:szCs w:val="24"/>
        </w:rPr>
        <w:t xml:space="preserve"> </w:t>
      </w:r>
      <w:proofErr w:type="spellStart"/>
      <w:r w:rsidRPr="008A2A19">
        <w:rPr>
          <w:rFonts w:eastAsia="MS Mincho"/>
          <w:sz w:val="24"/>
          <w:szCs w:val="24"/>
        </w:rPr>
        <w:t>études</w:t>
      </w:r>
      <w:proofErr w:type="spellEnd"/>
      <w:r w:rsidRPr="008A2A19">
        <w:rPr>
          <w:rFonts w:eastAsia="MS Mincho"/>
          <w:sz w:val="24"/>
          <w:szCs w:val="24"/>
        </w:rPr>
        <w:t xml:space="preserve"> en </w:t>
      </w:r>
      <w:proofErr w:type="spellStart"/>
      <w:r w:rsidRPr="008A2A19">
        <w:rPr>
          <w:rFonts w:eastAsia="MS Mincho"/>
          <w:sz w:val="24"/>
          <w:szCs w:val="24"/>
        </w:rPr>
        <w:t>administration</w:t>
      </w:r>
      <w:proofErr w:type="spellEnd"/>
      <w:r w:rsidRPr="008A2A19">
        <w:rPr>
          <w:rFonts w:eastAsia="MS Mincho"/>
          <w:sz w:val="24"/>
          <w:szCs w:val="24"/>
        </w:rPr>
        <w:t xml:space="preserve"> </w:t>
      </w:r>
      <w:proofErr w:type="spellStart"/>
      <w:r w:rsidRPr="008A2A19">
        <w:rPr>
          <w:rFonts w:eastAsia="MS Mincho"/>
          <w:sz w:val="24"/>
          <w:szCs w:val="24"/>
        </w:rPr>
        <w:t>publique</w:t>
      </w:r>
      <w:proofErr w:type="spellEnd"/>
      <w:r w:rsidRPr="008A2A19">
        <w:rPr>
          <w:rFonts w:eastAsia="MS Mincho"/>
          <w:sz w:val="24"/>
          <w:szCs w:val="24"/>
        </w:rPr>
        <w:t xml:space="preserve"> (IDHEAP), Losanna. Secondo la letteratura specialistica, è l’effetto perverso generato da un sussidio, nella misura in cui quest’ultimo attrae tra i beneficiari coloro che non erano quelli svantaggiati identificati dal legislatore. In altre parole, nel caso concreto dell’iniziativa in oggetto, anche aziende che normalmente avrebbero assunto gli stessi lavoratori e che non avrebbero bisogno del sostegno pubblico ne farebbero richiesta, aumentando così in maniera artificiale il costo della misura e creando dinamiche non virtuose sul mercato del lavoro. </w:t>
      </w:r>
    </w:p>
    <w:p w14:paraId="2A6AD423" w14:textId="77777777" w:rsidR="000C42CB" w:rsidRPr="008A2A19" w:rsidRDefault="000C42CB" w:rsidP="000C42CB">
      <w:pPr>
        <w:widowControl/>
        <w:autoSpaceDE/>
        <w:autoSpaceDN/>
        <w:adjustRightInd/>
        <w:ind w:left="851"/>
        <w:contextualSpacing/>
        <w:jc w:val="both"/>
        <w:rPr>
          <w:rFonts w:eastAsia="MS Mincho"/>
          <w:iCs/>
          <w:sz w:val="24"/>
          <w:szCs w:val="24"/>
        </w:rPr>
      </w:pPr>
    </w:p>
    <w:p w14:paraId="669E6E7A" w14:textId="77777777" w:rsidR="000D2082" w:rsidRPr="008A2A19" w:rsidRDefault="000D2082" w:rsidP="000C42CB">
      <w:pPr>
        <w:widowControl/>
        <w:numPr>
          <w:ilvl w:val="0"/>
          <w:numId w:val="19"/>
        </w:numPr>
        <w:autoSpaceDE/>
        <w:autoSpaceDN/>
        <w:adjustRightInd/>
        <w:spacing w:after="120"/>
        <w:ind w:left="425" w:hanging="425"/>
        <w:rPr>
          <w:rFonts w:eastAsia="MS Mincho"/>
          <w:iCs/>
          <w:sz w:val="24"/>
          <w:szCs w:val="24"/>
        </w:rPr>
      </w:pPr>
      <w:r w:rsidRPr="008A2A19">
        <w:rPr>
          <w:rFonts w:eastAsia="MS Mincho"/>
          <w:sz w:val="24"/>
          <w:szCs w:val="24"/>
        </w:rPr>
        <w:t>Impatto sull’assunzione di manodopera residente:</w:t>
      </w:r>
    </w:p>
    <w:p w14:paraId="67012DE3" w14:textId="799D8652" w:rsidR="000D2082" w:rsidRPr="000C42CB" w:rsidRDefault="000D2082" w:rsidP="000C42CB">
      <w:pPr>
        <w:widowControl/>
        <w:numPr>
          <w:ilvl w:val="1"/>
          <w:numId w:val="19"/>
        </w:numPr>
        <w:autoSpaceDE/>
        <w:autoSpaceDN/>
        <w:adjustRightInd/>
        <w:ind w:left="851" w:hanging="425"/>
        <w:contextualSpacing/>
        <w:jc w:val="both"/>
        <w:rPr>
          <w:rFonts w:eastAsia="MS Mincho"/>
          <w:iCs/>
          <w:sz w:val="24"/>
          <w:szCs w:val="24"/>
        </w:rPr>
      </w:pPr>
      <w:r w:rsidRPr="008A2A19">
        <w:rPr>
          <w:rFonts w:eastAsia="MS Mincho"/>
          <w:sz w:val="24"/>
          <w:szCs w:val="24"/>
        </w:rPr>
        <w:t>il rapporto dell’IDHEAP si pone alcuni interrogativi riguardo al possibile impatto sull’assunzione di manodopera residente. Le aziende tendono infatti a scegliere i futuri collaboratori indipendentemente dalla presenza di un incentivo, che entra eventualmente in gioco solo in un secondo momento. Anche l’esperienza raccolta sul campo nell’ambito del lavoro degli URC permette di confermare questa ipotesi, dato che l’assunzione da parte dell’azienda avviene se quest’ultima è convinta della bontà del candidato. Per questo motivo si ritiene che i sostegni personalizzati (</w:t>
      </w:r>
      <w:proofErr w:type="spellStart"/>
      <w:r w:rsidRPr="008A2A19">
        <w:rPr>
          <w:rFonts w:eastAsia="MS Mincho"/>
          <w:sz w:val="24"/>
          <w:szCs w:val="24"/>
        </w:rPr>
        <w:t>coaching</w:t>
      </w:r>
      <w:proofErr w:type="spellEnd"/>
      <w:r w:rsidRPr="008A2A19">
        <w:rPr>
          <w:rFonts w:eastAsia="MS Mincho"/>
          <w:sz w:val="24"/>
          <w:szCs w:val="24"/>
        </w:rPr>
        <w:t xml:space="preserve"> e </w:t>
      </w:r>
      <w:proofErr w:type="spellStart"/>
      <w:r w:rsidRPr="008A2A19">
        <w:rPr>
          <w:rFonts w:eastAsia="MS Mincho"/>
          <w:sz w:val="24"/>
          <w:szCs w:val="24"/>
        </w:rPr>
        <w:t>mentoring</w:t>
      </w:r>
      <w:proofErr w:type="spellEnd"/>
      <w:r w:rsidRPr="008A2A19">
        <w:rPr>
          <w:rFonts w:eastAsia="MS Mincho"/>
          <w:sz w:val="24"/>
          <w:szCs w:val="24"/>
        </w:rPr>
        <w:t xml:space="preserve">) siano strumenti importanti per un reinserimento efficace. </w:t>
      </w:r>
    </w:p>
    <w:p w14:paraId="2B36F8AB" w14:textId="77777777" w:rsidR="000C42CB" w:rsidRPr="008A2A19" w:rsidRDefault="000C42CB" w:rsidP="000C42CB">
      <w:pPr>
        <w:widowControl/>
        <w:autoSpaceDE/>
        <w:autoSpaceDN/>
        <w:adjustRightInd/>
        <w:ind w:left="851"/>
        <w:contextualSpacing/>
        <w:jc w:val="both"/>
        <w:rPr>
          <w:rFonts w:eastAsia="MS Mincho"/>
          <w:iCs/>
          <w:sz w:val="24"/>
          <w:szCs w:val="24"/>
        </w:rPr>
      </w:pPr>
    </w:p>
    <w:p w14:paraId="334A4910" w14:textId="77777777" w:rsidR="000D2082" w:rsidRPr="008A2A19" w:rsidRDefault="000D2082" w:rsidP="00226FF6">
      <w:pPr>
        <w:widowControl/>
        <w:numPr>
          <w:ilvl w:val="0"/>
          <w:numId w:val="19"/>
        </w:numPr>
        <w:autoSpaceDE/>
        <w:autoSpaceDN/>
        <w:adjustRightInd/>
        <w:spacing w:after="120"/>
        <w:ind w:left="425" w:hanging="425"/>
        <w:rPr>
          <w:rFonts w:eastAsia="MS Mincho"/>
          <w:iCs/>
          <w:sz w:val="24"/>
          <w:szCs w:val="24"/>
        </w:rPr>
      </w:pPr>
      <w:r w:rsidRPr="008A2A19">
        <w:rPr>
          <w:rFonts w:eastAsia="MS Mincho"/>
          <w:sz w:val="24"/>
          <w:szCs w:val="24"/>
        </w:rPr>
        <w:t xml:space="preserve">Le soglie: </w:t>
      </w:r>
    </w:p>
    <w:p w14:paraId="43E1BE5C" w14:textId="0EDD7204" w:rsidR="000D2082" w:rsidRPr="000C42CB" w:rsidRDefault="000D2082" w:rsidP="000C42CB">
      <w:pPr>
        <w:widowControl/>
        <w:numPr>
          <w:ilvl w:val="1"/>
          <w:numId w:val="19"/>
        </w:numPr>
        <w:autoSpaceDE/>
        <w:autoSpaceDN/>
        <w:adjustRightInd/>
        <w:ind w:left="851" w:hanging="425"/>
        <w:contextualSpacing/>
        <w:jc w:val="both"/>
        <w:rPr>
          <w:rFonts w:eastAsia="MS Mincho"/>
          <w:iCs/>
          <w:sz w:val="24"/>
          <w:szCs w:val="24"/>
        </w:rPr>
      </w:pPr>
      <w:r w:rsidRPr="008A2A19">
        <w:rPr>
          <w:rFonts w:eastAsia="MS Mincho"/>
          <w:sz w:val="24"/>
          <w:szCs w:val="24"/>
        </w:rPr>
        <w:t>il modello proposto dall’iniziativa, pone un rischio legato al passaggio da una categoria all’altra. Questo può portare a una discriminazion</w:t>
      </w:r>
      <w:r w:rsidR="00F71D4D">
        <w:rPr>
          <w:rFonts w:eastAsia="MS Mincho"/>
          <w:sz w:val="24"/>
          <w:szCs w:val="24"/>
        </w:rPr>
        <w:t>e</w:t>
      </w:r>
      <w:r w:rsidRPr="008A2A19">
        <w:rPr>
          <w:rFonts w:eastAsia="MS Mincho"/>
          <w:sz w:val="24"/>
          <w:szCs w:val="24"/>
        </w:rPr>
        <w:t xml:space="preserve"> tra disoccupati più anziane, o dinamiche poco virtuose di attese o di licenziamenti tattici per poter poi beneficiare, allo scatto in una classe di età superiore, di contributi di legge maggiorati.</w:t>
      </w:r>
    </w:p>
    <w:p w14:paraId="3841E99C" w14:textId="31329CA0" w:rsidR="000C42CB" w:rsidRDefault="000C42CB" w:rsidP="000C42CB">
      <w:pPr>
        <w:widowControl/>
        <w:autoSpaceDE/>
        <w:autoSpaceDN/>
        <w:adjustRightInd/>
        <w:ind w:left="851"/>
        <w:contextualSpacing/>
        <w:jc w:val="both"/>
        <w:rPr>
          <w:rFonts w:eastAsia="MS Mincho"/>
          <w:iCs/>
          <w:sz w:val="24"/>
          <w:szCs w:val="24"/>
        </w:rPr>
      </w:pPr>
    </w:p>
    <w:p w14:paraId="7DAF7373" w14:textId="77777777" w:rsidR="000C42CB" w:rsidRPr="008A2A19" w:rsidRDefault="000C42CB" w:rsidP="000C42CB">
      <w:pPr>
        <w:widowControl/>
        <w:autoSpaceDE/>
        <w:autoSpaceDN/>
        <w:adjustRightInd/>
        <w:ind w:left="851"/>
        <w:contextualSpacing/>
        <w:jc w:val="both"/>
        <w:rPr>
          <w:rFonts w:eastAsia="MS Mincho"/>
          <w:iCs/>
          <w:sz w:val="24"/>
          <w:szCs w:val="24"/>
        </w:rPr>
      </w:pPr>
    </w:p>
    <w:p w14:paraId="46509734" w14:textId="77777777" w:rsidR="000D2082" w:rsidRPr="008A2A19" w:rsidRDefault="000D2082" w:rsidP="00226FF6">
      <w:pPr>
        <w:widowControl/>
        <w:numPr>
          <w:ilvl w:val="0"/>
          <w:numId w:val="19"/>
        </w:numPr>
        <w:autoSpaceDE/>
        <w:autoSpaceDN/>
        <w:adjustRightInd/>
        <w:spacing w:after="120"/>
        <w:ind w:left="425" w:hanging="425"/>
        <w:rPr>
          <w:rFonts w:eastAsia="MS Mincho"/>
          <w:iCs/>
          <w:sz w:val="24"/>
          <w:szCs w:val="24"/>
        </w:rPr>
      </w:pPr>
      <w:r w:rsidRPr="008A2A19">
        <w:rPr>
          <w:rFonts w:eastAsia="MS Mincho"/>
          <w:sz w:val="24"/>
          <w:szCs w:val="24"/>
        </w:rPr>
        <w:lastRenderedPageBreak/>
        <w:t>Dinamiche distorsive di dipendenza finanziaria per le aziende:</w:t>
      </w:r>
    </w:p>
    <w:p w14:paraId="1CC5802F" w14:textId="77777777" w:rsidR="000D2082" w:rsidRPr="008A2A19" w:rsidRDefault="000D2082" w:rsidP="000C42CB">
      <w:pPr>
        <w:widowControl/>
        <w:numPr>
          <w:ilvl w:val="1"/>
          <w:numId w:val="19"/>
        </w:numPr>
        <w:autoSpaceDE/>
        <w:autoSpaceDN/>
        <w:adjustRightInd/>
        <w:ind w:left="851" w:hanging="425"/>
        <w:contextualSpacing/>
        <w:jc w:val="both"/>
        <w:rPr>
          <w:rFonts w:eastAsia="MS Mincho"/>
          <w:iCs/>
          <w:sz w:val="24"/>
          <w:szCs w:val="24"/>
        </w:rPr>
      </w:pPr>
      <w:r w:rsidRPr="008A2A19">
        <w:rPr>
          <w:rFonts w:eastAsia="MS Mincho"/>
          <w:sz w:val="24"/>
          <w:szCs w:val="24"/>
        </w:rPr>
        <w:t>è importante sottolineare che l’apertura di periodi di diritto al sussidio prolungati (ad esempio i 36 mesi che si aggiungono a un potenziale sussidio LADI di 12 mesi per le persone over-55) potrebbero provocare dinamiche di dipendenza finanziaria importanti per le aziende, con il pericolo di non evitare eventuali licenziamenti o rimpiazzi di personale allo scadere del sussidio. Questo vanificherebbe la soluzione del problema sostituzione, valorizzando la possibilità di ottenere sussidi piuttosto che le reali competenze professionali e personali.</w:t>
      </w:r>
    </w:p>
    <w:p w14:paraId="5FD339D4" w14:textId="77777777" w:rsidR="000D2082" w:rsidRPr="008A2A19" w:rsidRDefault="000D2082" w:rsidP="000C42CB">
      <w:pPr>
        <w:contextualSpacing/>
        <w:rPr>
          <w:rFonts w:eastAsia="MS Mincho"/>
          <w:iCs/>
          <w:sz w:val="24"/>
          <w:szCs w:val="24"/>
        </w:rPr>
      </w:pPr>
    </w:p>
    <w:p w14:paraId="455E610B" w14:textId="77777777" w:rsidR="000D2082" w:rsidRPr="008A2A19" w:rsidRDefault="000D2082" w:rsidP="000D2082">
      <w:pPr>
        <w:jc w:val="both"/>
        <w:rPr>
          <w:rFonts w:eastAsia="MS Mincho"/>
          <w:iCs/>
          <w:sz w:val="24"/>
          <w:szCs w:val="24"/>
        </w:rPr>
      </w:pPr>
      <w:r w:rsidRPr="008A2A19">
        <w:rPr>
          <w:rFonts w:eastAsia="MS Mincho"/>
          <w:sz w:val="24"/>
          <w:szCs w:val="24"/>
        </w:rPr>
        <w:t xml:space="preserve">La proposta degli </w:t>
      </w:r>
      <w:proofErr w:type="spellStart"/>
      <w:r w:rsidRPr="008A2A19">
        <w:rPr>
          <w:rFonts w:eastAsia="MS Mincho"/>
          <w:sz w:val="24"/>
          <w:szCs w:val="24"/>
        </w:rPr>
        <w:t>iniziativisti</w:t>
      </w:r>
      <w:proofErr w:type="spellEnd"/>
      <w:r w:rsidRPr="008A2A19">
        <w:rPr>
          <w:rFonts w:eastAsia="MS Mincho"/>
          <w:sz w:val="24"/>
          <w:szCs w:val="24"/>
        </w:rPr>
        <w:t xml:space="preserve"> è stimata (con i valori 2018 </w:t>
      </w:r>
      <w:proofErr w:type="spellStart"/>
      <w:r w:rsidRPr="008A2A19">
        <w:rPr>
          <w:rFonts w:eastAsia="MS Mincho"/>
          <w:sz w:val="24"/>
          <w:szCs w:val="24"/>
        </w:rPr>
        <w:t>pre</w:t>
      </w:r>
      <w:proofErr w:type="spellEnd"/>
      <w:r w:rsidRPr="008A2A19">
        <w:rPr>
          <w:rFonts w:eastAsia="MS Mincho"/>
          <w:sz w:val="24"/>
          <w:szCs w:val="24"/>
        </w:rPr>
        <w:t>-pandemia)</w:t>
      </w:r>
      <w:r>
        <w:rPr>
          <w:rFonts w:eastAsia="MS Mincho"/>
          <w:sz w:val="24"/>
          <w:szCs w:val="24"/>
        </w:rPr>
        <w:t xml:space="preserve"> avere un costo di circa 5.7 milioni di franchi</w:t>
      </w:r>
      <w:r w:rsidRPr="008A2A19">
        <w:rPr>
          <w:rFonts w:eastAsia="MS Mincho"/>
          <w:sz w:val="24"/>
          <w:szCs w:val="24"/>
        </w:rPr>
        <w:t>, che si a</w:t>
      </w:r>
      <w:r>
        <w:rPr>
          <w:rFonts w:eastAsia="MS Mincho"/>
          <w:sz w:val="24"/>
          <w:szCs w:val="24"/>
        </w:rPr>
        <w:t xml:space="preserve">ggiungono agli attuali 4.3 milioni di franchi </w:t>
      </w:r>
      <w:r w:rsidRPr="008A2A19">
        <w:rPr>
          <w:rFonts w:eastAsia="MS Mincho"/>
          <w:sz w:val="24"/>
          <w:szCs w:val="24"/>
        </w:rPr>
        <w:t>già p</w:t>
      </w:r>
      <w:r>
        <w:rPr>
          <w:rFonts w:eastAsia="MS Mincho"/>
          <w:sz w:val="24"/>
          <w:szCs w:val="24"/>
        </w:rPr>
        <w:t>revisti con l’applicazione dell'attuale l'</w:t>
      </w:r>
      <w:r w:rsidRPr="008A2A19">
        <w:rPr>
          <w:rFonts w:eastAsia="MS Mincho"/>
          <w:sz w:val="24"/>
          <w:szCs w:val="24"/>
        </w:rPr>
        <w:t>art. 5 L-</w:t>
      </w:r>
      <w:proofErr w:type="spellStart"/>
      <w:r w:rsidRPr="008A2A19">
        <w:rPr>
          <w:rFonts w:eastAsia="MS Mincho"/>
          <w:sz w:val="24"/>
          <w:szCs w:val="24"/>
        </w:rPr>
        <w:t>rilocc</w:t>
      </w:r>
      <w:proofErr w:type="spellEnd"/>
      <w:r w:rsidRPr="008A2A19">
        <w:rPr>
          <w:rFonts w:eastAsia="MS Mincho"/>
          <w:sz w:val="24"/>
          <w:szCs w:val="24"/>
        </w:rPr>
        <w:t>.</w:t>
      </w:r>
      <w:r>
        <w:rPr>
          <w:rFonts w:eastAsia="MS Mincho"/>
          <w:sz w:val="24"/>
          <w:szCs w:val="24"/>
        </w:rPr>
        <w:t xml:space="preserve"> </w:t>
      </w:r>
    </w:p>
    <w:p w14:paraId="50BDB378" w14:textId="77777777" w:rsidR="000D2082" w:rsidRPr="008A2A19" w:rsidRDefault="000D2082" w:rsidP="000D2082">
      <w:pPr>
        <w:jc w:val="both"/>
        <w:rPr>
          <w:rFonts w:eastAsia="MS Mincho"/>
          <w:iCs/>
          <w:sz w:val="24"/>
          <w:szCs w:val="24"/>
        </w:rPr>
      </w:pPr>
    </w:p>
    <w:p w14:paraId="189ADF95" w14:textId="77777777" w:rsidR="000D2082" w:rsidRPr="008A2A19" w:rsidRDefault="000D2082" w:rsidP="000D2082">
      <w:pPr>
        <w:jc w:val="both"/>
        <w:rPr>
          <w:rFonts w:eastAsia="MS Mincho"/>
          <w:iCs/>
          <w:sz w:val="24"/>
          <w:szCs w:val="24"/>
        </w:rPr>
      </w:pPr>
      <w:r w:rsidRPr="008A2A19">
        <w:rPr>
          <w:rFonts w:eastAsia="MS Mincho"/>
          <w:sz w:val="24"/>
          <w:szCs w:val="24"/>
        </w:rPr>
        <w:t>Visto quanto sopra riassunto e inserito nel Messaggio 800</w:t>
      </w:r>
      <w:r>
        <w:rPr>
          <w:rFonts w:eastAsia="MS Mincho"/>
          <w:sz w:val="24"/>
          <w:szCs w:val="24"/>
        </w:rPr>
        <w:t>2 del Consiglio di Stato, quest'</w:t>
      </w:r>
      <w:r w:rsidRPr="008A2A19">
        <w:rPr>
          <w:rFonts w:eastAsia="MS Mincho"/>
          <w:sz w:val="24"/>
          <w:szCs w:val="24"/>
        </w:rPr>
        <w:t xml:space="preserve">ultimo propone </w:t>
      </w:r>
      <w:r>
        <w:rPr>
          <w:rFonts w:eastAsia="MS Mincho"/>
          <w:sz w:val="24"/>
          <w:szCs w:val="24"/>
        </w:rPr>
        <w:t>un controprogetto, ispirato all'</w:t>
      </w:r>
      <w:r w:rsidRPr="008A2A19">
        <w:rPr>
          <w:rFonts w:eastAsia="MS Mincho"/>
          <w:sz w:val="24"/>
          <w:szCs w:val="24"/>
        </w:rPr>
        <w:t>iniziativa. Quale misura di risposta diretta alla crisi pandemica per i disoccupati più anziani, propone un aumento dell’incentivo previsto dall’art. 5 L-</w:t>
      </w:r>
      <w:proofErr w:type="spellStart"/>
      <w:r w:rsidRPr="008A2A19">
        <w:rPr>
          <w:rFonts w:eastAsia="MS Mincho"/>
          <w:sz w:val="24"/>
          <w:szCs w:val="24"/>
        </w:rPr>
        <w:t>rilocc</w:t>
      </w:r>
      <w:proofErr w:type="spellEnd"/>
      <w:r w:rsidRPr="008A2A19">
        <w:rPr>
          <w:rFonts w:eastAsia="MS Mincho"/>
          <w:sz w:val="24"/>
          <w:szCs w:val="24"/>
        </w:rPr>
        <w:t xml:space="preserve"> a 18 mesi (+6 m</w:t>
      </w:r>
      <w:r>
        <w:rPr>
          <w:rFonts w:eastAsia="MS Mincho"/>
          <w:sz w:val="24"/>
          <w:szCs w:val="24"/>
        </w:rPr>
        <w:t>esi rispetto all'</w:t>
      </w:r>
      <w:r w:rsidRPr="008A2A19">
        <w:rPr>
          <w:rFonts w:eastAsia="MS Mincho"/>
          <w:sz w:val="24"/>
          <w:szCs w:val="24"/>
        </w:rPr>
        <w:t>attuale applicazione) per tutti gli over-50, estesa fino alla fine 2022, permettendo così di sostenere il pubblico over-50 durante la fase di rilancio, dopodiché sarà possibi</w:t>
      </w:r>
      <w:r>
        <w:rPr>
          <w:rFonts w:eastAsia="MS Mincho"/>
          <w:sz w:val="24"/>
          <w:szCs w:val="24"/>
        </w:rPr>
        <w:t>le stilare una valutazione sull'</w:t>
      </w:r>
      <w:r w:rsidRPr="008A2A19">
        <w:rPr>
          <w:rFonts w:eastAsia="MS Mincho"/>
          <w:sz w:val="24"/>
          <w:szCs w:val="24"/>
        </w:rPr>
        <w:t>efficacia dello strumento.</w:t>
      </w:r>
    </w:p>
    <w:p w14:paraId="08801A91" w14:textId="77777777" w:rsidR="000D2082" w:rsidRPr="008A2A19" w:rsidRDefault="000D2082" w:rsidP="000D2082">
      <w:pPr>
        <w:jc w:val="both"/>
        <w:rPr>
          <w:rFonts w:eastAsia="MS Mincho"/>
          <w:iCs/>
          <w:sz w:val="24"/>
          <w:szCs w:val="24"/>
        </w:rPr>
      </w:pPr>
      <w:r w:rsidRPr="008A2A19">
        <w:rPr>
          <w:rFonts w:eastAsia="MS Mincho"/>
          <w:sz w:val="24"/>
          <w:szCs w:val="24"/>
        </w:rPr>
        <w:t>Con qu</w:t>
      </w:r>
      <w:r>
        <w:rPr>
          <w:rFonts w:eastAsia="MS Mincho"/>
          <w:sz w:val="24"/>
          <w:szCs w:val="24"/>
        </w:rPr>
        <w:t>esta proposta il Consiglio di Stato</w:t>
      </w:r>
      <w:r w:rsidRPr="008A2A19">
        <w:rPr>
          <w:rFonts w:eastAsia="MS Mincho"/>
          <w:sz w:val="24"/>
          <w:szCs w:val="24"/>
        </w:rPr>
        <w:t xml:space="preserve"> intende mitigare le varie criticità sollevate e sopra elencate. Sarebbe inoltre una misura sussidiaria a quelle già in att</w:t>
      </w:r>
      <w:r>
        <w:rPr>
          <w:rFonts w:eastAsia="MS Mincho"/>
          <w:sz w:val="24"/>
          <w:szCs w:val="24"/>
        </w:rPr>
        <w:t xml:space="preserve">o e in particolare al progetto "Job </w:t>
      </w:r>
      <w:proofErr w:type="spellStart"/>
      <w:r>
        <w:rPr>
          <w:rFonts w:eastAsia="MS Mincho"/>
          <w:sz w:val="24"/>
          <w:szCs w:val="24"/>
        </w:rPr>
        <w:t>mentor</w:t>
      </w:r>
      <w:proofErr w:type="spellEnd"/>
      <w:r>
        <w:rPr>
          <w:rFonts w:eastAsia="MS Mincho"/>
          <w:sz w:val="24"/>
          <w:szCs w:val="24"/>
        </w:rPr>
        <w:t>"</w:t>
      </w:r>
      <w:r w:rsidRPr="008A2A19">
        <w:rPr>
          <w:rFonts w:eastAsia="MS Mincho"/>
          <w:sz w:val="24"/>
          <w:szCs w:val="24"/>
        </w:rPr>
        <w:t xml:space="preserve"> e alla prestazione transitoria varata dalla Confederazione per i disoccupati over-60 che entreranno in vigore a breve.</w:t>
      </w:r>
    </w:p>
    <w:p w14:paraId="3587F26F" w14:textId="77777777" w:rsidR="000D2082" w:rsidRPr="008A2A19" w:rsidRDefault="000D2082" w:rsidP="000D2082">
      <w:pPr>
        <w:jc w:val="both"/>
        <w:rPr>
          <w:rFonts w:eastAsia="MS Mincho"/>
          <w:iCs/>
          <w:sz w:val="24"/>
          <w:szCs w:val="24"/>
        </w:rPr>
      </w:pPr>
    </w:p>
    <w:p w14:paraId="3B6C6A49" w14:textId="77777777" w:rsidR="000D2082" w:rsidRPr="008A2A19" w:rsidRDefault="000D2082" w:rsidP="000D2082">
      <w:pPr>
        <w:jc w:val="both"/>
        <w:rPr>
          <w:rFonts w:eastAsia="MS Mincho"/>
          <w:iCs/>
          <w:sz w:val="24"/>
          <w:szCs w:val="24"/>
        </w:rPr>
      </w:pPr>
      <w:r w:rsidRPr="008A2A19">
        <w:rPr>
          <w:rFonts w:eastAsia="MS Mincho"/>
          <w:sz w:val="24"/>
          <w:szCs w:val="24"/>
        </w:rPr>
        <w:t>Questa misura, così come proposta, porterebbe ad un investimento per il periodo gi</w:t>
      </w:r>
      <w:r>
        <w:rPr>
          <w:rFonts w:eastAsia="MS Mincho"/>
          <w:sz w:val="24"/>
          <w:szCs w:val="24"/>
        </w:rPr>
        <w:t>ugno 2021 - dicembre 2022 di</w:t>
      </w:r>
      <w:r w:rsidRPr="008A2A19">
        <w:rPr>
          <w:rFonts w:eastAsia="MS Mincho"/>
          <w:sz w:val="24"/>
          <w:szCs w:val="24"/>
        </w:rPr>
        <w:t xml:space="preserve"> 1'425'000</w:t>
      </w:r>
      <w:r>
        <w:rPr>
          <w:rFonts w:eastAsia="MS Mincho"/>
          <w:sz w:val="24"/>
          <w:szCs w:val="24"/>
        </w:rPr>
        <w:t xml:space="preserve"> franchi</w:t>
      </w:r>
      <w:r w:rsidRPr="008A2A19">
        <w:rPr>
          <w:rFonts w:eastAsia="MS Mincho"/>
          <w:sz w:val="24"/>
          <w:szCs w:val="24"/>
        </w:rPr>
        <w:t>. Tale impatto finanziario verrebbe inserito nei conti 2023-2024: si ricorda che i sussidi vengono versati alle aziende a fine del periodo, pertanto passati i 18 mesi.</w:t>
      </w:r>
    </w:p>
    <w:p w14:paraId="493643D1" w14:textId="77777777" w:rsidR="000D2082" w:rsidRPr="008A2A19" w:rsidRDefault="000D2082" w:rsidP="000D2082">
      <w:pPr>
        <w:jc w:val="both"/>
        <w:rPr>
          <w:rFonts w:eastAsia="MS Mincho"/>
          <w:iCs/>
          <w:sz w:val="24"/>
          <w:szCs w:val="24"/>
        </w:rPr>
      </w:pPr>
    </w:p>
    <w:p w14:paraId="41D485D6" w14:textId="54067401" w:rsidR="000D2082" w:rsidRDefault="000D2082" w:rsidP="000D2082">
      <w:pPr>
        <w:jc w:val="both"/>
        <w:rPr>
          <w:rFonts w:eastAsia="MS Mincho"/>
          <w:iCs/>
          <w:sz w:val="24"/>
          <w:szCs w:val="24"/>
        </w:rPr>
      </w:pPr>
    </w:p>
    <w:p w14:paraId="169D2448" w14:textId="77777777" w:rsidR="000C42CB" w:rsidRPr="008A2A19" w:rsidRDefault="000C42CB" w:rsidP="000D2082">
      <w:pPr>
        <w:jc w:val="both"/>
        <w:rPr>
          <w:rFonts w:eastAsia="MS Mincho"/>
          <w:iCs/>
          <w:sz w:val="24"/>
          <w:szCs w:val="24"/>
        </w:rPr>
      </w:pPr>
    </w:p>
    <w:p w14:paraId="111F4593" w14:textId="71007B36" w:rsidR="000D2082" w:rsidRPr="008A2A19" w:rsidRDefault="000D2082" w:rsidP="000D2082">
      <w:pPr>
        <w:tabs>
          <w:tab w:val="left" w:pos="567"/>
        </w:tabs>
        <w:spacing w:after="120"/>
        <w:rPr>
          <w:rFonts w:eastAsia="MS Mincho"/>
          <w:b/>
          <w:iCs/>
          <w:sz w:val="24"/>
          <w:szCs w:val="24"/>
        </w:rPr>
      </w:pPr>
      <w:r w:rsidRPr="00607E37">
        <w:rPr>
          <w:rFonts w:eastAsia="MS Mincho"/>
          <w:b/>
          <w:sz w:val="24"/>
          <w:szCs w:val="24"/>
        </w:rPr>
        <w:t xml:space="preserve">3. </w:t>
      </w:r>
      <w:r w:rsidR="000460DE">
        <w:rPr>
          <w:rFonts w:eastAsia="MS Mincho"/>
          <w:b/>
          <w:sz w:val="24"/>
          <w:szCs w:val="24"/>
        </w:rPr>
        <w:tab/>
      </w:r>
      <w:r>
        <w:rPr>
          <w:rFonts w:eastAsia="MS Mincho"/>
          <w:b/>
          <w:sz w:val="24"/>
          <w:szCs w:val="24"/>
        </w:rPr>
        <w:t>ULTERIORI INFORMAZIONI RACCOLTE</w:t>
      </w:r>
    </w:p>
    <w:p w14:paraId="2441C1BE" w14:textId="77777777" w:rsidR="000D2082" w:rsidRPr="008A2A19" w:rsidRDefault="000D2082" w:rsidP="000D2082">
      <w:pPr>
        <w:jc w:val="both"/>
        <w:rPr>
          <w:rFonts w:eastAsia="MS Mincho"/>
          <w:iCs/>
          <w:sz w:val="24"/>
          <w:szCs w:val="24"/>
        </w:rPr>
      </w:pPr>
      <w:r>
        <w:rPr>
          <w:rFonts w:eastAsia="MS Mincho"/>
          <w:sz w:val="24"/>
          <w:szCs w:val="24"/>
        </w:rPr>
        <w:t>La C</w:t>
      </w:r>
      <w:r w:rsidRPr="008A2A19">
        <w:rPr>
          <w:rFonts w:eastAsia="MS Mincho"/>
          <w:sz w:val="24"/>
          <w:szCs w:val="24"/>
        </w:rPr>
        <w:t>ommissione ha chiesto degli aggiornamenti sui dati relativi alla problematica degli over-50, che possiamo così riassumere:</w:t>
      </w:r>
    </w:p>
    <w:p w14:paraId="09B26AEC" w14:textId="77777777" w:rsidR="000D2082" w:rsidRPr="008A2A19" w:rsidRDefault="000D2082" w:rsidP="000D2082">
      <w:pPr>
        <w:jc w:val="both"/>
        <w:rPr>
          <w:rFonts w:eastAsia="MS Mincho"/>
          <w:iCs/>
          <w:sz w:val="24"/>
          <w:szCs w:val="24"/>
        </w:rPr>
      </w:pPr>
    </w:p>
    <w:p w14:paraId="1CBC8B7F" w14:textId="77777777" w:rsidR="000D2082" w:rsidRPr="008A2A19" w:rsidRDefault="000D2082" w:rsidP="007367A2">
      <w:pPr>
        <w:spacing w:after="60"/>
        <w:jc w:val="both"/>
        <w:rPr>
          <w:rFonts w:eastAsia="MS Mincho"/>
          <w:iCs/>
          <w:sz w:val="24"/>
          <w:szCs w:val="24"/>
        </w:rPr>
      </w:pPr>
      <w:r w:rsidRPr="008A2A19">
        <w:rPr>
          <w:rFonts w:eastAsia="MS Mincho"/>
          <w:sz w:val="24"/>
          <w:szCs w:val="24"/>
        </w:rPr>
        <w:t>Persone in assistenza al 31.12.2020:</w:t>
      </w:r>
    </w:p>
    <w:p w14:paraId="08403D9D" w14:textId="77777777" w:rsidR="000D2082" w:rsidRPr="008A2A19" w:rsidRDefault="000D2082" w:rsidP="00A56504">
      <w:pPr>
        <w:spacing w:after="180"/>
        <w:rPr>
          <w:rFonts w:eastAsia="MS Mincho"/>
          <w:iCs/>
          <w:sz w:val="24"/>
          <w:szCs w:val="24"/>
        </w:rPr>
      </w:pPr>
      <w:r w:rsidRPr="008A2A19">
        <w:rPr>
          <w:rFonts w:eastAsia="MS Mincho"/>
          <w:sz w:val="24"/>
          <w:szCs w:val="24"/>
        </w:rPr>
        <w:t xml:space="preserve">risultavano 7'863 persone al beneficio di prestazioni, di cui 2'261 al di sopra dei 50 anni (i quali costituivano il 28.8% del totale dei beneficiari), così suddivisi: </w:t>
      </w:r>
    </w:p>
    <w:tbl>
      <w:tblPr>
        <w:tblW w:w="0" w:type="auto"/>
        <w:tblCellMar>
          <w:left w:w="482" w:type="dxa"/>
          <w:right w:w="482" w:type="dxa"/>
        </w:tblCellMar>
        <w:tblLook w:val="04A0" w:firstRow="1" w:lastRow="0" w:firstColumn="1" w:lastColumn="0" w:noHBand="0" w:noVBand="1"/>
      </w:tblPr>
      <w:tblGrid>
        <w:gridCol w:w="2197"/>
        <w:gridCol w:w="3567"/>
        <w:gridCol w:w="3854"/>
      </w:tblGrid>
      <w:tr w:rsidR="000D2082" w:rsidRPr="008A2A19" w14:paraId="2F8DF89C" w14:textId="77777777" w:rsidTr="00A9642F">
        <w:tc>
          <w:tcPr>
            <w:tcW w:w="0" w:type="auto"/>
            <w:tcBorders>
              <w:top w:val="single" w:sz="8" w:space="0" w:color="000000"/>
              <w:left w:val="single" w:sz="8" w:space="0" w:color="000000"/>
              <w:bottom w:val="single" w:sz="8" w:space="0" w:color="000000"/>
              <w:right w:val="single" w:sz="8" w:space="0" w:color="000000"/>
            </w:tcBorders>
            <w:vAlign w:val="center"/>
            <w:hideMark/>
          </w:tcPr>
          <w:p w14:paraId="42AC06C5" w14:textId="77777777" w:rsidR="000D2082" w:rsidRPr="000C42CB" w:rsidRDefault="000D2082" w:rsidP="000C42CB">
            <w:pPr>
              <w:spacing w:after="240"/>
              <w:ind w:left="-353" w:right="-354"/>
              <w:rPr>
                <w:rFonts w:eastAsia="MS Mincho"/>
                <w:iCs/>
                <w:sz w:val="23"/>
                <w:szCs w:val="23"/>
              </w:rPr>
            </w:pPr>
            <w:r w:rsidRPr="000C42CB">
              <w:rPr>
                <w:rFonts w:eastAsia="MS Mincho"/>
                <w:sz w:val="23"/>
                <w:szCs w:val="23"/>
              </w:rPr>
              <w:t xml:space="preserve">Fascia di età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C8C90C7" w14:textId="77777777" w:rsidR="000D2082" w:rsidRPr="000C42CB" w:rsidRDefault="000D2082" w:rsidP="000C42CB">
            <w:pPr>
              <w:spacing w:after="240"/>
              <w:ind w:left="-330" w:right="-404"/>
              <w:rPr>
                <w:rFonts w:eastAsia="MS Mincho"/>
                <w:iCs/>
                <w:sz w:val="23"/>
                <w:szCs w:val="23"/>
              </w:rPr>
            </w:pPr>
            <w:r w:rsidRPr="000C42CB">
              <w:rPr>
                <w:rFonts w:eastAsia="MS Mincho"/>
                <w:sz w:val="23"/>
                <w:szCs w:val="23"/>
              </w:rPr>
              <w:t xml:space="preserve">Numero di persone beneficiarie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79AFAA3" w14:textId="77777777" w:rsidR="000D2082" w:rsidRPr="000C42CB" w:rsidRDefault="000D2082" w:rsidP="000C42CB">
            <w:pPr>
              <w:spacing w:after="240"/>
              <w:ind w:left="-378" w:right="-352"/>
              <w:rPr>
                <w:rFonts w:eastAsia="MS Mincho"/>
                <w:iCs/>
                <w:sz w:val="23"/>
                <w:szCs w:val="23"/>
              </w:rPr>
            </w:pPr>
            <w:r w:rsidRPr="000C42CB">
              <w:rPr>
                <w:rFonts w:eastAsia="MS Mincho"/>
                <w:sz w:val="23"/>
                <w:szCs w:val="23"/>
              </w:rPr>
              <w:t xml:space="preserve">Percentuale di persone beneficiarie </w:t>
            </w:r>
          </w:p>
        </w:tc>
      </w:tr>
      <w:tr w:rsidR="000D2082" w:rsidRPr="008A2A19" w14:paraId="621F1E5A" w14:textId="77777777" w:rsidTr="00A9642F">
        <w:tc>
          <w:tcPr>
            <w:tcW w:w="0" w:type="auto"/>
            <w:tcBorders>
              <w:top w:val="single" w:sz="8" w:space="0" w:color="000000"/>
              <w:left w:val="single" w:sz="8" w:space="0" w:color="000000"/>
              <w:bottom w:val="single" w:sz="8" w:space="0" w:color="000000"/>
              <w:right w:val="single" w:sz="8" w:space="0" w:color="000000"/>
            </w:tcBorders>
            <w:vAlign w:val="center"/>
            <w:hideMark/>
          </w:tcPr>
          <w:p w14:paraId="748757C1" w14:textId="77777777" w:rsidR="000D2082" w:rsidRPr="008A2A19" w:rsidRDefault="000D2082" w:rsidP="000C42CB">
            <w:pPr>
              <w:spacing w:after="240"/>
              <w:ind w:left="-353" w:right="-354"/>
              <w:rPr>
                <w:rFonts w:eastAsia="MS Mincho"/>
                <w:iCs/>
                <w:sz w:val="24"/>
                <w:szCs w:val="24"/>
              </w:rPr>
            </w:pPr>
            <w:r w:rsidRPr="008A2A19">
              <w:rPr>
                <w:rFonts w:eastAsia="MS Mincho"/>
                <w:sz w:val="24"/>
                <w:szCs w:val="24"/>
              </w:rPr>
              <w:t xml:space="preserve">50-54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73E7436" w14:textId="77777777" w:rsidR="000D2082" w:rsidRPr="008A2A19" w:rsidRDefault="000D2082" w:rsidP="000C42CB">
            <w:pPr>
              <w:spacing w:after="240"/>
              <w:ind w:left="-330" w:right="-404"/>
              <w:rPr>
                <w:rFonts w:eastAsia="MS Mincho"/>
                <w:iCs/>
                <w:sz w:val="24"/>
                <w:szCs w:val="24"/>
              </w:rPr>
            </w:pPr>
            <w:r w:rsidRPr="008A2A19">
              <w:rPr>
                <w:rFonts w:eastAsia="MS Mincho"/>
                <w:sz w:val="24"/>
                <w:szCs w:val="24"/>
              </w:rPr>
              <w:t xml:space="preserve">910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1FD0114" w14:textId="77777777" w:rsidR="000D2082" w:rsidRPr="008A2A19" w:rsidRDefault="000D2082" w:rsidP="000C42CB">
            <w:pPr>
              <w:spacing w:after="240"/>
              <w:ind w:left="-378" w:right="-352"/>
              <w:rPr>
                <w:rFonts w:eastAsia="MS Mincho"/>
                <w:iCs/>
                <w:sz w:val="24"/>
                <w:szCs w:val="24"/>
              </w:rPr>
            </w:pPr>
            <w:r w:rsidRPr="008A2A19">
              <w:rPr>
                <w:rFonts w:eastAsia="MS Mincho"/>
                <w:sz w:val="24"/>
                <w:szCs w:val="24"/>
              </w:rPr>
              <w:t xml:space="preserve">11.6% </w:t>
            </w:r>
          </w:p>
        </w:tc>
      </w:tr>
      <w:tr w:rsidR="000D2082" w:rsidRPr="008A2A19" w14:paraId="2CBAA434" w14:textId="77777777" w:rsidTr="00A9642F">
        <w:tc>
          <w:tcPr>
            <w:tcW w:w="0" w:type="auto"/>
            <w:tcBorders>
              <w:top w:val="single" w:sz="8" w:space="0" w:color="000000"/>
              <w:left w:val="single" w:sz="8" w:space="0" w:color="000000"/>
              <w:bottom w:val="single" w:sz="8" w:space="0" w:color="000000"/>
              <w:right w:val="single" w:sz="8" w:space="0" w:color="000000"/>
            </w:tcBorders>
            <w:vAlign w:val="center"/>
            <w:hideMark/>
          </w:tcPr>
          <w:p w14:paraId="5EDC447A" w14:textId="77777777" w:rsidR="000D2082" w:rsidRPr="008A2A19" w:rsidRDefault="000D2082" w:rsidP="000C42CB">
            <w:pPr>
              <w:spacing w:after="240"/>
              <w:ind w:left="-353" w:right="-354"/>
              <w:rPr>
                <w:rFonts w:eastAsia="MS Mincho"/>
                <w:iCs/>
                <w:sz w:val="24"/>
                <w:szCs w:val="24"/>
              </w:rPr>
            </w:pPr>
            <w:r w:rsidRPr="008A2A19">
              <w:rPr>
                <w:rFonts w:eastAsia="MS Mincho"/>
                <w:sz w:val="24"/>
                <w:szCs w:val="24"/>
              </w:rPr>
              <w:t xml:space="preserve">55-59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33BEEBC" w14:textId="77777777" w:rsidR="000D2082" w:rsidRPr="008A2A19" w:rsidRDefault="000D2082" w:rsidP="000C42CB">
            <w:pPr>
              <w:spacing w:after="240"/>
              <w:ind w:left="-330" w:right="-404"/>
              <w:rPr>
                <w:rFonts w:eastAsia="MS Mincho"/>
                <w:iCs/>
                <w:sz w:val="24"/>
                <w:szCs w:val="24"/>
              </w:rPr>
            </w:pPr>
            <w:r w:rsidRPr="008A2A19">
              <w:rPr>
                <w:rFonts w:eastAsia="MS Mincho"/>
                <w:sz w:val="24"/>
                <w:szCs w:val="24"/>
              </w:rPr>
              <w:t xml:space="preserve">841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D428A25" w14:textId="77777777" w:rsidR="000D2082" w:rsidRPr="008A2A19" w:rsidRDefault="000D2082" w:rsidP="000C42CB">
            <w:pPr>
              <w:spacing w:after="240"/>
              <w:ind w:left="-378" w:right="-352"/>
              <w:rPr>
                <w:rFonts w:eastAsia="MS Mincho"/>
                <w:iCs/>
                <w:sz w:val="24"/>
                <w:szCs w:val="24"/>
              </w:rPr>
            </w:pPr>
            <w:r w:rsidRPr="008A2A19">
              <w:rPr>
                <w:rFonts w:eastAsia="MS Mincho"/>
                <w:sz w:val="24"/>
                <w:szCs w:val="24"/>
              </w:rPr>
              <w:t xml:space="preserve">10.7% </w:t>
            </w:r>
          </w:p>
        </w:tc>
      </w:tr>
      <w:tr w:rsidR="000D2082" w:rsidRPr="008A2A19" w14:paraId="7FDBC51C" w14:textId="77777777" w:rsidTr="00A9642F">
        <w:tc>
          <w:tcPr>
            <w:tcW w:w="0" w:type="auto"/>
            <w:tcBorders>
              <w:top w:val="single" w:sz="8" w:space="0" w:color="000000"/>
              <w:left w:val="single" w:sz="8" w:space="0" w:color="000000"/>
              <w:bottom w:val="single" w:sz="8" w:space="0" w:color="000000"/>
              <w:right w:val="single" w:sz="8" w:space="0" w:color="000000"/>
            </w:tcBorders>
            <w:vAlign w:val="center"/>
            <w:hideMark/>
          </w:tcPr>
          <w:p w14:paraId="0F3A34FD" w14:textId="77777777" w:rsidR="000D2082" w:rsidRPr="008A2A19" w:rsidRDefault="000D2082" w:rsidP="000C42CB">
            <w:pPr>
              <w:spacing w:after="240"/>
              <w:ind w:left="-353" w:right="-354"/>
              <w:rPr>
                <w:rFonts w:eastAsia="MS Mincho"/>
                <w:iCs/>
                <w:sz w:val="24"/>
                <w:szCs w:val="24"/>
              </w:rPr>
            </w:pPr>
            <w:r w:rsidRPr="008A2A19">
              <w:rPr>
                <w:rFonts w:eastAsia="MS Mincho"/>
                <w:sz w:val="24"/>
                <w:szCs w:val="24"/>
              </w:rPr>
              <w:t xml:space="preserve">Over 60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70F7612" w14:textId="77777777" w:rsidR="000D2082" w:rsidRPr="008A2A19" w:rsidRDefault="000D2082" w:rsidP="000C42CB">
            <w:pPr>
              <w:spacing w:after="240"/>
              <w:ind w:left="-330" w:right="-404"/>
              <w:rPr>
                <w:rFonts w:eastAsia="MS Mincho"/>
                <w:iCs/>
                <w:sz w:val="24"/>
                <w:szCs w:val="24"/>
              </w:rPr>
            </w:pPr>
            <w:r w:rsidRPr="008A2A19">
              <w:rPr>
                <w:rFonts w:eastAsia="MS Mincho"/>
                <w:sz w:val="24"/>
                <w:szCs w:val="24"/>
              </w:rPr>
              <w:t xml:space="preserve">510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731782A" w14:textId="77777777" w:rsidR="000D2082" w:rsidRPr="008A2A19" w:rsidRDefault="000D2082" w:rsidP="000C42CB">
            <w:pPr>
              <w:spacing w:after="240"/>
              <w:ind w:left="-378" w:right="-352"/>
              <w:rPr>
                <w:rFonts w:eastAsia="MS Mincho"/>
                <w:iCs/>
                <w:sz w:val="24"/>
                <w:szCs w:val="24"/>
              </w:rPr>
            </w:pPr>
            <w:r w:rsidRPr="008A2A19">
              <w:rPr>
                <w:rFonts w:eastAsia="MS Mincho"/>
                <w:sz w:val="24"/>
                <w:szCs w:val="24"/>
              </w:rPr>
              <w:t xml:space="preserve">6.5% </w:t>
            </w:r>
          </w:p>
        </w:tc>
      </w:tr>
      <w:tr w:rsidR="000D2082" w:rsidRPr="008A2A19" w14:paraId="26EF2D7C" w14:textId="77777777" w:rsidTr="00A9642F">
        <w:tc>
          <w:tcPr>
            <w:tcW w:w="0" w:type="auto"/>
            <w:tcBorders>
              <w:top w:val="single" w:sz="8" w:space="0" w:color="000000"/>
              <w:left w:val="single" w:sz="8" w:space="0" w:color="000000"/>
              <w:bottom w:val="single" w:sz="8" w:space="0" w:color="000000"/>
              <w:right w:val="single" w:sz="8" w:space="0" w:color="000000"/>
            </w:tcBorders>
            <w:vAlign w:val="center"/>
            <w:hideMark/>
          </w:tcPr>
          <w:p w14:paraId="2D25CBEB" w14:textId="77777777" w:rsidR="000D2082" w:rsidRPr="008A2A19" w:rsidRDefault="000D2082" w:rsidP="000C42CB">
            <w:pPr>
              <w:spacing w:after="240"/>
              <w:ind w:left="-353" w:right="-354"/>
              <w:rPr>
                <w:rFonts w:eastAsia="MS Mincho"/>
                <w:iCs/>
                <w:sz w:val="24"/>
                <w:szCs w:val="24"/>
              </w:rPr>
            </w:pPr>
            <w:r w:rsidRPr="008A2A19">
              <w:rPr>
                <w:rFonts w:eastAsia="MS Mincho"/>
                <w:b/>
                <w:bCs/>
                <w:sz w:val="24"/>
                <w:szCs w:val="24"/>
              </w:rPr>
              <w:t xml:space="preserve">Totale over 50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E0CBCE2" w14:textId="77777777" w:rsidR="000D2082" w:rsidRPr="008A2A19" w:rsidRDefault="000D2082" w:rsidP="000C42CB">
            <w:pPr>
              <w:spacing w:after="240"/>
              <w:ind w:left="-330"/>
              <w:rPr>
                <w:rFonts w:eastAsia="MS Mincho"/>
                <w:iCs/>
                <w:sz w:val="24"/>
                <w:szCs w:val="24"/>
              </w:rPr>
            </w:pPr>
            <w:r w:rsidRPr="008A2A19">
              <w:rPr>
                <w:rFonts w:eastAsia="MS Mincho"/>
                <w:b/>
                <w:bCs/>
                <w:sz w:val="24"/>
                <w:szCs w:val="24"/>
              </w:rPr>
              <w:t xml:space="preserve">2’261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9B6DAA7" w14:textId="77777777" w:rsidR="000D2082" w:rsidRPr="008A2A19" w:rsidRDefault="000D2082" w:rsidP="000C42CB">
            <w:pPr>
              <w:spacing w:after="240"/>
              <w:ind w:left="-378" w:right="-210"/>
              <w:rPr>
                <w:rFonts w:eastAsia="MS Mincho"/>
                <w:iCs/>
                <w:sz w:val="24"/>
                <w:szCs w:val="24"/>
              </w:rPr>
            </w:pPr>
            <w:r w:rsidRPr="008A2A19">
              <w:rPr>
                <w:rFonts w:eastAsia="MS Mincho"/>
                <w:b/>
                <w:bCs/>
                <w:sz w:val="24"/>
                <w:szCs w:val="24"/>
              </w:rPr>
              <w:t xml:space="preserve">28.8% </w:t>
            </w:r>
          </w:p>
        </w:tc>
      </w:tr>
      <w:tr w:rsidR="000D2082" w:rsidRPr="008A2A19" w14:paraId="5436F795" w14:textId="77777777" w:rsidTr="00A9642F">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B0A857" w14:textId="77777777" w:rsidR="000D2082" w:rsidRPr="008A2A19" w:rsidRDefault="000D2082" w:rsidP="000C42CB">
            <w:pPr>
              <w:ind w:left="-353"/>
              <w:rPr>
                <w:rFonts w:eastAsia="MS Mincho"/>
                <w:iCs/>
                <w:sz w:val="24"/>
                <w:szCs w:val="24"/>
              </w:rPr>
            </w:pPr>
            <w:r w:rsidRPr="008A2A19">
              <w:rPr>
                <w:rFonts w:eastAsia="MS Mincho"/>
                <w:i/>
                <w:sz w:val="24"/>
                <w:szCs w:val="24"/>
              </w:rPr>
              <w:t xml:space="preserve">Fonte: Sezione del sostegno sociale </w:t>
            </w:r>
          </w:p>
        </w:tc>
      </w:tr>
    </w:tbl>
    <w:p w14:paraId="5BC4F122" w14:textId="77777777" w:rsidR="000D2082" w:rsidRDefault="000D2082" w:rsidP="000C42CB">
      <w:pPr>
        <w:rPr>
          <w:rFonts w:eastAsia="MS Mincho"/>
          <w:iCs/>
          <w:sz w:val="24"/>
          <w:szCs w:val="24"/>
        </w:rPr>
      </w:pPr>
    </w:p>
    <w:p w14:paraId="2D6395AC" w14:textId="77777777" w:rsidR="000D2082" w:rsidRPr="008A2A19" w:rsidRDefault="000D2082" w:rsidP="000D2082">
      <w:pPr>
        <w:spacing w:after="240"/>
        <w:rPr>
          <w:rFonts w:eastAsia="MS Mincho"/>
          <w:iCs/>
          <w:sz w:val="24"/>
          <w:szCs w:val="24"/>
        </w:rPr>
      </w:pPr>
      <w:r w:rsidRPr="008A2A19">
        <w:rPr>
          <w:rFonts w:eastAsia="MS Mincho"/>
          <w:sz w:val="24"/>
          <w:szCs w:val="24"/>
        </w:rPr>
        <w:t xml:space="preserve">RG n. 2684 del 26 maggio 2021 </w:t>
      </w:r>
    </w:p>
    <w:p w14:paraId="6071A5AC" w14:textId="77777777" w:rsidR="000D2082" w:rsidRPr="008A2A19" w:rsidRDefault="000D2082" w:rsidP="000D2082">
      <w:pPr>
        <w:spacing w:after="240"/>
        <w:jc w:val="both"/>
        <w:rPr>
          <w:rFonts w:eastAsia="MS Mincho"/>
          <w:iCs/>
          <w:sz w:val="24"/>
          <w:szCs w:val="24"/>
        </w:rPr>
      </w:pPr>
      <w:r w:rsidRPr="008A2A19">
        <w:rPr>
          <w:rFonts w:eastAsia="MS Mincho"/>
          <w:sz w:val="24"/>
          <w:szCs w:val="24"/>
        </w:rPr>
        <w:lastRenderedPageBreak/>
        <w:t xml:space="preserve">Il numero di persone beneficiarie di prestazioni assistenziali è leggermente cresciuto per le tre fasce di età comprese tra i 50 e i 64 anni, passando complessivamente dal 26.5% di over 50 nel 2018 al 28.8% nel 2020. </w:t>
      </w:r>
    </w:p>
    <w:p w14:paraId="02EDAE8D" w14:textId="77777777" w:rsidR="000D2082" w:rsidRPr="008A2A19" w:rsidRDefault="000D2082" w:rsidP="007367A2">
      <w:pPr>
        <w:spacing w:after="60"/>
        <w:jc w:val="both"/>
        <w:rPr>
          <w:rFonts w:eastAsia="MS Mincho"/>
          <w:iCs/>
          <w:sz w:val="24"/>
          <w:szCs w:val="24"/>
        </w:rPr>
      </w:pPr>
      <w:r w:rsidRPr="008A2A19">
        <w:rPr>
          <w:rFonts w:eastAsia="MS Mincho"/>
          <w:sz w:val="24"/>
          <w:szCs w:val="24"/>
        </w:rPr>
        <w:t>Disoccupazione:</w:t>
      </w:r>
    </w:p>
    <w:p w14:paraId="734DFC62" w14:textId="77777777" w:rsidR="000D2082" w:rsidRPr="008A2A19" w:rsidRDefault="000D2082" w:rsidP="000D2082">
      <w:pPr>
        <w:jc w:val="both"/>
        <w:rPr>
          <w:rFonts w:eastAsia="MS Mincho"/>
          <w:iCs/>
          <w:sz w:val="24"/>
          <w:szCs w:val="24"/>
        </w:rPr>
      </w:pPr>
      <w:r w:rsidRPr="008A2A19">
        <w:rPr>
          <w:rFonts w:eastAsia="MS Mincho"/>
          <w:sz w:val="24"/>
          <w:szCs w:val="24"/>
        </w:rPr>
        <w:t xml:space="preserve">Il numero di disoccupati over-50 iscritti agli URC in Ticino è consultabile sul sito www.amstat.ch, dal quale è possibile estrapolare la tabella seguente con i dati relativi al mese di aprile 2021: </w:t>
      </w:r>
    </w:p>
    <w:p w14:paraId="11D83F68" w14:textId="77777777" w:rsidR="000D2082" w:rsidRPr="008A2A19" w:rsidRDefault="000D2082" w:rsidP="000D2082">
      <w:pPr>
        <w:rPr>
          <w:rFonts w:eastAsia="MS Mincho"/>
          <w:iCs/>
          <w:sz w:val="24"/>
          <w:szCs w:val="24"/>
        </w:rPr>
      </w:pPr>
    </w:p>
    <w:tbl>
      <w:tblPr>
        <w:tblW w:w="8921" w:type="dxa"/>
        <w:tblLayout w:type="fixed"/>
        <w:tblLook w:val="04A0" w:firstRow="1" w:lastRow="0" w:firstColumn="1" w:lastColumn="0" w:noHBand="0" w:noVBand="1"/>
      </w:tblPr>
      <w:tblGrid>
        <w:gridCol w:w="3251"/>
        <w:gridCol w:w="3827"/>
        <w:gridCol w:w="1843"/>
      </w:tblGrid>
      <w:tr w:rsidR="000D2082" w:rsidRPr="008A2A19" w14:paraId="28896CA8" w14:textId="77777777" w:rsidTr="000C42CB">
        <w:tc>
          <w:tcPr>
            <w:tcW w:w="3251" w:type="dxa"/>
            <w:tcBorders>
              <w:top w:val="single" w:sz="8" w:space="0" w:color="B2B2B2"/>
              <w:left w:val="single" w:sz="8" w:space="0" w:color="B2B2B2"/>
              <w:bottom w:val="single" w:sz="8" w:space="0" w:color="B2B2B2"/>
              <w:right w:val="single" w:sz="8" w:space="0" w:color="B2B2B2"/>
            </w:tcBorders>
            <w:shd w:val="clear" w:color="auto" w:fill="D0D0D0"/>
            <w:vAlign w:val="center"/>
            <w:hideMark/>
          </w:tcPr>
          <w:p w14:paraId="3005304E" w14:textId="77777777" w:rsidR="000D2082" w:rsidRPr="008A2A19" w:rsidRDefault="000D2082" w:rsidP="007367A2">
            <w:pPr>
              <w:spacing w:before="40" w:after="40"/>
              <w:rPr>
                <w:rFonts w:eastAsia="MS Mincho"/>
                <w:iCs/>
                <w:sz w:val="24"/>
                <w:szCs w:val="24"/>
              </w:rPr>
            </w:pPr>
            <w:r w:rsidRPr="008A2A19">
              <w:rPr>
                <w:rFonts w:eastAsia="MS Mincho"/>
                <w:b/>
                <w:bCs/>
                <w:sz w:val="24"/>
                <w:szCs w:val="24"/>
              </w:rPr>
              <w:t xml:space="preserve">Fascia d’età </w:t>
            </w:r>
          </w:p>
        </w:tc>
        <w:tc>
          <w:tcPr>
            <w:tcW w:w="3827" w:type="dxa"/>
            <w:tcBorders>
              <w:top w:val="single" w:sz="8" w:space="0" w:color="B2B2B2"/>
              <w:left w:val="single" w:sz="8" w:space="0" w:color="B2B2B2"/>
              <w:bottom w:val="single" w:sz="8" w:space="0" w:color="B2B2B2"/>
              <w:right w:val="single" w:sz="8" w:space="0" w:color="B2B2B2"/>
            </w:tcBorders>
            <w:shd w:val="clear" w:color="auto" w:fill="D0D0D0"/>
            <w:vAlign w:val="center"/>
            <w:hideMark/>
          </w:tcPr>
          <w:p w14:paraId="521AEAAA" w14:textId="77777777" w:rsidR="000D2082" w:rsidRPr="008A2A19" w:rsidRDefault="000D2082" w:rsidP="007367A2">
            <w:pPr>
              <w:spacing w:before="40" w:after="40"/>
              <w:rPr>
                <w:rFonts w:eastAsia="MS Mincho"/>
                <w:iCs/>
                <w:sz w:val="24"/>
                <w:szCs w:val="24"/>
              </w:rPr>
            </w:pPr>
            <w:r w:rsidRPr="008A2A19">
              <w:rPr>
                <w:rFonts w:eastAsia="MS Mincho"/>
                <w:b/>
                <w:bCs/>
                <w:sz w:val="24"/>
                <w:szCs w:val="24"/>
              </w:rPr>
              <w:t xml:space="preserve">Numero di disoccupati iscritti </w:t>
            </w:r>
          </w:p>
        </w:tc>
        <w:tc>
          <w:tcPr>
            <w:tcW w:w="1843" w:type="dxa"/>
            <w:tcBorders>
              <w:top w:val="single" w:sz="8" w:space="0" w:color="B2B2B2"/>
              <w:left w:val="single" w:sz="8" w:space="0" w:color="B2B2B2"/>
              <w:bottom w:val="single" w:sz="8" w:space="0" w:color="B2B2B2"/>
              <w:right w:val="single" w:sz="8" w:space="0" w:color="B0B0B0"/>
            </w:tcBorders>
            <w:shd w:val="clear" w:color="auto" w:fill="D0D0D0"/>
            <w:vAlign w:val="center"/>
            <w:hideMark/>
          </w:tcPr>
          <w:p w14:paraId="155993D7" w14:textId="09EAC56C" w:rsidR="000D2082" w:rsidRPr="008A2A19" w:rsidRDefault="000D2082" w:rsidP="007367A2">
            <w:pPr>
              <w:spacing w:before="40" w:after="40"/>
              <w:rPr>
                <w:rFonts w:eastAsia="MS Mincho"/>
                <w:iCs/>
                <w:sz w:val="24"/>
                <w:szCs w:val="24"/>
              </w:rPr>
            </w:pPr>
            <w:r w:rsidRPr="008A2A19">
              <w:rPr>
                <w:rFonts w:eastAsia="MS Mincho"/>
                <w:b/>
                <w:bCs/>
                <w:sz w:val="24"/>
                <w:szCs w:val="24"/>
              </w:rPr>
              <w:t xml:space="preserve">% sul totale </w:t>
            </w:r>
          </w:p>
        </w:tc>
      </w:tr>
      <w:tr w:rsidR="000D2082" w:rsidRPr="008A2A19" w14:paraId="106F71C2" w14:textId="77777777" w:rsidTr="000C42CB">
        <w:tc>
          <w:tcPr>
            <w:tcW w:w="3251" w:type="dxa"/>
            <w:tcBorders>
              <w:top w:val="single" w:sz="8" w:space="0" w:color="B2B2B2"/>
              <w:left w:val="single" w:sz="8" w:space="0" w:color="B2B2B2"/>
              <w:bottom w:val="single" w:sz="8" w:space="0" w:color="B2B2B2"/>
              <w:right w:val="single" w:sz="8" w:space="0" w:color="B2B2B2"/>
            </w:tcBorders>
            <w:vAlign w:val="center"/>
            <w:hideMark/>
          </w:tcPr>
          <w:p w14:paraId="3B1A42CC" w14:textId="77777777" w:rsidR="000D2082" w:rsidRPr="008A2A19" w:rsidRDefault="000D2082" w:rsidP="007367A2">
            <w:pPr>
              <w:spacing w:before="40" w:after="40"/>
              <w:rPr>
                <w:rFonts w:eastAsia="MS Mincho"/>
                <w:iCs/>
                <w:sz w:val="24"/>
                <w:szCs w:val="24"/>
              </w:rPr>
            </w:pPr>
            <w:r w:rsidRPr="008A2A19">
              <w:rPr>
                <w:rFonts w:eastAsia="MS Mincho"/>
                <w:sz w:val="24"/>
                <w:szCs w:val="24"/>
              </w:rPr>
              <w:t xml:space="preserve">50-54 anni </w:t>
            </w:r>
          </w:p>
        </w:tc>
        <w:tc>
          <w:tcPr>
            <w:tcW w:w="3827" w:type="dxa"/>
            <w:tcBorders>
              <w:top w:val="single" w:sz="8" w:space="0" w:color="B2B2B2"/>
              <w:left w:val="single" w:sz="8" w:space="0" w:color="B2B2B2"/>
              <w:bottom w:val="single" w:sz="8" w:space="0" w:color="B2B2B2"/>
              <w:right w:val="single" w:sz="8" w:space="0" w:color="B2B2B2"/>
            </w:tcBorders>
            <w:vAlign w:val="center"/>
            <w:hideMark/>
          </w:tcPr>
          <w:p w14:paraId="798156CF" w14:textId="77777777" w:rsidR="000D2082" w:rsidRPr="008A2A19" w:rsidRDefault="000D2082" w:rsidP="007367A2">
            <w:pPr>
              <w:spacing w:before="40" w:after="40"/>
              <w:rPr>
                <w:rFonts w:eastAsia="MS Mincho"/>
                <w:iCs/>
                <w:sz w:val="24"/>
                <w:szCs w:val="24"/>
              </w:rPr>
            </w:pPr>
            <w:r w:rsidRPr="008A2A19">
              <w:rPr>
                <w:rFonts w:eastAsia="MS Mincho"/>
                <w:sz w:val="24"/>
                <w:szCs w:val="24"/>
              </w:rPr>
              <w:t xml:space="preserve">696 </w:t>
            </w:r>
          </w:p>
        </w:tc>
        <w:tc>
          <w:tcPr>
            <w:tcW w:w="1843" w:type="dxa"/>
            <w:tcBorders>
              <w:top w:val="single" w:sz="8" w:space="0" w:color="B2B2B2"/>
              <w:left w:val="single" w:sz="8" w:space="0" w:color="B2B2B2"/>
              <w:bottom w:val="single" w:sz="8" w:space="0" w:color="B2B2B2"/>
              <w:right w:val="single" w:sz="8" w:space="0" w:color="B5B5B5"/>
            </w:tcBorders>
            <w:vAlign w:val="center"/>
            <w:hideMark/>
          </w:tcPr>
          <w:p w14:paraId="71EC4712" w14:textId="77777777" w:rsidR="000D2082" w:rsidRPr="008A2A19" w:rsidRDefault="000D2082" w:rsidP="007367A2">
            <w:pPr>
              <w:spacing w:before="40" w:after="40"/>
              <w:rPr>
                <w:rFonts w:eastAsia="MS Mincho"/>
                <w:iCs/>
                <w:sz w:val="24"/>
                <w:szCs w:val="24"/>
              </w:rPr>
            </w:pPr>
            <w:r w:rsidRPr="008A2A19">
              <w:rPr>
                <w:rFonts w:eastAsia="MS Mincho"/>
                <w:sz w:val="24"/>
                <w:szCs w:val="24"/>
              </w:rPr>
              <w:t xml:space="preserve">12.7 </w:t>
            </w:r>
          </w:p>
        </w:tc>
      </w:tr>
      <w:tr w:rsidR="000D2082" w:rsidRPr="008A2A19" w14:paraId="70C5EC3D" w14:textId="77777777" w:rsidTr="000C42CB">
        <w:tc>
          <w:tcPr>
            <w:tcW w:w="3251" w:type="dxa"/>
            <w:tcBorders>
              <w:top w:val="single" w:sz="8" w:space="0" w:color="B2B2B2"/>
              <w:left w:val="single" w:sz="8" w:space="0" w:color="B2B2B2"/>
              <w:bottom w:val="single" w:sz="8" w:space="0" w:color="B2B2B2"/>
              <w:right w:val="single" w:sz="8" w:space="0" w:color="B2B2B2"/>
            </w:tcBorders>
            <w:vAlign w:val="center"/>
            <w:hideMark/>
          </w:tcPr>
          <w:p w14:paraId="1E6BC877" w14:textId="77777777" w:rsidR="000D2082" w:rsidRPr="008A2A19" w:rsidRDefault="000D2082" w:rsidP="007367A2">
            <w:pPr>
              <w:spacing w:before="40" w:after="40"/>
              <w:rPr>
                <w:rFonts w:eastAsia="MS Mincho"/>
                <w:iCs/>
                <w:sz w:val="24"/>
                <w:szCs w:val="24"/>
              </w:rPr>
            </w:pPr>
            <w:r w:rsidRPr="008A2A19">
              <w:rPr>
                <w:rFonts w:eastAsia="MS Mincho"/>
                <w:sz w:val="24"/>
                <w:szCs w:val="24"/>
              </w:rPr>
              <w:t xml:space="preserve">55-59 anni </w:t>
            </w:r>
          </w:p>
        </w:tc>
        <w:tc>
          <w:tcPr>
            <w:tcW w:w="3827" w:type="dxa"/>
            <w:tcBorders>
              <w:top w:val="single" w:sz="8" w:space="0" w:color="B2B2B2"/>
              <w:left w:val="single" w:sz="8" w:space="0" w:color="B2B2B2"/>
              <w:bottom w:val="single" w:sz="8" w:space="0" w:color="B2B2B2"/>
              <w:right w:val="single" w:sz="8" w:space="0" w:color="B2B2B2"/>
            </w:tcBorders>
            <w:vAlign w:val="center"/>
            <w:hideMark/>
          </w:tcPr>
          <w:p w14:paraId="2CC569C3" w14:textId="1BAFA321" w:rsidR="000D2082" w:rsidRPr="008A2A19" w:rsidRDefault="000D2082" w:rsidP="007367A2">
            <w:pPr>
              <w:spacing w:before="40" w:after="40"/>
              <w:rPr>
                <w:rFonts w:eastAsia="MS Mincho"/>
                <w:iCs/>
                <w:sz w:val="24"/>
                <w:szCs w:val="24"/>
              </w:rPr>
            </w:pPr>
            <w:r w:rsidRPr="008A2A19">
              <w:rPr>
                <w:rFonts w:eastAsia="MS Mincho"/>
                <w:iCs/>
                <w:noProof/>
                <w:sz w:val="24"/>
                <w:szCs w:val="24"/>
                <w:lang w:val="it-CH" w:eastAsia="it-CH"/>
              </w:rPr>
              <w:drawing>
                <wp:inline distT="0" distB="0" distL="0" distR="0" wp14:anchorId="74DAF09A" wp14:editId="0E4D383D">
                  <wp:extent cx="9525" cy="9525"/>
                  <wp:effectExtent l="0" t="0" r="0" b="0"/>
                  <wp:docPr id="86"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A2A19">
              <w:rPr>
                <w:rFonts w:eastAsia="MS Mincho"/>
                <w:sz w:val="24"/>
                <w:szCs w:val="24"/>
              </w:rPr>
              <w:t xml:space="preserve">743 </w:t>
            </w:r>
          </w:p>
        </w:tc>
        <w:tc>
          <w:tcPr>
            <w:tcW w:w="1843" w:type="dxa"/>
            <w:tcBorders>
              <w:top w:val="single" w:sz="8" w:space="0" w:color="B2B2B2"/>
              <w:left w:val="single" w:sz="8" w:space="0" w:color="B2B2B2"/>
              <w:bottom w:val="single" w:sz="8" w:space="0" w:color="B2B2B2"/>
              <w:right w:val="single" w:sz="8" w:space="0" w:color="B7B7B7"/>
            </w:tcBorders>
            <w:vAlign w:val="center"/>
            <w:hideMark/>
          </w:tcPr>
          <w:p w14:paraId="2C771DFB" w14:textId="77777777" w:rsidR="000D2082" w:rsidRPr="008A2A19" w:rsidRDefault="000D2082" w:rsidP="007367A2">
            <w:pPr>
              <w:spacing w:before="40" w:after="40"/>
              <w:rPr>
                <w:rFonts w:eastAsia="MS Mincho"/>
                <w:iCs/>
                <w:sz w:val="24"/>
                <w:szCs w:val="24"/>
              </w:rPr>
            </w:pPr>
            <w:r w:rsidRPr="008A2A19">
              <w:rPr>
                <w:rFonts w:eastAsia="MS Mincho"/>
                <w:sz w:val="24"/>
                <w:szCs w:val="24"/>
              </w:rPr>
              <w:t xml:space="preserve">13.6 </w:t>
            </w:r>
          </w:p>
        </w:tc>
      </w:tr>
      <w:tr w:rsidR="000D2082" w:rsidRPr="008A2A19" w14:paraId="022F4D6E" w14:textId="77777777" w:rsidTr="000C42CB">
        <w:tc>
          <w:tcPr>
            <w:tcW w:w="3251" w:type="dxa"/>
            <w:tcBorders>
              <w:top w:val="single" w:sz="8" w:space="0" w:color="B2B2B2"/>
              <w:left w:val="single" w:sz="8" w:space="0" w:color="B2B2B2"/>
              <w:bottom w:val="single" w:sz="8" w:space="0" w:color="B2B2B2"/>
              <w:right w:val="single" w:sz="8" w:space="0" w:color="B2B2B2"/>
            </w:tcBorders>
            <w:vAlign w:val="center"/>
            <w:hideMark/>
          </w:tcPr>
          <w:p w14:paraId="7404D9FE" w14:textId="77777777" w:rsidR="000D2082" w:rsidRPr="008A2A19" w:rsidRDefault="000D2082" w:rsidP="007367A2">
            <w:pPr>
              <w:spacing w:before="40" w:after="40"/>
              <w:rPr>
                <w:rFonts w:eastAsia="MS Mincho"/>
                <w:iCs/>
                <w:sz w:val="24"/>
                <w:szCs w:val="24"/>
              </w:rPr>
            </w:pPr>
            <w:r w:rsidRPr="008A2A19">
              <w:rPr>
                <w:rFonts w:eastAsia="MS Mincho"/>
                <w:sz w:val="24"/>
                <w:szCs w:val="24"/>
              </w:rPr>
              <w:t xml:space="preserve">60-64 anni </w:t>
            </w:r>
          </w:p>
        </w:tc>
        <w:tc>
          <w:tcPr>
            <w:tcW w:w="3827" w:type="dxa"/>
            <w:tcBorders>
              <w:top w:val="single" w:sz="8" w:space="0" w:color="B2B2B2"/>
              <w:left w:val="single" w:sz="8" w:space="0" w:color="B2B2B2"/>
              <w:bottom w:val="single" w:sz="8" w:space="0" w:color="B2B2B2"/>
              <w:right w:val="single" w:sz="8" w:space="0" w:color="B2B2B2"/>
            </w:tcBorders>
            <w:vAlign w:val="center"/>
            <w:hideMark/>
          </w:tcPr>
          <w:p w14:paraId="2054F601" w14:textId="73EB0B17" w:rsidR="000D2082" w:rsidRPr="008A2A19" w:rsidRDefault="000D2082" w:rsidP="007367A2">
            <w:pPr>
              <w:spacing w:before="40" w:after="40"/>
              <w:rPr>
                <w:rFonts w:eastAsia="MS Mincho"/>
                <w:iCs/>
                <w:sz w:val="24"/>
                <w:szCs w:val="24"/>
              </w:rPr>
            </w:pPr>
            <w:r w:rsidRPr="008A2A19">
              <w:rPr>
                <w:rFonts w:eastAsia="MS Mincho"/>
                <w:sz w:val="24"/>
                <w:szCs w:val="24"/>
              </w:rPr>
              <w:t xml:space="preserve">630 </w:t>
            </w:r>
            <w:r w:rsidRPr="008A2A19">
              <w:rPr>
                <w:rFonts w:eastAsia="MS Mincho"/>
                <w:iCs/>
                <w:noProof/>
                <w:sz w:val="24"/>
                <w:szCs w:val="24"/>
                <w:lang w:val="it-CH" w:eastAsia="it-CH"/>
              </w:rPr>
              <w:drawing>
                <wp:inline distT="0" distB="0" distL="0" distR="0" wp14:anchorId="43732C0A" wp14:editId="346D5818">
                  <wp:extent cx="9525" cy="9525"/>
                  <wp:effectExtent l="0" t="0" r="0" b="0"/>
                  <wp:docPr id="87"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A2A19">
              <w:rPr>
                <w:rFonts w:eastAsia="MS Mincho"/>
                <w:sz w:val="24"/>
                <w:szCs w:val="24"/>
              </w:rPr>
              <w:t xml:space="preserve"> </w:t>
            </w:r>
          </w:p>
        </w:tc>
        <w:tc>
          <w:tcPr>
            <w:tcW w:w="1843" w:type="dxa"/>
            <w:tcBorders>
              <w:top w:val="single" w:sz="8" w:space="0" w:color="B2B2B2"/>
              <w:left w:val="single" w:sz="8" w:space="0" w:color="B2B2B2"/>
              <w:bottom w:val="single" w:sz="8" w:space="0" w:color="B2B2B2"/>
              <w:right w:val="single" w:sz="8" w:space="0" w:color="B6B6B6"/>
            </w:tcBorders>
            <w:vAlign w:val="center"/>
            <w:hideMark/>
          </w:tcPr>
          <w:p w14:paraId="766E57E8" w14:textId="77777777" w:rsidR="000D2082" w:rsidRPr="008A2A19" w:rsidRDefault="000D2082" w:rsidP="007367A2">
            <w:pPr>
              <w:spacing w:before="40" w:after="40"/>
              <w:rPr>
                <w:rFonts w:eastAsia="MS Mincho"/>
                <w:iCs/>
                <w:sz w:val="24"/>
                <w:szCs w:val="24"/>
              </w:rPr>
            </w:pPr>
            <w:r w:rsidRPr="008A2A19">
              <w:rPr>
                <w:rFonts w:eastAsia="MS Mincho"/>
                <w:sz w:val="24"/>
                <w:szCs w:val="24"/>
              </w:rPr>
              <w:t xml:space="preserve">11.5 </w:t>
            </w:r>
          </w:p>
        </w:tc>
      </w:tr>
      <w:tr w:rsidR="000D2082" w:rsidRPr="008A2A19" w14:paraId="128F5F95" w14:textId="77777777" w:rsidTr="000C42CB">
        <w:tc>
          <w:tcPr>
            <w:tcW w:w="3251" w:type="dxa"/>
            <w:tcBorders>
              <w:top w:val="single" w:sz="8" w:space="0" w:color="B2B2B2"/>
              <w:left w:val="single" w:sz="8" w:space="0" w:color="B2B2B2"/>
              <w:bottom w:val="single" w:sz="8" w:space="0" w:color="B2B2B2"/>
              <w:right w:val="single" w:sz="8" w:space="0" w:color="B2B2B2"/>
            </w:tcBorders>
            <w:vAlign w:val="center"/>
            <w:hideMark/>
          </w:tcPr>
          <w:p w14:paraId="6BBA2909" w14:textId="77777777" w:rsidR="000D2082" w:rsidRPr="008A2A19" w:rsidRDefault="000D2082" w:rsidP="007367A2">
            <w:pPr>
              <w:spacing w:before="40" w:after="40"/>
              <w:rPr>
                <w:rFonts w:eastAsia="MS Mincho"/>
                <w:iCs/>
                <w:sz w:val="24"/>
                <w:szCs w:val="24"/>
              </w:rPr>
            </w:pPr>
            <w:r w:rsidRPr="008A2A19">
              <w:rPr>
                <w:rFonts w:eastAsia="MS Mincho"/>
                <w:sz w:val="24"/>
                <w:szCs w:val="24"/>
              </w:rPr>
              <w:t xml:space="preserve">65 anni e più </w:t>
            </w:r>
          </w:p>
        </w:tc>
        <w:tc>
          <w:tcPr>
            <w:tcW w:w="3827" w:type="dxa"/>
            <w:tcBorders>
              <w:top w:val="single" w:sz="8" w:space="0" w:color="B2B2B2"/>
              <w:left w:val="single" w:sz="8" w:space="0" w:color="B2B2B2"/>
              <w:bottom w:val="single" w:sz="8" w:space="0" w:color="B2B2B2"/>
              <w:right w:val="single" w:sz="8" w:space="0" w:color="B2B2B2"/>
            </w:tcBorders>
            <w:vAlign w:val="center"/>
            <w:hideMark/>
          </w:tcPr>
          <w:p w14:paraId="5FC52153" w14:textId="77777777" w:rsidR="000D2082" w:rsidRPr="008A2A19" w:rsidRDefault="000D2082" w:rsidP="007367A2">
            <w:pPr>
              <w:spacing w:before="40" w:after="40"/>
              <w:rPr>
                <w:rFonts w:eastAsia="MS Mincho"/>
                <w:iCs/>
                <w:sz w:val="24"/>
                <w:szCs w:val="24"/>
              </w:rPr>
            </w:pPr>
            <w:r w:rsidRPr="008A2A19">
              <w:rPr>
                <w:rFonts w:eastAsia="MS Mincho"/>
                <w:sz w:val="24"/>
                <w:szCs w:val="24"/>
              </w:rPr>
              <w:t xml:space="preserve">9 </w:t>
            </w:r>
          </w:p>
        </w:tc>
        <w:tc>
          <w:tcPr>
            <w:tcW w:w="1843" w:type="dxa"/>
            <w:tcBorders>
              <w:top w:val="single" w:sz="8" w:space="0" w:color="B2B2B2"/>
              <w:left w:val="single" w:sz="8" w:space="0" w:color="B2B2B2"/>
              <w:bottom w:val="single" w:sz="8" w:space="0" w:color="B2B2B2"/>
              <w:right w:val="single" w:sz="8" w:space="0" w:color="B3B3B3"/>
            </w:tcBorders>
            <w:vAlign w:val="center"/>
            <w:hideMark/>
          </w:tcPr>
          <w:p w14:paraId="289C6304" w14:textId="77777777" w:rsidR="000D2082" w:rsidRPr="008A2A19" w:rsidRDefault="000D2082" w:rsidP="007367A2">
            <w:pPr>
              <w:spacing w:before="40" w:after="40"/>
              <w:rPr>
                <w:rFonts w:eastAsia="MS Mincho"/>
                <w:iCs/>
                <w:sz w:val="24"/>
                <w:szCs w:val="24"/>
              </w:rPr>
            </w:pPr>
            <w:r w:rsidRPr="008A2A19">
              <w:rPr>
                <w:rFonts w:eastAsia="MS Mincho"/>
                <w:sz w:val="24"/>
                <w:szCs w:val="24"/>
              </w:rPr>
              <w:t xml:space="preserve">0.2 </w:t>
            </w:r>
          </w:p>
        </w:tc>
      </w:tr>
      <w:tr w:rsidR="000D2082" w:rsidRPr="008A2A19" w14:paraId="2CD76D60" w14:textId="77777777" w:rsidTr="000C42CB">
        <w:tc>
          <w:tcPr>
            <w:tcW w:w="3251" w:type="dxa"/>
            <w:tcBorders>
              <w:top w:val="single" w:sz="8" w:space="0" w:color="B2B2B2"/>
              <w:left w:val="single" w:sz="8" w:space="0" w:color="B2B2B2"/>
              <w:bottom w:val="single" w:sz="8" w:space="0" w:color="B2B2B2"/>
              <w:right w:val="single" w:sz="8" w:space="0" w:color="B2B2B2"/>
            </w:tcBorders>
            <w:shd w:val="clear" w:color="auto" w:fill="EFEFEF"/>
            <w:vAlign w:val="center"/>
            <w:hideMark/>
          </w:tcPr>
          <w:p w14:paraId="2152836A" w14:textId="77777777" w:rsidR="000D2082" w:rsidRPr="008A2A19" w:rsidRDefault="000D2082" w:rsidP="007367A2">
            <w:pPr>
              <w:spacing w:before="40" w:after="40"/>
              <w:rPr>
                <w:rFonts w:eastAsia="MS Mincho"/>
                <w:iCs/>
                <w:sz w:val="24"/>
                <w:szCs w:val="24"/>
              </w:rPr>
            </w:pPr>
            <w:r w:rsidRPr="008A2A19">
              <w:rPr>
                <w:rFonts w:eastAsia="MS Mincho"/>
                <w:b/>
                <w:bCs/>
                <w:sz w:val="24"/>
                <w:szCs w:val="24"/>
              </w:rPr>
              <w:t xml:space="preserve">Totale over-50 </w:t>
            </w:r>
          </w:p>
        </w:tc>
        <w:tc>
          <w:tcPr>
            <w:tcW w:w="3827" w:type="dxa"/>
            <w:tcBorders>
              <w:top w:val="single" w:sz="8" w:space="0" w:color="B2B2B2"/>
              <w:left w:val="single" w:sz="8" w:space="0" w:color="B2B2B2"/>
              <w:bottom w:val="single" w:sz="8" w:space="0" w:color="B2B2B2"/>
              <w:right w:val="single" w:sz="8" w:space="0" w:color="B2B2B2"/>
            </w:tcBorders>
            <w:shd w:val="clear" w:color="auto" w:fill="EFEFEF"/>
            <w:vAlign w:val="center"/>
            <w:hideMark/>
          </w:tcPr>
          <w:p w14:paraId="3E35F53D" w14:textId="0CFFD632" w:rsidR="000D2082" w:rsidRPr="008A2A19" w:rsidRDefault="000D2082" w:rsidP="007367A2">
            <w:pPr>
              <w:spacing w:before="40" w:after="40"/>
              <w:rPr>
                <w:rFonts w:eastAsia="MS Mincho"/>
                <w:iCs/>
                <w:sz w:val="24"/>
                <w:szCs w:val="24"/>
              </w:rPr>
            </w:pPr>
            <w:r w:rsidRPr="008A2A19">
              <w:rPr>
                <w:rFonts w:eastAsia="MS Mincho"/>
                <w:iCs/>
                <w:noProof/>
                <w:sz w:val="24"/>
                <w:szCs w:val="24"/>
                <w:lang w:val="it-CH" w:eastAsia="it-CH"/>
              </w:rPr>
              <w:drawing>
                <wp:inline distT="0" distB="0" distL="0" distR="0" wp14:anchorId="61D9701A" wp14:editId="6DAE780C">
                  <wp:extent cx="9525" cy="9525"/>
                  <wp:effectExtent l="0" t="0" r="0" b="0"/>
                  <wp:docPr id="88"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A2A19">
              <w:rPr>
                <w:rFonts w:eastAsia="MS Mincho"/>
                <w:b/>
                <w:bCs/>
                <w:sz w:val="24"/>
                <w:szCs w:val="24"/>
              </w:rPr>
              <w:t xml:space="preserve">2'078 </w:t>
            </w:r>
            <w:r w:rsidRPr="008A2A19">
              <w:rPr>
                <w:rFonts w:eastAsia="MS Mincho"/>
                <w:iCs/>
                <w:noProof/>
                <w:sz w:val="24"/>
                <w:szCs w:val="24"/>
                <w:lang w:val="it-CH" w:eastAsia="it-CH"/>
              </w:rPr>
              <w:drawing>
                <wp:inline distT="0" distB="0" distL="0" distR="0" wp14:anchorId="5940660F" wp14:editId="1698377A">
                  <wp:extent cx="9525" cy="9525"/>
                  <wp:effectExtent l="0" t="0" r="0" b="0"/>
                  <wp:docPr id="89"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843" w:type="dxa"/>
            <w:tcBorders>
              <w:top w:val="single" w:sz="8" w:space="0" w:color="B2B2B2"/>
              <w:left w:val="single" w:sz="8" w:space="0" w:color="B2B2B2"/>
              <w:bottom w:val="single" w:sz="8" w:space="0" w:color="B2B2B2"/>
              <w:right w:val="single" w:sz="8" w:space="0" w:color="B3B3B3"/>
            </w:tcBorders>
            <w:shd w:val="clear" w:color="auto" w:fill="EFEFEF"/>
            <w:vAlign w:val="center"/>
            <w:hideMark/>
          </w:tcPr>
          <w:p w14:paraId="370DF0B0" w14:textId="77777777" w:rsidR="000D2082" w:rsidRPr="008A2A19" w:rsidRDefault="000D2082" w:rsidP="007367A2">
            <w:pPr>
              <w:spacing w:before="40" w:after="40"/>
              <w:rPr>
                <w:rFonts w:eastAsia="MS Mincho"/>
                <w:iCs/>
                <w:sz w:val="24"/>
                <w:szCs w:val="24"/>
              </w:rPr>
            </w:pPr>
            <w:r w:rsidRPr="008A2A19">
              <w:rPr>
                <w:rFonts w:eastAsia="MS Mincho"/>
                <w:b/>
                <w:bCs/>
                <w:sz w:val="24"/>
                <w:szCs w:val="24"/>
              </w:rPr>
              <w:t xml:space="preserve">37.9 </w:t>
            </w:r>
          </w:p>
        </w:tc>
      </w:tr>
      <w:tr w:rsidR="000D2082" w:rsidRPr="008A2A19" w14:paraId="11E591BF" w14:textId="77777777" w:rsidTr="000C42CB">
        <w:tc>
          <w:tcPr>
            <w:tcW w:w="3251" w:type="dxa"/>
            <w:tcBorders>
              <w:top w:val="single" w:sz="8" w:space="0" w:color="B2B2B2"/>
              <w:left w:val="single" w:sz="8" w:space="0" w:color="B2B2B2"/>
              <w:bottom w:val="single" w:sz="8" w:space="0" w:color="B2B2B2"/>
              <w:right w:val="single" w:sz="8" w:space="0" w:color="B2B2B2"/>
            </w:tcBorders>
            <w:shd w:val="clear" w:color="auto" w:fill="EFEFEF"/>
            <w:vAlign w:val="center"/>
            <w:hideMark/>
          </w:tcPr>
          <w:p w14:paraId="5F8BC2C1" w14:textId="77777777" w:rsidR="000D2082" w:rsidRPr="008A2A19" w:rsidRDefault="000D2082" w:rsidP="007367A2">
            <w:pPr>
              <w:spacing w:before="40" w:after="40"/>
              <w:rPr>
                <w:rFonts w:eastAsia="MS Mincho"/>
                <w:iCs/>
                <w:sz w:val="24"/>
                <w:szCs w:val="24"/>
              </w:rPr>
            </w:pPr>
            <w:r w:rsidRPr="008A2A19">
              <w:rPr>
                <w:rFonts w:eastAsia="MS Mincho"/>
                <w:b/>
                <w:bCs/>
                <w:sz w:val="24"/>
                <w:szCs w:val="24"/>
              </w:rPr>
              <w:t xml:space="preserve">Totale disoccupati iscritti </w:t>
            </w:r>
          </w:p>
        </w:tc>
        <w:tc>
          <w:tcPr>
            <w:tcW w:w="3827" w:type="dxa"/>
            <w:tcBorders>
              <w:top w:val="single" w:sz="8" w:space="0" w:color="B2B2B2"/>
              <w:left w:val="single" w:sz="8" w:space="0" w:color="B2B2B2"/>
              <w:bottom w:val="single" w:sz="8" w:space="0" w:color="B2B2B2"/>
              <w:right w:val="single" w:sz="8" w:space="0" w:color="B2B2B2"/>
            </w:tcBorders>
            <w:shd w:val="clear" w:color="auto" w:fill="EFEFEF"/>
            <w:vAlign w:val="center"/>
            <w:hideMark/>
          </w:tcPr>
          <w:p w14:paraId="2259CE39" w14:textId="1C54AB57" w:rsidR="000D2082" w:rsidRPr="008A2A19" w:rsidRDefault="000D2082" w:rsidP="007367A2">
            <w:pPr>
              <w:spacing w:before="40" w:after="40"/>
              <w:rPr>
                <w:rFonts w:eastAsia="MS Mincho"/>
                <w:iCs/>
                <w:sz w:val="24"/>
                <w:szCs w:val="24"/>
              </w:rPr>
            </w:pPr>
            <w:r w:rsidRPr="008A2A19">
              <w:rPr>
                <w:rFonts w:eastAsia="MS Mincho"/>
                <w:b/>
                <w:bCs/>
                <w:sz w:val="24"/>
                <w:szCs w:val="24"/>
              </w:rPr>
              <w:t>5'481</w:t>
            </w:r>
            <w:r w:rsidRPr="008A2A19">
              <w:rPr>
                <w:rFonts w:eastAsia="MS Mincho"/>
                <w:iCs/>
                <w:noProof/>
                <w:sz w:val="24"/>
                <w:szCs w:val="24"/>
                <w:lang w:val="it-CH" w:eastAsia="it-CH"/>
              </w:rPr>
              <w:drawing>
                <wp:inline distT="0" distB="0" distL="0" distR="0" wp14:anchorId="6894F79E" wp14:editId="35EC605C">
                  <wp:extent cx="9525" cy="9525"/>
                  <wp:effectExtent l="0" t="0" r="0" b="0"/>
                  <wp:docPr id="90"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A2A19">
              <w:rPr>
                <w:rFonts w:eastAsia="MS Mincho"/>
                <w:sz w:val="24"/>
                <w:szCs w:val="24"/>
              </w:rPr>
              <w:t xml:space="preserve"> </w:t>
            </w:r>
          </w:p>
        </w:tc>
        <w:tc>
          <w:tcPr>
            <w:tcW w:w="1843" w:type="dxa"/>
            <w:tcBorders>
              <w:top w:val="single" w:sz="8" w:space="0" w:color="B2B2B2"/>
              <w:left w:val="single" w:sz="8" w:space="0" w:color="B2B2B2"/>
              <w:bottom w:val="single" w:sz="8" w:space="0" w:color="B2B2B2"/>
              <w:right w:val="single" w:sz="8" w:space="0" w:color="B4B4B4"/>
            </w:tcBorders>
            <w:shd w:val="clear" w:color="auto" w:fill="EFEFEF"/>
            <w:vAlign w:val="center"/>
            <w:hideMark/>
          </w:tcPr>
          <w:p w14:paraId="6A491CDF" w14:textId="77777777" w:rsidR="000D2082" w:rsidRPr="008A2A19" w:rsidRDefault="000D2082" w:rsidP="007367A2">
            <w:pPr>
              <w:spacing w:before="40" w:after="40"/>
              <w:rPr>
                <w:rFonts w:eastAsia="MS Mincho"/>
                <w:iCs/>
                <w:sz w:val="24"/>
                <w:szCs w:val="24"/>
              </w:rPr>
            </w:pPr>
            <w:r w:rsidRPr="008A2A19">
              <w:rPr>
                <w:rFonts w:eastAsia="MS Mincho"/>
                <w:b/>
                <w:bCs/>
                <w:sz w:val="24"/>
                <w:szCs w:val="24"/>
              </w:rPr>
              <w:t xml:space="preserve">100 </w:t>
            </w:r>
          </w:p>
        </w:tc>
      </w:tr>
    </w:tbl>
    <w:p w14:paraId="2F151418" w14:textId="77777777" w:rsidR="000D2082" w:rsidRPr="008A2A19" w:rsidRDefault="000D2082" w:rsidP="000C42CB">
      <w:pPr>
        <w:spacing w:before="120"/>
        <w:rPr>
          <w:rFonts w:eastAsia="MS Mincho"/>
          <w:iCs/>
          <w:sz w:val="20"/>
          <w:szCs w:val="20"/>
        </w:rPr>
      </w:pPr>
      <w:r w:rsidRPr="008A2A19">
        <w:rPr>
          <w:rFonts w:eastAsia="MS Mincho"/>
          <w:sz w:val="20"/>
          <w:szCs w:val="20"/>
        </w:rPr>
        <w:t xml:space="preserve">Fonte: www.amstat.ch (consultato il 18.5.2021) </w:t>
      </w:r>
    </w:p>
    <w:p w14:paraId="56B0B00A" w14:textId="77777777" w:rsidR="000D2082" w:rsidRPr="008A2A19" w:rsidRDefault="000D2082" w:rsidP="000D2082">
      <w:pPr>
        <w:rPr>
          <w:rFonts w:eastAsia="MS Mincho"/>
          <w:iCs/>
          <w:sz w:val="24"/>
          <w:szCs w:val="24"/>
        </w:rPr>
      </w:pPr>
    </w:p>
    <w:p w14:paraId="535E48DF" w14:textId="55CF4DCA" w:rsidR="000D2082" w:rsidRDefault="000D2082" w:rsidP="000D2082">
      <w:pPr>
        <w:rPr>
          <w:rFonts w:eastAsia="MS Mincho"/>
          <w:iCs/>
          <w:sz w:val="24"/>
          <w:szCs w:val="24"/>
        </w:rPr>
      </w:pPr>
    </w:p>
    <w:p w14:paraId="0CE818AD" w14:textId="77777777" w:rsidR="000C42CB" w:rsidRPr="008A2A19" w:rsidRDefault="000C42CB" w:rsidP="000D2082">
      <w:pPr>
        <w:rPr>
          <w:rFonts w:eastAsia="MS Mincho"/>
          <w:iCs/>
          <w:sz w:val="24"/>
          <w:szCs w:val="24"/>
        </w:rPr>
      </w:pPr>
    </w:p>
    <w:p w14:paraId="631E79A9" w14:textId="5F2C2377" w:rsidR="000D2082" w:rsidRPr="008A2A19" w:rsidRDefault="000D2082" w:rsidP="00310319">
      <w:pPr>
        <w:tabs>
          <w:tab w:val="left" w:pos="567"/>
        </w:tabs>
        <w:spacing w:after="120"/>
        <w:rPr>
          <w:rFonts w:eastAsia="MS Mincho"/>
          <w:b/>
          <w:iCs/>
          <w:sz w:val="24"/>
          <w:szCs w:val="24"/>
        </w:rPr>
      </w:pPr>
      <w:r w:rsidRPr="00F44CBD">
        <w:rPr>
          <w:rFonts w:eastAsia="MS Mincho"/>
          <w:b/>
          <w:sz w:val="24"/>
          <w:szCs w:val="24"/>
        </w:rPr>
        <w:t xml:space="preserve">4. </w:t>
      </w:r>
      <w:r w:rsidR="00310319">
        <w:rPr>
          <w:rFonts w:eastAsia="MS Mincho"/>
          <w:b/>
          <w:sz w:val="24"/>
          <w:szCs w:val="24"/>
        </w:rPr>
        <w:tab/>
      </w:r>
      <w:r>
        <w:rPr>
          <w:rFonts w:eastAsia="MS Mincho"/>
          <w:b/>
          <w:sz w:val="24"/>
          <w:szCs w:val="24"/>
        </w:rPr>
        <w:t>LAVORI COMMISSIONALI</w:t>
      </w:r>
    </w:p>
    <w:p w14:paraId="40C3B157" w14:textId="77777777" w:rsidR="000D2082" w:rsidRPr="008A2A19" w:rsidRDefault="000D2082" w:rsidP="000D2082">
      <w:pPr>
        <w:jc w:val="both"/>
        <w:rPr>
          <w:rFonts w:eastAsia="MS Mincho"/>
          <w:iCs/>
          <w:sz w:val="24"/>
          <w:szCs w:val="24"/>
        </w:rPr>
      </w:pPr>
      <w:r w:rsidRPr="008A2A19">
        <w:rPr>
          <w:rFonts w:eastAsia="MS Mincho"/>
          <w:sz w:val="24"/>
          <w:szCs w:val="24"/>
        </w:rPr>
        <w:t xml:space="preserve">La </w:t>
      </w:r>
      <w:r>
        <w:rPr>
          <w:rFonts w:eastAsia="MS Mincho"/>
          <w:sz w:val="24"/>
          <w:szCs w:val="24"/>
        </w:rPr>
        <w:t>C</w:t>
      </w:r>
      <w:r w:rsidRPr="008A2A19">
        <w:rPr>
          <w:rFonts w:eastAsia="MS Mincho"/>
          <w:sz w:val="24"/>
          <w:szCs w:val="24"/>
        </w:rPr>
        <w:t xml:space="preserve">ommissione è sensibile alla problematica degli Over-50 e ritiene che essa vada affrontata e monitorata con attenzione nel tempo. </w:t>
      </w:r>
    </w:p>
    <w:p w14:paraId="2E773E88" w14:textId="77777777" w:rsidR="000D2082" w:rsidRPr="008A2A19" w:rsidRDefault="000D2082" w:rsidP="000D2082">
      <w:pPr>
        <w:jc w:val="both"/>
        <w:rPr>
          <w:rFonts w:eastAsia="MS Mincho"/>
          <w:iCs/>
          <w:sz w:val="24"/>
          <w:szCs w:val="24"/>
        </w:rPr>
      </w:pPr>
      <w:r w:rsidRPr="008A2A19">
        <w:rPr>
          <w:rFonts w:eastAsia="MS Mincho"/>
          <w:sz w:val="24"/>
          <w:szCs w:val="24"/>
        </w:rPr>
        <w:t xml:space="preserve">La pandemia non ha fatto che accentuare ed evidenziare una situazione che purtroppo si trascina da alcuni anni, che si teme non sia destinata a risolversi neppure nel 2022. </w:t>
      </w:r>
    </w:p>
    <w:p w14:paraId="2FA6BEC6" w14:textId="77777777" w:rsidR="000D2082" w:rsidRPr="008A2A19" w:rsidRDefault="000D2082" w:rsidP="000D2082">
      <w:pPr>
        <w:jc w:val="both"/>
        <w:rPr>
          <w:rFonts w:eastAsia="MS Mincho"/>
          <w:iCs/>
          <w:sz w:val="24"/>
          <w:szCs w:val="24"/>
        </w:rPr>
      </w:pPr>
      <w:r>
        <w:rPr>
          <w:rFonts w:eastAsia="MS Mincho"/>
          <w:sz w:val="24"/>
          <w:szCs w:val="24"/>
        </w:rPr>
        <w:t>L'</w:t>
      </w:r>
      <w:r w:rsidRPr="008A2A19">
        <w:rPr>
          <w:rFonts w:eastAsia="MS Mincho"/>
          <w:sz w:val="24"/>
          <w:szCs w:val="24"/>
        </w:rPr>
        <w:t xml:space="preserve">efficacia delle misure che verranno varate con questo rapporto andrà di conseguenza monitorata con costanza e continuità, al pari di tutti gli altri provvedimenti che già sono in atto o che verranno in futuro implementati con la stessa finalità. </w:t>
      </w:r>
    </w:p>
    <w:p w14:paraId="2AF183D4" w14:textId="77777777" w:rsidR="000D2082" w:rsidRPr="008A2A19" w:rsidRDefault="000D2082" w:rsidP="000D2082">
      <w:pPr>
        <w:jc w:val="both"/>
        <w:rPr>
          <w:rFonts w:eastAsia="MS Mincho"/>
          <w:iCs/>
          <w:sz w:val="24"/>
          <w:szCs w:val="24"/>
        </w:rPr>
      </w:pPr>
      <w:r>
        <w:rPr>
          <w:rFonts w:eastAsia="MS Mincho"/>
          <w:sz w:val="24"/>
          <w:szCs w:val="24"/>
        </w:rPr>
        <w:t>È importante conseguire l'</w:t>
      </w:r>
      <w:r w:rsidRPr="008A2A19">
        <w:rPr>
          <w:rFonts w:eastAsia="MS Mincho"/>
          <w:sz w:val="24"/>
          <w:szCs w:val="24"/>
        </w:rPr>
        <w:t>obiettivo di una vera e duratura nuova occupazione degli Over-50 evitando il rischio dell’effetto manna che è ben illustrato nel messaggio. Occorre infatti aiutare chi cerca lavoro e non sussidiare chi offre occupazione.</w:t>
      </w:r>
    </w:p>
    <w:p w14:paraId="0E5B23F3" w14:textId="77777777" w:rsidR="000D2082" w:rsidRPr="008A2A19" w:rsidRDefault="000D2082" w:rsidP="000D2082">
      <w:pPr>
        <w:jc w:val="both"/>
        <w:rPr>
          <w:rFonts w:eastAsia="MS Mincho"/>
          <w:iCs/>
          <w:sz w:val="24"/>
          <w:szCs w:val="24"/>
        </w:rPr>
      </w:pPr>
      <w:r w:rsidRPr="008A2A19">
        <w:rPr>
          <w:rFonts w:eastAsia="MS Mincho"/>
          <w:sz w:val="24"/>
          <w:szCs w:val="24"/>
        </w:rPr>
        <w:t>Per quest</w:t>
      </w:r>
      <w:r>
        <w:rPr>
          <w:rFonts w:eastAsia="MS Mincho"/>
          <w:sz w:val="24"/>
          <w:szCs w:val="24"/>
        </w:rPr>
        <w:t>o motivo la C</w:t>
      </w:r>
      <w:r w:rsidRPr="008A2A19">
        <w:rPr>
          <w:rFonts w:eastAsia="MS Mincho"/>
          <w:sz w:val="24"/>
          <w:szCs w:val="24"/>
        </w:rPr>
        <w:t xml:space="preserve">ommissione ritiene che i 12 + 6 mesi proposti dal messaggio </w:t>
      </w:r>
      <w:r>
        <w:rPr>
          <w:rFonts w:eastAsia="MS Mincho"/>
          <w:sz w:val="24"/>
          <w:szCs w:val="24"/>
        </w:rPr>
        <w:t>offrano un giusto incentivo all'</w:t>
      </w:r>
      <w:r w:rsidRPr="008A2A19">
        <w:rPr>
          <w:rFonts w:eastAsia="MS Mincho"/>
          <w:sz w:val="24"/>
          <w:szCs w:val="24"/>
        </w:rPr>
        <w:t>assunzione per il dat</w:t>
      </w:r>
      <w:r>
        <w:rPr>
          <w:rFonts w:eastAsia="MS Mincho"/>
          <w:sz w:val="24"/>
          <w:szCs w:val="24"/>
        </w:rPr>
        <w:t>ore di lavoro e nel contempo un'</w:t>
      </w:r>
      <w:r w:rsidRPr="008A2A19">
        <w:rPr>
          <w:rFonts w:eastAsia="MS Mincho"/>
          <w:sz w:val="24"/>
          <w:szCs w:val="24"/>
        </w:rPr>
        <w:t>opportunità concre</w:t>
      </w:r>
      <w:r>
        <w:rPr>
          <w:rFonts w:eastAsia="MS Mincho"/>
          <w:sz w:val="24"/>
          <w:szCs w:val="24"/>
        </w:rPr>
        <w:t>ta per chi è alla ricerca di un'</w:t>
      </w:r>
      <w:r w:rsidRPr="008A2A19">
        <w:rPr>
          <w:rFonts w:eastAsia="MS Mincho"/>
          <w:sz w:val="24"/>
          <w:szCs w:val="24"/>
        </w:rPr>
        <w:t>o</w:t>
      </w:r>
      <w:r>
        <w:rPr>
          <w:rFonts w:eastAsia="MS Mincho"/>
          <w:sz w:val="24"/>
          <w:szCs w:val="24"/>
        </w:rPr>
        <w:t>ccupazione. Passati 18 mesi, un'</w:t>
      </w:r>
      <w:r w:rsidRPr="008A2A19">
        <w:rPr>
          <w:rFonts w:eastAsia="MS Mincho"/>
          <w:sz w:val="24"/>
          <w:szCs w:val="24"/>
        </w:rPr>
        <w:t>azienda sarà se</w:t>
      </w:r>
      <w:r>
        <w:rPr>
          <w:rFonts w:eastAsia="MS Mincho"/>
          <w:sz w:val="24"/>
          <w:szCs w:val="24"/>
        </w:rPr>
        <w:t>nz'</w:t>
      </w:r>
      <w:r w:rsidRPr="008A2A19">
        <w:rPr>
          <w:rFonts w:eastAsia="MS Mincho"/>
          <w:sz w:val="24"/>
          <w:szCs w:val="24"/>
        </w:rPr>
        <w:t>altro in grado di comprendere se il collaboratore è valido e assolve i compiti assegnati.</w:t>
      </w:r>
    </w:p>
    <w:p w14:paraId="597EE323" w14:textId="77777777" w:rsidR="000D2082" w:rsidRPr="008A2A19" w:rsidRDefault="000D2082" w:rsidP="000D2082">
      <w:pPr>
        <w:jc w:val="both"/>
        <w:rPr>
          <w:rFonts w:eastAsia="MS Mincho"/>
          <w:iCs/>
          <w:sz w:val="24"/>
          <w:szCs w:val="24"/>
        </w:rPr>
      </w:pPr>
      <w:r w:rsidRPr="008A2A19">
        <w:rPr>
          <w:rFonts w:eastAsia="MS Mincho"/>
          <w:sz w:val="24"/>
          <w:szCs w:val="24"/>
        </w:rPr>
        <w:t>Si ritiene</w:t>
      </w:r>
      <w:r>
        <w:rPr>
          <w:rFonts w:eastAsia="MS Mincho"/>
          <w:sz w:val="24"/>
          <w:szCs w:val="24"/>
        </w:rPr>
        <w:t xml:space="preserve"> invece opportuno richiedere un'</w:t>
      </w:r>
      <w:r w:rsidRPr="008A2A19">
        <w:rPr>
          <w:rFonts w:eastAsia="MS Mincho"/>
          <w:sz w:val="24"/>
          <w:szCs w:val="24"/>
        </w:rPr>
        <w:t>estensione dei termini temporali definiti nel messaggio, facendo sì che la misura sia valida fino a fine 2023. Sarà in tal modo possibile nel corso del 2022 monitorare e valutare la reale efficacia della misura, verificando se dopo i 18 mesi i contratti di lavoro siano stati confermati, oppure se occorra rivedere alcuni aspetti per rendere la stessa misura più incisiva.</w:t>
      </w:r>
    </w:p>
    <w:p w14:paraId="73DCA8F4" w14:textId="77777777" w:rsidR="000D2082" w:rsidRPr="008A2A19" w:rsidRDefault="000D2082" w:rsidP="000D2082">
      <w:pPr>
        <w:jc w:val="both"/>
        <w:rPr>
          <w:rFonts w:eastAsia="MS Mincho"/>
          <w:iCs/>
          <w:sz w:val="24"/>
          <w:szCs w:val="24"/>
        </w:rPr>
      </w:pPr>
    </w:p>
    <w:p w14:paraId="734A806A" w14:textId="5D968814" w:rsidR="000D2082" w:rsidRPr="008A2A19" w:rsidRDefault="000D2082" w:rsidP="000D2082">
      <w:pPr>
        <w:jc w:val="both"/>
        <w:rPr>
          <w:rFonts w:eastAsia="MS Mincho"/>
          <w:iCs/>
          <w:sz w:val="24"/>
          <w:szCs w:val="24"/>
        </w:rPr>
      </w:pPr>
      <w:r w:rsidRPr="008A2A19">
        <w:rPr>
          <w:rFonts w:eastAsia="MS Mincho"/>
          <w:sz w:val="24"/>
          <w:szCs w:val="24"/>
        </w:rPr>
        <w:t xml:space="preserve">Non da ultimo sarà utile sensibilizzare sul problema il Parlamento </w:t>
      </w:r>
      <w:r w:rsidR="00226FF6">
        <w:rPr>
          <w:rFonts w:eastAsia="MS Mincho"/>
          <w:sz w:val="24"/>
          <w:szCs w:val="24"/>
        </w:rPr>
        <w:t>f</w:t>
      </w:r>
      <w:r w:rsidRPr="008A2A19">
        <w:rPr>
          <w:rFonts w:eastAsia="MS Mincho"/>
          <w:sz w:val="24"/>
          <w:szCs w:val="24"/>
        </w:rPr>
        <w:t>ederale che sta iniz</w:t>
      </w:r>
      <w:r>
        <w:rPr>
          <w:rFonts w:eastAsia="MS Mincho"/>
          <w:sz w:val="24"/>
          <w:szCs w:val="24"/>
        </w:rPr>
        <w:t>iando ad affrontare il dossier "</w:t>
      </w:r>
      <w:r w:rsidRPr="008A2A19">
        <w:rPr>
          <w:rFonts w:eastAsia="MS Mincho"/>
          <w:sz w:val="24"/>
          <w:szCs w:val="24"/>
        </w:rPr>
        <w:t>Previdenza professionale – LPP</w:t>
      </w:r>
      <w:r>
        <w:rPr>
          <w:rFonts w:eastAsia="MS Mincho"/>
          <w:sz w:val="24"/>
          <w:szCs w:val="24"/>
        </w:rPr>
        <w:t>"</w:t>
      </w:r>
      <w:r w:rsidRPr="008A2A19">
        <w:rPr>
          <w:rFonts w:eastAsia="MS Mincho"/>
          <w:sz w:val="24"/>
          <w:szCs w:val="24"/>
        </w:rPr>
        <w:t>.  Ben sappiamo, infatti, come la struttura della previdenza professionale sia discriminatoria verso i lavor</w:t>
      </w:r>
      <w:r>
        <w:rPr>
          <w:rFonts w:eastAsia="MS Mincho"/>
          <w:sz w:val="24"/>
          <w:szCs w:val="24"/>
        </w:rPr>
        <w:t>atori più anziani, vista l'</w:t>
      </w:r>
      <w:r w:rsidRPr="008A2A19">
        <w:rPr>
          <w:rFonts w:eastAsia="MS Mincho"/>
          <w:sz w:val="24"/>
          <w:szCs w:val="24"/>
        </w:rPr>
        <w:t>importante progress</w:t>
      </w:r>
      <w:r>
        <w:rPr>
          <w:rFonts w:eastAsia="MS Mincho"/>
          <w:sz w:val="24"/>
          <w:szCs w:val="24"/>
        </w:rPr>
        <w:t>ione dei costi determinata dall'</w:t>
      </w:r>
      <w:r w:rsidRPr="008A2A19">
        <w:rPr>
          <w:rFonts w:eastAsia="MS Mincho"/>
          <w:sz w:val="24"/>
          <w:szCs w:val="24"/>
        </w:rPr>
        <w:t>invecchiamento. Ci si riferisce in partico</w:t>
      </w:r>
      <w:r>
        <w:rPr>
          <w:rFonts w:eastAsia="MS Mincho"/>
          <w:sz w:val="24"/>
          <w:szCs w:val="24"/>
        </w:rPr>
        <w:t>lare al primo scatto ai 45 anni</w:t>
      </w:r>
      <w:r w:rsidRPr="008A2A19">
        <w:rPr>
          <w:rFonts w:eastAsia="MS Mincho"/>
          <w:sz w:val="24"/>
          <w:szCs w:val="24"/>
        </w:rPr>
        <w:t xml:space="preserve"> e</w:t>
      </w:r>
      <w:r>
        <w:rPr>
          <w:rFonts w:eastAsia="MS Mincho"/>
          <w:sz w:val="24"/>
          <w:szCs w:val="24"/>
        </w:rPr>
        <w:t>,</w:t>
      </w:r>
      <w:r w:rsidRPr="008A2A19">
        <w:rPr>
          <w:rFonts w:eastAsia="MS Mincho"/>
          <w:sz w:val="24"/>
          <w:szCs w:val="24"/>
        </w:rPr>
        <w:t xml:space="preserve"> successivamente</w:t>
      </w:r>
      <w:r>
        <w:rPr>
          <w:rFonts w:eastAsia="MS Mincho"/>
          <w:sz w:val="24"/>
          <w:szCs w:val="24"/>
        </w:rPr>
        <w:t>,</w:t>
      </w:r>
      <w:r w:rsidRPr="008A2A19">
        <w:rPr>
          <w:rFonts w:eastAsia="MS Mincho"/>
          <w:sz w:val="24"/>
          <w:szCs w:val="24"/>
        </w:rPr>
        <w:t xml:space="preserve"> al secondo ai 55 anni.</w:t>
      </w:r>
      <w:r>
        <w:rPr>
          <w:rFonts w:eastAsia="MS Mincho"/>
          <w:sz w:val="24"/>
          <w:szCs w:val="24"/>
        </w:rPr>
        <w:t xml:space="preserve"> </w:t>
      </w:r>
    </w:p>
    <w:p w14:paraId="0C2D5261" w14:textId="331348F9" w:rsidR="000D2082" w:rsidRDefault="000D2082" w:rsidP="000D2082">
      <w:pPr>
        <w:jc w:val="both"/>
        <w:rPr>
          <w:rFonts w:eastAsia="MS Mincho"/>
          <w:iCs/>
          <w:sz w:val="24"/>
          <w:szCs w:val="24"/>
        </w:rPr>
      </w:pPr>
    </w:p>
    <w:p w14:paraId="41BE0E0F" w14:textId="73FF50B4" w:rsidR="000D2082" w:rsidRDefault="000D2082" w:rsidP="000D2082">
      <w:pPr>
        <w:jc w:val="both"/>
        <w:rPr>
          <w:rFonts w:eastAsia="MS Mincho"/>
          <w:iCs/>
          <w:sz w:val="24"/>
          <w:szCs w:val="24"/>
        </w:rPr>
      </w:pPr>
    </w:p>
    <w:p w14:paraId="24C80EEA" w14:textId="77777777" w:rsidR="007367A2" w:rsidRPr="008A2A19" w:rsidRDefault="007367A2" w:rsidP="000D2082">
      <w:pPr>
        <w:jc w:val="both"/>
        <w:rPr>
          <w:rFonts w:eastAsia="MS Mincho"/>
          <w:iCs/>
          <w:sz w:val="24"/>
          <w:szCs w:val="24"/>
        </w:rPr>
      </w:pPr>
    </w:p>
    <w:p w14:paraId="332E1F7B" w14:textId="65831B5B" w:rsidR="000D2082" w:rsidRPr="008A2A19" w:rsidRDefault="000D2082" w:rsidP="000D2082">
      <w:pPr>
        <w:tabs>
          <w:tab w:val="left" w:pos="567"/>
        </w:tabs>
        <w:spacing w:after="120"/>
        <w:rPr>
          <w:rFonts w:eastAsia="MS Mincho"/>
          <w:b/>
          <w:iCs/>
          <w:sz w:val="24"/>
          <w:szCs w:val="24"/>
        </w:rPr>
      </w:pPr>
      <w:r>
        <w:rPr>
          <w:rFonts w:eastAsia="MS Mincho"/>
          <w:b/>
          <w:sz w:val="24"/>
          <w:szCs w:val="24"/>
        </w:rPr>
        <w:lastRenderedPageBreak/>
        <w:t xml:space="preserve">5. </w:t>
      </w:r>
      <w:r>
        <w:rPr>
          <w:rFonts w:eastAsia="MS Mincho"/>
          <w:b/>
          <w:sz w:val="24"/>
          <w:szCs w:val="24"/>
        </w:rPr>
        <w:tab/>
        <w:t>CONCLUSIONE</w:t>
      </w:r>
    </w:p>
    <w:p w14:paraId="742E090B" w14:textId="723359A2" w:rsidR="000D2082" w:rsidRDefault="000D2082" w:rsidP="00226FF6">
      <w:pPr>
        <w:jc w:val="both"/>
        <w:rPr>
          <w:rFonts w:eastAsia="MS Mincho"/>
          <w:sz w:val="24"/>
          <w:szCs w:val="24"/>
        </w:rPr>
      </w:pPr>
      <w:r w:rsidRPr="00B86228">
        <w:rPr>
          <w:rFonts w:eastAsia="MS Mincho"/>
          <w:sz w:val="24"/>
          <w:szCs w:val="24"/>
        </w:rPr>
        <w:t xml:space="preserve">Dopo discussione e analisi la maggioranza della Commissione ritiene che la proposta formulata dal Consiglio di Stato con il </w:t>
      </w:r>
      <w:r w:rsidR="007367A2">
        <w:rPr>
          <w:rFonts w:eastAsia="MS Mincho"/>
          <w:sz w:val="24"/>
          <w:szCs w:val="24"/>
        </w:rPr>
        <w:t>m</w:t>
      </w:r>
      <w:r w:rsidRPr="00B86228">
        <w:rPr>
          <w:rFonts w:eastAsia="MS Mincho"/>
          <w:sz w:val="24"/>
          <w:szCs w:val="24"/>
        </w:rPr>
        <w:t>essaggio</w:t>
      </w:r>
      <w:r>
        <w:rPr>
          <w:rFonts w:eastAsia="MS Mincho"/>
          <w:sz w:val="24"/>
          <w:szCs w:val="24"/>
        </w:rPr>
        <w:t xml:space="preserve"> n.</w:t>
      </w:r>
      <w:r w:rsidRPr="00B86228">
        <w:rPr>
          <w:rFonts w:eastAsia="MS Mincho"/>
          <w:sz w:val="24"/>
          <w:szCs w:val="24"/>
        </w:rPr>
        <w:t xml:space="preserve"> 8002 sia condivisibile e valida.</w:t>
      </w:r>
    </w:p>
    <w:p w14:paraId="37028AE5" w14:textId="77777777" w:rsidR="00226FF6" w:rsidRPr="00B86228" w:rsidRDefault="00226FF6" w:rsidP="00226FF6">
      <w:pPr>
        <w:jc w:val="both"/>
        <w:rPr>
          <w:rFonts w:eastAsia="MS Mincho"/>
          <w:iCs/>
          <w:sz w:val="24"/>
          <w:szCs w:val="24"/>
        </w:rPr>
      </w:pPr>
    </w:p>
    <w:p w14:paraId="251DDD44" w14:textId="06BF9D0A" w:rsidR="000D2082" w:rsidRDefault="000D2082" w:rsidP="000D2082">
      <w:pPr>
        <w:jc w:val="both"/>
        <w:rPr>
          <w:rFonts w:eastAsia="MS Mincho"/>
          <w:sz w:val="24"/>
          <w:szCs w:val="24"/>
        </w:rPr>
      </w:pPr>
      <w:r w:rsidRPr="00B86228">
        <w:rPr>
          <w:rFonts w:eastAsia="MS Mincho"/>
          <w:sz w:val="24"/>
          <w:szCs w:val="24"/>
        </w:rPr>
        <w:t>Pertanto</w:t>
      </w:r>
      <w:r>
        <w:rPr>
          <w:rFonts w:eastAsia="MS Mincho"/>
          <w:sz w:val="24"/>
          <w:szCs w:val="24"/>
        </w:rPr>
        <w:t>,</w:t>
      </w:r>
      <w:r w:rsidRPr="00B86228">
        <w:rPr>
          <w:rFonts w:eastAsia="MS Mincho"/>
          <w:sz w:val="24"/>
          <w:szCs w:val="24"/>
        </w:rPr>
        <w:t xml:space="preserve"> si invita i</w:t>
      </w:r>
      <w:r>
        <w:rPr>
          <w:rFonts w:eastAsia="MS Mincho"/>
          <w:sz w:val="24"/>
          <w:szCs w:val="24"/>
        </w:rPr>
        <w:t>l Gran Consiglio a respingere l'iniziativa elaborata e ad</w:t>
      </w:r>
      <w:r w:rsidRPr="00B86228">
        <w:rPr>
          <w:rFonts w:eastAsia="MS Mincho"/>
          <w:sz w:val="24"/>
          <w:szCs w:val="24"/>
        </w:rPr>
        <w:t xml:space="preserve"> accogliere il</w:t>
      </w:r>
      <w:r>
        <w:rPr>
          <w:rFonts w:eastAsia="MS Mincho"/>
          <w:sz w:val="24"/>
          <w:szCs w:val="24"/>
        </w:rPr>
        <w:t xml:space="preserve"> controprogetto presentato dall'</w:t>
      </w:r>
      <w:r w:rsidRPr="00B86228">
        <w:rPr>
          <w:rFonts w:eastAsia="MS Mincho"/>
          <w:sz w:val="24"/>
          <w:szCs w:val="24"/>
        </w:rPr>
        <w:t>Esecutivo, con la sola estensione dei termini temporali ivi definiti, prolungando la validità del decreto legislativo sino fine 2023</w:t>
      </w:r>
      <w:r w:rsidR="00226FF6">
        <w:rPr>
          <w:rFonts w:eastAsia="MS Mincho"/>
          <w:sz w:val="24"/>
          <w:szCs w:val="24"/>
        </w:rPr>
        <w:t>.</w:t>
      </w:r>
    </w:p>
    <w:p w14:paraId="7FF84FBC" w14:textId="77777777" w:rsidR="00226FF6" w:rsidRPr="00B86228" w:rsidRDefault="00226FF6" w:rsidP="000D2082">
      <w:pPr>
        <w:jc w:val="both"/>
        <w:rPr>
          <w:rFonts w:eastAsia="MS Mincho"/>
          <w:iCs/>
          <w:sz w:val="24"/>
          <w:szCs w:val="24"/>
        </w:rPr>
      </w:pPr>
    </w:p>
    <w:p w14:paraId="05BE2D55" w14:textId="77777777" w:rsidR="000D2082" w:rsidRPr="007367A2" w:rsidRDefault="000D2082" w:rsidP="000D2082">
      <w:pPr>
        <w:jc w:val="both"/>
        <w:rPr>
          <w:rFonts w:eastAsia="MS Mincho"/>
          <w:iCs/>
          <w:sz w:val="24"/>
          <w:szCs w:val="24"/>
        </w:rPr>
      </w:pPr>
      <w:r w:rsidRPr="00B86228">
        <w:rPr>
          <w:rFonts w:eastAsia="MS Mincho"/>
          <w:sz w:val="24"/>
          <w:szCs w:val="24"/>
        </w:rPr>
        <w:t>Al fine di poter valutare l'eventuale necessità di un'estensione nel tempo di queste misure e/o di correttivi da applicare, la Commissione economia e lavoro auspica, al più tardi nel secondo semestre del 2022, di poter ricevere aggiornamenti sull'effetto di queste misure e nel contempo avere dati quantitativi e qualitativi più precisi sulle effettive cause di perdita di lavoro degli over 50, in modo da sviluppare proattivamente strumenti per il loro mantenimento nel mondo del lavoro.</w:t>
      </w:r>
    </w:p>
    <w:p w14:paraId="6BDDCF1F" w14:textId="77777777" w:rsidR="000D2082" w:rsidRDefault="000D2082" w:rsidP="000D2082">
      <w:pPr>
        <w:rPr>
          <w:rFonts w:eastAsia="MS Mincho"/>
          <w:iCs/>
          <w:sz w:val="24"/>
          <w:szCs w:val="24"/>
        </w:rPr>
      </w:pPr>
    </w:p>
    <w:p w14:paraId="375FCFC6" w14:textId="77777777" w:rsidR="000D2082" w:rsidRPr="008A2A19" w:rsidRDefault="000D2082" w:rsidP="000D2082">
      <w:pPr>
        <w:rPr>
          <w:rFonts w:eastAsia="MS Mincho"/>
          <w:iCs/>
          <w:sz w:val="24"/>
          <w:szCs w:val="24"/>
        </w:rPr>
      </w:pPr>
    </w:p>
    <w:p w14:paraId="71B2ADFA" w14:textId="77777777" w:rsidR="000D2082" w:rsidRPr="008A2A19" w:rsidRDefault="000D2082" w:rsidP="000D2082">
      <w:pPr>
        <w:rPr>
          <w:rFonts w:eastAsia="MS Mincho"/>
          <w:iCs/>
          <w:sz w:val="24"/>
          <w:szCs w:val="24"/>
        </w:rPr>
      </w:pPr>
    </w:p>
    <w:p w14:paraId="6EC941DC" w14:textId="7AF61F51" w:rsidR="000D2082" w:rsidRPr="00BB7F31" w:rsidRDefault="000D2082" w:rsidP="007367A2">
      <w:pPr>
        <w:spacing w:after="120"/>
        <w:rPr>
          <w:rFonts w:eastAsia="MS Mincho"/>
          <w:iCs/>
          <w:sz w:val="24"/>
          <w:szCs w:val="24"/>
        </w:rPr>
      </w:pPr>
      <w:r w:rsidRPr="00BB7F31">
        <w:rPr>
          <w:rFonts w:eastAsia="MS Mincho"/>
          <w:sz w:val="24"/>
          <w:szCs w:val="24"/>
        </w:rPr>
        <w:t xml:space="preserve">Per la </w:t>
      </w:r>
      <w:r w:rsidR="007367A2">
        <w:rPr>
          <w:rFonts w:eastAsia="MS Mincho"/>
          <w:sz w:val="24"/>
          <w:szCs w:val="24"/>
        </w:rPr>
        <w:t xml:space="preserve">maggioranza della </w:t>
      </w:r>
      <w:r w:rsidRPr="00BB7F31">
        <w:rPr>
          <w:rFonts w:eastAsia="MS Mincho"/>
          <w:sz w:val="24"/>
          <w:szCs w:val="24"/>
        </w:rPr>
        <w:t>Commissione economia e lavoro:</w:t>
      </w:r>
    </w:p>
    <w:p w14:paraId="5A7C6210" w14:textId="77777777" w:rsidR="000D2082" w:rsidRPr="001414D8" w:rsidRDefault="000D2082" w:rsidP="001414D8">
      <w:pPr>
        <w:rPr>
          <w:rFonts w:eastAsia="MS Mincho"/>
          <w:iCs/>
          <w:color w:val="000000" w:themeColor="text1"/>
          <w:sz w:val="24"/>
          <w:szCs w:val="24"/>
        </w:rPr>
      </w:pPr>
      <w:r w:rsidRPr="001414D8">
        <w:rPr>
          <w:rFonts w:eastAsia="MS Mincho"/>
          <w:color w:val="000000" w:themeColor="text1"/>
          <w:sz w:val="24"/>
          <w:szCs w:val="24"/>
        </w:rPr>
        <w:t>Cristina Maderni, relatrice</w:t>
      </w:r>
    </w:p>
    <w:p w14:paraId="4FD6852B" w14:textId="43D98A60" w:rsidR="001414D8" w:rsidRPr="001414D8" w:rsidRDefault="001414D8" w:rsidP="001414D8">
      <w:pPr>
        <w:spacing w:line="276" w:lineRule="auto"/>
        <w:ind w:left="1985" w:hanging="1985"/>
        <w:jc w:val="both"/>
        <w:rPr>
          <w:color w:val="000000"/>
          <w:sz w:val="24"/>
          <w:szCs w:val="24"/>
          <w:shd w:val="clear" w:color="auto" w:fill="FFFFFF"/>
        </w:rPr>
      </w:pPr>
      <w:r w:rsidRPr="001414D8">
        <w:rPr>
          <w:color w:val="000000"/>
          <w:sz w:val="24"/>
          <w:szCs w:val="24"/>
          <w:shd w:val="clear" w:color="auto" w:fill="FFFFFF"/>
        </w:rPr>
        <w:t xml:space="preserve">Ay (con riserva) - Balli (con riserva) - Bignasca (con riserva) - </w:t>
      </w:r>
    </w:p>
    <w:p w14:paraId="6DC90328" w14:textId="1C8901C0" w:rsidR="001414D8" w:rsidRPr="001414D8" w:rsidRDefault="001414D8" w:rsidP="001414D8">
      <w:pPr>
        <w:spacing w:line="276" w:lineRule="auto"/>
        <w:ind w:left="1985" w:hanging="1985"/>
        <w:jc w:val="both"/>
        <w:rPr>
          <w:color w:val="000000"/>
          <w:sz w:val="24"/>
          <w:szCs w:val="24"/>
          <w:shd w:val="clear" w:color="auto" w:fill="FFFFFF"/>
        </w:rPr>
      </w:pPr>
      <w:r w:rsidRPr="001414D8">
        <w:rPr>
          <w:color w:val="000000"/>
          <w:sz w:val="24"/>
          <w:szCs w:val="24"/>
          <w:shd w:val="clear" w:color="auto" w:fill="FFFFFF"/>
        </w:rPr>
        <w:t>Garbani Nerini (con riserva)</w:t>
      </w:r>
      <w:r>
        <w:rPr>
          <w:color w:val="000000"/>
          <w:sz w:val="24"/>
          <w:szCs w:val="24"/>
          <w:shd w:val="clear" w:color="auto" w:fill="FFFFFF"/>
        </w:rPr>
        <w:t xml:space="preserve"> - </w:t>
      </w:r>
      <w:r w:rsidRPr="001414D8">
        <w:rPr>
          <w:color w:val="000000"/>
          <w:sz w:val="24"/>
          <w:szCs w:val="24"/>
          <w:shd w:val="clear" w:color="auto" w:fill="FFFFFF"/>
        </w:rPr>
        <w:t xml:space="preserve">Minotti </w:t>
      </w:r>
      <w:r>
        <w:rPr>
          <w:color w:val="000000"/>
          <w:sz w:val="24"/>
          <w:szCs w:val="24"/>
          <w:shd w:val="clear" w:color="auto" w:fill="FFFFFF"/>
        </w:rPr>
        <w:t xml:space="preserve">- </w:t>
      </w:r>
      <w:r w:rsidRPr="001414D8">
        <w:rPr>
          <w:color w:val="000000"/>
          <w:sz w:val="24"/>
          <w:szCs w:val="24"/>
          <w:shd w:val="clear" w:color="auto" w:fill="FFFFFF"/>
        </w:rPr>
        <w:t xml:space="preserve">Noi </w:t>
      </w:r>
      <w:r>
        <w:rPr>
          <w:color w:val="000000"/>
          <w:sz w:val="24"/>
          <w:szCs w:val="24"/>
          <w:shd w:val="clear" w:color="auto" w:fill="FFFFFF"/>
        </w:rPr>
        <w:t xml:space="preserve">- </w:t>
      </w:r>
      <w:r w:rsidRPr="001414D8">
        <w:rPr>
          <w:color w:val="000000"/>
          <w:sz w:val="24"/>
          <w:szCs w:val="24"/>
          <w:shd w:val="clear" w:color="auto" w:fill="FFFFFF"/>
        </w:rPr>
        <w:t>Ortelli P. (con riserva)</w:t>
      </w:r>
      <w:r>
        <w:rPr>
          <w:color w:val="000000"/>
          <w:sz w:val="24"/>
          <w:szCs w:val="24"/>
          <w:shd w:val="clear" w:color="auto" w:fill="FFFFFF"/>
        </w:rPr>
        <w:t xml:space="preserve"> -</w:t>
      </w:r>
    </w:p>
    <w:p w14:paraId="108B52B9" w14:textId="6BE53873" w:rsidR="001414D8" w:rsidRPr="001414D8" w:rsidRDefault="001414D8" w:rsidP="001414D8">
      <w:pPr>
        <w:spacing w:line="276" w:lineRule="auto"/>
        <w:ind w:left="1985" w:hanging="1985"/>
        <w:jc w:val="both"/>
        <w:rPr>
          <w:rFonts w:ascii="Calibri" w:hAnsi="Calibri" w:cs="Calibri"/>
          <w:color w:val="000000"/>
          <w:sz w:val="24"/>
          <w:szCs w:val="24"/>
        </w:rPr>
      </w:pPr>
      <w:r w:rsidRPr="001414D8">
        <w:rPr>
          <w:color w:val="000000"/>
          <w:sz w:val="24"/>
          <w:szCs w:val="24"/>
          <w:shd w:val="clear" w:color="auto" w:fill="FFFFFF"/>
        </w:rPr>
        <w:t xml:space="preserve">Passardi </w:t>
      </w:r>
      <w:r>
        <w:rPr>
          <w:color w:val="000000"/>
          <w:sz w:val="24"/>
          <w:szCs w:val="24"/>
          <w:shd w:val="clear" w:color="auto" w:fill="FFFFFF"/>
        </w:rPr>
        <w:t xml:space="preserve">- </w:t>
      </w:r>
      <w:r w:rsidRPr="001414D8">
        <w:rPr>
          <w:color w:val="000000"/>
          <w:sz w:val="24"/>
          <w:szCs w:val="24"/>
          <w:shd w:val="clear" w:color="auto" w:fill="FFFFFF"/>
        </w:rPr>
        <w:t>Sirica (con riserva)</w:t>
      </w:r>
      <w:r>
        <w:rPr>
          <w:color w:val="000000"/>
          <w:sz w:val="24"/>
          <w:szCs w:val="24"/>
          <w:shd w:val="clear" w:color="auto" w:fill="FFFFFF"/>
        </w:rPr>
        <w:t xml:space="preserve"> - </w:t>
      </w:r>
      <w:r w:rsidRPr="001414D8">
        <w:rPr>
          <w:color w:val="000000"/>
          <w:sz w:val="24"/>
          <w:szCs w:val="24"/>
          <w:shd w:val="clear" w:color="auto" w:fill="FFFFFF"/>
        </w:rPr>
        <w:t xml:space="preserve">Speziali </w:t>
      </w:r>
      <w:r w:rsidR="00E10897">
        <w:rPr>
          <w:color w:val="000000"/>
          <w:sz w:val="24"/>
          <w:szCs w:val="24"/>
          <w:shd w:val="clear" w:color="auto" w:fill="FFFFFF"/>
        </w:rPr>
        <w:t>- Tenconi</w:t>
      </w:r>
    </w:p>
    <w:p w14:paraId="35C11727" w14:textId="77777777" w:rsidR="000D2082" w:rsidRPr="008A2A19" w:rsidRDefault="000D2082" w:rsidP="000D2082">
      <w:pPr>
        <w:rPr>
          <w:rFonts w:eastAsia="MS Mincho"/>
          <w:iCs/>
          <w:sz w:val="24"/>
          <w:szCs w:val="24"/>
        </w:rPr>
      </w:pPr>
    </w:p>
    <w:p w14:paraId="4BA20C42" w14:textId="77777777" w:rsidR="000D2082" w:rsidRDefault="000D2082" w:rsidP="000D2082">
      <w:pPr>
        <w:rPr>
          <w:rFonts w:eastAsia="MS Mincho"/>
          <w:b/>
          <w:iCs/>
          <w:sz w:val="24"/>
          <w:szCs w:val="24"/>
        </w:rPr>
      </w:pPr>
      <w:r>
        <w:rPr>
          <w:rFonts w:eastAsia="MS Mincho"/>
          <w:b/>
          <w:sz w:val="24"/>
          <w:szCs w:val="24"/>
        </w:rPr>
        <w:br w:type="page"/>
      </w:r>
    </w:p>
    <w:p w14:paraId="74A21B56" w14:textId="77777777" w:rsidR="000D2082" w:rsidRPr="00F669EC" w:rsidRDefault="000D2082" w:rsidP="000D2082">
      <w:pPr>
        <w:rPr>
          <w:iCs/>
          <w:sz w:val="24"/>
          <w:szCs w:val="24"/>
        </w:rPr>
      </w:pPr>
      <w:r w:rsidRPr="00F669EC">
        <w:rPr>
          <w:sz w:val="24"/>
          <w:szCs w:val="24"/>
        </w:rPr>
        <w:lastRenderedPageBreak/>
        <w:t>Disegno di</w:t>
      </w:r>
    </w:p>
    <w:p w14:paraId="7D38AC41" w14:textId="77777777" w:rsidR="00226FF6" w:rsidRPr="001414D8" w:rsidRDefault="00226FF6" w:rsidP="000D2082">
      <w:pPr>
        <w:rPr>
          <w:sz w:val="24"/>
          <w:szCs w:val="24"/>
        </w:rPr>
      </w:pPr>
    </w:p>
    <w:p w14:paraId="09FFA8B5" w14:textId="5F8144C9" w:rsidR="000D2082" w:rsidRPr="00F669EC" w:rsidRDefault="000D2082" w:rsidP="000D2082">
      <w:pPr>
        <w:rPr>
          <w:b/>
          <w:iCs/>
          <w:sz w:val="24"/>
          <w:szCs w:val="24"/>
        </w:rPr>
      </w:pPr>
      <w:r w:rsidRPr="00F669EC">
        <w:rPr>
          <w:b/>
          <w:sz w:val="24"/>
          <w:szCs w:val="24"/>
        </w:rPr>
        <w:t>DECRETO LEGISLATIVO</w:t>
      </w:r>
    </w:p>
    <w:p w14:paraId="2FF7E1F9" w14:textId="77777777" w:rsidR="000D2082" w:rsidRPr="00F669EC" w:rsidRDefault="000D2082" w:rsidP="000D2082">
      <w:pPr>
        <w:rPr>
          <w:b/>
          <w:iCs/>
          <w:sz w:val="24"/>
          <w:szCs w:val="24"/>
        </w:rPr>
      </w:pPr>
      <w:r w:rsidRPr="00F669EC">
        <w:rPr>
          <w:b/>
          <w:sz w:val="24"/>
          <w:szCs w:val="24"/>
        </w:rPr>
        <w:t>concernente l’introduzione di una misura di sostegno transitoria per i disoccupati over 50</w:t>
      </w:r>
    </w:p>
    <w:p w14:paraId="53A4EC77" w14:textId="77777777" w:rsidR="000D2082" w:rsidRPr="00F669EC" w:rsidRDefault="000D2082" w:rsidP="000D2082">
      <w:pPr>
        <w:rPr>
          <w:iCs/>
          <w:sz w:val="24"/>
          <w:szCs w:val="24"/>
        </w:rPr>
      </w:pPr>
    </w:p>
    <w:p w14:paraId="7910775B" w14:textId="77777777" w:rsidR="000D2082" w:rsidRPr="00F669EC" w:rsidRDefault="000D2082" w:rsidP="000D2082">
      <w:pPr>
        <w:rPr>
          <w:iCs/>
          <w:sz w:val="24"/>
          <w:szCs w:val="24"/>
        </w:rPr>
      </w:pPr>
    </w:p>
    <w:p w14:paraId="07BFCE01" w14:textId="77777777" w:rsidR="000D2082" w:rsidRPr="00F669EC" w:rsidRDefault="000D2082" w:rsidP="000D2082">
      <w:pPr>
        <w:rPr>
          <w:iCs/>
          <w:sz w:val="24"/>
          <w:szCs w:val="24"/>
        </w:rPr>
      </w:pPr>
      <w:r w:rsidRPr="00F669EC">
        <w:rPr>
          <w:sz w:val="24"/>
          <w:szCs w:val="24"/>
        </w:rPr>
        <w:t>IL GRAN CONSIGLIO</w:t>
      </w:r>
    </w:p>
    <w:p w14:paraId="644EBE39" w14:textId="77777777" w:rsidR="000D2082" w:rsidRPr="00F669EC" w:rsidRDefault="000D2082" w:rsidP="000D2082">
      <w:pPr>
        <w:rPr>
          <w:iCs/>
          <w:sz w:val="24"/>
          <w:szCs w:val="24"/>
        </w:rPr>
      </w:pPr>
      <w:r w:rsidRPr="00F669EC">
        <w:rPr>
          <w:sz w:val="24"/>
          <w:szCs w:val="24"/>
        </w:rPr>
        <w:t>DELLA REPUBBLICA E CANTONE TICINO</w:t>
      </w:r>
    </w:p>
    <w:p w14:paraId="3BE483F3" w14:textId="77777777" w:rsidR="000D2082" w:rsidRPr="00F669EC" w:rsidRDefault="000D2082" w:rsidP="00560BBB">
      <w:pPr>
        <w:jc w:val="both"/>
        <w:rPr>
          <w:iCs/>
          <w:sz w:val="24"/>
          <w:szCs w:val="24"/>
        </w:rPr>
      </w:pPr>
    </w:p>
    <w:p w14:paraId="48A6C2B1" w14:textId="51883DC4" w:rsidR="000D2082" w:rsidRPr="00F669EC" w:rsidRDefault="000D2082" w:rsidP="00560BBB">
      <w:pPr>
        <w:spacing w:after="40"/>
        <w:ind w:left="284" w:hanging="284"/>
        <w:jc w:val="both"/>
        <w:rPr>
          <w:iCs/>
          <w:sz w:val="24"/>
          <w:szCs w:val="24"/>
        </w:rPr>
      </w:pPr>
      <w:r>
        <w:rPr>
          <w:sz w:val="24"/>
          <w:szCs w:val="24"/>
        </w:rPr>
        <w:t>-</w:t>
      </w:r>
      <w:r w:rsidR="00226FF6">
        <w:rPr>
          <w:sz w:val="24"/>
          <w:szCs w:val="24"/>
        </w:rPr>
        <w:tab/>
      </w:r>
      <w:r w:rsidRPr="00F669EC">
        <w:rPr>
          <w:sz w:val="24"/>
          <w:szCs w:val="24"/>
        </w:rPr>
        <w:t>vista l'iniziativa parlamentare elaborata 28 maggio 2018 presentata da Giorgio Fonio e Fiorenzo Dadò per il Gruppo PPD+GG</w:t>
      </w:r>
      <w:r w:rsidR="00226FF6">
        <w:rPr>
          <w:sz w:val="24"/>
          <w:szCs w:val="24"/>
        </w:rPr>
        <w:t>;</w:t>
      </w:r>
    </w:p>
    <w:p w14:paraId="4087C9BB" w14:textId="5C597B83" w:rsidR="000D2082" w:rsidRPr="00F669EC" w:rsidRDefault="000D2082" w:rsidP="00560BBB">
      <w:pPr>
        <w:spacing w:after="40"/>
        <w:ind w:left="284" w:hanging="284"/>
        <w:jc w:val="both"/>
        <w:rPr>
          <w:iCs/>
          <w:sz w:val="24"/>
          <w:szCs w:val="24"/>
        </w:rPr>
      </w:pPr>
      <w:r>
        <w:rPr>
          <w:sz w:val="24"/>
          <w:szCs w:val="24"/>
        </w:rPr>
        <w:t>-</w:t>
      </w:r>
      <w:r w:rsidR="00226FF6">
        <w:rPr>
          <w:sz w:val="24"/>
          <w:szCs w:val="24"/>
        </w:rPr>
        <w:tab/>
      </w:r>
      <w:r w:rsidRPr="00F669EC">
        <w:rPr>
          <w:sz w:val="24"/>
          <w:szCs w:val="24"/>
        </w:rPr>
        <w:t xml:space="preserve">visto il messaggio 26 maggio 2021 </w:t>
      </w:r>
      <w:r w:rsidR="00226FF6">
        <w:rPr>
          <w:sz w:val="24"/>
          <w:szCs w:val="24"/>
        </w:rPr>
        <w:t>n. 8002 del Consiglio di Stato;</w:t>
      </w:r>
    </w:p>
    <w:p w14:paraId="3452E513" w14:textId="5198D0D1" w:rsidR="000D2082" w:rsidRPr="00F669EC" w:rsidRDefault="000D2082" w:rsidP="00560BBB">
      <w:pPr>
        <w:ind w:left="284" w:hanging="284"/>
        <w:jc w:val="both"/>
        <w:rPr>
          <w:iCs/>
          <w:sz w:val="24"/>
          <w:szCs w:val="24"/>
        </w:rPr>
      </w:pPr>
      <w:r w:rsidRPr="00F669EC">
        <w:rPr>
          <w:sz w:val="24"/>
          <w:szCs w:val="24"/>
        </w:rPr>
        <w:t>-</w:t>
      </w:r>
      <w:r w:rsidR="00226FF6">
        <w:rPr>
          <w:sz w:val="24"/>
          <w:szCs w:val="24"/>
        </w:rPr>
        <w:tab/>
      </w:r>
      <w:r w:rsidRPr="00F669EC">
        <w:rPr>
          <w:sz w:val="24"/>
          <w:szCs w:val="24"/>
        </w:rPr>
        <w:t>visto il rapporto</w:t>
      </w:r>
      <w:r>
        <w:rPr>
          <w:sz w:val="24"/>
          <w:szCs w:val="24"/>
        </w:rPr>
        <w:t xml:space="preserve"> di maggioranza</w:t>
      </w:r>
      <w:r w:rsidRPr="00F669EC">
        <w:rPr>
          <w:sz w:val="24"/>
          <w:szCs w:val="24"/>
        </w:rPr>
        <w:t xml:space="preserve"> 8 giugno 2021 n. 8002</w:t>
      </w:r>
      <w:r w:rsidR="00226FF6">
        <w:rPr>
          <w:sz w:val="24"/>
          <w:szCs w:val="24"/>
        </w:rPr>
        <w:t xml:space="preserve"> </w:t>
      </w:r>
      <w:r w:rsidRPr="00F669EC">
        <w:rPr>
          <w:sz w:val="24"/>
          <w:szCs w:val="24"/>
        </w:rPr>
        <w:t>R</w:t>
      </w:r>
      <w:r w:rsidR="00560BBB">
        <w:rPr>
          <w:sz w:val="24"/>
          <w:szCs w:val="24"/>
        </w:rPr>
        <w:t>1</w:t>
      </w:r>
      <w:r w:rsidRPr="00F669EC">
        <w:rPr>
          <w:sz w:val="24"/>
          <w:szCs w:val="24"/>
        </w:rPr>
        <w:t xml:space="preserve"> della Commissione economia e lavoro,</w:t>
      </w:r>
    </w:p>
    <w:p w14:paraId="6B2AD115" w14:textId="77777777" w:rsidR="000D2082" w:rsidRPr="00F669EC" w:rsidRDefault="000D2082" w:rsidP="000D2082">
      <w:pPr>
        <w:rPr>
          <w:iCs/>
          <w:sz w:val="24"/>
          <w:szCs w:val="24"/>
        </w:rPr>
      </w:pPr>
    </w:p>
    <w:p w14:paraId="64A401E5" w14:textId="77777777" w:rsidR="000D2082" w:rsidRPr="00F669EC" w:rsidRDefault="000D2082" w:rsidP="000D2082">
      <w:pPr>
        <w:rPr>
          <w:iCs/>
          <w:sz w:val="24"/>
          <w:szCs w:val="24"/>
        </w:rPr>
      </w:pPr>
    </w:p>
    <w:p w14:paraId="02E9A45B" w14:textId="77777777" w:rsidR="000D2082" w:rsidRPr="00F669EC" w:rsidRDefault="000D2082" w:rsidP="000D2082">
      <w:pPr>
        <w:rPr>
          <w:b/>
          <w:iCs/>
          <w:sz w:val="24"/>
          <w:szCs w:val="24"/>
        </w:rPr>
      </w:pPr>
      <w:r w:rsidRPr="00F669EC">
        <w:rPr>
          <w:b/>
          <w:sz w:val="24"/>
          <w:szCs w:val="24"/>
        </w:rPr>
        <w:t xml:space="preserve">d e c r e t </w:t>
      </w:r>
      <w:proofErr w:type="gramStart"/>
      <w:r w:rsidRPr="00F669EC">
        <w:rPr>
          <w:b/>
          <w:sz w:val="24"/>
          <w:szCs w:val="24"/>
        </w:rPr>
        <w:t>a :</w:t>
      </w:r>
      <w:proofErr w:type="gramEnd"/>
    </w:p>
    <w:p w14:paraId="5852FBB1" w14:textId="0504BD14" w:rsidR="000D2082" w:rsidRDefault="000D2082" w:rsidP="000D2082">
      <w:pPr>
        <w:rPr>
          <w:iCs/>
          <w:sz w:val="24"/>
          <w:szCs w:val="24"/>
        </w:rPr>
      </w:pPr>
    </w:p>
    <w:p w14:paraId="21D6633D" w14:textId="77777777" w:rsidR="00226FF6" w:rsidRPr="00F669EC" w:rsidRDefault="00226FF6" w:rsidP="000D2082">
      <w:pPr>
        <w:rPr>
          <w:iCs/>
          <w:sz w:val="24"/>
          <w:szCs w:val="24"/>
        </w:rPr>
      </w:pPr>
    </w:p>
    <w:p w14:paraId="028E9DD5" w14:textId="77777777" w:rsidR="000D2082" w:rsidRPr="00226FF6" w:rsidRDefault="000D2082" w:rsidP="00226FF6">
      <w:pPr>
        <w:spacing w:after="120"/>
        <w:jc w:val="both"/>
        <w:rPr>
          <w:b/>
          <w:iCs/>
          <w:sz w:val="24"/>
          <w:szCs w:val="24"/>
        </w:rPr>
      </w:pPr>
      <w:r w:rsidRPr="00226FF6">
        <w:rPr>
          <w:b/>
          <w:sz w:val="24"/>
          <w:szCs w:val="24"/>
        </w:rPr>
        <w:t>I.</w:t>
      </w:r>
    </w:p>
    <w:p w14:paraId="3449A768" w14:textId="199F1F6A" w:rsidR="000D2082" w:rsidRPr="00F669EC" w:rsidRDefault="000D2082" w:rsidP="00226FF6">
      <w:pPr>
        <w:jc w:val="both"/>
        <w:rPr>
          <w:iCs/>
          <w:sz w:val="24"/>
          <w:szCs w:val="24"/>
        </w:rPr>
      </w:pPr>
      <w:r w:rsidRPr="00F669EC">
        <w:rPr>
          <w:sz w:val="24"/>
          <w:szCs w:val="24"/>
        </w:rPr>
        <w:t xml:space="preserve">L'iniziativa </w:t>
      </w:r>
      <w:r w:rsidR="008A1FF1" w:rsidRPr="00F669EC">
        <w:rPr>
          <w:sz w:val="24"/>
          <w:szCs w:val="24"/>
        </w:rPr>
        <w:t>parlamentare elaborata</w:t>
      </w:r>
      <w:r w:rsidRPr="00F669EC">
        <w:rPr>
          <w:sz w:val="24"/>
          <w:szCs w:val="24"/>
        </w:rPr>
        <w:t xml:space="preserve"> 28 maggio 2018 </w:t>
      </w:r>
      <w:r>
        <w:rPr>
          <w:sz w:val="24"/>
          <w:szCs w:val="24"/>
        </w:rPr>
        <w:t>«</w:t>
      </w:r>
      <w:r w:rsidRPr="00F669EC">
        <w:rPr>
          <w:sz w:val="24"/>
          <w:szCs w:val="24"/>
        </w:rPr>
        <w:t>per la modifica dell'art. 5 della Legge sul rilancio dell'occupazione e sul sostegno ai disoccupati: per un maggior sostegno all'occupazione degli over 50</w:t>
      </w:r>
      <w:r>
        <w:rPr>
          <w:sz w:val="24"/>
          <w:szCs w:val="24"/>
        </w:rPr>
        <w:t>»</w:t>
      </w:r>
      <w:r w:rsidRPr="00F669EC">
        <w:rPr>
          <w:sz w:val="24"/>
          <w:szCs w:val="24"/>
        </w:rPr>
        <w:t xml:space="preserve"> è respinta.</w:t>
      </w:r>
    </w:p>
    <w:p w14:paraId="08A80F03" w14:textId="5E63A1D7" w:rsidR="000D2082" w:rsidRDefault="000D2082" w:rsidP="00226FF6">
      <w:pPr>
        <w:jc w:val="both"/>
        <w:rPr>
          <w:iCs/>
          <w:sz w:val="24"/>
          <w:szCs w:val="24"/>
        </w:rPr>
      </w:pPr>
    </w:p>
    <w:p w14:paraId="2F449D08" w14:textId="77777777" w:rsidR="00226FF6" w:rsidRPr="00F669EC" w:rsidRDefault="00226FF6" w:rsidP="00226FF6">
      <w:pPr>
        <w:jc w:val="both"/>
        <w:rPr>
          <w:iCs/>
          <w:sz w:val="24"/>
          <w:szCs w:val="24"/>
        </w:rPr>
      </w:pPr>
    </w:p>
    <w:p w14:paraId="3254A27C" w14:textId="77777777" w:rsidR="000D2082" w:rsidRPr="00226FF6" w:rsidRDefault="000D2082" w:rsidP="00226FF6">
      <w:pPr>
        <w:spacing w:after="120"/>
        <w:jc w:val="both"/>
        <w:rPr>
          <w:b/>
          <w:iCs/>
          <w:sz w:val="24"/>
          <w:szCs w:val="24"/>
        </w:rPr>
      </w:pPr>
      <w:r w:rsidRPr="00226FF6">
        <w:rPr>
          <w:b/>
          <w:sz w:val="24"/>
          <w:szCs w:val="24"/>
        </w:rPr>
        <w:t>II.</w:t>
      </w:r>
    </w:p>
    <w:p w14:paraId="73EA31F4" w14:textId="77777777" w:rsidR="000D2082" w:rsidRPr="00F669EC" w:rsidRDefault="000D2082" w:rsidP="00226FF6">
      <w:pPr>
        <w:jc w:val="both"/>
        <w:rPr>
          <w:iCs/>
          <w:sz w:val="24"/>
          <w:szCs w:val="24"/>
        </w:rPr>
      </w:pPr>
      <w:r>
        <w:rPr>
          <w:sz w:val="24"/>
          <w:szCs w:val="24"/>
        </w:rPr>
        <w:t>È</w:t>
      </w:r>
      <w:r w:rsidRPr="00F669EC">
        <w:rPr>
          <w:sz w:val="24"/>
          <w:szCs w:val="24"/>
        </w:rPr>
        <w:t xml:space="preserve"> adottato il seguente controprogetto:</w:t>
      </w:r>
    </w:p>
    <w:p w14:paraId="7A8B65B5" w14:textId="0919F017" w:rsidR="000D2082" w:rsidRDefault="000D2082" w:rsidP="00226FF6">
      <w:pPr>
        <w:jc w:val="both"/>
        <w:rPr>
          <w:iCs/>
          <w:sz w:val="24"/>
          <w:szCs w:val="24"/>
        </w:rPr>
      </w:pPr>
    </w:p>
    <w:p w14:paraId="50C9CB90" w14:textId="33550186" w:rsidR="000D2082" w:rsidRPr="00F669EC" w:rsidRDefault="000D2082" w:rsidP="00226FF6">
      <w:pPr>
        <w:jc w:val="both"/>
        <w:rPr>
          <w:iCs/>
          <w:sz w:val="24"/>
          <w:szCs w:val="24"/>
        </w:rPr>
      </w:pPr>
      <w:r w:rsidRPr="00F669EC">
        <w:rPr>
          <w:sz w:val="24"/>
          <w:szCs w:val="24"/>
        </w:rPr>
        <w:t>Decreto legislativo concernente l’introduzione di una misura di sostegno transitoria per i disoccupati over 50</w:t>
      </w:r>
    </w:p>
    <w:p w14:paraId="6893220F" w14:textId="77777777" w:rsidR="000D2082" w:rsidRPr="00F669EC" w:rsidRDefault="000D2082" w:rsidP="00226FF6">
      <w:pPr>
        <w:jc w:val="both"/>
        <w:rPr>
          <w:iCs/>
          <w:sz w:val="24"/>
          <w:szCs w:val="24"/>
        </w:rPr>
      </w:pPr>
    </w:p>
    <w:p w14:paraId="6F8E95FA" w14:textId="77777777" w:rsidR="000D2082" w:rsidRPr="00F669EC" w:rsidRDefault="000D2082" w:rsidP="00226FF6">
      <w:pPr>
        <w:spacing w:after="240"/>
        <w:jc w:val="both"/>
        <w:rPr>
          <w:b/>
          <w:iCs/>
          <w:sz w:val="24"/>
          <w:szCs w:val="24"/>
          <w:u w:val="single"/>
        </w:rPr>
      </w:pPr>
      <w:r w:rsidRPr="00F669EC">
        <w:rPr>
          <w:b/>
          <w:sz w:val="24"/>
          <w:szCs w:val="24"/>
          <w:u w:val="single"/>
        </w:rPr>
        <w:t>Articolo 1</w:t>
      </w:r>
    </w:p>
    <w:p w14:paraId="4C1C93AD" w14:textId="77777777" w:rsidR="000D2082" w:rsidRPr="00F669EC" w:rsidRDefault="000D2082" w:rsidP="00226FF6">
      <w:pPr>
        <w:jc w:val="both"/>
        <w:rPr>
          <w:iCs/>
          <w:sz w:val="24"/>
          <w:szCs w:val="24"/>
        </w:rPr>
      </w:pPr>
      <w:r w:rsidRPr="00F669EC">
        <w:rPr>
          <w:sz w:val="24"/>
          <w:szCs w:val="24"/>
        </w:rPr>
        <w:t>In risposta alla crisi dettata dalla pandemia di COVID-19 è introdotta una misura transitoria di sostegno per i disoccupati iscritti agli Uffici regionali di collocamento di età uguale o superiore ai 50 anni.</w:t>
      </w:r>
    </w:p>
    <w:p w14:paraId="7F5A376C" w14:textId="5D10F020" w:rsidR="000D2082" w:rsidRDefault="000D2082" w:rsidP="00226FF6">
      <w:pPr>
        <w:jc w:val="both"/>
        <w:rPr>
          <w:iCs/>
          <w:sz w:val="24"/>
          <w:szCs w:val="24"/>
        </w:rPr>
      </w:pPr>
    </w:p>
    <w:p w14:paraId="6DD8D89C" w14:textId="77777777" w:rsidR="00226FF6" w:rsidRPr="00F669EC" w:rsidRDefault="00226FF6" w:rsidP="00226FF6">
      <w:pPr>
        <w:jc w:val="both"/>
        <w:rPr>
          <w:iCs/>
          <w:sz w:val="24"/>
          <w:szCs w:val="24"/>
        </w:rPr>
      </w:pPr>
    </w:p>
    <w:p w14:paraId="430D39CC" w14:textId="77777777" w:rsidR="000D2082" w:rsidRPr="00F669EC" w:rsidRDefault="000D2082" w:rsidP="00226FF6">
      <w:pPr>
        <w:spacing w:after="240"/>
        <w:jc w:val="both"/>
        <w:rPr>
          <w:b/>
          <w:iCs/>
          <w:sz w:val="24"/>
          <w:szCs w:val="24"/>
          <w:u w:val="single"/>
        </w:rPr>
      </w:pPr>
      <w:r w:rsidRPr="00F669EC">
        <w:rPr>
          <w:b/>
          <w:sz w:val="24"/>
          <w:szCs w:val="24"/>
          <w:u w:val="single"/>
        </w:rPr>
        <w:t>Articolo 2</w:t>
      </w:r>
    </w:p>
    <w:p w14:paraId="6D6F21D8" w14:textId="77777777" w:rsidR="000D2082" w:rsidRPr="00F669EC" w:rsidRDefault="000D2082" w:rsidP="00226FF6">
      <w:pPr>
        <w:jc w:val="both"/>
        <w:rPr>
          <w:iCs/>
          <w:sz w:val="24"/>
          <w:szCs w:val="24"/>
        </w:rPr>
      </w:pPr>
      <w:r w:rsidRPr="00F669EC">
        <w:rPr>
          <w:sz w:val="24"/>
          <w:szCs w:val="24"/>
        </w:rPr>
        <w:t>L’assegno di inserimento professionale previsto dall’art. 5 della Legge sul rilancio</w:t>
      </w:r>
      <w:r>
        <w:rPr>
          <w:sz w:val="24"/>
          <w:szCs w:val="24"/>
        </w:rPr>
        <w:t xml:space="preserve"> </w:t>
      </w:r>
      <w:r w:rsidRPr="00F669EC">
        <w:rPr>
          <w:sz w:val="24"/>
          <w:szCs w:val="24"/>
        </w:rPr>
        <w:t>dell’occupazione e sul sostegno ai disoccupati del 13 ottobre 1997 (L-</w:t>
      </w:r>
      <w:proofErr w:type="spellStart"/>
      <w:r w:rsidRPr="00F669EC">
        <w:rPr>
          <w:sz w:val="24"/>
          <w:szCs w:val="24"/>
        </w:rPr>
        <w:t>rilocc</w:t>
      </w:r>
      <w:proofErr w:type="spellEnd"/>
      <w:r w:rsidRPr="00F669EC">
        <w:rPr>
          <w:sz w:val="24"/>
          <w:szCs w:val="24"/>
        </w:rPr>
        <w:t>) ammonta a un massimo del 60% del salario d’uso per una durata fino a 18 mesi per tutti i beneficiari di età uguale o superiore ai 50 anni.</w:t>
      </w:r>
    </w:p>
    <w:p w14:paraId="5B725A65" w14:textId="70093AE6" w:rsidR="000D2082" w:rsidRDefault="000D2082" w:rsidP="00226FF6">
      <w:pPr>
        <w:jc w:val="both"/>
        <w:rPr>
          <w:iCs/>
          <w:sz w:val="24"/>
          <w:szCs w:val="24"/>
        </w:rPr>
      </w:pPr>
    </w:p>
    <w:p w14:paraId="2D257155" w14:textId="77777777" w:rsidR="00226FF6" w:rsidRPr="00F669EC" w:rsidRDefault="00226FF6" w:rsidP="00226FF6">
      <w:pPr>
        <w:jc w:val="both"/>
        <w:rPr>
          <w:iCs/>
          <w:sz w:val="24"/>
          <w:szCs w:val="24"/>
        </w:rPr>
      </w:pPr>
    </w:p>
    <w:p w14:paraId="4D02C981" w14:textId="77777777" w:rsidR="000D2082" w:rsidRPr="00F669EC" w:rsidRDefault="000D2082" w:rsidP="00226FF6">
      <w:pPr>
        <w:spacing w:after="240"/>
        <w:jc w:val="both"/>
        <w:rPr>
          <w:b/>
          <w:iCs/>
          <w:sz w:val="24"/>
          <w:szCs w:val="24"/>
          <w:u w:val="single"/>
        </w:rPr>
      </w:pPr>
      <w:r w:rsidRPr="00F669EC">
        <w:rPr>
          <w:b/>
          <w:sz w:val="24"/>
          <w:szCs w:val="24"/>
          <w:u w:val="single"/>
        </w:rPr>
        <w:t>Articolo 3</w:t>
      </w:r>
    </w:p>
    <w:p w14:paraId="7EF93A84" w14:textId="77777777" w:rsidR="000D2082" w:rsidRPr="00F669EC" w:rsidRDefault="000D2082" w:rsidP="00226FF6">
      <w:pPr>
        <w:jc w:val="both"/>
        <w:rPr>
          <w:iCs/>
          <w:sz w:val="24"/>
          <w:szCs w:val="24"/>
        </w:rPr>
      </w:pPr>
      <w:r w:rsidRPr="00F669EC">
        <w:rPr>
          <w:sz w:val="24"/>
          <w:szCs w:val="24"/>
        </w:rPr>
        <w:t>Restano valide tutte le altre disposizioni di applicazione già previste dall’art. 5 L-</w:t>
      </w:r>
      <w:proofErr w:type="spellStart"/>
      <w:r w:rsidRPr="00F669EC">
        <w:rPr>
          <w:sz w:val="24"/>
          <w:szCs w:val="24"/>
        </w:rPr>
        <w:t>rilocc</w:t>
      </w:r>
      <w:proofErr w:type="spellEnd"/>
      <w:r w:rsidRPr="00F669EC">
        <w:rPr>
          <w:sz w:val="24"/>
          <w:szCs w:val="24"/>
        </w:rPr>
        <w:t xml:space="preserve"> e relativo regolamento.</w:t>
      </w:r>
    </w:p>
    <w:p w14:paraId="15513E7D" w14:textId="77777777" w:rsidR="00226FF6" w:rsidRPr="00F669EC" w:rsidRDefault="00226FF6" w:rsidP="00226FF6">
      <w:pPr>
        <w:jc w:val="both"/>
        <w:rPr>
          <w:iCs/>
          <w:sz w:val="24"/>
          <w:szCs w:val="24"/>
        </w:rPr>
      </w:pPr>
    </w:p>
    <w:p w14:paraId="4CFDAD54" w14:textId="77777777" w:rsidR="000D2082" w:rsidRPr="00F669EC" w:rsidRDefault="000D2082" w:rsidP="00226FF6">
      <w:pPr>
        <w:spacing w:after="240"/>
        <w:jc w:val="both"/>
        <w:rPr>
          <w:b/>
          <w:iCs/>
          <w:sz w:val="24"/>
          <w:szCs w:val="24"/>
          <w:u w:val="single"/>
        </w:rPr>
      </w:pPr>
      <w:r w:rsidRPr="00F669EC">
        <w:rPr>
          <w:b/>
          <w:sz w:val="24"/>
          <w:szCs w:val="24"/>
          <w:u w:val="single"/>
        </w:rPr>
        <w:lastRenderedPageBreak/>
        <w:t>Articolo 4</w:t>
      </w:r>
    </w:p>
    <w:p w14:paraId="3AEF4070" w14:textId="3D360823" w:rsidR="000D2082" w:rsidRPr="00F669EC" w:rsidRDefault="000D2082" w:rsidP="00226FF6">
      <w:pPr>
        <w:jc w:val="both"/>
        <w:rPr>
          <w:iCs/>
          <w:sz w:val="24"/>
          <w:szCs w:val="24"/>
        </w:rPr>
      </w:pPr>
      <w:r w:rsidRPr="00F669EC">
        <w:rPr>
          <w:sz w:val="24"/>
          <w:szCs w:val="24"/>
        </w:rPr>
        <w:t xml:space="preserve">Viene iscritto un credito supplementare complessivo di </w:t>
      </w:r>
      <w:r w:rsidR="003000B4">
        <w:rPr>
          <w:sz w:val="24"/>
          <w:szCs w:val="24"/>
        </w:rPr>
        <w:t>2'375’000</w:t>
      </w:r>
      <w:r w:rsidRPr="00F669EC">
        <w:rPr>
          <w:sz w:val="24"/>
          <w:szCs w:val="24"/>
        </w:rPr>
        <w:t xml:space="preserve"> franchi per gli anni 2023</w:t>
      </w:r>
      <w:r w:rsidR="003000B4">
        <w:rPr>
          <w:sz w:val="24"/>
          <w:szCs w:val="24"/>
        </w:rPr>
        <w:t>, 2024 e 2025</w:t>
      </w:r>
      <w:r w:rsidRPr="00F669EC">
        <w:rPr>
          <w:sz w:val="24"/>
          <w:szCs w:val="24"/>
        </w:rPr>
        <w:t xml:space="preserve"> ai conti di gestione corrente del Dipartimento delle finanze e dell’economia, Sezione del lavoro.</w:t>
      </w:r>
    </w:p>
    <w:p w14:paraId="0787E920" w14:textId="10EF2806" w:rsidR="000D2082" w:rsidRDefault="000D2082" w:rsidP="00226FF6">
      <w:pPr>
        <w:jc w:val="both"/>
        <w:rPr>
          <w:iCs/>
          <w:sz w:val="24"/>
          <w:szCs w:val="24"/>
        </w:rPr>
      </w:pPr>
    </w:p>
    <w:p w14:paraId="41DF2D45" w14:textId="77777777" w:rsidR="00226FF6" w:rsidRPr="00F669EC" w:rsidRDefault="00226FF6" w:rsidP="00226FF6">
      <w:pPr>
        <w:jc w:val="both"/>
        <w:rPr>
          <w:iCs/>
          <w:sz w:val="24"/>
          <w:szCs w:val="24"/>
        </w:rPr>
      </w:pPr>
    </w:p>
    <w:p w14:paraId="04071B57" w14:textId="77777777" w:rsidR="000D2082" w:rsidRPr="00F669EC" w:rsidRDefault="000D2082" w:rsidP="00226FF6">
      <w:pPr>
        <w:spacing w:after="240"/>
        <w:jc w:val="both"/>
        <w:rPr>
          <w:b/>
          <w:iCs/>
          <w:sz w:val="24"/>
          <w:szCs w:val="24"/>
          <w:u w:val="single"/>
        </w:rPr>
      </w:pPr>
      <w:r w:rsidRPr="00F669EC">
        <w:rPr>
          <w:b/>
          <w:sz w:val="24"/>
          <w:szCs w:val="24"/>
          <w:u w:val="single"/>
        </w:rPr>
        <w:t>Articolo 5</w:t>
      </w:r>
    </w:p>
    <w:p w14:paraId="1FB07A40" w14:textId="77777777" w:rsidR="000D2082" w:rsidRDefault="000D2082" w:rsidP="00226FF6">
      <w:pPr>
        <w:jc w:val="both"/>
        <w:rPr>
          <w:iCs/>
          <w:sz w:val="24"/>
          <w:szCs w:val="24"/>
        </w:rPr>
      </w:pPr>
      <w:r w:rsidRPr="00226FF6">
        <w:rPr>
          <w:sz w:val="24"/>
          <w:szCs w:val="24"/>
          <w:vertAlign w:val="superscript"/>
        </w:rPr>
        <w:t>1</w:t>
      </w:r>
      <w:r w:rsidRPr="00F669EC">
        <w:rPr>
          <w:sz w:val="24"/>
          <w:szCs w:val="24"/>
        </w:rPr>
        <w:t xml:space="preserve">Trascorsi i termini per l'esercizio del diritto di referendum e ottenuta l’approvazione della Confederazione (art. 61b LOGA e art. 113 cpv. 1 LADI), il presente decreto legislativo è pubblicato nel Bollettino ufficiale delle leggi, entra immediatamente in vigore e si applica a richieste inoltrate a partire dal 1° luglio 2021. </w:t>
      </w:r>
    </w:p>
    <w:p w14:paraId="504EB214" w14:textId="77777777" w:rsidR="000D2082" w:rsidRPr="00F669EC" w:rsidRDefault="000D2082" w:rsidP="00226FF6">
      <w:pPr>
        <w:jc w:val="both"/>
        <w:rPr>
          <w:iCs/>
          <w:sz w:val="24"/>
          <w:szCs w:val="24"/>
        </w:rPr>
      </w:pPr>
    </w:p>
    <w:p w14:paraId="76129862" w14:textId="4978100A" w:rsidR="000D2082" w:rsidRPr="00F669EC" w:rsidRDefault="000D2082" w:rsidP="00226FF6">
      <w:pPr>
        <w:jc w:val="both"/>
        <w:rPr>
          <w:iCs/>
          <w:sz w:val="24"/>
          <w:szCs w:val="24"/>
        </w:rPr>
      </w:pPr>
      <w:r w:rsidRPr="00226FF6">
        <w:rPr>
          <w:sz w:val="24"/>
          <w:szCs w:val="24"/>
          <w:vertAlign w:val="superscript"/>
        </w:rPr>
        <w:t>2</w:t>
      </w:r>
      <w:r w:rsidRPr="00F669EC">
        <w:rPr>
          <w:sz w:val="24"/>
          <w:szCs w:val="24"/>
        </w:rPr>
        <w:t>Il decreto resta in</w:t>
      </w:r>
      <w:r w:rsidR="00B45237">
        <w:rPr>
          <w:sz w:val="24"/>
          <w:szCs w:val="24"/>
        </w:rPr>
        <w:t xml:space="preserve"> vigore fino al 31 dicembre </w:t>
      </w:r>
      <w:r w:rsidR="00A73EFF" w:rsidRPr="00A73EFF">
        <w:rPr>
          <w:sz w:val="24"/>
          <w:szCs w:val="24"/>
        </w:rPr>
        <w:t>2023</w:t>
      </w:r>
      <w:r w:rsidRPr="00A73EFF">
        <w:rPr>
          <w:sz w:val="24"/>
          <w:szCs w:val="24"/>
        </w:rPr>
        <w:t>.</w:t>
      </w:r>
      <w:bookmarkStart w:id="1" w:name="_GoBack"/>
      <w:bookmarkEnd w:id="1"/>
    </w:p>
    <w:p w14:paraId="1F42B9CD" w14:textId="77777777" w:rsidR="00351DCA" w:rsidRPr="006A56E7" w:rsidRDefault="00351DCA" w:rsidP="00226FF6">
      <w:pPr>
        <w:jc w:val="both"/>
        <w:rPr>
          <w:sz w:val="24"/>
          <w:szCs w:val="24"/>
        </w:rPr>
      </w:pPr>
    </w:p>
    <w:bookmarkEnd w:id="0"/>
    <w:sectPr w:rsidR="00351DCA" w:rsidRPr="006A56E7" w:rsidSect="000D2082">
      <w:footerReference w:type="defaul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ED823" w14:textId="77777777" w:rsidR="00DA1319" w:rsidRDefault="00DA1319" w:rsidP="0070648B">
      <w:r>
        <w:separator/>
      </w:r>
    </w:p>
  </w:endnote>
  <w:endnote w:type="continuationSeparator" w:id="0">
    <w:p w14:paraId="5C06D126" w14:textId="77777777" w:rsidR="00DA1319" w:rsidRDefault="00DA1319" w:rsidP="0070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574976"/>
      <w:docPartObj>
        <w:docPartGallery w:val="Page Numbers (Bottom of Page)"/>
        <w:docPartUnique/>
      </w:docPartObj>
    </w:sdtPr>
    <w:sdtEndPr/>
    <w:sdtContent>
      <w:p w14:paraId="6B68368B" w14:textId="07F5B892" w:rsidR="00A04BB7" w:rsidRDefault="00A04BB7" w:rsidP="00A04BB7">
        <w:pPr>
          <w:pStyle w:val="Pidipagina"/>
          <w:jc w:val="center"/>
        </w:pPr>
        <w:r w:rsidRPr="00F6407F">
          <w:rPr>
            <w:sz w:val="20"/>
            <w:szCs w:val="20"/>
          </w:rPr>
          <w:fldChar w:fldCharType="begin"/>
        </w:r>
        <w:r w:rsidRPr="00F6407F">
          <w:rPr>
            <w:sz w:val="20"/>
            <w:szCs w:val="20"/>
          </w:rPr>
          <w:instrText>PAGE   \* MERGEFORMAT</w:instrText>
        </w:r>
        <w:r w:rsidRPr="00F6407F">
          <w:rPr>
            <w:sz w:val="20"/>
            <w:szCs w:val="20"/>
          </w:rPr>
          <w:fldChar w:fldCharType="separate"/>
        </w:r>
        <w:r w:rsidR="00A73EFF">
          <w:rPr>
            <w:noProof/>
            <w:sz w:val="20"/>
            <w:szCs w:val="20"/>
          </w:rPr>
          <w:t>7</w:t>
        </w:r>
        <w:r w:rsidRPr="00F6407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AC2C1" w14:textId="77777777" w:rsidR="00DA1319" w:rsidRDefault="00DA1319" w:rsidP="0070648B">
      <w:r>
        <w:separator/>
      </w:r>
    </w:p>
  </w:footnote>
  <w:footnote w:type="continuationSeparator" w:id="0">
    <w:p w14:paraId="03ED5D2B" w14:textId="77777777" w:rsidR="00DA1319" w:rsidRDefault="00DA1319" w:rsidP="00706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128"/>
    <w:multiLevelType w:val="hybridMultilevel"/>
    <w:tmpl w:val="2DA0A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75C97"/>
    <w:multiLevelType w:val="hybridMultilevel"/>
    <w:tmpl w:val="20A49E48"/>
    <w:lvl w:ilvl="0" w:tplc="FEEC5A76">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18830116"/>
    <w:multiLevelType w:val="hybridMultilevel"/>
    <w:tmpl w:val="94FE3E44"/>
    <w:lvl w:ilvl="0" w:tplc="5106DAD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121CD1"/>
    <w:multiLevelType w:val="hybridMultilevel"/>
    <w:tmpl w:val="398AD99A"/>
    <w:lvl w:ilvl="0" w:tplc="43DEF6EA">
      <w:start w:val="1"/>
      <w:numFmt w:val="decimal"/>
      <w:lvlText w:val="%1)"/>
      <w:lvlJc w:val="left"/>
      <w:pPr>
        <w:ind w:left="720" w:hanging="360"/>
      </w:pPr>
      <w:rPr>
        <w:rFonts w:cs="Arial" w:hint="default"/>
        <w:sz w:val="23"/>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201C7764"/>
    <w:multiLevelType w:val="hybridMultilevel"/>
    <w:tmpl w:val="935A8910"/>
    <w:lvl w:ilvl="0" w:tplc="AC04C13C">
      <w:numFmt w:val="bullet"/>
      <w:lvlText w:val=""/>
      <w:lvlJc w:val="left"/>
      <w:pPr>
        <w:ind w:left="720" w:hanging="360"/>
      </w:pPr>
      <w:rPr>
        <w:rFonts w:ascii="Wingdings" w:eastAsia="Calibri"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2F13747"/>
    <w:multiLevelType w:val="hybridMultilevel"/>
    <w:tmpl w:val="2ACC4CAE"/>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27D67CC9"/>
    <w:multiLevelType w:val="hybridMultilevel"/>
    <w:tmpl w:val="0380C8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917E8"/>
    <w:multiLevelType w:val="hybridMultilevel"/>
    <w:tmpl w:val="9884A5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9A533CA"/>
    <w:multiLevelType w:val="hybridMultilevel"/>
    <w:tmpl w:val="419C8EFA"/>
    <w:lvl w:ilvl="0" w:tplc="08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F670D0"/>
    <w:multiLevelType w:val="hybridMultilevel"/>
    <w:tmpl w:val="FE188D62"/>
    <w:lvl w:ilvl="0" w:tplc="8A6CB882">
      <w:numFmt w:val="bullet"/>
      <w:lvlText w:val="-"/>
      <w:lvlJc w:val="left"/>
      <w:pPr>
        <w:ind w:left="720" w:hanging="360"/>
      </w:pPr>
      <w:rPr>
        <w:rFonts w:ascii="Calibri" w:eastAsia="Calibr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4B6943C3"/>
    <w:multiLevelType w:val="hybridMultilevel"/>
    <w:tmpl w:val="B0E843FC"/>
    <w:lvl w:ilvl="0" w:tplc="08100001">
      <w:start w:val="1"/>
      <w:numFmt w:val="bullet"/>
      <w:lvlText w:val=""/>
      <w:lvlJc w:val="left"/>
      <w:pPr>
        <w:ind w:left="720" w:hanging="360"/>
      </w:pPr>
      <w:rPr>
        <w:rFonts w:ascii="Symbol" w:hAnsi="Symbol" w:hint="default"/>
        <w:sz w:val="3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52E96D56"/>
    <w:multiLevelType w:val="hybridMultilevel"/>
    <w:tmpl w:val="A658190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5EE670C0"/>
    <w:multiLevelType w:val="hybridMultilevel"/>
    <w:tmpl w:val="79448E7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614567DD"/>
    <w:multiLevelType w:val="hybridMultilevel"/>
    <w:tmpl w:val="9F0AEC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8526EE9"/>
    <w:multiLevelType w:val="hybridMultilevel"/>
    <w:tmpl w:val="6734CA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39522D"/>
    <w:multiLevelType w:val="hybridMultilevel"/>
    <w:tmpl w:val="B15A5450"/>
    <w:lvl w:ilvl="0" w:tplc="00C62646">
      <w:start w:val="1"/>
      <w:numFmt w:val="decimal"/>
      <w:lvlText w:val="%1."/>
      <w:lvlJc w:val="left"/>
      <w:pPr>
        <w:ind w:left="36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6BF73D33"/>
    <w:multiLevelType w:val="hybridMultilevel"/>
    <w:tmpl w:val="47F84E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C50B26"/>
    <w:multiLevelType w:val="hybridMultilevel"/>
    <w:tmpl w:val="E7FC6E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796923"/>
    <w:multiLevelType w:val="hybridMultilevel"/>
    <w:tmpl w:val="362A386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16"/>
  </w:num>
  <w:num w:numId="5">
    <w:abstractNumId w:val="17"/>
  </w:num>
  <w:num w:numId="6">
    <w:abstractNumId w:val="6"/>
  </w:num>
  <w:num w:numId="7">
    <w:abstractNumId w:val="8"/>
  </w:num>
  <w:num w:numId="8">
    <w:abstractNumId w:val="14"/>
  </w:num>
  <w:num w:numId="9">
    <w:abstractNumId w:val="0"/>
  </w:num>
  <w:num w:numId="10">
    <w:abstractNumId w:val="10"/>
  </w:num>
  <w:num w:numId="11">
    <w:abstractNumId w:val="9"/>
  </w:num>
  <w:num w:numId="12">
    <w:abstractNumId w:val="3"/>
  </w:num>
  <w:num w:numId="13">
    <w:abstractNumId w:val="18"/>
  </w:num>
  <w:num w:numId="14">
    <w:abstractNumId w:val="5"/>
  </w:num>
  <w:num w:numId="15">
    <w:abstractNumId w:val="1"/>
  </w:num>
  <w:num w:numId="16">
    <w:abstractNumId w:val="15"/>
  </w:num>
  <w:num w:numId="17">
    <w:abstractNumId w:val="4"/>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hdrShapeDefaults>
    <o:shapedefaults v:ext="edit" spidmax="778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58"/>
    <w:rsid w:val="000460DE"/>
    <w:rsid w:val="00062579"/>
    <w:rsid w:val="000A2E76"/>
    <w:rsid w:val="000C42CB"/>
    <w:rsid w:val="000D2082"/>
    <w:rsid w:val="000E7DAF"/>
    <w:rsid w:val="0010536F"/>
    <w:rsid w:val="001257DE"/>
    <w:rsid w:val="00125D3E"/>
    <w:rsid w:val="001414D8"/>
    <w:rsid w:val="001516EA"/>
    <w:rsid w:val="001553FA"/>
    <w:rsid w:val="001767ED"/>
    <w:rsid w:val="001C0D8E"/>
    <w:rsid w:val="00226FF6"/>
    <w:rsid w:val="00244E9F"/>
    <w:rsid w:val="00264E82"/>
    <w:rsid w:val="00271E6F"/>
    <w:rsid w:val="00287246"/>
    <w:rsid w:val="002A4410"/>
    <w:rsid w:val="003000B4"/>
    <w:rsid w:val="00310319"/>
    <w:rsid w:val="00351DCA"/>
    <w:rsid w:val="003647EF"/>
    <w:rsid w:val="00391740"/>
    <w:rsid w:val="003A4FE1"/>
    <w:rsid w:val="003B48DB"/>
    <w:rsid w:val="00460758"/>
    <w:rsid w:val="00477306"/>
    <w:rsid w:val="004C27F1"/>
    <w:rsid w:val="005058D1"/>
    <w:rsid w:val="00524776"/>
    <w:rsid w:val="00560BBB"/>
    <w:rsid w:val="006452C6"/>
    <w:rsid w:val="0065097C"/>
    <w:rsid w:val="006736F2"/>
    <w:rsid w:val="006A4BFC"/>
    <w:rsid w:val="006A56E7"/>
    <w:rsid w:val="006F137B"/>
    <w:rsid w:val="006F23C2"/>
    <w:rsid w:val="007043F7"/>
    <w:rsid w:val="0070648B"/>
    <w:rsid w:val="00715C7F"/>
    <w:rsid w:val="007367A2"/>
    <w:rsid w:val="0076413E"/>
    <w:rsid w:val="00777B93"/>
    <w:rsid w:val="00791EE4"/>
    <w:rsid w:val="007D0900"/>
    <w:rsid w:val="007F3EA3"/>
    <w:rsid w:val="007F6CED"/>
    <w:rsid w:val="00820E64"/>
    <w:rsid w:val="00823705"/>
    <w:rsid w:val="00867D80"/>
    <w:rsid w:val="00877153"/>
    <w:rsid w:val="008823B0"/>
    <w:rsid w:val="008954D0"/>
    <w:rsid w:val="008A1FF1"/>
    <w:rsid w:val="008C51E4"/>
    <w:rsid w:val="00914E4F"/>
    <w:rsid w:val="00920DBE"/>
    <w:rsid w:val="009254C7"/>
    <w:rsid w:val="00950F1B"/>
    <w:rsid w:val="00961AA5"/>
    <w:rsid w:val="009853B0"/>
    <w:rsid w:val="00A04BB7"/>
    <w:rsid w:val="00A32882"/>
    <w:rsid w:val="00A56504"/>
    <w:rsid w:val="00A61615"/>
    <w:rsid w:val="00A73EFF"/>
    <w:rsid w:val="00AB221B"/>
    <w:rsid w:val="00AB3DEB"/>
    <w:rsid w:val="00AF55BD"/>
    <w:rsid w:val="00B22FA7"/>
    <w:rsid w:val="00B45237"/>
    <w:rsid w:val="00B46856"/>
    <w:rsid w:val="00BA1D84"/>
    <w:rsid w:val="00BB4FD4"/>
    <w:rsid w:val="00BD0116"/>
    <w:rsid w:val="00BE2C94"/>
    <w:rsid w:val="00BE50FF"/>
    <w:rsid w:val="00C00C03"/>
    <w:rsid w:val="00C10214"/>
    <w:rsid w:val="00C5525A"/>
    <w:rsid w:val="00C83385"/>
    <w:rsid w:val="00CA3698"/>
    <w:rsid w:val="00CB36AE"/>
    <w:rsid w:val="00CC456D"/>
    <w:rsid w:val="00CC5E38"/>
    <w:rsid w:val="00CD099B"/>
    <w:rsid w:val="00D00C0D"/>
    <w:rsid w:val="00D5216E"/>
    <w:rsid w:val="00D639D5"/>
    <w:rsid w:val="00D70B2C"/>
    <w:rsid w:val="00D80CA0"/>
    <w:rsid w:val="00DA0062"/>
    <w:rsid w:val="00DA1319"/>
    <w:rsid w:val="00E10897"/>
    <w:rsid w:val="00E440D1"/>
    <w:rsid w:val="00E61FD8"/>
    <w:rsid w:val="00E74260"/>
    <w:rsid w:val="00E96DFC"/>
    <w:rsid w:val="00EA0DD7"/>
    <w:rsid w:val="00F00286"/>
    <w:rsid w:val="00F01A73"/>
    <w:rsid w:val="00F6407F"/>
    <w:rsid w:val="00F71D4D"/>
    <w:rsid w:val="00FA447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77825">
      <o:colormenu v:ext="edit" fillcolor="none"/>
    </o:shapedefaults>
    <o:shapelayout v:ext="edit">
      <o:idmap v:ext="edit" data="1"/>
    </o:shapelayout>
  </w:shapeDefaults>
  <w:decimalSymbol w:val="."/>
  <w:listSeparator w:val=";"/>
  <w14:docId w14:val="34B3096F"/>
  <w15:chartTrackingRefBased/>
  <w15:docId w15:val="{F4D19A27-66FE-431F-84BC-F3E5D78F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758"/>
    <w:pPr>
      <w:widowControl w:val="0"/>
      <w:autoSpaceDE w:val="0"/>
      <w:autoSpaceDN w:val="0"/>
      <w:adjustRightInd w:val="0"/>
      <w:spacing w:after="0" w:line="240" w:lineRule="auto"/>
    </w:pPr>
    <w:rPr>
      <w:rFonts w:ascii="Arial" w:eastAsia="Times New Roman" w:hAnsi="Arial" w:cs="Arial"/>
      <w:lang w:val="it-IT" w:eastAsia="it-IT"/>
    </w:rPr>
  </w:style>
  <w:style w:type="paragraph" w:styleId="Titolo1">
    <w:name w:val="heading 1"/>
    <w:basedOn w:val="Normale"/>
    <w:next w:val="Normale"/>
    <w:link w:val="Titolo1Carattere"/>
    <w:uiPriority w:val="9"/>
    <w:qFormat/>
    <w:rsid w:val="006A4BFC"/>
    <w:pPr>
      <w:keepNext/>
      <w:keepLines/>
      <w:widowControl/>
      <w:autoSpaceDE/>
      <w:autoSpaceDN/>
      <w:adjustRightInd/>
      <w:spacing w:before="240" w:line="259" w:lineRule="auto"/>
      <w:outlineLvl w:val="0"/>
    </w:pPr>
    <w:rPr>
      <w:rFonts w:cs="Times New Roman"/>
      <w:b/>
      <w:sz w:val="32"/>
      <w:szCs w:val="32"/>
      <w:lang w:val="fr-CH" w:eastAsia="en-US"/>
    </w:rPr>
  </w:style>
  <w:style w:type="paragraph" w:styleId="Titolo2">
    <w:name w:val="heading 2"/>
    <w:basedOn w:val="Normale"/>
    <w:next w:val="Normale"/>
    <w:link w:val="Titolo2Carattere"/>
    <w:uiPriority w:val="9"/>
    <w:unhideWhenUsed/>
    <w:qFormat/>
    <w:rsid w:val="006A4BFC"/>
    <w:pPr>
      <w:keepNext/>
      <w:keepLines/>
      <w:widowControl/>
      <w:autoSpaceDE/>
      <w:autoSpaceDN/>
      <w:adjustRightInd/>
      <w:spacing w:before="40" w:line="259" w:lineRule="auto"/>
      <w:outlineLvl w:val="1"/>
    </w:pPr>
    <w:rPr>
      <w:rFonts w:cs="Times New Roman"/>
      <w:b/>
      <w:sz w:val="28"/>
      <w:szCs w:val="26"/>
      <w:lang w:val="fr-CH"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XT01Normale">
    <w:name w:val="TXT 01 Normale"/>
    <w:basedOn w:val="Normale"/>
    <w:rsid w:val="00460758"/>
    <w:pPr>
      <w:tabs>
        <w:tab w:val="left" w:pos="567"/>
      </w:tabs>
      <w:spacing w:after="120"/>
      <w:ind w:left="851"/>
    </w:pPr>
    <w:rPr>
      <w:sz w:val="23"/>
      <w:szCs w:val="23"/>
      <w:lang w:val="it-CH"/>
    </w:rPr>
  </w:style>
  <w:style w:type="paragraph" w:styleId="Intestazione">
    <w:name w:val="header"/>
    <w:basedOn w:val="Normale"/>
    <w:link w:val="IntestazioneCarattere"/>
    <w:uiPriority w:val="99"/>
    <w:unhideWhenUsed/>
    <w:rsid w:val="0070648B"/>
    <w:pPr>
      <w:tabs>
        <w:tab w:val="center" w:pos="4819"/>
        <w:tab w:val="right" w:pos="9638"/>
      </w:tabs>
    </w:pPr>
  </w:style>
  <w:style w:type="character" w:customStyle="1" w:styleId="IntestazioneCarattere">
    <w:name w:val="Intestazione Carattere"/>
    <w:basedOn w:val="Carpredefinitoparagrafo"/>
    <w:link w:val="Intestazione"/>
    <w:uiPriority w:val="99"/>
    <w:rsid w:val="0070648B"/>
    <w:rPr>
      <w:rFonts w:ascii="Arial" w:eastAsia="Times New Roman" w:hAnsi="Arial" w:cs="Arial"/>
      <w:lang w:val="it-IT" w:eastAsia="it-IT"/>
    </w:rPr>
  </w:style>
  <w:style w:type="paragraph" w:styleId="Pidipagina">
    <w:name w:val="footer"/>
    <w:basedOn w:val="Normale"/>
    <w:link w:val="PidipaginaCarattere"/>
    <w:uiPriority w:val="99"/>
    <w:unhideWhenUsed/>
    <w:rsid w:val="0070648B"/>
    <w:pPr>
      <w:tabs>
        <w:tab w:val="center" w:pos="4819"/>
        <w:tab w:val="right" w:pos="9638"/>
      </w:tabs>
    </w:pPr>
  </w:style>
  <w:style w:type="character" w:customStyle="1" w:styleId="PidipaginaCarattere">
    <w:name w:val="Piè di pagina Carattere"/>
    <w:basedOn w:val="Carpredefinitoparagrafo"/>
    <w:link w:val="Pidipagina"/>
    <w:uiPriority w:val="99"/>
    <w:rsid w:val="0070648B"/>
    <w:rPr>
      <w:rFonts w:ascii="Arial" w:eastAsia="Times New Roman" w:hAnsi="Arial" w:cs="Arial"/>
      <w:lang w:val="it-IT" w:eastAsia="it-IT"/>
    </w:rPr>
  </w:style>
  <w:style w:type="paragraph" w:styleId="Testofumetto">
    <w:name w:val="Balloon Text"/>
    <w:basedOn w:val="Normale"/>
    <w:link w:val="TestofumettoCarattere"/>
    <w:uiPriority w:val="99"/>
    <w:semiHidden/>
    <w:unhideWhenUsed/>
    <w:rsid w:val="0047730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7306"/>
    <w:rPr>
      <w:rFonts w:ascii="Segoe UI" w:eastAsia="Times New Roman" w:hAnsi="Segoe UI" w:cs="Segoe UI"/>
      <w:sz w:val="18"/>
      <w:szCs w:val="18"/>
      <w:lang w:val="it-IT" w:eastAsia="it-IT"/>
    </w:rPr>
  </w:style>
  <w:style w:type="paragraph" w:styleId="Paragrafoelenco">
    <w:name w:val="List Paragraph"/>
    <w:basedOn w:val="Normale"/>
    <w:uiPriority w:val="34"/>
    <w:qFormat/>
    <w:rsid w:val="00BE2C94"/>
    <w:pPr>
      <w:ind w:left="720"/>
      <w:contextualSpacing/>
    </w:pPr>
  </w:style>
  <w:style w:type="character" w:customStyle="1" w:styleId="Titolo1Carattere">
    <w:name w:val="Titolo 1 Carattere"/>
    <w:basedOn w:val="Carpredefinitoparagrafo"/>
    <w:link w:val="Titolo1"/>
    <w:uiPriority w:val="9"/>
    <w:rsid w:val="006A4BFC"/>
    <w:rPr>
      <w:rFonts w:ascii="Arial" w:eastAsia="Times New Roman" w:hAnsi="Arial" w:cs="Times New Roman"/>
      <w:b/>
      <w:sz w:val="32"/>
      <w:szCs w:val="32"/>
      <w:lang w:val="fr-CH"/>
    </w:rPr>
  </w:style>
  <w:style w:type="character" w:customStyle="1" w:styleId="Titolo2Carattere">
    <w:name w:val="Titolo 2 Carattere"/>
    <w:basedOn w:val="Carpredefinitoparagrafo"/>
    <w:link w:val="Titolo2"/>
    <w:uiPriority w:val="9"/>
    <w:rsid w:val="006A4BFC"/>
    <w:rPr>
      <w:rFonts w:ascii="Arial" w:eastAsia="Times New Roman" w:hAnsi="Arial" w:cs="Times New Roman"/>
      <w:b/>
      <w:sz w:val="28"/>
      <w:szCs w:val="26"/>
      <w:lang w:val="fr-CH"/>
    </w:rPr>
  </w:style>
  <w:style w:type="paragraph" w:styleId="Testonotaapidipagina">
    <w:name w:val="footnote text"/>
    <w:basedOn w:val="Normale"/>
    <w:link w:val="TestonotaapidipaginaCarattere"/>
    <w:uiPriority w:val="99"/>
    <w:semiHidden/>
    <w:unhideWhenUsed/>
    <w:rsid w:val="006A4BFC"/>
    <w:pPr>
      <w:widowControl/>
      <w:autoSpaceDE/>
      <w:autoSpaceDN/>
      <w:adjustRightInd/>
    </w:pPr>
    <w:rPr>
      <w:rFonts w:eastAsia="Calibri" w:cs="Times New Roman"/>
      <w:sz w:val="20"/>
      <w:szCs w:val="20"/>
      <w:lang w:val="fr-CH" w:eastAsia="en-US"/>
    </w:rPr>
  </w:style>
  <w:style w:type="character" w:customStyle="1" w:styleId="TestonotaapidipaginaCarattere">
    <w:name w:val="Testo nota a piè di pagina Carattere"/>
    <w:basedOn w:val="Carpredefinitoparagrafo"/>
    <w:link w:val="Testonotaapidipagina"/>
    <w:uiPriority w:val="99"/>
    <w:semiHidden/>
    <w:rsid w:val="006A4BFC"/>
    <w:rPr>
      <w:rFonts w:ascii="Arial" w:eastAsia="Calibri" w:hAnsi="Arial" w:cs="Times New Roman"/>
      <w:sz w:val="20"/>
      <w:szCs w:val="20"/>
      <w:lang w:val="fr-CH"/>
    </w:rPr>
  </w:style>
  <w:style w:type="character" w:styleId="Rimandonotaapidipagina">
    <w:name w:val="footnote reference"/>
    <w:uiPriority w:val="99"/>
    <w:semiHidden/>
    <w:unhideWhenUsed/>
    <w:rsid w:val="006A4BFC"/>
    <w:rPr>
      <w:vertAlign w:val="superscript"/>
    </w:rPr>
  </w:style>
  <w:style w:type="character" w:styleId="Collegamentoipertestuale">
    <w:name w:val="Hyperlink"/>
    <w:uiPriority w:val="99"/>
    <w:rsid w:val="006A4BFC"/>
    <w:rPr>
      <w:color w:val="0000FF"/>
      <w:u w:val="single"/>
    </w:rPr>
  </w:style>
  <w:style w:type="character" w:customStyle="1" w:styleId="UnresolvedMention">
    <w:name w:val="Unresolved Mention"/>
    <w:uiPriority w:val="99"/>
    <w:semiHidden/>
    <w:unhideWhenUsed/>
    <w:rsid w:val="006A4BFC"/>
    <w:rPr>
      <w:color w:val="605E5C"/>
      <w:shd w:val="clear" w:color="auto" w:fill="E1DFDD"/>
    </w:rPr>
  </w:style>
  <w:style w:type="paragraph" w:styleId="Titolo">
    <w:name w:val="Title"/>
    <w:basedOn w:val="Normale"/>
    <w:next w:val="Normale"/>
    <w:link w:val="TitoloCarattere"/>
    <w:uiPriority w:val="10"/>
    <w:qFormat/>
    <w:rsid w:val="006A4BFC"/>
    <w:pPr>
      <w:widowControl/>
      <w:autoSpaceDE/>
      <w:autoSpaceDN/>
      <w:adjustRightInd/>
      <w:contextualSpacing/>
    </w:pPr>
    <w:rPr>
      <w:rFonts w:cs="Times New Roman"/>
      <w:b/>
      <w:spacing w:val="-10"/>
      <w:kern w:val="28"/>
      <w:sz w:val="36"/>
      <w:szCs w:val="56"/>
      <w:lang w:val="fr-CH" w:eastAsia="en-US"/>
    </w:rPr>
  </w:style>
  <w:style w:type="character" w:customStyle="1" w:styleId="TitoloCarattere">
    <w:name w:val="Titolo Carattere"/>
    <w:basedOn w:val="Carpredefinitoparagrafo"/>
    <w:link w:val="Titolo"/>
    <w:uiPriority w:val="10"/>
    <w:rsid w:val="006A4BFC"/>
    <w:rPr>
      <w:rFonts w:ascii="Arial" w:eastAsia="Times New Roman" w:hAnsi="Arial" w:cs="Times New Roman"/>
      <w:b/>
      <w:spacing w:val="-10"/>
      <w:kern w:val="28"/>
      <w:sz w:val="36"/>
      <w:szCs w:val="56"/>
      <w:lang w:val="fr-CH"/>
    </w:rPr>
  </w:style>
  <w:style w:type="paragraph" w:styleId="Titolosommario">
    <w:name w:val="TOC Heading"/>
    <w:basedOn w:val="Titolo1"/>
    <w:next w:val="Normale"/>
    <w:uiPriority w:val="39"/>
    <w:unhideWhenUsed/>
    <w:qFormat/>
    <w:rsid w:val="006A4BFC"/>
    <w:pPr>
      <w:outlineLvl w:val="9"/>
    </w:pPr>
    <w:rPr>
      <w:rFonts w:ascii="Calibri Light" w:hAnsi="Calibri Light"/>
      <w:b w:val="0"/>
      <w:color w:val="2E74B5"/>
      <w:lang w:val="it-CH" w:eastAsia="it-CH"/>
    </w:rPr>
  </w:style>
  <w:style w:type="paragraph" w:styleId="Sommario1">
    <w:name w:val="toc 1"/>
    <w:basedOn w:val="Normale"/>
    <w:next w:val="Normale"/>
    <w:autoRedefine/>
    <w:uiPriority w:val="39"/>
    <w:unhideWhenUsed/>
    <w:rsid w:val="006A4BFC"/>
    <w:pPr>
      <w:widowControl/>
      <w:autoSpaceDE/>
      <w:autoSpaceDN/>
      <w:adjustRightInd/>
      <w:spacing w:after="100" w:line="259" w:lineRule="auto"/>
    </w:pPr>
    <w:rPr>
      <w:rFonts w:eastAsia="Calibri" w:cs="Times New Roman"/>
      <w:sz w:val="24"/>
      <w:lang w:val="fr-CH" w:eastAsia="en-US"/>
    </w:rPr>
  </w:style>
  <w:style w:type="paragraph" w:styleId="Sommario2">
    <w:name w:val="toc 2"/>
    <w:basedOn w:val="Normale"/>
    <w:next w:val="Normale"/>
    <w:autoRedefine/>
    <w:uiPriority w:val="39"/>
    <w:unhideWhenUsed/>
    <w:rsid w:val="00791EE4"/>
    <w:pPr>
      <w:widowControl/>
      <w:tabs>
        <w:tab w:val="left" w:pos="426"/>
        <w:tab w:val="right" w:leader="dot" w:pos="9628"/>
      </w:tabs>
      <w:autoSpaceDE/>
      <w:autoSpaceDN/>
      <w:adjustRightInd/>
      <w:spacing w:after="100" w:line="259" w:lineRule="auto"/>
    </w:pPr>
    <w:rPr>
      <w:rFonts w:eastAsia="Calibri" w:cs="Times New Roman"/>
      <w:sz w:val="24"/>
      <w:lang w:val="fr-CH" w:eastAsia="en-US"/>
    </w:rPr>
  </w:style>
  <w:style w:type="table" w:styleId="Tabellasemplice-1">
    <w:name w:val="Plain Table 1"/>
    <w:basedOn w:val="Tabellanormale"/>
    <w:uiPriority w:val="41"/>
    <w:rsid w:val="006A4BFC"/>
    <w:pPr>
      <w:spacing w:after="0" w:line="240" w:lineRule="auto"/>
    </w:pPr>
    <w:rPr>
      <w:rFonts w:ascii="Calibri" w:eastAsia="Calibri" w:hAnsi="Calibri" w:cs="Times New Roman"/>
      <w:sz w:val="20"/>
      <w:szCs w:val="20"/>
      <w:lang w:eastAsia="it-CH"/>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gliatabella">
    <w:name w:val="Table Grid"/>
    <w:basedOn w:val="Tabellanormale"/>
    <w:uiPriority w:val="39"/>
    <w:rsid w:val="006A4BFC"/>
    <w:pPr>
      <w:spacing w:after="0" w:line="240" w:lineRule="auto"/>
    </w:pPr>
    <w:rPr>
      <w:rFonts w:ascii="Calibri" w:eastAsia="Calibri" w:hAnsi="Calibri"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6A4BFC"/>
    <w:pPr>
      <w:widowControl/>
      <w:autoSpaceDE/>
      <w:autoSpaceDN/>
      <w:adjustRightInd/>
      <w:spacing w:after="200"/>
    </w:pPr>
    <w:rPr>
      <w:rFonts w:eastAsia="Calibri" w:cs="Times New Roman"/>
      <w:i/>
      <w:iCs/>
      <w:color w:val="44546A"/>
      <w:sz w:val="18"/>
      <w:szCs w:val="18"/>
      <w:lang w:val="fr-CH" w:eastAsia="en-US"/>
    </w:rPr>
  </w:style>
  <w:style w:type="character" w:styleId="Collegamentovisitato">
    <w:name w:val="FollowedHyperlink"/>
    <w:uiPriority w:val="99"/>
    <w:semiHidden/>
    <w:unhideWhenUsed/>
    <w:rsid w:val="006A4BFC"/>
    <w:rPr>
      <w:color w:val="954F72"/>
      <w:u w:val="single"/>
    </w:rPr>
  </w:style>
  <w:style w:type="paragraph" w:customStyle="1" w:styleId="Standard">
    <w:name w:val="Standard"/>
    <w:uiPriority w:val="99"/>
    <w:rsid w:val="000D2082"/>
    <w:rPr>
      <w:rFonts w:ascii="Calibri" w:eastAsia="Times New Roman"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png"/><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7FC9D6-00BA-491D-BE79-E7D1C98F6411}" type="doc">
      <dgm:prSet loTypeId="urn:microsoft.com/office/officeart/2005/8/layout/hChevron3" loCatId="process" qsTypeId="urn:microsoft.com/office/officeart/2005/8/quickstyle/simple1" qsCatId="simple" csTypeId="urn:microsoft.com/office/officeart/2005/8/colors/accent1_2" csCatId="accent1" phldr="1"/>
      <dgm:spPr/>
    </dgm:pt>
    <dgm:pt modelId="{B107224C-09BC-42BE-9D90-6818F3EC3E7B}">
      <dgm:prSet phldrT="[Testo]" custT="1"/>
      <dgm:spPr>
        <a:xfrm>
          <a:off x="1398957" y="0"/>
          <a:ext cx="1694691" cy="55245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500">
              <a:solidFill>
                <a:sysClr val="window" lastClr="FFFFFF"/>
              </a:solidFill>
              <a:latin typeface="Calibri"/>
              <a:ea typeface="+mn-ea"/>
              <a:cs typeface="+mn-cs"/>
            </a:rPr>
            <a:t>50-54 anni</a:t>
          </a:r>
        </a:p>
      </dgm:t>
    </dgm:pt>
    <dgm:pt modelId="{F07BBC9A-B131-4627-92B9-994C6288A01A}" type="parTrans" cxnId="{A80C5F18-55D6-4C2F-B270-34053F755FD5}">
      <dgm:prSet/>
      <dgm:spPr/>
      <dgm:t>
        <a:bodyPr/>
        <a:lstStyle/>
        <a:p>
          <a:endParaRPr lang="it-IT"/>
        </a:p>
      </dgm:t>
    </dgm:pt>
    <dgm:pt modelId="{21902940-ADBF-41AC-9000-0C21D3A4DEFB}" type="sibTrans" cxnId="{A80C5F18-55D6-4C2F-B270-34053F755FD5}">
      <dgm:prSet/>
      <dgm:spPr/>
      <dgm:t>
        <a:bodyPr/>
        <a:lstStyle/>
        <a:p>
          <a:endParaRPr lang="it-IT"/>
        </a:p>
      </dgm:t>
    </dgm:pt>
    <dgm:pt modelId="{19289F6C-E031-49C2-AA6A-F6DC56EBF37F}">
      <dgm:prSet phldrT="[Testo]" custT="1"/>
      <dgm:spPr>
        <a:xfrm>
          <a:off x="2715383"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2000">
              <a:solidFill>
                <a:sysClr val="window" lastClr="FFFFFF"/>
              </a:solidFill>
              <a:latin typeface="Calibri"/>
              <a:ea typeface="+mn-ea"/>
              <a:cs typeface="+mn-cs"/>
            </a:rPr>
            <a:t>24 mesi</a:t>
          </a:r>
        </a:p>
      </dgm:t>
    </dgm:pt>
    <dgm:pt modelId="{12A229EA-84FE-48A0-ACFC-BA3B62E5A4F3}" type="parTrans" cxnId="{F3A47304-C64A-4CB9-9B62-71490CFD735D}">
      <dgm:prSet/>
      <dgm:spPr/>
      <dgm:t>
        <a:bodyPr/>
        <a:lstStyle/>
        <a:p>
          <a:endParaRPr lang="it-IT"/>
        </a:p>
      </dgm:t>
    </dgm:pt>
    <dgm:pt modelId="{20D68778-C676-4B54-8A0A-A65D47E33E95}" type="sibTrans" cxnId="{F3A47304-C64A-4CB9-9B62-71490CFD735D}">
      <dgm:prSet/>
      <dgm:spPr/>
      <dgm:t>
        <a:bodyPr/>
        <a:lstStyle/>
        <a:p>
          <a:endParaRPr lang="it-IT"/>
        </a:p>
      </dgm:t>
    </dgm:pt>
    <dgm:pt modelId="{5DA347A7-710D-42B9-8BAF-2455BE37BEC9}">
      <dgm:prSet phldrT="[Testo]" custT="1"/>
      <dgm:spPr>
        <a:xfrm>
          <a:off x="0"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500">
              <a:solidFill>
                <a:sysClr val="window" lastClr="FFFFFF"/>
              </a:solidFill>
              <a:latin typeface="Calibri"/>
              <a:ea typeface="+mn-ea"/>
              <a:cs typeface="+mn-cs"/>
            </a:rPr>
            <a:t>60 % salario</a:t>
          </a:r>
        </a:p>
      </dgm:t>
    </dgm:pt>
    <dgm:pt modelId="{D562127F-F00B-46E0-9AFF-594F10CF4A03}" type="parTrans" cxnId="{BF59C81E-E1CD-49E3-8142-63D7295E126D}">
      <dgm:prSet/>
      <dgm:spPr/>
      <dgm:t>
        <a:bodyPr/>
        <a:lstStyle/>
        <a:p>
          <a:endParaRPr lang="it-IT"/>
        </a:p>
      </dgm:t>
    </dgm:pt>
    <dgm:pt modelId="{2288A08E-C4D0-416A-9E57-16EE33942A9E}" type="sibTrans" cxnId="{BF59C81E-E1CD-49E3-8142-63D7295E126D}">
      <dgm:prSet/>
      <dgm:spPr/>
      <dgm:t>
        <a:bodyPr/>
        <a:lstStyle/>
        <a:p>
          <a:endParaRPr lang="it-IT"/>
        </a:p>
      </dgm:t>
    </dgm:pt>
    <dgm:pt modelId="{5BEEAD70-5114-4E8B-90D4-A4533898DA1C}" type="pres">
      <dgm:prSet presAssocID="{D97FC9D6-00BA-491D-BE79-E7D1C98F6411}" presName="Name0" presStyleCnt="0">
        <dgm:presLayoutVars>
          <dgm:dir/>
          <dgm:resizeHandles val="exact"/>
        </dgm:presLayoutVars>
      </dgm:prSet>
      <dgm:spPr/>
    </dgm:pt>
    <dgm:pt modelId="{17C1986C-6535-40FA-BE9A-4FCC054651DB}" type="pres">
      <dgm:prSet presAssocID="{B107224C-09BC-42BE-9D90-6818F3EC3E7B}" presName="parTxOnly" presStyleLbl="node1" presStyleIdx="0" presStyleCnt="3" custLinFactX="62435" custLinFactNeighborX="100000" custLinFactNeighborY="5580">
        <dgm:presLayoutVars>
          <dgm:bulletEnabled val="1"/>
        </dgm:presLayoutVars>
      </dgm:prSet>
      <dgm:spPr>
        <a:prstGeom prst="homePlate">
          <a:avLst/>
        </a:prstGeom>
      </dgm:spPr>
      <dgm:t>
        <a:bodyPr/>
        <a:lstStyle/>
        <a:p>
          <a:endParaRPr lang="it-IT"/>
        </a:p>
      </dgm:t>
    </dgm:pt>
    <dgm:pt modelId="{EB0905EB-64BC-4D98-BA6D-73E225F75BFA}" type="pres">
      <dgm:prSet presAssocID="{21902940-ADBF-41AC-9000-0C21D3A4DEFB}" presName="parSpace" presStyleCnt="0"/>
      <dgm:spPr/>
    </dgm:pt>
    <dgm:pt modelId="{C92B9B45-E519-4C75-B8DF-F5DFD05D5E56}" type="pres">
      <dgm:prSet presAssocID="{19289F6C-E031-49C2-AA6A-F6DC56EBF37F}" presName="parTxOnly" presStyleLbl="node1" presStyleIdx="1" presStyleCnt="3" custLinFactX="76080" custLinFactNeighborX="100000" custLinFactNeighborY="5580">
        <dgm:presLayoutVars>
          <dgm:bulletEnabled val="1"/>
        </dgm:presLayoutVars>
      </dgm:prSet>
      <dgm:spPr>
        <a:prstGeom prst="chevron">
          <a:avLst/>
        </a:prstGeom>
      </dgm:spPr>
      <dgm:t>
        <a:bodyPr/>
        <a:lstStyle/>
        <a:p>
          <a:endParaRPr lang="it-IT"/>
        </a:p>
      </dgm:t>
    </dgm:pt>
    <dgm:pt modelId="{C102C644-1EE1-405F-99A1-DE87CB9B7ECC}" type="pres">
      <dgm:prSet presAssocID="{20D68778-C676-4B54-8A0A-A65D47E33E95}" presName="parSpace" presStyleCnt="0"/>
      <dgm:spPr/>
    </dgm:pt>
    <dgm:pt modelId="{45E26364-0D86-4614-B022-1755A234C977}" type="pres">
      <dgm:prSet presAssocID="{5DA347A7-710D-42B9-8BAF-2455BE37BEC9}" presName="parTxOnly" presStyleLbl="node1" presStyleIdx="2" presStyleCnt="3" custLinFactX="-123735" custLinFactNeighborX="-200000" custLinFactNeighborY="1860">
        <dgm:presLayoutVars>
          <dgm:bulletEnabled val="1"/>
        </dgm:presLayoutVars>
      </dgm:prSet>
      <dgm:spPr>
        <a:prstGeom prst="chevron">
          <a:avLst/>
        </a:prstGeom>
      </dgm:spPr>
      <dgm:t>
        <a:bodyPr/>
        <a:lstStyle/>
        <a:p>
          <a:endParaRPr lang="it-IT"/>
        </a:p>
      </dgm:t>
    </dgm:pt>
  </dgm:ptLst>
  <dgm:cxnLst>
    <dgm:cxn modelId="{BF59C81E-E1CD-49E3-8142-63D7295E126D}" srcId="{D97FC9D6-00BA-491D-BE79-E7D1C98F6411}" destId="{5DA347A7-710D-42B9-8BAF-2455BE37BEC9}" srcOrd="2" destOrd="0" parTransId="{D562127F-F00B-46E0-9AFF-594F10CF4A03}" sibTransId="{2288A08E-C4D0-416A-9E57-16EE33942A9E}"/>
    <dgm:cxn modelId="{96A0F594-637C-9A47-ABD8-257C76CA5079}" type="presOf" srcId="{19289F6C-E031-49C2-AA6A-F6DC56EBF37F}" destId="{C92B9B45-E519-4C75-B8DF-F5DFD05D5E56}" srcOrd="0" destOrd="0" presId="urn:microsoft.com/office/officeart/2005/8/layout/hChevron3"/>
    <dgm:cxn modelId="{F3A47304-C64A-4CB9-9B62-71490CFD735D}" srcId="{D97FC9D6-00BA-491D-BE79-E7D1C98F6411}" destId="{19289F6C-E031-49C2-AA6A-F6DC56EBF37F}" srcOrd="1" destOrd="0" parTransId="{12A229EA-84FE-48A0-ACFC-BA3B62E5A4F3}" sibTransId="{20D68778-C676-4B54-8A0A-A65D47E33E95}"/>
    <dgm:cxn modelId="{B127A41D-1E52-2A40-AB35-0A72800F3D97}" type="presOf" srcId="{B107224C-09BC-42BE-9D90-6818F3EC3E7B}" destId="{17C1986C-6535-40FA-BE9A-4FCC054651DB}" srcOrd="0" destOrd="0" presId="urn:microsoft.com/office/officeart/2005/8/layout/hChevron3"/>
    <dgm:cxn modelId="{A80C5F18-55D6-4C2F-B270-34053F755FD5}" srcId="{D97FC9D6-00BA-491D-BE79-E7D1C98F6411}" destId="{B107224C-09BC-42BE-9D90-6818F3EC3E7B}" srcOrd="0" destOrd="0" parTransId="{F07BBC9A-B131-4627-92B9-994C6288A01A}" sibTransId="{21902940-ADBF-41AC-9000-0C21D3A4DEFB}"/>
    <dgm:cxn modelId="{92A53B1A-75D5-A24D-B5BE-23A1224DC071}" type="presOf" srcId="{5DA347A7-710D-42B9-8BAF-2455BE37BEC9}" destId="{45E26364-0D86-4614-B022-1755A234C977}" srcOrd="0" destOrd="0" presId="urn:microsoft.com/office/officeart/2005/8/layout/hChevron3"/>
    <dgm:cxn modelId="{FFE1ECDC-5D9F-CC4A-8F02-F9A4D4656E4F}" type="presOf" srcId="{D97FC9D6-00BA-491D-BE79-E7D1C98F6411}" destId="{5BEEAD70-5114-4E8B-90D4-A4533898DA1C}" srcOrd="0" destOrd="0" presId="urn:microsoft.com/office/officeart/2005/8/layout/hChevron3"/>
    <dgm:cxn modelId="{0C26C462-0350-B54B-8C7A-8F743ACCBE1E}" type="presParOf" srcId="{5BEEAD70-5114-4E8B-90D4-A4533898DA1C}" destId="{17C1986C-6535-40FA-BE9A-4FCC054651DB}" srcOrd="0" destOrd="0" presId="urn:microsoft.com/office/officeart/2005/8/layout/hChevron3"/>
    <dgm:cxn modelId="{6159928D-A53E-884C-89DB-FE55F5F1962F}" type="presParOf" srcId="{5BEEAD70-5114-4E8B-90D4-A4533898DA1C}" destId="{EB0905EB-64BC-4D98-BA6D-73E225F75BFA}" srcOrd="1" destOrd="0" presId="urn:microsoft.com/office/officeart/2005/8/layout/hChevron3"/>
    <dgm:cxn modelId="{66EDDF4F-9269-4F44-82E6-A84A11222A1D}" type="presParOf" srcId="{5BEEAD70-5114-4E8B-90D4-A4533898DA1C}" destId="{C92B9B45-E519-4C75-B8DF-F5DFD05D5E56}" srcOrd="2" destOrd="0" presId="urn:microsoft.com/office/officeart/2005/8/layout/hChevron3"/>
    <dgm:cxn modelId="{E887A300-4992-274A-BE49-150995C58A52}" type="presParOf" srcId="{5BEEAD70-5114-4E8B-90D4-A4533898DA1C}" destId="{C102C644-1EE1-405F-99A1-DE87CB9B7ECC}" srcOrd="3" destOrd="0" presId="urn:microsoft.com/office/officeart/2005/8/layout/hChevron3"/>
    <dgm:cxn modelId="{77F59474-844A-044D-B571-D43D39B60DB4}" type="presParOf" srcId="{5BEEAD70-5114-4E8B-90D4-A4533898DA1C}" destId="{45E26364-0D86-4614-B022-1755A234C977}" srcOrd="4"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7FC9D6-00BA-491D-BE79-E7D1C98F6411}" type="doc">
      <dgm:prSet loTypeId="urn:microsoft.com/office/officeart/2005/8/layout/hChevron3" loCatId="process" qsTypeId="urn:microsoft.com/office/officeart/2005/8/quickstyle/simple1" qsCatId="simple" csTypeId="urn:microsoft.com/office/officeart/2005/8/colors/accent1_2" csCatId="accent1" phldr="1"/>
      <dgm:spPr/>
    </dgm:pt>
    <dgm:pt modelId="{B107224C-09BC-42BE-9D90-6818F3EC3E7B}">
      <dgm:prSet phldrT="[Testo]" custT="1"/>
      <dgm:spPr>
        <a:xfrm>
          <a:off x="1433969" y="0"/>
          <a:ext cx="1694691" cy="55245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500">
              <a:solidFill>
                <a:sysClr val="window" lastClr="FFFFFF"/>
              </a:solidFill>
              <a:latin typeface="Calibri"/>
              <a:ea typeface="+mn-ea"/>
              <a:cs typeface="+mn-cs"/>
            </a:rPr>
            <a:t>55-59 anni</a:t>
          </a:r>
        </a:p>
      </dgm:t>
    </dgm:pt>
    <dgm:pt modelId="{F07BBC9A-B131-4627-92B9-994C6288A01A}" type="parTrans" cxnId="{A80C5F18-55D6-4C2F-B270-34053F755FD5}">
      <dgm:prSet/>
      <dgm:spPr/>
      <dgm:t>
        <a:bodyPr/>
        <a:lstStyle/>
        <a:p>
          <a:endParaRPr lang="it-IT"/>
        </a:p>
      </dgm:t>
    </dgm:pt>
    <dgm:pt modelId="{21902940-ADBF-41AC-9000-0C21D3A4DEFB}" type="sibTrans" cxnId="{A80C5F18-55D6-4C2F-B270-34053F755FD5}">
      <dgm:prSet/>
      <dgm:spPr/>
      <dgm:t>
        <a:bodyPr/>
        <a:lstStyle/>
        <a:p>
          <a:endParaRPr lang="it-IT"/>
        </a:p>
      </dgm:t>
    </dgm:pt>
    <dgm:pt modelId="{19289F6C-E031-49C2-AA6A-F6DC56EBF37F}">
      <dgm:prSet phldrT="[Testo]" custT="1"/>
      <dgm:spPr>
        <a:xfrm>
          <a:off x="2715383"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2000">
              <a:solidFill>
                <a:sysClr val="window" lastClr="FFFFFF"/>
              </a:solidFill>
              <a:latin typeface="Calibri"/>
              <a:ea typeface="+mn-ea"/>
              <a:cs typeface="+mn-cs"/>
            </a:rPr>
            <a:t>36 mesi</a:t>
          </a:r>
        </a:p>
      </dgm:t>
    </dgm:pt>
    <dgm:pt modelId="{12A229EA-84FE-48A0-ACFC-BA3B62E5A4F3}" type="parTrans" cxnId="{F3A47304-C64A-4CB9-9B62-71490CFD735D}">
      <dgm:prSet/>
      <dgm:spPr/>
      <dgm:t>
        <a:bodyPr/>
        <a:lstStyle/>
        <a:p>
          <a:endParaRPr lang="it-IT"/>
        </a:p>
      </dgm:t>
    </dgm:pt>
    <dgm:pt modelId="{20D68778-C676-4B54-8A0A-A65D47E33E95}" type="sibTrans" cxnId="{F3A47304-C64A-4CB9-9B62-71490CFD735D}">
      <dgm:prSet/>
      <dgm:spPr/>
      <dgm:t>
        <a:bodyPr/>
        <a:lstStyle/>
        <a:p>
          <a:endParaRPr lang="it-IT"/>
        </a:p>
      </dgm:t>
    </dgm:pt>
    <dgm:pt modelId="{5DA347A7-710D-42B9-8BAF-2455BE37BEC9}">
      <dgm:prSet phldrT="[Testo]" custT="1"/>
      <dgm:spPr>
        <a:xfrm>
          <a:off x="0"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500">
              <a:solidFill>
                <a:sysClr val="window" lastClr="FFFFFF"/>
              </a:solidFill>
              <a:latin typeface="Calibri"/>
              <a:ea typeface="+mn-ea"/>
              <a:cs typeface="+mn-cs"/>
            </a:rPr>
            <a:t>60 % salario</a:t>
          </a:r>
        </a:p>
      </dgm:t>
    </dgm:pt>
    <dgm:pt modelId="{D562127F-F00B-46E0-9AFF-594F10CF4A03}" type="parTrans" cxnId="{BF59C81E-E1CD-49E3-8142-63D7295E126D}">
      <dgm:prSet/>
      <dgm:spPr/>
      <dgm:t>
        <a:bodyPr/>
        <a:lstStyle/>
        <a:p>
          <a:endParaRPr lang="it-IT"/>
        </a:p>
      </dgm:t>
    </dgm:pt>
    <dgm:pt modelId="{2288A08E-C4D0-416A-9E57-16EE33942A9E}" type="sibTrans" cxnId="{BF59C81E-E1CD-49E3-8142-63D7295E126D}">
      <dgm:prSet/>
      <dgm:spPr/>
      <dgm:t>
        <a:bodyPr/>
        <a:lstStyle/>
        <a:p>
          <a:endParaRPr lang="it-IT"/>
        </a:p>
      </dgm:t>
    </dgm:pt>
    <dgm:pt modelId="{5BEEAD70-5114-4E8B-90D4-A4533898DA1C}" type="pres">
      <dgm:prSet presAssocID="{D97FC9D6-00BA-491D-BE79-E7D1C98F6411}" presName="Name0" presStyleCnt="0">
        <dgm:presLayoutVars>
          <dgm:dir/>
          <dgm:resizeHandles val="exact"/>
        </dgm:presLayoutVars>
      </dgm:prSet>
      <dgm:spPr/>
    </dgm:pt>
    <dgm:pt modelId="{17C1986C-6535-40FA-BE9A-4FCC054651DB}" type="pres">
      <dgm:prSet presAssocID="{B107224C-09BC-42BE-9D90-6818F3EC3E7B}" presName="parTxOnly" presStyleLbl="node1" presStyleIdx="0" presStyleCnt="3" custLinFactX="64501" custLinFactNeighborX="100000" custLinFactNeighborY="1860">
        <dgm:presLayoutVars>
          <dgm:bulletEnabled val="1"/>
        </dgm:presLayoutVars>
      </dgm:prSet>
      <dgm:spPr>
        <a:prstGeom prst="homePlate">
          <a:avLst/>
        </a:prstGeom>
      </dgm:spPr>
      <dgm:t>
        <a:bodyPr/>
        <a:lstStyle/>
        <a:p>
          <a:endParaRPr lang="it-IT"/>
        </a:p>
      </dgm:t>
    </dgm:pt>
    <dgm:pt modelId="{EB0905EB-64BC-4D98-BA6D-73E225F75BFA}" type="pres">
      <dgm:prSet presAssocID="{21902940-ADBF-41AC-9000-0C21D3A4DEFB}" presName="parSpace" presStyleCnt="0"/>
      <dgm:spPr/>
    </dgm:pt>
    <dgm:pt modelId="{C92B9B45-E519-4C75-B8DF-F5DFD05D5E56}" type="pres">
      <dgm:prSet presAssocID="{19289F6C-E031-49C2-AA6A-F6DC56EBF37F}" presName="parTxOnly" presStyleLbl="node1" presStyleIdx="1" presStyleCnt="3" custLinFactX="68779" custLinFactNeighborX="100000" custLinFactNeighborY="7068">
        <dgm:presLayoutVars>
          <dgm:bulletEnabled val="1"/>
        </dgm:presLayoutVars>
      </dgm:prSet>
      <dgm:spPr>
        <a:prstGeom prst="chevron">
          <a:avLst/>
        </a:prstGeom>
      </dgm:spPr>
      <dgm:t>
        <a:bodyPr/>
        <a:lstStyle/>
        <a:p>
          <a:endParaRPr lang="it-IT"/>
        </a:p>
      </dgm:t>
    </dgm:pt>
    <dgm:pt modelId="{C102C644-1EE1-405F-99A1-DE87CB9B7ECC}" type="pres">
      <dgm:prSet presAssocID="{20D68778-C676-4B54-8A0A-A65D47E33E95}" presName="parSpace" presStyleCnt="0"/>
      <dgm:spPr/>
    </dgm:pt>
    <dgm:pt modelId="{45E26364-0D86-4614-B022-1755A234C977}" type="pres">
      <dgm:prSet presAssocID="{5DA347A7-710D-42B9-8BAF-2455BE37BEC9}" presName="parTxOnly" presStyleLbl="node1" presStyleIdx="2" presStyleCnt="3" custLinFactX="-123735" custLinFactNeighborX="-200000" custLinFactNeighborY="3720">
        <dgm:presLayoutVars>
          <dgm:bulletEnabled val="1"/>
        </dgm:presLayoutVars>
      </dgm:prSet>
      <dgm:spPr>
        <a:prstGeom prst="chevron">
          <a:avLst/>
        </a:prstGeom>
      </dgm:spPr>
      <dgm:t>
        <a:bodyPr/>
        <a:lstStyle/>
        <a:p>
          <a:endParaRPr lang="it-IT"/>
        </a:p>
      </dgm:t>
    </dgm:pt>
  </dgm:ptLst>
  <dgm:cxnLst>
    <dgm:cxn modelId="{BF59C81E-E1CD-49E3-8142-63D7295E126D}" srcId="{D97FC9D6-00BA-491D-BE79-E7D1C98F6411}" destId="{5DA347A7-710D-42B9-8BAF-2455BE37BEC9}" srcOrd="2" destOrd="0" parTransId="{D562127F-F00B-46E0-9AFF-594F10CF4A03}" sibTransId="{2288A08E-C4D0-416A-9E57-16EE33942A9E}"/>
    <dgm:cxn modelId="{F864F9FE-D96B-AE4E-8711-DC3ADDF4719C}" type="presOf" srcId="{5DA347A7-710D-42B9-8BAF-2455BE37BEC9}" destId="{45E26364-0D86-4614-B022-1755A234C977}" srcOrd="0" destOrd="0" presId="urn:microsoft.com/office/officeart/2005/8/layout/hChevron3"/>
    <dgm:cxn modelId="{1C44E99C-32E4-464B-BCE5-D39FAE8DCBA0}" type="presOf" srcId="{19289F6C-E031-49C2-AA6A-F6DC56EBF37F}" destId="{C92B9B45-E519-4C75-B8DF-F5DFD05D5E56}" srcOrd="0" destOrd="0" presId="urn:microsoft.com/office/officeart/2005/8/layout/hChevron3"/>
    <dgm:cxn modelId="{F3A47304-C64A-4CB9-9B62-71490CFD735D}" srcId="{D97FC9D6-00BA-491D-BE79-E7D1C98F6411}" destId="{19289F6C-E031-49C2-AA6A-F6DC56EBF37F}" srcOrd="1" destOrd="0" parTransId="{12A229EA-84FE-48A0-ACFC-BA3B62E5A4F3}" sibTransId="{20D68778-C676-4B54-8A0A-A65D47E33E95}"/>
    <dgm:cxn modelId="{6569E657-55D3-6D45-8AD2-69FEF556A254}" type="presOf" srcId="{D97FC9D6-00BA-491D-BE79-E7D1C98F6411}" destId="{5BEEAD70-5114-4E8B-90D4-A4533898DA1C}" srcOrd="0" destOrd="0" presId="urn:microsoft.com/office/officeart/2005/8/layout/hChevron3"/>
    <dgm:cxn modelId="{A80C5F18-55D6-4C2F-B270-34053F755FD5}" srcId="{D97FC9D6-00BA-491D-BE79-E7D1C98F6411}" destId="{B107224C-09BC-42BE-9D90-6818F3EC3E7B}" srcOrd="0" destOrd="0" parTransId="{F07BBC9A-B131-4627-92B9-994C6288A01A}" sibTransId="{21902940-ADBF-41AC-9000-0C21D3A4DEFB}"/>
    <dgm:cxn modelId="{0EAE6F44-91D7-BB4F-88A8-1E45B3AC14DF}" type="presOf" srcId="{B107224C-09BC-42BE-9D90-6818F3EC3E7B}" destId="{17C1986C-6535-40FA-BE9A-4FCC054651DB}" srcOrd="0" destOrd="0" presId="urn:microsoft.com/office/officeart/2005/8/layout/hChevron3"/>
    <dgm:cxn modelId="{1F3FCA17-CD31-1B4F-BB6A-C720C85B9E48}" type="presParOf" srcId="{5BEEAD70-5114-4E8B-90D4-A4533898DA1C}" destId="{17C1986C-6535-40FA-BE9A-4FCC054651DB}" srcOrd="0" destOrd="0" presId="urn:microsoft.com/office/officeart/2005/8/layout/hChevron3"/>
    <dgm:cxn modelId="{E5A19A50-BC0C-3444-A57A-F53F4EA51625}" type="presParOf" srcId="{5BEEAD70-5114-4E8B-90D4-A4533898DA1C}" destId="{EB0905EB-64BC-4D98-BA6D-73E225F75BFA}" srcOrd="1" destOrd="0" presId="urn:microsoft.com/office/officeart/2005/8/layout/hChevron3"/>
    <dgm:cxn modelId="{A9D99C56-8A69-B74C-96CF-7E74A9957316}" type="presParOf" srcId="{5BEEAD70-5114-4E8B-90D4-A4533898DA1C}" destId="{C92B9B45-E519-4C75-B8DF-F5DFD05D5E56}" srcOrd="2" destOrd="0" presId="urn:microsoft.com/office/officeart/2005/8/layout/hChevron3"/>
    <dgm:cxn modelId="{AE1F816B-5A94-5D49-BD5D-49233CD77388}" type="presParOf" srcId="{5BEEAD70-5114-4E8B-90D4-A4533898DA1C}" destId="{C102C644-1EE1-405F-99A1-DE87CB9B7ECC}" srcOrd="3" destOrd="0" presId="urn:microsoft.com/office/officeart/2005/8/layout/hChevron3"/>
    <dgm:cxn modelId="{C75C6DD9-FF06-CC46-92FA-552BEF3EA404}" type="presParOf" srcId="{5BEEAD70-5114-4E8B-90D4-A4533898DA1C}" destId="{45E26364-0D86-4614-B022-1755A234C977}" srcOrd="4"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7FC9D6-00BA-491D-BE79-E7D1C98F6411}" type="doc">
      <dgm:prSet loTypeId="urn:microsoft.com/office/officeart/2005/8/layout/hChevron3" loCatId="process" qsTypeId="urn:microsoft.com/office/officeart/2005/8/quickstyle/simple1" qsCatId="simple" csTypeId="urn:microsoft.com/office/officeart/2005/8/colors/accent1_2" csCatId="accent1" phldr="1"/>
      <dgm:spPr/>
    </dgm:pt>
    <dgm:pt modelId="{B107224C-09BC-42BE-9D90-6818F3EC3E7B}">
      <dgm:prSet phldrT="[Testo]" custT="1"/>
      <dgm:spPr>
        <a:xfrm>
          <a:off x="1437359" y="0"/>
          <a:ext cx="1687371" cy="55245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500">
              <a:solidFill>
                <a:sysClr val="window" lastClr="FFFFFF"/>
              </a:solidFill>
              <a:latin typeface="Calibri"/>
              <a:ea typeface="+mn-ea"/>
              <a:cs typeface="+mn-cs"/>
            </a:rPr>
            <a:t> over 60 anni</a:t>
          </a:r>
        </a:p>
      </dgm:t>
    </dgm:pt>
    <dgm:pt modelId="{F07BBC9A-B131-4627-92B9-994C6288A01A}" type="parTrans" cxnId="{A80C5F18-55D6-4C2F-B270-34053F755FD5}">
      <dgm:prSet/>
      <dgm:spPr/>
      <dgm:t>
        <a:bodyPr/>
        <a:lstStyle/>
        <a:p>
          <a:endParaRPr lang="it-IT"/>
        </a:p>
      </dgm:t>
    </dgm:pt>
    <dgm:pt modelId="{21902940-ADBF-41AC-9000-0C21D3A4DEFB}" type="sibTrans" cxnId="{A80C5F18-55D6-4C2F-B270-34053F755FD5}">
      <dgm:prSet/>
      <dgm:spPr/>
      <dgm:t>
        <a:bodyPr/>
        <a:lstStyle/>
        <a:p>
          <a:endParaRPr lang="it-IT"/>
        </a:p>
      </dgm:t>
    </dgm:pt>
    <dgm:pt modelId="{19289F6C-E031-49C2-AA6A-F6DC56EBF37F}">
      <dgm:prSet phldrT="[Testo]" custT="1"/>
      <dgm:spPr>
        <a:xfrm>
          <a:off x="2703653" y="0"/>
          <a:ext cx="168737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2000">
              <a:solidFill>
                <a:sysClr val="window" lastClr="FFFFFF"/>
              </a:solidFill>
              <a:latin typeface="Calibri"/>
              <a:ea typeface="+mn-ea"/>
              <a:cs typeface="+mn-cs"/>
            </a:rPr>
            <a:t>48 mesi</a:t>
          </a:r>
        </a:p>
      </dgm:t>
    </dgm:pt>
    <dgm:pt modelId="{12A229EA-84FE-48A0-ACFC-BA3B62E5A4F3}" type="parTrans" cxnId="{F3A47304-C64A-4CB9-9B62-71490CFD735D}">
      <dgm:prSet/>
      <dgm:spPr/>
      <dgm:t>
        <a:bodyPr/>
        <a:lstStyle/>
        <a:p>
          <a:endParaRPr lang="it-IT"/>
        </a:p>
      </dgm:t>
    </dgm:pt>
    <dgm:pt modelId="{20D68778-C676-4B54-8A0A-A65D47E33E95}" type="sibTrans" cxnId="{F3A47304-C64A-4CB9-9B62-71490CFD735D}">
      <dgm:prSet/>
      <dgm:spPr/>
      <dgm:t>
        <a:bodyPr/>
        <a:lstStyle/>
        <a:p>
          <a:endParaRPr lang="it-IT"/>
        </a:p>
      </dgm:t>
    </dgm:pt>
    <dgm:pt modelId="{5DA347A7-710D-42B9-8BAF-2455BE37BEC9}">
      <dgm:prSet phldrT="[Testo]" custT="1"/>
      <dgm:spPr>
        <a:xfrm>
          <a:off x="20524" y="0"/>
          <a:ext cx="168737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1500">
              <a:solidFill>
                <a:sysClr val="window" lastClr="FFFFFF"/>
              </a:solidFill>
              <a:latin typeface="Calibri"/>
              <a:ea typeface="+mn-ea"/>
              <a:cs typeface="+mn-cs"/>
            </a:rPr>
            <a:t>60 % salario</a:t>
          </a:r>
        </a:p>
      </dgm:t>
    </dgm:pt>
    <dgm:pt modelId="{D562127F-F00B-46E0-9AFF-594F10CF4A03}" type="parTrans" cxnId="{BF59C81E-E1CD-49E3-8142-63D7295E126D}">
      <dgm:prSet/>
      <dgm:spPr/>
      <dgm:t>
        <a:bodyPr/>
        <a:lstStyle/>
        <a:p>
          <a:endParaRPr lang="it-IT"/>
        </a:p>
      </dgm:t>
    </dgm:pt>
    <dgm:pt modelId="{2288A08E-C4D0-416A-9E57-16EE33942A9E}" type="sibTrans" cxnId="{BF59C81E-E1CD-49E3-8142-63D7295E126D}">
      <dgm:prSet/>
      <dgm:spPr/>
      <dgm:t>
        <a:bodyPr/>
        <a:lstStyle/>
        <a:p>
          <a:endParaRPr lang="it-IT"/>
        </a:p>
      </dgm:t>
    </dgm:pt>
    <dgm:pt modelId="{5BEEAD70-5114-4E8B-90D4-A4533898DA1C}" type="pres">
      <dgm:prSet presAssocID="{D97FC9D6-00BA-491D-BE79-E7D1C98F6411}" presName="Name0" presStyleCnt="0">
        <dgm:presLayoutVars>
          <dgm:dir/>
          <dgm:resizeHandles val="exact"/>
        </dgm:presLayoutVars>
      </dgm:prSet>
      <dgm:spPr/>
    </dgm:pt>
    <dgm:pt modelId="{17C1986C-6535-40FA-BE9A-4FCC054651DB}" type="pres">
      <dgm:prSet presAssocID="{B107224C-09BC-42BE-9D90-6818F3EC3E7B}" presName="parTxOnly" presStyleLbl="node1" presStyleIdx="0" presStyleCnt="3" custLinFactX="65069" custLinFactNeighborX="100000">
        <dgm:presLayoutVars>
          <dgm:bulletEnabled val="1"/>
        </dgm:presLayoutVars>
      </dgm:prSet>
      <dgm:spPr>
        <a:prstGeom prst="homePlate">
          <a:avLst/>
        </a:prstGeom>
      </dgm:spPr>
      <dgm:t>
        <a:bodyPr/>
        <a:lstStyle/>
        <a:p>
          <a:endParaRPr lang="it-IT"/>
        </a:p>
      </dgm:t>
    </dgm:pt>
    <dgm:pt modelId="{EB0905EB-64BC-4D98-BA6D-73E225F75BFA}" type="pres">
      <dgm:prSet presAssocID="{21902940-ADBF-41AC-9000-0C21D3A4DEFB}" presName="parSpace" presStyleCnt="0"/>
      <dgm:spPr/>
    </dgm:pt>
    <dgm:pt modelId="{C92B9B45-E519-4C75-B8DF-F5DFD05D5E56}" type="pres">
      <dgm:prSet presAssocID="{19289F6C-E031-49C2-AA6A-F6DC56EBF37F}" presName="parTxOnly" presStyleLbl="node1" presStyleIdx="1" presStyleCnt="3" custLinFactX="83471" custLinFactNeighborX="100000" custLinFactNeighborY="22321">
        <dgm:presLayoutVars>
          <dgm:bulletEnabled val="1"/>
        </dgm:presLayoutVars>
      </dgm:prSet>
      <dgm:spPr>
        <a:prstGeom prst="chevron">
          <a:avLst/>
        </a:prstGeom>
      </dgm:spPr>
      <dgm:t>
        <a:bodyPr/>
        <a:lstStyle/>
        <a:p>
          <a:endParaRPr lang="it-IT"/>
        </a:p>
      </dgm:t>
    </dgm:pt>
    <dgm:pt modelId="{C102C644-1EE1-405F-99A1-DE87CB9B7ECC}" type="pres">
      <dgm:prSet presAssocID="{20D68778-C676-4B54-8A0A-A65D47E33E95}" presName="parSpace" presStyleCnt="0"/>
      <dgm:spPr/>
    </dgm:pt>
    <dgm:pt modelId="{45E26364-0D86-4614-B022-1755A234C977}" type="pres">
      <dgm:prSet presAssocID="{5DA347A7-710D-42B9-8BAF-2455BE37BEC9}" presName="parTxOnly" presStyleLbl="node1" presStyleIdx="2" presStyleCnt="3" custLinFactX="-118898" custLinFactNeighborX="-200000" custLinFactNeighborY="-3720">
        <dgm:presLayoutVars>
          <dgm:bulletEnabled val="1"/>
        </dgm:presLayoutVars>
      </dgm:prSet>
      <dgm:spPr>
        <a:prstGeom prst="chevron">
          <a:avLst/>
        </a:prstGeom>
      </dgm:spPr>
      <dgm:t>
        <a:bodyPr/>
        <a:lstStyle/>
        <a:p>
          <a:endParaRPr lang="it-IT"/>
        </a:p>
      </dgm:t>
    </dgm:pt>
  </dgm:ptLst>
  <dgm:cxnLst>
    <dgm:cxn modelId="{BF59C81E-E1CD-49E3-8142-63D7295E126D}" srcId="{D97FC9D6-00BA-491D-BE79-E7D1C98F6411}" destId="{5DA347A7-710D-42B9-8BAF-2455BE37BEC9}" srcOrd="2" destOrd="0" parTransId="{D562127F-F00B-46E0-9AFF-594F10CF4A03}" sibTransId="{2288A08E-C4D0-416A-9E57-16EE33942A9E}"/>
    <dgm:cxn modelId="{B7A2B836-4DC0-3543-8887-ABE354155E75}" type="presOf" srcId="{19289F6C-E031-49C2-AA6A-F6DC56EBF37F}" destId="{C92B9B45-E519-4C75-B8DF-F5DFD05D5E56}" srcOrd="0" destOrd="0" presId="urn:microsoft.com/office/officeart/2005/8/layout/hChevron3"/>
    <dgm:cxn modelId="{E7634B27-A0E0-2841-83BB-D4BEE4D498BF}" type="presOf" srcId="{D97FC9D6-00BA-491D-BE79-E7D1C98F6411}" destId="{5BEEAD70-5114-4E8B-90D4-A4533898DA1C}" srcOrd="0" destOrd="0" presId="urn:microsoft.com/office/officeart/2005/8/layout/hChevron3"/>
    <dgm:cxn modelId="{42CA3FB8-3C4B-474C-B54E-0885F40C5B67}" type="presOf" srcId="{5DA347A7-710D-42B9-8BAF-2455BE37BEC9}" destId="{45E26364-0D86-4614-B022-1755A234C977}" srcOrd="0" destOrd="0" presId="urn:microsoft.com/office/officeart/2005/8/layout/hChevron3"/>
    <dgm:cxn modelId="{F3A47304-C64A-4CB9-9B62-71490CFD735D}" srcId="{D97FC9D6-00BA-491D-BE79-E7D1C98F6411}" destId="{19289F6C-E031-49C2-AA6A-F6DC56EBF37F}" srcOrd="1" destOrd="0" parTransId="{12A229EA-84FE-48A0-ACFC-BA3B62E5A4F3}" sibTransId="{20D68778-C676-4B54-8A0A-A65D47E33E95}"/>
    <dgm:cxn modelId="{24D0C187-03B3-D946-8E46-F7E9CBAED4D3}" type="presOf" srcId="{B107224C-09BC-42BE-9D90-6818F3EC3E7B}" destId="{17C1986C-6535-40FA-BE9A-4FCC054651DB}" srcOrd="0" destOrd="0" presId="urn:microsoft.com/office/officeart/2005/8/layout/hChevron3"/>
    <dgm:cxn modelId="{A80C5F18-55D6-4C2F-B270-34053F755FD5}" srcId="{D97FC9D6-00BA-491D-BE79-E7D1C98F6411}" destId="{B107224C-09BC-42BE-9D90-6818F3EC3E7B}" srcOrd="0" destOrd="0" parTransId="{F07BBC9A-B131-4627-92B9-994C6288A01A}" sibTransId="{21902940-ADBF-41AC-9000-0C21D3A4DEFB}"/>
    <dgm:cxn modelId="{3B7EB3B0-C7A0-1E4A-A8FA-B399CD774145}" type="presParOf" srcId="{5BEEAD70-5114-4E8B-90D4-A4533898DA1C}" destId="{17C1986C-6535-40FA-BE9A-4FCC054651DB}" srcOrd="0" destOrd="0" presId="urn:microsoft.com/office/officeart/2005/8/layout/hChevron3"/>
    <dgm:cxn modelId="{CAA5F45A-BBB4-BD49-A4D0-AD468D642FF4}" type="presParOf" srcId="{5BEEAD70-5114-4E8B-90D4-A4533898DA1C}" destId="{EB0905EB-64BC-4D98-BA6D-73E225F75BFA}" srcOrd="1" destOrd="0" presId="urn:microsoft.com/office/officeart/2005/8/layout/hChevron3"/>
    <dgm:cxn modelId="{26091DC2-3355-544B-9DC2-D80EB81C4322}" type="presParOf" srcId="{5BEEAD70-5114-4E8B-90D4-A4533898DA1C}" destId="{C92B9B45-E519-4C75-B8DF-F5DFD05D5E56}" srcOrd="2" destOrd="0" presId="urn:microsoft.com/office/officeart/2005/8/layout/hChevron3"/>
    <dgm:cxn modelId="{1C294C64-6E33-FC48-A6D6-A15F24091F8E}" type="presParOf" srcId="{5BEEAD70-5114-4E8B-90D4-A4533898DA1C}" destId="{C102C644-1EE1-405F-99A1-DE87CB9B7ECC}" srcOrd="3" destOrd="0" presId="urn:microsoft.com/office/officeart/2005/8/layout/hChevron3"/>
    <dgm:cxn modelId="{13FD7021-8570-B142-8AA9-B85711FF5E4C}" type="presParOf" srcId="{5BEEAD70-5114-4E8B-90D4-A4533898DA1C}" destId="{45E26364-0D86-4614-B022-1755A234C977}" srcOrd="4"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C1986C-6535-40FA-BE9A-4FCC054651DB}">
      <dsp:nvSpPr>
        <dsp:cNvPr id="0" name=""/>
        <dsp:cNvSpPr/>
      </dsp:nvSpPr>
      <dsp:spPr>
        <a:xfrm>
          <a:off x="1398957" y="0"/>
          <a:ext cx="1694691" cy="55245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20003" bIns="40005" numCol="1" spcCol="1270" anchor="ctr" anchorCtr="0">
          <a:noAutofit/>
        </a:bodyPr>
        <a:lstStyle/>
        <a:p>
          <a:pPr lvl="0" algn="ctr" defTabSz="666750">
            <a:lnSpc>
              <a:spcPct val="90000"/>
            </a:lnSpc>
            <a:spcBef>
              <a:spcPct val="0"/>
            </a:spcBef>
            <a:spcAft>
              <a:spcPct val="35000"/>
            </a:spcAft>
          </a:pPr>
          <a:r>
            <a:rPr lang="it-IT" sz="1500" kern="1200">
              <a:solidFill>
                <a:sysClr val="window" lastClr="FFFFFF"/>
              </a:solidFill>
              <a:latin typeface="Calibri"/>
              <a:ea typeface="+mn-ea"/>
              <a:cs typeface="+mn-cs"/>
            </a:rPr>
            <a:t>50-54 anni</a:t>
          </a:r>
        </a:p>
      </dsp:txBody>
      <dsp:txXfrm>
        <a:off x="1398957" y="0"/>
        <a:ext cx="1556579" cy="552450"/>
      </dsp:txXfrm>
    </dsp:sp>
    <dsp:sp modelId="{C92B9B45-E519-4C75-B8DF-F5DFD05D5E56}">
      <dsp:nvSpPr>
        <dsp:cNvPr id="0" name=""/>
        <dsp:cNvSpPr/>
      </dsp:nvSpPr>
      <dsp:spPr>
        <a:xfrm>
          <a:off x="2715383"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53340" rIns="26670" bIns="53340" numCol="1" spcCol="1270" anchor="ctr" anchorCtr="0">
          <a:noAutofit/>
        </a:bodyPr>
        <a:lstStyle/>
        <a:p>
          <a:pPr lvl="0" algn="ctr" defTabSz="889000">
            <a:lnSpc>
              <a:spcPct val="90000"/>
            </a:lnSpc>
            <a:spcBef>
              <a:spcPct val="0"/>
            </a:spcBef>
            <a:spcAft>
              <a:spcPct val="35000"/>
            </a:spcAft>
          </a:pPr>
          <a:r>
            <a:rPr lang="it-IT" sz="2000" kern="1200">
              <a:solidFill>
                <a:sysClr val="window" lastClr="FFFFFF"/>
              </a:solidFill>
              <a:latin typeface="Calibri"/>
              <a:ea typeface="+mn-ea"/>
              <a:cs typeface="+mn-cs"/>
            </a:rPr>
            <a:t>24 mesi</a:t>
          </a:r>
        </a:p>
      </dsp:txBody>
      <dsp:txXfrm>
        <a:off x="2991608" y="0"/>
        <a:ext cx="1142241" cy="552450"/>
      </dsp:txXfrm>
    </dsp:sp>
    <dsp:sp modelId="{45E26364-0D86-4614-B022-1755A234C977}">
      <dsp:nvSpPr>
        <dsp:cNvPr id="0" name=""/>
        <dsp:cNvSpPr/>
      </dsp:nvSpPr>
      <dsp:spPr>
        <a:xfrm>
          <a:off x="0"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it-IT" sz="1500" kern="1200">
              <a:solidFill>
                <a:sysClr val="window" lastClr="FFFFFF"/>
              </a:solidFill>
              <a:latin typeface="Calibri"/>
              <a:ea typeface="+mn-ea"/>
              <a:cs typeface="+mn-cs"/>
            </a:rPr>
            <a:t>60 % salario</a:t>
          </a:r>
        </a:p>
      </dsp:txBody>
      <dsp:txXfrm>
        <a:off x="276225" y="0"/>
        <a:ext cx="1142241" cy="5524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C1986C-6535-40FA-BE9A-4FCC054651DB}">
      <dsp:nvSpPr>
        <dsp:cNvPr id="0" name=""/>
        <dsp:cNvSpPr/>
      </dsp:nvSpPr>
      <dsp:spPr>
        <a:xfrm>
          <a:off x="1433969" y="0"/>
          <a:ext cx="1694691" cy="55245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20003" bIns="40005" numCol="1" spcCol="1270" anchor="ctr" anchorCtr="0">
          <a:noAutofit/>
        </a:bodyPr>
        <a:lstStyle/>
        <a:p>
          <a:pPr lvl="0" algn="ctr" defTabSz="666750">
            <a:lnSpc>
              <a:spcPct val="90000"/>
            </a:lnSpc>
            <a:spcBef>
              <a:spcPct val="0"/>
            </a:spcBef>
            <a:spcAft>
              <a:spcPct val="35000"/>
            </a:spcAft>
          </a:pPr>
          <a:r>
            <a:rPr lang="it-IT" sz="1500" kern="1200">
              <a:solidFill>
                <a:sysClr val="window" lastClr="FFFFFF"/>
              </a:solidFill>
              <a:latin typeface="Calibri"/>
              <a:ea typeface="+mn-ea"/>
              <a:cs typeface="+mn-cs"/>
            </a:rPr>
            <a:t>55-59 anni</a:t>
          </a:r>
        </a:p>
      </dsp:txBody>
      <dsp:txXfrm>
        <a:off x="1433969" y="0"/>
        <a:ext cx="1556579" cy="552450"/>
      </dsp:txXfrm>
    </dsp:sp>
    <dsp:sp modelId="{C92B9B45-E519-4C75-B8DF-F5DFD05D5E56}">
      <dsp:nvSpPr>
        <dsp:cNvPr id="0" name=""/>
        <dsp:cNvSpPr/>
      </dsp:nvSpPr>
      <dsp:spPr>
        <a:xfrm>
          <a:off x="2715383"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53340" rIns="26670" bIns="53340" numCol="1" spcCol="1270" anchor="ctr" anchorCtr="0">
          <a:noAutofit/>
        </a:bodyPr>
        <a:lstStyle/>
        <a:p>
          <a:pPr lvl="0" algn="ctr" defTabSz="889000">
            <a:lnSpc>
              <a:spcPct val="90000"/>
            </a:lnSpc>
            <a:spcBef>
              <a:spcPct val="0"/>
            </a:spcBef>
            <a:spcAft>
              <a:spcPct val="35000"/>
            </a:spcAft>
          </a:pPr>
          <a:r>
            <a:rPr lang="it-IT" sz="2000" kern="1200">
              <a:solidFill>
                <a:sysClr val="window" lastClr="FFFFFF"/>
              </a:solidFill>
              <a:latin typeface="Calibri"/>
              <a:ea typeface="+mn-ea"/>
              <a:cs typeface="+mn-cs"/>
            </a:rPr>
            <a:t>36 mesi</a:t>
          </a:r>
        </a:p>
      </dsp:txBody>
      <dsp:txXfrm>
        <a:off x="2991608" y="0"/>
        <a:ext cx="1142241" cy="552450"/>
      </dsp:txXfrm>
    </dsp:sp>
    <dsp:sp modelId="{45E26364-0D86-4614-B022-1755A234C977}">
      <dsp:nvSpPr>
        <dsp:cNvPr id="0" name=""/>
        <dsp:cNvSpPr/>
      </dsp:nvSpPr>
      <dsp:spPr>
        <a:xfrm>
          <a:off x="0" y="0"/>
          <a:ext cx="169469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it-IT" sz="1500" kern="1200">
              <a:solidFill>
                <a:sysClr val="window" lastClr="FFFFFF"/>
              </a:solidFill>
              <a:latin typeface="Calibri"/>
              <a:ea typeface="+mn-ea"/>
              <a:cs typeface="+mn-cs"/>
            </a:rPr>
            <a:t>60 % salario</a:t>
          </a:r>
        </a:p>
      </dsp:txBody>
      <dsp:txXfrm>
        <a:off x="276225" y="0"/>
        <a:ext cx="1142241" cy="5524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C1986C-6535-40FA-BE9A-4FCC054651DB}">
      <dsp:nvSpPr>
        <dsp:cNvPr id="0" name=""/>
        <dsp:cNvSpPr/>
      </dsp:nvSpPr>
      <dsp:spPr>
        <a:xfrm>
          <a:off x="1437359" y="0"/>
          <a:ext cx="1687371" cy="55245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20003" bIns="40005" numCol="1" spcCol="1270" anchor="ctr" anchorCtr="0">
          <a:noAutofit/>
        </a:bodyPr>
        <a:lstStyle/>
        <a:p>
          <a:pPr lvl="0" algn="ctr" defTabSz="666750">
            <a:lnSpc>
              <a:spcPct val="90000"/>
            </a:lnSpc>
            <a:spcBef>
              <a:spcPct val="0"/>
            </a:spcBef>
            <a:spcAft>
              <a:spcPct val="35000"/>
            </a:spcAft>
          </a:pPr>
          <a:r>
            <a:rPr lang="it-IT" sz="1500" kern="1200">
              <a:solidFill>
                <a:sysClr val="window" lastClr="FFFFFF"/>
              </a:solidFill>
              <a:latin typeface="Calibri"/>
              <a:ea typeface="+mn-ea"/>
              <a:cs typeface="+mn-cs"/>
            </a:rPr>
            <a:t> over 60 anni</a:t>
          </a:r>
        </a:p>
      </dsp:txBody>
      <dsp:txXfrm>
        <a:off x="1437359" y="0"/>
        <a:ext cx="1549259" cy="552450"/>
      </dsp:txXfrm>
    </dsp:sp>
    <dsp:sp modelId="{C92B9B45-E519-4C75-B8DF-F5DFD05D5E56}">
      <dsp:nvSpPr>
        <dsp:cNvPr id="0" name=""/>
        <dsp:cNvSpPr/>
      </dsp:nvSpPr>
      <dsp:spPr>
        <a:xfrm>
          <a:off x="2703653" y="0"/>
          <a:ext cx="168737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53340" rIns="26670" bIns="53340" numCol="1" spcCol="1270" anchor="ctr" anchorCtr="0">
          <a:noAutofit/>
        </a:bodyPr>
        <a:lstStyle/>
        <a:p>
          <a:pPr lvl="0" algn="ctr" defTabSz="889000">
            <a:lnSpc>
              <a:spcPct val="90000"/>
            </a:lnSpc>
            <a:spcBef>
              <a:spcPct val="0"/>
            </a:spcBef>
            <a:spcAft>
              <a:spcPct val="35000"/>
            </a:spcAft>
          </a:pPr>
          <a:r>
            <a:rPr lang="it-IT" sz="2000" kern="1200">
              <a:solidFill>
                <a:sysClr val="window" lastClr="FFFFFF"/>
              </a:solidFill>
              <a:latin typeface="Calibri"/>
              <a:ea typeface="+mn-ea"/>
              <a:cs typeface="+mn-cs"/>
            </a:rPr>
            <a:t>48 mesi</a:t>
          </a:r>
        </a:p>
      </dsp:txBody>
      <dsp:txXfrm>
        <a:off x="2979878" y="0"/>
        <a:ext cx="1134921" cy="552450"/>
      </dsp:txXfrm>
    </dsp:sp>
    <dsp:sp modelId="{45E26364-0D86-4614-B022-1755A234C977}">
      <dsp:nvSpPr>
        <dsp:cNvPr id="0" name=""/>
        <dsp:cNvSpPr/>
      </dsp:nvSpPr>
      <dsp:spPr>
        <a:xfrm>
          <a:off x="20524" y="0"/>
          <a:ext cx="1687371" cy="55245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it-IT" sz="1500" kern="1200">
              <a:solidFill>
                <a:sysClr val="window" lastClr="FFFFFF"/>
              </a:solidFill>
              <a:latin typeface="Calibri"/>
              <a:ea typeface="+mn-ea"/>
              <a:cs typeface="+mn-cs"/>
            </a:rPr>
            <a:t>60 % salario</a:t>
          </a:r>
        </a:p>
      </dsp:txBody>
      <dsp:txXfrm>
        <a:off x="296749" y="0"/>
        <a:ext cx="1134921" cy="55245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3D0C-BA65-4AF7-ABBE-BEB8CFC5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2870</Words>
  <Characters>16363</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Eolo Alberti</dc:creator>
  <cp:keywords/>
  <dc:description/>
  <cp:lastModifiedBy>Venturi Luca</cp:lastModifiedBy>
  <cp:revision>28</cp:revision>
  <cp:lastPrinted>2021-06-17T09:16:00Z</cp:lastPrinted>
  <dcterms:created xsi:type="dcterms:W3CDTF">2021-06-09T08:01:00Z</dcterms:created>
  <dcterms:modified xsi:type="dcterms:W3CDTF">2021-06-17T09:28:00Z</dcterms:modified>
</cp:coreProperties>
</file>