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634F" w:rsidRPr="004C634F" w:rsidRDefault="004C634F" w:rsidP="004C634F">
      <w:pPr>
        <w:jc w:val="left"/>
        <w:rPr>
          <w:rFonts w:ascii="Gill Sans MT" w:eastAsia="Times New Roman" w:hAnsi="Gill Sans MT"/>
          <w:b/>
          <w:sz w:val="56"/>
          <w:szCs w:val="56"/>
          <w:lang w:eastAsia="it-IT"/>
        </w:rPr>
      </w:pPr>
      <w:r w:rsidRPr="004C634F">
        <w:rPr>
          <w:rFonts w:ascii="Gill Sans MT" w:eastAsia="Times New Roman" w:hAnsi="Gill Sans MT"/>
          <w:b/>
          <w:sz w:val="56"/>
          <w:szCs w:val="56"/>
          <w:lang w:eastAsia="it-IT"/>
        </w:rPr>
        <w:t>Rapporto</w:t>
      </w:r>
    </w:p>
    <w:p w:rsidR="004C634F" w:rsidRPr="004C634F" w:rsidRDefault="004C634F" w:rsidP="004C634F">
      <w:pPr>
        <w:ind w:right="-1"/>
        <w:jc w:val="left"/>
        <w:rPr>
          <w:rFonts w:eastAsia="Times New Roman" w:cs="Arial"/>
          <w:sz w:val="20"/>
          <w:szCs w:val="20"/>
          <w:lang w:eastAsia="it-IT"/>
        </w:rPr>
      </w:pPr>
    </w:p>
    <w:p w:rsidR="004C634F" w:rsidRPr="004C634F" w:rsidRDefault="004C634F" w:rsidP="004C634F">
      <w:pPr>
        <w:ind w:right="-1"/>
        <w:jc w:val="left"/>
        <w:rPr>
          <w:rFonts w:eastAsia="Times New Roman" w:cs="Arial"/>
          <w:sz w:val="20"/>
          <w:szCs w:val="20"/>
          <w:lang w:eastAsia="it-IT"/>
        </w:rPr>
      </w:pPr>
    </w:p>
    <w:p w:rsidR="00B860C2" w:rsidRPr="000A4B9D" w:rsidRDefault="004A0E75" w:rsidP="00B860C2">
      <w:pPr>
        <w:tabs>
          <w:tab w:val="left" w:pos="2098"/>
          <w:tab w:val="left" w:pos="4933"/>
        </w:tabs>
        <w:rPr>
          <w:rFonts w:cs="Arial"/>
          <w:sz w:val="27"/>
          <w:szCs w:val="27"/>
        </w:rPr>
      </w:pPr>
      <w:bookmarkStart w:id="0" w:name="_GoBack"/>
      <w:bookmarkEnd w:id="0"/>
      <w:r>
        <w:rPr>
          <w:rFonts w:cs="Arial"/>
          <w:b/>
          <w:sz w:val="32"/>
          <w:szCs w:val="32"/>
        </w:rPr>
        <w:t>7968</w:t>
      </w:r>
      <w:r w:rsidR="00B860C2" w:rsidRPr="008B4137">
        <w:rPr>
          <w:rFonts w:cs="Arial"/>
          <w:b/>
          <w:sz w:val="32"/>
          <w:szCs w:val="32"/>
        </w:rPr>
        <w:t xml:space="preserve"> R</w:t>
      </w:r>
      <w:r w:rsidR="00B860C2" w:rsidRPr="008B4137">
        <w:rPr>
          <w:rFonts w:cs="Arial"/>
          <w:sz w:val="28"/>
          <w:szCs w:val="28"/>
        </w:rPr>
        <w:tab/>
      </w:r>
      <w:r>
        <w:rPr>
          <w:rFonts w:cs="Arial"/>
          <w:sz w:val="28"/>
          <w:szCs w:val="28"/>
        </w:rPr>
        <w:t>22 giugno 2021</w:t>
      </w:r>
      <w:r w:rsidR="00B860C2" w:rsidRPr="008B4137">
        <w:rPr>
          <w:rFonts w:cs="Arial"/>
          <w:sz w:val="28"/>
          <w:szCs w:val="28"/>
        </w:rPr>
        <w:tab/>
      </w:r>
      <w:r w:rsidR="000A4B9D" w:rsidRPr="000A4B9D">
        <w:rPr>
          <w:sz w:val="27"/>
          <w:szCs w:val="27"/>
        </w:rPr>
        <w:t>ISTITUZIONI / FINANZE E ECONOMIA</w:t>
      </w:r>
    </w:p>
    <w:p w:rsidR="00B860C2" w:rsidRDefault="00B860C2" w:rsidP="00B860C2">
      <w:pPr>
        <w:rPr>
          <w:rFonts w:cs="Arial"/>
          <w:szCs w:val="24"/>
        </w:rPr>
      </w:pPr>
    </w:p>
    <w:p w:rsidR="00B860C2" w:rsidRDefault="00B860C2" w:rsidP="00B860C2">
      <w:pPr>
        <w:rPr>
          <w:rFonts w:cs="Arial"/>
          <w:szCs w:val="24"/>
        </w:rPr>
      </w:pPr>
    </w:p>
    <w:p w:rsidR="00B860C2" w:rsidRDefault="00B860C2" w:rsidP="00B860C2">
      <w:pPr>
        <w:rPr>
          <w:rFonts w:cs="Arial"/>
          <w:szCs w:val="24"/>
        </w:rPr>
      </w:pPr>
    </w:p>
    <w:p w:rsidR="00B860C2" w:rsidRPr="008B4137" w:rsidRDefault="00B860C2" w:rsidP="00B860C2">
      <w:pPr>
        <w:rPr>
          <w:rFonts w:cs="Arial"/>
          <w:b/>
          <w:sz w:val="28"/>
          <w:szCs w:val="28"/>
        </w:rPr>
      </w:pPr>
      <w:r w:rsidRPr="008B4137">
        <w:rPr>
          <w:rFonts w:cs="Arial"/>
          <w:b/>
          <w:sz w:val="28"/>
          <w:szCs w:val="28"/>
        </w:rPr>
        <w:t xml:space="preserve">della Commissione </w:t>
      </w:r>
      <w:r w:rsidRPr="004A0E75">
        <w:rPr>
          <w:rFonts w:cs="Arial"/>
          <w:b/>
          <w:sz w:val="28"/>
          <w:szCs w:val="28"/>
        </w:rPr>
        <w:t>gestione e finanze</w:t>
      </w:r>
    </w:p>
    <w:p w:rsidR="004A0E75" w:rsidRPr="004A0E75" w:rsidRDefault="00B860C2" w:rsidP="004A0E75">
      <w:pPr>
        <w:rPr>
          <w:rFonts w:cs="Arial"/>
          <w:color w:val="000000"/>
          <w:sz w:val="22"/>
        </w:rPr>
      </w:pPr>
      <w:r w:rsidRPr="000D6BD0">
        <w:rPr>
          <w:rFonts w:cs="Arial"/>
          <w:b/>
          <w:sz w:val="28"/>
          <w:szCs w:val="28"/>
        </w:rPr>
        <w:t>sul</w:t>
      </w:r>
      <w:r>
        <w:rPr>
          <w:rFonts w:cs="Arial"/>
          <w:b/>
          <w:sz w:val="28"/>
          <w:szCs w:val="28"/>
        </w:rPr>
        <w:t xml:space="preserve"> messaggio</w:t>
      </w:r>
      <w:r w:rsidRPr="004A0E75">
        <w:rPr>
          <w:rFonts w:cs="Arial"/>
          <w:b/>
          <w:sz w:val="28"/>
          <w:szCs w:val="28"/>
        </w:rPr>
        <w:t xml:space="preserve"> </w:t>
      </w:r>
      <w:r w:rsidR="004A0E75" w:rsidRPr="004A0E75">
        <w:rPr>
          <w:rFonts w:cs="Arial"/>
          <w:b/>
          <w:sz w:val="28"/>
          <w:szCs w:val="28"/>
        </w:rPr>
        <w:t>24 febbraio 2021</w:t>
      </w:r>
      <w:r w:rsidR="004A0E75">
        <w:rPr>
          <w:rFonts w:cs="Arial"/>
          <w:b/>
          <w:sz w:val="28"/>
          <w:szCs w:val="28"/>
        </w:rPr>
        <w:t xml:space="preserve"> concernente </w:t>
      </w:r>
      <w:r w:rsidR="004A0E75">
        <w:rPr>
          <w:rFonts w:cs="Arial"/>
          <w:b/>
          <w:color w:val="000000"/>
          <w:sz w:val="28"/>
          <w:szCs w:val="28"/>
        </w:rPr>
        <w:t>la r</w:t>
      </w:r>
      <w:r w:rsidR="004A0E75" w:rsidRPr="004A0E75">
        <w:rPr>
          <w:rFonts w:cs="Arial"/>
          <w:b/>
          <w:color w:val="000000"/>
          <w:sz w:val="28"/>
          <w:szCs w:val="28"/>
        </w:rPr>
        <w:t>ichiesta di un credito netto di franchi 43’420'</w:t>
      </w:r>
      <w:proofErr w:type="gramStart"/>
      <w:r w:rsidR="004A0E75" w:rsidRPr="004A0E75">
        <w:rPr>
          <w:rFonts w:cs="Arial"/>
          <w:b/>
          <w:color w:val="000000"/>
          <w:sz w:val="28"/>
          <w:szCs w:val="28"/>
        </w:rPr>
        <w:t>000.-</w:t>
      </w:r>
      <w:proofErr w:type="gramEnd"/>
      <w:r w:rsidR="004A0E75" w:rsidRPr="004A0E75">
        <w:rPr>
          <w:rFonts w:cs="Arial"/>
          <w:b/>
          <w:color w:val="000000"/>
          <w:sz w:val="28"/>
          <w:szCs w:val="28"/>
        </w:rPr>
        <w:t xml:space="preserve"> e di un’autorizzazione alla spesa di franchi 46'420'000.- per la ristrutturazione e ampliamento del Pretorio di Bellinzona</w:t>
      </w:r>
    </w:p>
    <w:p w:rsidR="00B860C2" w:rsidRDefault="00B860C2" w:rsidP="00B860C2">
      <w:pPr>
        <w:rPr>
          <w:rFonts w:cs="Arial"/>
          <w:szCs w:val="24"/>
        </w:rPr>
      </w:pPr>
    </w:p>
    <w:p w:rsidR="00B860C2" w:rsidRDefault="00B860C2" w:rsidP="00B860C2">
      <w:pPr>
        <w:rPr>
          <w:rFonts w:cs="Arial"/>
          <w:szCs w:val="24"/>
        </w:rPr>
      </w:pPr>
    </w:p>
    <w:p w:rsidR="00B860C2" w:rsidRDefault="00B860C2" w:rsidP="00B860C2">
      <w:pPr>
        <w:rPr>
          <w:rFonts w:cs="Arial"/>
          <w:szCs w:val="24"/>
        </w:rPr>
      </w:pPr>
    </w:p>
    <w:p w:rsidR="004A0E75" w:rsidRPr="00910FE9" w:rsidRDefault="00010F17" w:rsidP="00010F17">
      <w:pPr>
        <w:pStyle w:val="Titolo1"/>
      </w:pPr>
      <w:r>
        <w:t>1.</w:t>
      </w:r>
      <w:r>
        <w:tab/>
      </w:r>
      <w:r w:rsidR="004A0E75" w:rsidRPr="00910FE9">
        <w:t xml:space="preserve">Premessa </w:t>
      </w:r>
    </w:p>
    <w:p w:rsidR="004A0E75" w:rsidRPr="004A0E75" w:rsidRDefault="004A0E75" w:rsidP="009F6ABA">
      <w:pPr>
        <w:spacing w:after="240"/>
        <w:rPr>
          <w:rFonts w:eastAsia="Times New Roman" w:cs="Arial"/>
          <w:color w:val="000000"/>
          <w:szCs w:val="24"/>
          <w:lang w:val="it-IT" w:eastAsia="it-IT"/>
        </w:rPr>
      </w:pPr>
      <w:r w:rsidRPr="004A0E75">
        <w:rPr>
          <w:rFonts w:eastAsia="Times New Roman" w:cs="Arial"/>
          <w:color w:val="000000"/>
          <w:szCs w:val="24"/>
          <w:lang w:val="it-IT" w:eastAsia="it-IT"/>
        </w:rPr>
        <w:t>È bene ricordare che la decisione dell’assemblea federale del 13 giugno 2002, grazie alla quale venne decisa l’ubicazione a Bellinzona del Tribunale penale federale (TPF), fu il frutto di una stretta e proficua collaborazione tra Deputazione ticinese alle Camere federali, Consiglio di Stato e Gran Consiglio ticinese, Canton Grigioni e altri Cantoni e Comune di Bellinzona.</w:t>
      </w:r>
    </w:p>
    <w:p w:rsidR="004A0E75" w:rsidRPr="004A0E75" w:rsidRDefault="004A0E75" w:rsidP="009F6ABA">
      <w:pPr>
        <w:spacing w:after="240"/>
        <w:rPr>
          <w:rFonts w:eastAsia="Times New Roman" w:cs="Arial"/>
          <w:color w:val="000000"/>
          <w:szCs w:val="24"/>
          <w:lang w:val="it-IT" w:eastAsia="it-IT"/>
        </w:rPr>
      </w:pPr>
      <w:r w:rsidRPr="004A0E75">
        <w:rPr>
          <w:rFonts w:eastAsia="Times New Roman" w:cs="Arial"/>
          <w:color w:val="000000"/>
          <w:szCs w:val="24"/>
          <w:lang w:val="it-IT" w:eastAsia="it-IT"/>
        </w:rPr>
        <w:t>L’entrata in funzione del TPF risale al 1° aprile 2004 in una sede provvisoria a Bellinzona con l’inaugurazione della stessa il 16 settembre 2004. La definitiva e attuale sede presso l’ex Scuola cantonale di commercio venne inaugurata il 25 ottobre 2013. Uno stabile completamente ristrutturato e ampliato che conferisce dignità e autorevolezza alla Giustizia e che valorizza la Svizzera italiana e la Città di Bellinzona, con un forte valore simbolico a sottolineare il sistema federale, la coesione e l’unità della nostra Nazione.</w:t>
      </w:r>
    </w:p>
    <w:p w:rsidR="004A0E75" w:rsidRPr="004A0E75" w:rsidRDefault="004A0E75" w:rsidP="009F6ABA">
      <w:pPr>
        <w:rPr>
          <w:rFonts w:eastAsia="Times New Roman" w:cs="Arial"/>
          <w:color w:val="000000"/>
          <w:szCs w:val="24"/>
          <w:lang w:val="it-IT" w:eastAsia="it-IT"/>
        </w:rPr>
      </w:pPr>
      <w:r w:rsidRPr="004A0E75">
        <w:rPr>
          <w:rFonts w:eastAsia="Times New Roman" w:cs="Arial"/>
          <w:color w:val="000000"/>
          <w:szCs w:val="24"/>
          <w:lang w:val="it-IT" w:eastAsia="it-IT"/>
        </w:rPr>
        <w:t>Da quella storica decisione sono successe molte cose e il CdS ha presentato diversi messaggi successivi.</w:t>
      </w:r>
    </w:p>
    <w:p w:rsidR="004A0E75" w:rsidRPr="004A0E75" w:rsidRDefault="004A0E75" w:rsidP="004A0E75">
      <w:pPr>
        <w:spacing w:after="120"/>
        <w:rPr>
          <w:rFonts w:eastAsia="Times New Roman" w:cs="Arial"/>
          <w:color w:val="000000"/>
          <w:szCs w:val="24"/>
          <w:lang w:val="it-IT" w:eastAsia="it-IT"/>
        </w:rPr>
      </w:pPr>
    </w:p>
    <w:tbl>
      <w:tblPr>
        <w:tblStyle w:val="Grigliatabella1"/>
        <w:tblW w:w="9927" w:type="dxa"/>
        <w:tblLook w:val="04A0" w:firstRow="1" w:lastRow="0" w:firstColumn="1" w:lastColumn="0" w:noHBand="0" w:noVBand="1"/>
      </w:tblPr>
      <w:tblGrid>
        <w:gridCol w:w="2122"/>
        <w:gridCol w:w="1134"/>
        <w:gridCol w:w="4970"/>
        <w:gridCol w:w="1701"/>
      </w:tblGrid>
      <w:tr w:rsidR="004A0E75" w:rsidRPr="004A0E75" w:rsidTr="00E5507C">
        <w:tc>
          <w:tcPr>
            <w:tcW w:w="2122" w:type="dxa"/>
          </w:tcPr>
          <w:p w:rsidR="004A0E75" w:rsidRPr="004A0E75" w:rsidRDefault="004A0E75" w:rsidP="004A0E75">
            <w:pPr>
              <w:spacing w:after="120"/>
              <w:rPr>
                <w:rFonts w:cs="Arial"/>
                <w:b/>
                <w:color w:val="000000"/>
                <w:sz w:val="22"/>
                <w:lang w:val="it-IT" w:eastAsia="it-IT"/>
              </w:rPr>
            </w:pPr>
            <w:r w:rsidRPr="004A0E75">
              <w:rPr>
                <w:rFonts w:cs="Arial"/>
                <w:b/>
                <w:color w:val="000000"/>
                <w:sz w:val="22"/>
                <w:lang w:val="it-IT" w:eastAsia="it-IT"/>
              </w:rPr>
              <w:t xml:space="preserve">Data </w:t>
            </w:r>
          </w:p>
        </w:tc>
        <w:tc>
          <w:tcPr>
            <w:tcW w:w="1134" w:type="dxa"/>
          </w:tcPr>
          <w:p w:rsidR="004A0E75" w:rsidRPr="004A0E75" w:rsidRDefault="004A0E75" w:rsidP="000A4B9D">
            <w:pPr>
              <w:spacing w:after="120"/>
              <w:rPr>
                <w:rFonts w:cs="Arial"/>
                <w:b/>
                <w:color w:val="000000"/>
                <w:sz w:val="22"/>
                <w:lang w:val="it-IT" w:eastAsia="it-IT"/>
              </w:rPr>
            </w:pPr>
            <w:r w:rsidRPr="004A0E75">
              <w:rPr>
                <w:rFonts w:cs="Arial"/>
                <w:b/>
                <w:color w:val="000000"/>
                <w:sz w:val="22"/>
                <w:lang w:val="it-IT" w:eastAsia="it-IT"/>
              </w:rPr>
              <w:t xml:space="preserve">N. </w:t>
            </w:r>
            <w:proofErr w:type="spellStart"/>
            <w:r w:rsidRPr="004A0E75">
              <w:rPr>
                <w:rFonts w:cs="Arial"/>
                <w:b/>
                <w:color w:val="000000"/>
                <w:sz w:val="22"/>
                <w:lang w:val="it-IT" w:eastAsia="it-IT"/>
              </w:rPr>
              <w:t>M</w:t>
            </w:r>
            <w:r w:rsidR="000A4B9D">
              <w:rPr>
                <w:rFonts w:cs="Arial"/>
                <w:b/>
                <w:color w:val="000000"/>
                <w:sz w:val="22"/>
                <w:lang w:val="it-IT" w:eastAsia="it-IT"/>
              </w:rPr>
              <w:t>ess</w:t>
            </w:r>
            <w:proofErr w:type="spellEnd"/>
            <w:r w:rsidRPr="004A0E75">
              <w:rPr>
                <w:rFonts w:cs="Arial"/>
                <w:b/>
                <w:color w:val="000000"/>
                <w:sz w:val="22"/>
                <w:lang w:val="it-IT" w:eastAsia="it-IT"/>
              </w:rPr>
              <w:t>.</w:t>
            </w:r>
          </w:p>
        </w:tc>
        <w:tc>
          <w:tcPr>
            <w:tcW w:w="4970" w:type="dxa"/>
          </w:tcPr>
          <w:p w:rsidR="004A0E75" w:rsidRPr="004A0E75" w:rsidRDefault="004A0E75" w:rsidP="004A0E75">
            <w:pPr>
              <w:spacing w:after="120"/>
              <w:rPr>
                <w:rFonts w:cs="Arial"/>
                <w:b/>
                <w:color w:val="000000"/>
                <w:sz w:val="22"/>
                <w:lang w:val="it-IT" w:eastAsia="it-IT"/>
              </w:rPr>
            </w:pPr>
            <w:r w:rsidRPr="004A0E75">
              <w:rPr>
                <w:rFonts w:cs="Arial"/>
                <w:b/>
                <w:color w:val="000000"/>
                <w:sz w:val="22"/>
                <w:lang w:val="it-IT" w:eastAsia="it-IT"/>
              </w:rPr>
              <w:t>Titolo</w:t>
            </w:r>
          </w:p>
        </w:tc>
        <w:tc>
          <w:tcPr>
            <w:tcW w:w="1701" w:type="dxa"/>
          </w:tcPr>
          <w:p w:rsidR="004A0E75" w:rsidRPr="004A0E75" w:rsidRDefault="004A0E75" w:rsidP="004A0E75">
            <w:pPr>
              <w:spacing w:after="120"/>
              <w:rPr>
                <w:rFonts w:cs="Arial"/>
                <w:b/>
                <w:color w:val="000000"/>
                <w:sz w:val="22"/>
                <w:lang w:val="it-IT" w:eastAsia="it-IT"/>
              </w:rPr>
            </w:pPr>
            <w:r w:rsidRPr="004A0E75">
              <w:rPr>
                <w:rFonts w:cs="Arial"/>
                <w:b/>
                <w:color w:val="000000"/>
                <w:sz w:val="22"/>
                <w:lang w:val="it-IT" w:eastAsia="it-IT"/>
              </w:rPr>
              <w:t>Importo</w:t>
            </w:r>
          </w:p>
        </w:tc>
      </w:tr>
      <w:tr w:rsidR="004A0E75" w:rsidRPr="004A0E75" w:rsidTr="00E5507C">
        <w:tc>
          <w:tcPr>
            <w:tcW w:w="2122" w:type="dxa"/>
          </w:tcPr>
          <w:p w:rsidR="004A0E75" w:rsidRPr="004A0E75" w:rsidRDefault="004A0E75" w:rsidP="009A3F2B">
            <w:pPr>
              <w:spacing w:before="60" w:after="120"/>
              <w:rPr>
                <w:rFonts w:cs="Arial"/>
                <w:color w:val="000000"/>
                <w:sz w:val="22"/>
                <w:lang w:val="it-IT" w:eastAsia="it-IT"/>
              </w:rPr>
            </w:pPr>
            <w:r w:rsidRPr="004A0E75">
              <w:rPr>
                <w:rFonts w:cs="Arial"/>
                <w:color w:val="000000"/>
                <w:sz w:val="22"/>
                <w:lang w:val="it-IT" w:eastAsia="it-IT"/>
              </w:rPr>
              <w:t>13 marzo 2007</w:t>
            </w:r>
          </w:p>
        </w:tc>
        <w:tc>
          <w:tcPr>
            <w:tcW w:w="1134" w:type="dxa"/>
          </w:tcPr>
          <w:p w:rsidR="004A0E75" w:rsidRPr="004A0E75" w:rsidRDefault="004A0E75" w:rsidP="009A3F2B">
            <w:pPr>
              <w:spacing w:before="60" w:after="120"/>
              <w:rPr>
                <w:rFonts w:cs="Arial"/>
                <w:color w:val="000000"/>
                <w:sz w:val="22"/>
                <w:lang w:val="it-IT" w:eastAsia="it-IT"/>
              </w:rPr>
            </w:pPr>
            <w:r w:rsidRPr="004A0E75">
              <w:rPr>
                <w:rFonts w:cs="Arial"/>
                <w:color w:val="000000"/>
                <w:sz w:val="22"/>
                <w:lang w:val="it-IT" w:eastAsia="it-IT"/>
              </w:rPr>
              <w:t>5904</w:t>
            </w:r>
          </w:p>
        </w:tc>
        <w:tc>
          <w:tcPr>
            <w:tcW w:w="4970" w:type="dxa"/>
          </w:tcPr>
          <w:p w:rsidR="004A0E75" w:rsidRPr="004A0E75" w:rsidRDefault="004A0E75" w:rsidP="009A3F2B">
            <w:pPr>
              <w:spacing w:before="60" w:after="120"/>
              <w:rPr>
                <w:rFonts w:cs="Arial"/>
                <w:color w:val="000000"/>
                <w:sz w:val="22"/>
                <w:lang w:val="it-IT" w:eastAsia="it-IT"/>
              </w:rPr>
            </w:pPr>
            <w:r w:rsidRPr="004A0E75">
              <w:rPr>
                <w:rFonts w:cs="Arial"/>
                <w:color w:val="000000"/>
                <w:sz w:val="22"/>
                <w:lang w:val="it-IT" w:eastAsia="it-IT"/>
              </w:rPr>
              <w:t>Richiesta di concessione di un credito di fr. 3.58 mio quale contributo per la realizzazione della sede definitiva del Tribunale penale federale e l’autorizzazione per la cessione gratuita alla Confederazione di parte della particella nr. 975 RDF (ex Scuola di commercio di Bellinzona)</w:t>
            </w:r>
          </w:p>
        </w:tc>
        <w:tc>
          <w:tcPr>
            <w:tcW w:w="1701" w:type="dxa"/>
          </w:tcPr>
          <w:p w:rsidR="004A0E75" w:rsidRPr="004A0E75" w:rsidRDefault="004A0E75" w:rsidP="009A3F2B">
            <w:pPr>
              <w:spacing w:before="60" w:after="120"/>
              <w:rPr>
                <w:rFonts w:cs="Arial"/>
                <w:color w:val="000000"/>
                <w:sz w:val="22"/>
                <w:lang w:val="it-IT" w:eastAsia="it-IT"/>
              </w:rPr>
            </w:pPr>
            <w:r w:rsidRPr="004A0E75">
              <w:rPr>
                <w:rFonts w:cs="Arial"/>
                <w:color w:val="000000"/>
                <w:sz w:val="22"/>
                <w:lang w:val="it-IT" w:eastAsia="it-IT"/>
              </w:rPr>
              <w:t>3.58 mio</w:t>
            </w:r>
          </w:p>
        </w:tc>
      </w:tr>
      <w:tr w:rsidR="004A0E75" w:rsidRPr="004A0E75" w:rsidTr="00E5507C">
        <w:tc>
          <w:tcPr>
            <w:tcW w:w="2122" w:type="dxa"/>
          </w:tcPr>
          <w:p w:rsidR="004A0E75" w:rsidRPr="004A0E75" w:rsidRDefault="004A0E75" w:rsidP="009A3F2B">
            <w:pPr>
              <w:spacing w:before="60" w:after="120"/>
              <w:rPr>
                <w:rFonts w:cs="Arial"/>
                <w:color w:val="000000"/>
                <w:sz w:val="22"/>
                <w:lang w:val="it-IT" w:eastAsia="it-IT"/>
              </w:rPr>
            </w:pPr>
            <w:r w:rsidRPr="004A0E75">
              <w:rPr>
                <w:rFonts w:cs="Arial"/>
                <w:color w:val="000000"/>
                <w:sz w:val="22"/>
                <w:lang w:val="it-IT" w:eastAsia="it-IT"/>
              </w:rPr>
              <w:t>7 luglio 2009</w:t>
            </w:r>
          </w:p>
        </w:tc>
        <w:tc>
          <w:tcPr>
            <w:tcW w:w="1134" w:type="dxa"/>
          </w:tcPr>
          <w:p w:rsidR="004A0E75" w:rsidRPr="004A0E75" w:rsidRDefault="004A0E75" w:rsidP="009A3F2B">
            <w:pPr>
              <w:spacing w:before="60" w:after="120"/>
              <w:rPr>
                <w:rFonts w:cs="Arial"/>
                <w:color w:val="000000"/>
                <w:sz w:val="22"/>
                <w:lang w:val="it-IT" w:eastAsia="it-IT"/>
              </w:rPr>
            </w:pPr>
            <w:r w:rsidRPr="004A0E75">
              <w:rPr>
                <w:rFonts w:cs="Arial"/>
                <w:color w:val="000000"/>
                <w:sz w:val="22"/>
                <w:lang w:val="it-IT" w:eastAsia="it-IT"/>
              </w:rPr>
              <w:t>6247</w:t>
            </w:r>
          </w:p>
        </w:tc>
        <w:tc>
          <w:tcPr>
            <w:tcW w:w="4970" w:type="dxa"/>
          </w:tcPr>
          <w:p w:rsidR="004A0E75" w:rsidRPr="004A0E75" w:rsidRDefault="004A0E75" w:rsidP="009A3F2B">
            <w:pPr>
              <w:spacing w:before="60" w:after="120"/>
              <w:rPr>
                <w:rFonts w:cs="Arial"/>
                <w:color w:val="000000"/>
                <w:sz w:val="22"/>
                <w:lang w:val="it-IT" w:eastAsia="it-IT"/>
              </w:rPr>
            </w:pPr>
            <w:r w:rsidRPr="004A0E75">
              <w:rPr>
                <w:rFonts w:cs="Arial"/>
                <w:color w:val="000000"/>
                <w:sz w:val="22"/>
                <w:lang w:val="it-IT" w:eastAsia="it-IT"/>
              </w:rPr>
              <w:t>Richiesta di un credito di fr. 7.72 mio quale contributo aggiuntivo per la realizzazione della sede definitiva del Tribunale penale federale</w:t>
            </w:r>
          </w:p>
        </w:tc>
        <w:tc>
          <w:tcPr>
            <w:tcW w:w="1701" w:type="dxa"/>
          </w:tcPr>
          <w:p w:rsidR="004A0E75" w:rsidRPr="004A0E75" w:rsidRDefault="004A0E75" w:rsidP="009A3F2B">
            <w:pPr>
              <w:spacing w:before="60" w:after="120"/>
              <w:rPr>
                <w:rFonts w:cs="Arial"/>
                <w:color w:val="000000"/>
                <w:sz w:val="22"/>
                <w:lang w:val="it-IT" w:eastAsia="it-IT"/>
              </w:rPr>
            </w:pPr>
            <w:r w:rsidRPr="004A0E75">
              <w:rPr>
                <w:rFonts w:cs="Arial"/>
                <w:color w:val="000000"/>
                <w:sz w:val="22"/>
                <w:lang w:val="it-IT" w:eastAsia="it-IT"/>
              </w:rPr>
              <w:t>7.72 mio</w:t>
            </w:r>
          </w:p>
        </w:tc>
      </w:tr>
      <w:tr w:rsidR="004A0E75" w:rsidRPr="004A0E75" w:rsidTr="00E5507C">
        <w:tc>
          <w:tcPr>
            <w:tcW w:w="2122" w:type="dxa"/>
          </w:tcPr>
          <w:p w:rsidR="004A0E75" w:rsidRPr="004A0E75" w:rsidRDefault="004A0E75" w:rsidP="009A3F2B">
            <w:pPr>
              <w:spacing w:before="60" w:after="120"/>
              <w:rPr>
                <w:rFonts w:cs="Arial"/>
                <w:color w:val="000000"/>
                <w:sz w:val="22"/>
                <w:lang w:val="it-IT" w:eastAsia="it-IT"/>
              </w:rPr>
            </w:pPr>
            <w:r w:rsidRPr="004A0E75">
              <w:rPr>
                <w:rFonts w:cs="Arial"/>
                <w:color w:val="000000"/>
                <w:sz w:val="22"/>
                <w:lang w:val="it-IT" w:eastAsia="it-IT"/>
              </w:rPr>
              <w:t>7 luglio 2009</w:t>
            </w:r>
          </w:p>
        </w:tc>
        <w:tc>
          <w:tcPr>
            <w:tcW w:w="1134" w:type="dxa"/>
          </w:tcPr>
          <w:p w:rsidR="004A0E75" w:rsidRPr="004A0E75" w:rsidRDefault="004A0E75" w:rsidP="009A3F2B">
            <w:pPr>
              <w:spacing w:before="60" w:after="120"/>
              <w:rPr>
                <w:rFonts w:cs="Arial"/>
                <w:color w:val="000000"/>
                <w:sz w:val="22"/>
                <w:lang w:val="it-IT" w:eastAsia="it-IT"/>
              </w:rPr>
            </w:pPr>
            <w:r w:rsidRPr="004A0E75">
              <w:rPr>
                <w:rFonts w:cs="Arial"/>
                <w:color w:val="000000"/>
                <w:sz w:val="22"/>
                <w:lang w:val="it-IT" w:eastAsia="it-IT"/>
              </w:rPr>
              <w:t>6248</w:t>
            </w:r>
          </w:p>
        </w:tc>
        <w:tc>
          <w:tcPr>
            <w:tcW w:w="4970" w:type="dxa"/>
          </w:tcPr>
          <w:p w:rsidR="004A0E75" w:rsidRPr="004A0E75" w:rsidRDefault="004A0E75" w:rsidP="009A3F2B">
            <w:pPr>
              <w:spacing w:before="60" w:after="120"/>
              <w:rPr>
                <w:rFonts w:cs="Arial"/>
                <w:color w:val="000000"/>
                <w:sz w:val="22"/>
                <w:lang w:val="it-IT" w:eastAsia="it-IT"/>
              </w:rPr>
            </w:pPr>
            <w:r w:rsidRPr="004A0E75">
              <w:rPr>
                <w:rFonts w:cs="Arial"/>
                <w:color w:val="000000"/>
                <w:sz w:val="22"/>
                <w:lang w:val="it-IT" w:eastAsia="it-IT"/>
              </w:rPr>
              <w:t>Richiesta di un credito di fr. 2.90 milioni per la progettazione della ristrutturazione del Pretorio di Bellinzona</w:t>
            </w:r>
          </w:p>
        </w:tc>
        <w:tc>
          <w:tcPr>
            <w:tcW w:w="1701" w:type="dxa"/>
          </w:tcPr>
          <w:p w:rsidR="004A0E75" w:rsidRPr="004A0E75" w:rsidRDefault="004A0E75" w:rsidP="009A3F2B">
            <w:pPr>
              <w:spacing w:before="60" w:after="120"/>
              <w:rPr>
                <w:rFonts w:cs="Arial"/>
                <w:color w:val="000000"/>
                <w:sz w:val="22"/>
                <w:lang w:val="it-IT" w:eastAsia="it-IT"/>
              </w:rPr>
            </w:pPr>
            <w:r w:rsidRPr="004A0E75">
              <w:rPr>
                <w:rFonts w:cs="Arial"/>
                <w:color w:val="000000"/>
                <w:sz w:val="22"/>
                <w:lang w:val="it-IT" w:eastAsia="it-IT"/>
              </w:rPr>
              <w:t>2.90 mio</w:t>
            </w:r>
          </w:p>
        </w:tc>
      </w:tr>
    </w:tbl>
    <w:p w:rsidR="00E5507C" w:rsidRDefault="00E5507C"/>
    <w:p w:rsidR="009A3F2B" w:rsidRDefault="009A3F2B"/>
    <w:tbl>
      <w:tblPr>
        <w:tblStyle w:val="Grigliatabella1"/>
        <w:tblW w:w="9927" w:type="dxa"/>
        <w:tblLook w:val="04A0" w:firstRow="1" w:lastRow="0" w:firstColumn="1" w:lastColumn="0" w:noHBand="0" w:noVBand="1"/>
      </w:tblPr>
      <w:tblGrid>
        <w:gridCol w:w="2117"/>
        <w:gridCol w:w="1133"/>
        <w:gridCol w:w="4954"/>
        <w:gridCol w:w="1723"/>
      </w:tblGrid>
      <w:tr w:rsidR="004A0E75" w:rsidRPr="004A0E75" w:rsidTr="00E5507C">
        <w:tc>
          <w:tcPr>
            <w:tcW w:w="2122" w:type="dxa"/>
          </w:tcPr>
          <w:p w:rsidR="004A0E75" w:rsidRPr="004A0E75" w:rsidRDefault="004A0E75" w:rsidP="009A3F2B">
            <w:pPr>
              <w:spacing w:before="60" w:after="120"/>
              <w:rPr>
                <w:rFonts w:cs="Arial"/>
                <w:color w:val="000000"/>
                <w:sz w:val="22"/>
                <w:lang w:val="it-IT" w:eastAsia="it-IT"/>
              </w:rPr>
            </w:pPr>
            <w:r w:rsidRPr="004A0E75">
              <w:rPr>
                <w:rFonts w:cs="Arial"/>
                <w:color w:val="000000"/>
                <w:sz w:val="22"/>
                <w:lang w:val="it-IT" w:eastAsia="it-IT"/>
              </w:rPr>
              <w:lastRenderedPageBreak/>
              <w:t>12 marzo 2013</w:t>
            </w:r>
          </w:p>
        </w:tc>
        <w:tc>
          <w:tcPr>
            <w:tcW w:w="1134" w:type="dxa"/>
          </w:tcPr>
          <w:p w:rsidR="004A0E75" w:rsidRPr="004A0E75" w:rsidRDefault="004A0E75" w:rsidP="009A3F2B">
            <w:pPr>
              <w:spacing w:before="60" w:after="120"/>
              <w:rPr>
                <w:rFonts w:cs="Arial"/>
                <w:color w:val="000000"/>
                <w:sz w:val="22"/>
                <w:lang w:val="it-IT" w:eastAsia="it-IT"/>
              </w:rPr>
            </w:pPr>
            <w:r w:rsidRPr="004A0E75">
              <w:rPr>
                <w:rFonts w:cs="Arial"/>
                <w:color w:val="000000"/>
                <w:sz w:val="22"/>
                <w:lang w:val="it-IT" w:eastAsia="it-IT"/>
              </w:rPr>
              <w:t>6763</w:t>
            </w:r>
          </w:p>
        </w:tc>
        <w:tc>
          <w:tcPr>
            <w:tcW w:w="4970" w:type="dxa"/>
          </w:tcPr>
          <w:p w:rsidR="004A0E75" w:rsidRPr="004A0E75" w:rsidRDefault="004A0E75" w:rsidP="009A3F2B">
            <w:pPr>
              <w:spacing w:before="60" w:after="120"/>
              <w:rPr>
                <w:rFonts w:cs="Arial"/>
                <w:color w:val="000000"/>
                <w:sz w:val="22"/>
                <w:lang w:val="it-IT" w:eastAsia="it-IT"/>
              </w:rPr>
            </w:pPr>
            <w:r w:rsidRPr="004A0E75">
              <w:rPr>
                <w:rFonts w:cs="Arial"/>
                <w:color w:val="000000"/>
                <w:sz w:val="22"/>
                <w:lang w:val="it-IT" w:eastAsia="it-IT"/>
              </w:rPr>
              <w:t xml:space="preserve">Adeguamento del credito di progettazione per la ristrutturazione del Pretorio di Bellinzona a </w:t>
            </w:r>
            <w:r w:rsidR="009A3F2B">
              <w:rPr>
                <w:rFonts w:cs="Arial"/>
                <w:color w:val="000000"/>
                <w:sz w:val="22"/>
                <w:lang w:val="it-IT" w:eastAsia="it-IT"/>
              </w:rPr>
              <w:br/>
            </w:r>
            <w:r w:rsidRPr="004A0E75">
              <w:rPr>
                <w:rFonts w:cs="Arial"/>
                <w:color w:val="000000"/>
                <w:sz w:val="22"/>
                <w:lang w:val="it-IT" w:eastAsia="it-IT"/>
              </w:rPr>
              <w:t>fr. 3.83 mio; del relativo tetto massimo di spesa a fr. 40.4 mio; della modifica dei contenuti previsti per lo stabile e di un credito di fr. 2.68 mio per le sedi provvisorie</w:t>
            </w:r>
          </w:p>
        </w:tc>
        <w:tc>
          <w:tcPr>
            <w:tcW w:w="1701" w:type="dxa"/>
          </w:tcPr>
          <w:p w:rsidR="004A0E75" w:rsidRPr="004A0E75" w:rsidRDefault="004A0E75" w:rsidP="009A3F2B">
            <w:pPr>
              <w:spacing w:before="60" w:after="120"/>
              <w:rPr>
                <w:rFonts w:cs="Arial"/>
                <w:color w:val="000000"/>
                <w:sz w:val="22"/>
                <w:lang w:val="it-IT" w:eastAsia="it-IT"/>
              </w:rPr>
            </w:pPr>
            <w:r w:rsidRPr="004A0E75">
              <w:rPr>
                <w:rFonts w:cs="Arial"/>
                <w:color w:val="000000"/>
                <w:sz w:val="22"/>
                <w:lang w:val="it-IT" w:eastAsia="it-IT"/>
              </w:rPr>
              <w:t>3.83 mio</w:t>
            </w:r>
          </w:p>
          <w:p w:rsidR="004A0E75" w:rsidRPr="004A0E75" w:rsidRDefault="004A0E75" w:rsidP="004A0E75">
            <w:pPr>
              <w:spacing w:after="120"/>
              <w:rPr>
                <w:rFonts w:cs="Arial"/>
                <w:color w:val="000000"/>
                <w:sz w:val="22"/>
                <w:lang w:val="it-IT" w:eastAsia="it-IT"/>
              </w:rPr>
            </w:pPr>
            <w:r w:rsidRPr="004A0E75">
              <w:rPr>
                <w:rFonts w:cs="Arial"/>
                <w:color w:val="000000"/>
                <w:sz w:val="22"/>
                <w:lang w:val="it-IT" w:eastAsia="it-IT"/>
              </w:rPr>
              <w:t>40.4 mio</w:t>
            </w:r>
          </w:p>
          <w:p w:rsidR="004A0E75" w:rsidRPr="004A0E75" w:rsidRDefault="004A0E75" w:rsidP="004A0E75">
            <w:pPr>
              <w:spacing w:after="120"/>
              <w:rPr>
                <w:rFonts w:cs="Arial"/>
                <w:color w:val="000000"/>
                <w:sz w:val="22"/>
                <w:lang w:val="it-IT" w:eastAsia="it-IT"/>
              </w:rPr>
            </w:pPr>
            <w:r w:rsidRPr="004A0E75">
              <w:rPr>
                <w:rFonts w:cs="Arial"/>
                <w:color w:val="000000"/>
                <w:sz w:val="22"/>
                <w:lang w:val="it-IT" w:eastAsia="it-IT"/>
              </w:rPr>
              <w:t>2.68 mio</w:t>
            </w:r>
          </w:p>
        </w:tc>
      </w:tr>
      <w:tr w:rsidR="004A0E75" w:rsidRPr="004A0E75" w:rsidTr="00E5507C">
        <w:tc>
          <w:tcPr>
            <w:tcW w:w="2122" w:type="dxa"/>
          </w:tcPr>
          <w:p w:rsidR="004A0E75" w:rsidRPr="004A0E75" w:rsidRDefault="004A0E75" w:rsidP="009A3F2B">
            <w:pPr>
              <w:spacing w:before="60" w:after="120"/>
              <w:rPr>
                <w:rFonts w:cs="Arial"/>
                <w:color w:val="000000"/>
                <w:sz w:val="22"/>
                <w:lang w:val="it-IT" w:eastAsia="it-IT"/>
              </w:rPr>
            </w:pPr>
            <w:r w:rsidRPr="004A0E75">
              <w:rPr>
                <w:rFonts w:cs="Arial"/>
                <w:color w:val="000000"/>
                <w:sz w:val="22"/>
                <w:lang w:val="it-IT" w:eastAsia="it-IT"/>
              </w:rPr>
              <w:t>12 dicembre 2012</w:t>
            </w:r>
          </w:p>
        </w:tc>
        <w:tc>
          <w:tcPr>
            <w:tcW w:w="1134" w:type="dxa"/>
          </w:tcPr>
          <w:p w:rsidR="004A0E75" w:rsidRPr="004A0E75" w:rsidRDefault="004A0E75" w:rsidP="009A3F2B">
            <w:pPr>
              <w:spacing w:before="60" w:after="120"/>
              <w:rPr>
                <w:rFonts w:cs="Arial"/>
                <w:color w:val="000000"/>
                <w:sz w:val="22"/>
                <w:lang w:val="it-IT" w:eastAsia="it-IT"/>
              </w:rPr>
            </w:pPr>
            <w:r w:rsidRPr="004A0E75">
              <w:rPr>
                <w:rFonts w:cs="Arial"/>
                <w:color w:val="000000"/>
                <w:sz w:val="22"/>
                <w:lang w:val="it-IT" w:eastAsia="it-IT"/>
              </w:rPr>
              <w:t>6722</w:t>
            </w:r>
          </w:p>
        </w:tc>
        <w:tc>
          <w:tcPr>
            <w:tcW w:w="4970" w:type="dxa"/>
          </w:tcPr>
          <w:p w:rsidR="004A0E75" w:rsidRPr="004A0E75" w:rsidRDefault="004A0E75" w:rsidP="009A3F2B">
            <w:pPr>
              <w:spacing w:before="60" w:after="120"/>
              <w:rPr>
                <w:rFonts w:cs="Arial"/>
                <w:color w:val="000000"/>
                <w:sz w:val="22"/>
                <w:lang w:val="it-IT" w:eastAsia="it-IT"/>
              </w:rPr>
            </w:pPr>
            <w:r w:rsidRPr="004A0E75">
              <w:rPr>
                <w:rFonts w:cs="Arial"/>
                <w:color w:val="000000"/>
                <w:sz w:val="22"/>
                <w:lang w:val="it-IT" w:eastAsia="it-IT"/>
              </w:rPr>
              <w:t>Scorporo del Tribunale penale cantonale dal Tribunale di appello*</w:t>
            </w:r>
          </w:p>
        </w:tc>
        <w:tc>
          <w:tcPr>
            <w:tcW w:w="1701" w:type="dxa"/>
          </w:tcPr>
          <w:p w:rsidR="004A0E75" w:rsidRPr="004A0E75" w:rsidRDefault="004A0E75" w:rsidP="009A3F2B">
            <w:pPr>
              <w:spacing w:before="60" w:after="120"/>
              <w:ind w:right="467"/>
              <w:rPr>
                <w:rFonts w:cs="Arial"/>
                <w:color w:val="000000"/>
                <w:sz w:val="22"/>
                <w:lang w:val="it-IT" w:eastAsia="it-IT"/>
              </w:rPr>
            </w:pPr>
            <w:r w:rsidRPr="004A0E75">
              <w:rPr>
                <w:rFonts w:cs="Arial"/>
                <w:color w:val="000000"/>
                <w:sz w:val="22"/>
                <w:lang w:val="it-IT" w:eastAsia="it-IT"/>
              </w:rPr>
              <w:t>Spese di gestione corrente a Preventivo</w:t>
            </w:r>
          </w:p>
        </w:tc>
      </w:tr>
      <w:tr w:rsidR="004A0E75" w:rsidRPr="004A0E75" w:rsidTr="00E5507C">
        <w:tc>
          <w:tcPr>
            <w:tcW w:w="2122" w:type="dxa"/>
          </w:tcPr>
          <w:p w:rsidR="004A0E75" w:rsidRPr="004A0E75" w:rsidRDefault="004A0E75" w:rsidP="009A3F2B">
            <w:pPr>
              <w:spacing w:before="60" w:after="120"/>
              <w:rPr>
                <w:rFonts w:cs="Arial"/>
                <w:color w:val="000000"/>
                <w:sz w:val="22"/>
                <w:lang w:val="it-IT" w:eastAsia="it-IT"/>
              </w:rPr>
            </w:pPr>
            <w:r w:rsidRPr="004A0E75">
              <w:rPr>
                <w:rFonts w:cs="Arial"/>
                <w:color w:val="000000"/>
                <w:sz w:val="22"/>
                <w:lang w:val="it-IT" w:eastAsia="it-IT"/>
              </w:rPr>
              <w:t>11 febbraio 2014</w:t>
            </w:r>
          </w:p>
        </w:tc>
        <w:tc>
          <w:tcPr>
            <w:tcW w:w="1134" w:type="dxa"/>
          </w:tcPr>
          <w:p w:rsidR="004A0E75" w:rsidRPr="004A0E75" w:rsidRDefault="004A0E75" w:rsidP="009A3F2B">
            <w:pPr>
              <w:spacing w:before="60" w:after="120"/>
              <w:rPr>
                <w:rFonts w:cs="Arial"/>
                <w:color w:val="000000"/>
                <w:sz w:val="22"/>
                <w:lang w:val="it-IT" w:eastAsia="it-IT"/>
              </w:rPr>
            </w:pPr>
            <w:r w:rsidRPr="004A0E75">
              <w:rPr>
                <w:rFonts w:cs="Arial"/>
                <w:color w:val="000000"/>
                <w:sz w:val="22"/>
                <w:lang w:val="it-IT" w:eastAsia="it-IT"/>
              </w:rPr>
              <w:t>6722A</w:t>
            </w:r>
          </w:p>
        </w:tc>
        <w:tc>
          <w:tcPr>
            <w:tcW w:w="4970" w:type="dxa"/>
          </w:tcPr>
          <w:p w:rsidR="004A0E75" w:rsidRPr="004A0E75" w:rsidRDefault="004A0E75" w:rsidP="009A3F2B">
            <w:pPr>
              <w:spacing w:before="60" w:after="120"/>
              <w:rPr>
                <w:rFonts w:cs="Arial"/>
                <w:color w:val="000000"/>
                <w:sz w:val="22"/>
                <w:lang w:val="it-IT" w:eastAsia="it-IT"/>
              </w:rPr>
            </w:pPr>
            <w:r w:rsidRPr="004A0E75">
              <w:rPr>
                <w:rFonts w:cs="Arial"/>
                <w:color w:val="000000"/>
                <w:sz w:val="22"/>
                <w:lang w:val="it-IT" w:eastAsia="it-IT"/>
              </w:rPr>
              <w:t>Scorporo del Tribunale penale cantonale dal Tribunale di appello - Messaggio aggiuntivo per la fissazione dell’entrata in vigore dello scorporo</w:t>
            </w:r>
          </w:p>
        </w:tc>
        <w:tc>
          <w:tcPr>
            <w:tcW w:w="1701" w:type="dxa"/>
          </w:tcPr>
          <w:p w:rsidR="004A0E75" w:rsidRPr="004A0E75" w:rsidRDefault="004A0E75" w:rsidP="004A0E75">
            <w:pPr>
              <w:spacing w:after="120"/>
              <w:rPr>
                <w:rFonts w:cs="Arial"/>
                <w:color w:val="000000"/>
                <w:sz w:val="22"/>
                <w:lang w:val="it-IT" w:eastAsia="it-IT"/>
              </w:rPr>
            </w:pPr>
          </w:p>
        </w:tc>
      </w:tr>
    </w:tbl>
    <w:p w:rsidR="004A0E75" w:rsidRPr="004A0E75" w:rsidRDefault="004A0E75" w:rsidP="00E5507C">
      <w:pPr>
        <w:rPr>
          <w:rFonts w:eastAsia="Times New Roman" w:cs="Arial"/>
          <w:color w:val="000000"/>
          <w:szCs w:val="24"/>
          <w:lang w:val="it-IT" w:eastAsia="it-IT"/>
        </w:rPr>
      </w:pPr>
    </w:p>
    <w:p w:rsidR="004A0E75" w:rsidRPr="004A0E75" w:rsidRDefault="004A0E75" w:rsidP="00E5507C">
      <w:pPr>
        <w:rPr>
          <w:rFonts w:eastAsia="Times New Roman" w:cs="Arial"/>
          <w:sz w:val="22"/>
          <w:lang w:val="it-IT" w:eastAsia="it-IT"/>
        </w:rPr>
      </w:pPr>
      <w:r w:rsidRPr="004A0E75">
        <w:rPr>
          <w:rFonts w:eastAsia="Times New Roman" w:cs="Arial"/>
          <w:sz w:val="22"/>
          <w:lang w:val="it-IT" w:eastAsia="it-IT"/>
        </w:rPr>
        <w:t xml:space="preserve">*La </w:t>
      </w:r>
      <w:r w:rsidR="00E5507C">
        <w:rPr>
          <w:rFonts w:eastAsia="Times New Roman" w:cs="Arial"/>
          <w:sz w:val="22"/>
          <w:lang w:val="it-IT" w:eastAsia="it-IT"/>
        </w:rPr>
        <w:t>L</w:t>
      </w:r>
      <w:r w:rsidRPr="004A0E75">
        <w:rPr>
          <w:rFonts w:eastAsia="Times New Roman" w:cs="Arial"/>
          <w:sz w:val="22"/>
          <w:lang w:val="it-IT" w:eastAsia="it-IT"/>
        </w:rPr>
        <w:t>egge sull’organizzazione giudiziaria del 10 maggio 2006 è modificata come segue:</w:t>
      </w:r>
    </w:p>
    <w:p w:rsidR="00E5507C" w:rsidRPr="00E5507C" w:rsidRDefault="00E5507C" w:rsidP="00E5507C">
      <w:pPr>
        <w:ind w:left="425"/>
        <w:rPr>
          <w:rFonts w:eastAsia="Times New Roman" w:cs="Arial"/>
          <w:sz w:val="22"/>
          <w:u w:val="single"/>
          <w:lang w:val="it-IT" w:eastAsia="it-IT"/>
        </w:rPr>
      </w:pPr>
    </w:p>
    <w:p w:rsidR="004A0E75" w:rsidRPr="004A0E75" w:rsidRDefault="004A0E75" w:rsidP="00AB1826">
      <w:pPr>
        <w:spacing w:line="360" w:lineRule="auto"/>
        <w:ind w:left="426"/>
        <w:rPr>
          <w:rFonts w:eastAsia="Times New Roman" w:cs="Arial"/>
          <w:b/>
          <w:sz w:val="22"/>
          <w:u w:val="single"/>
          <w:lang w:val="it-IT" w:eastAsia="it-IT"/>
        </w:rPr>
      </w:pPr>
      <w:r w:rsidRPr="004A0E75">
        <w:rPr>
          <w:rFonts w:eastAsia="Times New Roman" w:cs="Arial"/>
          <w:b/>
          <w:sz w:val="22"/>
          <w:u w:val="single"/>
          <w:lang w:val="it-IT" w:eastAsia="it-IT"/>
        </w:rPr>
        <w:t>Art. 41a (nuovo)</w:t>
      </w:r>
    </w:p>
    <w:p w:rsidR="004A0E75" w:rsidRPr="004A0E75" w:rsidRDefault="004A0E75" w:rsidP="00AB1826">
      <w:pPr>
        <w:ind w:left="426"/>
        <w:rPr>
          <w:rFonts w:eastAsia="Times New Roman" w:cs="Arial"/>
          <w:sz w:val="22"/>
          <w:lang w:val="it-IT" w:eastAsia="it-IT"/>
        </w:rPr>
      </w:pPr>
      <w:r w:rsidRPr="004A0E75">
        <w:rPr>
          <w:rFonts w:eastAsia="Times New Roman" w:cs="Arial"/>
          <w:sz w:val="22"/>
          <w:vertAlign w:val="superscript"/>
          <w:lang w:val="it-IT" w:eastAsia="it-IT"/>
        </w:rPr>
        <w:t>1</w:t>
      </w:r>
      <w:r w:rsidRPr="004A0E75">
        <w:rPr>
          <w:rFonts w:eastAsia="Times New Roman" w:cs="Arial"/>
          <w:sz w:val="22"/>
          <w:lang w:val="it-IT" w:eastAsia="it-IT"/>
        </w:rPr>
        <w:t>Il Tribunale penale cantonale, che comprende la Corte delle assise criminali e la Corte delle assise correzionali, ha sede a Bellinzona ed è composto di 4 giudici e 8 supplenti; esso nomina ogni due anni il presidente e il vicepresidente.</w:t>
      </w:r>
    </w:p>
    <w:p w:rsidR="004A0E75" w:rsidRPr="004A0E75" w:rsidRDefault="004A0E75" w:rsidP="00AB1826">
      <w:pPr>
        <w:rPr>
          <w:rFonts w:eastAsia="Times New Roman" w:cs="Arial"/>
          <w:color w:val="000000"/>
          <w:szCs w:val="24"/>
          <w:lang w:val="it-IT" w:eastAsia="it-IT"/>
        </w:rPr>
      </w:pPr>
    </w:p>
    <w:p w:rsidR="004A0E75" w:rsidRPr="004A0E75" w:rsidRDefault="004A0E75" w:rsidP="00AB1826">
      <w:pPr>
        <w:spacing w:after="120"/>
        <w:rPr>
          <w:rFonts w:eastAsia="Times New Roman" w:cs="Arial"/>
          <w:color w:val="000000"/>
          <w:szCs w:val="24"/>
          <w:lang w:eastAsia="it-IT"/>
        </w:rPr>
      </w:pPr>
      <w:r w:rsidRPr="004A0E75">
        <w:rPr>
          <w:rFonts w:eastAsia="Times New Roman" w:cs="Arial"/>
          <w:color w:val="000000"/>
          <w:szCs w:val="24"/>
          <w:lang w:val="it-IT" w:eastAsia="it-IT"/>
        </w:rPr>
        <w:t>I</w:t>
      </w:r>
      <w:r w:rsidRPr="004A0E75">
        <w:rPr>
          <w:rFonts w:eastAsia="Times New Roman" w:cs="Arial"/>
          <w:color w:val="000000"/>
          <w:szCs w:val="24"/>
          <w:lang w:eastAsia="it-IT"/>
        </w:rPr>
        <w:t xml:space="preserve">l presente messaggio richiede </w:t>
      </w:r>
      <w:r w:rsidRPr="004A0E75">
        <w:rPr>
          <w:rFonts w:eastAsia="Times New Roman" w:cs="Arial"/>
          <w:color w:val="000000"/>
          <w:szCs w:val="24"/>
          <w:lang w:val="it-IT" w:eastAsia="it-IT"/>
        </w:rPr>
        <w:t xml:space="preserve">un credito complessivo di franchi </w:t>
      </w:r>
      <w:r w:rsidRPr="004A0E75">
        <w:rPr>
          <w:rFonts w:eastAsia="Times New Roman" w:cs="Arial"/>
          <w:color w:val="000000"/>
          <w:szCs w:val="24"/>
          <w:lang w:eastAsia="it-IT"/>
        </w:rPr>
        <w:t>43’420'</w:t>
      </w:r>
      <w:proofErr w:type="gramStart"/>
      <w:r w:rsidRPr="004A0E75">
        <w:rPr>
          <w:rFonts w:eastAsia="Times New Roman" w:cs="Arial"/>
          <w:color w:val="000000"/>
          <w:szCs w:val="24"/>
          <w:lang w:eastAsia="it-IT"/>
        </w:rPr>
        <w:t>000.</w:t>
      </w:r>
      <w:r w:rsidR="00E5507C">
        <w:rPr>
          <w:rFonts w:eastAsia="Times New Roman" w:cs="Arial"/>
          <w:color w:val="000000"/>
          <w:szCs w:val="24"/>
          <w:lang w:eastAsia="it-IT"/>
        </w:rPr>
        <w:t>-</w:t>
      </w:r>
      <w:proofErr w:type="gramEnd"/>
      <w:r w:rsidRPr="004A0E75">
        <w:rPr>
          <w:rFonts w:eastAsia="Times New Roman" w:cs="Arial"/>
          <w:color w:val="000000"/>
          <w:szCs w:val="24"/>
          <w:lang w:eastAsia="it-IT"/>
        </w:rPr>
        <w:t xml:space="preserve"> per la ristrutturazione e l’ampliamento del Pretorio di Bellinzona. Il credito si suddivide in:</w:t>
      </w:r>
    </w:p>
    <w:p w:rsidR="004A0E75" w:rsidRPr="004A0E75" w:rsidRDefault="004A0E75" w:rsidP="00AB1826">
      <w:pPr>
        <w:numPr>
          <w:ilvl w:val="0"/>
          <w:numId w:val="12"/>
        </w:numPr>
        <w:spacing w:before="120"/>
        <w:ind w:left="284" w:hanging="284"/>
        <w:rPr>
          <w:rFonts w:eastAsia="Times New Roman" w:cs="Arial"/>
          <w:color w:val="000000"/>
          <w:szCs w:val="24"/>
          <w:lang w:eastAsia="it-IT"/>
        </w:rPr>
      </w:pPr>
      <w:r w:rsidRPr="004A0E75">
        <w:rPr>
          <w:rFonts w:eastAsia="Times New Roman" w:cs="Arial"/>
          <w:color w:val="000000"/>
          <w:szCs w:val="24"/>
          <w:lang w:eastAsia="it-IT"/>
        </w:rPr>
        <w:t>un credito di franchi 42’670'</w:t>
      </w:r>
      <w:proofErr w:type="gramStart"/>
      <w:r w:rsidRPr="004A0E75">
        <w:rPr>
          <w:rFonts w:eastAsia="Times New Roman" w:cs="Arial"/>
          <w:color w:val="000000"/>
          <w:szCs w:val="24"/>
          <w:lang w:eastAsia="it-IT"/>
        </w:rPr>
        <w:t>000.-</w:t>
      </w:r>
      <w:proofErr w:type="gramEnd"/>
      <w:r w:rsidRPr="004A0E75">
        <w:rPr>
          <w:rFonts w:eastAsia="Times New Roman" w:cs="Arial"/>
          <w:color w:val="000000"/>
          <w:szCs w:val="24"/>
          <w:lang w:eastAsia="it-IT"/>
        </w:rPr>
        <w:t xml:space="preserve"> per la ristrutturazione e ampliamento del Pretorio di Bellinzona</w:t>
      </w:r>
      <w:r w:rsidRPr="004A0E75">
        <w:rPr>
          <w:rFonts w:eastAsia="Times New Roman" w:cs="Arial"/>
          <w:color w:val="000000"/>
          <w:szCs w:val="24"/>
          <w:lang w:val="it-IT" w:eastAsia="it-IT"/>
        </w:rPr>
        <w:t>;</w:t>
      </w:r>
    </w:p>
    <w:p w:rsidR="004A0E75" w:rsidRPr="004A0E75" w:rsidRDefault="004A0E75" w:rsidP="00AB1826">
      <w:pPr>
        <w:numPr>
          <w:ilvl w:val="0"/>
          <w:numId w:val="12"/>
        </w:numPr>
        <w:spacing w:before="120"/>
        <w:ind w:left="284" w:hanging="284"/>
        <w:rPr>
          <w:rFonts w:eastAsia="Times New Roman" w:cs="Arial"/>
          <w:color w:val="000000"/>
          <w:szCs w:val="24"/>
          <w:lang w:eastAsia="it-IT"/>
        </w:rPr>
      </w:pPr>
      <w:r w:rsidRPr="004A0E75">
        <w:rPr>
          <w:rFonts w:eastAsia="Times New Roman" w:cs="Arial"/>
          <w:color w:val="000000"/>
          <w:szCs w:val="24"/>
          <w:lang w:val="it-IT" w:eastAsia="it-IT"/>
        </w:rPr>
        <w:t>un credito di franchi 750'</w:t>
      </w:r>
      <w:proofErr w:type="gramStart"/>
      <w:r w:rsidRPr="004A0E75">
        <w:rPr>
          <w:rFonts w:eastAsia="Times New Roman" w:cs="Arial"/>
          <w:color w:val="000000"/>
          <w:szCs w:val="24"/>
          <w:lang w:val="it-IT" w:eastAsia="it-IT"/>
        </w:rPr>
        <w:t>000.-</w:t>
      </w:r>
      <w:proofErr w:type="gramEnd"/>
      <w:r w:rsidRPr="004A0E75">
        <w:rPr>
          <w:rFonts w:eastAsia="Times New Roman" w:cs="Arial"/>
          <w:color w:val="000000"/>
          <w:szCs w:val="24"/>
          <w:lang w:val="it-IT" w:eastAsia="it-IT"/>
        </w:rPr>
        <w:t xml:space="preserve"> per l’installazione dei sistemi informatici.</w:t>
      </w:r>
    </w:p>
    <w:p w:rsidR="00AB1826" w:rsidRDefault="00AB1826" w:rsidP="00AB1826">
      <w:pPr>
        <w:rPr>
          <w:rFonts w:eastAsia="Times New Roman" w:cs="Arial"/>
          <w:color w:val="000000"/>
          <w:szCs w:val="24"/>
          <w:lang w:eastAsia="it-IT"/>
        </w:rPr>
      </w:pPr>
    </w:p>
    <w:p w:rsidR="004A0E75" w:rsidRPr="004A0E75" w:rsidRDefault="004A0E75" w:rsidP="00AB1826">
      <w:pPr>
        <w:rPr>
          <w:rFonts w:eastAsia="Times New Roman" w:cs="Arial"/>
          <w:color w:val="000000"/>
          <w:szCs w:val="24"/>
          <w:lang w:eastAsia="it-IT"/>
        </w:rPr>
      </w:pPr>
      <w:r w:rsidRPr="004A0E75">
        <w:rPr>
          <w:rFonts w:eastAsia="Times New Roman" w:cs="Arial"/>
          <w:color w:val="000000"/>
          <w:szCs w:val="24"/>
          <w:lang w:eastAsia="it-IT"/>
        </w:rPr>
        <w:t>La presente richiesta di credito è il seguito della decisione del Gran Consiglio del 10 marzo 2014 che ha accolto il messaggio governativo n. 6763 del 12 marzo 2013 relativo alla concessione dei crediti di progettazione per la ristrutturazione del Pretorio di Bellinzona.</w:t>
      </w:r>
    </w:p>
    <w:p w:rsidR="004A0E75" w:rsidRPr="004A0E75" w:rsidRDefault="004A0E75" w:rsidP="004A0E75">
      <w:pPr>
        <w:ind w:left="567" w:hanging="567"/>
        <w:rPr>
          <w:rFonts w:eastAsia="Times New Roman" w:cs="Arial"/>
          <w:color w:val="000000"/>
          <w:szCs w:val="24"/>
          <w:lang w:eastAsia="it-IT"/>
        </w:rPr>
      </w:pPr>
    </w:p>
    <w:p w:rsidR="004A0E75" w:rsidRDefault="004A0E75" w:rsidP="004A0E75">
      <w:pPr>
        <w:ind w:left="567" w:hanging="567"/>
        <w:rPr>
          <w:rFonts w:eastAsia="Times New Roman" w:cs="Arial"/>
          <w:color w:val="000000"/>
          <w:szCs w:val="24"/>
          <w:lang w:eastAsia="it-IT"/>
        </w:rPr>
      </w:pPr>
    </w:p>
    <w:p w:rsidR="009F6ABA" w:rsidRDefault="009F6ABA" w:rsidP="004A0E75">
      <w:pPr>
        <w:ind w:left="567" w:hanging="567"/>
        <w:rPr>
          <w:rFonts w:eastAsia="Times New Roman" w:cs="Arial"/>
          <w:color w:val="000000"/>
          <w:szCs w:val="24"/>
          <w:lang w:eastAsia="it-IT"/>
        </w:rPr>
      </w:pPr>
    </w:p>
    <w:p w:rsidR="004A0E75" w:rsidRPr="004A0E75" w:rsidRDefault="00010F17" w:rsidP="00010F17">
      <w:pPr>
        <w:pStyle w:val="Titolo1"/>
      </w:pPr>
      <w:r>
        <w:t>2.</w:t>
      </w:r>
      <w:r>
        <w:tab/>
      </w:r>
      <w:r w:rsidR="004A0E75" w:rsidRPr="004A0E75">
        <w:t>Gli accordi con la Confederazione</w:t>
      </w:r>
    </w:p>
    <w:p w:rsidR="004A0E75" w:rsidRPr="004A0E75" w:rsidRDefault="00AB1826" w:rsidP="00AB1826">
      <w:pPr>
        <w:pStyle w:val="Titolo2"/>
      </w:pPr>
      <w:r>
        <w:t>2.1</w:t>
      </w:r>
      <w:r>
        <w:tab/>
      </w:r>
      <w:r w:rsidR="004A0E75" w:rsidRPr="004A0E75">
        <w:t>La Convenzione del 2006</w:t>
      </w:r>
    </w:p>
    <w:p w:rsidR="004A0E75" w:rsidRPr="004A0E75" w:rsidRDefault="00AB1826" w:rsidP="004A0E75">
      <w:pPr>
        <w:rPr>
          <w:rFonts w:eastAsia="Times New Roman" w:cs="Arial"/>
          <w:color w:val="000000"/>
          <w:szCs w:val="24"/>
          <w:lang w:val="it-IT" w:eastAsia="it-IT"/>
        </w:rPr>
      </w:pPr>
      <w:r>
        <w:rPr>
          <w:rFonts w:eastAsia="Times New Roman" w:cs="Arial"/>
          <w:color w:val="000000"/>
          <w:szCs w:val="24"/>
          <w:lang w:val="it-IT" w:eastAsia="it-IT"/>
        </w:rPr>
        <w:t>Il m</w:t>
      </w:r>
      <w:r w:rsidR="004A0E75" w:rsidRPr="004A0E75">
        <w:rPr>
          <w:rFonts w:eastAsia="Times New Roman" w:cs="Arial"/>
          <w:color w:val="000000"/>
          <w:szCs w:val="24"/>
          <w:lang w:val="it-IT" w:eastAsia="it-IT"/>
        </w:rPr>
        <w:t xml:space="preserve">essaggio in oggetto propone la ratifica formale della Convenzione tra la Confederazione e il Canton Ticino concernente il Tribunale penale federale di Bellinzona del 2006, derivante dalla Dichiarazione generale d’intenti del 2003. Il Gran Consiglio approvò nel 2007 il messaggio n. 5904 conoscendo tutti gli elementi essenziali, incluso quindi i contenuti della convenzione, ma per una svista la stessa non venne ripresa nel decreto legislativo. </w:t>
      </w:r>
    </w:p>
    <w:p w:rsidR="004A0E75" w:rsidRPr="004A0E75" w:rsidRDefault="004A0E75" w:rsidP="004A0E75">
      <w:pPr>
        <w:autoSpaceDE w:val="0"/>
        <w:autoSpaceDN w:val="0"/>
        <w:adjustRightInd w:val="0"/>
        <w:rPr>
          <w:rFonts w:eastAsia="Times New Roman" w:cs="Arial"/>
          <w:szCs w:val="24"/>
          <w:lang w:eastAsia="it-CH"/>
        </w:rPr>
      </w:pPr>
    </w:p>
    <w:p w:rsidR="004A0E75" w:rsidRPr="004A0E75" w:rsidRDefault="004A0E75" w:rsidP="004A0E75">
      <w:pPr>
        <w:autoSpaceDE w:val="0"/>
        <w:autoSpaceDN w:val="0"/>
        <w:adjustRightInd w:val="0"/>
        <w:rPr>
          <w:rFonts w:eastAsia="Times New Roman" w:cs="Arial"/>
          <w:szCs w:val="24"/>
          <w:lang w:eastAsia="it-CH"/>
        </w:rPr>
      </w:pPr>
      <w:r w:rsidRPr="004A0E75">
        <w:rPr>
          <w:rFonts w:eastAsia="Times New Roman" w:cs="Arial"/>
          <w:szCs w:val="24"/>
          <w:lang w:eastAsia="it-CH"/>
        </w:rPr>
        <w:t xml:space="preserve">Nella Convenzione tra la Confederazione e il Cantone Ticino del 21 dicembre 2006 nell'ambito della trattativa per edificare a Bellinzona la sede del Tribunale penale federale, vincolava il Cantone ai seguenti impegni: </w:t>
      </w:r>
    </w:p>
    <w:p w:rsidR="004A0E75" w:rsidRPr="004A0E75" w:rsidRDefault="004A0E75" w:rsidP="00AB1826">
      <w:pPr>
        <w:numPr>
          <w:ilvl w:val="0"/>
          <w:numId w:val="17"/>
        </w:numPr>
        <w:autoSpaceDE w:val="0"/>
        <w:autoSpaceDN w:val="0"/>
        <w:adjustRightInd w:val="0"/>
        <w:spacing w:before="120"/>
        <w:ind w:left="357" w:hanging="357"/>
        <w:rPr>
          <w:rFonts w:eastAsia="Times New Roman" w:cs="Arial"/>
          <w:szCs w:val="24"/>
          <w:lang w:eastAsia="it-CH"/>
        </w:rPr>
      </w:pPr>
      <w:r w:rsidRPr="004A0E75">
        <w:rPr>
          <w:rFonts w:eastAsia="Times New Roman" w:cs="Arial"/>
          <w:szCs w:val="24"/>
          <w:lang w:eastAsia="it-CH"/>
        </w:rPr>
        <w:t xml:space="preserve">a partecipare con il 43% dei costi alla ristrutturazione dello stabile ex Scuola di Commercio per insediare il Tribunale </w:t>
      </w:r>
      <w:r w:rsidR="00E5507C">
        <w:rPr>
          <w:rFonts w:eastAsia="Times New Roman" w:cs="Arial"/>
          <w:szCs w:val="24"/>
          <w:lang w:eastAsia="it-CH"/>
        </w:rPr>
        <w:t>p</w:t>
      </w:r>
      <w:r w:rsidRPr="004A0E75">
        <w:rPr>
          <w:rFonts w:eastAsia="Times New Roman" w:cs="Arial"/>
          <w:szCs w:val="24"/>
          <w:lang w:eastAsia="it-CH"/>
        </w:rPr>
        <w:t xml:space="preserve">enale </w:t>
      </w:r>
      <w:r w:rsidR="00E5507C">
        <w:rPr>
          <w:rFonts w:eastAsia="Times New Roman" w:cs="Arial"/>
          <w:szCs w:val="24"/>
          <w:lang w:eastAsia="it-CH"/>
        </w:rPr>
        <w:t>f</w:t>
      </w:r>
      <w:r w:rsidRPr="004A0E75">
        <w:rPr>
          <w:rFonts w:eastAsia="Times New Roman" w:cs="Arial"/>
          <w:szCs w:val="24"/>
          <w:lang w:eastAsia="it-CH"/>
        </w:rPr>
        <w:t xml:space="preserve">ederale; </w:t>
      </w:r>
    </w:p>
    <w:p w:rsidR="004A0E75" w:rsidRPr="004A0E75" w:rsidRDefault="004A0E75" w:rsidP="00AB1826">
      <w:pPr>
        <w:numPr>
          <w:ilvl w:val="0"/>
          <w:numId w:val="17"/>
        </w:numPr>
        <w:autoSpaceDE w:val="0"/>
        <w:autoSpaceDN w:val="0"/>
        <w:adjustRightInd w:val="0"/>
        <w:spacing w:before="120"/>
        <w:ind w:left="357" w:hanging="357"/>
        <w:rPr>
          <w:rFonts w:eastAsia="Times New Roman" w:cs="Arial"/>
          <w:szCs w:val="24"/>
          <w:lang w:eastAsia="it-CH"/>
        </w:rPr>
      </w:pPr>
      <w:r w:rsidRPr="004A0E75">
        <w:rPr>
          <w:rFonts w:eastAsia="Times New Roman" w:cs="Arial"/>
          <w:szCs w:val="24"/>
          <w:lang w:eastAsia="it-CH"/>
        </w:rPr>
        <w:lastRenderedPageBreak/>
        <w:t xml:space="preserve">a concedere alla Confederazione un diritto di compera sul Pretorio con cui quest'ultima verserà in tal caso al Cantone un prezzo d'acquisto pari al 57% del valore al momento del trapasso; </w:t>
      </w:r>
    </w:p>
    <w:p w:rsidR="004A0E75" w:rsidRDefault="004A0E75" w:rsidP="00AB1826">
      <w:pPr>
        <w:numPr>
          <w:ilvl w:val="0"/>
          <w:numId w:val="17"/>
        </w:numPr>
        <w:autoSpaceDE w:val="0"/>
        <w:autoSpaceDN w:val="0"/>
        <w:adjustRightInd w:val="0"/>
        <w:spacing w:before="120"/>
        <w:ind w:left="357" w:hanging="357"/>
        <w:rPr>
          <w:rFonts w:eastAsia="Times New Roman" w:cs="Arial"/>
          <w:szCs w:val="24"/>
          <w:lang w:eastAsia="it-CH"/>
        </w:rPr>
      </w:pPr>
      <w:r w:rsidRPr="004A0E75">
        <w:rPr>
          <w:rFonts w:eastAsia="Times New Roman" w:cs="Arial"/>
          <w:szCs w:val="24"/>
          <w:lang w:eastAsia="it-CH"/>
        </w:rPr>
        <w:t>a ristrutturare il palazzo del Pretorio e a mettere a disposizione della Confederazione a titolo di locazione e in caso di necessità degli spazi; anche sull'affitto e sulle spese accessorie la Confederazione paga la sua q</w:t>
      </w:r>
      <w:r w:rsidR="00AB1826">
        <w:rPr>
          <w:rFonts w:eastAsia="Times New Roman" w:cs="Arial"/>
          <w:szCs w:val="24"/>
          <w:lang w:eastAsia="it-CH"/>
        </w:rPr>
        <w:t>uota parte di 57%.</w:t>
      </w:r>
    </w:p>
    <w:p w:rsidR="00AB1826" w:rsidRPr="004A0E75" w:rsidRDefault="00AB1826" w:rsidP="00AB1826">
      <w:pPr>
        <w:autoSpaceDE w:val="0"/>
        <w:autoSpaceDN w:val="0"/>
        <w:adjustRightInd w:val="0"/>
        <w:spacing w:before="120"/>
        <w:ind w:left="357"/>
        <w:rPr>
          <w:rFonts w:eastAsia="Times New Roman" w:cs="Arial"/>
          <w:szCs w:val="24"/>
          <w:lang w:eastAsia="it-CH"/>
        </w:rPr>
      </w:pPr>
    </w:p>
    <w:p w:rsidR="004A0E75" w:rsidRDefault="004A0E75" w:rsidP="004A0E75">
      <w:pPr>
        <w:autoSpaceDE w:val="0"/>
        <w:autoSpaceDN w:val="0"/>
        <w:adjustRightInd w:val="0"/>
        <w:rPr>
          <w:rFonts w:eastAsia="Times New Roman" w:cs="Arial"/>
          <w:szCs w:val="24"/>
          <w:lang w:eastAsia="it-CH"/>
        </w:rPr>
      </w:pPr>
      <w:r w:rsidRPr="004A0E75">
        <w:rPr>
          <w:rFonts w:eastAsia="Times New Roman" w:cs="Arial"/>
          <w:szCs w:val="24"/>
          <w:lang w:eastAsia="it-CH"/>
        </w:rPr>
        <w:t xml:space="preserve">Nel messaggio n. 5904 del 13 marzo 2007 concernente la concessione di un credito di fr. 3'580'000.- quale contributo alla realizzazione definitiva del Tribunale penale federale e l'autorizzazione per la cessione alla Confederazione di parte della particella 975 RFD </w:t>
      </w:r>
      <w:r w:rsidR="00E5507C">
        <w:rPr>
          <w:rFonts w:eastAsia="Times New Roman" w:cs="Arial"/>
          <w:szCs w:val="24"/>
          <w:lang w:eastAsia="it-CH"/>
        </w:rPr>
        <w:br/>
      </w:r>
      <w:r w:rsidRPr="004A0E75">
        <w:rPr>
          <w:rFonts w:eastAsia="Times New Roman" w:cs="Arial"/>
          <w:szCs w:val="24"/>
          <w:lang w:eastAsia="it-CH"/>
        </w:rPr>
        <w:t xml:space="preserve">(ex scuola di commercio) di Bellinzona e l'approvazione della concessione di un diritto di compera sul restante sedime con lo stabile Pretorio, venivano indicati i punti principali della convenzione. </w:t>
      </w:r>
    </w:p>
    <w:p w:rsidR="00E16C84" w:rsidRPr="004A0E75" w:rsidRDefault="00E16C84" w:rsidP="004A0E75">
      <w:pPr>
        <w:autoSpaceDE w:val="0"/>
        <w:autoSpaceDN w:val="0"/>
        <w:adjustRightInd w:val="0"/>
        <w:rPr>
          <w:rFonts w:eastAsia="Times New Roman" w:cs="Arial"/>
          <w:szCs w:val="24"/>
          <w:lang w:eastAsia="it-CH"/>
        </w:rPr>
      </w:pPr>
    </w:p>
    <w:p w:rsidR="004A0E75" w:rsidRDefault="004A0E75" w:rsidP="004A0E75">
      <w:pPr>
        <w:rPr>
          <w:rFonts w:eastAsia="Times New Roman" w:cs="Arial"/>
          <w:color w:val="000000"/>
          <w:szCs w:val="24"/>
          <w:lang w:val="it-IT" w:eastAsia="it-IT"/>
        </w:rPr>
      </w:pPr>
      <w:r w:rsidRPr="004A0E75">
        <w:rPr>
          <w:rFonts w:eastAsia="Times New Roman" w:cs="Arial"/>
          <w:szCs w:val="24"/>
          <w:lang w:val="it-IT" w:eastAsia="it-IT"/>
        </w:rPr>
        <w:t>Dalle verifiche del Consulente giuridico del Consiglio di Stato del febbraio 2020, si può ritenere che con la decisione del 25 giugno 2007, il Gran Consiglio abbia implicitamente approvato la convenzione del 2006 tra Cantone e Confederazione, nonostante il Decreto legislativo del 25 giugno 2007 non lo indichi esplicitamente.</w:t>
      </w:r>
      <w:r w:rsidRPr="004A0E75">
        <w:rPr>
          <w:rFonts w:eastAsia="Times New Roman" w:cs="Arial"/>
          <w:color w:val="000000"/>
          <w:szCs w:val="24"/>
          <w:lang w:val="it-IT" w:eastAsia="it-IT"/>
        </w:rPr>
        <w:t xml:space="preserve"> Per questo motivo s’impone a livello formale la ratifica della citata Convenzione nel suo complesso, proprio per le implicazioni che ne comporta. </w:t>
      </w:r>
    </w:p>
    <w:p w:rsidR="00E16C84" w:rsidRDefault="00E16C84" w:rsidP="004A0E75">
      <w:pPr>
        <w:rPr>
          <w:rFonts w:eastAsia="Times New Roman" w:cs="Arial"/>
          <w:color w:val="000000"/>
          <w:szCs w:val="24"/>
          <w:lang w:val="it-IT" w:eastAsia="it-IT"/>
        </w:rPr>
      </w:pPr>
    </w:p>
    <w:p w:rsidR="00E16C84" w:rsidRPr="004A0E75" w:rsidRDefault="00E16C84" w:rsidP="004A0E75">
      <w:pPr>
        <w:rPr>
          <w:rFonts w:eastAsia="Times New Roman" w:cs="Arial"/>
          <w:color w:val="000000"/>
          <w:szCs w:val="24"/>
          <w:lang w:val="it-IT" w:eastAsia="it-IT"/>
        </w:rPr>
      </w:pPr>
    </w:p>
    <w:p w:rsidR="004A0E75" w:rsidRPr="004A0E75" w:rsidRDefault="004A0E75" w:rsidP="00E16C84">
      <w:pPr>
        <w:spacing w:after="80"/>
        <w:ind w:left="709" w:hanging="709"/>
        <w:rPr>
          <w:rFonts w:eastAsia="MS Mincho" w:cs="Arial"/>
          <w:b/>
          <w:bCs/>
          <w:color w:val="000000"/>
          <w:szCs w:val="24"/>
          <w:lang w:val="it-IT" w:eastAsia="ja-JP"/>
        </w:rPr>
      </w:pPr>
      <w:r w:rsidRPr="004A0E75">
        <w:rPr>
          <w:rFonts w:eastAsia="Times New Roman" w:cs="Arial"/>
          <w:b/>
          <w:color w:val="000000"/>
          <w:szCs w:val="24"/>
          <w:lang w:val="it-IT" w:eastAsia="it-IT"/>
        </w:rPr>
        <w:t>2.2</w:t>
      </w:r>
      <w:r w:rsidRPr="004A0E75">
        <w:rPr>
          <w:rFonts w:eastAsia="Times New Roman" w:cs="Arial"/>
          <w:b/>
          <w:color w:val="000000"/>
          <w:szCs w:val="24"/>
          <w:lang w:val="it-IT" w:eastAsia="it-IT"/>
        </w:rPr>
        <w:tab/>
      </w:r>
      <w:r w:rsidRPr="00E16C84">
        <w:rPr>
          <w:rStyle w:val="Titolo2Carattere"/>
        </w:rPr>
        <w:t xml:space="preserve">Accordo </w:t>
      </w:r>
      <w:r w:rsidRPr="00E16C84">
        <w:rPr>
          <w:rStyle w:val="Titolo2Carattere"/>
          <w:lang w:eastAsia="ja-JP"/>
        </w:rPr>
        <w:t xml:space="preserve">del 2020 </w:t>
      </w:r>
      <w:r w:rsidRPr="00E16C84">
        <w:rPr>
          <w:rStyle w:val="Titolo2Carattere"/>
        </w:rPr>
        <w:t>tra la Confederazione e il Canton Ticino concernente il Pretorio di</w:t>
      </w:r>
      <w:r w:rsidRPr="00E16C84">
        <w:rPr>
          <w:rStyle w:val="Titolo2Carattere"/>
          <w:lang w:eastAsia="ja-JP"/>
        </w:rPr>
        <w:t xml:space="preserve"> Bellinzona</w:t>
      </w:r>
      <w:r w:rsidRPr="004A0E75">
        <w:rPr>
          <w:rFonts w:eastAsia="MS Mincho" w:cs="Arial"/>
          <w:b/>
          <w:bCs/>
          <w:color w:val="000000"/>
          <w:szCs w:val="24"/>
          <w:lang w:val="it-IT" w:eastAsia="ja-JP"/>
        </w:rPr>
        <w:t xml:space="preserve"> </w:t>
      </w:r>
    </w:p>
    <w:p w:rsidR="004A0E75" w:rsidRPr="004A0E75" w:rsidRDefault="00E16C84" w:rsidP="00E16C84">
      <w:pPr>
        <w:pStyle w:val="Titolo3"/>
      </w:pPr>
      <w:r>
        <w:t>2.2.1</w:t>
      </w:r>
      <w:r>
        <w:tab/>
      </w:r>
      <w:r w:rsidR="004A0E75" w:rsidRPr="004A0E75">
        <w:t>Decisioni del Parlamento federale</w:t>
      </w:r>
    </w:p>
    <w:p w:rsidR="004A0E75" w:rsidRPr="004A0E75" w:rsidRDefault="004A0E75" w:rsidP="004A0E75">
      <w:pPr>
        <w:rPr>
          <w:rFonts w:eastAsia="Times New Roman" w:cs="Arial"/>
          <w:color w:val="000000"/>
          <w:szCs w:val="24"/>
          <w:lang w:val="it-IT" w:eastAsia="it-CH"/>
        </w:rPr>
      </w:pPr>
      <w:r w:rsidRPr="004A0E75">
        <w:rPr>
          <w:rFonts w:eastAsia="Times New Roman" w:cs="Arial"/>
          <w:color w:val="000000"/>
          <w:szCs w:val="24"/>
          <w:lang w:val="it-IT" w:eastAsia="it-CH"/>
        </w:rPr>
        <w:t xml:space="preserve">Il 17 marzo 2017 le Camere federali hanno adottato la modifica della Legge sull’organizzazione delle autorità penali della Confederazione, volta a consolidare la tutela giurisdizionale nella procedura penale federale, ossia il principio secondo il quale un’infrazione penale può essere giudicata da due tribunali indipendenti sia per quanto concerne l’apprezzamento giuridico dei fatti, sia per quanto concerne l’accertamento dei medesimi (FF 2016 5587). Il Consiglio federale ha quindi deciso il 25 ottobre 2017, l’istituzione di una Corte d’appello indipendente in seno al Tribunale penale federale di Bellinzona, a partire dal 1° gennaio 2019. </w:t>
      </w:r>
    </w:p>
    <w:p w:rsidR="004A0E75" w:rsidRPr="004A0E75" w:rsidRDefault="004A0E75" w:rsidP="004A0E75">
      <w:pPr>
        <w:rPr>
          <w:rFonts w:eastAsia="Times New Roman" w:cs="Arial"/>
          <w:color w:val="000000"/>
          <w:szCs w:val="24"/>
          <w:lang w:val="it-IT" w:eastAsia="it-CH"/>
        </w:rPr>
      </w:pPr>
    </w:p>
    <w:p w:rsidR="004A0E75" w:rsidRPr="004A0E75" w:rsidRDefault="00827384" w:rsidP="00E16C84">
      <w:pPr>
        <w:pStyle w:val="Titolo3"/>
      </w:pPr>
      <w:r>
        <w:t>2.2</w:t>
      </w:r>
      <w:r w:rsidR="00E16C84">
        <w:t>.2</w:t>
      </w:r>
      <w:r w:rsidR="00E16C84">
        <w:tab/>
      </w:r>
      <w:r w:rsidR="004A0E75" w:rsidRPr="004A0E75">
        <w:t xml:space="preserve">Un nuovo accordo </w:t>
      </w:r>
    </w:p>
    <w:p w:rsidR="004A0E75" w:rsidRDefault="004A0E75" w:rsidP="004A0E75">
      <w:pPr>
        <w:rPr>
          <w:rFonts w:eastAsia="Times New Roman" w:cs="Arial"/>
          <w:color w:val="000000"/>
          <w:szCs w:val="24"/>
          <w:lang w:val="it-IT" w:eastAsia="it-IT"/>
        </w:rPr>
      </w:pPr>
      <w:r w:rsidRPr="004A0E75">
        <w:rPr>
          <w:rFonts w:eastAsia="Times New Roman" w:cs="Arial"/>
          <w:color w:val="000000"/>
          <w:szCs w:val="24"/>
          <w:lang w:val="it-IT" w:eastAsia="it-CH"/>
        </w:rPr>
        <w:t>La Convenzione</w:t>
      </w:r>
      <w:r w:rsidRPr="004A0E75">
        <w:rPr>
          <w:rFonts w:eastAsia="Times New Roman" w:cs="Arial"/>
          <w:color w:val="000000"/>
          <w:szCs w:val="24"/>
          <w:lang w:val="it-IT" w:eastAsia="it-IT"/>
        </w:rPr>
        <w:t xml:space="preserve"> del 2006 tra la Confederazione e il Canton Ticino concernente il Tribunale penale federale di Bellinzona, conferisce alla Confederazione l’opzione, in caso di necessità, di locare presso il Cantone ulteriori spazi nell’edificio del Pretorio. Al punto 4.5 della stessa è specificato che al momento dell’esercizio dell’opzione della locazione, il Cantone accorda alla Confederazione una pigione preferenziale pari al 57% del canone di locazione per metro quadrato della superficie affittabile adibita a ufficio del Pretorio, escluse le spese accessorie (57% corrispondente nel 2006 a fr. 270.-/m</w:t>
      </w:r>
      <w:r w:rsidRPr="004A0E75">
        <w:rPr>
          <w:rFonts w:eastAsia="Times New Roman" w:cs="Arial"/>
          <w:color w:val="000000"/>
          <w:szCs w:val="24"/>
          <w:vertAlign w:val="superscript"/>
          <w:lang w:val="it-IT" w:eastAsia="it-IT"/>
        </w:rPr>
        <w:t>2</w:t>
      </w:r>
      <w:r w:rsidRPr="004A0E75">
        <w:rPr>
          <w:rFonts w:eastAsia="Times New Roman" w:cs="Arial"/>
          <w:color w:val="000000"/>
          <w:szCs w:val="24"/>
          <w:lang w:val="it-IT" w:eastAsia="it-IT"/>
        </w:rPr>
        <w:t xml:space="preserve"> in base alle tabelle di “Immo-</w:t>
      </w:r>
      <w:proofErr w:type="spellStart"/>
      <w:r w:rsidRPr="004A0E75">
        <w:rPr>
          <w:rFonts w:eastAsia="Times New Roman" w:cs="Arial"/>
          <w:color w:val="000000"/>
          <w:szCs w:val="24"/>
          <w:lang w:val="it-IT" w:eastAsia="it-IT"/>
        </w:rPr>
        <w:t>Monitoring</w:t>
      </w:r>
      <w:proofErr w:type="spellEnd"/>
      <w:r w:rsidRPr="004A0E75">
        <w:rPr>
          <w:rFonts w:eastAsia="Times New Roman" w:cs="Arial"/>
          <w:color w:val="000000"/>
          <w:szCs w:val="24"/>
          <w:lang w:val="it-IT" w:eastAsia="it-IT"/>
        </w:rPr>
        <w:t xml:space="preserve">” di </w:t>
      </w:r>
      <w:proofErr w:type="spellStart"/>
      <w:r w:rsidRPr="004A0E75">
        <w:rPr>
          <w:rFonts w:eastAsia="Times New Roman" w:cs="Arial"/>
          <w:color w:val="000000"/>
          <w:szCs w:val="24"/>
          <w:lang w:val="it-IT" w:eastAsia="it-IT"/>
        </w:rPr>
        <w:t>Wüest</w:t>
      </w:r>
      <w:proofErr w:type="spellEnd"/>
      <w:r w:rsidRPr="004A0E75">
        <w:rPr>
          <w:rFonts w:eastAsia="Times New Roman" w:cs="Arial"/>
          <w:color w:val="000000"/>
          <w:szCs w:val="24"/>
          <w:lang w:val="it-IT" w:eastAsia="it-IT"/>
        </w:rPr>
        <w:t xml:space="preserve"> &amp; Partner AG). </w:t>
      </w:r>
    </w:p>
    <w:p w:rsidR="00E16C84" w:rsidRPr="004A0E75" w:rsidRDefault="00E16C84" w:rsidP="004A0E75">
      <w:pPr>
        <w:rPr>
          <w:rFonts w:eastAsia="Times New Roman" w:cs="Arial"/>
          <w:color w:val="000000"/>
          <w:szCs w:val="24"/>
          <w:lang w:val="it-IT" w:eastAsia="it-IT"/>
        </w:rPr>
      </w:pPr>
    </w:p>
    <w:p w:rsidR="004A0E75" w:rsidRPr="004A0E75" w:rsidRDefault="004A0E75" w:rsidP="004A0E75">
      <w:pPr>
        <w:rPr>
          <w:rFonts w:eastAsia="Times New Roman" w:cs="Arial"/>
          <w:color w:val="000000"/>
          <w:szCs w:val="24"/>
          <w:lang w:val="it-IT" w:eastAsia="it-IT"/>
        </w:rPr>
      </w:pPr>
      <w:r w:rsidRPr="004A0E75">
        <w:rPr>
          <w:rFonts w:eastAsia="Times New Roman" w:cs="Arial"/>
          <w:color w:val="000000"/>
          <w:szCs w:val="24"/>
          <w:lang w:val="it-IT" w:eastAsia="it-IT"/>
        </w:rPr>
        <w:t>Qualora il Pretorio non dovesse essere messo a disposizione tempestivamente, le parti si suddividono eventuali costi di locazione di un altro oggetto secondo la chiave di ripartizione 43% Cantone – 57% Confederazione.</w:t>
      </w:r>
    </w:p>
    <w:p w:rsidR="004A0E75" w:rsidRPr="004A0E75" w:rsidRDefault="004A0E75" w:rsidP="004A0E75">
      <w:pPr>
        <w:rPr>
          <w:rFonts w:eastAsia="Times New Roman" w:cs="Arial"/>
          <w:color w:val="000000"/>
          <w:szCs w:val="24"/>
          <w:lang w:val="it-IT" w:eastAsia="it-IT"/>
        </w:rPr>
      </w:pPr>
      <w:r w:rsidRPr="004A0E75">
        <w:rPr>
          <w:rFonts w:eastAsia="Times New Roman" w:cs="Arial"/>
          <w:color w:val="000000"/>
          <w:szCs w:val="24"/>
          <w:lang w:val="it-IT" w:eastAsia="it-CH"/>
        </w:rPr>
        <w:t>Nel</w:t>
      </w:r>
      <w:r w:rsidRPr="004A0E75">
        <w:rPr>
          <w:rFonts w:eastAsia="Times New Roman" w:cs="Arial"/>
          <w:color w:val="000000"/>
          <w:szCs w:val="24"/>
          <w:lang w:val="it-IT" w:eastAsia="it-IT"/>
        </w:rPr>
        <w:t xml:space="preserve"> Contratto del diritto di compera, la Confederazione si è riservata di acquistare l’immobile allo stato attuale e di procedere lei stessa con la ristrutturazione nel caso in cui, </w:t>
      </w:r>
      <w:r w:rsidRPr="004A0E75">
        <w:rPr>
          <w:rFonts w:eastAsia="Times New Roman" w:cs="Arial"/>
          <w:color w:val="000000"/>
          <w:szCs w:val="24"/>
          <w:lang w:val="it-IT" w:eastAsia="it-IT"/>
        </w:rPr>
        <w:lastRenderedPageBreak/>
        <w:t xml:space="preserve">contrariamente alle aspettative, il Parlamento Ticinese non dovesse approvare il credito necessario al risanamento del Palazzo Pretorio entro il 31 marzo 2022. I contratti previsti spiegati di seguito (locazione e </w:t>
      </w:r>
      <w:proofErr w:type="spellStart"/>
      <w:r w:rsidRPr="004A0E75">
        <w:rPr>
          <w:rFonts w:eastAsia="Times New Roman" w:cs="Arial"/>
          <w:color w:val="000000"/>
          <w:szCs w:val="24"/>
          <w:lang w:val="it-IT" w:eastAsia="it-IT"/>
        </w:rPr>
        <w:t>ri</w:t>
      </w:r>
      <w:proofErr w:type="spellEnd"/>
      <w:r w:rsidRPr="004A0E75">
        <w:rPr>
          <w:rFonts w:eastAsia="Times New Roman" w:cs="Arial"/>
          <w:color w:val="000000"/>
          <w:szCs w:val="24"/>
          <w:lang w:val="it-IT" w:eastAsia="it-IT"/>
        </w:rPr>
        <w:t xml:space="preserve">-locazione “Triple Net”) sono subordinati alla fine dei lavori di rinnovo del Palazzo Pretorio da parte del Cantone e il “Triple-Net” cumulativamente all’acquisto del Palazzo Pretorio da parte della Confederazione prima del 31 dicembre 2030 (“condizioni sospensive”). Nel caso di mancata concessione del credito entro il termine indicato, il contratto di locazione e il contratto di </w:t>
      </w:r>
      <w:proofErr w:type="spellStart"/>
      <w:r w:rsidRPr="004A0E75">
        <w:rPr>
          <w:rFonts w:eastAsia="Times New Roman" w:cs="Arial"/>
          <w:color w:val="000000"/>
          <w:szCs w:val="24"/>
          <w:lang w:val="it-IT" w:eastAsia="it-IT"/>
        </w:rPr>
        <w:t>ri</w:t>
      </w:r>
      <w:proofErr w:type="spellEnd"/>
      <w:r w:rsidRPr="004A0E75">
        <w:rPr>
          <w:rFonts w:eastAsia="Times New Roman" w:cs="Arial"/>
          <w:color w:val="000000"/>
          <w:szCs w:val="24"/>
          <w:lang w:val="it-IT" w:eastAsia="it-IT"/>
        </w:rPr>
        <w:t>-locazione decadranno in via definitiva.</w:t>
      </w:r>
    </w:p>
    <w:p w:rsidR="004A0E75" w:rsidRPr="004A0E75" w:rsidRDefault="004A0E75" w:rsidP="004A0E75">
      <w:pPr>
        <w:ind w:left="567" w:hanging="567"/>
        <w:rPr>
          <w:rFonts w:eastAsia="Times New Roman" w:cs="Arial"/>
          <w:color w:val="000000"/>
          <w:szCs w:val="24"/>
          <w:lang w:val="it-IT" w:eastAsia="it-IT"/>
        </w:rPr>
      </w:pPr>
    </w:p>
    <w:p w:rsidR="004A0E75" w:rsidRPr="004A0E75" w:rsidRDefault="004A0E75" w:rsidP="004A0E75">
      <w:pPr>
        <w:rPr>
          <w:rFonts w:eastAsia="Times New Roman" w:cs="Arial"/>
          <w:szCs w:val="24"/>
          <w:lang w:val="it-IT" w:eastAsia="it-IT"/>
        </w:rPr>
      </w:pPr>
      <w:r w:rsidRPr="004A0E75">
        <w:rPr>
          <w:rFonts w:eastAsia="Times New Roman" w:cs="Arial"/>
          <w:szCs w:val="24"/>
          <w:lang w:val="it-IT" w:eastAsia="it-IT"/>
        </w:rPr>
        <w:t xml:space="preserve">Durante le trattive è emerso come sull’arco dei prossimi 20 anni l’Autorità federale non preveda un ampliamento delle esigenze logistiche definite nel contratto di locazione contestuale alla ristrutturazione del Pretorio, per il Tribunale penale federale e la Corte di appello federale. </w:t>
      </w:r>
    </w:p>
    <w:p w:rsidR="004A0E75" w:rsidRPr="004A0E75" w:rsidRDefault="004A0E75" w:rsidP="004A0E75">
      <w:pPr>
        <w:rPr>
          <w:rFonts w:eastAsia="Times New Roman" w:cs="Arial"/>
          <w:szCs w:val="24"/>
          <w:lang w:val="it-IT" w:eastAsia="it-IT"/>
        </w:rPr>
      </w:pPr>
    </w:p>
    <w:p w:rsidR="004A0E75" w:rsidRDefault="004A0E75" w:rsidP="004A0E75">
      <w:pPr>
        <w:rPr>
          <w:rFonts w:eastAsia="Times New Roman" w:cs="Arial"/>
          <w:szCs w:val="24"/>
          <w:lang w:val="it-IT" w:eastAsia="it-IT"/>
        </w:rPr>
      </w:pPr>
      <w:r w:rsidRPr="004A0E75">
        <w:rPr>
          <w:rFonts w:eastAsia="Times New Roman" w:cs="Arial"/>
          <w:szCs w:val="24"/>
          <w:lang w:val="it-IT" w:eastAsia="it-IT"/>
        </w:rPr>
        <w:t xml:space="preserve">Il Codice delle obbligazioni (art. 216a CO) dispone che il diritto di compera non può avere una durata superiore ai 10 anni, ragione per cui Cantone e Confederazione si sono accordati per prevedere sin d’ora e prima della scadenza dello stesso, l’avvio delle discussioni per la proroga del diritto di compera di ulteriori 10 anni. Al Cantone la Confederazione garantisce una permanenza nello stabile </w:t>
      </w:r>
      <w:r w:rsidRPr="004A0E75">
        <w:rPr>
          <w:rFonts w:eastAsia="Times New Roman" w:cs="Arial"/>
          <w:b/>
          <w:szCs w:val="24"/>
          <w:lang w:val="it-IT" w:eastAsia="it-IT"/>
        </w:rPr>
        <w:t>fino almeno al 2043</w:t>
      </w:r>
      <w:r w:rsidRPr="004A0E75">
        <w:rPr>
          <w:rFonts w:eastAsia="Times New Roman" w:cs="Arial"/>
          <w:szCs w:val="24"/>
          <w:lang w:val="it-IT" w:eastAsia="it-IT"/>
        </w:rPr>
        <w:t xml:space="preserve"> anche qualora il diritto di compera non fosse rinnovato e la Confederazione volesse esercitarlo, diventando così proprietaria del Pretorio. </w:t>
      </w:r>
    </w:p>
    <w:p w:rsidR="00E16C84" w:rsidRPr="004A0E75" w:rsidRDefault="00E16C84" w:rsidP="004A0E75">
      <w:pPr>
        <w:rPr>
          <w:rFonts w:eastAsia="Times New Roman" w:cs="Arial"/>
          <w:szCs w:val="24"/>
          <w:lang w:val="it-IT" w:eastAsia="it-IT"/>
        </w:rPr>
      </w:pPr>
    </w:p>
    <w:p w:rsidR="004A0E75" w:rsidRPr="004A0E75" w:rsidRDefault="004A0E75" w:rsidP="004A0E75">
      <w:pPr>
        <w:rPr>
          <w:rFonts w:eastAsia="Times New Roman" w:cs="Arial"/>
          <w:szCs w:val="24"/>
          <w:lang w:val="it-IT" w:eastAsia="it-IT"/>
        </w:rPr>
      </w:pPr>
      <w:r w:rsidRPr="004A0E75">
        <w:rPr>
          <w:rFonts w:eastAsia="Times New Roman" w:cs="Arial"/>
          <w:szCs w:val="24"/>
          <w:lang w:val="it-IT" w:eastAsia="it-IT"/>
        </w:rPr>
        <w:t>Questa eventualità è stata regolata tramite un contratto di rilocazione “Triple Net”. Con questo contratto viene garantito al Cantone di continuare a usufruire degli spazi utilizzati, alle stesse condizioni come prima del passaggio di proprietà. Tramite il contratto di rilocazione, la Confederazione continuerebbe quindi a mantenere i suoi spazi quale subaffittuario del Cantone (con il contratto di cui al punto precedente). Anche i flussi finanziari con il Triple Net rimarrebbero de facto costanti (ammortamenti del capitale, affitto della Confederazione, ecc.). Tramite questo contratto il Cantone potrà quindi utilizzare e ammortizzare l’investimento destinato al Pretorio fino ad almeno il 31 dicembre 2043.</w:t>
      </w:r>
    </w:p>
    <w:p w:rsidR="004A0E75" w:rsidRPr="004A0E75" w:rsidRDefault="004A0E75" w:rsidP="004A0E75">
      <w:pPr>
        <w:ind w:left="567" w:hanging="567"/>
        <w:rPr>
          <w:rFonts w:eastAsia="Times New Roman" w:cs="Arial"/>
          <w:color w:val="000000"/>
          <w:szCs w:val="24"/>
          <w:lang w:val="it-IT" w:eastAsia="it-IT"/>
        </w:rPr>
      </w:pPr>
    </w:p>
    <w:p w:rsidR="004A0E75" w:rsidRPr="004A0E75" w:rsidRDefault="00827384" w:rsidP="00E16C84">
      <w:pPr>
        <w:pStyle w:val="Titolo3"/>
        <w:rPr>
          <w:bCs/>
        </w:rPr>
      </w:pPr>
      <w:r>
        <w:t>2.2</w:t>
      </w:r>
      <w:r w:rsidR="00E16C84">
        <w:t>.3</w:t>
      </w:r>
      <w:r w:rsidR="00E16C84">
        <w:tab/>
      </w:r>
      <w:r w:rsidR="004A0E75" w:rsidRPr="004A0E75">
        <w:t xml:space="preserve">Il nuovo Contratto di locazione del 22.12.2020 </w:t>
      </w:r>
    </w:p>
    <w:p w:rsidR="004A0E75" w:rsidRDefault="004A0E75" w:rsidP="004A0E75">
      <w:pPr>
        <w:rPr>
          <w:rFonts w:eastAsia="Times New Roman" w:cs="Arial"/>
          <w:color w:val="000000"/>
          <w:szCs w:val="24"/>
          <w:lang w:val="it-IT" w:eastAsia="it-IT"/>
        </w:rPr>
      </w:pPr>
      <w:r w:rsidRPr="004A0E75">
        <w:rPr>
          <w:rFonts w:eastAsia="Times New Roman" w:cs="Arial"/>
          <w:color w:val="000000"/>
          <w:szCs w:val="24"/>
          <w:lang w:val="it-IT" w:eastAsia="it-IT"/>
        </w:rPr>
        <w:t xml:space="preserve">La Convenzione del 2006 assicura alla Confederazione la facoltà di richiedere spazi aggiuntivi nell’edificio del Pretorio. Dagli iniziali 100 </w:t>
      </w:r>
      <w:r w:rsidR="0090364F" w:rsidRPr="004A0E75">
        <w:rPr>
          <w:rFonts w:eastAsia="Times New Roman" w:cs="Arial"/>
          <w:color w:val="000000"/>
          <w:szCs w:val="24"/>
          <w:lang w:val="it-IT" w:eastAsia="it-CH"/>
        </w:rPr>
        <w:t>m</w:t>
      </w:r>
      <w:r w:rsidR="0090364F" w:rsidRPr="004A0E75">
        <w:rPr>
          <w:rFonts w:eastAsia="Times New Roman" w:cs="Arial"/>
          <w:color w:val="000000"/>
          <w:szCs w:val="24"/>
          <w:vertAlign w:val="superscript"/>
          <w:lang w:val="it-IT" w:eastAsia="it-CH"/>
        </w:rPr>
        <w:t>2</w:t>
      </w:r>
      <w:r w:rsidRPr="004A0E75">
        <w:rPr>
          <w:rFonts w:eastAsia="Times New Roman" w:cs="Arial"/>
          <w:color w:val="000000"/>
          <w:szCs w:val="24"/>
          <w:lang w:val="it-IT" w:eastAsia="it-IT"/>
        </w:rPr>
        <w:t xml:space="preserve"> previsti nel 2015 si è poi passati a 300 </w:t>
      </w:r>
      <w:r w:rsidR="0090364F" w:rsidRPr="004A0E75">
        <w:rPr>
          <w:rFonts w:eastAsia="Times New Roman" w:cs="Arial"/>
          <w:color w:val="000000"/>
          <w:szCs w:val="24"/>
          <w:lang w:val="it-IT" w:eastAsia="it-CH"/>
        </w:rPr>
        <w:t>m</w:t>
      </w:r>
      <w:r w:rsidR="0090364F" w:rsidRPr="004A0E75">
        <w:rPr>
          <w:rFonts w:eastAsia="Times New Roman" w:cs="Arial"/>
          <w:color w:val="000000"/>
          <w:szCs w:val="24"/>
          <w:vertAlign w:val="superscript"/>
          <w:lang w:val="it-IT" w:eastAsia="it-CH"/>
        </w:rPr>
        <w:t>2</w:t>
      </w:r>
      <w:r w:rsidRPr="004A0E75">
        <w:rPr>
          <w:rFonts w:eastAsia="Times New Roman" w:cs="Arial"/>
          <w:color w:val="000000"/>
          <w:szCs w:val="24"/>
          <w:lang w:val="it-IT" w:eastAsia="it-IT"/>
        </w:rPr>
        <w:t xml:space="preserve"> nel 2018 per poi affermarsi a 1’682 </w:t>
      </w:r>
      <w:r w:rsidR="0090364F" w:rsidRPr="004A0E75">
        <w:rPr>
          <w:rFonts w:eastAsia="Times New Roman" w:cs="Arial"/>
          <w:color w:val="000000"/>
          <w:szCs w:val="24"/>
          <w:lang w:val="it-IT" w:eastAsia="it-CH"/>
        </w:rPr>
        <w:t>m</w:t>
      </w:r>
      <w:r w:rsidR="0090364F" w:rsidRPr="004A0E75">
        <w:rPr>
          <w:rFonts w:eastAsia="Times New Roman" w:cs="Arial"/>
          <w:color w:val="000000"/>
          <w:szCs w:val="24"/>
          <w:vertAlign w:val="superscript"/>
          <w:lang w:val="it-IT" w:eastAsia="it-CH"/>
        </w:rPr>
        <w:t>2</w:t>
      </w:r>
      <w:r w:rsidRPr="004A0E75">
        <w:rPr>
          <w:rFonts w:eastAsia="Times New Roman" w:cs="Arial"/>
          <w:color w:val="000000"/>
          <w:szCs w:val="24"/>
          <w:lang w:val="it-IT" w:eastAsia="it-IT"/>
        </w:rPr>
        <w:t xml:space="preserve"> nel 2020 a seguito delle ultime decisioni parlamentari in merito alla suddivisione delle Corti.</w:t>
      </w:r>
    </w:p>
    <w:p w:rsidR="00E16C84" w:rsidRPr="004A0E75" w:rsidRDefault="00E16C84" w:rsidP="004A0E75">
      <w:pPr>
        <w:rPr>
          <w:rFonts w:eastAsia="Times New Roman" w:cs="Arial"/>
          <w:color w:val="000000"/>
          <w:szCs w:val="24"/>
          <w:lang w:val="it-IT" w:eastAsia="it-IT"/>
        </w:rPr>
      </w:pPr>
    </w:p>
    <w:p w:rsidR="004A0E75" w:rsidRDefault="004A0E75" w:rsidP="004A0E75">
      <w:pPr>
        <w:rPr>
          <w:rFonts w:eastAsia="Times New Roman" w:cs="Arial"/>
          <w:color w:val="000000"/>
          <w:szCs w:val="24"/>
          <w:lang w:val="it-IT" w:eastAsia="it-CH"/>
        </w:rPr>
      </w:pPr>
      <w:r w:rsidRPr="004A0E75">
        <w:rPr>
          <w:rFonts w:eastAsia="Times New Roman" w:cs="Arial"/>
          <w:color w:val="000000"/>
          <w:szCs w:val="24"/>
          <w:lang w:val="it-IT" w:eastAsia="it-IT"/>
        </w:rPr>
        <w:t xml:space="preserve">In questa superficie è compresa l’aula del tribunale </w:t>
      </w:r>
      <w:r w:rsidRPr="004A0E75">
        <w:rPr>
          <w:rFonts w:eastAsia="Times New Roman" w:cs="Arial"/>
          <w:color w:val="000000"/>
          <w:szCs w:val="24"/>
          <w:lang w:val="it-IT" w:eastAsia="it-CH"/>
        </w:rPr>
        <w:t>che, compatibilmente alle esigenze della Corte di appello, potrà essere usata a titolo sussidiario dalle varie istanze cantonali, come già oggi avviene, per l’aula del Tribunale penale federale.</w:t>
      </w:r>
    </w:p>
    <w:p w:rsidR="00E16C84" w:rsidRPr="004A0E75" w:rsidRDefault="00E16C84" w:rsidP="004A0E75">
      <w:pPr>
        <w:rPr>
          <w:rFonts w:eastAsia="Times New Roman" w:cs="Arial"/>
          <w:color w:val="000000"/>
          <w:szCs w:val="24"/>
          <w:lang w:val="it-IT" w:eastAsia="it-CH"/>
        </w:rPr>
      </w:pPr>
    </w:p>
    <w:p w:rsidR="004A0E75" w:rsidRPr="004A0E75" w:rsidRDefault="004A0E75" w:rsidP="004A0E75">
      <w:pPr>
        <w:rPr>
          <w:rFonts w:eastAsia="Times New Roman" w:cs="Arial"/>
          <w:color w:val="000000"/>
          <w:szCs w:val="24"/>
          <w:lang w:val="it-IT" w:eastAsia="it-IT"/>
        </w:rPr>
      </w:pPr>
      <w:r w:rsidRPr="004A0E75">
        <w:rPr>
          <w:rFonts w:eastAsia="Times New Roman" w:cs="Arial"/>
          <w:color w:val="000000"/>
          <w:szCs w:val="24"/>
          <w:lang w:val="it-IT" w:eastAsia="it-IT"/>
        </w:rPr>
        <w:t>Per la quantificazione della pigione</w:t>
      </w:r>
      <w:r w:rsidRPr="004A0E75">
        <w:rPr>
          <w:rFonts w:eastAsia="Times New Roman" w:cs="Arial"/>
          <w:color w:val="000000"/>
          <w:szCs w:val="24"/>
          <w:lang w:val="it-IT" w:eastAsia="it-CH"/>
        </w:rPr>
        <w:t xml:space="preserve"> è stato incaricato lo studio </w:t>
      </w:r>
      <w:proofErr w:type="spellStart"/>
      <w:r w:rsidRPr="004A0E75">
        <w:rPr>
          <w:rFonts w:eastAsia="Times New Roman" w:cs="Arial"/>
          <w:color w:val="000000"/>
          <w:szCs w:val="24"/>
          <w:lang w:val="it-IT" w:eastAsia="it-IT"/>
        </w:rPr>
        <w:t>Wüest</w:t>
      </w:r>
      <w:proofErr w:type="spellEnd"/>
      <w:r w:rsidRPr="004A0E75">
        <w:rPr>
          <w:rFonts w:eastAsia="Times New Roman" w:cs="Arial"/>
          <w:color w:val="000000"/>
          <w:szCs w:val="24"/>
          <w:lang w:val="it-IT" w:eastAsia="it-IT"/>
        </w:rPr>
        <w:t xml:space="preserve"> Partner SA. Il costo è stato valutato in fr. 285.-/</w:t>
      </w:r>
      <w:r w:rsidRPr="004A0E75">
        <w:rPr>
          <w:rFonts w:eastAsia="Times New Roman" w:cs="Arial"/>
          <w:color w:val="000000"/>
          <w:szCs w:val="24"/>
          <w:lang w:val="it-IT" w:eastAsia="it-CH"/>
        </w:rPr>
        <w:t>m</w:t>
      </w:r>
      <w:r w:rsidRPr="004A0E75">
        <w:rPr>
          <w:rFonts w:eastAsia="Times New Roman" w:cs="Arial"/>
          <w:color w:val="000000"/>
          <w:szCs w:val="24"/>
          <w:vertAlign w:val="superscript"/>
          <w:lang w:val="it-IT" w:eastAsia="it-CH"/>
        </w:rPr>
        <w:t>2</w:t>
      </w:r>
      <w:r w:rsidRPr="004A0E75">
        <w:rPr>
          <w:rFonts w:eastAsia="Times New Roman" w:cs="Arial"/>
          <w:color w:val="000000"/>
          <w:szCs w:val="24"/>
          <w:lang w:val="it-IT" w:eastAsia="it-IT"/>
        </w:rPr>
        <w:t xml:space="preserve"> che indicizzato al 57% come previsto dall’art. 4.5 della Convenzione di principio equivale a fr. 162.45/</w:t>
      </w:r>
      <w:r w:rsidRPr="004A0E75">
        <w:rPr>
          <w:rFonts w:eastAsia="Times New Roman" w:cs="Arial"/>
          <w:color w:val="000000"/>
          <w:szCs w:val="24"/>
          <w:lang w:val="it-IT" w:eastAsia="it-CH"/>
        </w:rPr>
        <w:t>m</w:t>
      </w:r>
      <w:r w:rsidRPr="004A0E75">
        <w:rPr>
          <w:rFonts w:eastAsia="Times New Roman" w:cs="Arial"/>
          <w:color w:val="000000"/>
          <w:szCs w:val="24"/>
          <w:vertAlign w:val="superscript"/>
          <w:lang w:val="it-IT" w:eastAsia="it-CH"/>
        </w:rPr>
        <w:t>2</w:t>
      </w:r>
      <w:r w:rsidRPr="004A0E75">
        <w:rPr>
          <w:rFonts w:eastAsia="Times New Roman" w:cs="Arial"/>
          <w:color w:val="000000"/>
          <w:szCs w:val="24"/>
          <w:lang w:val="it-IT" w:eastAsia="it-CH"/>
        </w:rPr>
        <w:t>. Mentre il costo delle superfici ai piani interrati corrisponde a fr. 109.60/m</w:t>
      </w:r>
      <w:r w:rsidRPr="004A0E75">
        <w:rPr>
          <w:rFonts w:eastAsia="Times New Roman" w:cs="Arial"/>
          <w:color w:val="000000"/>
          <w:szCs w:val="24"/>
          <w:vertAlign w:val="superscript"/>
          <w:lang w:val="it-IT" w:eastAsia="it-CH"/>
        </w:rPr>
        <w:t>2</w:t>
      </w:r>
      <w:r w:rsidRPr="004A0E75">
        <w:rPr>
          <w:rFonts w:eastAsia="Times New Roman" w:cs="Arial"/>
          <w:color w:val="000000"/>
          <w:szCs w:val="24"/>
          <w:lang w:val="it-IT" w:eastAsia="it-CH"/>
        </w:rPr>
        <w:t xml:space="preserve">. </w:t>
      </w:r>
    </w:p>
    <w:p w:rsidR="004A0E75" w:rsidRPr="004A0E75" w:rsidRDefault="004A0E75" w:rsidP="004A0E75">
      <w:pPr>
        <w:rPr>
          <w:rFonts w:eastAsia="Times New Roman" w:cs="Arial"/>
          <w:color w:val="000000"/>
          <w:szCs w:val="24"/>
          <w:lang w:val="it-IT" w:eastAsia="it-CH"/>
        </w:rPr>
      </w:pPr>
    </w:p>
    <w:p w:rsidR="004A0E75" w:rsidRPr="004A0E75" w:rsidRDefault="004A0E75" w:rsidP="004A0E75">
      <w:pPr>
        <w:spacing w:after="120"/>
        <w:rPr>
          <w:rFonts w:eastAsia="Times New Roman" w:cs="Arial"/>
          <w:color w:val="000000"/>
          <w:szCs w:val="24"/>
          <w:lang w:val="it-IT" w:eastAsia="it-CH"/>
        </w:rPr>
      </w:pPr>
      <w:r w:rsidRPr="004A0E75">
        <w:rPr>
          <w:rFonts w:eastAsia="Times New Roman" w:cs="Arial"/>
          <w:color w:val="000000"/>
          <w:szCs w:val="24"/>
          <w:lang w:val="it-IT" w:eastAsia="it-CH"/>
        </w:rPr>
        <w:t>Le principali caratteristiche del contratto sono le seguenti:</w:t>
      </w:r>
    </w:p>
    <w:p w:rsidR="004A0E75" w:rsidRPr="004A0E75" w:rsidRDefault="004A0E75" w:rsidP="009F6ABA">
      <w:pPr>
        <w:numPr>
          <w:ilvl w:val="0"/>
          <w:numId w:val="16"/>
        </w:numPr>
        <w:spacing w:before="120" w:after="120"/>
        <w:ind w:left="284" w:hanging="284"/>
        <w:rPr>
          <w:rFonts w:eastAsia="Times New Roman" w:cs="Arial"/>
          <w:color w:val="000000"/>
          <w:szCs w:val="24"/>
          <w:lang w:val="it-IT" w:eastAsia="it-CH"/>
        </w:rPr>
      </w:pPr>
      <w:r w:rsidRPr="004A0E75">
        <w:rPr>
          <w:rFonts w:eastAsia="Times New Roman" w:cs="Arial"/>
          <w:color w:val="000000"/>
          <w:szCs w:val="24"/>
          <w:lang w:val="it-IT" w:eastAsia="it-CH"/>
        </w:rPr>
        <w:t xml:space="preserve">Le superfici locate sono composte da 1682 </w:t>
      </w:r>
      <w:r w:rsidR="0090364F" w:rsidRPr="004A0E75">
        <w:rPr>
          <w:rFonts w:eastAsia="Times New Roman" w:cs="Arial"/>
          <w:color w:val="000000"/>
          <w:szCs w:val="24"/>
          <w:lang w:val="it-IT" w:eastAsia="it-CH"/>
        </w:rPr>
        <w:t>m</w:t>
      </w:r>
      <w:r w:rsidR="0090364F" w:rsidRPr="004A0E75">
        <w:rPr>
          <w:rFonts w:eastAsia="Times New Roman" w:cs="Arial"/>
          <w:color w:val="000000"/>
          <w:szCs w:val="24"/>
          <w:vertAlign w:val="superscript"/>
          <w:lang w:val="it-IT" w:eastAsia="it-CH"/>
        </w:rPr>
        <w:t>2</w:t>
      </w:r>
      <w:r w:rsidRPr="004A0E75">
        <w:rPr>
          <w:rFonts w:eastAsia="Times New Roman" w:cs="Arial"/>
          <w:color w:val="000000"/>
          <w:szCs w:val="24"/>
          <w:lang w:val="it-IT" w:eastAsia="it-CH"/>
        </w:rPr>
        <w:t xml:space="preserve"> di superficie ad uso esclusivo fuori terra computati al 100% e 304.50 </w:t>
      </w:r>
      <w:r w:rsidR="0090364F" w:rsidRPr="004A0E75">
        <w:rPr>
          <w:rFonts w:eastAsia="Times New Roman" w:cs="Arial"/>
          <w:color w:val="000000"/>
          <w:szCs w:val="24"/>
          <w:lang w:val="it-IT" w:eastAsia="it-CH"/>
        </w:rPr>
        <w:t>m</w:t>
      </w:r>
      <w:r w:rsidR="0090364F" w:rsidRPr="004A0E75">
        <w:rPr>
          <w:rFonts w:eastAsia="Times New Roman" w:cs="Arial"/>
          <w:color w:val="000000"/>
          <w:szCs w:val="24"/>
          <w:vertAlign w:val="superscript"/>
          <w:lang w:val="it-IT" w:eastAsia="it-CH"/>
        </w:rPr>
        <w:t>2</w:t>
      </w:r>
      <w:r w:rsidRPr="004A0E75">
        <w:rPr>
          <w:rFonts w:eastAsia="Times New Roman" w:cs="Arial"/>
          <w:color w:val="000000"/>
          <w:szCs w:val="24"/>
          <w:lang w:val="it-IT" w:eastAsia="it-CH"/>
        </w:rPr>
        <w:t xml:space="preserve"> ad uso condiviso fuori terra computati al 50%. Mentre ai piani interrati è locata una superficie di 757 </w:t>
      </w:r>
      <w:r w:rsidR="0090364F" w:rsidRPr="004A0E75">
        <w:rPr>
          <w:rFonts w:eastAsia="Times New Roman" w:cs="Arial"/>
          <w:color w:val="000000"/>
          <w:szCs w:val="24"/>
          <w:lang w:val="it-IT" w:eastAsia="it-CH"/>
        </w:rPr>
        <w:t>m</w:t>
      </w:r>
      <w:r w:rsidR="0090364F" w:rsidRPr="004A0E75">
        <w:rPr>
          <w:rFonts w:eastAsia="Times New Roman" w:cs="Arial"/>
          <w:color w:val="000000"/>
          <w:szCs w:val="24"/>
          <w:vertAlign w:val="superscript"/>
          <w:lang w:val="it-IT" w:eastAsia="it-CH"/>
        </w:rPr>
        <w:t>2</w:t>
      </w:r>
      <w:r w:rsidRPr="004A0E75">
        <w:rPr>
          <w:rFonts w:eastAsia="Times New Roman" w:cs="Arial"/>
          <w:color w:val="000000"/>
          <w:szCs w:val="24"/>
          <w:lang w:val="it-IT" w:eastAsia="it-CH"/>
        </w:rPr>
        <w:t xml:space="preserve"> di cui 141 </w:t>
      </w:r>
      <w:r w:rsidR="0090364F" w:rsidRPr="004A0E75">
        <w:rPr>
          <w:rFonts w:eastAsia="Times New Roman" w:cs="Arial"/>
          <w:color w:val="000000"/>
          <w:szCs w:val="24"/>
          <w:lang w:val="it-IT" w:eastAsia="it-CH"/>
        </w:rPr>
        <w:t>m</w:t>
      </w:r>
      <w:r w:rsidR="0090364F" w:rsidRPr="004A0E75">
        <w:rPr>
          <w:rFonts w:eastAsia="Times New Roman" w:cs="Arial"/>
          <w:color w:val="000000"/>
          <w:szCs w:val="24"/>
          <w:vertAlign w:val="superscript"/>
          <w:lang w:val="it-IT" w:eastAsia="it-CH"/>
        </w:rPr>
        <w:t>2</w:t>
      </w:r>
      <w:r w:rsidR="0090364F">
        <w:rPr>
          <w:rFonts w:eastAsia="Times New Roman" w:cs="Arial"/>
          <w:color w:val="000000"/>
          <w:szCs w:val="24"/>
          <w:vertAlign w:val="superscript"/>
          <w:lang w:val="it-IT" w:eastAsia="it-CH"/>
        </w:rPr>
        <w:t xml:space="preserve"> </w:t>
      </w:r>
      <w:r w:rsidRPr="004A0E75">
        <w:rPr>
          <w:rFonts w:eastAsia="Times New Roman" w:cs="Arial"/>
          <w:color w:val="000000"/>
          <w:szCs w:val="24"/>
          <w:lang w:val="it-IT" w:eastAsia="it-CH"/>
        </w:rPr>
        <w:t xml:space="preserve">ad uso esclusivo computati </w:t>
      </w:r>
      <w:r w:rsidRPr="004A0E75">
        <w:rPr>
          <w:rFonts w:eastAsia="Times New Roman" w:cs="Arial"/>
          <w:color w:val="000000"/>
          <w:szCs w:val="24"/>
          <w:lang w:val="it-IT" w:eastAsia="it-CH"/>
        </w:rPr>
        <w:lastRenderedPageBreak/>
        <w:t xml:space="preserve">al 100% e 616 </w:t>
      </w:r>
      <w:r w:rsidR="0090364F" w:rsidRPr="004A0E75">
        <w:rPr>
          <w:rFonts w:eastAsia="Times New Roman" w:cs="Arial"/>
          <w:color w:val="000000"/>
          <w:szCs w:val="24"/>
          <w:lang w:val="it-IT" w:eastAsia="it-CH"/>
        </w:rPr>
        <w:t>m</w:t>
      </w:r>
      <w:r w:rsidR="0090364F" w:rsidRPr="004A0E75">
        <w:rPr>
          <w:rFonts w:eastAsia="Times New Roman" w:cs="Arial"/>
          <w:color w:val="000000"/>
          <w:szCs w:val="24"/>
          <w:vertAlign w:val="superscript"/>
          <w:lang w:val="it-IT" w:eastAsia="it-CH"/>
        </w:rPr>
        <w:t>2</w:t>
      </w:r>
      <w:r w:rsidRPr="004A0E75">
        <w:rPr>
          <w:rFonts w:eastAsia="Times New Roman" w:cs="Arial"/>
          <w:color w:val="000000"/>
          <w:szCs w:val="24"/>
          <w:lang w:val="it-IT" w:eastAsia="it-CH"/>
        </w:rPr>
        <w:t xml:space="preserve"> ad uso condiviso computati al 50%. Inoltre sono locati anche 2 posteggi nell’autorimessa.</w:t>
      </w:r>
    </w:p>
    <w:p w:rsidR="004A0E75" w:rsidRPr="004A0E75" w:rsidRDefault="004A0E75" w:rsidP="009F6ABA">
      <w:pPr>
        <w:numPr>
          <w:ilvl w:val="0"/>
          <w:numId w:val="16"/>
        </w:numPr>
        <w:spacing w:before="120" w:after="120"/>
        <w:ind w:left="284" w:hanging="284"/>
        <w:rPr>
          <w:rFonts w:eastAsia="Times New Roman" w:cs="Arial"/>
          <w:color w:val="000000"/>
          <w:szCs w:val="24"/>
          <w:lang w:val="it-IT" w:eastAsia="it-CH"/>
        </w:rPr>
      </w:pPr>
      <w:r w:rsidRPr="004A0E75">
        <w:rPr>
          <w:rFonts w:eastAsia="Times New Roman" w:cs="Arial"/>
          <w:color w:val="000000"/>
          <w:szCs w:val="24"/>
          <w:lang w:val="it-IT" w:eastAsia="it-CH"/>
        </w:rPr>
        <w:t xml:space="preserve">Il contratto di locazione è di durata indeterminata. </w:t>
      </w:r>
    </w:p>
    <w:p w:rsidR="004A0E75" w:rsidRPr="004A0E75" w:rsidRDefault="004A0E75" w:rsidP="009F6ABA">
      <w:pPr>
        <w:numPr>
          <w:ilvl w:val="0"/>
          <w:numId w:val="16"/>
        </w:numPr>
        <w:spacing w:before="120" w:after="120"/>
        <w:ind w:left="284" w:hanging="284"/>
        <w:rPr>
          <w:rFonts w:eastAsia="Times New Roman" w:cs="Arial"/>
          <w:color w:val="000000"/>
          <w:szCs w:val="24"/>
          <w:lang w:val="it-IT" w:eastAsia="it-CH"/>
        </w:rPr>
      </w:pPr>
      <w:r w:rsidRPr="004A0E75">
        <w:rPr>
          <w:rFonts w:eastAsia="Times New Roman" w:cs="Arial"/>
          <w:color w:val="000000"/>
          <w:szCs w:val="24"/>
          <w:lang w:val="it-IT" w:eastAsia="it-CH"/>
        </w:rPr>
        <w:t>L’obiettivo condiviso del contratto è quello di escludere una disdetta del locatore prima dei venti anni. La prima disdetta potrà essere data da parte del locatore con preavviso di 12 mesi dopo 20 anni dal momento della consegna degli spazi, da parte del conduttore con un preavviso di 12 mesi dopo 10 anni.</w:t>
      </w:r>
    </w:p>
    <w:p w:rsidR="004A0E75" w:rsidRPr="004A0E75" w:rsidRDefault="004A0E75" w:rsidP="009F6ABA">
      <w:pPr>
        <w:numPr>
          <w:ilvl w:val="0"/>
          <w:numId w:val="16"/>
        </w:numPr>
        <w:spacing w:before="120" w:after="120"/>
        <w:ind w:left="284" w:hanging="284"/>
        <w:rPr>
          <w:rFonts w:eastAsia="Times New Roman" w:cs="Arial"/>
          <w:color w:val="000000"/>
          <w:szCs w:val="24"/>
          <w:lang w:val="it-IT" w:eastAsia="it-CH"/>
        </w:rPr>
      </w:pPr>
      <w:r w:rsidRPr="004A0E75">
        <w:rPr>
          <w:rFonts w:eastAsia="Times New Roman" w:cs="Arial"/>
          <w:color w:val="000000"/>
          <w:szCs w:val="24"/>
          <w:lang w:val="it-IT" w:eastAsia="it-CH"/>
        </w:rPr>
        <w:t>In caso di mancato utilizzo, il conduttore ha diritto a ridurre le superfici locate restituendole al locatore non prima di 10 anni. I nuovi servizi dovranno essere compatibili con i servizi giudiziari insediati.</w:t>
      </w:r>
    </w:p>
    <w:p w:rsidR="004A0E75" w:rsidRPr="004A0E75" w:rsidRDefault="004A0E75" w:rsidP="009F6ABA">
      <w:pPr>
        <w:numPr>
          <w:ilvl w:val="0"/>
          <w:numId w:val="16"/>
        </w:numPr>
        <w:spacing w:before="120" w:after="120"/>
        <w:ind w:left="284" w:hanging="284"/>
        <w:rPr>
          <w:rFonts w:eastAsia="Times New Roman" w:cs="Arial"/>
          <w:color w:val="000000"/>
          <w:szCs w:val="24"/>
          <w:lang w:val="it-IT" w:eastAsia="it-CH"/>
        </w:rPr>
      </w:pPr>
      <w:r w:rsidRPr="004A0E75">
        <w:rPr>
          <w:rFonts w:eastAsia="Times New Roman" w:cs="Arial"/>
          <w:color w:val="000000"/>
          <w:szCs w:val="24"/>
          <w:lang w:val="it-IT" w:eastAsia="it-CH"/>
        </w:rPr>
        <w:t>La pigione annua per gli spazi locati ammonta a fr. 410’473.80, escluse le spese accessorie pari a fr. 59'</w:t>
      </w:r>
      <w:proofErr w:type="gramStart"/>
      <w:r w:rsidRPr="004A0E75">
        <w:rPr>
          <w:rFonts w:eastAsia="Times New Roman" w:cs="Arial"/>
          <w:color w:val="000000"/>
          <w:szCs w:val="24"/>
          <w:lang w:val="it-IT" w:eastAsia="it-CH"/>
        </w:rPr>
        <w:t>592.</w:t>
      </w:r>
      <w:r w:rsidR="000A4B9D">
        <w:rPr>
          <w:rFonts w:eastAsia="Times New Roman" w:cs="Arial"/>
          <w:color w:val="000000"/>
          <w:szCs w:val="24"/>
          <w:lang w:val="it-IT" w:eastAsia="it-CH"/>
        </w:rPr>
        <w:t>-</w:t>
      </w:r>
      <w:proofErr w:type="gramEnd"/>
      <w:r w:rsidRPr="004A0E75">
        <w:rPr>
          <w:rFonts w:eastAsia="Times New Roman" w:cs="Arial"/>
          <w:color w:val="000000"/>
          <w:szCs w:val="24"/>
          <w:lang w:val="it-IT" w:eastAsia="it-CH"/>
        </w:rPr>
        <w:t xml:space="preserve"> annui.</w:t>
      </w:r>
    </w:p>
    <w:p w:rsidR="004A0E75" w:rsidRPr="004A0E75" w:rsidRDefault="004A0E75" w:rsidP="009F6ABA">
      <w:pPr>
        <w:numPr>
          <w:ilvl w:val="0"/>
          <w:numId w:val="16"/>
        </w:numPr>
        <w:spacing w:before="120"/>
        <w:ind w:left="284" w:hanging="284"/>
        <w:rPr>
          <w:rFonts w:eastAsia="Times New Roman" w:cs="Arial"/>
          <w:color w:val="000000"/>
          <w:szCs w:val="24"/>
          <w:lang w:val="it-IT" w:eastAsia="it-CH"/>
        </w:rPr>
      </w:pPr>
      <w:r w:rsidRPr="004A0E75">
        <w:rPr>
          <w:rFonts w:eastAsia="Times New Roman" w:cs="Arial"/>
          <w:color w:val="000000"/>
          <w:szCs w:val="24"/>
          <w:lang w:val="it-IT" w:eastAsia="it-CH"/>
        </w:rPr>
        <w:t>I costi inerenti alla sicurezza del locale visitatori superiori allo standard di sicurezza dell’Amministrazione cantonale saranno integralmente a carico del conduttore, compresa la manutenzione dei relativi impianti.</w:t>
      </w:r>
    </w:p>
    <w:p w:rsidR="004A0E75" w:rsidRDefault="004A0E75" w:rsidP="004A0E75">
      <w:pPr>
        <w:ind w:left="567" w:hanging="567"/>
        <w:rPr>
          <w:rFonts w:eastAsia="Times New Roman" w:cs="Arial"/>
          <w:color w:val="000000"/>
          <w:szCs w:val="24"/>
          <w:lang w:val="it-IT" w:eastAsia="it-IT"/>
        </w:rPr>
      </w:pPr>
    </w:p>
    <w:p w:rsidR="00E5507C" w:rsidRDefault="00E5507C" w:rsidP="004A0E75">
      <w:pPr>
        <w:ind w:left="567" w:hanging="567"/>
        <w:rPr>
          <w:rFonts w:eastAsia="Times New Roman" w:cs="Arial"/>
          <w:color w:val="000000"/>
          <w:szCs w:val="24"/>
          <w:lang w:val="it-IT" w:eastAsia="it-IT"/>
        </w:rPr>
      </w:pPr>
    </w:p>
    <w:p w:rsidR="00E5507C" w:rsidRDefault="00E5507C" w:rsidP="004A0E75">
      <w:pPr>
        <w:ind w:left="567" w:hanging="567"/>
        <w:rPr>
          <w:rFonts w:eastAsia="Times New Roman" w:cs="Arial"/>
          <w:color w:val="000000"/>
          <w:szCs w:val="24"/>
          <w:lang w:val="it-IT" w:eastAsia="it-IT"/>
        </w:rPr>
      </w:pPr>
    </w:p>
    <w:p w:rsidR="004A0E75" w:rsidRPr="004A0E75" w:rsidRDefault="00626012" w:rsidP="00626012">
      <w:pPr>
        <w:pStyle w:val="Titolo1"/>
      </w:pPr>
      <w:r>
        <w:t>3.</w:t>
      </w:r>
      <w:r>
        <w:tab/>
      </w:r>
      <w:r w:rsidR="00E16C84">
        <w:t>Il progetto di ampliamento del P</w:t>
      </w:r>
      <w:r w:rsidR="004A0E75" w:rsidRPr="004A0E75">
        <w:t>retorio</w:t>
      </w:r>
    </w:p>
    <w:p w:rsidR="00E16C84" w:rsidRPr="004A0E75" w:rsidRDefault="004A0E75" w:rsidP="004A0E75">
      <w:pPr>
        <w:tabs>
          <w:tab w:val="left" w:pos="851"/>
        </w:tabs>
        <w:rPr>
          <w:rFonts w:eastAsia="Times New Roman" w:cs="Arial"/>
          <w:color w:val="000000"/>
          <w:szCs w:val="24"/>
          <w:lang w:val="it-IT" w:eastAsia="it-IT"/>
        </w:rPr>
      </w:pPr>
      <w:r w:rsidRPr="004A0E75">
        <w:rPr>
          <w:rFonts w:eastAsia="Times New Roman" w:cs="Arial"/>
          <w:color w:val="000000"/>
          <w:szCs w:val="24"/>
          <w:lang w:val="it-IT" w:eastAsia="it-IT"/>
        </w:rPr>
        <w:t xml:space="preserve">La Corte d’appello federale sarà insediata principalmente su due piani del Pretorio (superfici evidenziate in verde). </w:t>
      </w:r>
    </w:p>
    <w:p w:rsidR="004A0E75" w:rsidRPr="004A0E75" w:rsidRDefault="004A0E75" w:rsidP="004A0E75">
      <w:pPr>
        <w:tabs>
          <w:tab w:val="left" w:pos="851"/>
        </w:tabs>
        <w:rPr>
          <w:rFonts w:eastAsia="Times New Roman" w:cs="Arial"/>
          <w:color w:val="000000"/>
          <w:szCs w:val="24"/>
          <w:lang w:val="it-IT" w:eastAsia="it-IT"/>
        </w:rPr>
      </w:pPr>
      <w:r w:rsidRPr="004A0E75">
        <w:rPr>
          <w:rFonts w:eastAsia="Times New Roman" w:cs="Arial"/>
          <w:color w:val="000000"/>
          <w:szCs w:val="24"/>
          <w:lang w:val="it-IT" w:eastAsia="it-IT"/>
        </w:rPr>
        <w:t xml:space="preserve">Al piano terreno saranno insediate le sale d’udienza e gli uffici dei giudici a latere, i locali di ricezione e di controllo, per garantire la sicurezza dell’edificio. </w:t>
      </w:r>
    </w:p>
    <w:p w:rsidR="004A0E75" w:rsidRPr="004A0E75" w:rsidRDefault="004A0E75" w:rsidP="004A0E75">
      <w:pPr>
        <w:tabs>
          <w:tab w:val="left" w:pos="851"/>
        </w:tabs>
        <w:rPr>
          <w:rFonts w:eastAsia="Times New Roman" w:cs="Arial"/>
          <w:color w:val="000000"/>
          <w:szCs w:val="24"/>
          <w:lang w:val="it-IT" w:eastAsia="it-IT"/>
        </w:rPr>
      </w:pPr>
      <w:r w:rsidRPr="004A0E75">
        <w:rPr>
          <w:rFonts w:eastAsia="Times New Roman" w:cs="Arial"/>
          <w:color w:val="000000"/>
          <w:szCs w:val="24"/>
          <w:lang w:val="it-IT" w:eastAsia="it-IT"/>
        </w:rPr>
        <w:t xml:space="preserve">Al 1° piano troverà spazio la parte amministrativa con i vari uffici della Corte d’appello. </w:t>
      </w:r>
    </w:p>
    <w:p w:rsidR="004A0E75" w:rsidRPr="004A0E75" w:rsidRDefault="004A0E75" w:rsidP="004A0E75">
      <w:pPr>
        <w:tabs>
          <w:tab w:val="left" w:pos="851"/>
        </w:tabs>
        <w:rPr>
          <w:rFonts w:eastAsia="Times New Roman" w:cs="Arial"/>
          <w:color w:val="000000"/>
          <w:szCs w:val="24"/>
          <w:lang w:val="it-IT" w:eastAsia="it-IT"/>
        </w:rPr>
      </w:pPr>
      <w:r w:rsidRPr="004A0E75">
        <w:rPr>
          <w:rFonts w:eastAsia="Times New Roman" w:cs="Arial"/>
          <w:color w:val="000000"/>
          <w:szCs w:val="24"/>
          <w:lang w:val="it-IT" w:eastAsia="it-IT"/>
        </w:rPr>
        <w:t xml:space="preserve">Ai piani sotterranei saranno locati unicamente alcuni depositi e due posteggi. </w:t>
      </w:r>
    </w:p>
    <w:p w:rsidR="004A0E75" w:rsidRPr="004A0E75" w:rsidRDefault="004A0E75" w:rsidP="004A0E75">
      <w:pPr>
        <w:tabs>
          <w:tab w:val="left" w:pos="851"/>
        </w:tabs>
        <w:rPr>
          <w:rFonts w:eastAsia="Times New Roman" w:cs="Arial"/>
          <w:color w:val="000000"/>
          <w:szCs w:val="24"/>
          <w:lang w:val="it-IT" w:eastAsia="it-IT"/>
        </w:rPr>
      </w:pPr>
      <w:r w:rsidRPr="004A0E75">
        <w:rPr>
          <w:rFonts w:eastAsia="Times New Roman" w:cs="Arial"/>
          <w:color w:val="000000"/>
          <w:szCs w:val="24"/>
          <w:lang w:val="it-IT" w:eastAsia="it-IT"/>
        </w:rPr>
        <w:t>In verde è evidenziata la superficie ad uso esclusivo, mentre in azzurro gli spazi ad uso condiviso.</w:t>
      </w:r>
    </w:p>
    <w:p w:rsidR="00E16C84" w:rsidRPr="004A0E75" w:rsidRDefault="00E16C84" w:rsidP="004A0E75">
      <w:pPr>
        <w:tabs>
          <w:tab w:val="left" w:pos="851"/>
        </w:tabs>
        <w:rPr>
          <w:rFonts w:eastAsia="Times New Roman" w:cs="Arial"/>
          <w:color w:val="000000"/>
          <w:szCs w:val="24"/>
          <w:lang w:val="it-IT" w:eastAsia="it-IT"/>
        </w:rPr>
      </w:pPr>
    </w:p>
    <w:p w:rsidR="004A0E75" w:rsidRPr="004A0E75" w:rsidRDefault="004A0E75" w:rsidP="004A0E75">
      <w:pPr>
        <w:tabs>
          <w:tab w:val="left" w:pos="851"/>
          <w:tab w:val="left" w:pos="5103"/>
          <w:tab w:val="left" w:pos="7513"/>
        </w:tabs>
        <w:rPr>
          <w:rFonts w:eastAsia="Times New Roman" w:cs="Arial"/>
          <w:color w:val="000000"/>
          <w:szCs w:val="24"/>
          <w:lang w:val="it-IT" w:eastAsia="it-IT"/>
        </w:rPr>
      </w:pPr>
      <w:r w:rsidRPr="004A0E75">
        <w:rPr>
          <w:rFonts w:eastAsia="Times New Roman" w:cs="Arial"/>
          <w:color w:val="000000"/>
          <w:szCs w:val="24"/>
          <w:lang w:val="it-IT" w:eastAsia="it-IT"/>
        </w:rPr>
        <w:t xml:space="preserve">      </w:t>
      </w:r>
      <w:r w:rsidR="00E5507C">
        <w:rPr>
          <w:rFonts w:eastAsia="Times New Roman" w:cs="Arial"/>
          <w:color w:val="000000"/>
          <w:szCs w:val="24"/>
          <w:lang w:val="it-IT" w:eastAsia="it-IT"/>
        </w:rPr>
        <w:t xml:space="preserve">         </w:t>
      </w:r>
      <w:r w:rsidRPr="004A0E75">
        <w:rPr>
          <w:rFonts w:eastAsia="Times New Roman" w:cs="Arial"/>
          <w:color w:val="000000"/>
          <w:szCs w:val="24"/>
          <w:lang w:val="it-IT" w:eastAsia="it-IT"/>
        </w:rPr>
        <w:t xml:space="preserve"> 2° Piano interrato</w:t>
      </w:r>
      <w:r w:rsidRPr="004A0E75">
        <w:rPr>
          <w:rFonts w:eastAsia="Times New Roman" w:cs="Arial"/>
          <w:color w:val="000000"/>
          <w:szCs w:val="24"/>
          <w:lang w:val="it-IT" w:eastAsia="it-IT"/>
        </w:rPr>
        <w:tab/>
      </w:r>
      <w:r w:rsidR="00E5507C">
        <w:rPr>
          <w:rFonts w:eastAsia="Times New Roman" w:cs="Arial"/>
          <w:color w:val="000000"/>
          <w:szCs w:val="24"/>
          <w:lang w:val="it-IT" w:eastAsia="it-IT"/>
        </w:rPr>
        <w:t xml:space="preserve"> </w:t>
      </w:r>
      <w:r w:rsidRPr="004A0E75">
        <w:rPr>
          <w:rFonts w:eastAsia="Times New Roman" w:cs="Arial"/>
          <w:color w:val="000000"/>
          <w:szCs w:val="24"/>
          <w:lang w:val="it-IT" w:eastAsia="it-IT"/>
        </w:rPr>
        <w:t xml:space="preserve">      1° Piano interrato</w:t>
      </w:r>
      <w:r w:rsidRPr="004A0E75">
        <w:rPr>
          <w:rFonts w:eastAsia="Times New Roman" w:cs="Arial"/>
          <w:color w:val="000000"/>
          <w:szCs w:val="24"/>
          <w:lang w:val="it-IT" w:eastAsia="it-IT"/>
        </w:rPr>
        <w:tab/>
      </w:r>
    </w:p>
    <w:p w:rsidR="004A0E75" w:rsidRPr="004A0E75" w:rsidRDefault="004A0E75" w:rsidP="004A0E75">
      <w:pPr>
        <w:tabs>
          <w:tab w:val="left" w:pos="851"/>
          <w:tab w:val="left" w:pos="2694"/>
          <w:tab w:val="left" w:pos="5103"/>
          <w:tab w:val="left" w:pos="7513"/>
        </w:tabs>
        <w:rPr>
          <w:rFonts w:eastAsia="Times New Roman" w:cs="Arial"/>
          <w:color w:val="000000"/>
          <w:szCs w:val="24"/>
          <w:lang w:val="it-IT" w:eastAsia="it-IT"/>
        </w:rPr>
      </w:pPr>
    </w:p>
    <w:p w:rsidR="004A0E75" w:rsidRPr="004A0E75" w:rsidRDefault="004A0E75" w:rsidP="004A0E75">
      <w:pPr>
        <w:tabs>
          <w:tab w:val="left" w:pos="851"/>
          <w:tab w:val="left" w:pos="2694"/>
          <w:tab w:val="left" w:pos="5103"/>
          <w:tab w:val="left" w:pos="7513"/>
        </w:tabs>
        <w:rPr>
          <w:rFonts w:eastAsia="Times New Roman" w:cs="Arial"/>
          <w:color w:val="000000"/>
          <w:szCs w:val="24"/>
          <w:lang w:val="it-IT" w:eastAsia="it-IT"/>
        </w:rPr>
      </w:pPr>
    </w:p>
    <w:p w:rsidR="004A0E75" w:rsidRPr="004A0E75" w:rsidRDefault="004A0E75" w:rsidP="004A0E75">
      <w:pPr>
        <w:tabs>
          <w:tab w:val="left" w:pos="851"/>
          <w:tab w:val="left" w:pos="2694"/>
          <w:tab w:val="left" w:pos="5103"/>
          <w:tab w:val="left" w:pos="7513"/>
        </w:tabs>
        <w:rPr>
          <w:rFonts w:eastAsia="Times New Roman" w:cs="Arial"/>
          <w:color w:val="000000"/>
          <w:szCs w:val="24"/>
          <w:lang w:val="it-IT" w:eastAsia="it-IT"/>
        </w:rPr>
      </w:pPr>
      <w:r>
        <w:rPr>
          <w:noProof/>
          <w:lang w:eastAsia="it-CH"/>
        </w:rPr>
        <w:drawing>
          <wp:anchor distT="0" distB="0" distL="114300" distR="114300" simplePos="0" relativeHeight="251659264" behindDoc="1" locked="0" layoutInCell="1" allowOverlap="1">
            <wp:simplePos x="0" y="0"/>
            <wp:positionH relativeFrom="column">
              <wp:posOffset>-271864</wp:posOffset>
            </wp:positionH>
            <wp:positionV relativeFrom="paragraph">
              <wp:posOffset>204554</wp:posOffset>
            </wp:positionV>
            <wp:extent cx="3666022" cy="2809875"/>
            <wp:effectExtent l="8890" t="0" r="635" b="635"/>
            <wp:wrapNone/>
            <wp:docPr id="7"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3673723" cy="28157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0E75" w:rsidRPr="004A0E75" w:rsidRDefault="00E16C84" w:rsidP="004A0E75">
      <w:pPr>
        <w:tabs>
          <w:tab w:val="left" w:pos="851"/>
          <w:tab w:val="left" w:pos="2694"/>
          <w:tab w:val="left" w:pos="5103"/>
          <w:tab w:val="left" w:pos="7513"/>
        </w:tabs>
        <w:rPr>
          <w:rFonts w:eastAsia="Times New Roman" w:cs="Arial"/>
          <w:color w:val="000000"/>
          <w:szCs w:val="24"/>
          <w:lang w:val="it-IT" w:eastAsia="it-IT"/>
        </w:rPr>
      </w:pPr>
      <w:r>
        <w:rPr>
          <w:noProof/>
          <w:lang w:eastAsia="it-CH"/>
        </w:rPr>
        <w:drawing>
          <wp:anchor distT="0" distB="0" distL="114300" distR="114300" simplePos="0" relativeHeight="251660288" behindDoc="1" locked="0" layoutInCell="1" allowOverlap="1">
            <wp:simplePos x="0" y="0"/>
            <wp:positionH relativeFrom="column">
              <wp:posOffset>2923625</wp:posOffset>
            </wp:positionH>
            <wp:positionV relativeFrom="paragraph">
              <wp:posOffset>177080</wp:posOffset>
            </wp:positionV>
            <wp:extent cx="3609835" cy="2437733"/>
            <wp:effectExtent l="0" t="4445" r="5715" b="5715"/>
            <wp:wrapNone/>
            <wp:docPr id="6"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3615207" cy="24413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0E75" w:rsidRPr="004A0E75" w:rsidRDefault="004A0E75" w:rsidP="004A0E75">
      <w:pPr>
        <w:tabs>
          <w:tab w:val="left" w:pos="851"/>
          <w:tab w:val="left" w:pos="2694"/>
          <w:tab w:val="left" w:pos="5103"/>
          <w:tab w:val="left" w:pos="7513"/>
        </w:tabs>
        <w:rPr>
          <w:rFonts w:eastAsia="Times New Roman" w:cs="Arial"/>
          <w:color w:val="000000"/>
          <w:szCs w:val="24"/>
          <w:lang w:val="it-IT" w:eastAsia="it-IT"/>
        </w:rPr>
      </w:pPr>
    </w:p>
    <w:p w:rsidR="004A0E75" w:rsidRPr="004A0E75" w:rsidRDefault="004A0E75" w:rsidP="004A0E75">
      <w:pPr>
        <w:tabs>
          <w:tab w:val="left" w:pos="851"/>
          <w:tab w:val="left" w:pos="2694"/>
          <w:tab w:val="left" w:pos="5103"/>
          <w:tab w:val="left" w:pos="7513"/>
        </w:tabs>
        <w:rPr>
          <w:rFonts w:eastAsia="Times New Roman" w:cs="Arial"/>
          <w:color w:val="000000"/>
          <w:szCs w:val="24"/>
          <w:lang w:val="it-IT" w:eastAsia="it-IT"/>
        </w:rPr>
      </w:pPr>
    </w:p>
    <w:p w:rsidR="004A0E75" w:rsidRPr="004A0E75" w:rsidRDefault="004A0E75" w:rsidP="004A0E75">
      <w:pPr>
        <w:tabs>
          <w:tab w:val="left" w:pos="851"/>
          <w:tab w:val="left" w:pos="2694"/>
          <w:tab w:val="left" w:pos="5103"/>
          <w:tab w:val="left" w:pos="7513"/>
        </w:tabs>
        <w:rPr>
          <w:rFonts w:eastAsia="Times New Roman" w:cs="Arial"/>
          <w:color w:val="000000"/>
          <w:szCs w:val="24"/>
          <w:lang w:val="it-IT" w:eastAsia="it-IT"/>
        </w:rPr>
      </w:pPr>
    </w:p>
    <w:p w:rsidR="004A0E75" w:rsidRPr="004A0E75" w:rsidRDefault="004A0E75" w:rsidP="004A0E75">
      <w:pPr>
        <w:tabs>
          <w:tab w:val="left" w:pos="851"/>
          <w:tab w:val="left" w:pos="2694"/>
          <w:tab w:val="left" w:pos="5103"/>
          <w:tab w:val="left" w:pos="7513"/>
        </w:tabs>
        <w:rPr>
          <w:rFonts w:eastAsia="Times New Roman" w:cs="Arial"/>
          <w:color w:val="000000"/>
          <w:szCs w:val="24"/>
          <w:lang w:val="it-IT" w:eastAsia="it-IT"/>
        </w:rPr>
      </w:pPr>
    </w:p>
    <w:p w:rsidR="004A0E75" w:rsidRPr="004A0E75" w:rsidRDefault="004A0E75" w:rsidP="004A0E75">
      <w:pPr>
        <w:tabs>
          <w:tab w:val="left" w:pos="851"/>
          <w:tab w:val="left" w:pos="2694"/>
          <w:tab w:val="left" w:pos="5103"/>
          <w:tab w:val="left" w:pos="7513"/>
        </w:tabs>
        <w:rPr>
          <w:rFonts w:eastAsia="Times New Roman" w:cs="Arial"/>
          <w:color w:val="000000"/>
          <w:szCs w:val="24"/>
          <w:lang w:val="it-IT" w:eastAsia="it-IT"/>
        </w:rPr>
      </w:pPr>
    </w:p>
    <w:p w:rsidR="004A0E75" w:rsidRPr="004A0E75" w:rsidRDefault="004A0E75" w:rsidP="004A0E75">
      <w:pPr>
        <w:tabs>
          <w:tab w:val="left" w:pos="851"/>
          <w:tab w:val="left" w:pos="2694"/>
          <w:tab w:val="left" w:pos="5103"/>
          <w:tab w:val="left" w:pos="7513"/>
        </w:tabs>
        <w:rPr>
          <w:rFonts w:eastAsia="Times New Roman" w:cs="Arial"/>
          <w:color w:val="000000"/>
          <w:szCs w:val="24"/>
          <w:lang w:val="it-IT" w:eastAsia="it-IT"/>
        </w:rPr>
      </w:pPr>
    </w:p>
    <w:p w:rsidR="004A0E75" w:rsidRPr="004A0E75" w:rsidRDefault="004A0E75" w:rsidP="004A0E75">
      <w:pPr>
        <w:tabs>
          <w:tab w:val="left" w:pos="851"/>
          <w:tab w:val="left" w:pos="2694"/>
          <w:tab w:val="left" w:pos="5103"/>
          <w:tab w:val="left" w:pos="7513"/>
        </w:tabs>
        <w:rPr>
          <w:rFonts w:eastAsia="Times New Roman" w:cs="Arial"/>
          <w:color w:val="000000"/>
          <w:szCs w:val="24"/>
          <w:lang w:val="it-IT" w:eastAsia="it-IT"/>
        </w:rPr>
      </w:pPr>
    </w:p>
    <w:p w:rsidR="004A0E75" w:rsidRPr="004A0E75" w:rsidRDefault="004A0E75" w:rsidP="004A0E75">
      <w:pPr>
        <w:tabs>
          <w:tab w:val="left" w:pos="851"/>
          <w:tab w:val="left" w:pos="2694"/>
          <w:tab w:val="left" w:pos="5103"/>
          <w:tab w:val="left" w:pos="7513"/>
        </w:tabs>
        <w:rPr>
          <w:rFonts w:eastAsia="Times New Roman" w:cs="Arial"/>
          <w:color w:val="000000"/>
          <w:szCs w:val="24"/>
          <w:lang w:val="it-IT" w:eastAsia="it-IT"/>
        </w:rPr>
      </w:pPr>
    </w:p>
    <w:p w:rsidR="004A0E75" w:rsidRPr="004A0E75" w:rsidRDefault="004A0E75" w:rsidP="004A0E75">
      <w:pPr>
        <w:tabs>
          <w:tab w:val="left" w:pos="851"/>
          <w:tab w:val="left" w:pos="2694"/>
          <w:tab w:val="left" w:pos="5103"/>
          <w:tab w:val="left" w:pos="7513"/>
        </w:tabs>
        <w:rPr>
          <w:rFonts w:eastAsia="Times New Roman" w:cs="Arial"/>
          <w:color w:val="000000"/>
          <w:szCs w:val="24"/>
          <w:lang w:val="it-IT" w:eastAsia="it-IT"/>
        </w:rPr>
      </w:pPr>
    </w:p>
    <w:p w:rsidR="004A0E75" w:rsidRPr="004A0E75" w:rsidRDefault="004A0E75" w:rsidP="004A0E75">
      <w:pPr>
        <w:tabs>
          <w:tab w:val="left" w:pos="851"/>
          <w:tab w:val="left" w:pos="2694"/>
          <w:tab w:val="left" w:pos="5103"/>
          <w:tab w:val="left" w:pos="7513"/>
        </w:tabs>
        <w:rPr>
          <w:rFonts w:eastAsia="Times New Roman" w:cs="Arial"/>
          <w:color w:val="000000"/>
          <w:szCs w:val="24"/>
          <w:lang w:val="it-IT" w:eastAsia="it-IT"/>
        </w:rPr>
      </w:pPr>
    </w:p>
    <w:p w:rsidR="004A0E75" w:rsidRPr="004A0E75" w:rsidRDefault="004A0E75" w:rsidP="004A0E75">
      <w:pPr>
        <w:tabs>
          <w:tab w:val="left" w:pos="851"/>
          <w:tab w:val="left" w:pos="2694"/>
          <w:tab w:val="left" w:pos="5103"/>
          <w:tab w:val="left" w:pos="7513"/>
        </w:tabs>
        <w:rPr>
          <w:rFonts w:eastAsia="Times New Roman" w:cs="Arial"/>
          <w:color w:val="000000"/>
          <w:szCs w:val="24"/>
          <w:lang w:val="it-IT" w:eastAsia="it-IT"/>
        </w:rPr>
      </w:pPr>
    </w:p>
    <w:p w:rsidR="004A0E75" w:rsidRPr="004A0E75" w:rsidRDefault="004A0E75" w:rsidP="004A0E75">
      <w:pPr>
        <w:tabs>
          <w:tab w:val="left" w:pos="851"/>
          <w:tab w:val="left" w:pos="2694"/>
          <w:tab w:val="left" w:pos="5103"/>
          <w:tab w:val="left" w:pos="7513"/>
        </w:tabs>
        <w:rPr>
          <w:rFonts w:eastAsia="Times New Roman" w:cs="Arial"/>
          <w:color w:val="000000"/>
          <w:szCs w:val="24"/>
          <w:lang w:val="it-IT" w:eastAsia="it-IT"/>
        </w:rPr>
      </w:pPr>
    </w:p>
    <w:p w:rsidR="004A0E75" w:rsidRPr="004A0E75" w:rsidRDefault="004A0E75" w:rsidP="004A0E75">
      <w:pPr>
        <w:tabs>
          <w:tab w:val="left" w:pos="851"/>
          <w:tab w:val="left" w:pos="2694"/>
          <w:tab w:val="left" w:pos="5103"/>
          <w:tab w:val="left" w:pos="7513"/>
        </w:tabs>
        <w:rPr>
          <w:rFonts w:eastAsia="Times New Roman" w:cs="Arial"/>
          <w:color w:val="000000"/>
          <w:szCs w:val="24"/>
          <w:lang w:val="it-IT" w:eastAsia="it-IT"/>
        </w:rPr>
      </w:pPr>
    </w:p>
    <w:p w:rsidR="004A0E75" w:rsidRPr="004A0E75" w:rsidRDefault="004A0E75" w:rsidP="004A0E75">
      <w:pPr>
        <w:tabs>
          <w:tab w:val="left" w:pos="851"/>
          <w:tab w:val="left" w:pos="2694"/>
          <w:tab w:val="left" w:pos="5103"/>
          <w:tab w:val="left" w:pos="7513"/>
        </w:tabs>
        <w:rPr>
          <w:rFonts w:eastAsia="Times New Roman" w:cs="Arial"/>
          <w:color w:val="000000"/>
          <w:szCs w:val="24"/>
          <w:lang w:val="it-IT" w:eastAsia="it-IT"/>
        </w:rPr>
      </w:pPr>
    </w:p>
    <w:p w:rsidR="004A0E75" w:rsidRPr="004A0E75" w:rsidRDefault="004A0E75" w:rsidP="004A0E75">
      <w:pPr>
        <w:tabs>
          <w:tab w:val="left" w:pos="851"/>
          <w:tab w:val="left" w:pos="2694"/>
          <w:tab w:val="left" w:pos="5103"/>
          <w:tab w:val="left" w:pos="7513"/>
        </w:tabs>
        <w:rPr>
          <w:rFonts w:eastAsia="Times New Roman" w:cs="Arial"/>
          <w:color w:val="000000"/>
          <w:szCs w:val="24"/>
          <w:lang w:val="it-IT" w:eastAsia="it-IT"/>
        </w:rPr>
      </w:pPr>
    </w:p>
    <w:p w:rsidR="004A0E75" w:rsidRPr="004A0E75" w:rsidRDefault="004A0E75" w:rsidP="004A0E75">
      <w:pPr>
        <w:tabs>
          <w:tab w:val="left" w:pos="851"/>
          <w:tab w:val="left" w:pos="2694"/>
          <w:tab w:val="left" w:pos="5103"/>
          <w:tab w:val="left" w:pos="7513"/>
        </w:tabs>
        <w:rPr>
          <w:rFonts w:eastAsia="Times New Roman" w:cs="Arial"/>
          <w:color w:val="000000"/>
          <w:szCs w:val="24"/>
          <w:lang w:val="it-IT" w:eastAsia="it-IT"/>
        </w:rPr>
      </w:pPr>
    </w:p>
    <w:p w:rsidR="004A0E75" w:rsidRPr="004A0E75" w:rsidRDefault="004A0E75" w:rsidP="004A0E75">
      <w:pPr>
        <w:tabs>
          <w:tab w:val="left" w:pos="851"/>
          <w:tab w:val="left" w:pos="5103"/>
          <w:tab w:val="left" w:pos="7513"/>
        </w:tabs>
        <w:rPr>
          <w:rFonts w:eastAsia="Times New Roman" w:cs="Arial"/>
          <w:color w:val="000000"/>
          <w:szCs w:val="24"/>
          <w:lang w:val="it-IT" w:eastAsia="it-IT"/>
        </w:rPr>
      </w:pPr>
      <w:r w:rsidRPr="004A0E75">
        <w:rPr>
          <w:rFonts w:eastAsia="Times New Roman" w:cs="Arial"/>
          <w:color w:val="000000"/>
          <w:szCs w:val="24"/>
          <w:lang w:val="it-IT" w:eastAsia="it-IT"/>
        </w:rPr>
        <w:lastRenderedPageBreak/>
        <w:t xml:space="preserve">   </w:t>
      </w:r>
      <w:r w:rsidR="00E5507C">
        <w:rPr>
          <w:rFonts w:eastAsia="Times New Roman" w:cs="Arial"/>
          <w:color w:val="000000"/>
          <w:szCs w:val="24"/>
          <w:lang w:val="it-IT" w:eastAsia="it-IT"/>
        </w:rPr>
        <w:t xml:space="preserve"> </w:t>
      </w:r>
      <w:r w:rsidRPr="004A0E75">
        <w:rPr>
          <w:rFonts w:eastAsia="Times New Roman" w:cs="Arial"/>
          <w:color w:val="000000"/>
          <w:szCs w:val="24"/>
          <w:lang w:val="it-IT" w:eastAsia="it-IT"/>
        </w:rPr>
        <w:t xml:space="preserve">  Piano terreno</w:t>
      </w:r>
      <w:r w:rsidRPr="004A0E75">
        <w:rPr>
          <w:rFonts w:eastAsia="Times New Roman" w:cs="Arial"/>
          <w:color w:val="000000"/>
          <w:szCs w:val="24"/>
          <w:lang w:val="it-IT" w:eastAsia="it-IT"/>
        </w:rPr>
        <w:tab/>
        <w:t xml:space="preserve">   </w:t>
      </w:r>
      <w:r w:rsidR="00E5507C">
        <w:rPr>
          <w:rFonts w:eastAsia="Times New Roman" w:cs="Arial"/>
          <w:color w:val="000000"/>
          <w:szCs w:val="24"/>
          <w:lang w:val="it-IT" w:eastAsia="it-IT"/>
        </w:rPr>
        <w:t xml:space="preserve"> </w:t>
      </w:r>
      <w:r w:rsidRPr="004A0E75">
        <w:rPr>
          <w:rFonts w:eastAsia="Times New Roman" w:cs="Arial"/>
          <w:color w:val="000000"/>
          <w:szCs w:val="24"/>
          <w:lang w:val="it-IT" w:eastAsia="it-IT"/>
        </w:rPr>
        <w:t xml:space="preserve">   1° Piano </w:t>
      </w:r>
    </w:p>
    <w:p w:rsidR="004A0E75" w:rsidRPr="004A0E75" w:rsidRDefault="004A0E75" w:rsidP="004A0E75">
      <w:pPr>
        <w:tabs>
          <w:tab w:val="left" w:pos="851"/>
        </w:tabs>
        <w:rPr>
          <w:rFonts w:eastAsia="Times New Roman" w:cs="Arial"/>
          <w:color w:val="000000"/>
          <w:szCs w:val="24"/>
          <w:lang w:val="it-IT" w:eastAsia="it-IT"/>
        </w:rPr>
      </w:pPr>
    </w:p>
    <w:p w:rsidR="004A0E75" w:rsidRPr="004A0E75" w:rsidRDefault="004A0E75" w:rsidP="004A0E75">
      <w:pPr>
        <w:tabs>
          <w:tab w:val="left" w:pos="851"/>
        </w:tabs>
        <w:rPr>
          <w:rFonts w:eastAsia="Times New Roman" w:cs="Arial"/>
          <w:color w:val="000000"/>
          <w:szCs w:val="24"/>
          <w:lang w:val="it-IT" w:eastAsia="it-IT"/>
        </w:rPr>
      </w:pPr>
    </w:p>
    <w:p w:rsidR="004A0E75" w:rsidRPr="004A0E75" w:rsidRDefault="004A0E75" w:rsidP="004A0E75">
      <w:pPr>
        <w:tabs>
          <w:tab w:val="left" w:pos="851"/>
        </w:tabs>
        <w:rPr>
          <w:rFonts w:eastAsia="Times New Roman" w:cs="Arial"/>
          <w:color w:val="000000"/>
          <w:szCs w:val="24"/>
          <w:lang w:val="it-IT" w:eastAsia="it-IT"/>
        </w:rPr>
      </w:pPr>
    </w:p>
    <w:p w:rsidR="004A0E75" w:rsidRPr="004A0E75" w:rsidRDefault="004A0E75" w:rsidP="004A0E75">
      <w:pPr>
        <w:tabs>
          <w:tab w:val="left" w:pos="851"/>
        </w:tabs>
        <w:rPr>
          <w:rFonts w:eastAsia="Times New Roman" w:cs="Arial"/>
          <w:color w:val="000000"/>
          <w:szCs w:val="24"/>
          <w:lang w:val="it-IT" w:eastAsia="it-IT"/>
        </w:rPr>
      </w:pPr>
    </w:p>
    <w:p w:rsidR="004A0E75" w:rsidRPr="004A0E75" w:rsidRDefault="004A0E75" w:rsidP="004A0E75">
      <w:pPr>
        <w:tabs>
          <w:tab w:val="left" w:pos="851"/>
        </w:tabs>
        <w:rPr>
          <w:rFonts w:eastAsia="Times New Roman" w:cs="Arial"/>
          <w:color w:val="000000"/>
          <w:szCs w:val="24"/>
          <w:lang w:val="it-IT" w:eastAsia="it-IT"/>
        </w:rPr>
      </w:pPr>
      <w:r>
        <w:rPr>
          <w:noProof/>
          <w:lang w:eastAsia="it-CH"/>
        </w:rPr>
        <w:drawing>
          <wp:anchor distT="0" distB="0" distL="114300" distR="114300" simplePos="0" relativeHeight="251661312" behindDoc="1" locked="0" layoutInCell="1" allowOverlap="1">
            <wp:simplePos x="0" y="0"/>
            <wp:positionH relativeFrom="column">
              <wp:posOffset>-690245</wp:posOffset>
            </wp:positionH>
            <wp:positionV relativeFrom="paragraph">
              <wp:posOffset>259715</wp:posOffset>
            </wp:positionV>
            <wp:extent cx="4385310" cy="2811780"/>
            <wp:effectExtent l="5715" t="0" r="0" b="0"/>
            <wp:wrapNone/>
            <wp:docPr id="5"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4385310" cy="2811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0E75" w:rsidRPr="004A0E75" w:rsidRDefault="004A0E75" w:rsidP="004A0E75">
      <w:pPr>
        <w:tabs>
          <w:tab w:val="left" w:pos="851"/>
        </w:tabs>
        <w:rPr>
          <w:rFonts w:eastAsia="Times New Roman" w:cs="Arial"/>
          <w:color w:val="000000"/>
          <w:szCs w:val="24"/>
          <w:lang w:val="it-IT" w:eastAsia="it-IT"/>
        </w:rPr>
      </w:pPr>
      <w:r>
        <w:rPr>
          <w:noProof/>
          <w:lang w:eastAsia="it-CH"/>
        </w:rPr>
        <w:drawing>
          <wp:anchor distT="0" distB="0" distL="114300" distR="114300" simplePos="0" relativeHeight="251662336" behindDoc="1" locked="0" layoutInCell="1" allowOverlap="1">
            <wp:simplePos x="0" y="0"/>
            <wp:positionH relativeFrom="margin">
              <wp:align>right</wp:align>
            </wp:positionH>
            <wp:positionV relativeFrom="paragraph">
              <wp:posOffset>36195</wp:posOffset>
            </wp:positionV>
            <wp:extent cx="4012565" cy="2610485"/>
            <wp:effectExtent l="0" t="3810" r="0" b="0"/>
            <wp:wrapNone/>
            <wp:docPr id="4"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4012565" cy="2610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0E75" w:rsidRPr="004A0E75" w:rsidRDefault="004A0E75" w:rsidP="004A0E75">
      <w:pPr>
        <w:tabs>
          <w:tab w:val="left" w:pos="851"/>
        </w:tabs>
        <w:rPr>
          <w:rFonts w:eastAsia="Times New Roman" w:cs="Arial"/>
          <w:color w:val="000000"/>
          <w:szCs w:val="24"/>
          <w:lang w:val="it-IT" w:eastAsia="it-IT"/>
        </w:rPr>
      </w:pPr>
    </w:p>
    <w:p w:rsidR="004A0E75" w:rsidRPr="004A0E75" w:rsidRDefault="004A0E75" w:rsidP="004A0E75">
      <w:pPr>
        <w:tabs>
          <w:tab w:val="left" w:pos="851"/>
        </w:tabs>
        <w:rPr>
          <w:rFonts w:eastAsia="Times New Roman" w:cs="Arial"/>
          <w:color w:val="000000"/>
          <w:szCs w:val="24"/>
          <w:lang w:val="it-IT" w:eastAsia="it-IT"/>
        </w:rPr>
      </w:pPr>
    </w:p>
    <w:p w:rsidR="004A0E75" w:rsidRPr="004A0E75" w:rsidRDefault="004A0E75" w:rsidP="004A0E75">
      <w:pPr>
        <w:tabs>
          <w:tab w:val="left" w:pos="851"/>
        </w:tabs>
        <w:rPr>
          <w:rFonts w:eastAsia="Times New Roman" w:cs="Arial"/>
          <w:color w:val="000000"/>
          <w:szCs w:val="24"/>
          <w:lang w:val="it-IT" w:eastAsia="it-IT"/>
        </w:rPr>
      </w:pPr>
    </w:p>
    <w:p w:rsidR="004A0E75" w:rsidRPr="004A0E75" w:rsidRDefault="004A0E75" w:rsidP="004A0E75">
      <w:pPr>
        <w:tabs>
          <w:tab w:val="left" w:pos="851"/>
        </w:tabs>
        <w:rPr>
          <w:rFonts w:eastAsia="Times New Roman" w:cs="Arial"/>
          <w:color w:val="000000"/>
          <w:szCs w:val="24"/>
          <w:lang w:val="it-IT" w:eastAsia="it-IT"/>
        </w:rPr>
      </w:pPr>
    </w:p>
    <w:p w:rsidR="004A0E75" w:rsidRPr="004A0E75" w:rsidRDefault="004A0E75" w:rsidP="004A0E75">
      <w:pPr>
        <w:tabs>
          <w:tab w:val="left" w:pos="851"/>
        </w:tabs>
        <w:rPr>
          <w:rFonts w:eastAsia="Times New Roman" w:cs="Arial"/>
          <w:color w:val="000000"/>
          <w:szCs w:val="24"/>
          <w:lang w:val="it-IT" w:eastAsia="it-IT"/>
        </w:rPr>
      </w:pPr>
    </w:p>
    <w:p w:rsidR="004A0E75" w:rsidRPr="004A0E75" w:rsidRDefault="004A0E75" w:rsidP="004A0E75">
      <w:pPr>
        <w:tabs>
          <w:tab w:val="left" w:pos="851"/>
        </w:tabs>
        <w:rPr>
          <w:rFonts w:eastAsia="Times New Roman" w:cs="Arial"/>
          <w:color w:val="000000"/>
          <w:szCs w:val="24"/>
          <w:lang w:val="it-IT" w:eastAsia="it-IT"/>
        </w:rPr>
      </w:pPr>
    </w:p>
    <w:p w:rsidR="004A0E75" w:rsidRPr="004A0E75" w:rsidRDefault="004A0E75" w:rsidP="004A0E75">
      <w:pPr>
        <w:tabs>
          <w:tab w:val="left" w:pos="851"/>
        </w:tabs>
        <w:rPr>
          <w:rFonts w:eastAsia="Times New Roman" w:cs="Arial"/>
          <w:color w:val="000000"/>
          <w:szCs w:val="24"/>
          <w:lang w:val="it-IT" w:eastAsia="it-IT"/>
        </w:rPr>
      </w:pPr>
    </w:p>
    <w:p w:rsidR="004A0E75" w:rsidRPr="004A0E75" w:rsidRDefault="004A0E75" w:rsidP="004A0E75">
      <w:pPr>
        <w:tabs>
          <w:tab w:val="left" w:pos="851"/>
        </w:tabs>
        <w:rPr>
          <w:rFonts w:eastAsia="Times New Roman" w:cs="Arial"/>
          <w:color w:val="000000"/>
          <w:szCs w:val="24"/>
          <w:lang w:val="it-IT" w:eastAsia="it-IT"/>
        </w:rPr>
      </w:pPr>
    </w:p>
    <w:p w:rsidR="004A0E75" w:rsidRPr="004A0E75" w:rsidRDefault="004A0E75" w:rsidP="004A0E75">
      <w:pPr>
        <w:tabs>
          <w:tab w:val="left" w:pos="851"/>
        </w:tabs>
        <w:rPr>
          <w:rFonts w:eastAsia="Times New Roman" w:cs="Arial"/>
          <w:color w:val="000000"/>
          <w:szCs w:val="24"/>
          <w:lang w:val="it-IT" w:eastAsia="it-IT"/>
        </w:rPr>
      </w:pPr>
    </w:p>
    <w:p w:rsidR="004A0E75" w:rsidRPr="004A0E75" w:rsidRDefault="004A0E75" w:rsidP="004A0E75">
      <w:pPr>
        <w:tabs>
          <w:tab w:val="left" w:pos="851"/>
        </w:tabs>
        <w:rPr>
          <w:rFonts w:eastAsia="Times New Roman" w:cs="Arial"/>
          <w:color w:val="000000"/>
          <w:szCs w:val="24"/>
          <w:lang w:val="it-IT" w:eastAsia="it-CH"/>
        </w:rPr>
      </w:pPr>
    </w:p>
    <w:p w:rsidR="004A0E75" w:rsidRPr="004A0E75" w:rsidRDefault="004A0E75" w:rsidP="004A0E75">
      <w:pPr>
        <w:tabs>
          <w:tab w:val="left" w:pos="851"/>
        </w:tabs>
        <w:rPr>
          <w:rFonts w:eastAsia="Times New Roman" w:cs="Arial"/>
          <w:color w:val="000000"/>
          <w:szCs w:val="24"/>
          <w:lang w:val="it-IT" w:eastAsia="it-CH"/>
        </w:rPr>
      </w:pPr>
    </w:p>
    <w:p w:rsidR="004A0E75" w:rsidRPr="004A0E75" w:rsidRDefault="004A0E75" w:rsidP="004A0E75">
      <w:pPr>
        <w:tabs>
          <w:tab w:val="left" w:pos="851"/>
        </w:tabs>
        <w:rPr>
          <w:rFonts w:eastAsia="Times New Roman" w:cs="Arial"/>
          <w:color w:val="000000"/>
          <w:szCs w:val="24"/>
          <w:lang w:val="it-IT" w:eastAsia="it-CH"/>
        </w:rPr>
      </w:pPr>
    </w:p>
    <w:p w:rsidR="004A0E75" w:rsidRPr="004A0E75" w:rsidRDefault="004A0E75" w:rsidP="004A0E75">
      <w:pPr>
        <w:tabs>
          <w:tab w:val="left" w:pos="851"/>
        </w:tabs>
        <w:rPr>
          <w:rFonts w:eastAsia="Times New Roman" w:cs="Arial"/>
          <w:color w:val="000000"/>
          <w:szCs w:val="24"/>
          <w:lang w:val="it-IT" w:eastAsia="it-CH"/>
        </w:rPr>
      </w:pPr>
    </w:p>
    <w:p w:rsidR="004A0E75" w:rsidRPr="004A0E75" w:rsidRDefault="004A0E75" w:rsidP="004A0E75">
      <w:pPr>
        <w:tabs>
          <w:tab w:val="left" w:pos="851"/>
        </w:tabs>
        <w:rPr>
          <w:rFonts w:eastAsia="Times New Roman" w:cs="Arial"/>
          <w:color w:val="000000"/>
          <w:szCs w:val="24"/>
          <w:lang w:val="it-IT" w:eastAsia="it-CH"/>
        </w:rPr>
      </w:pPr>
    </w:p>
    <w:p w:rsidR="004A0E75" w:rsidRPr="004A0E75" w:rsidRDefault="004A0E75" w:rsidP="004A0E75">
      <w:pPr>
        <w:tabs>
          <w:tab w:val="left" w:pos="851"/>
        </w:tabs>
        <w:rPr>
          <w:rFonts w:eastAsia="Times New Roman" w:cs="Arial"/>
          <w:color w:val="000000"/>
          <w:szCs w:val="24"/>
          <w:lang w:val="it-IT" w:eastAsia="it-CH"/>
        </w:rPr>
      </w:pPr>
    </w:p>
    <w:p w:rsidR="004A0E75" w:rsidRPr="004A0E75" w:rsidRDefault="004A0E75" w:rsidP="004A0E75">
      <w:pPr>
        <w:tabs>
          <w:tab w:val="left" w:pos="851"/>
        </w:tabs>
        <w:rPr>
          <w:rFonts w:eastAsia="Times New Roman" w:cs="Arial"/>
          <w:color w:val="000000"/>
          <w:szCs w:val="24"/>
          <w:lang w:val="it-IT" w:eastAsia="it-CH"/>
        </w:rPr>
      </w:pPr>
    </w:p>
    <w:p w:rsidR="004A0E75" w:rsidRPr="004A0E75" w:rsidRDefault="004A0E75" w:rsidP="004A0E75">
      <w:pPr>
        <w:tabs>
          <w:tab w:val="left" w:pos="851"/>
        </w:tabs>
        <w:rPr>
          <w:rFonts w:eastAsia="Times New Roman" w:cs="Arial"/>
          <w:color w:val="000000"/>
          <w:szCs w:val="24"/>
          <w:lang w:val="it-IT" w:eastAsia="it-CH"/>
        </w:rPr>
      </w:pPr>
    </w:p>
    <w:p w:rsidR="004A0E75" w:rsidRPr="004A0E75" w:rsidRDefault="004A0E75" w:rsidP="004A0E75">
      <w:pPr>
        <w:tabs>
          <w:tab w:val="left" w:pos="851"/>
        </w:tabs>
        <w:rPr>
          <w:rFonts w:eastAsia="Times New Roman" w:cs="Arial"/>
          <w:color w:val="000000"/>
          <w:szCs w:val="24"/>
          <w:lang w:val="it-IT" w:eastAsia="it-CH"/>
        </w:rPr>
      </w:pPr>
    </w:p>
    <w:p w:rsidR="004A0E75" w:rsidRPr="004A0E75" w:rsidRDefault="004A0E75" w:rsidP="004A0E75">
      <w:pPr>
        <w:tabs>
          <w:tab w:val="left" w:pos="851"/>
        </w:tabs>
        <w:rPr>
          <w:rFonts w:eastAsia="Times New Roman" w:cs="Arial"/>
          <w:color w:val="000000"/>
          <w:szCs w:val="24"/>
          <w:lang w:val="it-IT" w:eastAsia="it-CH"/>
        </w:rPr>
      </w:pPr>
    </w:p>
    <w:p w:rsidR="004A0E75" w:rsidRPr="004A0E75" w:rsidRDefault="004A0E75" w:rsidP="004A0E75">
      <w:pPr>
        <w:tabs>
          <w:tab w:val="left" w:pos="851"/>
        </w:tabs>
        <w:rPr>
          <w:rFonts w:eastAsia="Times New Roman" w:cs="Arial"/>
          <w:color w:val="000000"/>
          <w:szCs w:val="24"/>
          <w:lang w:val="it-IT" w:eastAsia="it-CH"/>
        </w:rPr>
      </w:pPr>
    </w:p>
    <w:p w:rsidR="007564CF" w:rsidRDefault="007564CF" w:rsidP="004A0E75">
      <w:pPr>
        <w:tabs>
          <w:tab w:val="left" w:pos="851"/>
        </w:tabs>
        <w:rPr>
          <w:rFonts w:eastAsia="Times New Roman" w:cs="Arial"/>
          <w:color w:val="000000"/>
          <w:szCs w:val="24"/>
          <w:lang w:val="it-IT" w:eastAsia="it-CH"/>
        </w:rPr>
      </w:pPr>
    </w:p>
    <w:p w:rsidR="00E5507C" w:rsidRDefault="00E5507C" w:rsidP="004A0E75">
      <w:pPr>
        <w:tabs>
          <w:tab w:val="left" w:pos="851"/>
        </w:tabs>
        <w:rPr>
          <w:rFonts w:eastAsia="Times New Roman" w:cs="Arial"/>
          <w:color w:val="000000"/>
          <w:szCs w:val="24"/>
          <w:lang w:val="it-IT" w:eastAsia="it-CH"/>
        </w:rPr>
      </w:pPr>
    </w:p>
    <w:p w:rsidR="004A0E75" w:rsidRPr="004A0E75" w:rsidRDefault="004A0E75" w:rsidP="004A0E75">
      <w:pPr>
        <w:tabs>
          <w:tab w:val="left" w:pos="851"/>
        </w:tabs>
        <w:rPr>
          <w:rFonts w:eastAsia="Times New Roman" w:cs="Arial"/>
          <w:color w:val="000000"/>
          <w:szCs w:val="24"/>
          <w:lang w:val="it-IT" w:eastAsia="it-CH"/>
        </w:rPr>
      </w:pPr>
      <w:r w:rsidRPr="004A0E75">
        <w:rPr>
          <w:rFonts w:eastAsia="Times New Roman" w:cs="Arial"/>
          <w:color w:val="000000"/>
          <w:szCs w:val="24"/>
          <w:lang w:val="it-IT" w:eastAsia="it-CH"/>
        </w:rPr>
        <w:t xml:space="preserve">Il concetto di sicurezza è stato aggiornato e comporta una gestione degli accessi simili a quelli del TPF con percorsi separati per l’utenza. </w:t>
      </w:r>
    </w:p>
    <w:p w:rsidR="004A0E75" w:rsidRPr="004A0E75" w:rsidRDefault="004A0E75" w:rsidP="004A0E75">
      <w:pPr>
        <w:ind w:left="567" w:hanging="567"/>
        <w:rPr>
          <w:rFonts w:eastAsia="Times New Roman" w:cs="Arial"/>
          <w:color w:val="000000"/>
          <w:szCs w:val="24"/>
          <w:lang w:val="it-IT" w:eastAsia="it-IT"/>
        </w:rPr>
      </w:pPr>
    </w:p>
    <w:p w:rsidR="004A0E75" w:rsidRDefault="004A0E75" w:rsidP="004A0E75">
      <w:pPr>
        <w:ind w:left="567" w:hanging="567"/>
        <w:rPr>
          <w:rFonts w:eastAsia="Times New Roman" w:cs="Arial"/>
          <w:color w:val="000000"/>
          <w:szCs w:val="24"/>
          <w:lang w:val="it-IT" w:eastAsia="it-IT"/>
        </w:rPr>
      </w:pPr>
    </w:p>
    <w:p w:rsidR="009F6ABA" w:rsidRPr="004A0E75" w:rsidRDefault="009F6ABA" w:rsidP="004A0E75">
      <w:pPr>
        <w:ind w:left="567" w:hanging="567"/>
        <w:rPr>
          <w:rFonts w:eastAsia="Times New Roman" w:cs="Arial"/>
          <w:color w:val="000000"/>
          <w:szCs w:val="24"/>
          <w:lang w:val="it-IT" w:eastAsia="it-IT"/>
        </w:rPr>
      </w:pPr>
    </w:p>
    <w:p w:rsidR="004A0E75" w:rsidRPr="004A0E75" w:rsidRDefault="00C237FD" w:rsidP="00C237FD">
      <w:pPr>
        <w:pStyle w:val="Titolo1"/>
        <w:ind w:left="567" w:hanging="567"/>
      </w:pPr>
      <w:r>
        <w:t>4.</w:t>
      </w:r>
      <w:r>
        <w:tab/>
      </w:r>
      <w:r w:rsidR="004A0E75" w:rsidRPr="004A0E75">
        <w:t>Conseguenze sulla Logistica della Magistratura e della Polizia cantonale</w:t>
      </w:r>
    </w:p>
    <w:p w:rsidR="004A0E75" w:rsidRDefault="004A0E75" w:rsidP="004A0E75">
      <w:pPr>
        <w:rPr>
          <w:rFonts w:eastAsia="Times New Roman" w:cs="Arial"/>
          <w:szCs w:val="24"/>
          <w:lang w:val="it-IT" w:eastAsia="it-IT"/>
        </w:rPr>
      </w:pPr>
      <w:r w:rsidRPr="004A0E75">
        <w:rPr>
          <w:rFonts w:eastAsia="Times New Roman" w:cs="Arial"/>
          <w:szCs w:val="24"/>
          <w:lang w:val="it-IT" w:eastAsia="it-IT"/>
        </w:rPr>
        <w:t>La progettazione iniziale degli spazi del Pretorio di Bellinzona (mess</w:t>
      </w:r>
      <w:r w:rsidR="00E5507C">
        <w:rPr>
          <w:rFonts w:eastAsia="Times New Roman" w:cs="Arial"/>
          <w:szCs w:val="24"/>
          <w:lang w:val="it-IT" w:eastAsia="it-IT"/>
        </w:rPr>
        <w:t>aggio</w:t>
      </w:r>
      <w:r w:rsidRPr="004A0E75">
        <w:rPr>
          <w:rFonts w:eastAsia="Times New Roman" w:cs="Arial"/>
          <w:szCs w:val="24"/>
          <w:lang w:val="it-IT" w:eastAsia="it-IT"/>
        </w:rPr>
        <w:t xml:space="preserve"> n.</w:t>
      </w:r>
      <w:r w:rsidR="00E5507C">
        <w:rPr>
          <w:rFonts w:eastAsia="Times New Roman" w:cs="Arial"/>
          <w:szCs w:val="24"/>
          <w:lang w:val="it-IT" w:eastAsia="it-IT"/>
        </w:rPr>
        <w:t xml:space="preserve"> </w:t>
      </w:r>
      <w:r w:rsidRPr="004A0E75">
        <w:rPr>
          <w:rFonts w:eastAsia="Times New Roman" w:cs="Arial"/>
          <w:szCs w:val="24"/>
          <w:lang w:val="it-IT" w:eastAsia="it-IT"/>
        </w:rPr>
        <w:t xml:space="preserve">6763) prevedeva l’inserimento del Tribunale penale cantonale, della Pretura penale, dell’Ufficio dei registri di Bellinzona, della Polizia cantonale, della Pretura civile di Bellinzona come pure dell’Autorità di protezione riorganizzata. </w:t>
      </w:r>
    </w:p>
    <w:p w:rsidR="007564CF" w:rsidRPr="004A0E75" w:rsidRDefault="007564CF" w:rsidP="004A0E75">
      <w:pPr>
        <w:rPr>
          <w:rFonts w:eastAsia="Times New Roman" w:cs="Arial"/>
          <w:szCs w:val="24"/>
          <w:lang w:val="it-IT" w:eastAsia="it-IT"/>
        </w:rPr>
      </w:pPr>
    </w:p>
    <w:p w:rsidR="004A0E75" w:rsidRPr="004A0E75" w:rsidRDefault="004A0E75" w:rsidP="004A0E75">
      <w:pPr>
        <w:rPr>
          <w:rFonts w:eastAsia="Times New Roman" w:cs="Arial"/>
          <w:szCs w:val="24"/>
          <w:lang w:val="it-IT" w:eastAsia="it-CH"/>
        </w:rPr>
      </w:pPr>
      <w:r w:rsidRPr="004A0E75">
        <w:rPr>
          <w:rFonts w:eastAsia="Times New Roman" w:cs="Arial"/>
          <w:szCs w:val="24"/>
          <w:lang w:val="it-IT" w:eastAsia="it-IT"/>
        </w:rPr>
        <w:t xml:space="preserve">Le nuove esigenze della Confederazione costringono ad un’ulteriore modifica sostanziale dei contenuti. Come detto le superfici riservate dapprima per il </w:t>
      </w:r>
      <w:r w:rsidRPr="004A0E75">
        <w:rPr>
          <w:rFonts w:eastAsia="Times New Roman" w:cs="Arial"/>
          <w:b/>
          <w:szCs w:val="24"/>
          <w:lang w:val="it-IT" w:eastAsia="it-IT"/>
        </w:rPr>
        <w:t>Tribunale penale federale</w:t>
      </w:r>
      <w:r w:rsidRPr="004A0E75">
        <w:rPr>
          <w:rFonts w:eastAsia="Times New Roman" w:cs="Arial"/>
          <w:szCs w:val="24"/>
          <w:lang w:val="it-IT" w:eastAsia="it-IT"/>
        </w:rPr>
        <w:t xml:space="preserve"> e nel seguito per la</w:t>
      </w:r>
      <w:r w:rsidRPr="004A0E75">
        <w:rPr>
          <w:rFonts w:eastAsia="Times New Roman" w:cs="Arial"/>
          <w:szCs w:val="24"/>
          <w:lang w:val="it-IT" w:eastAsia="it-CH"/>
        </w:rPr>
        <w:t xml:space="preserve"> </w:t>
      </w:r>
      <w:r w:rsidRPr="004A0E75">
        <w:rPr>
          <w:rFonts w:eastAsia="Times New Roman" w:cs="Arial"/>
          <w:b/>
          <w:szCs w:val="24"/>
          <w:lang w:val="it-IT" w:eastAsia="it-CH"/>
        </w:rPr>
        <w:t>Corte d</w:t>
      </w:r>
      <w:r w:rsidR="000A4B9D">
        <w:rPr>
          <w:rFonts w:eastAsia="Times New Roman" w:cs="Arial"/>
          <w:b/>
          <w:szCs w:val="24"/>
          <w:lang w:val="it-IT" w:eastAsia="it-CH"/>
        </w:rPr>
        <w:t xml:space="preserve">i </w:t>
      </w:r>
      <w:r w:rsidRPr="004A0E75">
        <w:rPr>
          <w:rFonts w:eastAsia="Times New Roman" w:cs="Arial"/>
          <w:b/>
          <w:szCs w:val="24"/>
          <w:lang w:val="it-IT" w:eastAsia="it-CH"/>
        </w:rPr>
        <w:t>appello federale</w:t>
      </w:r>
      <w:r w:rsidRPr="004A0E75">
        <w:rPr>
          <w:rFonts w:eastAsia="Times New Roman" w:cs="Arial"/>
          <w:szCs w:val="24"/>
          <w:lang w:val="it-IT" w:eastAsia="it-CH"/>
        </w:rPr>
        <w:t xml:space="preserve"> hanno subito una notevole evoluzione, passando dagli originali 130</w:t>
      </w:r>
      <w:r w:rsidRPr="004A0E75">
        <w:rPr>
          <w:rFonts w:eastAsia="Times New Roman" w:cs="Arial"/>
          <w:color w:val="000000"/>
          <w:szCs w:val="24"/>
          <w:lang w:val="it-IT" w:eastAsia="it-CH"/>
        </w:rPr>
        <w:t xml:space="preserve"> m</w:t>
      </w:r>
      <w:r w:rsidRPr="004A0E75">
        <w:rPr>
          <w:rFonts w:eastAsia="Times New Roman" w:cs="Arial"/>
          <w:color w:val="000000"/>
          <w:szCs w:val="24"/>
          <w:vertAlign w:val="superscript"/>
          <w:lang w:val="it-IT" w:eastAsia="it-CH"/>
        </w:rPr>
        <w:t>2</w:t>
      </w:r>
      <w:r w:rsidRPr="004A0E75">
        <w:rPr>
          <w:rFonts w:eastAsia="Times New Roman" w:cs="Arial"/>
          <w:szCs w:val="24"/>
          <w:lang w:val="it-IT" w:eastAsia="it-CH"/>
        </w:rPr>
        <w:t xml:space="preserve"> agli attuali </w:t>
      </w:r>
      <w:r w:rsidRPr="004A0E75">
        <w:rPr>
          <w:rFonts w:eastAsia="Times New Roman" w:cs="Arial"/>
          <w:color w:val="000000"/>
          <w:szCs w:val="24"/>
          <w:lang w:val="it-IT" w:eastAsia="it-CH"/>
        </w:rPr>
        <w:t>1’682 m</w:t>
      </w:r>
      <w:r w:rsidRPr="004A0E75">
        <w:rPr>
          <w:rFonts w:eastAsia="Times New Roman" w:cs="Arial"/>
          <w:color w:val="000000"/>
          <w:szCs w:val="24"/>
          <w:vertAlign w:val="superscript"/>
          <w:lang w:val="it-IT" w:eastAsia="it-CH"/>
        </w:rPr>
        <w:t>2</w:t>
      </w:r>
      <w:r w:rsidRPr="004A0E75">
        <w:rPr>
          <w:rFonts w:eastAsia="Times New Roman" w:cs="Arial"/>
          <w:color w:val="000000"/>
          <w:szCs w:val="24"/>
          <w:lang w:val="it-IT" w:eastAsia="it-CH"/>
        </w:rPr>
        <w:t xml:space="preserve"> (comprensivi degli spazi di circolazione pari a 367 m</w:t>
      </w:r>
      <w:r w:rsidRPr="004A0E75">
        <w:rPr>
          <w:rFonts w:eastAsia="Times New Roman" w:cs="Arial"/>
          <w:color w:val="000000"/>
          <w:szCs w:val="24"/>
          <w:vertAlign w:val="superscript"/>
          <w:lang w:val="it-IT" w:eastAsia="it-CH"/>
        </w:rPr>
        <w:t>2</w:t>
      </w:r>
      <w:r w:rsidRPr="004A0E75">
        <w:rPr>
          <w:rFonts w:eastAsia="Times New Roman" w:cs="Arial"/>
          <w:color w:val="000000"/>
          <w:szCs w:val="24"/>
          <w:lang w:val="it-IT" w:eastAsia="it-CH"/>
        </w:rPr>
        <w:t xml:space="preserve"> e dell’utilizzo esclusivo dell’aula penale) oltre all’aggiunta di 141 m</w:t>
      </w:r>
      <w:r w:rsidRPr="004A0E75">
        <w:rPr>
          <w:rFonts w:eastAsia="Times New Roman" w:cs="Arial"/>
          <w:color w:val="000000"/>
          <w:szCs w:val="24"/>
          <w:vertAlign w:val="superscript"/>
          <w:lang w:val="it-IT" w:eastAsia="it-CH"/>
        </w:rPr>
        <w:t>2</w:t>
      </w:r>
      <w:r w:rsidRPr="004A0E75">
        <w:rPr>
          <w:rFonts w:eastAsia="Times New Roman" w:cs="Arial"/>
          <w:color w:val="000000"/>
          <w:szCs w:val="24"/>
          <w:lang w:val="it-IT" w:eastAsia="it-CH"/>
        </w:rPr>
        <w:t xml:space="preserve"> per depositi e tecnica, per un totale complessivo di 1’823 m</w:t>
      </w:r>
      <w:r w:rsidRPr="004A0E75">
        <w:rPr>
          <w:rFonts w:eastAsia="Times New Roman" w:cs="Arial"/>
          <w:color w:val="000000"/>
          <w:szCs w:val="24"/>
          <w:vertAlign w:val="superscript"/>
          <w:lang w:val="it-IT" w:eastAsia="it-CH"/>
        </w:rPr>
        <w:t>2</w:t>
      </w:r>
      <w:r w:rsidRPr="004A0E75">
        <w:rPr>
          <w:rFonts w:eastAsia="Times New Roman" w:cs="Arial"/>
          <w:color w:val="000000"/>
          <w:szCs w:val="24"/>
          <w:lang w:val="it-IT" w:eastAsia="it-CH"/>
        </w:rPr>
        <w:t xml:space="preserve"> ad uso esclusivo della Confederazione.</w:t>
      </w:r>
      <w:r w:rsidRPr="004A0E75">
        <w:rPr>
          <w:rFonts w:eastAsia="Times New Roman" w:cs="Arial"/>
          <w:szCs w:val="24"/>
          <w:lang w:val="it-IT" w:eastAsia="it-CH"/>
        </w:rPr>
        <w:t xml:space="preserve"> </w:t>
      </w:r>
    </w:p>
    <w:p w:rsidR="004A0E75" w:rsidRPr="004A0E75" w:rsidRDefault="004A0E75" w:rsidP="004A0E75">
      <w:pPr>
        <w:rPr>
          <w:rFonts w:eastAsia="Times New Roman" w:cs="Arial"/>
          <w:color w:val="000000"/>
          <w:szCs w:val="24"/>
          <w:lang w:val="it-IT" w:eastAsia="it-IT"/>
        </w:rPr>
      </w:pPr>
    </w:p>
    <w:p w:rsidR="004A0E75" w:rsidRDefault="004A0E75" w:rsidP="004A0E75">
      <w:pPr>
        <w:rPr>
          <w:rFonts w:eastAsia="Times New Roman" w:cs="Arial"/>
          <w:szCs w:val="24"/>
          <w:lang w:val="it-IT" w:eastAsia="it-IT"/>
        </w:rPr>
      </w:pPr>
      <w:r w:rsidRPr="004A0E75">
        <w:rPr>
          <w:rFonts w:eastAsia="Times New Roman" w:cs="Arial"/>
          <w:szCs w:val="24"/>
          <w:lang w:val="it-IT" w:eastAsia="it-IT"/>
        </w:rPr>
        <w:t xml:space="preserve">Il Consiglio di Stato ha preso atto di questa nuova situazione che ha portato a riflettere sull’impostazione della logistica di alcune Autorità giudiziarie per trovare soluzioni adeguate. </w:t>
      </w:r>
      <w:r w:rsidRPr="004A0E75">
        <w:rPr>
          <w:rFonts w:eastAsia="Times New Roman" w:cs="Arial"/>
          <w:szCs w:val="24"/>
          <w:lang w:val="it-IT" w:eastAsia="it-IT"/>
        </w:rPr>
        <w:lastRenderedPageBreak/>
        <w:t>La più importante conseguenza è la proposta di centralizzazione delle prime istanze penali a Lugano, a suo tempo previste invece presso il Pretorio di Bellinzona, integrandole nel</w:t>
      </w:r>
      <w:r w:rsidRPr="004A0E75">
        <w:rPr>
          <w:rFonts w:eastAsia="Times New Roman" w:cs="Arial"/>
          <w:szCs w:val="24"/>
          <w:lang w:val="it-IT" w:eastAsia="it-CH"/>
        </w:rPr>
        <w:t xml:space="preserve">l’edificio ex Banca del Gottardo di Lugano di proprietà di EFG </w:t>
      </w:r>
      <w:proofErr w:type="spellStart"/>
      <w:r w:rsidRPr="004A0E75">
        <w:rPr>
          <w:rFonts w:eastAsia="Times New Roman" w:cs="Arial"/>
          <w:szCs w:val="24"/>
          <w:lang w:val="it-IT" w:eastAsia="it-CH"/>
        </w:rPr>
        <w:t>Bank</w:t>
      </w:r>
      <w:proofErr w:type="spellEnd"/>
      <w:r w:rsidRPr="004A0E75">
        <w:rPr>
          <w:rFonts w:eastAsia="Times New Roman" w:cs="Arial"/>
          <w:szCs w:val="24"/>
          <w:lang w:val="it-IT" w:eastAsia="it-CH"/>
        </w:rPr>
        <w:t xml:space="preserve"> SA. Com’è noto il Consiglio di Stato ha infatti proposto nel mess</w:t>
      </w:r>
      <w:r w:rsidR="00E5507C">
        <w:rPr>
          <w:rFonts w:eastAsia="Times New Roman" w:cs="Arial"/>
          <w:szCs w:val="24"/>
          <w:lang w:val="it-IT" w:eastAsia="it-CH"/>
        </w:rPr>
        <w:t>aggio</w:t>
      </w:r>
      <w:r w:rsidRPr="004A0E75">
        <w:rPr>
          <w:rFonts w:eastAsia="Times New Roman" w:cs="Arial"/>
          <w:szCs w:val="24"/>
          <w:lang w:val="it-IT" w:eastAsia="it-CH"/>
        </w:rPr>
        <w:t xml:space="preserve"> n. 7761 del 27 novembre 2019 l’a</w:t>
      </w:r>
      <w:r w:rsidRPr="004A0E75">
        <w:rPr>
          <w:rFonts w:eastAsia="Times New Roman" w:cs="Arial"/>
          <w:szCs w:val="24"/>
          <w:lang w:val="it-IT" w:eastAsia="it-IT"/>
        </w:rPr>
        <w:t xml:space="preserve">cquisizione dello stabile da parte del Cantone anche in relazione al progetto di ristrutturazione del Palazzo di giustizia di Lugano. </w:t>
      </w:r>
    </w:p>
    <w:p w:rsidR="007564CF" w:rsidRPr="004A0E75" w:rsidRDefault="007564CF" w:rsidP="004A0E75">
      <w:pPr>
        <w:rPr>
          <w:rFonts w:eastAsia="Times New Roman" w:cs="Arial"/>
          <w:szCs w:val="24"/>
          <w:lang w:val="it-IT" w:eastAsia="it-IT"/>
        </w:rPr>
      </w:pPr>
    </w:p>
    <w:p w:rsidR="004A0E75" w:rsidRPr="004A0E75" w:rsidRDefault="004A0E75" w:rsidP="004A0E75">
      <w:pPr>
        <w:rPr>
          <w:rFonts w:eastAsia="Times New Roman" w:cs="Arial"/>
          <w:szCs w:val="24"/>
          <w:lang w:val="it-IT" w:eastAsia="it-CH"/>
        </w:rPr>
      </w:pPr>
      <w:r w:rsidRPr="004A0E75">
        <w:rPr>
          <w:rFonts w:eastAsia="Times New Roman" w:cs="Arial"/>
          <w:szCs w:val="24"/>
          <w:lang w:val="it-IT" w:eastAsia="it-IT"/>
        </w:rPr>
        <w:t>Nelle intenzioni del Consiglio di Stato questa soluzione permetterebbe di raggruppare sotto il medesimo tetto tutte le autorità penali giudicanti, creando di fatto un polo della Giustizia ticinese centralizzato a Lugano.</w:t>
      </w:r>
      <w:r w:rsidRPr="004A0E75">
        <w:rPr>
          <w:rFonts w:eastAsia="Times New Roman" w:cs="Arial"/>
          <w:szCs w:val="24"/>
          <w:lang w:val="it-IT" w:eastAsia="it-CH"/>
        </w:rPr>
        <w:t xml:space="preserve"> Il Tribunale penale cantonale, la Corte di appello e di revisione penale nonché la Pretura penale potranno quindi trovare una sede adeguata istituzionalmente presso il predetto stabile di proprietà di EFG </w:t>
      </w:r>
      <w:proofErr w:type="spellStart"/>
      <w:r w:rsidRPr="004A0E75">
        <w:rPr>
          <w:rFonts w:eastAsia="Times New Roman" w:cs="Arial"/>
          <w:szCs w:val="24"/>
          <w:lang w:val="it-IT" w:eastAsia="it-CH"/>
        </w:rPr>
        <w:t>Bank</w:t>
      </w:r>
      <w:proofErr w:type="spellEnd"/>
      <w:r w:rsidRPr="004A0E75">
        <w:rPr>
          <w:rFonts w:eastAsia="Times New Roman" w:cs="Arial"/>
          <w:szCs w:val="24"/>
          <w:lang w:val="it-IT" w:eastAsia="it-CH"/>
        </w:rPr>
        <w:t xml:space="preserve"> SA.</w:t>
      </w:r>
    </w:p>
    <w:p w:rsidR="004A0E75" w:rsidRDefault="004A0E75" w:rsidP="004A0E75">
      <w:pPr>
        <w:rPr>
          <w:rFonts w:eastAsia="Times New Roman" w:cs="Arial"/>
          <w:szCs w:val="24"/>
          <w:lang w:val="it-IT" w:eastAsia="it-IT"/>
        </w:rPr>
      </w:pPr>
      <w:r w:rsidRPr="004A0E75">
        <w:rPr>
          <w:rFonts w:eastAsia="Times New Roman" w:cs="Arial"/>
          <w:szCs w:val="24"/>
          <w:lang w:val="it-IT" w:eastAsia="it-IT"/>
        </w:rPr>
        <w:t>Nello stesso contesto va ricordato come già nel messaggio n.</w:t>
      </w:r>
      <w:r w:rsidR="00E5507C">
        <w:rPr>
          <w:rFonts w:eastAsia="Times New Roman" w:cs="Arial"/>
          <w:szCs w:val="24"/>
          <w:lang w:val="it-IT" w:eastAsia="it-IT"/>
        </w:rPr>
        <w:t xml:space="preserve"> </w:t>
      </w:r>
      <w:r w:rsidRPr="004A0E75">
        <w:rPr>
          <w:rFonts w:eastAsia="Times New Roman" w:cs="Arial"/>
          <w:szCs w:val="24"/>
          <w:lang w:val="it-IT" w:eastAsia="it-IT"/>
        </w:rPr>
        <w:t>6722 “Scorporo del Tribunale penale cantonale dal Tribunale di appello” si ribadiva come anche la Corte di appello e di revisione penale fosse stata trasferita a Locarno solo in via temporanea e sino all’ultimazione dei lavori di risistemazione del Palazzo di giustizia ed il riassetto della struttura organica giudiziaria</w:t>
      </w:r>
    </w:p>
    <w:p w:rsidR="007564CF" w:rsidRPr="004A0E75" w:rsidRDefault="007564CF" w:rsidP="004A0E75">
      <w:pPr>
        <w:rPr>
          <w:rFonts w:eastAsia="Times New Roman" w:cs="Arial"/>
          <w:szCs w:val="24"/>
          <w:lang w:val="it-IT" w:eastAsia="it-IT"/>
        </w:rPr>
      </w:pPr>
    </w:p>
    <w:p w:rsidR="004A0E75" w:rsidRPr="004A0E75" w:rsidRDefault="004A0E75" w:rsidP="004A0E75">
      <w:pPr>
        <w:rPr>
          <w:rFonts w:eastAsia="Times New Roman" w:cs="Arial"/>
          <w:szCs w:val="24"/>
          <w:lang w:val="it-IT" w:eastAsia="it-IT"/>
        </w:rPr>
      </w:pPr>
      <w:r w:rsidRPr="004A0E75">
        <w:rPr>
          <w:rFonts w:eastAsia="Times New Roman" w:cs="Arial"/>
          <w:szCs w:val="24"/>
          <w:lang w:val="it-IT" w:eastAsia="it-CH"/>
        </w:rPr>
        <w:t>La nuova organizzazione logistica proposta dal Consiglio di Stato permetterebbe di concretizzare gli indirizzi strategici</w:t>
      </w:r>
      <w:r w:rsidRPr="004A0E75">
        <w:rPr>
          <w:rFonts w:eastAsia="Times New Roman" w:cs="Arial"/>
          <w:szCs w:val="24"/>
          <w:lang w:val="it-IT" w:eastAsia="it-IT"/>
        </w:rPr>
        <w:t xml:space="preserve"> sviluppati a suo tempo:</w:t>
      </w:r>
    </w:p>
    <w:p w:rsidR="004A0E75" w:rsidRPr="004A0E75" w:rsidRDefault="004A0E75" w:rsidP="00E5507C">
      <w:pPr>
        <w:numPr>
          <w:ilvl w:val="0"/>
          <w:numId w:val="12"/>
        </w:numPr>
        <w:spacing w:before="120"/>
        <w:ind w:left="284" w:hanging="284"/>
        <w:jc w:val="left"/>
        <w:rPr>
          <w:rFonts w:eastAsia="Times New Roman" w:cs="Arial"/>
          <w:szCs w:val="24"/>
          <w:lang w:val="it-IT" w:eastAsia="it-IT"/>
        </w:rPr>
      </w:pPr>
      <w:r w:rsidRPr="004A0E75">
        <w:rPr>
          <w:rFonts w:eastAsia="Times New Roman" w:cs="Arial"/>
          <w:szCs w:val="24"/>
          <w:lang w:val="it-IT" w:eastAsia="it-IT"/>
        </w:rPr>
        <w:t xml:space="preserve">la centralizzazione delle competenze per il perseguimento penale (PGL e EFG); </w:t>
      </w:r>
    </w:p>
    <w:p w:rsidR="004A0E75" w:rsidRPr="004A0E75" w:rsidRDefault="004A0E75" w:rsidP="009F6ABA">
      <w:pPr>
        <w:numPr>
          <w:ilvl w:val="0"/>
          <w:numId w:val="12"/>
        </w:numPr>
        <w:spacing w:before="60"/>
        <w:ind w:left="284" w:hanging="284"/>
        <w:jc w:val="left"/>
        <w:rPr>
          <w:rFonts w:eastAsia="Times New Roman" w:cs="Arial"/>
          <w:szCs w:val="24"/>
          <w:lang w:val="it-IT" w:eastAsia="it-IT"/>
        </w:rPr>
      </w:pPr>
      <w:r w:rsidRPr="004A0E75">
        <w:rPr>
          <w:rFonts w:eastAsia="Times New Roman" w:cs="Arial"/>
          <w:szCs w:val="24"/>
          <w:lang w:val="it-IT" w:eastAsia="it-IT"/>
        </w:rPr>
        <w:t xml:space="preserve">la centralizzazione delle prime istanze penali a Lugano; </w:t>
      </w:r>
    </w:p>
    <w:p w:rsidR="004A0E75" w:rsidRPr="004A0E75" w:rsidRDefault="004A0E75" w:rsidP="009F6ABA">
      <w:pPr>
        <w:numPr>
          <w:ilvl w:val="0"/>
          <w:numId w:val="12"/>
        </w:numPr>
        <w:spacing w:before="60"/>
        <w:ind w:left="284" w:hanging="284"/>
        <w:jc w:val="left"/>
        <w:rPr>
          <w:rFonts w:eastAsia="Times New Roman" w:cs="Arial"/>
          <w:szCs w:val="24"/>
          <w:lang w:val="it-IT" w:eastAsia="it-IT"/>
        </w:rPr>
      </w:pPr>
      <w:r w:rsidRPr="004A0E75">
        <w:rPr>
          <w:rFonts w:eastAsia="Times New Roman" w:cs="Arial"/>
          <w:szCs w:val="24"/>
          <w:lang w:val="it-IT" w:eastAsia="it-IT"/>
        </w:rPr>
        <w:t xml:space="preserve">il mantenimento sul territorio delle Preture civili; </w:t>
      </w:r>
    </w:p>
    <w:p w:rsidR="004A0E75" w:rsidRPr="004A0E75" w:rsidRDefault="004A0E75" w:rsidP="009F6ABA">
      <w:pPr>
        <w:numPr>
          <w:ilvl w:val="0"/>
          <w:numId w:val="12"/>
        </w:numPr>
        <w:spacing w:before="60"/>
        <w:ind w:left="284" w:hanging="284"/>
        <w:jc w:val="left"/>
        <w:rPr>
          <w:rFonts w:eastAsia="Times New Roman" w:cs="Arial"/>
          <w:szCs w:val="24"/>
          <w:lang w:val="it-IT" w:eastAsia="it-IT"/>
        </w:rPr>
      </w:pPr>
      <w:r w:rsidRPr="004A0E75">
        <w:rPr>
          <w:rFonts w:eastAsia="Times New Roman" w:cs="Arial"/>
          <w:szCs w:val="24"/>
          <w:lang w:val="it-IT" w:eastAsia="it-IT"/>
        </w:rPr>
        <w:t xml:space="preserve">il raggruppamento del Tribunale d’appello in una sola sede (EFG). </w:t>
      </w:r>
    </w:p>
    <w:p w:rsidR="004A0E75" w:rsidRPr="004A0E75" w:rsidRDefault="004A0E75" w:rsidP="004A0E75">
      <w:pPr>
        <w:rPr>
          <w:rFonts w:eastAsia="Times New Roman" w:cs="Arial"/>
          <w:szCs w:val="24"/>
          <w:lang w:val="it-IT" w:eastAsia="it-CH"/>
        </w:rPr>
      </w:pPr>
    </w:p>
    <w:p w:rsidR="004A0E75" w:rsidRPr="004A0E75" w:rsidRDefault="004A0E75" w:rsidP="004A0E75">
      <w:pPr>
        <w:rPr>
          <w:rFonts w:eastAsia="Times New Roman" w:cs="Arial"/>
          <w:szCs w:val="24"/>
          <w:lang w:val="it-IT" w:eastAsia="it-CH"/>
        </w:rPr>
      </w:pPr>
      <w:r w:rsidRPr="004A0E75">
        <w:rPr>
          <w:rFonts w:eastAsia="Times New Roman" w:cs="Arial"/>
          <w:szCs w:val="24"/>
          <w:lang w:val="it-IT" w:eastAsia="it-CH"/>
        </w:rPr>
        <w:t>Starà al Parlamento confermare o meno questo indirizzo oppure rilanciare la problematica della Logistica della Giustizia ticinese al Consiglio di Stato per altre valutazioni.</w:t>
      </w:r>
    </w:p>
    <w:p w:rsidR="004A0E75" w:rsidRPr="004A0E75" w:rsidRDefault="004A0E75" w:rsidP="004A0E75">
      <w:pPr>
        <w:rPr>
          <w:rFonts w:eastAsia="Times New Roman" w:cs="Arial"/>
          <w:szCs w:val="24"/>
          <w:lang w:val="it-IT" w:eastAsia="it-CH"/>
        </w:rPr>
      </w:pPr>
    </w:p>
    <w:p w:rsidR="004A0E75" w:rsidRDefault="004A0E75" w:rsidP="004A0E75">
      <w:pPr>
        <w:rPr>
          <w:rFonts w:eastAsia="Times New Roman" w:cs="Arial"/>
          <w:szCs w:val="24"/>
          <w:lang w:val="it-IT" w:eastAsia="it-CH"/>
        </w:rPr>
      </w:pPr>
      <w:r w:rsidRPr="004A0E75">
        <w:rPr>
          <w:rFonts w:eastAsia="Times New Roman" w:cs="Arial"/>
          <w:szCs w:val="24"/>
          <w:lang w:val="it-IT" w:eastAsia="it-CH"/>
        </w:rPr>
        <w:t xml:space="preserve">In ogni caso e per quanto concerne l’oggetto di questo messaggio è indispensabile prendere atto del fatto che nello stabile del Pretorio di Bellinzona rimane esclusivamente lo spazio utile per mantenere la funzione di polo regionale della Polizia cantonale e di sede della Pretura civile di Bellinzona. </w:t>
      </w:r>
    </w:p>
    <w:p w:rsidR="007564CF" w:rsidRPr="004A0E75" w:rsidRDefault="007564CF" w:rsidP="004A0E75">
      <w:pPr>
        <w:rPr>
          <w:rFonts w:eastAsia="Times New Roman" w:cs="Arial"/>
          <w:szCs w:val="24"/>
          <w:lang w:val="it-IT" w:eastAsia="it-CH"/>
        </w:rPr>
      </w:pPr>
    </w:p>
    <w:p w:rsidR="004A0E75" w:rsidRPr="004A0E75" w:rsidRDefault="004A0E75" w:rsidP="004A0E75">
      <w:pPr>
        <w:rPr>
          <w:rFonts w:eastAsia="Times New Roman" w:cs="Arial"/>
          <w:szCs w:val="24"/>
          <w:lang w:val="it-IT" w:eastAsia="it-CH"/>
        </w:rPr>
      </w:pPr>
      <w:r w:rsidRPr="004A0E75">
        <w:rPr>
          <w:rFonts w:eastAsia="Times New Roman" w:cs="Arial"/>
          <w:szCs w:val="24"/>
          <w:lang w:val="it-IT" w:eastAsia="it-CH"/>
        </w:rPr>
        <w:t>Manca invece lo spazio fisico per altre attività quali l’attuale sede del Ministero pubblico, l’Ufficio del registro fondiario di Bellinzona e l’Autorità di protezione riorganizzata che dovranno essere collocati presso altre sedi, ancora da definire.</w:t>
      </w:r>
    </w:p>
    <w:p w:rsidR="004A0E75" w:rsidRPr="004A0E75" w:rsidRDefault="004A0E75" w:rsidP="004A0E75">
      <w:pPr>
        <w:rPr>
          <w:rFonts w:eastAsia="Times New Roman" w:cs="Arial"/>
          <w:color w:val="000000"/>
          <w:szCs w:val="24"/>
          <w:lang w:val="it-IT" w:eastAsia="it-IT"/>
        </w:rPr>
      </w:pPr>
    </w:p>
    <w:p w:rsidR="007564CF" w:rsidRDefault="004A0E75" w:rsidP="004A0E75">
      <w:pPr>
        <w:rPr>
          <w:rFonts w:eastAsia="Times New Roman" w:cs="Arial"/>
          <w:color w:val="000000"/>
          <w:szCs w:val="24"/>
          <w:lang w:val="it-IT" w:eastAsia="it-IT"/>
        </w:rPr>
      </w:pPr>
      <w:r w:rsidRPr="004A0E75">
        <w:rPr>
          <w:rFonts w:eastAsia="Times New Roman" w:cs="Arial"/>
          <w:color w:val="000000"/>
          <w:szCs w:val="24"/>
          <w:lang w:val="it-IT" w:eastAsia="it-IT"/>
        </w:rPr>
        <w:t>La tabella seguente riassume il cambiamento intervenuto e i servizi cantonali che dovranno trovare sede al di fuori dello stabile del Pretorio di Bellinzona.</w:t>
      </w:r>
    </w:p>
    <w:p w:rsidR="00E5507C" w:rsidRDefault="00E5507C" w:rsidP="004A0E75">
      <w:pPr>
        <w:rPr>
          <w:rFonts w:eastAsia="Times New Roman" w:cs="Arial"/>
          <w:color w:val="000000"/>
          <w:szCs w:val="24"/>
          <w:lang w:val="it-IT" w:eastAsia="it-IT"/>
        </w:rPr>
      </w:pPr>
    </w:p>
    <w:p w:rsidR="00E5507C" w:rsidRDefault="00E5507C" w:rsidP="004A0E75">
      <w:pPr>
        <w:rPr>
          <w:rFonts w:eastAsia="Times New Roman" w:cs="Arial"/>
          <w:color w:val="000000"/>
          <w:szCs w:val="24"/>
          <w:lang w:val="it-IT" w:eastAsia="it-IT"/>
        </w:rPr>
      </w:pPr>
    </w:p>
    <w:p w:rsidR="004A0E75" w:rsidRPr="004A0E75" w:rsidRDefault="007564CF" w:rsidP="007564CF">
      <w:pPr>
        <w:jc w:val="left"/>
        <w:rPr>
          <w:rFonts w:eastAsia="Times New Roman" w:cs="Arial"/>
          <w:color w:val="000000"/>
          <w:szCs w:val="24"/>
          <w:lang w:val="it-IT" w:eastAsia="it-IT"/>
        </w:rPr>
      </w:pPr>
      <w:r>
        <w:rPr>
          <w:rFonts w:eastAsia="Times New Roman" w:cs="Arial"/>
          <w:color w:val="000000"/>
          <w:szCs w:val="24"/>
          <w:lang w:val="it-IT" w:eastAsia="it-IT"/>
        </w:rPr>
        <w:br w:type="page"/>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6"/>
        <w:gridCol w:w="2551"/>
        <w:gridCol w:w="2547"/>
      </w:tblGrid>
      <w:tr w:rsidR="004A0E75" w:rsidRPr="004A0E75" w:rsidTr="004A0E75">
        <w:trPr>
          <w:trHeight w:val="300"/>
          <w:jc w:val="center"/>
        </w:trPr>
        <w:tc>
          <w:tcPr>
            <w:tcW w:w="4536" w:type="dxa"/>
            <w:vMerge w:val="restart"/>
            <w:shd w:val="clear" w:color="auto" w:fill="D9D9D9"/>
            <w:noWrap/>
            <w:vAlign w:val="center"/>
            <w:hideMark/>
          </w:tcPr>
          <w:p w:rsidR="004A0E75" w:rsidRPr="004A0E75" w:rsidRDefault="004A0E75" w:rsidP="004A0E75">
            <w:pPr>
              <w:jc w:val="left"/>
              <w:rPr>
                <w:rFonts w:eastAsia="Times New Roman" w:cs="Arial"/>
                <w:b/>
                <w:bCs/>
                <w:color w:val="000000"/>
                <w:sz w:val="22"/>
                <w:lang w:eastAsia="it-CH"/>
              </w:rPr>
            </w:pPr>
            <w:r w:rsidRPr="004A0E75">
              <w:rPr>
                <w:rFonts w:eastAsia="Times New Roman" w:cs="Arial"/>
                <w:b/>
                <w:bCs/>
                <w:color w:val="000000"/>
                <w:sz w:val="22"/>
                <w:lang w:eastAsia="it-CH"/>
              </w:rPr>
              <w:lastRenderedPageBreak/>
              <w:t xml:space="preserve">Servizio </w:t>
            </w:r>
          </w:p>
        </w:tc>
        <w:tc>
          <w:tcPr>
            <w:tcW w:w="5098" w:type="dxa"/>
            <w:gridSpan w:val="2"/>
            <w:shd w:val="clear" w:color="auto" w:fill="D9D9D9"/>
            <w:noWrap/>
            <w:vAlign w:val="bottom"/>
            <w:hideMark/>
          </w:tcPr>
          <w:p w:rsidR="004A0E75" w:rsidRPr="004A0E75" w:rsidRDefault="004A0E75" w:rsidP="004A0E75">
            <w:pPr>
              <w:jc w:val="center"/>
              <w:rPr>
                <w:rFonts w:eastAsia="Times New Roman" w:cs="Arial"/>
                <w:b/>
                <w:bCs/>
                <w:color w:val="000000"/>
                <w:sz w:val="22"/>
                <w:lang w:eastAsia="it-CH"/>
              </w:rPr>
            </w:pPr>
            <w:r w:rsidRPr="004A0E75">
              <w:rPr>
                <w:rFonts w:eastAsia="Times New Roman" w:cs="Arial"/>
                <w:b/>
                <w:bCs/>
                <w:color w:val="000000"/>
                <w:sz w:val="22"/>
                <w:lang w:eastAsia="it-CH"/>
              </w:rPr>
              <w:t>Contenuti Pretorio Bellinzona</w:t>
            </w:r>
          </w:p>
        </w:tc>
      </w:tr>
      <w:tr w:rsidR="004A0E75" w:rsidRPr="004A0E75" w:rsidTr="004A0E75">
        <w:trPr>
          <w:trHeight w:val="345"/>
          <w:jc w:val="center"/>
        </w:trPr>
        <w:tc>
          <w:tcPr>
            <w:tcW w:w="4536" w:type="dxa"/>
            <w:vMerge/>
            <w:shd w:val="clear" w:color="auto" w:fill="D9D9D9"/>
            <w:vAlign w:val="center"/>
            <w:hideMark/>
          </w:tcPr>
          <w:p w:rsidR="004A0E75" w:rsidRPr="004A0E75" w:rsidRDefault="004A0E75" w:rsidP="004A0E75">
            <w:pPr>
              <w:jc w:val="left"/>
              <w:rPr>
                <w:rFonts w:eastAsia="Times New Roman" w:cs="Arial"/>
                <w:b/>
                <w:bCs/>
                <w:color w:val="000000"/>
                <w:sz w:val="22"/>
                <w:lang w:eastAsia="it-CH"/>
              </w:rPr>
            </w:pPr>
          </w:p>
        </w:tc>
        <w:tc>
          <w:tcPr>
            <w:tcW w:w="2551" w:type="dxa"/>
            <w:shd w:val="clear" w:color="auto" w:fill="D9D9D9"/>
            <w:noWrap/>
            <w:vAlign w:val="center"/>
            <w:hideMark/>
          </w:tcPr>
          <w:p w:rsidR="004A0E75" w:rsidRPr="004A0E75" w:rsidRDefault="004A0E75" w:rsidP="004A0E75">
            <w:pPr>
              <w:jc w:val="center"/>
              <w:rPr>
                <w:rFonts w:eastAsia="Times New Roman" w:cs="Arial"/>
                <w:b/>
                <w:bCs/>
                <w:color w:val="000000"/>
                <w:sz w:val="22"/>
                <w:lang w:eastAsia="it-CH"/>
              </w:rPr>
            </w:pPr>
            <w:r w:rsidRPr="004A0E75">
              <w:rPr>
                <w:rFonts w:eastAsia="Times New Roman" w:cs="Arial"/>
                <w:b/>
                <w:bCs/>
                <w:color w:val="000000"/>
                <w:sz w:val="22"/>
                <w:lang w:eastAsia="it-CH"/>
              </w:rPr>
              <w:t xml:space="preserve">Esigenze 2013 </w:t>
            </w:r>
          </w:p>
          <w:p w:rsidR="004A0E75" w:rsidRPr="004A0E75" w:rsidRDefault="004A0E75" w:rsidP="004A0E75">
            <w:pPr>
              <w:jc w:val="center"/>
              <w:rPr>
                <w:rFonts w:eastAsia="Times New Roman" w:cs="Arial"/>
                <w:b/>
                <w:bCs/>
                <w:color w:val="000000"/>
                <w:sz w:val="22"/>
                <w:lang w:eastAsia="it-CH"/>
              </w:rPr>
            </w:pPr>
            <w:r w:rsidRPr="004A0E75">
              <w:rPr>
                <w:rFonts w:eastAsia="Times New Roman" w:cs="Arial"/>
                <w:b/>
                <w:bCs/>
                <w:color w:val="000000"/>
                <w:sz w:val="22"/>
                <w:lang w:eastAsia="it-CH"/>
              </w:rPr>
              <w:t>(m</w:t>
            </w:r>
            <w:r w:rsidRPr="004A0E75">
              <w:rPr>
                <w:rFonts w:eastAsia="Times New Roman" w:cs="Arial"/>
                <w:b/>
                <w:bCs/>
                <w:color w:val="000000"/>
                <w:sz w:val="22"/>
                <w:vertAlign w:val="superscript"/>
                <w:lang w:eastAsia="it-CH"/>
              </w:rPr>
              <w:t>2</w:t>
            </w:r>
            <w:r w:rsidRPr="004A0E75">
              <w:rPr>
                <w:rFonts w:eastAsia="Times New Roman" w:cs="Arial"/>
                <w:b/>
                <w:bCs/>
                <w:color w:val="000000"/>
                <w:sz w:val="22"/>
                <w:lang w:eastAsia="it-CH"/>
              </w:rPr>
              <w:t>)</w:t>
            </w:r>
          </w:p>
        </w:tc>
        <w:tc>
          <w:tcPr>
            <w:tcW w:w="2547" w:type="dxa"/>
            <w:shd w:val="clear" w:color="auto" w:fill="D9D9D9"/>
            <w:noWrap/>
            <w:vAlign w:val="center"/>
            <w:hideMark/>
          </w:tcPr>
          <w:p w:rsidR="004A0E75" w:rsidRPr="004A0E75" w:rsidRDefault="004A0E75" w:rsidP="004A0E75">
            <w:pPr>
              <w:jc w:val="center"/>
              <w:rPr>
                <w:rFonts w:eastAsia="Times New Roman" w:cs="Arial"/>
                <w:b/>
                <w:bCs/>
                <w:color w:val="000000"/>
                <w:sz w:val="22"/>
                <w:lang w:eastAsia="it-CH"/>
              </w:rPr>
            </w:pPr>
            <w:r w:rsidRPr="004A0E75">
              <w:rPr>
                <w:rFonts w:eastAsia="Times New Roman" w:cs="Arial"/>
                <w:b/>
                <w:bCs/>
                <w:color w:val="000000"/>
                <w:sz w:val="22"/>
                <w:lang w:eastAsia="it-CH"/>
              </w:rPr>
              <w:t xml:space="preserve">Progetto 2021 </w:t>
            </w:r>
          </w:p>
          <w:p w:rsidR="004A0E75" w:rsidRPr="004A0E75" w:rsidRDefault="004A0E75" w:rsidP="004A0E75">
            <w:pPr>
              <w:jc w:val="center"/>
              <w:rPr>
                <w:rFonts w:eastAsia="Times New Roman" w:cs="Arial"/>
                <w:b/>
                <w:bCs/>
                <w:color w:val="000000"/>
                <w:sz w:val="22"/>
                <w:lang w:eastAsia="it-CH"/>
              </w:rPr>
            </w:pPr>
            <w:r w:rsidRPr="004A0E75">
              <w:rPr>
                <w:rFonts w:eastAsia="Times New Roman" w:cs="Arial"/>
                <w:b/>
                <w:bCs/>
                <w:color w:val="000000"/>
                <w:sz w:val="22"/>
                <w:lang w:eastAsia="it-CH"/>
              </w:rPr>
              <w:t>(m</w:t>
            </w:r>
            <w:r w:rsidRPr="004A0E75">
              <w:rPr>
                <w:rFonts w:eastAsia="Times New Roman" w:cs="Arial"/>
                <w:b/>
                <w:bCs/>
                <w:color w:val="000000"/>
                <w:sz w:val="22"/>
                <w:vertAlign w:val="superscript"/>
                <w:lang w:eastAsia="it-CH"/>
              </w:rPr>
              <w:t>2</w:t>
            </w:r>
            <w:r w:rsidRPr="004A0E75">
              <w:rPr>
                <w:rFonts w:eastAsia="Times New Roman" w:cs="Arial"/>
                <w:b/>
                <w:bCs/>
                <w:color w:val="000000"/>
                <w:sz w:val="22"/>
                <w:lang w:eastAsia="it-CH"/>
              </w:rPr>
              <w:t>)</w:t>
            </w:r>
          </w:p>
        </w:tc>
      </w:tr>
      <w:tr w:rsidR="004A0E75" w:rsidRPr="004A0E75" w:rsidTr="008A7B61">
        <w:trPr>
          <w:trHeight w:val="300"/>
          <w:jc w:val="center"/>
        </w:trPr>
        <w:tc>
          <w:tcPr>
            <w:tcW w:w="4536" w:type="dxa"/>
            <w:shd w:val="clear" w:color="auto" w:fill="auto"/>
            <w:noWrap/>
            <w:vAlign w:val="center"/>
            <w:hideMark/>
          </w:tcPr>
          <w:p w:rsidR="004A0E75" w:rsidRPr="004A0E75" w:rsidRDefault="004A0E75" w:rsidP="004A0E75">
            <w:pPr>
              <w:jc w:val="left"/>
              <w:rPr>
                <w:rFonts w:eastAsia="Times New Roman" w:cs="Arial"/>
                <w:b/>
                <w:color w:val="000000"/>
                <w:sz w:val="22"/>
                <w:lang w:eastAsia="it-CH"/>
              </w:rPr>
            </w:pPr>
            <w:r w:rsidRPr="004A0E75">
              <w:rPr>
                <w:rFonts w:eastAsia="Times New Roman" w:cs="Arial"/>
                <w:b/>
                <w:color w:val="000000"/>
                <w:sz w:val="22"/>
                <w:lang w:eastAsia="it-CH"/>
              </w:rPr>
              <w:t>Gendarmeria</w:t>
            </w:r>
          </w:p>
        </w:tc>
        <w:tc>
          <w:tcPr>
            <w:tcW w:w="2551" w:type="dxa"/>
            <w:vMerge w:val="restart"/>
            <w:shd w:val="clear" w:color="auto" w:fill="auto"/>
            <w:noWrap/>
            <w:vAlign w:val="center"/>
            <w:hideMark/>
          </w:tcPr>
          <w:p w:rsidR="004A0E75" w:rsidRPr="004A0E75" w:rsidRDefault="004A0E75" w:rsidP="004A0E75">
            <w:pPr>
              <w:jc w:val="center"/>
              <w:rPr>
                <w:rFonts w:eastAsia="Times New Roman" w:cs="Arial"/>
                <w:b/>
                <w:color w:val="000000"/>
                <w:sz w:val="22"/>
                <w:lang w:eastAsia="it-CH"/>
              </w:rPr>
            </w:pPr>
            <w:r w:rsidRPr="004A0E75">
              <w:rPr>
                <w:rFonts w:eastAsia="Times New Roman" w:cs="Arial"/>
                <w:b/>
                <w:color w:val="000000"/>
                <w:sz w:val="22"/>
                <w:lang w:eastAsia="it-CH"/>
              </w:rPr>
              <w:t>1'006</w:t>
            </w:r>
          </w:p>
        </w:tc>
        <w:tc>
          <w:tcPr>
            <w:tcW w:w="2547" w:type="dxa"/>
            <w:vMerge w:val="restart"/>
            <w:shd w:val="clear" w:color="auto" w:fill="auto"/>
            <w:noWrap/>
            <w:vAlign w:val="center"/>
            <w:hideMark/>
          </w:tcPr>
          <w:p w:rsidR="004A0E75" w:rsidRPr="004A0E75" w:rsidRDefault="004A0E75" w:rsidP="004A0E75">
            <w:pPr>
              <w:jc w:val="center"/>
              <w:rPr>
                <w:rFonts w:eastAsia="Times New Roman" w:cs="Arial"/>
                <w:b/>
                <w:color w:val="000000"/>
                <w:sz w:val="22"/>
                <w:lang w:eastAsia="it-CH"/>
              </w:rPr>
            </w:pPr>
            <w:r w:rsidRPr="004A0E75">
              <w:rPr>
                <w:rFonts w:eastAsia="Times New Roman" w:cs="Arial"/>
                <w:b/>
                <w:color w:val="000000"/>
                <w:sz w:val="22"/>
                <w:lang w:eastAsia="it-CH"/>
              </w:rPr>
              <w:t>1'327</w:t>
            </w:r>
          </w:p>
        </w:tc>
      </w:tr>
      <w:tr w:rsidR="004A0E75" w:rsidRPr="004A0E75" w:rsidTr="008A7B61">
        <w:trPr>
          <w:trHeight w:val="300"/>
          <w:jc w:val="center"/>
        </w:trPr>
        <w:tc>
          <w:tcPr>
            <w:tcW w:w="4536" w:type="dxa"/>
            <w:shd w:val="clear" w:color="auto" w:fill="auto"/>
            <w:noWrap/>
            <w:vAlign w:val="bottom"/>
            <w:hideMark/>
          </w:tcPr>
          <w:p w:rsidR="004A0E75" w:rsidRPr="004A0E75" w:rsidRDefault="004A0E75" w:rsidP="004A0E75">
            <w:pPr>
              <w:jc w:val="left"/>
              <w:rPr>
                <w:rFonts w:eastAsia="Times New Roman" w:cs="Arial"/>
                <w:b/>
                <w:color w:val="000000"/>
                <w:sz w:val="22"/>
                <w:lang w:eastAsia="it-CH"/>
              </w:rPr>
            </w:pPr>
            <w:r w:rsidRPr="004A0E75">
              <w:rPr>
                <w:rFonts w:eastAsia="Times New Roman" w:cs="Arial"/>
                <w:b/>
                <w:color w:val="000000"/>
                <w:sz w:val="22"/>
                <w:lang w:eastAsia="it-CH"/>
              </w:rPr>
              <w:t>Polizia giudiziaria</w:t>
            </w:r>
          </w:p>
        </w:tc>
        <w:tc>
          <w:tcPr>
            <w:tcW w:w="2551" w:type="dxa"/>
            <w:vMerge/>
            <w:vAlign w:val="center"/>
            <w:hideMark/>
          </w:tcPr>
          <w:p w:rsidR="004A0E75" w:rsidRPr="004A0E75" w:rsidRDefault="004A0E75" w:rsidP="004A0E75">
            <w:pPr>
              <w:jc w:val="left"/>
              <w:rPr>
                <w:rFonts w:eastAsia="Times New Roman" w:cs="Arial"/>
                <w:b/>
                <w:color w:val="000000"/>
                <w:sz w:val="22"/>
                <w:lang w:eastAsia="it-CH"/>
              </w:rPr>
            </w:pPr>
          </w:p>
        </w:tc>
        <w:tc>
          <w:tcPr>
            <w:tcW w:w="2547" w:type="dxa"/>
            <w:vMerge/>
            <w:vAlign w:val="center"/>
            <w:hideMark/>
          </w:tcPr>
          <w:p w:rsidR="004A0E75" w:rsidRPr="004A0E75" w:rsidRDefault="004A0E75" w:rsidP="004A0E75">
            <w:pPr>
              <w:jc w:val="left"/>
              <w:rPr>
                <w:rFonts w:eastAsia="Times New Roman" w:cs="Arial"/>
                <w:b/>
                <w:color w:val="000000"/>
                <w:sz w:val="22"/>
                <w:lang w:eastAsia="it-CH"/>
              </w:rPr>
            </w:pPr>
          </w:p>
        </w:tc>
      </w:tr>
      <w:tr w:rsidR="004A0E75" w:rsidRPr="004A0E75" w:rsidTr="008A7B61">
        <w:trPr>
          <w:trHeight w:val="300"/>
          <w:jc w:val="center"/>
        </w:trPr>
        <w:tc>
          <w:tcPr>
            <w:tcW w:w="4536" w:type="dxa"/>
            <w:shd w:val="clear" w:color="auto" w:fill="auto"/>
            <w:noWrap/>
            <w:vAlign w:val="center"/>
            <w:hideMark/>
          </w:tcPr>
          <w:p w:rsidR="004A0E75" w:rsidRPr="004A0E75" w:rsidRDefault="004A0E75" w:rsidP="004A0E75">
            <w:pPr>
              <w:jc w:val="left"/>
              <w:rPr>
                <w:rFonts w:eastAsia="Times New Roman" w:cs="Arial"/>
                <w:b/>
                <w:color w:val="000000"/>
                <w:sz w:val="22"/>
                <w:lang w:eastAsia="it-CH"/>
              </w:rPr>
            </w:pPr>
            <w:r w:rsidRPr="004A0E75">
              <w:rPr>
                <w:rFonts w:eastAsia="Times New Roman" w:cs="Arial"/>
                <w:b/>
                <w:color w:val="000000"/>
                <w:sz w:val="22"/>
                <w:lang w:eastAsia="it-CH"/>
              </w:rPr>
              <w:t>Spazi comuni</w:t>
            </w:r>
          </w:p>
        </w:tc>
        <w:tc>
          <w:tcPr>
            <w:tcW w:w="2551" w:type="dxa"/>
            <w:vMerge/>
            <w:vAlign w:val="center"/>
            <w:hideMark/>
          </w:tcPr>
          <w:p w:rsidR="004A0E75" w:rsidRPr="004A0E75" w:rsidRDefault="004A0E75" w:rsidP="004A0E75">
            <w:pPr>
              <w:jc w:val="left"/>
              <w:rPr>
                <w:rFonts w:eastAsia="Times New Roman" w:cs="Arial"/>
                <w:b/>
                <w:color w:val="000000"/>
                <w:sz w:val="22"/>
                <w:lang w:eastAsia="it-CH"/>
              </w:rPr>
            </w:pPr>
          </w:p>
        </w:tc>
        <w:tc>
          <w:tcPr>
            <w:tcW w:w="2547" w:type="dxa"/>
            <w:vMerge/>
            <w:vAlign w:val="center"/>
            <w:hideMark/>
          </w:tcPr>
          <w:p w:rsidR="004A0E75" w:rsidRPr="004A0E75" w:rsidRDefault="004A0E75" w:rsidP="004A0E75">
            <w:pPr>
              <w:jc w:val="left"/>
              <w:rPr>
                <w:rFonts w:eastAsia="Times New Roman" w:cs="Arial"/>
                <w:b/>
                <w:color w:val="000000"/>
                <w:sz w:val="22"/>
                <w:lang w:eastAsia="it-CH"/>
              </w:rPr>
            </w:pPr>
          </w:p>
        </w:tc>
      </w:tr>
      <w:tr w:rsidR="004A0E75" w:rsidRPr="004A0E75" w:rsidTr="008A7B61">
        <w:trPr>
          <w:trHeight w:val="300"/>
          <w:jc w:val="center"/>
        </w:trPr>
        <w:tc>
          <w:tcPr>
            <w:tcW w:w="4536" w:type="dxa"/>
            <w:shd w:val="clear" w:color="auto" w:fill="auto"/>
            <w:noWrap/>
            <w:vAlign w:val="center"/>
            <w:hideMark/>
          </w:tcPr>
          <w:p w:rsidR="004A0E75" w:rsidRPr="004A0E75" w:rsidRDefault="004A0E75" w:rsidP="004A0E75">
            <w:pPr>
              <w:jc w:val="left"/>
              <w:rPr>
                <w:rFonts w:eastAsia="Times New Roman" w:cs="Arial"/>
                <w:b/>
                <w:color w:val="000000"/>
                <w:sz w:val="22"/>
                <w:lang w:eastAsia="it-CH"/>
              </w:rPr>
            </w:pPr>
            <w:r w:rsidRPr="004A0E75">
              <w:rPr>
                <w:rFonts w:eastAsia="Times New Roman" w:cs="Arial"/>
                <w:b/>
                <w:color w:val="000000"/>
                <w:sz w:val="22"/>
                <w:lang w:eastAsia="it-CH"/>
              </w:rPr>
              <w:t>Settore celle</w:t>
            </w:r>
          </w:p>
        </w:tc>
        <w:tc>
          <w:tcPr>
            <w:tcW w:w="2551" w:type="dxa"/>
            <w:vMerge/>
            <w:vAlign w:val="center"/>
            <w:hideMark/>
          </w:tcPr>
          <w:p w:rsidR="004A0E75" w:rsidRPr="004A0E75" w:rsidRDefault="004A0E75" w:rsidP="004A0E75">
            <w:pPr>
              <w:jc w:val="left"/>
              <w:rPr>
                <w:rFonts w:eastAsia="Times New Roman" w:cs="Arial"/>
                <w:b/>
                <w:color w:val="000000"/>
                <w:sz w:val="22"/>
                <w:lang w:eastAsia="it-CH"/>
              </w:rPr>
            </w:pPr>
          </w:p>
        </w:tc>
        <w:tc>
          <w:tcPr>
            <w:tcW w:w="2547" w:type="dxa"/>
            <w:vMerge/>
            <w:vAlign w:val="center"/>
            <w:hideMark/>
          </w:tcPr>
          <w:p w:rsidR="004A0E75" w:rsidRPr="004A0E75" w:rsidRDefault="004A0E75" w:rsidP="004A0E75">
            <w:pPr>
              <w:jc w:val="left"/>
              <w:rPr>
                <w:rFonts w:eastAsia="Times New Roman" w:cs="Arial"/>
                <w:b/>
                <w:color w:val="000000"/>
                <w:sz w:val="22"/>
                <w:lang w:eastAsia="it-CH"/>
              </w:rPr>
            </w:pPr>
          </w:p>
        </w:tc>
      </w:tr>
      <w:tr w:rsidR="004A0E75" w:rsidRPr="004A0E75" w:rsidTr="008A7B61">
        <w:trPr>
          <w:trHeight w:val="300"/>
          <w:jc w:val="center"/>
        </w:trPr>
        <w:tc>
          <w:tcPr>
            <w:tcW w:w="4536" w:type="dxa"/>
            <w:shd w:val="clear" w:color="auto" w:fill="auto"/>
            <w:noWrap/>
            <w:vAlign w:val="bottom"/>
            <w:hideMark/>
          </w:tcPr>
          <w:p w:rsidR="004A0E75" w:rsidRPr="004A0E75" w:rsidRDefault="004A0E75" w:rsidP="004A0E75">
            <w:pPr>
              <w:jc w:val="left"/>
              <w:rPr>
                <w:rFonts w:eastAsia="Times New Roman" w:cs="Arial"/>
                <w:b/>
                <w:color w:val="000000"/>
                <w:sz w:val="22"/>
                <w:lang w:eastAsia="it-CH"/>
              </w:rPr>
            </w:pPr>
            <w:r w:rsidRPr="004A0E75">
              <w:rPr>
                <w:rFonts w:eastAsia="Times New Roman" w:cs="Arial"/>
                <w:b/>
                <w:color w:val="000000"/>
                <w:sz w:val="22"/>
                <w:lang w:eastAsia="it-CH"/>
              </w:rPr>
              <w:t xml:space="preserve">Polizia - servizi aggiuntivi </w:t>
            </w:r>
            <w:r w:rsidRPr="004A0E75">
              <w:rPr>
                <w:rFonts w:eastAsia="Times New Roman" w:cs="Arial"/>
                <w:b/>
                <w:color w:val="000000"/>
                <w:sz w:val="22"/>
                <w:vertAlign w:val="superscript"/>
                <w:lang w:eastAsia="it-CH"/>
              </w:rPr>
              <w:t>1)</w:t>
            </w:r>
          </w:p>
        </w:tc>
        <w:tc>
          <w:tcPr>
            <w:tcW w:w="2551" w:type="dxa"/>
            <w:shd w:val="clear" w:color="auto" w:fill="auto"/>
            <w:noWrap/>
            <w:vAlign w:val="center"/>
            <w:hideMark/>
          </w:tcPr>
          <w:p w:rsidR="004A0E75" w:rsidRPr="004A0E75" w:rsidRDefault="004A0E75" w:rsidP="004A0E75">
            <w:pPr>
              <w:jc w:val="center"/>
              <w:rPr>
                <w:rFonts w:eastAsia="Times New Roman" w:cs="Arial"/>
                <w:b/>
                <w:color w:val="000000"/>
                <w:sz w:val="22"/>
                <w:lang w:eastAsia="it-CH"/>
              </w:rPr>
            </w:pPr>
            <w:r w:rsidRPr="004A0E75">
              <w:rPr>
                <w:rFonts w:eastAsia="Times New Roman" w:cs="Arial"/>
                <w:b/>
                <w:color w:val="000000"/>
                <w:sz w:val="22"/>
                <w:lang w:eastAsia="it-CH"/>
              </w:rPr>
              <w:t>-</w:t>
            </w:r>
          </w:p>
        </w:tc>
        <w:tc>
          <w:tcPr>
            <w:tcW w:w="2547" w:type="dxa"/>
            <w:shd w:val="clear" w:color="auto" w:fill="auto"/>
            <w:noWrap/>
            <w:vAlign w:val="center"/>
            <w:hideMark/>
          </w:tcPr>
          <w:p w:rsidR="004A0E75" w:rsidRPr="004A0E75" w:rsidRDefault="004A0E75" w:rsidP="004A0E75">
            <w:pPr>
              <w:jc w:val="center"/>
              <w:rPr>
                <w:rFonts w:eastAsia="Times New Roman" w:cs="Arial"/>
                <w:b/>
                <w:color w:val="000000"/>
                <w:sz w:val="22"/>
                <w:lang w:eastAsia="it-CH"/>
              </w:rPr>
            </w:pPr>
            <w:r w:rsidRPr="004A0E75">
              <w:rPr>
                <w:rFonts w:eastAsia="Times New Roman" w:cs="Arial"/>
                <w:b/>
                <w:color w:val="000000"/>
                <w:sz w:val="22"/>
                <w:lang w:eastAsia="it-CH"/>
              </w:rPr>
              <w:t>184</w:t>
            </w:r>
          </w:p>
        </w:tc>
      </w:tr>
      <w:tr w:rsidR="004A0E75" w:rsidRPr="004A0E75" w:rsidTr="008A7B61">
        <w:trPr>
          <w:trHeight w:val="300"/>
          <w:jc w:val="center"/>
        </w:trPr>
        <w:tc>
          <w:tcPr>
            <w:tcW w:w="4536" w:type="dxa"/>
            <w:shd w:val="clear" w:color="auto" w:fill="auto"/>
            <w:noWrap/>
            <w:vAlign w:val="bottom"/>
            <w:hideMark/>
          </w:tcPr>
          <w:p w:rsidR="004A0E75" w:rsidRPr="004A0E75" w:rsidRDefault="004A0E75" w:rsidP="004A0E75">
            <w:pPr>
              <w:jc w:val="left"/>
              <w:rPr>
                <w:rFonts w:eastAsia="Times New Roman" w:cs="Arial"/>
                <w:b/>
                <w:color w:val="000000"/>
                <w:sz w:val="22"/>
                <w:lang w:eastAsia="it-CH"/>
              </w:rPr>
            </w:pPr>
            <w:r w:rsidRPr="004A0E75">
              <w:rPr>
                <w:rFonts w:eastAsia="Times New Roman" w:cs="Arial"/>
                <w:b/>
                <w:color w:val="000000"/>
                <w:sz w:val="22"/>
                <w:lang w:eastAsia="it-CH"/>
              </w:rPr>
              <w:t>Pretura civile di Bellinzona</w:t>
            </w:r>
          </w:p>
        </w:tc>
        <w:tc>
          <w:tcPr>
            <w:tcW w:w="2551" w:type="dxa"/>
            <w:shd w:val="clear" w:color="auto" w:fill="auto"/>
            <w:noWrap/>
            <w:vAlign w:val="center"/>
            <w:hideMark/>
          </w:tcPr>
          <w:p w:rsidR="004A0E75" w:rsidRPr="004A0E75" w:rsidRDefault="004A0E75" w:rsidP="004A0E75">
            <w:pPr>
              <w:jc w:val="center"/>
              <w:rPr>
                <w:rFonts w:eastAsia="Times New Roman" w:cs="Arial"/>
                <w:b/>
                <w:color w:val="000000"/>
                <w:sz w:val="22"/>
                <w:lang w:eastAsia="it-CH"/>
              </w:rPr>
            </w:pPr>
            <w:r w:rsidRPr="004A0E75">
              <w:rPr>
                <w:rFonts w:eastAsia="Times New Roman" w:cs="Arial"/>
                <w:b/>
                <w:color w:val="000000"/>
                <w:sz w:val="22"/>
                <w:lang w:eastAsia="it-CH"/>
              </w:rPr>
              <w:t>601</w:t>
            </w:r>
          </w:p>
        </w:tc>
        <w:tc>
          <w:tcPr>
            <w:tcW w:w="2547" w:type="dxa"/>
            <w:shd w:val="clear" w:color="auto" w:fill="auto"/>
            <w:noWrap/>
            <w:vAlign w:val="center"/>
            <w:hideMark/>
          </w:tcPr>
          <w:p w:rsidR="004A0E75" w:rsidRPr="004A0E75" w:rsidRDefault="004A0E75" w:rsidP="004A0E75">
            <w:pPr>
              <w:jc w:val="center"/>
              <w:rPr>
                <w:rFonts w:eastAsia="Times New Roman" w:cs="Arial"/>
                <w:b/>
                <w:color w:val="000000"/>
                <w:sz w:val="22"/>
                <w:lang w:eastAsia="it-CH"/>
              </w:rPr>
            </w:pPr>
            <w:r w:rsidRPr="004A0E75">
              <w:rPr>
                <w:rFonts w:eastAsia="Times New Roman" w:cs="Arial"/>
                <w:b/>
                <w:color w:val="000000"/>
                <w:sz w:val="22"/>
                <w:lang w:eastAsia="it-CH"/>
              </w:rPr>
              <w:t>611</w:t>
            </w:r>
          </w:p>
        </w:tc>
      </w:tr>
      <w:tr w:rsidR="004A0E75" w:rsidRPr="004A0E75" w:rsidTr="008A7B61">
        <w:trPr>
          <w:trHeight w:val="345"/>
          <w:jc w:val="center"/>
        </w:trPr>
        <w:tc>
          <w:tcPr>
            <w:tcW w:w="4536" w:type="dxa"/>
            <w:shd w:val="clear" w:color="auto" w:fill="auto"/>
            <w:noWrap/>
            <w:vAlign w:val="bottom"/>
            <w:hideMark/>
          </w:tcPr>
          <w:p w:rsidR="004A0E75" w:rsidRPr="004A0E75" w:rsidRDefault="004A0E75" w:rsidP="004A0E75">
            <w:pPr>
              <w:jc w:val="left"/>
              <w:rPr>
                <w:rFonts w:eastAsia="Times New Roman" w:cs="Arial"/>
                <w:b/>
                <w:color w:val="000000"/>
                <w:sz w:val="22"/>
                <w:lang w:eastAsia="it-CH"/>
              </w:rPr>
            </w:pPr>
            <w:r w:rsidRPr="004A0E75">
              <w:rPr>
                <w:rFonts w:eastAsia="Times New Roman" w:cs="Arial"/>
                <w:b/>
                <w:color w:val="000000"/>
                <w:sz w:val="22"/>
                <w:lang w:eastAsia="it-CH"/>
              </w:rPr>
              <w:t>Confederazione</w:t>
            </w:r>
            <w:r w:rsidRPr="004A0E75">
              <w:rPr>
                <w:rFonts w:eastAsia="Times New Roman" w:cs="Arial"/>
                <w:b/>
                <w:color w:val="000000"/>
                <w:sz w:val="22"/>
                <w:vertAlign w:val="superscript"/>
                <w:lang w:eastAsia="it-CH"/>
              </w:rPr>
              <w:t xml:space="preserve"> 2)</w:t>
            </w:r>
          </w:p>
        </w:tc>
        <w:tc>
          <w:tcPr>
            <w:tcW w:w="2551" w:type="dxa"/>
            <w:shd w:val="clear" w:color="auto" w:fill="auto"/>
            <w:noWrap/>
            <w:vAlign w:val="center"/>
            <w:hideMark/>
          </w:tcPr>
          <w:p w:rsidR="004A0E75" w:rsidRPr="004A0E75" w:rsidRDefault="004A0E75" w:rsidP="004A0E75">
            <w:pPr>
              <w:jc w:val="center"/>
              <w:rPr>
                <w:rFonts w:eastAsia="Times New Roman" w:cs="Arial"/>
                <w:b/>
                <w:color w:val="000000"/>
                <w:sz w:val="22"/>
                <w:lang w:eastAsia="it-CH"/>
              </w:rPr>
            </w:pPr>
            <w:r w:rsidRPr="004A0E75">
              <w:rPr>
                <w:rFonts w:eastAsia="Times New Roman" w:cs="Arial"/>
                <w:b/>
                <w:color w:val="000000"/>
                <w:sz w:val="22"/>
                <w:lang w:eastAsia="it-CH"/>
              </w:rPr>
              <w:t>-</w:t>
            </w:r>
          </w:p>
        </w:tc>
        <w:tc>
          <w:tcPr>
            <w:tcW w:w="2547" w:type="dxa"/>
            <w:shd w:val="clear" w:color="auto" w:fill="auto"/>
            <w:noWrap/>
            <w:vAlign w:val="center"/>
            <w:hideMark/>
          </w:tcPr>
          <w:p w:rsidR="004A0E75" w:rsidRPr="004A0E75" w:rsidRDefault="004A0E75" w:rsidP="004A0E75">
            <w:pPr>
              <w:jc w:val="center"/>
              <w:rPr>
                <w:rFonts w:eastAsia="Times New Roman" w:cs="Arial"/>
                <w:b/>
                <w:color w:val="000000"/>
                <w:sz w:val="22"/>
                <w:lang w:eastAsia="it-CH"/>
              </w:rPr>
            </w:pPr>
            <w:r w:rsidRPr="004A0E75">
              <w:rPr>
                <w:rFonts w:eastAsia="Times New Roman" w:cs="Arial"/>
                <w:b/>
                <w:color w:val="000000"/>
                <w:sz w:val="22"/>
                <w:lang w:eastAsia="it-CH"/>
              </w:rPr>
              <w:t>1'456</w:t>
            </w:r>
          </w:p>
        </w:tc>
      </w:tr>
      <w:tr w:rsidR="004A0E75" w:rsidRPr="004A0E75" w:rsidTr="008A7B61">
        <w:trPr>
          <w:trHeight w:val="300"/>
          <w:jc w:val="center"/>
        </w:trPr>
        <w:tc>
          <w:tcPr>
            <w:tcW w:w="4536" w:type="dxa"/>
            <w:shd w:val="clear" w:color="auto" w:fill="auto"/>
            <w:noWrap/>
            <w:vAlign w:val="bottom"/>
            <w:hideMark/>
          </w:tcPr>
          <w:p w:rsidR="004A0E75" w:rsidRPr="004A0E75" w:rsidRDefault="004A0E75" w:rsidP="004A0E75">
            <w:pPr>
              <w:jc w:val="left"/>
              <w:rPr>
                <w:rFonts w:eastAsia="Times New Roman" w:cs="Arial"/>
                <w:b/>
                <w:color w:val="000000"/>
                <w:sz w:val="22"/>
                <w:lang w:eastAsia="it-CH"/>
              </w:rPr>
            </w:pPr>
            <w:r w:rsidRPr="004A0E75">
              <w:rPr>
                <w:rFonts w:eastAsia="Times New Roman" w:cs="Arial"/>
                <w:b/>
                <w:color w:val="000000"/>
                <w:sz w:val="22"/>
                <w:lang w:eastAsia="it-CH"/>
              </w:rPr>
              <w:t>Spazi disponibili</w:t>
            </w:r>
          </w:p>
        </w:tc>
        <w:tc>
          <w:tcPr>
            <w:tcW w:w="2551" w:type="dxa"/>
            <w:shd w:val="clear" w:color="auto" w:fill="auto"/>
            <w:noWrap/>
            <w:vAlign w:val="center"/>
            <w:hideMark/>
          </w:tcPr>
          <w:p w:rsidR="004A0E75" w:rsidRPr="004A0E75" w:rsidRDefault="004A0E75" w:rsidP="004A0E75">
            <w:pPr>
              <w:jc w:val="center"/>
              <w:rPr>
                <w:rFonts w:eastAsia="Times New Roman" w:cs="Arial"/>
                <w:color w:val="000000"/>
                <w:sz w:val="22"/>
                <w:lang w:eastAsia="it-CH"/>
              </w:rPr>
            </w:pPr>
            <w:r w:rsidRPr="004A0E75">
              <w:rPr>
                <w:rFonts w:eastAsia="Times New Roman" w:cs="Arial"/>
                <w:color w:val="000000"/>
                <w:sz w:val="22"/>
                <w:lang w:eastAsia="it-CH"/>
              </w:rPr>
              <w:t>-</w:t>
            </w:r>
          </w:p>
        </w:tc>
        <w:tc>
          <w:tcPr>
            <w:tcW w:w="2547" w:type="dxa"/>
            <w:shd w:val="clear" w:color="auto" w:fill="auto"/>
            <w:noWrap/>
            <w:vAlign w:val="center"/>
            <w:hideMark/>
          </w:tcPr>
          <w:p w:rsidR="004A0E75" w:rsidRPr="004A0E75" w:rsidRDefault="004A0E75" w:rsidP="004A0E75">
            <w:pPr>
              <w:jc w:val="center"/>
              <w:rPr>
                <w:rFonts w:eastAsia="Times New Roman" w:cs="Arial"/>
                <w:color w:val="000000"/>
                <w:sz w:val="22"/>
                <w:lang w:eastAsia="it-CH"/>
              </w:rPr>
            </w:pPr>
            <w:r w:rsidRPr="004A0E75">
              <w:rPr>
                <w:rFonts w:eastAsia="Times New Roman" w:cs="Arial"/>
                <w:color w:val="000000"/>
                <w:sz w:val="22"/>
                <w:lang w:eastAsia="it-CH"/>
              </w:rPr>
              <w:t>70</w:t>
            </w:r>
          </w:p>
        </w:tc>
      </w:tr>
      <w:tr w:rsidR="004A0E75" w:rsidRPr="004A0E75" w:rsidTr="008A7B61">
        <w:trPr>
          <w:trHeight w:val="300"/>
          <w:jc w:val="center"/>
        </w:trPr>
        <w:tc>
          <w:tcPr>
            <w:tcW w:w="4536" w:type="dxa"/>
            <w:shd w:val="clear" w:color="auto" w:fill="auto"/>
            <w:noWrap/>
            <w:hideMark/>
          </w:tcPr>
          <w:p w:rsidR="004A0E75" w:rsidRPr="004A0E75" w:rsidRDefault="004A0E75" w:rsidP="004A0E75">
            <w:pPr>
              <w:jc w:val="left"/>
              <w:rPr>
                <w:rFonts w:eastAsia="Times New Roman" w:cs="Arial"/>
                <w:i/>
                <w:color w:val="000000"/>
                <w:sz w:val="22"/>
                <w:lang w:eastAsia="it-CH"/>
              </w:rPr>
            </w:pPr>
            <w:r w:rsidRPr="004A0E75">
              <w:rPr>
                <w:rFonts w:eastAsia="Times New Roman" w:cs="Arial"/>
                <w:i/>
                <w:color w:val="000000"/>
                <w:sz w:val="22"/>
                <w:lang w:eastAsia="it-CH"/>
              </w:rPr>
              <w:t>Pretura penale</w:t>
            </w:r>
          </w:p>
        </w:tc>
        <w:tc>
          <w:tcPr>
            <w:tcW w:w="2551" w:type="dxa"/>
            <w:shd w:val="clear" w:color="auto" w:fill="auto"/>
            <w:noWrap/>
            <w:vAlign w:val="center"/>
            <w:hideMark/>
          </w:tcPr>
          <w:p w:rsidR="004A0E75" w:rsidRPr="004A0E75" w:rsidRDefault="004A0E75" w:rsidP="004A0E75">
            <w:pPr>
              <w:jc w:val="center"/>
              <w:rPr>
                <w:rFonts w:eastAsia="Times New Roman" w:cs="Arial"/>
                <w:i/>
                <w:color w:val="000000"/>
                <w:sz w:val="22"/>
                <w:lang w:eastAsia="it-CH"/>
              </w:rPr>
            </w:pPr>
            <w:r w:rsidRPr="004A0E75">
              <w:rPr>
                <w:rFonts w:eastAsia="Times New Roman" w:cs="Arial"/>
                <w:i/>
                <w:color w:val="000000"/>
                <w:sz w:val="22"/>
                <w:lang w:eastAsia="it-CH"/>
              </w:rPr>
              <w:t>622</w:t>
            </w:r>
          </w:p>
        </w:tc>
        <w:tc>
          <w:tcPr>
            <w:tcW w:w="2547" w:type="dxa"/>
            <w:shd w:val="clear" w:color="auto" w:fill="auto"/>
            <w:noWrap/>
            <w:vAlign w:val="center"/>
            <w:hideMark/>
          </w:tcPr>
          <w:p w:rsidR="004A0E75" w:rsidRPr="004A0E75" w:rsidRDefault="004A0E75" w:rsidP="004A0E75">
            <w:pPr>
              <w:jc w:val="center"/>
              <w:rPr>
                <w:rFonts w:eastAsia="Times New Roman" w:cs="Arial"/>
                <w:color w:val="000000"/>
                <w:sz w:val="22"/>
                <w:lang w:eastAsia="it-CH"/>
              </w:rPr>
            </w:pPr>
            <w:r w:rsidRPr="004A0E75">
              <w:rPr>
                <w:rFonts w:eastAsia="Times New Roman" w:cs="Arial"/>
                <w:color w:val="000000"/>
                <w:sz w:val="22"/>
                <w:lang w:eastAsia="it-CH"/>
              </w:rPr>
              <w:t>-</w:t>
            </w:r>
          </w:p>
        </w:tc>
      </w:tr>
      <w:tr w:rsidR="004A0E75" w:rsidRPr="004A0E75" w:rsidTr="008A7B61">
        <w:trPr>
          <w:trHeight w:val="300"/>
          <w:jc w:val="center"/>
        </w:trPr>
        <w:tc>
          <w:tcPr>
            <w:tcW w:w="4536" w:type="dxa"/>
            <w:shd w:val="clear" w:color="auto" w:fill="auto"/>
            <w:noWrap/>
            <w:vAlign w:val="center"/>
            <w:hideMark/>
          </w:tcPr>
          <w:p w:rsidR="004A0E75" w:rsidRPr="004A0E75" w:rsidRDefault="004A0E75" w:rsidP="004A0E75">
            <w:pPr>
              <w:jc w:val="left"/>
              <w:rPr>
                <w:rFonts w:eastAsia="Times New Roman" w:cs="Arial"/>
                <w:i/>
                <w:color w:val="000000"/>
                <w:sz w:val="22"/>
                <w:lang w:eastAsia="it-CH"/>
              </w:rPr>
            </w:pPr>
            <w:r w:rsidRPr="004A0E75">
              <w:rPr>
                <w:rFonts w:eastAsia="Times New Roman" w:cs="Arial"/>
                <w:i/>
                <w:color w:val="000000"/>
                <w:sz w:val="22"/>
                <w:lang w:eastAsia="it-CH"/>
              </w:rPr>
              <w:t>Tribunale penale cantonale</w:t>
            </w:r>
          </w:p>
        </w:tc>
        <w:tc>
          <w:tcPr>
            <w:tcW w:w="2551" w:type="dxa"/>
            <w:shd w:val="clear" w:color="auto" w:fill="auto"/>
            <w:noWrap/>
            <w:vAlign w:val="center"/>
            <w:hideMark/>
          </w:tcPr>
          <w:p w:rsidR="004A0E75" w:rsidRPr="004A0E75" w:rsidRDefault="004A0E75" w:rsidP="004A0E75">
            <w:pPr>
              <w:jc w:val="center"/>
              <w:rPr>
                <w:rFonts w:eastAsia="Times New Roman" w:cs="Arial"/>
                <w:i/>
                <w:color w:val="000000"/>
                <w:sz w:val="22"/>
                <w:lang w:eastAsia="it-CH"/>
              </w:rPr>
            </w:pPr>
            <w:r w:rsidRPr="004A0E75">
              <w:rPr>
                <w:rFonts w:eastAsia="Times New Roman" w:cs="Arial"/>
                <w:i/>
                <w:color w:val="000000"/>
                <w:sz w:val="22"/>
                <w:lang w:eastAsia="it-CH"/>
              </w:rPr>
              <w:t>852</w:t>
            </w:r>
          </w:p>
        </w:tc>
        <w:tc>
          <w:tcPr>
            <w:tcW w:w="2547" w:type="dxa"/>
            <w:shd w:val="clear" w:color="auto" w:fill="auto"/>
            <w:noWrap/>
            <w:vAlign w:val="center"/>
            <w:hideMark/>
          </w:tcPr>
          <w:p w:rsidR="004A0E75" w:rsidRPr="004A0E75" w:rsidRDefault="004A0E75" w:rsidP="004A0E75">
            <w:pPr>
              <w:jc w:val="center"/>
              <w:rPr>
                <w:rFonts w:eastAsia="Times New Roman" w:cs="Arial"/>
                <w:color w:val="000000"/>
                <w:sz w:val="22"/>
                <w:lang w:eastAsia="it-CH"/>
              </w:rPr>
            </w:pPr>
            <w:r w:rsidRPr="004A0E75">
              <w:rPr>
                <w:rFonts w:eastAsia="Times New Roman" w:cs="Arial"/>
                <w:color w:val="000000"/>
                <w:sz w:val="22"/>
                <w:lang w:eastAsia="it-CH"/>
              </w:rPr>
              <w:t>-</w:t>
            </w:r>
          </w:p>
        </w:tc>
      </w:tr>
      <w:tr w:rsidR="004A0E75" w:rsidRPr="004A0E75" w:rsidTr="008A7B61">
        <w:trPr>
          <w:trHeight w:val="300"/>
          <w:jc w:val="center"/>
        </w:trPr>
        <w:tc>
          <w:tcPr>
            <w:tcW w:w="4536" w:type="dxa"/>
            <w:shd w:val="clear" w:color="auto" w:fill="auto"/>
            <w:noWrap/>
            <w:hideMark/>
          </w:tcPr>
          <w:p w:rsidR="004A0E75" w:rsidRPr="004A0E75" w:rsidRDefault="004A0E75" w:rsidP="004A0E75">
            <w:pPr>
              <w:jc w:val="left"/>
              <w:rPr>
                <w:rFonts w:eastAsia="Times New Roman" w:cs="Arial"/>
                <w:i/>
                <w:color w:val="000000"/>
                <w:sz w:val="22"/>
                <w:lang w:eastAsia="it-CH"/>
              </w:rPr>
            </w:pPr>
            <w:r w:rsidRPr="004A0E75">
              <w:rPr>
                <w:rFonts w:eastAsia="Times New Roman" w:cs="Arial"/>
                <w:i/>
                <w:color w:val="000000"/>
                <w:sz w:val="22"/>
                <w:lang w:eastAsia="it-CH"/>
              </w:rPr>
              <w:t>Ufficio del registro fondiario di Bellinzona</w:t>
            </w:r>
          </w:p>
        </w:tc>
        <w:tc>
          <w:tcPr>
            <w:tcW w:w="2551" w:type="dxa"/>
            <w:shd w:val="clear" w:color="auto" w:fill="auto"/>
            <w:noWrap/>
            <w:vAlign w:val="center"/>
            <w:hideMark/>
          </w:tcPr>
          <w:p w:rsidR="004A0E75" w:rsidRPr="004A0E75" w:rsidRDefault="004A0E75" w:rsidP="004A0E75">
            <w:pPr>
              <w:jc w:val="center"/>
              <w:rPr>
                <w:rFonts w:eastAsia="Times New Roman" w:cs="Arial"/>
                <w:i/>
                <w:color w:val="000000"/>
                <w:sz w:val="22"/>
                <w:lang w:eastAsia="it-CH"/>
              </w:rPr>
            </w:pPr>
            <w:r w:rsidRPr="004A0E75">
              <w:rPr>
                <w:rFonts w:eastAsia="Times New Roman" w:cs="Arial"/>
                <w:i/>
                <w:color w:val="000000"/>
                <w:sz w:val="22"/>
                <w:lang w:eastAsia="it-CH"/>
              </w:rPr>
              <w:t>459</w:t>
            </w:r>
          </w:p>
        </w:tc>
        <w:tc>
          <w:tcPr>
            <w:tcW w:w="2547" w:type="dxa"/>
            <w:shd w:val="clear" w:color="auto" w:fill="auto"/>
            <w:noWrap/>
            <w:vAlign w:val="center"/>
            <w:hideMark/>
          </w:tcPr>
          <w:p w:rsidR="004A0E75" w:rsidRPr="004A0E75" w:rsidRDefault="004A0E75" w:rsidP="004A0E75">
            <w:pPr>
              <w:jc w:val="center"/>
              <w:rPr>
                <w:rFonts w:eastAsia="Times New Roman" w:cs="Arial"/>
                <w:color w:val="000000"/>
                <w:sz w:val="22"/>
                <w:lang w:eastAsia="it-CH"/>
              </w:rPr>
            </w:pPr>
            <w:r w:rsidRPr="004A0E75">
              <w:rPr>
                <w:rFonts w:eastAsia="Times New Roman" w:cs="Arial"/>
                <w:color w:val="000000"/>
                <w:sz w:val="22"/>
                <w:lang w:eastAsia="it-CH"/>
              </w:rPr>
              <w:t>-</w:t>
            </w:r>
          </w:p>
        </w:tc>
      </w:tr>
      <w:tr w:rsidR="004A0E75" w:rsidRPr="004A0E75" w:rsidTr="008A7B61">
        <w:trPr>
          <w:trHeight w:val="300"/>
          <w:jc w:val="center"/>
        </w:trPr>
        <w:tc>
          <w:tcPr>
            <w:tcW w:w="4536" w:type="dxa"/>
            <w:tcBorders>
              <w:bottom w:val="single" w:sz="4" w:space="0" w:color="auto"/>
            </w:tcBorders>
            <w:shd w:val="clear" w:color="auto" w:fill="auto"/>
            <w:noWrap/>
            <w:vAlign w:val="center"/>
            <w:hideMark/>
          </w:tcPr>
          <w:p w:rsidR="004A0E75" w:rsidRPr="004A0E75" w:rsidRDefault="004A0E75" w:rsidP="004A0E75">
            <w:pPr>
              <w:jc w:val="left"/>
              <w:rPr>
                <w:rFonts w:eastAsia="Times New Roman" w:cs="Arial"/>
                <w:i/>
                <w:color w:val="000000"/>
                <w:sz w:val="22"/>
                <w:lang w:eastAsia="it-CH"/>
              </w:rPr>
            </w:pPr>
            <w:r w:rsidRPr="004A0E75">
              <w:rPr>
                <w:rFonts w:eastAsia="Times New Roman" w:cs="Arial"/>
                <w:i/>
                <w:color w:val="000000"/>
                <w:sz w:val="22"/>
                <w:lang w:eastAsia="it-CH"/>
              </w:rPr>
              <w:t>Autorità regionali di protezione riorganizzate</w:t>
            </w:r>
          </w:p>
        </w:tc>
        <w:tc>
          <w:tcPr>
            <w:tcW w:w="2551" w:type="dxa"/>
            <w:tcBorders>
              <w:bottom w:val="single" w:sz="4" w:space="0" w:color="auto"/>
            </w:tcBorders>
            <w:shd w:val="clear" w:color="auto" w:fill="auto"/>
            <w:noWrap/>
            <w:vAlign w:val="center"/>
            <w:hideMark/>
          </w:tcPr>
          <w:p w:rsidR="004A0E75" w:rsidRPr="004A0E75" w:rsidRDefault="004A0E75" w:rsidP="004A0E75">
            <w:pPr>
              <w:jc w:val="center"/>
              <w:rPr>
                <w:rFonts w:eastAsia="Times New Roman" w:cs="Arial"/>
                <w:i/>
                <w:color w:val="000000"/>
                <w:sz w:val="22"/>
                <w:lang w:eastAsia="it-CH"/>
              </w:rPr>
            </w:pPr>
            <w:r w:rsidRPr="004A0E75">
              <w:rPr>
                <w:rFonts w:eastAsia="Times New Roman" w:cs="Arial"/>
                <w:i/>
                <w:color w:val="000000"/>
                <w:sz w:val="22"/>
                <w:lang w:eastAsia="it-CH"/>
              </w:rPr>
              <w:t>220</w:t>
            </w:r>
          </w:p>
        </w:tc>
        <w:tc>
          <w:tcPr>
            <w:tcW w:w="2547" w:type="dxa"/>
            <w:tcBorders>
              <w:bottom w:val="single" w:sz="4" w:space="0" w:color="auto"/>
            </w:tcBorders>
            <w:shd w:val="clear" w:color="auto" w:fill="auto"/>
            <w:noWrap/>
            <w:vAlign w:val="center"/>
            <w:hideMark/>
          </w:tcPr>
          <w:p w:rsidR="004A0E75" w:rsidRPr="004A0E75" w:rsidRDefault="004A0E75" w:rsidP="004A0E75">
            <w:pPr>
              <w:jc w:val="center"/>
              <w:rPr>
                <w:rFonts w:eastAsia="Times New Roman" w:cs="Arial"/>
                <w:color w:val="000000"/>
                <w:sz w:val="22"/>
                <w:lang w:eastAsia="it-CH"/>
              </w:rPr>
            </w:pPr>
            <w:r w:rsidRPr="004A0E75">
              <w:rPr>
                <w:rFonts w:eastAsia="Times New Roman" w:cs="Arial"/>
                <w:color w:val="000000"/>
                <w:sz w:val="22"/>
                <w:lang w:eastAsia="it-CH"/>
              </w:rPr>
              <w:t>-</w:t>
            </w:r>
          </w:p>
        </w:tc>
      </w:tr>
      <w:tr w:rsidR="004A0E75" w:rsidRPr="004A0E75" w:rsidTr="004A0E75">
        <w:trPr>
          <w:trHeight w:val="431"/>
          <w:jc w:val="center"/>
        </w:trPr>
        <w:tc>
          <w:tcPr>
            <w:tcW w:w="4536" w:type="dxa"/>
            <w:shd w:val="clear" w:color="auto" w:fill="D9D9D9"/>
            <w:noWrap/>
            <w:vAlign w:val="center"/>
            <w:hideMark/>
          </w:tcPr>
          <w:p w:rsidR="004A0E75" w:rsidRPr="004A0E75" w:rsidRDefault="004A0E75" w:rsidP="004A0E75">
            <w:pPr>
              <w:jc w:val="left"/>
              <w:rPr>
                <w:rFonts w:eastAsia="Times New Roman" w:cs="Arial"/>
                <w:b/>
                <w:bCs/>
                <w:color w:val="000000"/>
                <w:sz w:val="22"/>
                <w:lang w:eastAsia="it-CH"/>
              </w:rPr>
            </w:pPr>
            <w:r w:rsidRPr="004A0E75">
              <w:rPr>
                <w:rFonts w:eastAsia="Times New Roman" w:cs="Arial"/>
                <w:b/>
                <w:bCs/>
                <w:color w:val="000000"/>
                <w:sz w:val="22"/>
                <w:lang w:eastAsia="it-CH"/>
              </w:rPr>
              <w:t>TOTALE</w:t>
            </w:r>
          </w:p>
        </w:tc>
        <w:tc>
          <w:tcPr>
            <w:tcW w:w="2551" w:type="dxa"/>
            <w:shd w:val="clear" w:color="auto" w:fill="D9D9D9"/>
            <w:noWrap/>
            <w:vAlign w:val="center"/>
            <w:hideMark/>
          </w:tcPr>
          <w:p w:rsidR="004A0E75" w:rsidRPr="004A0E75" w:rsidRDefault="004A0E75" w:rsidP="004A0E75">
            <w:pPr>
              <w:jc w:val="center"/>
              <w:rPr>
                <w:rFonts w:eastAsia="Times New Roman" w:cs="Arial"/>
                <w:b/>
                <w:bCs/>
                <w:color w:val="000000"/>
                <w:sz w:val="22"/>
                <w:lang w:eastAsia="it-CH"/>
              </w:rPr>
            </w:pPr>
            <w:r w:rsidRPr="004A0E75">
              <w:rPr>
                <w:rFonts w:eastAsia="Times New Roman" w:cs="Arial"/>
                <w:b/>
                <w:bCs/>
                <w:color w:val="000000"/>
                <w:sz w:val="22"/>
                <w:lang w:eastAsia="it-CH"/>
              </w:rPr>
              <w:t>3'760</w:t>
            </w:r>
          </w:p>
        </w:tc>
        <w:tc>
          <w:tcPr>
            <w:tcW w:w="2547" w:type="dxa"/>
            <w:shd w:val="clear" w:color="auto" w:fill="D9D9D9"/>
            <w:noWrap/>
            <w:vAlign w:val="center"/>
            <w:hideMark/>
          </w:tcPr>
          <w:p w:rsidR="004A0E75" w:rsidRPr="004A0E75" w:rsidRDefault="004A0E75" w:rsidP="004A0E75">
            <w:pPr>
              <w:jc w:val="center"/>
              <w:rPr>
                <w:rFonts w:eastAsia="Times New Roman" w:cs="Arial"/>
                <w:b/>
                <w:bCs/>
                <w:color w:val="000000"/>
                <w:sz w:val="22"/>
                <w:lang w:eastAsia="it-CH"/>
              </w:rPr>
            </w:pPr>
            <w:r w:rsidRPr="004A0E75">
              <w:rPr>
                <w:rFonts w:eastAsia="Times New Roman" w:cs="Arial"/>
                <w:b/>
                <w:bCs/>
                <w:color w:val="000000"/>
                <w:sz w:val="22"/>
                <w:lang w:eastAsia="it-CH"/>
              </w:rPr>
              <w:t>3'648</w:t>
            </w:r>
          </w:p>
        </w:tc>
      </w:tr>
      <w:tr w:rsidR="004A0E75" w:rsidRPr="004A0E75" w:rsidTr="008A7B61">
        <w:trPr>
          <w:trHeight w:val="124"/>
          <w:jc w:val="center"/>
        </w:trPr>
        <w:tc>
          <w:tcPr>
            <w:tcW w:w="4536" w:type="dxa"/>
            <w:shd w:val="clear" w:color="auto" w:fill="auto"/>
            <w:noWrap/>
            <w:vAlign w:val="bottom"/>
            <w:hideMark/>
          </w:tcPr>
          <w:p w:rsidR="004A0E75" w:rsidRPr="004A0E75" w:rsidRDefault="004A0E75" w:rsidP="004A0E75">
            <w:pPr>
              <w:jc w:val="center"/>
              <w:rPr>
                <w:rFonts w:eastAsia="Times New Roman" w:cs="Arial"/>
                <w:b/>
                <w:bCs/>
                <w:color w:val="000000"/>
                <w:sz w:val="22"/>
                <w:lang w:eastAsia="it-CH"/>
              </w:rPr>
            </w:pPr>
          </w:p>
        </w:tc>
        <w:tc>
          <w:tcPr>
            <w:tcW w:w="2551" w:type="dxa"/>
            <w:shd w:val="clear" w:color="auto" w:fill="auto"/>
            <w:noWrap/>
            <w:vAlign w:val="bottom"/>
            <w:hideMark/>
          </w:tcPr>
          <w:p w:rsidR="004A0E75" w:rsidRPr="004A0E75" w:rsidRDefault="004A0E75" w:rsidP="004A0E75">
            <w:pPr>
              <w:jc w:val="left"/>
              <w:rPr>
                <w:rFonts w:eastAsia="Times New Roman" w:cs="Arial"/>
                <w:sz w:val="22"/>
                <w:lang w:eastAsia="it-CH"/>
              </w:rPr>
            </w:pPr>
          </w:p>
        </w:tc>
        <w:tc>
          <w:tcPr>
            <w:tcW w:w="2547" w:type="dxa"/>
            <w:shd w:val="clear" w:color="auto" w:fill="auto"/>
            <w:noWrap/>
            <w:vAlign w:val="bottom"/>
            <w:hideMark/>
          </w:tcPr>
          <w:p w:rsidR="004A0E75" w:rsidRPr="004A0E75" w:rsidRDefault="004A0E75" w:rsidP="004A0E75">
            <w:pPr>
              <w:jc w:val="left"/>
              <w:rPr>
                <w:rFonts w:eastAsia="Times New Roman" w:cs="Arial"/>
                <w:sz w:val="22"/>
                <w:lang w:eastAsia="it-CH"/>
              </w:rPr>
            </w:pPr>
          </w:p>
        </w:tc>
      </w:tr>
      <w:tr w:rsidR="004A0E75" w:rsidRPr="004A0E75" w:rsidTr="008A7B61">
        <w:trPr>
          <w:trHeight w:val="345"/>
          <w:jc w:val="center"/>
        </w:trPr>
        <w:tc>
          <w:tcPr>
            <w:tcW w:w="9634" w:type="dxa"/>
            <w:gridSpan w:val="3"/>
            <w:shd w:val="clear" w:color="auto" w:fill="auto"/>
            <w:noWrap/>
            <w:vAlign w:val="bottom"/>
            <w:hideMark/>
          </w:tcPr>
          <w:p w:rsidR="004A0E75" w:rsidRPr="0090364F" w:rsidRDefault="004A0E75" w:rsidP="004A0E75">
            <w:pPr>
              <w:jc w:val="left"/>
              <w:rPr>
                <w:rFonts w:eastAsia="Times New Roman" w:cs="Arial"/>
                <w:color w:val="000000"/>
                <w:sz w:val="20"/>
                <w:szCs w:val="20"/>
                <w:lang w:eastAsia="it-CH"/>
              </w:rPr>
            </w:pPr>
            <w:r w:rsidRPr="004A0E75">
              <w:rPr>
                <w:rFonts w:eastAsia="Times New Roman" w:cs="Arial"/>
                <w:color w:val="000000"/>
                <w:sz w:val="22"/>
                <w:vertAlign w:val="superscript"/>
                <w:lang w:eastAsia="it-CH"/>
              </w:rPr>
              <w:t>1)</w:t>
            </w:r>
            <w:r w:rsidR="00E5507C">
              <w:rPr>
                <w:rFonts w:eastAsia="Times New Roman" w:cs="Arial"/>
                <w:color w:val="000000"/>
                <w:sz w:val="22"/>
                <w:vertAlign w:val="superscript"/>
                <w:lang w:eastAsia="it-CH"/>
              </w:rPr>
              <w:t xml:space="preserve"> </w:t>
            </w:r>
            <w:r w:rsidRPr="0090364F">
              <w:rPr>
                <w:rFonts w:eastAsia="Times New Roman" w:cs="Arial"/>
                <w:color w:val="000000"/>
                <w:sz w:val="20"/>
                <w:szCs w:val="20"/>
                <w:lang w:eastAsia="it-CH"/>
              </w:rPr>
              <w:t>Servizi di Polizia attualmente dislocati in sedi non più idonee</w:t>
            </w:r>
          </w:p>
          <w:p w:rsidR="004A0E75" w:rsidRPr="004A0E75" w:rsidRDefault="004A0E75" w:rsidP="00E5507C">
            <w:pPr>
              <w:jc w:val="left"/>
              <w:rPr>
                <w:rFonts w:eastAsia="Times New Roman" w:cs="Arial"/>
                <w:color w:val="000000"/>
                <w:sz w:val="22"/>
                <w:lang w:eastAsia="it-CH"/>
              </w:rPr>
            </w:pPr>
            <w:r w:rsidRPr="0090364F">
              <w:rPr>
                <w:rFonts w:eastAsia="Times New Roman" w:cs="Arial"/>
                <w:color w:val="000000"/>
                <w:sz w:val="20"/>
                <w:szCs w:val="20"/>
                <w:vertAlign w:val="superscript"/>
                <w:lang w:eastAsia="it-CH"/>
              </w:rPr>
              <w:t>2)</w:t>
            </w:r>
            <w:r w:rsidR="00E5507C" w:rsidRPr="0090364F">
              <w:rPr>
                <w:rFonts w:eastAsia="Times New Roman" w:cs="Arial"/>
                <w:color w:val="000000"/>
                <w:sz w:val="20"/>
                <w:szCs w:val="20"/>
                <w:vertAlign w:val="superscript"/>
                <w:lang w:eastAsia="it-CH"/>
              </w:rPr>
              <w:t xml:space="preserve"> </w:t>
            </w:r>
            <w:r w:rsidRPr="0090364F">
              <w:rPr>
                <w:rFonts w:eastAsia="Times New Roman" w:cs="Arial"/>
                <w:color w:val="000000"/>
                <w:sz w:val="20"/>
                <w:szCs w:val="20"/>
                <w:lang w:eastAsia="it-CH"/>
              </w:rPr>
              <w:t>esclusi gli spazi di circolazione e compresi i depositi</w:t>
            </w:r>
          </w:p>
        </w:tc>
      </w:tr>
    </w:tbl>
    <w:p w:rsidR="004A0E75" w:rsidRPr="004A0E75" w:rsidRDefault="004A0E75" w:rsidP="00E5507C">
      <w:pPr>
        <w:spacing w:after="120"/>
        <w:rPr>
          <w:rFonts w:eastAsia="Times New Roman" w:cs="Arial"/>
          <w:szCs w:val="24"/>
          <w:lang w:eastAsia="it-IT"/>
        </w:rPr>
      </w:pPr>
    </w:p>
    <w:p w:rsidR="004A0E75" w:rsidRPr="004A0E75" w:rsidRDefault="004A0E75" w:rsidP="004A0E75">
      <w:pPr>
        <w:rPr>
          <w:rFonts w:eastAsia="Times New Roman" w:cs="Arial"/>
          <w:bCs/>
          <w:szCs w:val="24"/>
          <w:lang w:val="it-IT" w:eastAsia="it-IT"/>
        </w:rPr>
      </w:pPr>
      <w:r w:rsidRPr="004A0E75">
        <w:rPr>
          <w:rFonts w:eastAsia="Times New Roman" w:cs="Arial"/>
          <w:bCs/>
          <w:szCs w:val="24"/>
          <w:lang w:val="it-IT" w:eastAsia="it-IT"/>
        </w:rPr>
        <w:t>I servizi aggiuntivi della Polizia cantonale previsti al Pretorio sono attività particolari e specifiche da integrate in un comparto operativo di Polizia dove sono svolte attività di Gendarmeria e di Polizia Giudiziaria. Considerata anche la vicinanza con il Comparto del Comando, l’immobile del Pretorio rappresenta un’ottima opportunità anche dal profilo funzionale.</w:t>
      </w:r>
    </w:p>
    <w:p w:rsidR="004A0E75" w:rsidRPr="004A0E75" w:rsidRDefault="004A0E75" w:rsidP="004A0E75">
      <w:pPr>
        <w:rPr>
          <w:rFonts w:eastAsia="Times New Roman" w:cs="Arial"/>
          <w:bCs/>
          <w:szCs w:val="24"/>
          <w:lang w:val="it-IT" w:eastAsia="it-IT"/>
        </w:rPr>
      </w:pPr>
    </w:p>
    <w:p w:rsidR="004A0E75" w:rsidRDefault="004A0E75" w:rsidP="004A0E75">
      <w:pPr>
        <w:rPr>
          <w:rFonts w:eastAsia="Times New Roman" w:cs="Arial"/>
          <w:bCs/>
          <w:szCs w:val="24"/>
          <w:lang w:val="it-IT" w:eastAsia="it-IT"/>
        </w:rPr>
      </w:pPr>
    </w:p>
    <w:p w:rsidR="009F6ABA" w:rsidRPr="004A0E75" w:rsidRDefault="009F6ABA" w:rsidP="004A0E75">
      <w:pPr>
        <w:rPr>
          <w:rFonts w:eastAsia="Times New Roman" w:cs="Arial"/>
          <w:bCs/>
          <w:szCs w:val="24"/>
          <w:lang w:val="it-IT" w:eastAsia="it-IT"/>
        </w:rPr>
      </w:pPr>
    </w:p>
    <w:p w:rsidR="004A0E75" w:rsidRPr="004A0E75" w:rsidRDefault="00372C9E" w:rsidP="00372C9E">
      <w:pPr>
        <w:pStyle w:val="Titolo1"/>
      </w:pPr>
      <w:r>
        <w:t>5.</w:t>
      </w:r>
      <w:r>
        <w:tab/>
      </w:r>
      <w:r w:rsidR="004A0E75" w:rsidRPr="004A0E75">
        <w:t>Il Progetto</w:t>
      </w:r>
    </w:p>
    <w:p w:rsidR="004A0E75" w:rsidRPr="004A0E75" w:rsidRDefault="004A0E75" w:rsidP="004A0E75">
      <w:pPr>
        <w:rPr>
          <w:rFonts w:eastAsia="Times New Roman" w:cs="Arial"/>
          <w:bCs/>
          <w:szCs w:val="24"/>
          <w:lang w:val="it-IT" w:eastAsia="it-IT"/>
        </w:rPr>
      </w:pPr>
      <w:r w:rsidRPr="004A0E75">
        <w:rPr>
          <w:rFonts w:eastAsia="Times New Roman" w:cs="Arial"/>
          <w:bCs/>
          <w:szCs w:val="24"/>
          <w:lang w:val="it-IT" w:eastAsia="it-IT"/>
        </w:rPr>
        <w:t xml:space="preserve">Per i dettagli del progetto rinviamo alla descrizione dettagliata presente nel messaggio. Nel rapporto ci limitiamo a sottolineare la ripresa del linguaggio architettonico che ha caratterizzato il progetto di ristrutturazione e di ampliamento della ex Scuola cantonale di commercio per insediarvi il Tribunale penale federale. </w:t>
      </w:r>
    </w:p>
    <w:p w:rsidR="004A0E75" w:rsidRPr="004A0E75" w:rsidRDefault="004A0E75" w:rsidP="004A0E75">
      <w:pPr>
        <w:rPr>
          <w:rFonts w:eastAsia="Times New Roman" w:cs="Arial"/>
          <w:bCs/>
          <w:szCs w:val="24"/>
          <w:lang w:val="it-IT" w:eastAsia="it-IT"/>
        </w:rPr>
      </w:pPr>
      <w:r w:rsidRPr="004A0E75">
        <w:rPr>
          <w:rFonts w:eastAsia="Times New Roman" w:cs="Arial"/>
          <w:bCs/>
          <w:szCs w:val="24"/>
          <w:lang w:val="it-IT" w:eastAsia="it-IT"/>
        </w:rPr>
        <w:t>Il Pretorio verrà ristrutturato mantenendo il caratteristico corpo di testa su Viale S.</w:t>
      </w:r>
      <w:r w:rsidR="0090364F">
        <w:rPr>
          <w:rFonts w:eastAsia="Times New Roman" w:cs="Arial"/>
          <w:bCs/>
          <w:szCs w:val="24"/>
          <w:lang w:val="it-IT" w:eastAsia="it-IT"/>
        </w:rPr>
        <w:t xml:space="preserve"> </w:t>
      </w:r>
      <w:proofErr w:type="spellStart"/>
      <w:r w:rsidRPr="004A0E75">
        <w:rPr>
          <w:rFonts w:eastAsia="Times New Roman" w:cs="Arial"/>
          <w:bCs/>
          <w:szCs w:val="24"/>
          <w:lang w:val="it-IT" w:eastAsia="it-IT"/>
        </w:rPr>
        <w:t>Franscini</w:t>
      </w:r>
      <w:proofErr w:type="spellEnd"/>
      <w:r w:rsidRPr="004A0E75">
        <w:rPr>
          <w:rFonts w:eastAsia="Times New Roman" w:cs="Arial"/>
          <w:bCs/>
          <w:szCs w:val="24"/>
          <w:lang w:val="it-IT" w:eastAsia="it-IT"/>
        </w:rPr>
        <w:t xml:space="preserve"> mentre l’ampliamento avviene nello spazio retrostante similmente appunto a quanto fatto per lo stabile vicino.</w:t>
      </w:r>
    </w:p>
    <w:p w:rsidR="004A0E75" w:rsidRPr="004A0E75" w:rsidRDefault="004A0E75" w:rsidP="00E5507C">
      <w:pPr>
        <w:contextualSpacing/>
        <w:rPr>
          <w:rFonts w:eastAsia="Times New Roman" w:cs="Arial"/>
          <w:bCs/>
          <w:szCs w:val="24"/>
          <w:lang w:val="it-IT" w:eastAsia="it-IT"/>
        </w:rPr>
      </w:pPr>
    </w:p>
    <w:p w:rsidR="004A0E75" w:rsidRPr="004A0E75" w:rsidRDefault="004A0E75" w:rsidP="004A0E75">
      <w:pPr>
        <w:rPr>
          <w:rFonts w:eastAsia="Times New Roman" w:cs="Arial"/>
          <w:bCs/>
          <w:szCs w:val="24"/>
          <w:lang w:val="it-IT" w:eastAsia="it-IT"/>
        </w:rPr>
      </w:pPr>
      <w:r w:rsidRPr="004A0E75">
        <w:rPr>
          <w:rFonts w:eastAsia="Times New Roman" w:cs="Arial"/>
          <w:bCs/>
          <w:szCs w:val="24"/>
          <w:lang w:val="it-IT" w:eastAsia="it-IT"/>
        </w:rPr>
        <w:t>Fronte Viale S.</w:t>
      </w:r>
      <w:r w:rsidR="0090364F">
        <w:rPr>
          <w:rFonts w:eastAsia="Times New Roman" w:cs="Arial"/>
          <w:bCs/>
          <w:szCs w:val="24"/>
          <w:lang w:val="it-IT" w:eastAsia="it-IT"/>
        </w:rPr>
        <w:t xml:space="preserve"> </w:t>
      </w:r>
      <w:proofErr w:type="spellStart"/>
      <w:r w:rsidRPr="004A0E75">
        <w:rPr>
          <w:rFonts w:eastAsia="Times New Roman" w:cs="Arial"/>
          <w:bCs/>
          <w:szCs w:val="24"/>
          <w:lang w:val="it-IT" w:eastAsia="it-IT"/>
        </w:rPr>
        <w:t>Franscini</w:t>
      </w:r>
      <w:proofErr w:type="spellEnd"/>
    </w:p>
    <w:p w:rsidR="004A0E75" w:rsidRPr="004A0E75" w:rsidRDefault="004A0E75" w:rsidP="004A0E75">
      <w:pPr>
        <w:ind w:left="360"/>
        <w:contextualSpacing/>
        <w:rPr>
          <w:rFonts w:eastAsia="Times New Roman" w:cs="Arial"/>
          <w:bCs/>
          <w:szCs w:val="24"/>
          <w:lang w:val="it-IT" w:eastAsia="it-IT"/>
        </w:rPr>
      </w:pPr>
    </w:p>
    <w:p w:rsidR="004A0E75" w:rsidRPr="004A0E75" w:rsidRDefault="004A0E75" w:rsidP="004A0E75">
      <w:pPr>
        <w:ind w:left="360"/>
        <w:contextualSpacing/>
        <w:rPr>
          <w:rFonts w:eastAsia="Times New Roman" w:cs="Arial"/>
          <w:bCs/>
          <w:szCs w:val="24"/>
          <w:lang w:val="it-IT" w:eastAsia="it-IT"/>
        </w:rPr>
      </w:pPr>
      <w:r>
        <w:rPr>
          <w:noProof/>
          <w:lang w:eastAsia="it-CH"/>
        </w:rPr>
        <w:drawing>
          <wp:anchor distT="0" distB="0" distL="114300" distR="114300" simplePos="0" relativeHeight="251664384" behindDoc="1" locked="0" layoutInCell="1" allowOverlap="1">
            <wp:simplePos x="0" y="0"/>
            <wp:positionH relativeFrom="column">
              <wp:posOffset>0</wp:posOffset>
            </wp:positionH>
            <wp:positionV relativeFrom="paragraph">
              <wp:posOffset>12065</wp:posOffset>
            </wp:positionV>
            <wp:extent cx="6071870" cy="1760220"/>
            <wp:effectExtent l="19050" t="19050" r="5080" b="0"/>
            <wp:wrapNone/>
            <wp:docPr id="3" name="Immagine 3" descr="/Users/ulrikekrommer/Desktop/111 Vista_nor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Users/ulrikekrommer/Desktop/111 Vista_nord.pd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71870" cy="176022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A0E75" w:rsidRPr="004A0E75" w:rsidRDefault="004A0E75" w:rsidP="004A0E75">
      <w:pPr>
        <w:ind w:left="360"/>
        <w:contextualSpacing/>
        <w:rPr>
          <w:rFonts w:eastAsia="Times New Roman" w:cs="Arial"/>
          <w:bCs/>
          <w:szCs w:val="24"/>
          <w:lang w:val="it-IT" w:eastAsia="it-IT"/>
        </w:rPr>
      </w:pPr>
    </w:p>
    <w:p w:rsidR="004A0E75" w:rsidRPr="004A0E75" w:rsidRDefault="004A0E75" w:rsidP="004A0E75">
      <w:pPr>
        <w:ind w:left="360"/>
        <w:contextualSpacing/>
        <w:rPr>
          <w:rFonts w:eastAsia="Times New Roman" w:cs="Arial"/>
          <w:bCs/>
          <w:szCs w:val="24"/>
          <w:lang w:val="it-IT" w:eastAsia="it-IT"/>
        </w:rPr>
      </w:pPr>
    </w:p>
    <w:p w:rsidR="004A0E75" w:rsidRPr="004A0E75" w:rsidRDefault="004A0E75" w:rsidP="004A0E75">
      <w:pPr>
        <w:jc w:val="left"/>
        <w:rPr>
          <w:rFonts w:eastAsia="Times New Roman" w:cs="Arial"/>
          <w:color w:val="000000"/>
          <w:szCs w:val="24"/>
          <w:lang w:eastAsia="it-CH"/>
        </w:rPr>
      </w:pPr>
    </w:p>
    <w:p w:rsidR="004A0E75" w:rsidRPr="004A0E75" w:rsidRDefault="004A0E75" w:rsidP="004A0E75">
      <w:pPr>
        <w:jc w:val="left"/>
        <w:rPr>
          <w:rFonts w:eastAsia="Times New Roman" w:cs="Arial"/>
          <w:color w:val="000000"/>
          <w:szCs w:val="24"/>
          <w:lang w:eastAsia="it-CH"/>
        </w:rPr>
      </w:pPr>
    </w:p>
    <w:p w:rsidR="004A0E75" w:rsidRPr="004A0E75" w:rsidRDefault="004A0E75" w:rsidP="004A0E75">
      <w:pPr>
        <w:jc w:val="left"/>
        <w:rPr>
          <w:rFonts w:eastAsia="Times New Roman" w:cs="Arial"/>
          <w:color w:val="000000"/>
          <w:szCs w:val="24"/>
          <w:lang w:eastAsia="it-CH"/>
        </w:rPr>
      </w:pPr>
    </w:p>
    <w:p w:rsidR="004A0E75" w:rsidRPr="004A0E75" w:rsidRDefault="004A0E75" w:rsidP="004A0E75">
      <w:pPr>
        <w:jc w:val="left"/>
        <w:rPr>
          <w:rFonts w:eastAsia="Times New Roman" w:cs="Arial"/>
          <w:color w:val="000000"/>
          <w:szCs w:val="24"/>
          <w:lang w:eastAsia="it-CH"/>
        </w:rPr>
      </w:pPr>
    </w:p>
    <w:p w:rsidR="004A0E75" w:rsidRPr="004A0E75" w:rsidRDefault="004A0E75" w:rsidP="004A0E75">
      <w:pPr>
        <w:jc w:val="left"/>
        <w:rPr>
          <w:rFonts w:eastAsia="Times New Roman" w:cs="Arial"/>
          <w:color w:val="000000"/>
          <w:szCs w:val="24"/>
          <w:lang w:eastAsia="it-CH"/>
        </w:rPr>
      </w:pPr>
    </w:p>
    <w:p w:rsidR="004A0E75" w:rsidRPr="004A0E75" w:rsidRDefault="004A0E75" w:rsidP="004A0E75">
      <w:pPr>
        <w:jc w:val="left"/>
        <w:rPr>
          <w:rFonts w:eastAsia="Times New Roman" w:cs="Arial"/>
          <w:color w:val="000000"/>
          <w:szCs w:val="24"/>
          <w:lang w:eastAsia="it-CH"/>
        </w:rPr>
      </w:pPr>
    </w:p>
    <w:p w:rsidR="004A0E75" w:rsidRPr="004A0E75" w:rsidRDefault="004A0E75" w:rsidP="00A524E0">
      <w:pPr>
        <w:spacing w:after="120"/>
        <w:jc w:val="left"/>
        <w:rPr>
          <w:rFonts w:eastAsia="Times New Roman" w:cs="Arial"/>
          <w:color w:val="000000"/>
          <w:szCs w:val="24"/>
          <w:lang w:eastAsia="it-CH"/>
        </w:rPr>
      </w:pPr>
      <w:r w:rsidRPr="004A0E75">
        <w:rPr>
          <w:rFonts w:eastAsia="Times New Roman" w:cs="Arial"/>
          <w:color w:val="000000"/>
          <w:szCs w:val="24"/>
          <w:lang w:eastAsia="it-CH"/>
        </w:rPr>
        <w:t xml:space="preserve">Pianta </w:t>
      </w:r>
    </w:p>
    <w:p w:rsidR="004A0E75" w:rsidRPr="004A0E75" w:rsidRDefault="004A0E75" w:rsidP="004A0E75">
      <w:pPr>
        <w:jc w:val="left"/>
        <w:rPr>
          <w:rFonts w:eastAsia="Times New Roman" w:cs="Arial"/>
          <w:color w:val="000000"/>
          <w:szCs w:val="24"/>
          <w:lang w:eastAsia="it-CH"/>
        </w:rPr>
      </w:pPr>
      <w:r>
        <w:rPr>
          <w:noProof/>
          <w:lang w:eastAsia="it-CH"/>
        </w:rPr>
        <w:lastRenderedPageBreak/>
        <w:drawing>
          <wp:anchor distT="0" distB="0" distL="114300" distR="114300" simplePos="0" relativeHeight="251663360" behindDoc="1" locked="0" layoutInCell="1" allowOverlap="1">
            <wp:simplePos x="0" y="0"/>
            <wp:positionH relativeFrom="margin">
              <wp:align>right</wp:align>
            </wp:positionH>
            <wp:positionV relativeFrom="paragraph">
              <wp:posOffset>24130</wp:posOffset>
            </wp:positionV>
            <wp:extent cx="6118225" cy="4274185"/>
            <wp:effectExtent l="19050" t="1905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8225" cy="42741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A0E75" w:rsidRPr="004A0E75" w:rsidRDefault="004A0E75" w:rsidP="004A0E75">
      <w:pPr>
        <w:jc w:val="left"/>
        <w:rPr>
          <w:rFonts w:eastAsia="Times New Roman" w:cs="Arial"/>
          <w:color w:val="000000"/>
          <w:szCs w:val="24"/>
          <w:lang w:eastAsia="it-CH"/>
        </w:rPr>
      </w:pPr>
    </w:p>
    <w:p w:rsidR="004A0E75" w:rsidRPr="004A0E75" w:rsidRDefault="004A0E75" w:rsidP="004A0E75">
      <w:pPr>
        <w:jc w:val="left"/>
        <w:rPr>
          <w:rFonts w:eastAsia="Times New Roman" w:cs="Arial"/>
          <w:color w:val="000000"/>
          <w:szCs w:val="24"/>
          <w:lang w:eastAsia="it-CH"/>
        </w:rPr>
      </w:pPr>
    </w:p>
    <w:p w:rsidR="004A0E75" w:rsidRPr="004A0E75" w:rsidRDefault="004A0E75" w:rsidP="004A0E75">
      <w:pPr>
        <w:jc w:val="left"/>
        <w:rPr>
          <w:rFonts w:eastAsia="Times New Roman" w:cs="Arial"/>
          <w:color w:val="000000"/>
          <w:szCs w:val="24"/>
          <w:lang w:eastAsia="it-CH"/>
        </w:rPr>
      </w:pPr>
    </w:p>
    <w:p w:rsidR="004A0E75" w:rsidRPr="004A0E75" w:rsidRDefault="004A0E75" w:rsidP="004A0E75">
      <w:pPr>
        <w:jc w:val="left"/>
        <w:rPr>
          <w:rFonts w:eastAsia="Times New Roman" w:cs="Arial"/>
          <w:color w:val="000000"/>
          <w:szCs w:val="24"/>
          <w:lang w:eastAsia="it-CH"/>
        </w:rPr>
      </w:pPr>
    </w:p>
    <w:p w:rsidR="004A0E75" w:rsidRPr="004A0E75" w:rsidRDefault="004A0E75" w:rsidP="004A0E75">
      <w:pPr>
        <w:jc w:val="left"/>
        <w:rPr>
          <w:rFonts w:eastAsia="Times New Roman" w:cs="Arial"/>
          <w:color w:val="000000"/>
          <w:szCs w:val="24"/>
          <w:lang w:eastAsia="it-CH"/>
        </w:rPr>
      </w:pPr>
    </w:p>
    <w:p w:rsidR="004A0E75" w:rsidRPr="004A0E75" w:rsidRDefault="004A0E75" w:rsidP="004A0E75">
      <w:pPr>
        <w:jc w:val="left"/>
        <w:rPr>
          <w:rFonts w:eastAsia="Times New Roman" w:cs="Arial"/>
          <w:color w:val="000000"/>
          <w:szCs w:val="24"/>
          <w:lang w:eastAsia="it-CH"/>
        </w:rPr>
      </w:pPr>
    </w:p>
    <w:p w:rsidR="004A0E75" w:rsidRPr="004A0E75" w:rsidRDefault="004A0E75" w:rsidP="004A0E75">
      <w:pPr>
        <w:jc w:val="left"/>
        <w:rPr>
          <w:rFonts w:eastAsia="Times New Roman" w:cs="Arial"/>
          <w:color w:val="000000"/>
          <w:szCs w:val="24"/>
          <w:lang w:eastAsia="it-CH"/>
        </w:rPr>
      </w:pPr>
    </w:p>
    <w:p w:rsidR="004A0E75" w:rsidRPr="004A0E75" w:rsidRDefault="004A0E75" w:rsidP="004A0E75">
      <w:pPr>
        <w:jc w:val="left"/>
        <w:rPr>
          <w:rFonts w:eastAsia="Times New Roman" w:cs="Arial"/>
          <w:color w:val="000000"/>
          <w:szCs w:val="24"/>
          <w:lang w:eastAsia="it-CH"/>
        </w:rPr>
      </w:pPr>
    </w:p>
    <w:p w:rsidR="004A0E75" w:rsidRPr="004A0E75" w:rsidRDefault="004A0E75" w:rsidP="004A0E75">
      <w:pPr>
        <w:jc w:val="left"/>
        <w:rPr>
          <w:rFonts w:eastAsia="Times New Roman" w:cs="Arial"/>
          <w:color w:val="000000"/>
          <w:szCs w:val="24"/>
          <w:lang w:eastAsia="it-CH"/>
        </w:rPr>
      </w:pPr>
    </w:p>
    <w:p w:rsidR="004A0E75" w:rsidRPr="004A0E75" w:rsidRDefault="004A0E75" w:rsidP="004A0E75">
      <w:pPr>
        <w:jc w:val="left"/>
        <w:rPr>
          <w:rFonts w:eastAsia="Times New Roman" w:cs="Arial"/>
          <w:color w:val="000000"/>
          <w:szCs w:val="24"/>
          <w:lang w:eastAsia="it-CH"/>
        </w:rPr>
      </w:pPr>
    </w:p>
    <w:p w:rsidR="004A0E75" w:rsidRPr="004A0E75" w:rsidRDefault="004A0E75" w:rsidP="004A0E75">
      <w:pPr>
        <w:jc w:val="left"/>
        <w:rPr>
          <w:rFonts w:eastAsia="Times New Roman" w:cs="Arial"/>
          <w:color w:val="000000"/>
          <w:szCs w:val="24"/>
          <w:lang w:eastAsia="it-CH"/>
        </w:rPr>
      </w:pPr>
    </w:p>
    <w:p w:rsidR="004A0E75" w:rsidRPr="004A0E75" w:rsidRDefault="004A0E75" w:rsidP="004A0E75">
      <w:pPr>
        <w:jc w:val="left"/>
        <w:rPr>
          <w:rFonts w:eastAsia="Times New Roman" w:cs="Arial"/>
          <w:color w:val="000000"/>
          <w:szCs w:val="24"/>
          <w:lang w:eastAsia="it-CH"/>
        </w:rPr>
      </w:pPr>
    </w:p>
    <w:p w:rsidR="004A0E75" w:rsidRPr="004A0E75" w:rsidRDefault="004A0E75" w:rsidP="004A0E75">
      <w:pPr>
        <w:jc w:val="left"/>
        <w:rPr>
          <w:rFonts w:eastAsia="Times New Roman" w:cs="Arial"/>
          <w:color w:val="000000"/>
          <w:szCs w:val="24"/>
          <w:lang w:eastAsia="it-CH"/>
        </w:rPr>
      </w:pPr>
    </w:p>
    <w:p w:rsidR="004A0E75" w:rsidRPr="004A0E75" w:rsidRDefault="004A0E75" w:rsidP="004A0E75">
      <w:pPr>
        <w:jc w:val="left"/>
        <w:rPr>
          <w:rFonts w:eastAsia="Times New Roman" w:cs="Arial"/>
          <w:color w:val="000000"/>
          <w:szCs w:val="24"/>
          <w:lang w:eastAsia="it-CH"/>
        </w:rPr>
      </w:pPr>
    </w:p>
    <w:p w:rsidR="004A0E75" w:rsidRPr="004A0E75" w:rsidRDefault="004A0E75" w:rsidP="004A0E75">
      <w:pPr>
        <w:jc w:val="left"/>
        <w:rPr>
          <w:rFonts w:eastAsia="Times New Roman" w:cs="Arial"/>
          <w:color w:val="000000"/>
          <w:szCs w:val="24"/>
          <w:lang w:eastAsia="it-CH"/>
        </w:rPr>
      </w:pPr>
    </w:p>
    <w:p w:rsidR="004A0E75" w:rsidRPr="004A0E75" w:rsidRDefault="004A0E75" w:rsidP="004A0E75">
      <w:pPr>
        <w:jc w:val="left"/>
        <w:rPr>
          <w:rFonts w:eastAsia="Times New Roman" w:cs="Arial"/>
          <w:color w:val="000000"/>
          <w:szCs w:val="24"/>
          <w:lang w:eastAsia="it-CH"/>
        </w:rPr>
      </w:pPr>
    </w:p>
    <w:p w:rsidR="004A0E75" w:rsidRPr="004A0E75" w:rsidRDefault="004A0E75" w:rsidP="004A0E75">
      <w:pPr>
        <w:jc w:val="left"/>
        <w:rPr>
          <w:rFonts w:eastAsia="Times New Roman" w:cs="Arial"/>
          <w:color w:val="000000"/>
          <w:szCs w:val="24"/>
          <w:lang w:eastAsia="it-CH"/>
        </w:rPr>
      </w:pPr>
    </w:p>
    <w:p w:rsidR="004A0E75" w:rsidRPr="004A0E75" w:rsidRDefault="004A0E75" w:rsidP="004A0E75">
      <w:pPr>
        <w:jc w:val="left"/>
        <w:rPr>
          <w:rFonts w:eastAsia="Times New Roman" w:cs="Arial"/>
          <w:color w:val="000000"/>
          <w:szCs w:val="24"/>
          <w:lang w:eastAsia="it-CH"/>
        </w:rPr>
      </w:pPr>
    </w:p>
    <w:p w:rsidR="004A0E75" w:rsidRPr="004A0E75" w:rsidRDefault="004A0E75" w:rsidP="004A0E75">
      <w:pPr>
        <w:jc w:val="left"/>
        <w:rPr>
          <w:rFonts w:eastAsia="Times New Roman" w:cs="Arial"/>
          <w:color w:val="000000"/>
          <w:szCs w:val="24"/>
          <w:lang w:eastAsia="it-CH"/>
        </w:rPr>
      </w:pPr>
    </w:p>
    <w:p w:rsidR="004A0E75" w:rsidRPr="004A0E75" w:rsidRDefault="004A0E75" w:rsidP="004A0E75">
      <w:pPr>
        <w:jc w:val="left"/>
        <w:rPr>
          <w:rFonts w:eastAsia="Times New Roman" w:cs="Arial"/>
          <w:color w:val="000000"/>
          <w:szCs w:val="24"/>
          <w:lang w:eastAsia="it-CH"/>
        </w:rPr>
      </w:pPr>
    </w:p>
    <w:p w:rsidR="004A0E75" w:rsidRPr="004A0E75" w:rsidRDefault="004A0E75" w:rsidP="004A0E75">
      <w:pPr>
        <w:jc w:val="left"/>
        <w:rPr>
          <w:rFonts w:eastAsia="Times New Roman" w:cs="Arial"/>
          <w:color w:val="000000"/>
          <w:szCs w:val="24"/>
          <w:lang w:eastAsia="it-CH"/>
        </w:rPr>
      </w:pPr>
    </w:p>
    <w:p w:rsidR="004A0E75" w:rsidRPr="004A0E75" w:rsidRDefault="004A0E75" w:rsidP="004A0E75">
      <w:pPr>
        <w:jc w:val="left"/>
        <w:rPr>
          <w:rFonts w:eastAsia="Times New Roman" w:cs="Arial"/>
          <w:color w:val="000000"/>
          <w:szCs w:val="24"/>
          <w:lang w:eastAsia="it-CH"/>
        </w:rPr>
      </w:pPr>
    </w:p>
    <w:p w:rsidR="004A0E75" w:rsidRPr="004A0E75" w:rsidRDefault="004A0E75" w:rsidP="004A0E75">
      <w:pPr>
        <w:jc w:val="left"/>
        <w:rPr>
          <w:rFonts w:eastAsia="Times New Roman" w:cs="Arial"/>
          <w:color w:val="000000"/>
          <w:szCs w:val="24"/>
          <w:lang w:eastAsia="it-CH"/>
        </w:rPr>
      </w:pPr>
    </w:p>
    <w:p w:rsidR="004A0E75" w:rsidRPr="004A0E75" w:rsidRDefault="004A0E75" w:rsidP="004A0E75">
      <w:pPr>
        <w:jc w:val="left"/>
        <w:rPr>
          <w:rFonts w:eastAsia="Times New Roman" w:cs="Arial"/>
          <w:color w:val="000000"/>
          <w:szCs w:val="24"/>
          <w:lang w:eastAsia="it-CH"/>
        </w:rPr>
      </w:pPr>
    </w:p>
    <w:p w:rsidR="004A0E75" w:rsidRPr="004A0E75" w:rsidRDefault="004A0E75" w:rsidP="004A0E75">
      <w:pPr>
        <w:jc w:val="left"/>
        <w:rPr>
          <w:rFonts w:eastAsia="Times New Roman" w:cs="Arial"/>
          <w:color w:val="000000"/>
          <w:szCs w:val="24"/>
          <w:lang w:eastAsia="it-CH"/>
        </w:rPr>
      </w:pPr>
    </w:p>
    <w:p w:rsidR="004A0E75" w:rsidRDefault="004A0E75" w:rsidP="004A0E75">
      <w:pPr>
        <w:jc w:val="left"/>
        <w:rPr>
          <w:rFonts w:eastAsia="Times New Roman" w:cs="Arial"/>
          <w:color w:val="000000"/>
          <w:szCs w:val="24"/>
          <w:lang w:eastAsia="it-CH"/>
        </w:rPr>
      </w:pPr>
    </w:p>
    <w:p w:rsidR="009F6ABA" w:rsidRPr="004A0E75" w:rsidRDefault="009F6ABA" w:rsidP="004A0E75">
      <w:pPr>
        <w:jc w:val="left"/>
        <w:rPr>
          <w:rFonts w:eastAsia="Times New Roman" w:cs="Arial"/>
          <w:color w:val="000000"/>
          <w:szCs w:val="24"/>
          <w:lang w:eastAsia="it-CH"/>
        </w:rPr>
      </w:pPr>
    </w:p>
    <w:p w:rsidR="004A0E75" w:rsidRPr="004A0E75" w:rsidRDefault="004A0E75" w:rsidP="009F6ABA">
      <w:pPr>
        <w:keepNext/>
        <w:tabs>
          <w:tab w:val="left" w:pos="567"/>
        </w:tabs>
        <w:spacing w:after="120"/>
        <w:outlineLvl w:val="0"/>
        <w:rPr>
          <w:rFonts w:eastAsia="Times New Roman" w:cs="Arial"/>
          <w:b/>
          <w:caps/>
          <w:color w:val="000000"/>
          <w:szCs w:val="24"/>
          <w:lang w:val="it-IT" w:eastAsia="it-IT"/>
        </w:rPr>
      </w:pPr>
      <w:r w:rsidRPr="004A0E75">
        <w:rPr>
          <w:rFonts w:eastAsia="Times New Roman" w:cs="Arial"/>
          <w:b/>
          <w:caps/>
          <w:color w:val="000000"/>
          <w:szCs w:val="24"/>
          <w:lang w:val="it-IT" w:eastAsia="it-IT"/>
        </w:rPr>
        <w:t>6.</w:t>
      </w:r>
      <w:r w:rsidRPr="004A0E75">
        <w:rPr>
          <w:rFonts w:eastAsia="Times New Roman" w:cs="Arial"/>
          <w:b/>
          <w:caps/>
          <w:color w:val="000000"/>
          <w:szCs w:val="24"/>
          <w:lang w:val="it-IT" w:eastAsia="it-IT"/>
        </w:rPr>
        <w:tab/>
        <w:t>ASPETTI FINANZIARI</w:t>
      </w:r>
    </w:p>
    <w:p w:rsidR="004A0E75" w:rsidRPr="004A0E75" w:rsidRDefault="004A0E75" w:rsidP="007564CF">
      <w:pPr>
        <w:pStyle w:val="Titolo2"/>
      </w:pPr>
      <w:r w:rsidRPr="004A0E75">
        <w:t>6.1</w:t>
      </w:r>
      <w:r w:rsidRPr="004A0E75">
        <w:tab/>
        <w:t>Ristrutturazione del Pretorio</w:t>
      </w:r>
    </w:p>
    <w:p w:rsidR="004A0E75" w:rsidRPr="004A0E75" w:rsidRDefault="004A0E75" w:rsidP="004A0E75">
      <w:pPr>
        <w:rPr>
          <w:rFonts w:eastAsia="Times New Roman" w:cs="Arial"/>
          <w:color w:val="000000"/>
          <w:szCs w:val="24"/>
          <w:lang w:val="it-IT" w:eastAsia="it-IT"/>
        </w:rPr>
      </w:pPr>
      <w:r w:rsidRPr="004A0E75">
        <w:rPr>
          <w:rFonts w:eastAsia="Times New Roman" w:cs="Arial"/>
          <w:color w:val="000000"/>
          <w:szCs w:val="24"/>
          <w:lang w:val="it-IT" w:eastAsia="it-IT"/>
        </w:rPr>
        <w:t>Il messaggio governativo n. 6763 indicava un tetto massimo di spesa di franchi 40'400'</w:t>
      </w:r>
      <w:proofErr w:type="gramStart"/>
      <w:r w:rsidRPr="004A0E75">
        <w:rPr>
          <w:rFonts w:eastAsia="Times New Roman" w:cs="Arial"/>
          <w:color w:val="000000"/>
          <w:szCs w:val="24"/>
          <w:lang w:val="it-IT" w:eastAsia="it-IT"/>
        </w:rPr>
        <w:t>000.-</w:t>
      </w:r>
      <w:proofErr w:type="gramEnd"/>
      <w:r w:rsidRPr="004A0E75">
        <w:rPr>
          <w:rFonts w:eastAsia="Times New Roman" w:cs="Arial"/>
          <w:color w:val="000000"/>
          <w:szCs w:val="24"/>
          <w:lang w:val="it-IT" w:eastAsia="it-IT"/>
        </w:rPr>
        <w:t xml:space="preserve"> quale base per l’adeguamento del credito di progettazione stanziato nel 2013. Poi però le esigenze della Confederazione sono cambiate e sono cresciute, sia per quanto concerne la sicurezza sia in termini quantitativi. Questo ha portato a un aggiornamento del investimento stimato a CHF 50'250'</w:t>
      </w:r>
      <w:proofErr w:type="gramStart"/>
      <w:r w:rsidRPr="004A0E75">
        <w:rPr>
          <w:rFonts w:eastAsia="Times New Roman" w:cs="Arial"/>
          <w:color w:val="000000"/>
          <w:szCs w:val="24"/>
          <w:lang w:val="it-IT" w:eastAsia="it-IT"/>
        </w:rPr>
        <w:t>000.-</w:t>
      </w:r>
      <w:proofErr w:type="gramEnd"/>
      <w:r w:rsidRPr="004A0E75">
        <w:rPr>
          <w:rFonts w:eastAsia="Times New Roman" w:cs="Arial"/>
          <w:color w:val="000000"/>
          <w:szCs w:val="24"/>
          <w:lang w:val="it-IT" w:eastAsia="it-IT"/>
        </w:rPr>
        <w:t xml:space="preserve"> compresi il credito di CHF 3'830'000.- già stanziato per la progettazione e i 3.0 mio a carico della Confederazione per specifici adeguamenti di standard superiore.</w:t>
      </w:r>
    </w:p>
    <w:p w:rsidR="004A0E75" w:rsidRPr="004A0E75" w:rsidRDefault="004A0E75" w:rsidP="004A0E75">
      <w:pPr>
        <w:rPr>
          <w:rFonts w:eastAsia="Times New Roman" w:cs="Arial"/>
          <w:color w:val="000000"/>
          <w:szCs w:val="24"/>
          <w:lang w:val="it-IT" w:eastAsia="it-IT"/>
        </w:rPr>
      </w:pPr>
    </w:p>
    <w:p w:rsidR="004A0E75" w:rsidRPr="004A0E75" w:rsidRDefault="004A0E75" w:rsidP="00A524E0">
      <w:pPr>
        <w:spacing w:after="120"/>
        <w:rPr>
          <w:rFonts w:eastAsia="Times New Roman" w:cs="Arial"/>
          <w:b/>
          <w:color w:val="000000"/>
          <w:szCs w:val="24"/>
          <w:lang w:val="it-IT" w:eastAsia="it-IT"/>
        </w:rPr>
      </w:pPr>
      <w:r w:rsidRPr="004A0E75">
        <w:rPr>
          <w:rFonts w:eastAsia="Times New Roman" w:cs="Arial"/>
          <w:b/>
          <w:color w:val="000000"/>
          <w:szCs w:val="24"/>
          <w:lang w:val="it-IT" w:eastAsia="it-IT"/>
        </w:rPr>
        <w:t>Ricapitolazione:</w:t>
      </w:r>
    </w:p>
    <w:tbl>
      <w:tblPr>
        <w:tblW w:w="91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64"/>
        <w:gridCol w:w="2365"/>
        <w:gridCol w:w="2410"/>
      </w:tblGrid>
      <w:tr w:rsidR="004A0E75" w:rsidRPr="004A0E75" w:rsidTr="000A4B9D">
        <w:trPr>
          <w:trHeight w:val="20"/>
        </w:trPr>
        <w:tc>
          <w:tcPr>
            <w:tcW w:w="6729"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rsidR="004A0E75" w:rsidRPr="004A0E75" w:rsidRDefault="004A0E75" w:rsidP="004A0E75">
            <w:pPr>
              <w:rPr>
                <w:rFonts w:eastAsia="Times New Roman" w:cs="Arial"/>
                <w:color w:val="000000"/>
                <w:sz w:val="22"/>
                <w:lang w:val="it-IT" w:eastAsia="it-IT"/>
              </w:rPr>
            </w:pPr>
            <w:r w:rsidRPr="004A0E75">
              <w:rPr>
                <w:rFonts w:eastAsia="Times New Roman" w:cs="Arial"/>
                <w:color w:val="000000"/>
                <w:sz w:val="22"/>
                <w:lang w:val="it-IT" w:eastAsia="it-IT"/>
              </w:rPr>
              <w:t>Descrizione crediti</w:t>
            </w:r>
          </w:p>
        </w:tc>
        <w:tc>
          <w:tcPr>
            <w:tcW w:w="241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A0E75" w:rsidRPr="004A0E75" w:rsidRDefault="004A0E75" w:rsidP="004A0E75">
            <w:pPr>
              <w:rPr>
                <w:rFonts w:eastAsia="Times New Roman" w:cs="Arial"/>
                <w:color w:val="000000"/>
                <w:sz w:val="22"/>
                <w:lang w:val="it-IT" w:eastAsia="it-IT"/>
              </w:rPr>
            </w:pPr>
            <w:r w:rsidRPr="004A0E75">
              <w:rPr>
                <w:rFonts w:eastAsia="Times New Roman" w:cs="Arial"/>
                <w:color w:val="000000"/>
                <w:sz w:val="22"/>
                <w:lang w:val="it-IT" w:eastAsia="it-IT"/>
              </w:rPr>
              <w:t xml:space="preserve">Preventivo </w:t>
            </w:r>
            <w:proofErr w:type="spellStart"/>
            <w:r w:rsidRPr="004A0E75">
              <w:rPr>
                <w:rFonts w:eastAsia="Times New Roman" w:cs="Arial"/>
                <w:color w:val="000000"/>
                <w:sz w:val="22"/>
                <w:lang w:val="it-IT" w:eastAsia="it-IT"/>
              </w:rPr>
              <w:t>eCCC</w:t>
            </w:r>
            <w:proofErr w:type="spellEnd"/>
            <w:r w:rsidRPr="004A0E75">
              <w:rPr>
                <w:rFonts w:eastAsia="Times New Roman" w:cs="Arial"/>
                <w:color w:val="000000"/>
                <w:sz w:val="22"/>
                <w:lang w:val="it-IT" w:eastAsia="it-IT"/>
              </w:rPr>
              <w:t>-E</w:t>
            </w:r>
          </w:p>
          <w:p w:rsidR="004A0E75" w:rsidRPr="004A0E75" w:rsidRDefault="004A0E75" w:rsidP="004A0E75">
            <w:pPr>
              <w:rPr>
                <w:rFonts w:eastAsia="Times New Roman" w:cs="Arial"/>
                <w:color w:val="000000"/>
                <w:sz w:val="22"/>
                <w:lang w:val="it-IT" w:eastAsia="it-IT"/>
              </w:rPr>
            </w:pPr>
            <w:r w:rsidRPr="004A0E75">
              <w:rPr>
                <w:rFonts w:eastAsia="Times New Roman" w:cs="Arial"/>
                <w:color w:val="000000"/>
                <w:sz w:val="22"/>
                <w:lang w:val="it-IT" w:eastAsia="it-IT"/>
              </w:rPr>
              <w:t>CHF</w:t>
            </w:r>
          </w:p>
        </w:tc>
      </w:tr>
      <w:tr w:rsidR="004A0E75" w:rsidRPr="004A0E75" w:rsidTr="000A4B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364" w:type="dxa"/>
            <w:tcBorders>
              <w:top w:val="single" w:sz="4" w:space="0" w:color="auto"/>
              <w:left w:val="single" w:sz="4" w:space="0" w:color="auto"/>
              <w:bottom w:val="single" w:sz="4" w:space="0" w:color="auto"/>
            </w:tcBorders>
            <w:shd w:val="clear" w:color="auto" w:fill="auto"/>
            <w:vAlign w:val="center"/>
            <w:hideMark/>
          </w:tcPr>
          <w:p w:rsidR="004A0E75" w:rsidRPr="004A0E75" w:rsidRDefault="004A0E75" w:rsidP="004A0E75">
            <w:pPr>
              <w:rPr>
                <w:rFonts w:eastAsia="Times New Roman" w:cs="Arial"/>
                <w:color w:val="000000"/>
                <w:sz w:val="22"/>
                <w:lang w:val="it-IT" w:eastAsia="it-IT"/>
              </w:rPr>
            </w:pPr>
            <w:r w:rsidRPr="004A0E75">
              <w:rPr>
                <w:rFonts w:eastAsia="Times New Roman" w:cs="Arial"/>
                <w:color w:val="000000"/>
                <w:sz w:val="22"/>
                <w:lang w:val="it-IT" w:eastAsia="it-IT"/>
              </w:rPr>
              <w:t>Costo dell'investimento (B-Z)</w:t>
            </w:r>
          </w:p>
        </w:tc>
        <w:tc>
          <w:tcPr>
            <w:tcW w:w="2365" w:type="dxa"/>
            <w:tcBorders>
              <w:top w:val="single" w:sz="4" w:space="0" w:color="auto"/>
              <w:bottom w:val="single" w:sz="4" w:space="0" w:color="auto"/>
              <w:right w:val="single" w:sz="4" w:space="0" w:color="auto"/>
            </w:tcBorders>
            <w:shd w:val="clear" w:color="auto" w:fill="auto"/>
            <w:noWrap/>
            <w:vAlign w:val="center"/>
            <w:hideMark/>
          </w:tcPr>
          <w:p w:rsidR="004A0E75" w:rsidRPr="004A0E75" w:rsidRDefault="004A0E75" w:rsidP="004A0E75">
            <w:pPr>
              <w:rPr>
                <w:rFonts w:eastAsia="Times New Roman" w:cs="Arial"/>
                <w:color w:val="000000"/>
                <w:sz w:val="22"/>
                <w:lang w:val="it-IT" w:eastAsia="it-IT"/>
              </w:rPr>
            </w:pPr>
            <w:r w:rsidRPr="004A0E75">
              <w:rPr>
                <w:rFonts w:eastAsia="Times New Roman" w:cs="Arial"/>
                <w:color w:val="000000"/>
                <w:sz w:val="22"/>
                <w:lang w:val="it-IT" w:eastAsia="it-IT"/>
              </w:rPr>
              <w:t> </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4A0E75" w:rsidRPr="004A0E75" w:rsidRDefault="004A0E75" w:rsidP="000A4B9D">
            <w:pPr>
              <w:tabs>
                <w:tab w:val="right" w:pos="1914"/>
              </w:tabs>
              <w:rPr>
                <w:rFonts w:eastAsia="Times New Roman" w:cs="Arial"/>
                <w:color w:val="000000"/>
                <w:sz w:val="22"/>
                <w:lang w:val="it-IT" w:eastAsia="it-IT"/>
              </w:rPr>
            </w:pPr>
            <w:r w:rsidRPr="004A0E75">
              <w:rPr>
                <w:rFonts w:eastAsia="Times New Roman" w:cs="Arial"/>
                <w:color w:val="000000"/>
                <w:sz w:val="22"/>
                <w:lang w:val="it-IT" w:eastAsia="it-IT"/>
              </w:rPr>
              <w:tab/>
              <w:t>46'500'000.00</w:t>
            </w:r>
          </w:p>
        </w:tc>
      </w:tr>
      <w:tr w:rsidR="004A0E75" w:rsidRPr="004A0E75" w:rsidTr="000A4B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364" w:type="dxa"/>
            <w:tcBorders>
              <w:top w:val="single" w:sz="4" w:space="0" w:color="auto"/>
              <w:left w:val="single" w:sz="4" w:space="0" w:color="auto"/>
              <w:bottom w:val="single" w:sz="4" w:space="0" w:color="auto"/>
            </w:tcBorders>
            <w:shd w:val="clear" w:color="auto" w:fill="auto"/>
            <w:vAlign w:val="center"/>
          </w:tcPr>
          <w:p w:rsidR="004A0E75" w:rsidRPr="004A0E75" w:rsidRDefault="004A0E75" w:rsidP="004A0E75">
            <w:pPr>
              <w:rPr>
                <w:rFonts w:eastAsia="Times New Roman" w:cs="Arial"/>
                <w:color w:val="000000"/>
                <w:sz w:val="22"/>
                <w:lang w:val="it-IT" w:eastAsia="it-IT"/>
              </w:rPr>
            </w:pPr>
            <w:r w:rsidRPr="004A0E75">
              <w:rPr>
                <w:rFonts w:eastAsia="Times New Roman" w:cs="Arial"/>
                <w:color w:val="000000"/>
                <w:sz w:val="22"/>
                <w:lang w:val="it-IT" w:eastAsia="it-IT"/>
              </w:rPr>
              <w:t>Costo a carico della Confederazione CH</w:t>
            </w:r>
          </w:p>
        </w:tc>
        <w:tc>
          <w:tcPr>
            <w:tcW w:w="2365" w:type="dxa"/>
            <w:tcBorders>
              <w:top w:val="single" w:sz="4" w:space="0" w:color="auto"/>
              <w:bottom w:val="single" w:sz="4" w:space="0" w:color="auto"/>
              <w:right w:val="single" w:sz="4" w:space="0" w:color="auto"/>
            </w:tcBorders>
            <w:shd w:val="clear" w:color="auto" w:fill="auto"/>
            <w:noWrap/>
            <w:vAlign w:val="center"/>
          </w:tcPr>
          <w:p w:rsidR="004A0E75" w:rsidRPr="004A0E75" w:rsidRDefault="004A0E75" w:rsidP="004A0E75">
            <w:pPr>
              <w:rPr>
                <w:rFonts w:eastAsia="Times New Roman" w:cs="Arial"/>
                <w:color w:val="000000"/>
                <w:sz w:val="22"/>
                <w:lang w:val="it-IT" w:eastAsia="it-IT"/>
              </w:rPr>
            </w:pP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4A0E75" w:rsidRPr="004A0E75" w:rsidRDefault="00E5507C" w:rsidP="000A4B9D">
            <w:pPr>
              <w:tabs>
                <w:tab w:val="right" w:pos="1914"/>
              </w:tabs>
              <w:rPr>
                <w:rFonts w:eastAsia="Times New Roman" w:cs="Arial"/>
                <w:color w:val="000000"/>
                <w:sz w:val="22"/>
                <w:lang w:val="it-IT" w:eastAsia="it-IT"/>
              </w:rPr>
            </w:pPr>
            <w:r>
              <w:rPr>
                <w:rFonts w:eastAsia="Times New Roman" w:cs="Arial"/>
                <w:color w:val="000000"/>
                <w:sz w:val="22"/>
                <w:lang w:val="it-IT" w:eastAsia="it-IT"/>
              </w:rPr>
              <w:tab/>
            </w:r>
            <w:r w:rsidR="004A0E75" w:rsidRPr="004A0E75">
              <w:rPr>
                <w:rFonts w:eastAsia="Times New Roman" w:cs="Arial"/>
                <w:color w:val="000000"/>
                <w:sz w:val="22"/>
                <w:lang w:val="it-IT" w:eastAsia="it-IT"/>
              </w:rPr>
              <w:t>3'000'000.00</w:t>
            </w:r>
          </w:p>
        </w:tc>
      </w:tr>
      <w:tr w:rsidR="004A0E75" w:rsidRPr="004A0E75" w:rsidTr="000A4B9D">
        <w:trPr>
          <w:trHeight w:val="20"/>
        </w:trPr>
        <w:tc>
          <w:tcPr>
            <w:tcW w:w="6729" w:type="dxa"/>
            <w:gridSpan w:val="2"/>
            <w:tcBorders>
              <w:bottom w:val="single" w:sz="4" w:space="0" w:color="auto"/>
            </w:tcBorders>
            <w:shd w:val="clear" w:color="auto" w:fill="auto"/>
            <w:vAlign w:val="center"/>
            <w:hideMark/>
          </w:tcPr>
          <w:p w:rsidR="004A0E75" w:rsidRPr="004A0E75" w:rsidRDefault="004A0E75" w:rsidP="004A0E75">
            <w:pPr>
              <w:rPr>
                <w:rFonts w:eastAsia="Times New Roman" w:cs="Arial"/>
                <w:color w:val="000000"/>
                <w:sz w:val="22"/>
                <w:lang w:val="it-IT" w:eastAsia="it-IT"/>
              </w:rPr>
            </w:pPr>
            <w:r w:rsidRPr="004A0E75">
              <w:rPr>
                <w:rFonts w:eastAsia="Times New Roman" w:cs="Arial"/>
                <w:color w:val="000000"/>
                <w:sz w:val="22"/>
                <w:lang w:val="it-IT" w:eastAsia="it-IT"/>
              </w:rPr>
              <w:t>Costo impianti tecnici del CSI</w:t>
            </w:r>
          </w:p>
        </w:tc>
        <w:tc>
          <w:tcPr>
            <w:tcW w:w="2410" w:type="dxa"/>
            <w:tcBorders>
              <w:bottom w:val="single" w:sz="4" w:space="0" w:color="auto"/>
            </w:tcBorders>
            <w:shd w:val="clear" w:color="auto" w:fill="auto"/>
            <w:noWrap/>
            <w:vAlign w:val="center"/>
            <w:hideMark/>
          </w:tcPr>
          <w:p w:rsidR="004A0E75" w:rsidRPr="004A0E75" w:rsidRDefault="004A0E75" w:rsidP="000A4B9D">
            <w:pPr>
              <w:tabs>
                <w:tab w:val="right" w:pos="1914"/>
              </w:tabs>
              <w:rPr>
                <w:rFonts w:eastAsia="Times New Roman" w:cs="Arial"/>
                <w:color w:val="000000"/>
                <w:sz w:val="22"/>
                <w:lang w:val="it-IT" w:eastAsia="it-IT"/>
              </w:rPr>
            </w:pPr>
            <w:r w:rsidRPr="004A0E75">
              <w:rPr>
                <w:rFonts w:eastAsia="Times New Roman" w:cs="Arial"/>
                <w:color w:val="000000"/>
                <w:sz w:val="22"/>
                <w:lang w:val="it-IT" w:eastAsia="it-IT"/>
              </w:rPr>
              <w:tab/>
              <w:t>750'000.00</w:t>
            </w:r>
          </w:p>
        </w:tc>
      </w:tr>
      <w:tr w:rsidR="004A0E75" w:rsidRPr="004A0E75" w:rsidTr="000A4B9D">
        <w:trPr>
          <w:trHeight w:val="20"/>
        </w:trPr>
        <w:tc>
          <w:tcPr>
            <w:tcW w:w="6729" w:type="dxa"/>
            <w:gridSpan w:val="2"/>
            <w:tcBorders>
              <w:top w:val="single" w:sz="4" w:space="0" w:color="auto"/>
              <w:left w:val="nil"/>
              <w:bottom w:val="single" w:sz="4" w:space="0" w:color="auto"/>
              <w:right w:val="nil"/>
            </w:tcBorders>
            <w:shd w:val="clear" w:color="auto" w:fill="auto"/>
            <w:vAlign w:val="center"/>
          </w:tcPr>
          <w:p w:rsidR="004A0E75" w:rsidRPr="004A0E75" w:rsidRDefault="004A0E75" w:rsidP="004A0E75">
            <w:pPr>
              <w:rPr>
                <w:rFonts w:eastAsia="Times New Roman" w:cs="Arial"/>
                <w:color w:val="000000"/>
                <w:sz w:val="22"/>
                <w:lang w:val="it-IT" w:eastAsia="it-IT"/>
              </w:rPr>
            </w:pPr>
          </w:p>
        </w:tc>
        <w:tc>
          <w:tcPr>
            <w:tcW w:w="2410" w:type="dxa"/>
            <w:tcBorders>
              <w:top w:val="single" w:sz="4" w:space="0" w:color="auto"/>
              <w:left w:val="nil"/>
              <w:bottom w:val="single" w:sz="4" w:space="0" w:color="auto"/>
              <w:right w:val="nil"/>
            </w:tcBorders>
            <w:shd w:val="clear" w:color="auto" w:fill="auto"/>
            <w:noWrap/>
            <w:vAlign w:val="center"/>
          </w:tcPr>
          <w:p w:rsidR="004A0E75" w:rsidRPr="004A0E75" w:rsidRDefault="004A0E75" w:rsidP="000A4B9D">
            <w:pPr>
              <w:tabs>
                <w:tab w:val="right" w:pos="1914"/>
              </w:tabs>
              <w:rPr>
                <w:rFonts w:eastAsia="Times New Roman" w:cs="Arial"/>
                <w:color w:val="000000"/>
                <w:sz w:val="22"/>
                <w:lang w:val="it-IT" w:eastAsia="it-IT"/>
              </w:rPr>
            </w:pPr>
          </w:p>
        </w:tc>
      </w:tr>
      <w:tr w:rsidR="004A0E75" w:rsidRPr="004A0E75" w:rsidTr="000A4B9D">
        <w:trPr>
          <w:trHeight w:val="20"/>
        </w:trPr>
        <w:tc>
          <w:tcPr>
            <w:tcW w:w="6729" w:type="dxa"/>
            <w:gridSpan w:val="2"/>
            <w:tcBorders>
              <w:top w:val="single" w:sz="4" w:space="0" w:color="auto"/>
            </w:tcBorders>
            <w:shd w:val="clear" w:color="auto" w:fill="auto"/>
            <w:vAlign w:val="center"/>
            <w:hideMark/>
          </w:tcPr>
          <w:p w:rsidR="004A0E75" w:rsidRPr="004A0E75" w:rsidRDefault="004A0E75" w:rsidP="004A0E75">
            <w:pPr>
              <w:rPr>
                <w:rFonts w:eastAsia="Times New Roman" w:cs="Arial"/>
                <w:color w:val="000000"/>
                <w:sz w:val="22"/>
                <w:lang w:val="it-IT" w:eastAsia="it-IT"/>
              </w:rPr>
            </w:pPr>
            <w:r w:rsidRPr="004A0E75">
              <w:rPr>
                <w:rFonts w:eastAsia="Times New Roman" w:cs="Arial"/>
                <w:color w:val="000000"/>
                <w:sz w:val="22"/>
                <w:lang w:val="it-IT" w:eastAsia="it-IT"/>
              </w:rPr>
              <w:t xml:space="preserve">Totale complessivo </w:t>
            </w:r>
          </w:p>
        </w:tc>
        <w:tc>
          <w:tcPr>
            <w:tcW w:w="2410" w:type="dxa"/>
            <w:tcBorders>
              <w:top w:val="single" w:sz="4" w:space="0" w:color="auto"/>
            </w:tcBorders>
            <w:shd w:val="clear" w:color="auto" w:fill="auto"/>
            <w:noWrap/>
            <w:vAlign w:val="center"/>
            <w:hideMark/>
          </w:tcPr>
          <w:p w:rsidR="004A0E75" w:rsidRPr="004A0E75" w:rsidRDefault="004A0E75" w:rsidP="000A4B9D">
            <w:pPr>
              <w:tabs>
                <w:tab w:val="right" w:pos="1914"/>
              </w:tabs>
              <w:rPr>
                <w:rFonts w:eastAsia="Times New Roman" w:cs="Arial"/>
                <w:color w:val="000000"/>
                <w:sz w:val="22"/>
                <w:lang w:val="it-IT" w:eastAsia="it-IT"/>
              </w:rPr>
            </w:pPr>
            <w:r w:rsidRPr="004A0E75">
              <w:rPr>
                <w:rFonts w:eastAsia="Times New Roman" w:cs="Arial"/>
                <w:color w:val="000000"/>
                <w:sz w:val="22"/>
                <w:lang w:val="it-IT" w:eastAsia="it-IT"/>
              </w:rPr>
              <w:tab/>
              <w:t>50'250'000.00</w:t>
            </w:r>
          </w:p>
        </w:tc>
      </w:tr>
      <w:tr w:rsidR="004A0E75" w:rsidRPr="004A0E75" w:rsidTr="000A4B9D">
        <w:trPr>
          <w:trHeight w:val="20"/>
        </w:trPr>
        <w:tc>
          <w:tcPr>
            <w:tcW w:w="6729" w:type="dxa"/>
            <w:gridSpan w:val="2"/>
            <w:tcBorders>
              <w:bottom w:val="single" w:sz="4" w:space="0" w:color="auto"/>
            </w:tcBorders>
            <w:shd w:val="clear" w:color="auto" w:fill="auto"/>
            <w:vAlign w:val="center"/>
            <w:hideMark/>
          </w:tcPr>
          <w:p w:rsidR="004A0E75" w:rsidRPr="004A0E75" w:rsidRDefault="004A0E75" w:rsidP="004A0E75">
            <w:pPr>
              <w:rPr>
                <w:rFonts w:eastAsia="Times New Roman" w:cs="Arial"/>
                <w:color w:val="000000"/>
                <w:sz w:val="22"/>
                <w:lang w:val="it-IT" w:eastAsia="it-IT"/>
              </w:rPr>
            </w:pPr>
            <w:r w:rsidRPr="004A0E75">
              <w:rPr>
                <w:rFonts w:eastAsia="Times New Roman" w:cs="Arial"/>
                <w:color w:val="000000"/>
                <w:sz w:val="22"/>
                <w:lang w:val="it-IT" w:eastAsia="it-IT"/>
              </w:rPr>
              <w:t>Credito di progettazione già concesso, MG 6763 del 23.03.2013</w:t>
            </w:r>
          </w:p>
        </w:tc>
        <w:tc>
          <w:tcPr>
            <w:tcW w:w="2410" w:type="dxa"/>
            <w:tcBorders>
              <w:bottom w:val="single" w:sz="4" w:space="0" w:color="auto"/>
            </w:tcBorders>
            <w:shd w:val="clear" w:color="auto" w:fill="auto"/>
            <w:noWrap/>
            <w:vAlign w:val="center"/>
            <w:hideMark/>
          </w:tcPr>
          <w:p w:rsidR="004A0E75" w:rsidRPr="004A0E75" w:rsidRDefault="000A4B9D" w:rsidP="000A4B9D">
            <w:pPr>
              <w:tabs>
                <w:tab w:val="right" w:pos="1914"/>
              </w:tabs>
              <w:rPr>
                <w:rFonts w:eastAsia="Times New Roman" w:cs="Arial"/>
                <w:color w:val="000000"/>
                <w:sz w:val="22"/>
                <w:lang w:val="it-IT" w:eastAsia="it-IT"/>
              </w:rPr>
            </w:pPr>
            <w:r>
              <w:rPr>
                <w:rFonts w:eastAsia="Times New Roman" w:cs="Arial"/>
                <w:color w:val="000000"/>
                <w:sz w:val="22"/>
                <w:lang w:val="it-IT" w:eastAsia="it-IT"/>
              </w:rPr>
              <w:tab/>
            </w:r>
            <w:r w:rsidR="004A0E75" w:rsidRPr="004A0E75">
              <w:rPr>
                <w:rFonts w:eastAsia="Times New Roman" w:cs="Arial"/>
                <w:color w:val="000000"/>
                <w:sz w:val="22"/>
                <w:lang w:val="it-IT" w:eastAsia="it-IT"/>
              </w:rPr>
              <w:t>-3’830'000.00</w:t>
            </w:r>
          </w:p>
        </w:tc>
      </w:tr>
      <w:tr w:rsidR="004A0E75" w:rsidRPr="004A0E75" w:rsidTr="000A4B9D">
        <w:trPr>
          <w:trHeight w:val="20"/>
        </w:trPr>
        <w:tc>
          <w:tcPr>
            <w:tcW w:w="6729" w:type="dxa"/>
            <w:gridSpan w:val="2"/>
            <w:tcBorders>
              <w:top w:val="single" w:sz="4" w:space="0" w:color="auto"/>
              <w:left w:val="nil"/>
              <w:bottom w:val="single" w:sz="4" w:space="0" w:color="auto"/>
              <w:right w:val="nil"/>
            </w:tcBorders>
            <w:shd w:val="clear" w:color="auto" w:fill="auto"/>
            <w:vAlign w:val="center"/>
          </w:tcPr>
          <w:p w:rsidR="004A0E75" w:rsidRPr="004A0E75" w:rsidRDefault="004A0E75" w:rsidP="004A0E75">
            <w:pPr>
              <w:rPr>
                <w:rFonts w:eastAsia="Times New Roman" w:cs="Arial"/>
                <w:color w:val="000000"/>
                <w:sz w:val="22"/>
                <w:lang w:val="it-IT" w:eastAsia="it-IT"/>
              </w:rPr>
            </w:pPr>
          </w:p>
        </w:tc>
        <w:tc>
          <w:tcPr>
            <w:tcW w:w="2410" w:type="dxa"/>
            <w:tcBorders>
              <w:top w:val="single" w:sz="4" w:space="0" w:color="auto"/>
              <w:left w:val="nil"/>
              <w:bottom w:val="single" w:sz="4" w:space="0" w:color="auto"/>
              <w:right w:val="nil"/>
            </w:tcBorders>
            <w:shd w:val="clear" w:color="auto" w:fill="auto"/>
            <w:noWrap/>
            <w:vAlign w:val="center"/>
          </w:tcPr>
          <w:p w:rsidR="004A0E75" w:rsidRPr="004A0E75" w:rsidRDefault="004A0E75" w:rsidP="000A4B9D">
            <w:pPr>
              <w:tabs>
                <w:tab w:val="right" w:pos="1914"/>
              </w:tabs>
              <w:rPr>
                <w:rFonts w:eastAsia="Times New Roman" w:cs="Arial"/>
                <w:color w:val="000000"/>
                <w:sz w:val="22"/>
                <w:lang w:val="it-IT" w:eastAsia="it-IT"/>
              </w:rPr>
            </w:pPr>
          </w:p>
        </w:tc>
      </w:tr>
      <w:tr w:rsidR="004A0E75" w:rsidRPr="004A0E75" w:rsidTr="000A4B9D">
        <w:trPr>
          <w:trHeight w:val="20"/>
        </w:trPr>
        <w:tc>
          <w:tcPr>
            <w:tcW w:w="6729" w:type="dxa"/>
            <w:gridSpan w:val="2"/>
            <w:shd w:val="clear" w:color="auto" w:fill="auto"/>
            <w:vAlign w:val="center"/>
          </w:tcPr>
          <w:p w:rsidR="004A0E75" w:rsidRPr="004A0E75" w:rsidRDefault="004A0E75" w:rsidP="004A0E75">
            <w:pPr>
              <w:rPr>
                <w:rFonts w:eastAsia="Times New Roman" w:cs="Arial"/>
                <w:color w:val="000000"/>
                <w:sz w:val="22"/>
                <w:lang w:val="it-IT" w:eastAsia="it-IT"/>
              </w:rPr>
            </w:pPr>
            <w:r w:rsidRPr="004A0E75">
              <w:rPr>
                <w:rFonts w:eastAsia="Times New Roman" w:cs="Arial"/>
                <w:color w:val="000000"/>
                <w:sz w:val="22"/>
                <w:lang w:val="it-IT" w:eastAsia="it-IT"/>
              </w:rPr>
              <w:t>Totale credito messaggio di costruzione</w:t>
            </w:r>
          </w:p>
        </w:tc>
        <w:tc>
          <w:tcPr>
            <w:tcW w:w="2410" w:type="dxa"/>
            <w:shd w:val="clear" w:color="auto" w:fill="auto"/>
            <w:noWrap/>
            <w:vAlign w:val="center"/>
          </w:tcPr>
          <w:p w:rsidR="004A0E75" w:rsidRPr="004A0E75" w:rsidRDefault="00E5507C" w:rsidP="000A4B9D">
            <w:pPr>
              <w:tabs>
                <w:tab w:val="right" w:pos="1914"/>
              </w:tabs>
              <w:rPr>
                <w:rFonts w:eastAsia="Times New Roman" w:cs="Arial"/>
                <w:color w:val="000000"/>
                <w:sz w:val="22"/>
                <w:lang w:val="it-IT" w:eastAsia="it-IT"/>
              </w:rPr>
            </w:pPr>
            <w:r>
              <w:rPr>
                <w:rFonts w:eastAsia="Times New Roman" w:cs="Arial"/>
                <w:color w:val="000000"/>
                <w:sz w:val="22"/>
                <w:lang w:val="it-IT" w:eastAsia="it-IT"/>
              </w:rPr>
              <w:tab/>
            </w:r>
            <w:r w:rsidR="004A0E75" w:rsidRPr="004A0E75">
              <w:rPr>
                <w:rFonts w:eastAsia="Times New Roman" w:cs="Arial"/>
                <w:color w:val="000000"/>
                <w:sz w:val="22"/>
                <w:lang w:val="it-IT" w:eastAsia="it-IT"/>
              </w:rPr>
              <w:t>46'420'000.00</w:t>
            </w:r>
          </w:p>
        </w:tc>
      </w:tr>
    </w:tbl>
    <w:p w:rsidR="004A0E75" w:rsidRPr="008821C1" w:rsidRDefault="004A0E75" w:rsidP="008821C1">
      <w:pPr>
        <w:spacing w:after="120"/>
        <w:rPr>
          <w:b/>
        </w:rPr>
      </w:pPr>
      <w:r w:rsidRPr="008821C1">
        <w:rPr>
          <w:b/>
        </w:rPr>
        <w:t>6.2</w:t>
      </w:r>
      <w:r w:rsidRPr="008821C1">
        <w:rPr>
          <w:b/>
        </w:rPr>
        <w:tab/>
        <w:t>Sedi provvisorie Pretorio</w:t>
      </w:r>
    </w:p>
    <w:p w:rsidR="004A0E75" w:rsidRPr="004A0E75" w:rsidRDefault="004A0E75" w:rsidP="004A0E75">
      <w:pPr>
        <w:spacing w:after="120"/>
        <w:rPr>
          <w:rFonts w:eastAsia="Times New Roman" w:cs="Arial"/>
          <w:color w:val="000000"/>
          <w:szCs w:val="24"/>
          <w:lang w:val="it-IT" w:eastAsia="it-IT"/>
        </w:rPr>
      </w:pPr>
      <w:r w:rsidRPr="004A0E75">
        <w:rPr>
          <w:rFonts w:eastAsia="Times New Roman" w:cs="Arial"/>
          <w:color w:val="000000"/>
          <w:szCs w:val="24"/>
          <w:lang w:val="it-IT" w:eastAsia="it-IT"/>
        </w:rPr>
        <w:lastRenderedPageBreak/>
        <w:t>Opportuno ricordare che contemporaneamente all’approvazione del credito di progettazione per la ristrutturazione del Pretorio di Bellinzona era stato approvato un credito di costruzione, per la preparazione delle sedi provvisorie pari a fr. 2'680'</w:t>
      </w:r>
      <w:proofErr w:type="gramStart"/>
      <w:r w:rsidRPr="004A0E75">
        <w:rPr>
          <w:rFonts w:eastAsia="Times New Roman" w:cs="Arial"/>
          <w:color w:val="000000"/>
          <w:szCs w:val="24"/>
          <w:lang w:val="it-IT" w:eastAsia="it-IT"/>
        </w:rPr>
        <w:t>000.-</w:t>
      </w:r>
      <w:proofErr w:type="gramEnd"/>
      <w:r w:rsidRPr="004A0E75">
        <w:rPr>
          <w:rFonts w:eastAsia="Times New Roman" w:cs="Arial"/>
          <w:color w:val="000000"/>
          <w:szCs w:val="24"/>
          <w:lang w:val="it-IT" w:eastAsia="it-IT"/>
        </w:rPr>
        <w:t xml:space="preserve"> (cfr. messaggio n. 6963 del 12 marzo 2013) che toccavano gli stabili seguenti:</w:t>
      </w:r>
    </w:p>
    <w:p w:rsidR="004A0E75" w:rsidRPr="004A0E75" w:rsidRDefault="004A0E75" w:rsidP="004A0E75">
      <w:pPr>
        <w:spacing w:after="60"/>
        <w:ind w:left="284" w:hanging="284"/>
        <w:rPr>
          <w:rFonts w:eastAsia="Times New Roman" w:cs="Arial"/>
          <w:color w:val="000000"/>
          <w:szCs w:val="24"/>
          <w:lang w:val="it-IT" w:eastAsia="it-IT"/>
        </w:rPr>
      </w:pPr>
      <w:r w:rsidRPr="004A0E75">
        <w:rPr>
          <w:rFonts w:eastAsia="Times New Roman" w:cs="Arial"/>
          <w:color w:val="000000"/>
          <w:szCs w:val="24"/>
          <w:lang w:val="it-IT" w:eastAsia="it-IT"/>
        </w:rPr>
        <w:t>-</w:t>
      </w:r>
      <w:r w:rsidRPr="004A0E75">
        <w:rPr>
          <w:rFonts w:eastAsia="Times New Roman" w:cs="Arial"/>
          <w:color w:val="000000"/>
          <w:szCs w:val="24"/>
          <w:lang w:val="it-IT" w:eastAsia="it-IT"/>
        </w:rPr>
        <w:tab/>
        <w:t>E4004 Stabile amministrativo 2 Bellinzona;</w:t>
      </w:r>
    </w:p>
    <w:p w:rsidR="004A0E75" w:rsidRPr="004A0E75" w:rsidRDefault="004A0E75" w:rsidP="004A0E75">
      <w:pPr>
        <w:spacing w:after="60"/>
        <w:ind w:left="284" w:hanging="284"/>
        <w:rPr>
          <w:rFonts w:eastAsia="Times New Roman" w:cs="Arial"/>
          <w:color w:val="000000"/>
          <w:szCs w:val="24"/>
          <w:lang w:val="it-IT" w:eastAsia="it-IT"/>
        </w:rPr>
      </w:pPr>
      <w:r w:rsidRPr="004A0E75">
        <w:rPr>
          <w:rFonts w:eastAsia="Times New Roman" w:cs="Arial"/>
          <w:color w:val="000000"/>
          <w:szCs w:val="24"/>
          <w:lang w:val="it-IT" w:eastAsia="it-IT"/>
        </w:rPr>
        <w:t>-</w:t>
      </w:r>
      <w:r w:rsidRPr="004A0E75">
        <w:rPr>
          <w:rFonts w:eastAsia="Times New Roman" w:cs="Arial"/>
          <w:color w:val="000000"/>
          <w:szCs w:val="24"/>
          <w:lang w:val="it-IT" w:eastAsia="it-IT"/>
        </w:rPr>
        <w:tab/>
        <w:t>E4603 Stabile Business Center Bellinzona;</w:t>
      </w:r>
    </w:p>
    <w:p w:rsidR="004A0E75" w:rsidRPr="004A0E75" w:rsidRDefault="004A0E75" w:rsidP="004A0E75">
      <w:pPr>
        <w:ind w:left="284" w:hanging="284"/>
        <w:rPr>
          <w:rFonts w:eastAsia="Times New Roman" w:cs="Arial"/>
          <w:color w:val="000000"/>
          <w:szCs w:val="24"/>
          <w:lang w:val="it-IT" w:eastAsia="it-IT"/>
        </w:rPr>
      </w:pPr>
      <w:r w:rsidRPr="004A0E75">
        <w:rPr>
          <w:rFonts w:eastAsia="Times New Roman" w:cs="Arial"/>
          <w:color w:val="000000"/>
          <w:szCs w:val="24"/>
          <w:lang w:val="it-IT" w:eastAsia="it-IT"/>
        </w:rPr>
        <w:t xml:space="preserve">- </w:t>
      </w:r>
      <w:r w:rsidRPr="004A0E75">
        <w:rPr>
          <w:rFonts w:eastAsia="Times New Roman" w:cs="Arial"/>
          <w:color w:val="000000"/>
          <w:szCs w:val="24"/>
          <w:lang w:val="it-IT" w:eastAsia="it-IT"/>
        </w:rPr>
        <w:tab/>
        <w:t>E4036 Comparto ex Arsenale Bellinzona.</w:t>
      </w:r>
    </w:p>
    <w:p w:rsidR="004A0E75" w:rsidRPr="004A0E75" w:rsidRDefault="004A0E75" w:rsidP="004A0E75">
      <w:pPr>
        <w:ind w:left="284" w:hanging="284"/>
        <w:rPr>
          <w:rFonts w:eastAsia="Times New Roman" w:cs="Arial"/>
          <w:color w:val="000000"/>
          <w:szCs w:val="24"/>
          <w:lang w:val="it-IT" w:eastAsia="it-IT"/>
        </w:rPr>
      </w:pPr>
    </w:p>
    <w:p w:rsidR="004A0E75" w:rsidRPr="004A0E75" w:rsidRDefault="004A0E75" w:rsidP="004A0E75">
      <w:pPr>
        <w:rPr>
          <w:rFonts w:eastAsia="Times New Roman" w:cs="Arial"/>
          <w:color w:val="000000"/>
          <w:szCs w:val="24"/>
          <w:lang w:val="it-IT" w:eastAsia="it-IT"/>
        </w:rPr>
      </w:pPr>
      <w:r w:rsidRPr="004A0E75">
        <w:rPr>
          <w:rFonts w:eastAsia="Times New Roman" w:cs="Arial"/>
          <w:color w:val="000000"/>
          <w:szCs w:val="24"/>
          <w:lang w:val="it-IT" w:eastAsia="it-IT"/>
        </w:rPr>
        <w:t xml:space="preserve">Successivamente con decisione del Governo dell’11 aprile 2016 si è preferito inserire la sede dei servizi centrali della Polizia, il cui trasferimento inizialmente era previsto nello stabile E4603 Business Center, nello stabile E4616 ex AET a Bellinzona. </w:t>
      </w:r>
    </w:p>
    <w:p w:rsidR="00727623" w:rsidRDefault="004A0E75" w:rsidP="00727623">
      <w:pPr>
        <w:rPr>
          <w:rFonts w:eastAsia="Times New Roman" w:cs="Arial"/>
          <w:color w:val="000000"/>
          <w:szCs w:val="24"/>
          <w:lang w:val="it-IT" w:eastAsia="it-IT"/>
        </w:rPr>
      </w:pPr>
      <w:r w:rsidRPr="004A0E75">
        <w:rPr>
          <w:rFonts w:eastAsia="Times New Roman" w:cs="Arial"/>
          <w:color w:val="000000"/>
          <w:szCs w:val="24"/>
          <w:lang w:val="it-IT" w:eastAsia="it-IT"/>
        </w:rPr>
        <w:t>I lavori presso le sedi provvisorie destinate ai servizi da trasferire sono stati conclusi nel corso del mese di ottobre 2018.</w:t>
      </w:r>
    </w:p>
    <w:p w:rsidR="00727623" w:rsidRDefault="00727623" w:rsidP="00727623">
      <w:pPr>
        <w:rPr>
          <w:rFonts w:eastAsia="Times New Roman" w:cs="Arial"/>
          <w:color w:val="000000"/>
          <w:szCs w:val="24"/>
          <w:lang w:val="it-IT" w:eastAsia="it-IT"/>
        </w:rPr>
      </w:pPr>
    </w:p>
    <w:p w:rsidR="00727623" w:rsidRDefault="00727623" w:rsidP="00727623">
      <w:pPr>
        <w:rPr>
          <w:rFonts w:eastAsia="Times New Roman" w:cs="Arial"/>
          <w:color w:val="000000"/>
          <w:szCs w:val="24"/>
          <w:lang w:val="it-IT" w:eastAsia="it-IT"/>
        </w:rPr>
      </w:pPr>
    </w:p>
    <w:p w:rsidR="00727623" w:rsidRDefault="00727623" w:rsidP="00727623">
      <w:pPr>
        <w:rPr>
          <w:rFonts w:eastAsia="Times New Roman" w:cs="Arial"/>
          <w:color w:val="000000"/>
          <w:szCs w:val="24"/>
          <w:lang w:val="it-IT" w:eastAsia="it-IT"/>
        </w:rPr>
      </w:pPr>
    </w:p>
    <w:p w:rsidR="004A0E75" w:rsidRPr="00727623" w:rsidRDefault="00727623" w:rsidP="00727623">
      <w:pPr>
        <w:pStyle w:val="Titolo1"/>
      </w:pPr>
      <w:r w:rsidRPr="00727623">
        <w:rPr>
          <w:rFonts w:eastAsia="Times New Roman" w:cs="Arial"/>
          <w:color w:val="000000"/>
        </w:rPr>
        <w:t>7.</w:t>
      </w:r>
      <w:r>
        <w:tab/>
      </w:r>
      <w:r w:rsidR="004A0E75" w:rsidRPr="00727623">
        <w:t>Relazione con le linee direttive e con il piano finanziario</w:t>
      </w:r>
    </w:p>
    <w:p w:rsidR="004A0E75" w:rsidRPr="004A0E75" w:rsidRDefault="004A0E75" w:rsidP="004A0E75">
      <w:pPr>
        <w:rPr>
          <w:rFonts w:eastAsia="Times New Roman" w:cs="Arial"/>
          <w:bCs/>
          <w:iCs/>
          <w:color w:val="000000"/>
          <w:szCs w:val="24"/>
          <w:lang w:val="it-IT" w:eastAsia="it-IT"/>
        </w:rPr>
      </w:pPr>
      <w:r w:rsidRPr="004A0E75">
        <w:rPr>
          <w:rFonts w:eastAsia="Times New Roman" w:cs="Arial"/>
          <w:bCs/>
          <w:iCs/>
          <w:color w:val="000000"/>
          <w:szCs w:val="24"/>
          <w:lang w:val="it-IT" w:eastAsia="it-IT"/>
        </w:rPr>
        <w:t>Lo stanziamento del credito proposto con l’allegato Decreto legislativo richiede l’approvazione da parte della maggioranza assoluta dei membri del Gran Consiglio (cfr. art. 5 cpv. 3 Legge sulla gestione e sul controllo finanziario dello Stato del 20 gennaio 1986).</w:t>
      </w:r>
    </w:p>
    <w:p w:rsidR="004A0E75" w:rsidRPr="004A0E75" w:rsidRDefault="004A0E75" w:rsidP="004A0E75">
      <w:pPr>
        <w:rPr>
          <w:rFonts w:eastAsia="Times New Roman" w:cs="Arial"/>
          <w:bCs/>
          <w:i/>
          <w:iCs/>
          <w:color w:val="000000"/>
          <w:szCs w:val="24"/>
          <w:lang w:val="it-IT" w:eastAsia="it-IT"/>
        </w:rPr>
      </w:pPr>
    </w:p>
    <w:p w:rsidR="004A0E75" w:rsidRPr="004A0E75" w:rsidRDefault="004A0E75" w:rsidP="004A0E75">
      <w:pPr>
        <w:rPr>
          <w:rFonts w:eastAsia="Times New Roman" w:cs="Arial"/>
          <w:bCs/>
          <w:i/>
          <w:iCs/>
          <w:color w:val="000000"/>
          <w:szCs w:val="24"/>
          <w:lang w:val="it-IT" w:eastAsia="it-IT"/>
        </w:rPr>
      </w:pPr>
    </w:p>
    <w:p w:rsidR="004A0E75" w:rsidRPr="004A0E75" w:rsidRDefault="004A0E75" w:rsidP="007564CF">
      <w:pPr>
        <w:pStyle w:val="Titolo2"/>
      </w:pPr>
      <w:r w:rsidRPr="004A0E75">
        <w:t>7.1</w:t>
      </w:r>
      <w:r w:rsidRPr="004A0E75">
        <w:tab/>
        <w:t>Relazioni con il piano finanziario</w:t>
      </w:r>
    </w:p>
    <w:p w:rsidR="004A0E75" w:rsidRPr="004A0E75" w:rsidRDefault="004A0E75" w:rsidP="007564CF">
      <w:pPr>
        <w:autoSpaceDE w:val="0"/>
        <w:autoSpaceDN w:val="0"/>
        <w:adjustRightInd w:val="0"/>
        <w:rPr>
          <w:rFonts w:eastAsia="Times New Roman" w:cs="Arial"/>
          <w:color w:val="000000"/>
          <w:szCs w:val="24"/>
          <w:lang w:val="it-IT" w:eastAsia="it-IT"/>
        </w:rPr>
      </w:pPr>
      <w:r w:rsidRPr="004A0E75">
        <w:rPr>
          <w:rFonts w:eastAsia="Times New Roman" w:cs="Arial"/>
          <w:color w:val="000000"/>
          <w:szCs w:val="24"/>
          <w:lang w:eastAsia="it-IT"/>
        </w:rPr>
        <w:t>La richiesta di credito in oggetto è prevista nelle Linee direttive e nel piano finanziario degli investimenti; in particolare l’onere per la costruzione è pianificato nel settore</w:t>
      </w:r>
      <w:r w:rsidRPr="004A0E75">
        <w:rPr>
          <w:rFonts w:eastAsia="Times New Roman" w:cs="Arial"/>
          <w:color w:val="000000"/>
          <w:szCs w:val="24"/>
          <w:lang w:eastAsia="it-CH"/>
        </w:rPr>
        <w:t xml:space="preserve"> 22 Giustizia, </w:t>
      </w:r>
      <w:r w:rsidRPr="004A0E75">
        <w:rPr>
          <w:rFonts w:eastAsia="Times New Roman" w:cs="Arial"/>
          <w:color w:val="000000"/>
          <w:szCs w:val="24"/>
          <w:lang w:eastAsia="it-IT"/>
        </w:rPr>
        <w:t>alla posizione WBS 941 59 3466 per un importo di franchi 42'670'</w:t>
      </w:r>
      <w:proofErr w:type="gramStart"/>
      <w:r w:rsidRPr="004A0E75">
        <w:rPr>
          <w:rFonts w:eastAsia="Times New Roman" w:cs="Arial"/>
          <w:color w:val="000000"/>
          <w:szCs w:val="24"/>
          <w:lang w:eastAsia="it-IT"/>
        </w:rPr>
        <w:t>000.-</w:t>
      </w:r>
      <w:proofErr w:type="gramEnd"/>
      <w:r w:rsidRPr="004A0E75">
        <w:rPr>
          <w:rFonts w:eastAsia="Times New Roman" w:cs="Arial"/>
          <w:color w:val="000000"/>
          <w:szCs w:val="24"/>
          <w:lang w:eastAsia="it-IT"/>
        </w:rPr>
        <w:t xml:space="preserve"> e alla posizione WBS 951 50 1538 per un importo di franchi 750'000.-</w:t>
      </w:r>
      <w:r w:rsidRPr="004A0E75">
        <w:rPr>
          <w:rFonts w:eastAsia="Times New Roman" w:cs="Arial"/>
          <w:color w:val="000000"/>
          <w:szCs w:val="24"/>
          <w:lang w:val="it-IT" w:eastAsia="it-IT"/>
        </w:rPr>
        <w:t xml:space="preserve"> per la parte di impianti tecnici del CSI. L’investimento complessivo, tenendo conto di quanto già concesso </w:t>
      </w:r>
      <w:proofErr w:type="gramStart"/>
      <w:r w:rsidRPr="004A0E75">
        <w:rPr>
          <w:rFonts w:eastAsia="Times New Roman" w:cs="Arial"/>
          <w:color w:val="000000"/>
          <w:szCs w:val="24"/>
          <w:lang w:val="it-IT" w:eastAsia="it-IT"/>
        </w:rPr>
        <w:t>e</w:t>
      </w:r>
      <w:proofErr w:type="gramEnd"/>
      <w:r w:rsidRPr="004A0E75">
        <w:rPr>
          <w:rFonts w:eastAsia="Times New Roman" w:cs="Arial"/>
          <w:color w:val="000000"/>
          <w:szCs w:val="24"/>
          <w:lang w:val="it-IT" w:eastAsia="it-IT"/>
        </w:rPr>
        <w:t xml:space="preserve"> di quanto verrà rifatturato alla Confederazione per gli standard aggiuntivi richiesti, come evidenziato nella tabella sottostante, è di franchi 43’420'000.-.</w:t>
      </w:r>
    </w:p>
    <w:p w:rsidR="004A0E75" w:rsidRPr="004A0E75" w:rsidRDefault="004A0E75" w:rsidP="004A0E75">
      <w:pPr>
        <w:autoSpaceDE w:val="0"/>
        <w:autoSpaceDN w:val="0"/>
        <w:adjustRightInd w:val="0"/>
        <w:spacing w:after="40"/>
        <w:rPr>
          <w:rFonts w:eastAsia="Times New Roman" w:cs="Arial"/>
          <w:i/>
          <w:color w:val="000000"/>
          <w:szCs w:val="24"/>
          <w:lang w:val="it-IT" w:eastAsia="it-IT"/>
        </w:rPr>
      </w:pPr>
    </w:p>
    <w:tbl>
      <w:tblPr>
        <w:tblW w:w="95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64"/>
        <w:gridCol w:w="1940"/>
        <w:gridCol w:w="3260"/>
      </w:tblGrid>
      <w:tr w:rsidR="004A0E75" w:rsidRPr="004A0E75" w:rsidTr="008A7B61">
        <w:trPr>
          <w:trHeight w:val="540"/>
        </w:trPr>
        <w:tc>
          <w:tcPr>
            <w:tcW w:w="6304"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rsidR="004A0E75" w:rsidRPr="004A0E75" w:rsidRDefault="004A0E75" w:rsidP="004A0E75">
            <w:pPr>
              <w:jc w:val="left"/>
              <w:rPr>
                <w:rFonts w:eastAsia="Times New Roman" w:cs="Arial"/>
                <w:b/>
                <w:bCs/>
                <w:i/>
                <w:color w:val="000000"/>
                <w:sz w:val="22"/>
                <w:lang w:eastAsia="it-CH"/>
              </w:rPr>
            </w:pPr>
            <w:r w:rsidRPr="004A0E75">
              <w:rPr>
                <w:rFonts w:eastAsia="Times New Roman" w:cs="Arial"/>
                <w:b/>
                <w:bCs/>
                <w:i/>
                <w:color w:val="000000"/>
                <w:sz w:val="22"/>
                <w:lang w:eastAsia="it-CH"/>
              </w:rPr>
              <w:t>Descrizione crediti</w:t>
            </w:r>
          </w:p>
        </w:tc>
        <w:tc>
          <w:tcPr>
            <w:tcW w:w="32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A0E75" w:rsidRPr="004A0E75" w:rsidRDefault="004A0E75" w:rsidP="004A0E75">
            <w:pPr>
              <w:tabs>
                <w:tab w:val="left" w:pos="586"/>
              </w:tabs>
              <w:ind w:right="71"/>
              <w:jc w:val="center"/>
              <w:rPr>
                <w:rFonts w:eastAsia="Times New Roman" w:cs="Arial"/>
                <w:b/>
                <w:bCs/>
                <w:i/>
                <w:color w:val="000000"/>
                <w:sz w:val="22"/>
                <w:lang w:eastAsia="it-CH"/>
              </w:rPr>
            </w:pPr>
            <w:r w:rsidRPr="004A0E75">
              <w:rPr>
                <w:rFonts w:eastAsia="Times New Roman" w:cs="Arial"/>
                <w:b/>
                <w:bCs/>
                <w:i/>
                <w:color w:val="000000"/>
                <w:sz w:val="22"/>
                <w:lang w:eastAsia="it-CH"/>
              </w:rPr>
              <w:t xml:space="preserve">Preventivo </w:t>
            </w:r>
            <w:proofErr w:type="spellStart"/>
            <w:r w:rsidRPr="004A0E75">
              <w:rPr>
                <w:rFonts w:eastAsia="Times New Roman" w:cs="Arial"/>
                <w:b/>
                <w:bCs/>
                <w:i/>
                <w:color w:val="000000"/>
                <w:sz w:val="22"/>
                <w:lang w:eastAsia="it-CH"/>
              </w:rPr>
              <w:t>eCCC</w:t>
            </w:r>
            <w:proofErr w:type="spellEnd"/>
            <w:r w:rsidRPr="004A0E75">
              <w:rPr>
                <w:rFonts w:eastAsia="Times New Roman" w:cs="Arial"/>
                <w:b/>
                <w:bCs/>
                <w:i/>
                <w:color w:val="000000"/>
                <w:sz w:val="22"/>
                <w:lang w:eastAsia="it-CH"/>
              </w:rPr>
              <w:t>-E</w:t>
            </w:r>
          </w:p>
          <w:p w:rsidR="004A0E75" w:rsidRPr="004A0E75" w:rsidRDefault="004A0E75" w:rsidP="004A0E75">
            <w:pPr>
              <w:tabs>
                <w:tab w:val="left" w:pos="586"/>
              </w:tabs>
              <w:ind w:right="71"/>
              <w:jc w:val="center"/>
              <w:rPr>
                <w:rFonts w:eastAsia="Times New Roman" w:cs="Arial"/>
                <w:b/>
                <w:bCs/>
                <w:i/>
                <w:color w:val="000000"/>
                <w:sz w:val="22"/>
                <w:lang w:eastAsia="it-CH"/>
              </w:rPr>
            </w:pPr>
            <w:r w:rsidRPr="004A0E75">
              <w:rPr>
                <w:rFonts w:eastAsia="Times New Roman" w:cs="Arial"/>
                <w:b/>
                <w:bCs/>
                <w:i/>
                <w:color w:val="000000"/>
                <w:sz w:val="22"/>
                <w:lang w:eastAsia="it-CH"/>
              </w:rPr>
              <w:t>fr.</w:t>
            </w:r>
          </w:p>
        </w:tc>
      </w:tr>
      <w:tr w:rsidR="004A0E75" w:rsidRPr="004A0E75" w:rsidTr="008A7B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4364" w:type="dxa"/>
            <w:tcBorders>
              <w:top w:val="single" w:sz="4" w:space="0" w:color="auto"/>
              <w:left w:val="single" w:sz="4" w:space="0" w:color="auto"/>
              <w:bottom w:val="single" w:sz="4" w:space="0" w:color="auto"/>
            </w:tcBorders>
            <w:shd w:val="clear" w:color="auto" w:fill="auto"/>
            <w:vAlign w:val="center"/>
            <w:hideMark/>
          </w:tcPr>
          <w:p w:rsidR="004A0E75" w:rsidRPr="004A0E75" w:rsidRDefault="004A0E75" w:rsidP="004A0E75">
            <w:pPr>
              <w:jc w:val="left"/>
              <w:rPr>
                <w:rFonts w:eastAsia="Times New Roman" w:cs="Arial"/>
                <w:i/>
                <w:color w:val="000000"/>
                <w:sz w:val="22"/>
                <w:lang w:eastAsia="it-CH"/>
              </w:rPr>
            </w:pPr>
            <w:r w:rsidRPr="004A0E75">
              <w:rPr>
                <w:rFonts w:eastAsia="Times New Roman" w:cs="Arial"/>
                <w:bCs/>
                <w:i/>
                <w:color w:val="000000"/>
                <w:sz w:val="22"/>
                <w:lang w:val="it-IT" w:eastAsia="it-CH"/>
              </w:rPr>
              <w:t>Costo dell'investimento (B-Z)</w:t>
            </w:r>
          </w:p>
        </w:tc>
        <w:tc>
          <w:tcPr>
            <w:tcW w:w="1940" w:type="dxa"/>
            <w:tcBorders>
              <w:top w:val="single" w:sz="4" w:space="0" w:color="auto"/>
              <w:bottom w:val="single" w:sz="4" w:space="0" w:color="auto"/>
              <w:right w:val="single" w:sz="4" w:space="0" w:color="auto"/>
            </w:tcBorders>
            <w:shd w:val="clear" w:color="auto" w:fill="auto"/>
            <w:noWrap/>
            <w:vAlign w:val="center"/>
            <w:hideMark/>
          </w:tcPr>
          <w:p w:rsidR="004A0E75" w:rsidRPr="004A0E75" w:rsidRDefault="004A0E75" w:rsidP="004A0E75">
            <w:pPr>
              <w:jc w:val="left"/>
              <w:rPr>
                <w:rFonts w:eastAsia="Times New Roman" w:cs="Arial"/>
                <w:i/>
                <w:color w:val="000000"/>
                <w:sz w:val="22"/>
                <w:lang w:eastAsia="it-CH"/>
              </w:rPr>
            </w:pPr>
            <w:r w:rsidRPr="004A0E75">
              <w:rPr>
                <w:rFonts w:eastAsia="Times New Roman" w:cs="Arial"/>
                <w:b/>
                <w:bCs/>
                <w:i/>
                <w:color w:val="000000"/>
                <w:sz w:val="22"/>
                <w:lang w:eastAsia="it-CH"/>
              </w:rPr>
              <w:t> </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4A0E75" w:rsidRPr="004A0E75" w:rsidRDefault="004A0E75" w:rsidP="000A4B9D">
            <w:pPr>
              <w:tabs>
                <w:tab w:val="left" w:pos="586"/>
                <w:tab w:val="right" w:pos="2484"/>
              </w:tabs>
              <w:jc w:val="center"/>
              <w:rPr>
                <w:rFonts w:eastAsia="Times New Roman" w:cs="Arial"/>
                <w:i/>
                <w:color w:val="000000"/>
                <w:sz w:val="22"/>
                <w:lang w:eastAsia="it-CH"/>
              </w:rPr>
            </w:pPr>
            <w:r w:rsidRPr="004A0E75">
              <w:rPr>
                <w:rFonts w:eastAsia="Times New Roman" w:cs="Arial"/>
                <w:bCs/>
                <w:i/>
                <w:color w:val="000000"/>
                <w:sz w:val="22"/>
                <w:lang w:eastAsia="it-CH"/>
              </w:rPr>
              <w:tab/>
              <w:t>49'500'000.00</w:t>
            </w:r>
          </w:p>
        </w:tc>
      </w:tr>
      <w:tr w:rsidR="004A0E75" w:rsidRPr="004A0E75" w:rsidTr="008A7B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4364" w:type="dxa"/>
            <w:tcBorders>
              <w:top w:val="single" w:sz="4" w:space="0" w:color="auto"/>
              <w:left w:val="single" w:sz="4" w:space="0" w:color="auto"/>
              <w:bottom w:val="single" w:sz="4" w:space="0" w:color="auto"/>
            </w:tcBorders>
            <w:shd w:val="clear" w:color="auto" w:fill="auto"/>
            <w:vAlign w:val="center"/>
          </w:tcPr>
          <w:p w:rsidR="004A0E75" w:rsidRPr="004A0E75" w:rsidRDefault="004A0E75" w:rsidP="004A0E75">
            <w:pPr>
              <w:jc w:val="left"/>
              <w:rPr>
                <w:rFonts w:eastAsia="Times New Roman" w:cs="Arial"/>
                <w:bCs/>
                <w:i/>
                <w:color w:val="000000"/>
                <w:sz w:val="22"/>
                <w:lang w:val="it-IT" w:eastAsia="it-CH"/>
              </w:rPr>
            </w:pPr>
            <w:r w:rsidRPr="004A0E75">
              <w:rPr>
                <w:rFonts w:eastAsia="Times New Roman" w:cs="Arial"/>
                <w:bCs/>
                <w:i/>
                <w:color w:val="000000"/>
                <w:sz w:val="22"/>
                <w:lang w:val="it-IT" w:eastAsia="it-CH"/>
              </w:rPr>
              <w:t>Costo a carico della Confederazione CH</w:t>
            </w:r>
          </w:p>
        </w:tc>
        <w:tc>
          <w:tcPr>
            <w:tcW w:w="1940" w:type="dxa"/>
            <w:tcBorders>
              <w:top w:val="single" w:sz="4" w:space="0" w:color="auto"/>
              <w:bottom w:val="single" w:sz="4" w:space="0" w:color="auto"/>
              <w:right w:val="single" w:sz="4" w:space="0" w:color="auto"/>
            </w:tcBorders>
            <w:shd w:val="clear" w:color="auto" w:fill="auto"/>
            <w:noWrap/>
            <w:vAlign w:val="center"/>
          </w:tcPr>
          <w:p w:rsidR="004A0E75" w:rsidRPr="004A0E75" w:rsidRDefault="004A0E75" w:rsidP="004A0E75">
            <w:pPr>
              <w:jc w:val="left"/>
              <w:rPr>
                <w:rFonts w:eastAsia="Times New Roman" w:cs="Arial"/>
                <w:b/>
                <w:bCs/>
                <w:i/>
                <w:color w:val="000000"/>
                <w:sz w:val="22"/>
                <w:lang w:eastAsia="it-CH"/>
              </w:rPr>
            </w:pPr>
          </w:p>
        </w:tc>
        <w:tc>
          <w:tcPr>
            <w:tcW w:w="3260" w:type="dxa"/>
            <w:tcBorders>
              <w:top w:val="single" w:sz="4" w:space="0" w:color="auto"/>
              <w:left w:val="nil"/>
              <w:bottom w:val="single" w:sz="4" w:space="0" w:color="auto"/>
              <w:right w:val="single" w:sz="4" w:space="0" w:color="auto"/>
            </w:tcBorders>
            <w:shd w:val="clear" w:color="auto" w:fill="auto"/>
            <w:noWrap/>
            <w:vAlign w:val="center"/>
          </w:tcPr>
          <w:p w:rsidR="004A0E75" w:rsidRPr="004A0E75" w:rsidRDefault="004A0E75" w:rsidP="000A4B9D">
            <w:pPr>
              <w:tabs>
                <w:tab w:val="left" w:pos="586"/>
                <w:tab w:val="right" w:pos="2484"/>
                <w:tab w:val="right" w:pos="2891"/>
              </w:tabs>
              <w:jc w:val="center"/>
              <w:rPr>
                <w:rFonts w:eastAsia="Times New Roman" w:cs="Arial"/>
                <w:bCs/>
                <w:i/>
                <w:color w:val="000000"/>
                <w:sz w:val="22"/>
                <w:lang w:eastAsia="it-CH"/>
              </w:rPr>
            </w:pPr>
            <w:r w:rsidRPr="004A0E75">
              <w:rPr>
                <w:rFonts w:eastAsia="Times New Roman" w:cs="Arial"/>
                <w:bCs/>
                <w:i/>
                <w:color w:val="000000"/>
                <w:sz w:val="22"/>
                <w:lang w:eastAsia="it-CH"/>
              </w:rPr>
              <w:tab/>
              <w:t>- 3'000'000.00</w:t>
            </w:r>
          </w:p>
        </w:tc>
      </w:tr>
      <w:tr w:rsidR="004A0E75" w:rsidRPr="004A0E75" w:rsidTr="008A7B61">
        <w:trPr>
          <w:trHeight w:val="435"/>
        </w:trPr>
        <w:tc>
          <w:tcPr>
            <w:tcW w:w="6304" w:type="dxa"/>
            <w:gridSpan w:val="2"/>
            <w:tcBorders>
              <w:bottom w:val="single" w:sz="4" w:space="0" w:color="auto"/>
            </w:tcBorders>
            <w:shd w:val="clear" w:color="auto" w:fill="auto"/>
            <w:vAlign w:val="center"/>
            <w:hideMark/>
          </w:tcPr>
          <w:p w:rsidR="004A0E75" w:rsidRPr="004A0E75" w:rsidRDefault="004A0E75" w:rsidP="004A0E75">
            <w:pPr>
              <w:jc w:val="left"/>
              <w:rPr>
                <w:rFonts w:eastAsia="Times New Roman" w:cs="Arial"/>
                <w:i/>
                <w:color w:val="000000"/>
                <w:sz w:val="22"/>
                <w:lang w:eastAsia="it-CH"/>
              </w:rPr>
            </w:pPr>
            <w:r w:rsidRPr="004A0E75">
              <w:rPr>
                <w:rFonts w:eastAsia="Times New Roman" w:cs="Arial"/>
                <w:bCs/>
                <w:i/>
                <w:color w:val="000000"/>
                <w:sz w:val="22"/>
                <w:lang w:eastAsia="it-CH"/>
              </w:rPr>
              <w:t>Credito di progettazione già concesso, MG 6763 del 23.03.2013</w:t>
            </w:r>
          </w:p>
        </w:tc>
        <w:tc>
          <w:tcPr>
            <w:tcW w:w="3260" w:type="dxa"/>
            <w:tcBorders>
              <w:bottom w:val="single" w:sz="4" w:space="0" w:color="auto"/>
            </w:tcBorders>
            <w:shd w:val="clear" w:color="auto" w:fill="auto"/>
            <w:noWrap/>
            <w:vAlign w:val="center"/>
            <w:hideMark/>
          </w:tcPr>
          <w:p w:rsidR="004A0E75" w:rsidRPr="004A0E75" w:rsidRDefault="004A0E75" w:rsidP="000A4B9D">
            <w:pPr>
              <w:tabs>
                <w:tab w:val="left" w:pos="586"/>
                <w:tab w:val="right" w:pos="2484"/>
                <w:tab w:val="right" w:pos="2891"/>
              </w:tabs>
              <w:jc w:val="center"/>
              <w:rPr>
                <w:rFonts w:eastAsia="Times New Roman" w:cs="Arial"/>
                <w:i/>
                <w:color w:val="000000"/>
                <w:sz w:val="22"/>
                <w:lang w:eastAsia="it-CH"/>
              </w:rPr>
            </w:pPr>
            <w:r w:rsidRPr="004A0E75">
              <w:rPr>
                <w:rFonts w:eastAsia="Times New Roman" w:cs="Arial"/>
                <w:i/>
                <w:color w:val="000000"/>
                <w:sz w:val="22"/>
                <w:lang w:eastAsia="it-CH"/>
              </w:rPr>
              <w:tab/>
              <w:t>- 3’830'000.00</w:t>
            </w:r>
          </w:p>
        </w:tc>
      </w:tr>
      <w:tr w:rsidR="004A0E75" w:rsidRPr="004A0E75" w:rsidTr="008A7B61">
        <w:trPr>
          <w:trHeight w:val="550"/>
        </w:trPr>
        <w:tc>
          <w:tcPr>
            <w:tcW w:w="6304" w:type="dxa"/>
            <w:gridSpan w:val="2"/>
            <w:shd w:val="clear" w:color="auto" w:fill="auto"/>
            <w:vAlign w:val="center"/>
          </w:tcPr>
          <w:p w:rsidR="004A0E75" w:rsidRPr="004A0E75" w:rsidRDefault="004A0E75" w:rsidP="004A0E75">
            <w:pPr>
              <w:jc w:val="left"/>
              <w:rPr>
                <w:rFonts w:eastAsia="Times New Roman" w:cs="Arial"/>
                <w:b/>
                <w:bCs/>
                <w:i/>
                <w:color w:val="000000"/>
                <w:sz w:val="22"/>
                <w:lang w:eastAsia="it-CH"/>
              </w:rPr>
            </w:pPr>
            <w:r w:rsidRPr="004A0E75">
              <w:rPr>
                <w:rFonts w:eastAsia="Times New Roman" w:cs="Arial"/>
                <w:b/>
                <w:bCs/>
                <w:i/>
                <w:color w:val="000000"/>
                <w:sz w:val="22"/>
                <w:lang w:eastAsia="it-CH"/>
              </w:rPr>
              <w:t>Totale credito messaggio di costruzione WBS 941 59 3466</w:t>
            </w:r>
          </w:p>
        </w:tc>
        <w:tc>
          <w:tcPr>
            <w:tcW w:w="3260" w:type="dxa"/>
            <w:shd w:val="clear" w:color="auto" w:fill="auto"/>
            <w:noWrap/>
            <w:vAlign w:val="center"/>
          </w:tcPr>
          <w:p w:rsidR="004A0E75" w:rsidRPr="004A0E75" w:rsidRDefault="004A0E75" w:rsidP="000A4B9D">
            <w:pPr>
              <w:tabs>
                <w:tab w:val="left" w:pos="586"/>
                <w:tab w:val="right" w:pos="2484"/>
                <w:tab w:val="right" w:pos="2891"/>
              </w:tabs>
              <w:jc w:val="center"/>
              <w:rPr>
                <w:rFonts w:eastAsia="Times New Roman" w:cs="Arial"/>
                <w:b/>
                <w:bCs/>
                <w:i/>
                <w:color w:val="000000"/>
                <w:sz w:val="22"/>
                <w:lang w:eastAsia="it-CH"/>
              </w:rPr>
            </w:pPr>
            <w:r w:rsidRPr="004A0E75">
              <w:rPr>
                <w:rFonts w:eastAsia="Times New Roman" w:cs="Arial"/>
                <w:b/>
                <w:bCs/>
                <w:i/>
                <w:color w:val="000000"/>
                <w:sz w:val="22"/>
                <w:lang w:eastAsia="it-CH"/>
              </w:rPr>
              <w:tab/>
              <w:t>42'670'000.00</w:t>
            </w:r>
          </w:p>
        </w:tc>
      </w:tr>
      <w:tr w:rsidR="004A0E75" w:rsidRPr="004A0E75" w:rsidTr="008A7B61">
        <w:trPr>
          <w:trHeight w:val="189"/>
        </w:trPr>
        <w:tc>
          <w:tcPr>
            <w:tcW w:w="6304" w:type="dxa"/>
            <w:gridSpan w:val="2"/>
            <w:tcBorders>
              <w:top w:val="single" w:sz="4" w:space="0" w:color="auto"/>
              <w:left w:val="nil"/>
              <w:bottom w:val="single" w:sz="4" w:space="0" w:color="auto"/>
              <w:right w:val="nil"/>
            </w:tcBorders>
            <w:shd w:val="clear" w:color="auto" w:fill="auto"/>
            <w:vAlign w:val="center"/>
          </w:tcPr>
          <w:p w:rsidR="004A0E75" w:rsidRPr="004A0E75" w:rsidRDefault="004A0E75" w:rsidP="004A0E75">
            <w:pPr>
              <w:jc w:val="left"/>
              <w:rPr>
                <w:rFonts w:eastAsia="Times New Roman" w:cs="Arial"/>
                <w:b/>
                <w:i/>
                <w:color w:val="000000"/>
                <w:sz w:val="22"/>
                <w:lang w:eastAsia="it-CH"/>
              </w:rPr>
            </w:pPr>
          </w:p>
        </w:tc>
        <w:tc>
          <w:tcPr>
            <w:tcW w:w="3260" w:type="dxa"/>
            <w:tcBorders>
              <w:top w:val="single" w:sz="4" w:space="0" w:color="auto"/>
              <w:left w:val="nil"/>
              <w:bottom w:val="single" w:sz="4" w:space="0" w:color="auto"/>
              <w:right w:val="nil"/>
            </w:tcBorders>
            <w:shd w:val="clear" w:color="auto" w:fill="auto"/>
            <w:noWrap/>
            <w:vAlign w:val="center"/>
          </w:tcPr>
          <w:p w:rsidR="004A0E75" w:rsidRPr="004A0E75" w:rsidRDefault="004A0E75" w:rsidP="004A0E75">
            <w:pPr>
              <w:tabs>
                <w:tab w:val="left" w:pos="586"/>
              </w:tabs>
              <w:jc w:val="right"/>
              <w:rPr>
                <w:rFonts w:eastAsia="Times New Roman" w:cs="Arial"/>
                <w:b/>
                <w:i/>
                <w:color w:val="000000"/>
                <w:sz w:val="22"/>
                <w:lang w:eastAsia="it-CH"/>
              </w:rPr>
            </w:pPr>
          </w:p>
        </w:tc>
      </w:tr>
      <w:tr w:rsidR="004A0E75" w:rsidRPr="004A0E75" w:rsidTr="008A7B61">
        <w:trPr>
          <w:trHeight w:val="550"/>
        </w:trPr>
        <w:tc>
          <w:tcPr>
            <w:tcW w:w="6304" w:type="dxa"/>
            <w:gridSpan w:val="2"/>
            <w:tcBorders>
              <w:bottom w:val="single" w:sz="4" w:space="0" w:color="auto"/>
            </w:tcBorders>
            <w:shd w:val="clear" w:color="auto" w:fill="auto"/>
            <w:vAlign w:val="center"/>
            <w:hideMark/>
          </w:tcPr>
          <w:p w:rsidR="004A0E75" w:rsidRPr="004A0E75" w:rsidRDefault="004A0E75" w:rsidP="004A0E75">
            <w:pPr>
              <w:jc w:val="left"/>
              <w:rPr>
                <w:rFonts w:eastAsia="Times New Roman" w:cs="Arial"/>
                <w:i/>
                <w:color w:val="000000"/>
                <w:sz w:val="22"/>
                <w:lang w:eastAsia="it-CH"/>
              </w:rPr>
            </w:pPr>
            <w:r w:rsidRPr="004A0E75">
              <w:rPr>
                <w:rFonts w:eastAsia="Times New Roman" w:cs="Arial"/>
                <w:i/>
                <w:color w:val="000000"/>
                <w:sz w:val="22"/>
                <w:lang w:eastAsia="it-CH"/>
              </w:rPr>
              <w:t>Costo impianti tecnici del CSI</w:t>
            </w:r>
          </w:p>
        </w:tc>
        <w:tc>
          <w:tcPr>
            <w:tcW w:w="3260" w:type="dxa"/>
            <w:tcBorders>
              <w:bottom w:val="single" w:sz="4" w:space="0" w:color="auto"/>
            </w:tcBorders>
            <w:shd w:val="clear" w:color="auto" w:fill="auto"/>
            <w:noWrap/>
            <w:vAlign w:val="center"/>
            <w:hideMark/>
          </w:tcPr>
          <w:p w:rsidR="004A0E75" w:rsidRPr="004A0E75" w:rsidRDefault="004A0E75" w:rsidP="000A4B9D">
            <w:pPr>
              <w:tabs>
                <w:tab w:val="left" w:pos="586"/>
                <w:tab w:val="right" w:pos="2625"/>
              </w:tabs>
              <w:jc w:val="center"/>
              <w:rPr>
                <w:rFonts w:eastAsia="Times New Roman" w:cs="Arial"/>
                <w:i/>
                <w:color w:val="000000"/>
                <w:sz w:val="22"/>
                <w:lang w:eastAsia="it-CH"/>
              </w:rPr>
            </w:pPr>
            <w:r w:rsidRPr="004A0E75">
              <w:rPr>
                <w:rFonts w:eastAsia="Times New Roman" w:cs="Arial"/>
                <w:i/>
                <w:color w:val="000000"/>
                <w:sz w:val="22"/>
                <w:lang w:eastAsia="it-CH"/>
              </w:rPr>
              <w:tab/>
            </w:r>
            <w:r w:rsidR="000A4B9D">
              <w:rPr>
                <w:rFonts w:eastAsia="Times New Roman" w:cs="Arial"/>
                <w:i/>
                <w:color w:val="000000"/>
                <w:sz w:val="22"/>
                <w:lang w:eastAsia="it-CH"/>
              </w:rPr>
              <w:t xml:space="preserve">    </w:t>
            </w:r>
            <w:r w:rsidRPr="004A0E75">
              <w:rPr>
                <w:rFonts w:eastAsia="Times New Roman" w:cs="Arial"/>
                <w:i/>
                <w:color w:val="000000"/>
                <w:sz w:val="22"/>
                <w:lang w:eastAsia="it-CH"/>
              </w:rPr>
              <w:t>750'000.00</w:t>
            </w:r>
          </w:p>
        </w:tc>
      </w:tr>
      <w:tr w:rsidR="004A0E75" w:rsidRPr="004A0E75" w:rsidTr="008A7B61">
        <w:trPr>
          <w:trHeight w:val="514"/>
        </w:trPr>
        <w:tc>
          <w:tcPr>
            <w:tcW w:w="6304" w:type="dxa"/>
            <w:gridSpan w:val="2"/>
            <w:tcBorders>
              <w:top w:val="single" w:sz="4" w:space="0" w:color="auto"/>
            </w:tcBorders>
            <w:shd w:val="clear" w:color="auto" w:fill="auto"/>
            <w:vAlign w:val="center"/>
            <w:hideMark/>
          </w:tcPr>
          <w:p w:rsidR="004A0E75" w:rsidRPr="004A0E75" w:rsidRDefault="004A0E75" w:rsidP="004A0E75">
            <w:pPr>
              <w:jc w:val="left"/>
              <w:rPr>
                <w:rFonts w:eastAsia="Times New Roman" w:cs="Arial"/>
                <w:i/>
                <w:color w:val="000000"/>
                <w:sz w:val="22"/>
                <w:lang w:eastAsia="it-CH"/>
              </w:rPr>
            </w:pPr>
            <w:r w:rsidRPr="004A0E75">
              <w:rPr>
                <w:rFonts w:eastAsia="Times New Roman" w:cs="Arial"/>
                <w:b/>
                <w:bCs/>
                <w:i/>
                <w:color w:val="000000"/>
                <w:sz w:val="22"/>
                <w:lang w:val="it-IT" w:eastAsia="it-CH"/>
              </w:rPr>
              <w:t>Totale credito messaggio di costruzione WBS 951 50 1538</w:t>
            </w:r>
          </w:p>
        </w:tc>
        <w:tc>
          <w:tcPr>
            <w:tcW w:w="3260" w:type="dxa"/>
            <w:tcBorders>
              <w:top w:val="single" w:sz="4" w:space="0" w:color="auto"/>
            </w:tcBorders>
            <w:shd w:val="clear" w:color="auto" w:fill="auto"/>
            <w:noWrap/>
            <w:vAlign w:val="center"/>
            <w:hideMark/>
          </w:tcPr>
          <w:p w:rsidR="004A0E75" w:rsidRPr="004A0E75" w:rsidRDefault="000A4B9D" w:rsidP="000A4B9D">
            <w:pPr>
              <w:tabs>
                <w:tab w:val="left" w:pos="586"/>
                <w:tab w:val="right" w:pos="2625"/>
              </w:tabs>
              <w:jc w:val="center"/>
              <w:rPr>
                <w:rFonts w:eastAsia="Times New Roman" w:cs="Arial"/>
                <w:b/>
                <w:bCs/>
                <w:i/>
                <w:color w:val="000000"/>
                <w:sz w:val="22"/>
                <w:lang w:eastAsia="it-CH"/>
              </w:rPr>
            </w:pPr>
            <w:r>
              <w:rPr>
                <w:rFonts w:eastAsia="Times New Roman" w:cs="Arial"/>
                <w:b/>
                <w:bCs/>
                <w:i/>
                <w:color w:val="000000"/>
                <w:sz w:val="22"/>
                <w:lang w:eastAsia="it-CH"/>
              </w:rPr>
              <w:tab/>
              <w:t xml:space="preserve">   </w:t>
            </w:r>
            <w:r w:rsidR="004A0E75" w:rsidRPr="004A0E75">
              <w:rPr>
                <w:rFonts w:eastAsia="Times New Roman" w:cs="Arial"/>
                <w:b/>
                <w:bCs/>
                <w:i/>
                <w:color w:val="000000"/>
                <w:sz w:val="22"/>
                <w:lang w:eastAsia="it-CH"/>
              </w:rPr>
              <w:t>750'000.00</w:t>
            </w:r>
          </w:p>
        </w:tc>
      </w:tr>
      <w:tr w:rsidR="004A0E75" w:rsidRPr="004A0E75" w:rsidTr="008A7B61">
        <w:trPr>
          <w:trHeight w:val="179"/>
        </w:trPr>
        <w:tc>
          <w:tcPr>
            <w:tcW w:w="6304" w:type="dxa"/>
            <w:gridSpan w:val="2"/>
            <w:tcBorders>
              <w:top w:val="single" w:sz="4" w:space="0" w:color="auto"/>
              <w:left w:val="nil"/>
              <w:bottom w:val="single" w:sz="4" w:space="0" w:color="auto"/>
              <w:right w:val="nil"/>
            </w:tcBorders>
            <w:shd w:val="clear" w:color="auto" w:fill="auto"/>
            <w:vAlign w:val="center"/>
          </w:tcPr>
          <w:p w:rsidR="004A0E75" w:rsidRPr="004A0E75" w:rsidRDefault="004A0E75" w:rsidP="004A0E75">
            <w:pPr>
              <w:jc w:val="left"/>
              <w:rPr>
                <w:rFonts w:eastAsia="Times New Roman" w:cs="Arial"/>
                <w:b/>
                <w:i/>
                <w:color w:val="000000"/>
                <w:sz w:val="22"/>
                <w:lang w:eastAsia="it-CH"/>
              </w:rPr>
            </w:pPr>
          </w:p>
        </w:tc>
        <w:tc>
          <w:tcPr>
            <w:tcW w:w="3260" w:type="dxa"/>
            <w:tcBorders>
              <w:top w:val="single" w:sz="4" w:space="0" w:color="auto"/>
              <w:left w:val="nil"/>
              <w:bottom w:val="single" w:sz="4" w:space="0" w:color="auto"/>
              <w:right w:val="nil"/>
            </w:tcBorders>
            <w:shd w:val="clear" w:color="auto" w:fill="auto"/>
            <w:noWrap/>
            <w:vAlign w:val="center"/>
          </w:tcPr>
          <w:p w:rsidR="004A0E75" w:rsidRPr="004A0E75" w:rsidRDefault="004A0E75" w:rsidP="004A0E75">
            <w:pPr>
              <w:tabs>
                <w:tab w:val="left" w:pos="586"/>
              </w:tabs>
              <w:jc w:val="right"/>
              <w:rPr>
                <w:rFonts w:eastAsia="Times New Roman" w:cs="Arial"/>
                <w:b/>
                <w:i/>
                <w:color w:val="000000"/>
                <w:sz w:val="22"/>
                <w:lang w:eastAsia="it-CH"/>
              </w:rPr>
            </w:pPr>
          </w:p>
        </w:tc>
      </w:tr>
      <w:tr w:rsidR="004A0E75" w:rsidRPr="004A0E75" w:rsidTr="008A7B61">
        <w:trPr>
          <w:trHeight w:val="550"/>
        </w:trPr>
        <w:tc>
          <w:tcPr>
            <w:tcW w:w="6304" w:type="dxa"/>
            <w:gridSpan w:val="2"/>
            <w:shd w:val="clear" w:color="auto" w:fill="auto"/>
            <w:vAlign w:val="center"/>
          </w:tcPr>
          <w:p w:rsidR="004A0E75" w:rsidRPr="004A0E75" w:rsidRDefault="004A0E75" w:rsidP="004A0E75">
            <w:pPr>
              <w:jc w:val="left"/>
              <w:rPr>
                <w:rFonts w:eastAsia="Times New Roman" w:cs="Arial"/>
                <w:b/>
                <w:bCs/>
                <w:i/>
                <w:color w:val="000000"/>
                <w:sz w:val="22"/>
                <w:lang w:eastAsia="it-CH"/>
              </w:rPr>
            </w:pPr>
            <w:r w:rsidRPr="004A0E75">
              <w:rPr>
                <w:rFonts w:eastAsia="Times New Roman" w:cs="Arial"/>
                <w:b/>
                <w:bCs/>
                <w:i/>
                <w:color w:val="000000"/>
                <w:sz w:val="22"/>
                <w:lang w:eastAsia="it-CH"/>
              </w:rPr>
              <w:t>Totale credito netto messaggio di costruzione</w:t>
            </w:r>
          </w:p>
        </w:tc>
        <w:tc>
          <w:tcPr>
            <w:tcW w:w="3260" w:type="dxa"/>
            <w:shd w:val="clear" w:color="auto" w:fill="auto"/>
            <w:noWrap/>
            <w:vAlign w:val="center"/>
          </w:tcPr>
          <w:p w:rsidR="004A0E75" w:rsidRPr="004A0E75" w:rsidRDefault="004A0E75" w:rsidP="004A0E75">
            <w:pPr>
              <w:tabs>
                <w:tab w:val="left" w:pos="586"/>
              </w:tabs>
              <w:jc w:val="center"/>
              <w:rPr>
                <w:rFonts w:eastAsia="Times New Roman" w:cs="Arial"/>
                <w:b/>
                <w:bCs/>
                <w:i/>
                <w:color w:val="000000"/>
                <w:sz w:val="22"/>
                <w:lang w:eastAsia="it-CH"/>
              </w:rPr>
            </w:pPr>
            <w:r w:rsidRPr="004A0E75">
              <w:rPr>
                <w:rFonts w:eastAsia="Times New Roman" w:cs="Arial"/>
                <w:b/>
                <w:bCs/>
                <w:i/>
                <w:color w:val="000000"/>
                <w:sz w:val="22"/>
                <w:lang w:eastAsia="it-CH"/>
              </w:rPr>
              <w:tab/>
            </w:r>
            <w:r w:rsidRPr="004A0E75">
              <w:rPr>
                <w:rFonts w:eastAsia="Times New Roman" w:cs="Arial"/>
                <w:b/>
                <w:bCs/>
                <w:i/>
                <w:color w:val="000000"/>
                <w:sz w:val="22"/>
                <w:lang w:eastAsia="it-CH"/>
              </w:rPr>
              <w:tab/>
              <w:t>43'420'000.00</w:t>
            </w:r>
          </w:p>
        </w:tc>
      </w:tr>
    </w:tbl>
    <w:p w:rsidR="004A0E75" w:rsidRPr="004A0E75" w:rsidRDefault="004A0E75" w:rsidP="007564CF">
      <w:pPr>
        <w:pStyle w:val="Titolo2"/>
      </w:pPr>
      <w:r w:rsidRPr="004A0E75">
        <w:lastRenderedPageBreak/>
        <w:t>7.2</w:t>
      </w:r>
      <w:r w:rsidRPr="004A0E75">
        <w:tab/>
        <w:t>Gestione corrente</w:t>
      </w:r>
    </w:p>
    <w:p w:rsidR="004A0E75" w:rsidRPr="004A0E75" w:rsidRDefault="004A0E75" w:rsidP="004A0E75">
      <w:pPr>
        <w:tabs>
          <w:tab w:val="right" w:pos="6120"/>
        </w:tabs>
        <w:rPr>
          <w:rFonts w:eastAsia="Times New Roman" w:cs="Arial"/>
          <w:color w:val="000000"/>
          <w:szCs w:val="24"/>
          <w:lang w:eastAsia="it-IT"/>
        </w:rPr>
      </w:pPr>
      <w:r w:rsidRPr="004A0E75">
        <w:rPr>
          <w:rFonts w:eastAsia="Times New Roman" w:cs="Arial"/>
          <w:color w:val="000000"/>
          <w:szCs w:val="24"/>
          <w:lang w:eastAsia="it-IT"/>
        </w:rPr>
        <w:t xml:space="preserve">Per i costi di esercizio (costi di manutenzione ordinaria e costi di gestione) </w:t>
      </w:r>
      <w:r w:rsidR="0068126C">
        <w:rPr>
          <w:rFonts w:eastAsia="Times New Roman" w:cs="Arial"/>
          <w:color w:val="000000"/>
          <w:szCs w:val="24"/>
          <w:lang w:eastAsia="it-IT"/>
        </w:rPr>
        <w:t xml:space="preserve">è calcolato un importo </w:t>
      </w:r>
      <w:r w:rsidRPr="004A0E75">
        <w:rPr>
          <w:rFonts w:eastAsia="Times New Roman" w:cs="Arial"/>
          <w:color w:val="000000"/>
          <w:szCs w:val="24"/>
          <w:lang w:eastAsia="it-IT"/>
        </w:rPr>
        <w:t>annuo medio del 2% dei costi di costruzione, ossia franchi 577'</w:t>
      </w:r>
      <w:proofErr w:type="gramStart"/>
      <w:r w:rsidRPr="004A0E75">
        <w:rPr>
          <w:rFonts w:eastAsia="Times New Roman" w:cs="Arial"/>
          <w:color w:val="000000"/>
          <w:szCs w:val="24"/>
          <w:lang w:eastAsia="it-IT"/>
        </w:rPr>
        <w:t>000.-</w:t>
      </w:r>
      <w:proofErr w:type="gramEnd"/>
      <w:r w:rsidRPr="004A0E75">
        <w:rPr>
          <w:rFonts w:eastAsia="Times New Roman" w:cs="Arial"/>
          <w:color w:val="000000"/>
          <w:szCs w:val="24"/>
          <w:lang w:eastAsia="it-IT"/>
        </w:rPr>
        <w:t>/anno a partire dall’anno 2026.</w:t>
      </w:r>
    </w:p>
    <w:p w:rsidR="004A0E75" w:rsidRPr="004A0E75" w:rsidRDefault="004A0E75" w:rsidP="004A0E75">
      <w:pPr>
        <w:tabs>
          <w:tab w:val="left" w:pos="720"/>
          <w:tab w:val="right" w:pos="6120"/>
          <w:tab w:val="right" w:pos="7920"/>
          <w:tab w:val="right" w:pos="9638"/>
        </w:tabs>
        <w:rPr>
          <w:rFonts w:eastAsia="Times New Roman" w:cs="Arial"/>
          <w:i/>
          <w:szCs w:val="24"/>
          <w:lang w:eastAsia="it-IT"/>
        </w:rPr>
      </w:pPr>
    </w:p>
    <w:p w:rsidR="004A0E75" w:rsidRPr="004A0E75" w:rsidRDefault="004A0E75" w:rsidP="004A0E75">
      <w:pPr>
        <w:tabs>
          <w:tab w:val="left" w:pos="851"/>
          <w:tab w:val="right" w:pos="6120"/>
          <w:tab w:val="right" w:pos="7920"/>
          <w:tab w:val="right" w:pos="9638"/>
        </w:tabs>
        <w:rPr>
          <w:rFonts w:eastAsia="Times New Roman" w:cs="Arial"/>
          <w:i/>
          <w:szCs w:val="24"/>
          <w:lang w:eastAsia="it-IT"/>
        </w:rPr>
      </w:pPr>
    </w:p>
    <w:p w:rsidR="004A0E75" w:rsidRPr="004A0E75" w:rsidRDefault="007564CF" w:rsidP="007564CF">
      <w:pPr>
        <w:pStyle w:val="Titolo2"/>
        <w:numPr>
          <w:ilvl w:val="1"/>
          <w:numId w:val="20"/>
        </w:numPr>
      </w:pPr>
      <w:r>
        <w:tab/>
      </w:r>
      <w:r w:rsidR="004A0E75" w:rsidRPr="004A0E75">
        <w:t>Conseguenze sul personale</w:t>
      </w:r>
    </w:p>
    <w:p w:rsidR="007564CF" w:rsidRDefault="004A0E75" w:rsidP="007564CF">
      <w:pPr>
        <w:rPr>
          <w:rFonts w:eastAsia="Times New Roman" w:cs="Arial"/>
          <w:szCs w:val="24"/>
          <w:lang w:eastAsia="it-CH"/>
        </w:rPr>
      </w:pPr>
      <w:r w:rsidRPr="004A0E75">
        <w:rPr>
          <w:rFonts w:eastAsia="Times New Roman" w:cs="Arial"/>
          <w:szCs w:val="24"/>
          <w:lang w:eastAsia="it-CH"/>
        </w:rPr>
        <w:t>Un’organizzazione specifica dovrà occuparsi della gestione dell’edificio: tecnica, sicurezza, custodia e ricezione. Le necessarie risorse saranno valutate dal Consiglio di Stato e dovranno figurare tra i nuovi compiti a partire dall’anno 2025. La Confederazione contribuirà a finanziare queste prestazioni secondo uno specifico accordo in fase di definizione.</w:t>
      </w:r>
    </w:p>
    <w:p w:rsidR="007564CF" w:rsidRDefault="007564CF" w:rsidP="007564CF">
      <w:pPr>
        <w:rPr>
          <w:rFonts w:eastAsia="Times New Roman" w:cs="Arial"/>
          <w:szCs w:val="24"/>
          <w:lang w:eastAsia="it-CH"/>
        </w:rPr>
      </w:pPr>
    </w:p>
    <w:p w:rsidR="007564CF" w:rsidRDefault="007564CF" w:rsidP="007564CF">
      <w:pPr>
        <w:rPr>
          <w:rFonts w:eastAsia="Times New Roman" w:cs="Arial"/>
          <w:szCs w:val="24"/>
          <w:lang w:eastAsia="it-CH"/>
        </w:rPr>
      </w:pPr>
    </w:p>
    <w:p w:rsidR="0090364F" w:rsidRDefault="0090364F" w:rsidP="007564CF">
      <w:pPr>
        <w:rPr>
          <w:rFonts w:eastAsia="Times New Roman" w:cs="Arial"/>
          <w:szCs w:val="24"/>
          <w:lang w:eastAsia="it-CH"/>
        </w:rPr>
      </w:pPr>
    </w:p>
    <w:p w:rsidR="004A0E75" w:rsidRPr="00727623" w:rsidRDefault="00727623" w:rsidP="00727623">
      <w:pPr>
        <w:pStyle w:val="Titolo1"/>
      </w:pPr>
      <w:r>
        <w:t>8.</w:t>
      </w:r>
      <w:r>
        <w:tab/>
      </w:r>
      <w:r w:rsidR="004A0E75" w:rsidRPr="004A0E75">
        <w:t>Tempi di realizzazione</w:t>
      </w:r>
    </w:p>
    <w:p w:rsidR="004A0E75" w:rsidRPr="004A0E75" w:rsidRDefault="004A0E75" w:rsidP="004A0E75">
      <w:pPr>
        <w:rPr>
          <w:rFonts w:eastAsia="Times New Roman" w:cs="Arial"/>
          <w:color w:val="000000"/>
          <w:szCs w:val="24"/>
          <w:lang w:eastAsia="it-IT"/>
        </w:rPr>
      </w:pPr>
      <w:r w:rsidRPr="004A0E75">
        <w:rPr>
          <w:rFonts w:eastAsia="Times New Roman" w:cs="Arial"/>
          <w:color w:val="000000"/>
          <w:szCs w:val="24"/>
          <w:lang w:eastAsia="it-IT"/>
        </w:rPr>
        <w:t>Ipotizzando l’approvazione del credito da parte del Parlamento nel corso del mese di giugno 2021, si possono indicare i seguenti termini di realizzazione:</w:t>
      </w:r>
    </w:p>
    <w:p w:rsidR="004A0E75" w:rsidRPr="004A0E75" w:rsidRDefault="004A0E75" w:rsidP="000A4B9D">
      <w:pPr>
        <w:numPr>
          <w:ilvl w:val="0"/>
          <w:numId w:val="14"/>
        </w:numPr>
        <w:tabs>
          <w:tab w:val="left" w:pos="426"/>
          <w:tab w:val="left" w:pos="4536"/>
        </w:tabs>
        <w:spacing w:before="120"/>
        <w:ind w:left="425" w:hanging="425"/>
        <w:jc w:val="left"/>
        <w:rPr>
          <w:rFonts w:eastAsia="Times New Roman" w:cs="Arial"/>
          <w:color w:val="000000"/>
          <w:szCs w:val="24"/>
          <w:lang w:val="it-IT" w:eastAsia="it-IT"/>
        </w:rPr>
      </w:pPr>
      <w:r w:rsidRPr="004A0E75">
        <w:rPr>
          <w:rFonts w:eastAsia="Times New Roman" w:cs="Arial"/>
          <w:color w:val="000000"/>
          <w:szCs w:val="24"/>
          <w:lang w:val="it-IT" w:eastAsia="it-IT"/>
        </w:rPr>
        <w:t xml:space="preserve">Affinamento del progetto esecutivo </w:t>
      </w:r>
      <w:r w:rsidRPr="004A0E75">
        <w:rPr>
          <w:rFonts w:eastAsia="Times New Roman" w:cs="Arial"/>
          <w:color w:val="000000"/>
          <w:szCs w:val="24"/>
          <w:lang w:val="it-IT" w:eastAsia="it-IT"/>
        </w:rPr>
        <w:tab/>
        <w:t>- giugno 2021 - giugno 2022 - 12 mesi</w:t>
      </w:r>
    </w:p>
    <w:p w:rsidR="004A0E75" w:rsidRPr="004A0E75" w:rsidRDefault="004A0E75" w:rsidP="00A524E0">
      <w:pPr>
        <w:numPr>
          <w:ilvl w:val="0"/>
          <w:numId w:val="14"/>
        </w:numPr>
        <w:tabs>
          <w:tab w:val="left" w:pos="426"/>
          <w:tab w:val="left" w:pos="4536"/>
        </w:tabs>
        <w:spacing w:before="60"/>
        <w:ind w:left="425" w:hanging="425"/>
        <w:jc w:val="left"/>
        <w:rPr>
          <w:rFonts w:eastAsia="Times New Roman" w:cs="Arial"/>
          <w:color w:val="000000"/>
          <w:szCs w:val="24"/>
          <w:lang w:val="it-IT" w:eastAsia="it-IT"/>
        </w:rPr>
      </w:pPr>
      <w:r w:rsidRPr="004A0E75">
        <w:rPr>
          <w:rFonts w:eastAsia="Times New Roman" w:cs="Arial"/>
          <w:color w:val="000000"/>
          <w:szCs w:val="24"/>
          <w:lang w:val="it-IT" w:eastAsia="it-IT"/>
        </w:rPr>
        <w:t>Inizio lavori</w:t>
      </w:r>
      <w:r w:rsidRPr="004A0E75">
        <w:rPr>
          <w:rFonts w:eastAsia="Times New Roman" w:cs="Arial"/>
          <w:color w:val="000000"/>
          <w:szCs w:val="24"/>
          <w:lang w:val="it-IT" w:eastAsia="it-IT"/>
        </w:rPr>
        <w:tab/>
        <w:t>- giugno 2022</w:t>
      </w:r>
    </w:p>
    <w:p w:rsidR="004A0E75" w:rsidRPr="004A0E75" w:rsidRDefault="004A0E75" w:rsidP="00A524E0">
      <w:pPr>
        <w:numPr>
          <w:ilvl w:val="0"/>
          <w:numId w:val="14"/>
        </w:numPr>
        <w:tabs>
          <w:tab w:val="left" w:pos="426"/>
          <w:tab w:val="left" w:pos="4536"/>
        </w:tabs>
        <w:spacing w:before="60"/>
        <w:ind w:left="425" w:hanging="425"/>
        <w:jc w:val="left"/>
        <w:rPr>
          <w:rFonts w:eastAsia="Times New Roman" w:cs="Arial"/>
          <w:color w:val="000000"/>
          <w:szCs w:val="24"/>
          <w:lang w:val="it-IT" w:eastAsia="it-IT"/>
        </w:rPr>
      </w:pPr>
      <w:r w:rsidRPr="004A0E75">
        <w:rPr>
          <w:rFonts w:eastAsia="Times New Roman" w:cs="Arial"/>
          <w:color w:val="000000"/>
          <w:szCs w:val="24"/>
          <w:lang w:val="it-IT" w:eastAsia="it-IT"/>
        </w:rPr>
        <w:t>Fine lavori di costruzione</w:t>
      </w:r>
      <w:r w:rsidRPr="004A0E75">
        <w:rPr>
          <w:rFonts w:eastAsia="Times New Roman" w:cs="Arial"/>
          <w:color w:val="000000"/>
          <w:szCs w:val="24"/>
          <w:lang w:val="it-IT" w:eastAsia="it-IT"/>
        </w:rPr>
        <w:tab/>
        <w:t>- dicembre</w:t>
      </w:r>
      <w:r w:rsidR="00E70EB1">
        <w:rPr>
          <w:rFonts w:eastAsia="Times New Roman" w:cs="Arial"/>
          <w:color w:val="000000"/>
          <w:szCs w:val="24"/>
          <w:lang w:val="it-IT" w:eastAsia="it-IT"/>
        </w:rPr>
        <w:t xml:space="preserve"> 2025 -</w:t>
      </w:r>
      <w:r w:rsidRPr="004A0E75">
        <w:rPr>
          <w:rFonts w:eastAsia="Times New Roman" w:cs="Arial"/>
          <w:color w:val="000000"/>
          <w:szCs w:val="24"/>
          <w:lang w:val="it-IT" w:eastAsia="it-IT"/>
        </w:rPr>
        <w:t xml:space="preserve"> 43 mesi</w:t>
      </w:r>
    </w:p>
    <w:p w:rsidR="004A0E75" w:rsidRPr="004A0E75" w:rsidRDefault="004A0E75" w:rsidP="00A524E0">
      <w:pPr>
        <w:numPr>
          <w:ilvl w:val="0"/>
          <w:numId w:val="14"/>
        </w:numPr>
        <w:tabs>
          <w:tab w:val="left" w:pos="426"/>
          <w:tab w:val="left" w:pos="4536"/>
        </w:tabs>
        <w:spacing w:before="60"/>
        <w:ind w:left="425" w:hanging="425"/>
        <w:jc w:val="left"/>
        <w:rPr>
          <w:rFonts w:eastAsia="Times New Roman" w:cs="Arial"/>
          <w:color w:val="000000"/>
          <w:szCs w:val="24"/>
          <w:lang w:val="it-IT" w:eastAsia="it-IT"/>
        </w:rPr>
      </w:pPr>
      <w:r w:rsidRPr="004A0E75">
        <w:rPr>
          <w:rFonts w:eastAsia="Times New Roman" w:cs="Arial"/>
          <w:color w:val="000000"/>
          <w:szCs w:val="24"/>
          <w:lang w:val="it-IT" w:eastAsia="it-IT"/>
        </w:rPr>
        <w:t xml:space="preserve">Consegna edificio </w:t>
      </w:r>
      <w:r w:rsidR="000A4B9D">
        <w:rPr>
          <w:rFonts w:eastAsia="Times New Roman" w:cs="Arial"/>
          <w:color w:val="000000"/>
          <w:szCs w:val="24"/>
          <w:lang w:val="it-IT" w:eastAsia="it-IT"/>
        </w:rPr>
        <w:t>-</w:t>
      </w:r>
      <w:r w:rsidRPr="004A0E75">
        <w:rPr>
          <w:rFonts w:eastAsia="Times New Roman" w:cs="Arial"/>
          <w:color w:val="000000"/>
          <w:szCs w:val="24"/>
          <w:lang w:val="it-IT" w:eastAsia="it-IT"/>
        </w:rPr>
        <w:t xml:space="preserve"> inizio traslochi</w:t>
      </w:r>
      <w:r w:rsidRPr="004A0E75">
        <w:rPr>
          <w:rFonts w:eastAsia="Times New Roman" w:cs="Arial"/>
          <w:color w:val="000000"/>
          <w:szCs w:val="24"/>
          <w:lang w:val="it-IT" w:eastAsia="it-IT"/>
        </w:rPr>
        <w:tab/>
        <w:t>- a partire da fine 2025, inizio 2026</w:t>
      </w:r>
    </w:p>
    <w:p w:rsidR="004A0E75" w:rsidRPr="004A0E75" w:rsidRDefault="004A0E75" w:rsidP="004A0E75">
      <w:pPr>
        <w:jc w:val="left"/>
        <w:rPr>
          <w:rFonts w:eastAsia="Times New Roman" w:cs="Arial"/>
          <w:i/>
          <w:color w:val="000000"/>
          <w:szCs w:val="24"/>
          <w:lang w:val="it-IT" w:eastAsia="it-IT"/>
        </w:rPr>
      </w:pPr>
    </w:p>
    <w:p w:rsidR="004A0E75" w:rsidRDefault="004A0E75" w:rsidP="004A0E75">
      <w:pPr>
        <w:jc w:val="left"/>
        <w:rPr>
          <w:rFonts w:eastAsia="Times New Roman" w:cs="Arial"/>
          <w:i/>
          <w:color w:val="000000"/>
          <w:szCs w:val="24"/>
          <w:lang w:val="it-IT" w:eastAsia="it-IT"/>
        </w:rPr>
      </w:pPr>
    </w:p>
    <w:p w:rsidR="007564CF" w:rsidRPr="004A0E75" w:rsidRDefault="007564CF" w:rsidP="004A0E75">
      <w:pPr>
        <w:jc w:val="left"/>
        <w:rPr>
          <w:rFonts w:eastAsia="Times New Roman" w:cs="Arial"/>
          <w:i/>
          <w:color w:val="000000"/>
          <w:szCs w:val="24"/>
          <w:lang w:val="it-IT" w:eastAsia="it-IT"/>
        </w:rPr>
      </w:pPr>
    </w:p>
    <w:p w:rsidR="004A0E75" w:rsidRPr="004A0E75" w:rsidRDefault="004A0E75" w:rsidP="007564CF">
      <w:pPr>
        <w:keepNext/>
        <w:tabs>
          <w:tab w:val="left" w:pos="567"/>
        </w:tabs>
        <w:spacing w:after="120"/>
        <w:outlineLvl w:val="0"/>
        <w:rPr>
          <w:rFonts w:eastAsia="Times New Roman" w:cs="Arial"/>
          <w:b/>
          <w:caps/>
          <w:color w:val="000000"/>
          <w:szCs w:val="24"/>
          <w:lang w:val="it-IT" w:eastAsia="it-IT"/>
        </w:rPr>
      </w:pPr>
      <w:r w:rsidRPr="004A0E75">
        <w:rPr>
          <w:rFonts w:eastAsia="Times New Roman" w:cs="Arial"/>
          <w:b/>
          <w:caps/>
          <w:color w:val="000000"/>
          <w:szCs w:val="24"/>
          <w:lang w:val="it-IT" w:eastAsia="it-IT"/>
        </w:rPr>
        <w:t>9.</w:t>
      </w:r>
      <w:r w:rsidRPr="004A0E75">
        <w:rPr>
          <w:rFonts w:eastAsia="Times New Roman" w:cs="Arial"/>
          <w:b/>
          <w:caps/>
          <w:color w:val="000000"/>
          <w:szCs w:val="24"/>
          <w:lang w:val="it-IT" w:eastAsia="it-IT"/>
        </w:rPr>
        <w:tab/>
        <w:t xml:space="preserve">CONCLUSIONE </w:t>
      </w:r>
    </w:p>
    <w:p w:rsidR="004A0E75" w:rsidRDefault="004A0E75" w:rsidP="007564CF">
      <w:pPr>
        <w:autoSpaceDE w:val="0"/>
        <w:autoSpaceDN w:val="0"/>
        <w:adjustRightInd w:val="0"/>
        <w:rPr>
          <w:rFonts w:eastAsia="Times New Roman" w:cs="Arial"/>
          <w:color w:val="000000"/>
          <w:szCs w:val="24"/>
          <w:lang w:val="it-IT" w:eastAsia="it-IT"/>
        </w:rPr>
      </w:pPr>
      <w:r w:rsidRPr="004A0E75">
        <w:rPr>
          <w:rFonts w:eastAsia="Times New Roman" w:cs="Arial"/>
          <w:color w:val="000000"/>
          <w:szCs w:val="24"/>
          <w:lang w:val="it-IT" w:eastAsia="it-IT"/>
        </w:rPr>
        <w:t>La storica decisione di stabilire la sede del Tribunale penale federale nella Svizzera italiana è frutto di vari atti quali la Convenzione tra Confederazione e Canton Ticino concernente l’installazione provvisoria e il funzionamento del Tribunale penale federale a Bellinzona del 13/16/23 giugno 2003, la Dichiarazione comune d’intenti tra il Consiglio federale e il Consiglio di Stato concernente la partecipazione finanziaria del Canton Ticino alla costruzione del Tribunale penale federale di Bellinzona del 16/19 dicembre 2003 e la Convenzione di principio tra la Confederazione e il Canton Ticino concernente il Tribunale penale federale di Bellinzona del 30 novembre 2006/21 dicembre 2006 che qui si chiede di ratificare formalmente nel suo complesso.</w:t>
      </w:r>
    </w:p>
    <w:p w:rsidR="007564CF" w:rsidRPr="004A0E75" w:rsidRDefault="007564CF" w:rsidP="007564CF">
      <w:pPr>
        <w:autoSpaceDE w:val="0"/>
        <w:autoSpaceDN w:val="0"/>
        <w:adjustRightInd w:val="0"/>
        <w:rPr>
          <w:rFonts w:eastAsia="Times New Roman" w:cs="Arial"/>
          <w:color w:val="000000"/>
          <w:szCs w:val="24"/>
          <w:lang w:val="it-IT" w:eastAsia="it-IT"/>
        </w:rPr>
      </w:pPr>
    </w:p>
    <w:p w:rsidR="004A0E75" w:rsidRPr="004A0E75" w:rsidRDefault="004A0E75" w:rsidP="007564CF">
      <w:pPr>
        <w:autoSpaceDE w:val="0"/>
        <w:autoSpaceDN w:val="0"/>
        <w:adjustRightInd w:val="0"/>
        <w:rPr>
          <w:rFonts w:eastAsia="Times New Roman" w:cs="Arial"/>
          <w:color w:val="000000"/>
          <w:szCs w:val="24"/>
          <w:lang w:val="it-IT" w:eastAsia="it-IT"/>
        </w:rPr>
      </w:pPr>
      <w:r w:rsidRPr="004A0E75">
        <w:rPr>
          <w:rFonts w:eastAsia="Times New Roman" w:cs="Arial"/>
          <w:color w:val="000000"/>
          <w:szCs w:val="24"/>
          <w:lang w:val="it-IT" w:eastAsia="it-IT"/>
        </w:rPr>
        <w:t>La Commissione propone di approvare il messaggio in oggetto che aggiorna il progetto alle mutate esigenze del Tribunale penale federa</w:t>
      </w:r>
      <w:r w:rsidR="007564CF">
        <w:rPr>
          <w:rFonts w:eastAsia="Times New Roman" w:cs="Arial"/>
          <w:color w:val="000000"/>
          <w:szCs w:val="24"/>
          <w:lang w:val="it-IT" w:eastAsia="it-IT"/>
        </w:rPr>
        <w:t>le e che permetterà al C</w:t>
      </w:r>
      <w:r w:rsidRPr="004A0E75">
        <w:rPr>
          <w:rFonts w:eastAsia="Times New Roman" w:cs="Arial"/>
          <w:color w:val="000000"/>
          <w:szCs w:val="24"/>
          <w:lang w:val="it-IT" w:eastAsia="it-IT"/>
        </w:rPr>
        <w:t>anton Ticino di rispettare gli accordi presi e mettere questa prestigiosa istituzione federale nelle migliori condizioni di poter operare.</w:t>
      </w:r>
    </w:p>
    <w:p w:rsidR="00B860C2" w:rsidRDefault="00B860C2" w:rsidP="00B860C2">
      <w:pPr>
        <w:rPr>
          <w:rFonts w:cs="Arial"/>
          <w:szCs w:val="24"/>
        </w:rPr>
      </w:pPr>
    </w:p>
    <w:p w:rsidR="00B860C2" w:rsidRDefault="00B860C2" w:rsidP="00B860C2">
      <w:bookmarkStart w:id="1" w:name="_Toc532286235"/>
    </w:p>
    <w:p w:rsidR="00B860C2" w:rsidRDefault="00B860C2" w:rsidP="00B860C2"/>
    <w:bookmarkEnd w:id="1"/>
    <w:p w:rsidR="00B860C2" w:rsidRPr="007564CF" w:rsidRDefault="00B860C2" w:rsidP="00B860C2">
      <w:pPr>
        <w:spacing w:after="120"/>
        <w:rPr>
          <w:rFonts w:cs="Arial"/>
          <w:szCs w:val="24"/>
        </w:rPr>
      </w:pPr>
      <w:r w:rsidRPr="007564CF">
        <w:rPr>
          <w:rFonts w:cs="Arial"/>
          <w:szCs w:val="24"/>
        </w:rPr>
        <w:t>Per la Commissione gestione e finanze:</w:t>
      </w:r>
    </w:p>
    <w:p w:rsidR="00B860C2" w:rsidRPr="00076E70" w:rsidRDefault="004A0E75" w:rsidP="00B860C2">
      <w:pPr>
        <w:rPr>
          <w:rFonts w:cs="Arial"/>
          <w:szCs w:val="24"/>
        </w:rPr>
      </w:pPr>
      <w:r>
        <w:rPr>
          <w:rFonts w:cs="Arial"/>
          <w:szCs w:val="24"/>
        </w:rPr>
        <w:t>Bixio Caprara</w:t>
      </w:r>
      <w:r w:rsidR="00B860C2" w:rsidRPr="00076E70">
        <w:rPr>
          <w:rFonts w:cs="Arial"/>
          <w:szCs w:val="24"/>
        </w:rPr>
        <w:t>, relatore</w:t>
      </w:r>
    </w:p>
    <w:p w:rsidR="002E749F" w:rsidRDefault="002E749F" w:rsidP="002E749F">
      <w:pPr>
        <w:rPr>
          <w:rFonts w:cs="Arial"/>
        </w:rPr>
      </w:pPr>
      <w:r w:rsidRPr="002E749F">
        <w:rPr>
          <w:rFonts w:cs="Arial"/>
        </w:rPr>
        <w:t xml:space="preserve">Agustoni - Biscossa - Bourgoin - Caverzasio </w:t>
      </w:r>
      <w:r>
        <w:rPr>
          <w:rFonts w:cs="Arial"/>
        </w:rPr>
        <w:t>-</w:t>
      </w:r>
      <w:r w:rsidRPr="002E749F">
        <w:rPr>
          <w:rFonts w:cs="Arial"/>
        </w:rPr>
        <w:t xml:space="preserve"> </w:t>
      </w:r>
    </w:p>
    <w:p w:rsidR="002E749F" w:rsidRPr="002E749F" w:rsidRDefault="002E749F" w:rsidP="002E749F">
      <w:pPr>
        <w:rPr>
          <w:rFonts w:cs="Arial"/>
        </w:rPr>
      </w:pPr>
      <w:r>
        <w:rPr>
          <w:rFonts w:cs="Arial"/>
        </w:rPr>
        <w:t xml:space="preserve">Dadò - </w:t>
      </w:r>
      <w:r w:rsidRPr="002E749F">
        <w:rPr>
          <w:rFonts w:cs="Arial"/>
        </w:rPr>
        <w:t xml:space="preserve">Gianella Alessandra - Guerra </w:t>
      </w:r>
      <w:r w:rsidR="003145B1">
        <w:rPr>
          <w:rFonts w:cs="Arial"/>
        </w:rPr>
        <w:t>-</w:t>
      </w:r>
      <w:r w:rsidRPr="002E749F">
        <w:rPr>
          <w:rFonts w:cs="Arial"/>
        </w:rPr>
        <w:t xml:space="preserve"> </w:t>
      </w:r>
      <w:r w:rsidR="003145B1" w:rsidRPr="002E749F">
        <w:rPr>
          <w:rFonts w:cs="Arial"/>
        </w:rPr>
        <w:t>Jelmini</w:t>
      </w:r>
      <w:r w:rsidR="003145B1">
        <w:rPr>
          <w:rFonts w:cs="Arial"/>
        </w:rPr>
        <w:t xml:space="preserve"> -</w:t>
      </w:r>
    </w:p>
    <w:p w:rsidR="004A0E75" w:rsidRPr="004A0E75" w:rsidRDefault="002E749F" w:rsidP="002E749F">
      <w:pPr>
        <w:rPr>
          <w:rFonts w:cs="Arial"/>
        </w:rPr>
      </w:pPr>
      <w:r w:rsidRPr="002E749F">
        <w:rPr>
          <w:rFonts w:cs="Arial"/>
        </w:rPr>
        <w:t>Maderni - Pamini - Quadranti - Sirica</w:t>
      </w:r>
    </w:p>
    <w:sectPr w:rsidR="004A0E75" w:rsidRPr="004A0E75" w:rsidSect="008B4137">
      <w:footerReference w:type="default" r:id="rId14"/>
      <w:pgSz w:w="11906" w:h="16838"/>
      <w:pgMar w:top="1418"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0E75" w:rsidRDefault="004A0E75" w:rsidP="008E77C6">
      <w:r>
        <w:separator/>
      </w:r>
    </w:p>
  </w:endnote>
  <w:endnote w:type="continuationSeparator" w:id="0">
    <w:p w:rsidR="004A0E75" w:rsidRDefault="004A0E75" w:rsidP="008E7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72 Light">
    <w:panose1 w:val="020B0303030000000003"/>
    <w:charset w:val="00"/>
    <w:family w:val="swiss"/>
    <w:pitch w:val="variable"/>
    <w:sig w:usb0="A00002EF" w:usb1="5000205B" w:usb2="00000008" w:usb3="00000000" w:csb0="000000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77C6" w:rsidRPr="008E77C6" w:rsidRDefault="008E77C6">
    <w:pPr>
      <w:pStyle w:val="Pidipagina"/>
      <w:jc w:val="center"/>
      <w:rPr>
        <w:sz w:val="20"/>
        <w:szCs w:val="20"/>
      </w:rPr>
    </w:pPr>
    <w:r w:rsidRPr="008E77C6">
      <w:rPr>
        <w:sz w:val="20"/>
        <w:szCs w:val="20"/>
      </w:rPr>
      <w:fldChar w:fldCharType="begin"/>
    </w:r>
    <w:r w:rsidRPr="008E77C6">
      <w:rPr>
        <w:sz w:val="20"/>
        <w:szCs w:val="20"/>
      </w:rPr>
      <w:instrText>PAGE   \* MERGEFORMAT</w:instrText>
    </w:r>
    <w:r w:rsidRPr="008E77C6">
      <w:rPr>
        <w:sz w:val="20"/>
        <w:szCs w:val="20"/>
      </w:rPr>
      <w:fldChar w:fldCharType="separate"/>
    </w:r>
    <w:r w:rsidR="004C634F" w:rsidRPr="004C634F">
      <w:rPr>
        <w:noProof/>
        <w:sz w:val="20"/>
        <w:szCs w:val="20"/>
        <w:lang w:val="it-IT"/>
      </w:rPr>
      <w:t>2</w:t>
    </w:r>
    <w:r w:rsidRPr="008E77C6">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0E75" w:rsidRDefault="004A0E75" w:rsidP="008E77C6">
      <w:r>
        <w:separator/>
      </w:r>
    </w:p>
  </w:footnote>
  <w:footnote w:type="continuationSeparator" w:id="0">
    <w:p w:rsidR="004A0E75" w:rsidRDefault="004A0E75" w:rsidP="008E77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CA4290"/>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D355C0C"/>
    <w:multiLevelType w:val="hybridMultilevel"/>
    <w:tmpl w:val="1F8A3B46"/>
    <w:lvl w:ilvl="0" w:tplc="3FBC9440">
      <w:start w:val="1"/>
      <w:numFmt w:val="decimal"/>
      <w:lvlText w:val="%1."/>
      <w:lvlJc w:val="left"/>
      <w:pPr>
        <w:ind w:left="927" w:hanging="360"/>
      </w:pPr>
      <w:rPr>
        <w:rFonts w:hint="default"/>
      </w:rPr>
    </w:lvl>
    <w:lvl w:ilvl="1" w:tplc="08100019" w:tentative="1">
      <w:start w:val="1"/>
      <w:numFmt w:val="lowerLetter"/>
      <w:lvlText w:val="%2."/>
      <w:lvlJc w:val="left"/>
      <w:pPr>
        <w:ind w:left="1647" w:hanging="360"/>
      </w:pPr>
    </w:lvl>
    <w:lvl w:ilvl="2" w:tplc="0810001B" w:tentative="1">
      <w:start w:val="1"/>
      <w:numFmt w:val="lowerRoman"/>
      <w:lvlText w:val="%3."/>
      <w:lvlJc w:val="right"/>
      <w:pPr>
        <w:ind w:left="2367" w:hanging="180"/>
      </w:pPr>
    </w:lvl>
    <w:lvl w:ilvl="3" w:tplc="0810000F" w:tentative="1">
      <w:start w:val="1"/>
      <w:numFmt w:val="decimal"/>
      <w:lvlText w:val="%4."/>
      <w:lvlJc w:val="left"/>
      <w:pPr>
        <w:ind w:left="3087" w:hanging="360"/>
      </w:pPr>
    </w:lvl>
    <w:lvl w:ilvl="4" w:tplc="08100019" w:tentative="1">
      <w:start w:val="1"/>
      <w:numFmt w:val="lowerLetter"/>
      <w:lvlText w:val="%5."/>
      <w:lvlJc w:val="left"/>
      <w:pPr>
        <w:ind w:left="3807" w:hanging="360"/>
      </w:pPr>
    </w:lvl>
    <w:lvl w:ilvl="5" w:tplc="0810001B" w:tentative="1">
      <w:start w:val="1"/>
      <w:numFmt w:val="lowerRoman"/>
      <w:lvlText w:val="%6."/>
      <w:lvlJc w:val="right"/>
      <w:pPr>
        <w:ind w:left="4527" w:hanging="180"/>
      </w:pPr>
    </w:lvl>
    <w:lvl w:ilvl="6" w:tplc="0810000F" w:tentative="1">
      <w:start w:val="1"/>
      <w:numFmt w:val="decimal"/>
      <w:lvlText w:val="%7."/>
      <w:lvlJc w:val="left"/>
      <w:pPr>
        <w:ind w:left="5247" w:hanging="360"/>
      </w:pPr>
    </w:lvl>
    <w:lvl w:ilvl="7" w:tplc="08100019" w:tentative="1">
      <w:start w:val="1"/>
      <w:numFmt w:val="lowerLetter"/>
      <w:lvlText w:val="%8."/>
      <w:lvlJc w:val="left"/>
      <w:pPr>
        <w:ind w:left="5967" w:hanging="360"/>
      </w:pPr>
    </w:lvl>
    <w:lvl w:ilvl="8" w:tplc="0810001B" w:tentative="1">
      <w:start w:val="1"/>
      <w:numFmt w:val="lowerRoman"/>
      <w:lvlText w:val="%9."/>
      <w:lvlJc w:val="right"/>
      <w:pPr>
        <w:ind w:left="6687" w:hanging="180"/>
      </w:pPr>
    </w:lvl>
  </w:abstractNum>
  <w:abstractNum w:abstractNumId="2" w15:restartNumberingAfterBreak="0">
    <w:nsid w:val="0E3410DA"/>
    <w:multiLevelType w:val="hybridMultilevel"/>
    <w:tmpl w:val="250CA5DC"/>
    <w:lvl w:ilvl="0" w:tplc="51965D3C">
      <w:start w:val="7"/>
      <w:numFmt w:val="decimal"/>
      <w:lvlText w:val="%1."/>
      <w:lvlJc w:val="left"/>
      <w:pPr>
        <w:ind w:left="927" w:hanging="360"/>
      </w:pPr>
      <w:rPr>
        <w:rFonts w:eastAsia="Calibri" w:cs="Times New Roman" w:hint="default"/>
        <w:color w:val="auto"/>
      </w:rPr>
    </w:lvl>
    <w:lvl w:ilvl="1" w:tplc="08100019" w:tentative="1">
      <w:start w:val="1"/>
      <w:numFmt w:val="lowerLetter"/>
      <w:lvlText w:val="%2."/>
      <w:lvlJc w:val="left"/>
      <w:pPr>
        <w:ind w:left="1647" w:hanging="360"/>
      </w:pPr>
    </w:lvl>
    <w:lvl w:ilvl="2" w:tplc="0810001B" w:tentative="1">
      <w:start w:val="1"/>
      <w:numFmt w:val="lowerRoman"/>
      <w:lvlText w:val="%3."/>
      <w:lvlJc w:val="right"/>
      <w:pPr>
        <w:ind w:left="2367" w:hanging="180"/>
      </w:pPr>
    </w:lvl>
    <w:lvl w:ilvl="3" w:tplc="0810000F" w:tentative="1">
      <w:start w:val="1"/>
      <w:numFmt w:val="decimal"/>
      <w:lvlText w:val="%4."/>
      <w:lvlJc w:val="left"/>
      <w:pPr>
        <w:ind w:left="3087" w:hanging="360"/>
      </w:pPr>
    </w:lvl>
    <w:lvl w:ilvl="4" w:tplc="08100019" w:tentative="1">
      <w:start w:val="1"/>
      <w:numFmt w:val="lowerLetter"/>
      <w:lvlText w:val="%5."/>
      <w:lvlJc w:val="left"/>
      <w:pPr>
        <w:ind w:left="3807" w:hanging="360"/>
      </w:pPr>
    </w:lvl>
    <w:lvl w:ilvl="5" w:tplc="0810001B" w:tentative="1">
      <w:start w:val="1"/>
      <w:numFmt w:val="lowerRoman"/>
      <w:lvlText w:val="%6."/>
      <w:lvlJc w:val="right"/>
      <w:pPr>
        <w:ind w:left="4527" w:hanging="180"/>
      </w:pPr>
    </w:lvl>
    <w:lvl w:ilvl="6" w:tplc="0810000F" w:tentative="1">
      <w:start w:val="1"/>
      <w:numFmt w:val="decimal"/>
      <w:lvlText w:val="%7."/>
      <w:lvlJc w:val="left"/>
      <w:pPr>
        <w:ind w:left="5247" w:hanging="360"/>
      </w:pPr>
    </w:lvl>
    <w:lvl w:ilvl="7" w:tplc="08100019" w:tentative="1">
      <w:start w:val="1"/>
      <w:numFmt w:val="lowerLetter"/>
      <w:lvlText w:val="%8."/>
      <w:lvlJc w:val="left"/>
      <w:pPr>
        <w:ind w:left="5967" w:hanging="360"/>
      </w:pPr>
    </w:lvl>
    <w:lvl w:ilvl="8" w:tplc="0810001B" w:tentative="1">
      <w:start w:val="1"/>
      <w:numFmt w:val="lowerRoman"/>
      <w:lvlText w:val="%9."/>
      <w:lvlJc w:val="right"/>
      <w:pPr>
        <w:ind w:left="6687" w:hanging="180"/>
      </w:pPr>
    </w:lvl>
  </w:abstractNum>
  <w:abstractNum w:abstractNumId="3" w15:restartNumberingAfterBreak="0">
    <w:nsid w:val="14106374"/>
    <w:multiLevelType w:val="hybridMultilevel"/>
    <w:tmpl w:val="CC66F600"/>
    <w:lvl w:ilvl="0" w:tplc="F7367C8A">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4" w15:restartNumberingAfterBreak="0">
    <w:nsid w:val="15A916B4"/>
    <w:multiLevelType w:val="hybridMultilevel"/>
    <w:tmpl w:val="71241184"/>
    <w:lvl w:ilvl="0" w:tplc="3996A1A0">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5" w15:restartNumberingAfterBreak="0">
    <w:nsid w:val="1BBD5715"/>
    <w:multiLevelType w:val="hybridMultilevel"/>
    <w:tmpl w:val="BC605052"/>
    <w:lvl w:ilvl="0" w:tplc="E98C4C82">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6" w15:restartNumberingAfterBreak="0">
    <w:nsid w:val="1BF42772"/>
    <w:multiLevelType w:val="hybridMultilevel"/>
    <w:tmpl w:val="FE3AB5D8"/>
    <w:lvl w:ilvl="0" w:tplc="59C8C05C">
      <w:numFmt w:val="bullet"/>
      <w:lvlText w:val="-"/>
      <w:lvlJc w:val="left"/>
      <w:pPr>
        <w:ind w:left="720" w:hanging="360"/>
      </w:pPr>
      <w:rPr>
        <w:rFonts w:ascii="Arial" w:eastAsia="Times New Roman" w:hAnsi="Arial" w:cs="Arial" w:hint="default"/>
      </w:rPr>
    </w:lvl>
    <w:lvl w:ilvl="1" w:tplc="08100003">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7" w15:restartNumberingAfterBreak="0">
    <w:nsid w:val="1F2453EC"/>
    <w:multiLevelType w:val="hybridMultilevel"/>
    <w:tmpl w:val="BBE02A84"/>
    <w:lvl w:ilvl="0" w:tplc="8988A65E">
      <w:start w:val="1"/>
      <w:numFmt w:val="bullet"/>
      <w:lvlText w:val="-"/>
      <w:lvlJc w:val="left"/>
      <w:pPr>
        <w:ind w:left="720" w:hanging="360"/>
      </w:pPr>
      <w:rPr>
        <w:rFonts w:ascii="Arial" w:hAnsi="Arial" w:hint="default"/>
      </w:rPr>
    </w:lvl>
    <w:lvl w:ilvl="1" w:tplc="8988A65E">
      <w:start w:val="1"/>
      <w:numFmt w:val="bullet"/>
      <w:lvlText w:val="-"/>
      <w:lvlJc w:val="left"/>
      <w:pPr>
        <w:ind w:left="1440" w:hanging="360"/>
      </w:pPr>
      <w:rPr>
        <w:rFonts w:ascii="Arial" w:hAnsi="Arial"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8" w15:restartNumberingAfterBreak="0">
    <w:nsid w:val="44901A79"/>
    <w:multiLevelType w:val="hybridMultilevel"/>
    <w:tmpl w:val="9F786C86"/>
    <w:lvl w:ilvl="0" w:tplc="3996A1A0">
      <w:numFmt w:val="bullet"/>
      <w:lvlText w:val="-"/>
      <w:lvlJc w:val="left"/>
      <w:pPr>
        <w:ind w:left="720" w:hanging="360"/>
      </w:pPr>
      <w:rPr>
        <w:rFonts w:ascii="Arial" w:eastAsia="Times New Roman" w:hAnsi="Arial" w:cs="Arial" w:hint="default"/>
      </w:rPr>
    </w:lvl>
    <w:lvl w:ilvl="1" w:tplc="AAA05160">
      <w:numFmt w:val="bullet"/>
      <w:lvlText w:val="−"/>
      <w:lvlJc w:val="left"/>
      <w:pPr>
        <w:ind w:left="1440" w:hanging="360"/>
      </w:pPr>
      <w:rPr>
        <w:rFonts w:ascii="Arial" w:eastAsia="Times New Roman" w:hAnsi="Arial" w:cs="Arial"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9" w15:restartNumberingAfterBreak="0">
    <w:nsid w:val="554E66A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67A4E09"/>
    <w:multiLevelType w:val="hybridMultilevel"/>
    <w:tmpl w:val="C6B80046"/>
    <w:lvl w:ilvl="0" w:tplc="ED7A1F94">
      <w:start w:val="1"/>
      <w:numFmt w:val="bullet"/>
      <w:lvlText w:val="-"/>
      <w:lvlJc w:val="left"/>
      <w:pPr>
        <w:ind w:left="360" w:hanging="360"/>
      </w:pPr>
      <w:rPr>
        <w:rFonts w:ascii="72 Light" w:hAnsi="72 Light" w:hint="default"/>
      </w:rPr>
    </w:lvl>
    <w:lvl w:ilvl="1" w:tplc="08100003" w:tentative="1">
      <w:start w:val="1"/>
      <w:numFmt w:val="bullet"/>
      <w:lvlText w:val="o"/>
      <w:lvlJc w:val="left"/>
      <w:pPr>
        <w:ind w:left="1080" w:hanging="360"/>
      </w:pPr>
      <w:rPr>
        <w:rFonts w:ascii="Courier New" w:hAnsi="Courier New" w:cs="Courier New" w:hint="default"/>
      </w:rPr>
    </w:lvl>
    <w:lvl w:ilvl="2" w:tplc="08100005" w:tentative="1">
      <w:start w:val="1"/>
      <w:numFmt w:val="bullet"/>
      <w:lvlText w:val=""/>
      <w:lvlJc w:val="left"/>
      <w:pPr>
        <w:ind w:left="1800" w:hanging="360"/>
      </w:pPr>
      <w:rPr>
        <w:rFonts w:ascii="Wingdings" w:hAnsi="Wingdings" w:hint="default"/>
      </w:rPr>
    </w:lvl>
    <w:lvl w:ilvl="3" w:tplc="08100001" w:tentative="1">
      <w:start w:val="1"/>
      <w:numFmt w:val="bullet"/>
      <w:lvlText w:val=""/>
      <w:lvlJc w:val="left"/>
      <w:pPr>
        <w:ind w:left="2520" w:hanging="360"/>
      </w:pPr>
      <w:rPr>
        <w:rFonts w:ascii="Symbol" w:hAnsi="Symbol" w:hint="default"/>
      </w:rPr>
    </w:lvl>
    <w:lvl w:ilvl="4" w:tplc="08100003" w:tentative="1">
      <w:start w:val="1"/>
      <w:numFmt w:val="bullet"/>
      <w:lvlText w:val="o"/>
      <w:lvlJc w:val="left"/>
      <w:pPr>
        <w:ind w:left="3240" w:hanging="360"/>
      </w:pPr>
      <w:rPr>
        <w:rFonts w:ascii="Courier New" w:hAnsi="Courier New" w:cs="Courier New" w:hint="default"/>
      </w:rPr>
    </w:lvl>
    <w:lvl w:ilvl="5" w:tplc="08100005" w:tentative="1">
      <w:start w:val="1"/>
      <w:numFmt w:val="bullet"/>
      <w:lvlText w:val=""/>
      <w:lvlJc w:val="left"/>
      <w:pPr>
        <w:ind w:left="3960" w:hanging="360"/>
      </w:pPr>
      <w:rPr>
        <w:rFonts w:ascii="Wingdings" w:hAnsi="Wingdings" w:hint="default"/>
      </w:rPr>
    </w:lvl>
    <w:lvl w:ilvl="6" w:tplc="08100001" w:tentative="1">
      <w:start w:val="1"/>
      <w:numFmt w:val="bullet"/>
      <w:lvlText w:val=""/>
      <w:lvlJc w:val="left"/>
      <w:pPr>
        <w:ind w:left="4680" w:hanging="360"/>
      </w:pPr>
      <w:rPr>
        <w:rFonts w:ascii="Symbol" w:hAnsi="Symbol" w:hint="default"/>
      </w:rPr>
    </w:lvl>
    <w:lvl w:ilvl="7" w:tplc="08100003" w:tentative="1">
      <w:start w:val="1"/>
      <w:numFmt w:val="bullet"/>
      <w:lvlText w:val="o"/>
      <w:lvlJc w:val="left"/>
      <w:pPr>
        <w:ind w:left="5400" w:hanging="360"/>
      </w:pPr>
      <w:rPr>
        <w:rFonts w:ascii="Courier New" w:hAnsi="Courier New" w:cs="Courier New" w:hint="default"/>
      </w:rPr>
    </w:lvl>
    <w:lvl w:ilvl="8" w:tplc="08100005" w:tentative="1">
      <w:start w:val="1"/>
      <w:numFmt w:val="bullet"/>
      <w:lvlText w:val=""/>
      <w:lvlJc w:val="left"/>
      <w:pPr>
        <w:ind w:left="6120" w:hanging="360"/>
      </w:pPr>
      <w:rPr>
        <w:rFonts w:ascii="Wingdings" w:hAnsi="Wingdings" w:hint="default"/>
      </w:rPr>
    </w:lvl>
  </w:abstractNum>
  <w:abstractNum w:abstractNumId="11" w15:restartNumberingAfterBreak="0">
    <w:nsid w:val="5FD82500"/>
    <w:multiLevelType w:val="hybridMultilevel"/>
    <w:tmpl w:val="714E5212"/>
    <w:lvl w:ilvl="0" w:tplc="0E645AA4">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2" w15:restartNumberingAfterBreak="0">
    <w:nsid w:val="65AF2720"/>
    <w:multiLevelType w:val="multilevel"/>
    <w:tmpl w:val="417CA574"/>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A1F66EE"/>
    <w:multiLevelType w:val="hybridMultilevel"/>
    <w:tmpl w:val="2556DA38"/>
    <w:lvl w:ilvl="0" w:tplc="3996A1A0">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4" w15:restartNumberingAfterBreak="0">
    <w:nsid w:val="6AC26B62"/>
    <w:multiLevelType w:val="multilevel"/>
    <w:tmpl w:val="0810001D"/>
    <w:styleLink w:val="Stile1"/>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360" w:hanging="360"/>
      </w:pPr>
    </w:lvl>
    <w:lvl w:ilvl="3">
      <w:start w:val="1"/>
      <w:numFmt w:val="decimal"/>
      <w:lvlText w:val="(%4)"/>
      <w:lvlJc w:val="left"/>
      <w:pPr>
        <w:ind w:left="36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6D60467E"/>
    <w:multiLevelType w:val="hybridMultilevel"/>
    <w:tmpl w:val="10A0073E"/>
    <w:lvl w:ilvl="0" w:tplc="08100005">
      <w:start w:val="1"/>
      <w:numFmt w:val="bullet"/>
      <w:lvlText w:val=""/>
      <w:lvlJc w:val="left"/>
      <w:pPr>
        <w:ind w:left="720" w:hanging="360"/>
      </w:pPr>
      <w:rPr>
        <w:rFonts w:ascii="Wingdings" w:hAnsi="Wingdings"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6" w15:restartNumberingAfterBreak="0">
    <w:nsid w:val="6E2E1AC6"/>
    <w:multiLevelType w:val="hybridMultilevel"/>
    <w:tmpl w:val="B518D780"/>
    <w:lvl w:ilvl="0" w:tplc="F0685770">
      <w:start w:val="6"/>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7" w15:restartNumberingAfterBreak="0">
    <w:nsid w:val="6E3B1B44"/>
    <w:multiLevelType w:val="hybridMultilevel"/>
    <w:tmpl w:val="7AC8DFF4"/>
    <w:lvl w:ilvl="0" w:tplc="ED7A1F94">
      <w:start w:val="1"/>
      <w:numFmt w:val="bullet"/>
      <w:lvlText w:val="-"/>
      <w:lvlJc w:val="left"/>
      <w:pPr>
        <w:ind w:left="360" w:hanging="360"/>
      </w:pPr>
      <w:rPr>
        <w:rFonts w:ascii="72 Light" w:hAnsi="72 Light" w:hint="default"/>
      </w:rPr>
    </w:lvl>
    <w:lvl w:ilvl="1" w:tplc="08100003" w:tentative="1">
      <w:start w:val="1"/>
      <w:numFmt w:val="bullet"/>
      <w:lvlText w:val="o"/>
      <w:lvlJc w:val="left"/>
      <w:pPr>
        <w:ind w:left="1080" w:hanging="360"/>
      </w:pPr>
      <w:rPr>
        <w:rFonts w:ascii="Courier New" w:hAnsi="Courier New" w:cs="Courier New" w:hint="default"/>
      </w:rPr>
    </w:lvl>
    <w:lvl w:ilvl="2" w:tplc="08100005" w:tentative="1">
      <w:start w:val="1"/>
      <w:numFmt w:val="bullet"/>
      <w:lvlText w:val=""/>
      <w:lvlJc w:val="left"/>
      <w:pPr>
        <w:ind w:left="1800" w:hanging="360"/>
      </w:pPr>
      <w:rPr>
        <w:rFonts w:ascii="Wingdings" w:hAnsi="Wingdings" w:hint="default"/>
      </w:rPr>
    </w:lvl>
    <w:lvl w:ilvl="3" w:tplc="08100001" w:tentative="1">
      <w:start w:val="1"/>
      <w:numFmt w:val="bullet"/>
      <w:lvlText w:val=""/>
      <w:lvlJc w:val="left"/>
      <w:pPr>
        <w:ind w:left="2520" w:hanging="360"/>
      </w:pPr>
      <w:rPr>
        <w:rFonts w:ascii="Symbol" w:hAnsi="Symbol" w:hint="default"/>
      </w:rPr>
    </w:lvl>
    <w:lvl w:ilvl="4" w:tplc="08100003" w:tentative="1">
      <w:start w:val="1"/>
      <w:numFmt w:val="bullet"/>
      <w:lvlText w:val="o"/>
      <w:lvlJc w:val="left"/>
      <w:pPr>
        <w:ind w:left="3240" w:hanging="360"/>
      </w:pPr>
      <w:rPr>
        <w:rFonts w:ascii="Courier New" w:hAnsi="Courier New" w:cs="Courier New" w:hint="default"/>
      </w:rPr>
    </w:lvl>
    <w:lvl w:ilvl="5" w:tplc="08100005" w:tentative="1">
      <w:start w:val="1"/>
      <w:numFmt w:val="bullet"/>
      <w:lvlText w:val=""/>
      <w:lvlJc w:val="left"/>
      <w:pPr>
        <w:ind w:left="3960" w:hanging="360"/>
      </w:pPr>
      <w:rPr>
        <w:rFonts w:ascii="Wingdings" w:hAnsi="Wingdings" w:hint="default"/>
      </w:rPr>
    </w:lvl>
    <w:lvl w:ilvl="6" w:tplc="08100001" w:tentative="1">
      <w:start w:val="1"/>
      <w:numFmt w:val="bullet"/>
      <w:lvlText w:val=""/>
      <w:lvlJc w:val="left"/>
      <w:pPr>
        <w:ind w:left="4680" w:hanging="360"/>
      </w:pPr>
      <w:rPr>
        <w:rFonts w:ascii="Symbol" w:hAnsi="Symbol" w:hint="default"/>
      </w:rPr>
    </w:lvl>
    <w:lvl w:ilvl="7" w:tplc="08100003" w:tentative="1">
      <w:start w:val="1"/>
      <w:numFmt w:val="bullet"/>
      <w:lvlText w:val="o"/>
      <w:lvlJc w:val="left"/>
      <w:pPr>
        <w:ind w:left="5400" w:hanging="360"/>
      </w:pPr>
      <w:rPr>
        <w:rFonts w:ascii="Courier New" w:hAnsi="Courier New" w:cs="Courier New" w:hint="default"/>
      </w:rPr>
    </w:lvl>
    <w:lvl w:ilvl="8" w:tplc="08100005" w:tentative="1">
      <w:start w:val="1"/>
      <w:numFmt w:val="bullet"/>
      <w:lvlText w:val=""/>
      <w:lvlJc w:val="left"/>
      <w:pPr>
        <w:ind w:left="6120" w:hanging="360"/>
      </w:pPr>
      <w:rPr>
        <w:rFonts w:ascii="Wingdings" w:hAnsi="Wingdings" w:hint="default"/>
      </w:rPr>
    </w:lvl>
  </w:abstractNum>
  <w:abstractNum w:abstractNumId="18" w15:restartNumberingAfterBreak="0">
    <w:nsid w:val="71D41D0B"/>
    <w:multiLevelType w:val="multilevel"/>
    <w:tmpl w:val="08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2A623D6"/>
    <w:multiLevelType w:val="hybridMultilevel"/>
    <w:tmpl w:val="660A06E4"/>
    <w:lvl w:ilvl="0" w:tplc="0810000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20" w15:restartNumberingAfterBreak="0">
    <w:nsid w:val="73B54480"/>
    <w:multiLevelType w:val="hybridMultilevel"/>
    <w:tmpl w:val="4D1EDDE0"/>
    <w:lvl w:ilvl="0" w:tplc="0810000F">
      <w:start w:val="1"/>
      <w:numFmt w:val="decimal"/>
      <w:lvlText w:val="%1."/>
      <w:lvlJc w:val="left"/>
      <w:pPr>
        <w:ind w:left="720" w:hanging="360"/>
      </w:pPr>
      <w:rPr>
        <w:rFonts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1" w15:restartNumberingAfterBreak="0">
    <w:nsid w:val="77F718E1"/>
    <w:multiLevelType w:val="hybridMultilevel"/>
    <w:tmpl w:val="4F4203DC"/>
    <w:lvl w:ilvl="0" w:tplc="8D0A19FA">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22" w15:restartNumberingAfterBreak="0">
    <w:nsid w:val="7E07354D"/>
    <w:multiLevelType w:val="hybridMultilevel"/>
    <w:tmpl w:val="D8A4ACD8"/>
    <w:lvl w:ilvl="0" w:tplc="7C60D1D8">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num w:numId="1">
    <w:abstractNumId w:val="14"/>
  </w:num>
  <w:num w:numId="2">
    <w:abstractNumId w:val="14"/>
  </w:num>
  <w:num w:numId="3">
    <w:abstractNumId w:val="21"/>
  </w:num>
  <w:num w:numId="4">
    <w:abstractNumId w:val="1"/>
  </w:num>
  <w:num w:numId="5">
    <w:abstractNumId w:val="8"/>
  </w:num>
  <w:num w:numId="6">
    <w:abstractNumId w:val="0"/>
  </w:num>
  <w:num w:numId="7">
    <w:abstractNumId w:val="19"/>
  </w:num>
  <w:num w:numId="8">
    <w:abstractNumId w:val="4"/>
  </w:num>
  <w:num w:numId="9">
    <w:abstractNumId w:val="13"/>
  </w:num>
  <w:num w:numId="10">
    <w:abstractNumId w:val="9"/>
  </w:num>
  <w:num w:numId="11">
    <w:abstractNumId w:val="7"/>
  </w:num>
  <w:num w:numId="12">
    <w:abstractNumId w:val="6"/>
  </w:num>
  <w:num w:numId="13">
    <w:abstractNumId w:val="20"/>
  </w:num>
  <w:num w:numId="14">
    <w:abstractNumId w:val="15"/>
  </w:num>
  <w:num w:numId="15">
    <w:abstractNumId w:val="18"/>
  </w:num>
  <w:num w:numId="16">
    <w:abstractNumId w:val="17"/>
  </w:num>
  <w:num w:numId="17">
    <w:abstractNumId w:val="10"/>
  </w:num>
  <w:num w:numId="18">
    <w:abstractNumId w:val="16"/>
  </w:num>
  <w:num w:numId="19">
    <w:abstractNumId w:val="2"/>
  </w:num>
  <w:num w:numId="20">
    <w:abstractNumId w:val="12"/>
  </w:num>
  <w:num w:numId="21">
    <w:abstractNumId w:val="5"/>
  </w:num>
  <w:num w:numId="22">
    <w:abstractNumId w:val="11"/>
  </w:num>
  <w:num w:numId="23">
    <w:abstractNumId w:val="3"/>
  </w:num>
  <w:num w:numId="24">
    <w:abstractNumId w:val="3"/>
    <w:lvlOverride w:ilvl="0">
      <w:startOverride w:val="7"/>
    </w:lvlOverride>
  </w:num>
  <w:num w:numId="25">
    <w:abstractNumId w:val="22"/>
  </w:num>
  <w:num w:numId="26">
    <w:abstractNumId w:val="22"/>
    <w:lvlOverride w:ilvl="0">
      <w:startOverride w:val="7"/>
    </w:lvlOverride>
  </w:num>
  <w:num w:numId="27">
    <w:abstractNumId w:val="22"/>
    <w:lvlOverride w:ilvl="0">
      <w:startOverride w:val="7"/>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0E75"/>
    <w:rsid w:val="00010F17"/>
    <w:rsid w:val="00032201"/>
    <w:rsid w:val="00076E70"/>
    <w:rsid w:val="0009360A"/>
    <w:rsid w:val="000A4B9D"/>
    <w:rsid w:val="00116DE3"/>
    <w:rsid w:val="001574D7"/>
    <w:rsid w:val="00260C8C"/>
    <w:rsid w:val="002677DC"/>
    <w:rsid w:val="002E5E40"/>
    <w:rsid w:val="002E749F"/>
    <w:rsid w:val="003145B1"/>
    <w:rsid w:val="00372C9E"/>
    <w:rsid w:val="003A24AD"/>
    <w:rsid w:val="004343C8"/>
    <w:rsid w:val="004A0E75"/>
    <w:rsid w:val="004B00DE"/>
    <w:rsid w:val="004C634F"/>
    <w:rsid w:val="0052425A"/>
    <w:rsid w:val="00586A8D"/>
    <w:rsid w:val="005F4613"/>
    <w:rsid w:val="00626012"/>
    <w:rsid w:val="0068126C"/>
    <w:rsid w:val="006C17AA"/>
    <w:rsid w:val="006D7A3B"/>
    <w:rsid w:val="006E4AE2"/>
    <w:rsid w:val="00727623"/>
    <w:rsid w:val="007352D3"/>
    <w:rsid w:val="007564CF"/>
    <w:rsid w:val="007B5462"/>
    <w:rsid w:val="007C6FCC"/>
    <w:rsid w:val="008034BD"/>
    <w:rsid w:val="00827384"/>
    <w:rsid w:val="00876352"/>
    <w:rsid w:val="008821C1"/>
    <w:rsid w:val="008B2655"/>
    <w:rsid w:val="008B4137"/>
    <w:rsid w:val="008C767A"/>
    <w:rsid w:val="008D17F2"/>
    <w:rsid w:val="008E77C6"/>
    <w:rsid w:val="0090364F"/>
    <w:rsid w:val="00910FE9"/>
    <w:rsid w:val="0092771E"/>
    <w:rsid w:val="009770BB"/>
    <w:rsid w:val="009A3F2B"/>
    <w:rsid w:val="009E008D"/>
    <w:rsid w:val="009F6ABA"/>
    <w:rsid w:val="00A524E0"/>
    <w:rsid w:val="00A5465F"/>
    <w:rsid w:val="00A77678"/>
    <w:rsid w:val="00AB1826"/>
    <w:rsid w:val="00B26D83"/>
    <w:rsid w:val="00B812F1"/>
    <w:rsid w:val="00B860C2"/>
    <w:rsid w:val="00BC4C95"/>
    <w:rsid w:val="00BD5944"/>
    <w:rsid w:val="00C0152F"/>
    <w:rsid w:val="00C237FD"/>
    <w:rsid w:val="00CC59CF"/>
    <w:rsid w:val="00CF6858"/>
    <w:rsid w:val="00D3424F"/>
    <w:rsid w:val="00D377B5"/>
    <w:rsid w:val="00D93B31"/>
    <w:rsid w:val="00DB256D"/>
    <w:rsid w:val="00DD00D8"/>
    <w:rsid w:val="00DE5307"/>
    <w:rsid w:val="00E16C84"/>
    <w:rsid w:val="00E177F5"/>
    <w:rsid w:val="00E505DB"/>
    <w:rsid w:val="00E5507C"/>
    <w:rsid w:val="00E70EB1"/>
    <w:rsid w:val="00E765A9"/>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B13E2D-3954-454A-A0BC-94D7ED642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CH" w:eastAsia="it-C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76E70"/>
    <w:pPr>
      <w:jc w:val="both"/>
    </w:pPr>
    <w:rPr>
      <w:rFonts w:ascii="Arial" w:hAnsi="Arial"/>
      <w:sz w:val="24"/>
      <w:szCs w:val="22"/>
      <w:lang w:eastAsia="en-US"/>
    </w:rPr>
  </w:style>
  <w:style w:type="paragraph" w:styleId="Titolo1">
    <w:name w:val="heading 1"/>
    <w:basedOn w:val="Normale"/>
    <w:next w:val="Normale"/>
    <w:link w:val="Titolo1Carattere"/>
    <w:autoRedefine/>
    <w:qFormat/>
    <w:rsid w:val="00727623"/>
    <w:pPr>
      <w:keepNext/>
      <w:tabs>
        <w:tab w:val="left" w:pos="0"/>
        <w:tab w:val="left" w:pos="567"/>
      </w:tabs>
      <w:spacing w:after="120"/>
      <w:outlineLvl w:val="0"/>
    </w:pPr>
    <w:rPr>
      <w:b/>
      <w:caps/>
      <w:szCs w:val="24"/>
      <w:lang w:val="it-IT" w:eastAsia="it-IT"/>
    </w:rPr>
  </w:style>
  <w:style w:type="paragraph" w:styleId="Titolo2">
    <w:name w:val="heading 2"/>
    <w:basedOn w:val="Normale"/>
    <w:next w:val="Normale"/>
    <w:link w:val="Titolo2Carattere"/>
    <w:autoRedefine/>
    <w:qFormat/>
    <w:rsid w:val="006D7A3B"/>
    <w:pPr>
      <w:keepNext/>
      <w:tabs>
        <w:tab w:val="left" w:pos="567"/>
      </w:tabs>
      <w:spacing w:after="120"/>
      <w:outlineLvl w:val="1"/>
    </w:pPr>
    <w:rPr>
      <w:b/>
      <w:lang w:val="it-IT" w:eastAsia="it-IT"/>
    </w:rPr>
  </w:style>
  <w:style w:type="paragraph" w:styleId="Titolo3">
    <w:name w:val="heading 3"/>
    <w:basedOn w:val="Normale"/>
    <w:next w:val="Normale"/>
    <w:link w:val="Titolo3Carattere"/>
    <w:autoRedefine/>
    <w:qFormat/>
    <w:rsid w:val="00E16C84"/>
    <w:pPr>
      <w:keepNext/>
      <w:tabs>
        <w:tab w:val="left" w:pos="709"/>
      </w:tabs>
      <w:spacing w:before="120" w:after="120"/>
      <w:outlineLvl w:val="2"/>
    </w:pPr>
    <w:rPr>
      <w:b/>
      <w:i/>
      <w:sz w:val="23"/>
      <w:szCs w:val="23"/>
      <w:lang w:val="it-IT" w:eastAsia="it-IT"/>
    </w:rPr>
  </w:style>
  <w:style w:type="paragraph" w:styleId="Titolo4">
    <w:name w:val="heading 4"/>
    <w:basedOn w:val="Normale"/>
    <w:next w:val="Normale"/>
    <w:link w:val="Titolo4Carattere"/>
    <w:uiPriority w:val="9"/>
    <w:unhideWhenUsed/>
    <w:qFormat/>
    <w:rsid w:val="00076E70"/>
    <w:pPr>
      <w:keepNext/>
      <w:keepLines/>
      <w:spacing w:before="120" w:after="120"/>
      <w:outlineLvl w:val="3"/>
    </w:pPr>
    <w:rPr>
      <w:rFonts w:eastAsia="Times New Roman"/>
      <w:b/>
      <w:bCs/>
      <w:iCs/>
      <w:sz w:val="22"/>
    </w:rPr>
  </w:style>
  <w:style w:type="paragraph" w:styleId="Titolo5">
    <w:name w:val="heading 5"/>
    <w:basedOn w:val="Normale"/>
    <w:next w:val="Normale"/>
    <w:link w:val="Titolo5Carattere"/>
    <w:uiPriority w:val="9"/>
    <w:unhideWhenUsed/>
    <w:qFormat/>
    <w:rsid w:val="00076E70"/>
    <w:pPr>
      <w:keepNext/>
      <w:keepLines/>
      <w:tabs>
        <w:tab w:val="left" w:pos="993"/>
      </w:tabs>
      <w:spacing w:after="120"/>
      <w:outlineLvl w:val="4"/>
    </w:pPr>
    <w:rPr>
      <w:rFonts w:eastAsia="Times New Roman"/>
      <w:b/>
      <w:i/>
      <w:color w:val="243F60"/>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rsid w:val="0052425A"/>
    <w:pPr>
      <w:spacing w:before="240"/>
    </w:pPr>
    <w:rPr>
      <w:caps/>
      <w:szCs w:val="24"/>
      <w:lang w:val="it-IT"/>
    </w:rPr>
  </w:style>
  <w:style w:type="character" w:customStyle="1" w:styleId="Titolo1Carattere">
    <w:name w:val="Titolo 1 Carattere"/>
    <w:link w:val="Titolo1"/>
    <w:rsid w:val="00727623"/>
    <w:rPr>
      <w:rFonts w:ascii="Arial" w:hAnsi="Arial"/>
      <w:b/>
      <w:caps/>
      <w:sz w:val="24"/>
      <w:szCs w:val="24"/>
      <w:lang w:val="it-IT" w:eastAsia="it-IT"/>
    </w:rPr>
  </w:style>
  <w:style w:type="character" w:customStyle="1" w:styleId="Titolo2Carattere">
    <w:name w:val="Titolo 2 Carattere"/>
    <w:link w:val="Titolo2"/>
    <w:rsid w:val="006D7A3B"/>
    <w:rPr>
      <w:rFonts w:ascii="Arial" w:hAnsi="Arial"/>
      <w:b/>
      <w:sz w:val="24"/>
      <w:lang w:val="it-IT" w:eastAsia="it-IT"/>
    </w:rPr>
  </w:style>
  <w:style w:type="character" w:customStyle="1" w:styleId="Titolo3Carattere">
    <w:name w:val="Titolo 3 Carattere"/>
    <w:link w:val="Titolo3"/>
    <w:rsid w:val="00E16C84"/>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iPriority w:val="39"/>
    <w:unhideWhenUsed/>
    <w:rsid w:val="0052425A"/>
    <w:pPr>
      <w:spacing w:before="60"/>
    </w:pPr>
    <w:rPr>
      <w:szCs w:val="24"/>
      <w:lang w:val="it-IT"/>
    </w:rPr>
  </w:style>
  <w:style w:type="paragraph" w:styleId="Sommario2">
    <w:name w:val="toc 2"/>
    <w:basedOn w:val="Normale"/>
    <w:next w:val="Normale"/>
    <w:autoRedefine/>
    <w:uiPriority w:val="39"/>
    <w:unhideWhenUsed/>
    <w:rsid w:val="0052425A"/>
    <w:rPr>
      <w:szCs w:val="24"/>
      <w:lang w:val="it-IT"/>
    </w:rPr>
  </w:style>
  <w:style w:type="paragraph" w:styleId="Paragrafoelenco">
    <w:name w:val="List Paragraph"/>
    <w:basedOn w:val="Normale"/>
    <w:uiPriority w:val="99"/>
    <w:qFormat/>
    <w:rsid w:val="0052425A"/>
  </w:style>
  <w:style w:type="character" w:customStyle="1" w:styleId="Titolo4Carattere">
    <w:name w:val="Titolo 4 Carattere"/>
    <w:link w:val="Titolo4"/>
    <w:uiPriority w:val="9"/>
    <w:rsid w:val="00076E70"/>
    <w:rPr>
      <w:rFonts w:ascii="Arial" w:eastAsia="Times New Roman" w:hAnsi="Arial" w:cs="Times New Roman"/>
      <w:b/>
      <w:bCs/>
      <w:iCs/>
    </w:rPr>
  </w:style>
  <w:style w:type="character" w:customStyle="1" w:styleId="Titolo5Carattere">
    <w:name w:val="Titolo 5 Carattere"/>
    <w:link w:val="Titolo5"/>
    <w:uiPriority w:val="9"/>
    <w:rsid w:val="00076E70"/>
    <w:rPr>
      <w:rFonts w:ascii="Arial" w:eastAsia="Times New Roman" w:hAnsi="Arial" w:cs="Times New Roman"/>
      <w:b/>
      <w:i/>
      <w:color w:val="243F60"/>
    </w:rPr>
  </w:style>
  <w:style w:type="paragraph" w:styleId="Nessunaspaziatura">
    <w:name w:val="No Spacing"/>
    <w:uiPriority w:val="1"/>
    <w:qFormat/>
    <w:rsid w:val="00076E70"/>
    <w:pPr>
      <w:jc w:val="both"/>
    </w:pPr>
    <w:rPr>
      <w:sz w:val="22"/>
      <w:szCs w:val="22"/>
      <w:lang w:eastAsia="en-US"/>
    </w:rPr>
  </w:style>
  <w:style w:type="paragraph" w:styleId="Intestazione">
    <w:name w:val="header"/>
    <w:basedOn w:val="Normale"/>
    <w:link w:val="IntestazioneCarattere"/>
    <w:uiPriority w:val="99"/>
    <w:unhideWhenUsed/>
    <w:rsid w:val="008E77C6"/>
    <w:pPr>
      <w:tabs>
        <w:tab w:val="center" w:pos="4819"/>
        <w:tab w:val="right" w:pos="9638"/>
      </w:tabs>
    </w:pPr>
  </w:style>
  <w:style w:type="character" w:customStyle="1" w:styleId="IntestazioneCarattere">
    <w:name w:val="Intestazione Carattere"/>
    <w:link w:val="Intestazione"/>
    <w:uiPriority w:val="99"/>
    <w:rsid w:val="008E77C6"/>
    <w:rPr>
      <w:rFonts w:ascii="Arial" w:hAnsi="Arial"/>
      <w:sz w:val="24"/>
    </w:rPr>
  </w:style>
  <w:style w:type="paragraph" w:styleId="Pidipagina">
    <w:name w:val="footer"/>
    <w:basedOn w:val="Normale"/>
    <w:link w:val="PidipaginaCarattere"/>
    <w:uiPriority w:val="99"/>
    <w:unhideWhenUsed/>
    <w:rsid w:val="008E77C6"/>
    <w:pPr>
      <w:tabs>
        <w:tab w:val="center" w:pos="4819"/>
        <w:tab w:val="right" w:pos="9638"/>
      </w:tabs>
    </w:pPr>
  </w:style>
  <w:style w:type="character" w:customStyle="1" w:styleId="PidipaginaCarattere">
    <w:name w:val="Piè di pagina Carattere"/>
    <w:link w:val="Pidipagina"/>
    <w:uiPriority w:val="99"/>
    <w:rsid w:val="008E77C6"/>
    <w:rPr>
      <w:rFonts w:ascii="Arial" w:hAnsi="Arial"/>
      <w:sz w:val="24"/>
    </w:rPr>
  </w:style>
  <w:style w:type="table" w:styleId="Grigliatabella">
    <w:name w:val="Table Grid"/>
    <w:basedOn w:val="Tabellanormale"/>
    <w:rsid w:val="00260C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basedOn w:val="Normale"/>
    <w:link w:val="CorpotestoCarattere"/>
    <w:rsid w:val="001574D7"/>
    <w:pPr>
      <w:tabs>
        <w:tab w:val="left" w:pos="284"/>
        <w:tab w:val="left" w:pos="426"/>
        <w:tab w:val="left" w:pos="4962"/>
      </w:tabs>
    </w:pPr>
    <w:rPr>
      <w:rFonts w:eastAsia="Times New Roman"/>
      <w:szCs w:val="20"/>
      <w:lang w:val="it-IT" w:eastAsia="it-IT"/>
    </w:rPr>
  </w:style>
  <w:style w:type="character" w:customStyle="1" w:styleId="CorpotestoCarattere">
    <w:name w:val="Corpo testo Carattere"/>
    <w:link w:val="Corpotesto"/>
    <w:rsid w:val="001574D7"/>
    <w:rPr>
      <w:rFonts w:ascii="Arial" w:eastAsia="Times New Roman" w:hAnsi="Arial" w:cs="Times New Roman"/>
      <w:sz w:val="24"/>
      <w:szCs w:val="20"/>
      <w:lang w:val="it-IT" w:eastAsia="it-IT"/>
    </w:rPr>
  </w:style>
  <w:style w:type="paragraph" w:customStyle="1" w:styleId="Default">
    <w:name w:val="Default"/>
    <w:rsid w:val="006E4AE2"/>
    <w:pPr>
      <w:autoSpaceDE w:val="0"/>
      <w:autoSpaceDN w:val="0"/>
      <w:adjustRightInd w:val="0"/>
    </w:pPr>
    <w:rPr>
      <w:rFonts w:ascii="Arial" w:eastAsia="Times New Roman" w:hAnsi="Arial" w:cs="Arial"/>
      <w:color w:val="000000"/>
      <w:sz w:val="24"/>
      <w:szCs w:val="24"/>
    </w:rPr>
  </w:style>
  <w:style w:type="paragraph" w:styleId="Puntoelenco">
    <w:name w:val="List Bullet"/>
    <w:basedOn w:val="Normale"/>
    <w:uiPriority w:val="99"/>
    <w:unhideWhenUsed/>
    <w:rsid w:val="006E4AE2"/>
    <w:pPr>
      <w:widowControl w:val="0"/>
      <w:numPr>
        <w:numId w:val="6"/>
      </w:numPr>
      <w:contextualSpacing/>
    </w:pPr>
    <w:rPr>
      <w:rFonts w:eastAsia="Arial" w:cs="Arial"/>
      <w:color w:val="000000"/>
      <w:szCs w:val="24"/>
      <w:lang w:eastAsia="it-CH"/>
    </w:rPr>
  </w:style>
  <w:style w:type="paragraph" w:styleId="Testofumetto">
    <w:name w:val="Balloon Text"/>
    <w:basedOn w:val="Normale"/>
    <w:link w:val="TestofumettoCarattere"/>
    <w:uiPriority w:val="99"/>
    <w:semiHidden/>
    <w:unhideWhenUsed/>
    <w:rsid w:val="00B860C2"/>
    <w:rPr>
      <w:rFonts w:ascii="Tahoma" w:hAnsi="Tahoma" w:cs="Tahoma"/>
      <w:sz w:val="16"/>
      <w:szCs w:val="16"/>
    </w:rPr>
  </w:style>
  <w:style w:type="character" w:customStyle="1" w:styleId="TestofumettoCarattere">
    <w:name w:val="Testo fumetto Carattere"/>
    <w:link w:val="Testofumetto"/>
    <w:uiPriority w:val="99"/>
    <w:semiHidden/>
    <w:rsid w:val="00B860C2"/>
    <w:rPr>
      <w:rFonts w:ascii="Tahoma" w:hAnsi="Tahoma" w:cs="Tahoma"/>
      <w:sz w:val="16"/>
      <w:szCs w:val="16"/>
    </w:rPr>
  </w:style>
  <w:style w:type="table" w:customStyle="1" w:styleId="Grigliatabella1">
    <w:name w:val="Griglia tabella1"/>
    <w:basedOn w:val="Tabellanormale"/>
    <w:next w:val="Grigliatabella"/>
    <w:rsid w:val="004A0E7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8300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A831E8-776C-4646-AD34-FF9733DAC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11</Pages>
  <Words>3602</Words>
  <Characters>20532</Characters>
  <Application>Microsoft Office Word</Application>
  <DocSecurity>0</DocSecurity>
  <Lines>171</Lines>
  <Paragraphs>48</Paragraphs>
  <ScaleCrop>false</ScaleCrop>
  <HeadingPairs>
    <vt:vector size="2" baseType="variant">
      <vt:variant>
        <vt:lpstr>Titolo</vt:lpstr>
      </vt:variant>
      <vt:variant>
        <vt:i4>1</vt:i4>
      </vt:variant>
    </vt:vector>
  </HeadingPairs>
  <TitlesOfParts>
    <vt:vector size="1" baseType="lpstr">
      <vt:lpstr/>
    </vt:vector>
  </TitlesOfParts>
  <Company>Amministrazione Cantonale</Company>
  <LinksUpToDate>false</LinksUpToDate>
  <CharactersWithSpaces>24086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Venturi Luca / T128124</dc:creator>
  <cp:keywords/>
  <cp:lastModifiedBy>Venturi Luca</cp:lastModifiedBy>
  <cp:revision>43</cp:revision>
  <cp:lastPrinted>2021-09-06T14:35:00Z</cp:lastPrinted>
  <dcterms:created xsi:type="dcterms:W3CDTF">2021-09-02T12:55:00Z</dcterms:created>
  <dcterms:modified xsi:type="dcterms:W3CDTF">2021-09-06T14:36:00Z</dcterms:modified>
</cp:coreProperties>
</file>