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E2" w:rsidRPr="00737A71" w:rsidRDefault="00E509E2" w:rsidP="00E509E2">
      <w:pPr>
        <w:jc w:val="left"/>
        <w:rPr>
          <w:rFonts w:ascii="Gill Sans MT" w:eastAsia="Times New Roman" w:hAnsi="Gill Sans MT"/>
          <w:b/>
          <w:sz w:val="56"/>
          <w:szCs w:val="56"/>
          <w:lang w:eastAsia="it-IT"/>
        </w:rPr>
      </w:pPr>
      <w:r w:rsidRPr="00737A71">
        <w:rPr>
          <w:rFonts w:ascii="Gill Sans MT" w:eastAsia="Times New Roman" w:hAnsi="Gill Sans MT"/>
          <w:b/>
          <w:sz w:val="56"/>
          <w:szCs w:val="56"/>
          <w:lang w:eastAsia="it-IT"/>
        </w:rPr>
        <w:t>Rapporto</w:t>
      </w:r>
    </w:p>
    <w:p w:rsidR="00E509E2" w:rsidRPr="00737A71" w:rsidRDefault="00E509E2" w:rsidP="00E509E2">
      <w:pPr>
        <w:ind w:right="-1"/>
        <w:jc w:val="left"/>
        <w:rPr>
          <w:rFonts w:eastAsia="Times New Roman" w:cs="Arial"/>
          <w:sz w:val="20"/>
          <w:szCs w:val="20"/>
          <w:lang w:eastAsia="it-IT"/>
        </w:rPr>
      </w:pPr>
    </w:p>
    <w:p w:rsidR="00E509E2" w:rsidRPr="00737A71" w:rsidRDefault="00E509E2" w:rsidP="00E509E2">
      <w:pPr>
        <w:ind w:right="-1"/>
        <w:jc w:val="left"/>
        <w:rPr>
          <w:rFonts w:eastAsia="Times New Roman" w:cs="Arial"/>
          <w:sz w:val="20"/>
          <w:szCs w:val="20"/>
          <w:lang w:eastAsia="it-IT"/>
        </w:rPr>
      </w:pPr>
    </w:p>
    <w:p w:rsidR="00B860C2" w:rsidRDefault="001355FF" w:rsidP="00B860C2">
      <w:pPr>
        <w:tabs>
          <w:tab w:val="left" w:pos="2098"/>
          <w:tab w:val="left" w:pos="4933"/>
        </w:tabs>
        <w:rPr>
          <w:rFonts w:cs="Arial"/>
          <w:szCs w:val="24"/>
        </w:rPr>
      </w:pPr>
      <w:bookmarkStart w:id="0" w:name="_GoBack"/>
      <w:bookmarkEnd w:id="0"/>
      <w:r>
        <w:rPr>
          <w:rFonts w:cs="Arial"/>
          <w:b/>
          <w:sz w:val="32"/>
          <w:szCs w:val="32"/>
        </w:rPr>
        <w:t>7999</w:t>
      </w:r>
      <w:r w:rsidR="00B860C2" w:rsidRPr="008B4137">
        <w:rPr>
          <w:rFonts w:cs="Arial"/>
          <w:b/>
          <w:sz w:val="32"/>
          <w:szCs w:val="32"/>
        </w:rPr>
        <w:t xml:space="preserve"> R</w:t>
      </w:r>
      <w:r w:rsidR="00B860C2" w:rsidRPr="008B4137">
        <w:rPr>
          <w:rFonts w:cs="Arial"/>
          <w:sz w:val="28"/>
          <w:szCs w:val="28"/>
        </w:rPr>
        <w:tab/>
      </w:r>
      <w:r>
        <w:rPr>
          <w:rFonts w:cs="Arial"/>
          <w:sz w:val="28"/>
          <w:szCs w:val="28"/>
        </w:rPr>
        <w:t>7 settembre 2021</w:t>
      </w:r>
      <w:r w:rsidR="00B860C2" w:rsidRPr="008B4137">
        <w:rPr>
          <w:rFonts w:cs="Arial"/>
          <w:sz w:val="28"/>
          <w:szCs w:val="28"/>
        </w:rPr>
        <w:tab/>
      </w:r>
      <w:r>
        <w:rPr>
          <w:sz w:val="28"/>
        </w:rPr>
        <w:t>DFE / DSS</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1355FF">
        <w:rPr>
          <w:rFonts w:cs="Arial"/>
          <w:b/>
          <w:sz w:val="28"/>
          <w:szCs w:val="28"/>
        </w:rPr>
        <w:t>gestione e finanze</w:t>
      </w:r>
    </w:p>
    <w:p w:rsidR="001355FF" w:rsidRPr="001355FF" w:rsidRDefault="00B860C2" w:rsidP="001355FF">
      <w:pPr>
        <w:tabs>
          <w:tab w:val="left" w:pos="284"/>
          <w:tab w:val="left" w:pos="426"/>
          <w:tab w:val="left" w:pos="4962"/>
        </w:tabs>
        <w:ind w:right="-1"/>
        <w:rPr>
          <w:rFonts w:ascii="Arial-BoldMT" w:hAnsi="Arial-BoldMT" w:cs="Arial-BoldMT"/>
          <w:b/>
          <w:bCs/>
          <w:sz w:val="28"/>
          <w:szCs w:val="28"/>
        </w:rPr>
      </w:pPr>
      <w:r w:rsidRPr="000D6BD0">
        <w:rPr>
          <w:rFonts w:cs="Arial"/>
          <w:b/>
          <w:sz w:val="28"/>
          <w:szCs w:val="28"/>
        </w:rPr>
        <w:t>sul</w:t>
      </w:r>
      <w:r>
        <w:rPr>
          <w:rFonts w:cs="Arial"/>
          <w:b/>
          <w:sz w:val="28"/>
          <w:szCs w:val="28"/>
        </w:rPr>
        <w:t xml:space="preserve"> messaggio</w:t>
      </w:r>
      <w:r w:rsidRPr="001355FF">
        <w:rPr>
          <w:rFonts w:cs="Arial"/>
          <w:b/>
          <w:sz w:val="28"/>
          <w:szCs w:val="28"/>
        </w:rPr>
        <w:t xml:space="preserve"> </w:t>
      </w:r>
      <w:r w:rsidR="001355FF">
        <w:rPr>
          <w:rFonts w:cs="Arial"/>
          <w:b/>
          <w:sz w:val="28"/>
          <w:szCs w:val="28"/>
        </w:rPr>
        <w:t xml:space="preserve">26 maggio 2021 concernente la </w:t>
      </w:r>
      <w:r w:rsidR="001355FF">
        <w:rPr>
          <w:rFonts w:ascii="Arial-BoldMT" w:hAnsi="Arial-BoldMT" w:cs="Arial-BoldMT"/>
          <w:b/>
          <w:bCs/>
          <w:sz w:val="28"/>
          <w:szCs w:val="28"/>
        </w:rPr>
        <w:t>r</w:t>
      </w:r>
      <w:r w:rsidR="001355FF" w:rsidRPr="001355FF">
        <w:rPr>
          <w:rFonts w:ascii="Arial-BoldMT" w:hAnsi="Arial-BoldMT" w:cs="Arial-BoldMT"/>
          <w:b/>
          <w:bCs/>
          <w:sz w:val="28"/>
          <w:szCs w:val="28"/>
        </w:rPr>
        <w:t>ichiesta di un credito di CHF 4’110’</w:t>
      </w:r>
      <w:proofErr w:type="gramStart"/>
      <w:r w:rsidR="001355FF" w:rsidRPr="001355FF">
        <w:rPr>
          <w:rFonts w:ascii="Arial-BoldMT" w:hAnsi="Arial-BoldMT" w:cs="Arial-BoldMT"/>
          <w:b/>
          <w:bCs/>
          <w:sz w:val="28"/>
          <w:szCs w:val="28"/>
        </w:rPr>
        <w:t>000.-</w:t>
      </w:r>
      <w:proofErr w:type="gramEnd"/>
      <w:r w:rsidR="001355FF" w:rsidRPr="001355FF">
        <w:rPr>
          <w:rFonts w:ascii="Arial-BoldMT" w:hAnsi="Arial-BoldMT" w:cs="Arial-BoldMT"/>
          <w:b/>
          <w:bCs/>
          <w:sz w:val="28"/>
          <w:szCs w:val="28"/>
        </w:rPr>
        <w:t xml:space="preserve"> per l’intervento di risanamento generale dello stabile </w:t>
      </w:r>
      <w:proofErr w:type="spellStart"/>
      <w:r w:rsidR="001355FF" w:rsidRPr="001355FF">
        <w:rPr>
          <w:rFonts w:ascii="Arial-BoldMT" w:hAnsi="Arial-BoldMT" w:cs="Arial-BoldMT"/>
          <w:b/>
          <w:bCs/>
          <w:sz w:val="28"/>
          <w:szCs w:val="28"/>
        </w:rPr>
        <w:t>Mottino</w:t>
      </w:r>
      <w:proofErr w:type="spellEnd"/>
      <w:r w:rsidR="001355FF" w:rsidRPr="001355FF">
        <w:rPr>
          <w:rFonts w:ascii="Arial-BoldMT" w:hAnsi="Arial-BoldMT" w:cs="Arial-BoldMT"/>
          <w:b/>
          <w:bCs/>
          <w:sz w:val="28"/>
          <w:szCs w:val="28"/>
        </w:rPr>
        <w:t xml:space="preserve"> presso il comparto dell’Organizzazione sociopsichiatrica cantonale a Mendrisio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1355FF" w:rsidRPr="001355FF" w:rsidRDefault="001355FF" w:rsidP="001355FF">
      <w:pPr>
        <w:tabs>
          <w:tab w:val="left" w:pos="567"/>
        </w:tabs>
        <w:spacing w:after="120"/>
        <w:rPr>
          <w:rFonts w:eastAsia="Times New Roman" w:cs="Arial"/>
          <w:b/>
          <w:szCs w:val="24"/>
          <w:lang w:val="it-IT" w:eastAsia="it-CH"/>
        </w:rPr>
      </w:pPr>
      <w:r w:rsidRPr="001355FF">
        <w:rPr>
          <w:rFonts w:eastAsia="Times New Roman" w:cs="Arial"/>
          <w:b/>
          <w:szCs w:val="24"/>
          <w:lang w:val="it-IT" w:eastAsia="it-CH"/>
        </w:rPr>
        <w:t>1.</w:t>
      </w:r>
      <w:r w:rsidRPr="001355FF">
        <w:rPr>
          <w:rFonts w:eastAsia="Times New Roman" w:cs="Arial"/>
          <w:b/>
          <w:szCs w:val="24"/>
          <w:lang w:val="it-IT" w:eastAsia="it-CH"/>
        </w:rPr>
        <w:tab/>
        <w:t>IL MESSAGGIO</w:t>
      </w:r>
    </w:p>
    <w:p w:rsidR="001355FF" w:rsidRPr="001355FF" w:rsidRDefault="001355FF" w:rsidP="001355FF">
      <w:pPr>
        <w:spacing w:after="120"/>
        <w:rPr>
          <w:rFonts w:cs="Arial"/>
        </w:rPr>
      </w:pPr>
      <w:r w:rsidRPr="001355FF">
        <w:rPr>
          <w:rFonts w:cs="Arial"/>
        </w:rPr>
        <w:t xml:space="preserve">Il comparto OSC Mendrisio si sviluppa su un’ampia area (26 ettari) e si situa su due Comuni, Mendrisio e </w:t>
      </w:r>
      <w:proofErr w:type="spellStart"/>
      <w:r w:rsidRPr="001355FF">
        <w:rPr>
          <w:rFonts w:cs="Arial"/>
        </w:rPr>
        <w:t>Coldrerio</w:t>
      </w:r>
      <w:proofErr w:type="spellEnd"/>
      <w:r w:rsidRPr="001355FF">
        <w:rPr>
          <w:rFonts w:cs="Arial"/>
        </w:rPr>
        <w:t xml:space="preserve">. All’interno </w:t>
      </w:r>
      <w:proofErr w:type="spellStart"/>
      <w:r w:rsidRPr="001355FF">
        <w:rPr>
          <w:rFonts w:cs="Arial"/>
        </w:rPr>
        <w:t>della’area</w:t>
      </w:r>
      <w:proofErr w:type="spellEnd"/>
      <w:r w:rsidRPr="001355FF">
        <w:rPr>
          <w:rFonts w:cs="Arial"/>
        </w:rPr>
        <w:t xml:space="preserve"> chiamata “Parco di </w:t>
      </w:r>
      <w:proofErr w:type="spellStart"/>
      <w:r w:rsidRPr="001355FF">
        <w:rPr>
          <w:rFonts w:cs="Arial"/>
        </w:rPr>
        <w:t>Casvegno</w:t>
      </w:r>
      <w:proofErr w:type="spellEnd"/>
      <w:r w:rsidRPr="001355FF">
        <w:rPr>
          <w:rFonts w:cs="Arial"/>
        </w:rPr>
        <w:t>” troviamo trenta edifici.</w:t>
      </w:r>
    </w:p>
    <w:p w:rsidR="001355FF" w:rsidRPr="001355FF" w:rsidRDefault="001355FF" w:rsidP="001355FF">
      <w:pPr>
        <w:spacing w:after="120"/>
        <w:rPr>
          <w:rFonts w:cs="Arial"/>
        </w:rPr>
      </w:pPr>
      <w:r w:rsidRPr="001355FF">
        <w:rPr>
          <w:rFonts w:cs="Arial"/>
        </w:rPr>
        <w:t>Fra questi vi è lo stabile “</w:t>
      </w:r>
      <w:proofErr w:type="spellStart"/>
      <w:r w:rsidRPr="001355FF">
        <w:rPr>
          <w:rFonts w:cs="Arial"/>
        </w:rPr>
        <w:t>Mottino</w:t>
      </w:r>
      <w:proofErr w:type="spellEnd"/>
      <w:r w:rsidRPr="001355FF">
        <w:rPr>
          <w:rFonts w:cs="Arial"/>
        </w:rPr>
        <w:t xml:space="preserve">”, situato in Via </w:t>
      </w:r>
      <w:proofErr w:type="spellStart"/>
      <w:r w:rsidRPr="001355FF">
        <w:rPr>
          <w:rFonts w:cs="Arial"/>
        </w:rPr>
        <w:t>Maspoli</w:t>
      </w:r>
      <w:proofErr w:type="spellEnd"/>
      <w:r w:rsidRPr="001355FF">
        <w:rPr>
          <w:rFonts w:cs="Arial"/>
        </w:rPr>
        <w:t xml:space="preserve"> sul mappale n. 1445 RFD del Comune di Mendrisio, la cui costruzione risale agli anni sessanta. Attualmente lo stabile è solo parzialmente utilizzato. Al suo interno trovano spazio alcune camere attribuite </w:t>
      </w:r>
      <w:proofErr w:type="spellStart"/>
      <w:r w:rsidRPr="001355FF">
        <w:rPr>
          <w:rFonts w:cs="Arial"/>
        </w:rPr>
        <w:t>stagiaires</w:t>
      </w:r>
      <w:proofErr w:type="spellEnd"/>
      <w:r w:rsidRPr="001355FF">
        <w:rPr>
          <w:rFonts w:cs="Arial"/>
        </w:rPr>
        <w:t xml:space="preserve"> e studenti esterni all’OSC e degli spazi comuni. Nell’interrato ci sono magazzini dei magazzini per il materiale usati da alcuni servizi.</w:t>
      </w:r>
    </w:p>
    <w:p w:rsidR="001355FF" w:rsidRPr="001355FF" w:rsidRDefault="001355FF" w:rsidP="001355FF">
      <w:pPr>
        <w:spacing w:after="120"/>
        <w:rPr>
          <w:rFonts w:cs="Arial"/>
        </w:rPr>
      </w:pPr>
      <w:r w:rsidRPr="001355FF">
        <w:rPr>
          <w:rFonts w:cs="Arial"/>
        </w:rPr>
        <w:t>Lo stabile è alla fine del suo ciclo di vita e necessita di una ristrutturazione. Grazie alla ristrutturazione verranno ricavate delle camere idonee ad ospitare gli utenti del Centro abitativo, ricreativo e di lavoro (CARL) il quale necessita di accogliere sei nuovi fruitori.</w:t>
      </w:r>
    </w:p>
    <w:p w:rsidR="001355FF" w:rsidRPr="001355FF" w:rsidRDefault="001355FF" w:rsidP="001355FF">
      <w:pPr>
        <w:spacing w:after="120"/>
        <w:rPr>
          <w:rFonts w:cs="Arial"/>
        </w:rPr>
      </w:pPr>
      <w:r w:rsidRPr="001355FF">
        <w:rPr>
          <w:rFonts w:cs="Arial"/>
        </w:rPr>
        <w:t xml:space="preserve">Questa richiesta di credito dà seguito al </w:t>
      </w:r>
      <w:r w:rsidR="003910AB">
        <w:rPr>
          <w:rFonts w:cs="Arial"/>
        </w:rPr>
        <w:t>m</w:t>
      </w:r>
      <w:r w:rsidRPr="001355FF">
        <w:rPr>
          <w:rFonts w:cs="Arial"/>
        </w:rPr>
        <w:t>essaggio n. 7538 del 23 maggio 2018 e relativo decreto legislativo del 17 settembre 2018 che attribuiva un credito di CHF 345'</w:t>
      </w:r>
      <w:proofErr w:type="gramStart"/>
      <w:r w:rsidRPr="001355FF">
        <w:rPr>
          <w:rFonts w:cs="Arial"/>
        </w:rPr>
        <w:t>000.-</w:t>
      </w:r>
      <w:proofErr w:type="gramEnd"/>
      <w:r w:rsidRPr="001355FF">
        <w:rPr>
          <w:rFonts w:cs="Arial"/>
        </w:rPr>
        <w:t xml:space="preserve"> per la progettazione dell’intervento di risanamento generale.</w:t>
      </w:r>
    </w:p>
    <w:p w:rsidR="001355FF" w:rsidRPr="001355FF" w:rsidRDefault="001355FF" w:rsidP="001355FF">
      <w:pPr>
        <w:spacing w:after="120"/>
        <w:rPr>
          <w:rFonts w:cs="Arial"/>
        </w:rPr>
      </w:pPr>
      <w:r w:rsidRPr="001355FF">
        <w:rPr>
          <w:rFonts w:cs="Arial"/>
        </w:rPr>
        <w:t xml:space="preserve">Questo </w:t>
      </w:r>
      <w:r w:rsidR="003910AB">
        <w:rPr>
          <w:rFonts w:cs="Arial"/>
        </w:rPr>
        <w:t>m</w:t>
      </w:r>
      <w:r w:rsidRPr="001355FF">
        <w:rPr>
          <w:rFonts w:cs="Arial"/>
        </w:rPr>
        <w:t xml:space="preserve">essaggio è parte della strategia generale di “mantenimento, adeguamento, ristrutturazione e valorizzazione degli stabili ubicati presso il comparto </w:t>
      </w:r>
      <w:proofErr w:type="spellStart"/>
      <w:r w:rsidRPr="001355FF">
        <w:rPr>
          <w:rFonts w:cs="Arial"/>
        </w:rPr>
        <w:t>Casvegno</w:t>
      </w:r>
      <w:proofErr w:type="spellEnd"/>
      <w:r w:rsidRPr="001355FF">
        <w:rPr>
          <w:rFonts w:cs="Arial"/>
        </w:rPr>
        <w:t xml:space="preserve"> per rispondere alle necessità dell’utente offrendo strutture idonee alle diverse necessità dell’OSC”.</w:t>
      </w:r>
    </w:p>
    <w:p w:rsidR="001355FF" w:rsidRPr="001355FF" w:rsidRDefault="001355FF" w:rsidP="001355FF">
      <w:pPr>
        <w:spacing w:after="120"/>
        <w:rPr>
          <w:rFonts w:cs="Arial"/>
        </w:rPr>
      </w:pPr>
      <w:r w:rsidRPr="001355FF">
        <w:rPr>
          <w:rFonts w:cs="Arial"/>
        </w:rPr>
        <w:t xml:space="preserve">Alla fine dei lavori Troveranno spazio 6 nuove camere singole per gli utenti del CARL, uffici per il personale educativo, i servizi igienici individuali e gli spazi comuni. Parimente si continuerà ad accogliere 6 </w:t>
      </w:r>
      <w:proofErr w:type="spellStart"/>
      <w:r w:rsidRPr="001355FF">
        <w:rPr>
          <w:rFonts w:cs="Arial"/>
        </w:rPr>
        <w:t>stagiaires</w:t>
      </w:r>
      <w:proofErr w:type="spellEnd"/>
      <w:r w:rsidRPr="001355FF">
        <w:rPr>
          <w:rFonts w:cs="Arial"/>
        </w:rPr>
        <w:t>/studenti anche esterni all’OSC, riuscendo a migliorare il comfort abitativo. Al piano interrato si manterrà il magazzino esistente che verrà risanato in modo da eliminare gli attuali problemi di umidità legati alle infiltrazioni d’acqua.</w:t>
      </w:r>
    </w:p>
    <w:p w:rsidR="001355FF" w:rsidRPr="001355FF" w:rsidRDefault="001355FF" w:rsidP="001355FF">
      <w:pPr>
        <w:spacing w:after="120"/>
        <w:rPr>
          <w:rFonts w:cs="Arial"/>
        </w:rPr>
      </w:pPr>
    </w:p>
    <w:p w:rsidR="001355FF" w:rsidRPr="001355FF" w:rsidRDefault="001355FF" w:rsidP="001355FF">
      <w:pPr>
        <w:spacing w:after="120"/>
        <w:rPr>
          <w:rFonts w:cs="Arial"/>
        </w:rPr>
      </w:pPr>
      <w:r w:rsidRPr="001355FF">
        <w:rPr>
          <w:rFonts w:cs="Arial"/>
          <w:noProof/>
          <w:lang w:eastAsia="it-CH"/>
        </w:rPr>
        <w:lastRenderedPageBreak/>
        <w:drawing>
          <wp:inline distT="0" distB="0" distL="0" distR="0">
            <wp:extent cx="6124575" cy="4505325"/>
            <wp:effectExtent l="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4505325"/>
                    </a:xfrm>
                    <a:prstGeom prst="rect">
                      <a:avLst/>
                    </a:prstGeom>
                    <a:noFill/>
                    <a:ln>
                      <a:noFill/>
                    </a:ln>
                  </pic:spPr>
                </pic:pic>
              </a:graphicData>
            </a:graphic>
          </wp:inline>
        </w:drawing>
      </w:r>
    </w:p>
    <w:p w:rsidR="001355FF" w:rsidRPr="001355FF" w:rsidRDefault="001355FF" w:rsidP="001355FF">
      <w:pPr>
        <w:spacing w:after="120"/>
        <w:rPr>
          <w:rFonts w:cs="Arial"/>
        </w:rPr>
      </w:pPr>
      <w:r w:rsidRPr="001355FF">
        <w:rPr>
          <w:rFonts w:cs="Arial"/>
        </w:rPr>
        <w:t xml:space="preserve">Il parco di </w:t>
      </w:r>
      <w:proofErr w:type="spellStart"/>
      <w:r w:rsidRPr="001355FF">
        <w:rPr>
          <w:rFonts w:cs="Arial"/>
        </w:rPr>
        <w:t>Casvegno</w:t>
      </w:r>
      <w:proofErr w:type="spellEnd"/>
      <w:r w:rsidRPr="001355FF">
        <w:rPr>
          <w:rFonts w:cs="Arial"/>
          <w:vertAlign w:val="superscript"/>
        </w:rPr>
        <w:footnoteReference w:id="1"/>
      </w:r>
    </w:p>
    <w:p w:rsidR="001355FF" w:rsidRDefault="001355FF" w:rsidP="001355FF">
      <w:pPr>
        <w:rPr>
          <w:rFonts w:cs="Arial"/>
        </w:rPr>
      </w:pPr>
    </w:p>
    <w:p w:rsidR="001355FF" w:rsidRPr="001355FF" w:rsidRDefault="001355FF" w:rsidP="001355FF">
      <w:pPr>
        <w:rPr>
          <w:rFonts w:cs="Arial"/>
        </w:rPr>
      </w:pPr>
    </w:p>
    <w:p w:rsidR="001355FF" w:rsidRPr="001355FF" w:rsidRDefault="001355FF" w:rsidP="001355FF">
      <w:pPr>
        <w:pStyle w:val="Titolo2"/>
      </w:pPr>
      <w:bookmarkStart w:id="1" w:name="_Toc43199693"/>
      <w:r w:rsidRPr="001355FF">
        <w:t>1.1</w:t>
      </w:r>
      <w:r w:rsidRPr="001355FF">
        <w:tab/>
      </w:r>
      <w:bookmarkEnd w:id="1"/>
      <w:r w:rsidRPr="001355FF">
        <w:t>Intervento previsto</w:t>
      </w:r>
    </w:p>
    <w:p w:rsidR="001355FF" w:rsidRPr="001355FF" w:rsidRDefault="001355FF" w:rsidP="001355FF">
      <w:pPr>
        <w:rPr>
          <w:rFonts w:cs="Arial"/>
        </w:rPr>
      </w:pPr>
      <w:r w:rsidRPr="001355FF">
        <w:rPr>
          <w:rFonts w:cs="Arial"/>
        </w:rPr>
        <w:t>L’intervento previsto conferma le analisi esposte nel Messaggio n. 7538, sono state tuttavia identificate delle opportunità di intervento non previste inizialmente volte a migliorare la fruibilità degli spazi:</w:t>
      </w:r>
    </w:p>
    <w:p w:rsidR="001355FF" w:rsidRPr="001355FF" w:rsidRDefault="001355FF" w:rsidP="001355FF">
      <w:pPr>
        <w:numPr>
          <w:ilvl w:val="0"/>
          <w:numId w:val="12"/>
        </w:numPr>
        <w:spacing w:before="60"/>
        <w:ind w:left="357" w:hanging="357"/>
        <w:jc w:val="left"/>
        <w:rPr>
          <w:rFonts w:cs="Arial"/>
          <w:lang w:eastAsia="it-CH"/>
        </w:rPr>
      </w:pPr>
      <w:r w:rsidRPr="001355FF">
        <w:rPr>
          <w:rFonts w:cs="Arial"/>
          <w:lang w:eastAsia="it-CH"/>
        </w:rPr>
        <w:t>puntuali migliorie interne (ingresso, spazi del personale, ottimizzazione camere/balconi);</w:t>
      </w:r>
    </w:p>
    <w:p w:rsidR="001355FF" w:rsidRPr="001355FF" w:rsidRDefault="001355FF" w:rsidP="001355FF">
      <w:pPr>
        <w:numPr>
          <w:ilvl w:val="0"/>
          <w:numId w:val="12"/>
        </w:numPr>
        <w:spacing w:before="60"/>
        <w:ind w:left="357" w:hanging="357"/>
        <w:jc w:val="left"/>
        <w:rPr>
          <w:rFonts w:cs="Arial"/>
          <w:lang w:eastAsia="it-CH"/>
        </w:rPr>
      </w:pPr>
      <w:r w:rsidRPr="001355FF">
        <w:rPr>
          <w:rFonts w:cs="Arial"/>
          <w:lang w:eastAsia="it-CH"/>
        </w:rPr>
        <w:t>ampliamento di 4 delle 12 camere così da fornire una situazione abitativa unitaria;</w:t>
      </w:r>
    </w:p>
    <w:p w:rsidR="001355FF" w:rsidRPr="001355FF" w:rsidRDefault="001355FF" w:rsidP="001355FF">
      <w:pPr>
        <w:numPr>
          <w:ilvl w:val="0"/>
          <w:numId w:val="12"/>
        </w:numPr>
        <w:spacing w:before="60"/>
        <w:ind w:left="357" w:hanging="357"/>
        <w:jc w:val="left"/>
        <w:rPr>
          <w:rFonts w:cs="Arial"/>
          <w:lang w:eastAsia="it-CH"/>
        </w:rPr>
      </w:pPr>
      <w:r w:rsidRPr="001355FF">
        <w:rPr>
          <w:rFonts w:cs="Arial"/>
          <w:lang w:eastAsia="it-CH"/>
        </w:rPr>
        <w:t>miglioramento dello standard climatico interno grazie a un sistema di raffrescamento;</w:t>
      </w:r>
    </w:p>
    <w:p w:rsidR="001355FF" w:rsidRPr="001355FF" w:rsidRDefault="001355FF" w:rsidP="001355FF">
      <w:pPr>
        <w:numPr>
          <w:ilvl w:val="0"/>
          <w:numId w:val="12"/>
        </w:numPr>
        <w:spacing w:before="60"/>
        <w:ind w:left="357" w:hanging="357"/>
        <w:jc w:val="left"/>
        <w:rPr>
          <w:rFonts w:cs="Arial"/>
          <w:lang w:eastAsia="it-CH"/>
        </w:rPr>
      </w:pPr>
      <w:r w:rsidRPr="001355FF">
        <w:rPr>
          <w:rFonts w:cs="Arial"/>
          <w:lang w:eastAsia="it-CH"/>
        </w:rPr>
        <w:t xml:space="preserve">sistemazione della passerella di collegamento tra gli edifici </w:t>
      </w:r>
      <w:proofErr w:type="spellStart"/>
      <w:r w:rsidRPr="001355FF">
        <w:rPr>
          <w:rFonts w:cs="Arial"/>
          <w:lang w:eastAsia="it-CH"/>
        </w:rPr>
        <w:t>Mottino</w:t>
      </w:r>
      <w:proofErr w:type="spellEnd"/>
      <w:r w:rsidRPr="001355FF">
        <w:rPr>
          <w:rFonts w:cs="Arial"/>
          <w:lang w:eastAsia="it-CH"/>
        </w:rPr>
        <w:t xml:space="preserve"> e Motta;</w:t>
      </w:r>
    </w:p>
    <w:p w:rsidR="001355FF" w:rsidRPr="001355FF" w:rsidRDefault="001355FF" w:rsidP="001355FF">
      <w:pPr>
        <w:numPr>
          <w:ilvl w:val="0"/>
          <w:numId w:val="12"/>
        </w:numPr>
        <w:spacing w:before="60"/>
        <w:ind w:left="357" w:hanging="357"/>
        <w:jc w:val="left"/>
        <w:rPr>
          <w:rFonts w:cs="Arial"/>
          <w:lang w:eastAsia="it-CH"/>
        </w:rPr>
      </w:pPr>
      <w:r w:rsidRPr="001355FF">
        <w:rPr>
          <w:rFonts w:cs="Arial"/>
          <w:lang w:eastAsia="it-CH"/>
        </w:rPr>
        <w:t>adeguamento della sistemazione esterna coerentemente con le necessità;</w:t>
      </w:r>
    </w:p>
    <w:p w:rsidR="001355FF" w:rsidRPr="001355FF" w:rsidRDefault="001355FF" w:rsidP="001355FF">
      <w:pPr>
        <w:numPr>
          <w:ilvl w:val="0"/>
          <w:numId w:val="12"/>
        </w:numPr>
        <w:spacing w:before="60"/>
        <w:ind w:left="357" w:hanging="357"/>
        <w:jc w:val="left"/>
        <w:rPr>
          <w:rFonts w:cs="Arial"/>
          <w:lang w:eastAsia="it-CH"/>
        </w:rPr>
      </w:pPr>
      <w:r w:rsidRPr="001355FF">
        <w:rPr>
          <w:rFonts w:cs="Arial"/>
          <w:lang w:eastAsia="it-CH"/>
        </w:rPr>
        <w:t>aggiornamento dell’allacciamento generale alla rete informatica.</w:t>
      </w:r>
    </w:p>
    <w:p w:rsidR="001355FF" w:rsidRPr="001355FF" w:rsidRDefault="001355FF" w:rsidP="001355FF">
      <w:pPr>
        <w:rPr>
          <w:rFonts w:cs="Arial"/>
        </w:rPr>
      </w:pPr>
    </w:p>
    <w:p w:rsidR="001355FF" w:rsidRPr="001355FF" w:rsidRDefault="001355FF" w:rsidP="001355FF">
      <w:pPr>
        <w:spacing w:after="120"/>
        <w:rPr>
          <w:rFonts w:cs="Arial"/>
        </w:rPr>
      </w:pPr>
      <w:r w:rsidRPr="001355FF">
        <w:rPr>
          <w:rFonts w:cs="Arial"/>
        </w:rPr>
        <w:t>Il progetto prevede 12 camere, uffici e spazi comuni. Inoltre verranno ottimizzati gli spazi del magazzino. Si presterà particolare attenzione anche ai collegamenti verso gli altri edifici e alla qualità dello spazio esterno.</w:t>
      </w:r>
    </w:p>
    <w:p w:rsidR="001355FF" w:rsidRPr="001355FF" w:rsidRDefault="001355FF" w:rsidP="001355FF">
      <w:pPr>
        <w:spacing w:after="120"/>
        <w:rPr>
          <w:rFonts w:cs="Arial"/>
        </w:rPr>
      </w:pPr>
      <w:r w:rsidRPr="001355FF">
        <w:rPr>
          <w:rFonts w:cs="Arial"/>
        </w:rPr>
        <w:t>Di seguito la descrizione degli spazi ricavati:</w:t>
      </w:r>
    </w:p>
    <w:p w:rsidR="001355FF" w:rsidRPr="001355FF" w:rsidRDefault="001355FF" w:rsidP="001355FF">
      <w:pPr>
        <w:spacing w:after="120"/>
        <w:rPr>
          <w:rFonts w:cs="Arial"/>
        </w:rPr>
      </w:pPr>
    </w:p>
    <w:tbl>
      <w:tblPr>
        <w:tblW w:w="9995" w:type="dxa"/>
        <w:tblCellMar>
          <w:left w:w="70" w:type="dxa"/>
          <w:right w:w="70" w:type="dxa"/>
        </w:tblCellMar>
        <w:tblLook w:val="04A0" w:firstRow="1" w:lastRow="0" w:firstColumn="1" w:lastColumn="0" w:noHBand="0" w:noVBand="1"/>
      </w:tblPr>
      <w:tblGrid>
        <w:gridCol w:w="920"/>
        <w:gridCol w:w="3753"/>
        <w:gridCol w:w="856"/>
        <w:gridCol w:w="901"/>
        <w:gridCol w:w="3565"/>
      </w:tblGrid>
      <w:tr w:rsidR="001355FF" w:rsidRPr="001355FF" w:rsidTr="004F4E2C">
        <w:trPr>
          <w:trHeight w:val="545"/>
        </w:trPr>
        <w:tc>
          <w:tcPr>
            <w:tcW w:w="920" w:type="dxa"/>
            <w:tcBorders>
              <w:top w:val="single" w:sz="4" w:space="0" w:color="auto"/>
              <w:bottom w:val="single" w:sz="4" w:space="0" w:color="auto"/>
            </w:tcBorders>
            <w:shd w:val="clear" w:color="auto" w:fill="auto"/>
            <w:vAlign w:val="center"/>
            <w:hideMark/>
          </w:tcPr>
          <w:p w:rsidR="001355FF" w:rsidRPr="001355FF" w:rsidRDefault="001355FF" w:rsidP="004F4E2C">
            <w:pPr>
              <w:jc w:val="center"/>
              <w:rPr>
                <w:rFonts w:eastAsia="Times New Roman" w:cs="Arial"/>
                <w:b/>
                <w:bCs/>
                <w:sz w:val="18"/>
                <w:szCs w:val="18"/>
                <w:lang w:val="it-IT" w:eastAsia="it-CH"/>
              </w:rPr>
            </w:pPr>
            <w:r w:rsidRPr="001355FF">
              <w:rPr>
                <w:rFonts w:eastAsia="Times New Roman" w:cs="Arial"/>
                <w:b/>
                <w:bCs/>
                <w:sz w:val="18"/>
                <w:szCs w:val="18"/>
                <w:lang w:val="it-IT" w:eastAsia="it-CH"/>
              </w:rPr>
              <w:t>N.</w:t>
            </w:r>
          </w:p>
        </w:tc>
        <w:tc>
          <w:tcPr>
            <w:tcW w:w="3753" w:type="dxa"/>
            <w:tcBorders>
              <w:top w:val="single" w:sz="4" w:space="0" w:color="auto"/>
              <w:bottom w:val="single" w:sz="4" w:space="0" w:color="auto"/>
            </w:tcBorders>
            <w:shd w:val="clear" w:color="auto" w:fill="auto"/>
            <w:vAlign w:val="center"/>
            <w:hideMark/>
          </w:tcPr>
          <w:p w:rsidR="001355FF" w:rsidRPr="001355FF" w:rsidRDefault="001355FF" w:rsidP="004F4E2C">
            <w:pPr>
              <w:jc w:val="left"/>
              <w:rPr>
                <w:rFonts w:eastAsia="Times New Roman" w:cs="Arial"/>
                <w:b/>
                <w:bCs/>
                <w:sz w:val="18"/>
                <w:szCs w:val="18"/>
                <w:lang w:val="it-IT" w:eastAsia="it-CH"/>
              </w:rPr>
            </w:pPr>
            <w:r w:rsidRPr="001355FF">
              <w:rPr>
                <w:rFonts w:eastAsia="Times New Roman" w:cs="Arial"/>
                <w:b/>
                <w:bCs/>
                <w:sz w:val="18"/>
                <w:szCs w:val="18"/>
                <w:lang w:val="it-IT" w:eastAsia="it-CH"/>
              </w:rPr>
              <w:t>Funzione</w:t>
            </w:r>
          </w:p>
        </w:tc>
        <w:tc>
          <w:tcPr>
            <w:tcW w:w="856" w:type="dxa"/>
            <w:tcBorders>
              <w:top w:val="single" w:sz="4" w:space="0" w:color="auto"/>
              <w:bottom w:val="single" w:sz="4" w:space="0" w:color="auto"/>
            </w:tcBorders>
            <w:shd w:val="clear" w:color="auto" w:fill="auto"/>
            <w:vAlign w:val="center"/>
            <w:hideMark/>
          </w:tcPr>
          <w:p w:rsidR="001355FF" w:rsidRPr="001355FF" w:rsidRDefault="001355FF" w:rsidP="004F4E2C">
            <w:pPr>
              <w:jc w:val="center"/>
              <w:rPr>
                <w:rFonts w:eastAsia="Times New Roman" w:cs="Arial"/>
                <w:b/>
                <w:bCs/>
                <w:sz w:val="18"/>
                <w:szCs w:val="18"/>
                <w:lang w:val="it-IT" w:eastAsia="it-CH"/>
              </w:rPr>
            </w:pPr>
            <w:r w:rsidRPr="001355FF">
              <w:rPr>
                <w:rFonts w:eastAsia="Times New Roman" w:cs="Arial"/>
                <w:b/>
                <w:bCs/>
                <w:sz w:val="18"/>
                <w:szCs w:val="18"/>
                <w:lang w:val="it-IT" w:eastAsia="it-CH"/>
              </w:rPr>
              <w:t>U</w:t>
            </w:r>
          </w:p>
        </w:tc>
        <w:tc>
          <w:tcPr>
            <w:tcW w:w="901" w:type="dxa"/>
            <w:tcBorders>
              <w:top w:val="single" w:sz="4" w:space="0" w:color="auto"/>
              <w:bottom w:val="single" w:sz="4" w:space="0" w:color="auto"/>
            </w:tcBorders>
            <w:shd w:val="clear" w:color="auto" w:fill="auto"/>
            <w:vAlign w:val="center"/>
            <w:hideMark/>
          </w:tcPr>
          <w:p w:rsidR="001355FF" w:rsidRPr="001355FF" w:rsidRDefault="001355FF" w:rsidP="004F4E2C">
            <w:pPr>
              <w:jc w:val="center"/>
              <w:rPr>
                <w:rFonts w:eastAsia="Times New Roman" w:cs="Arial"/>
                <w:b/>
                <w:bCs/>
                <w:sz w:val="18"/>
                <w:szCs w:val="18"/>
                <w:lang w:val="it-IT" w:eastAsia="it-CH"/>
              </w:rPr>
            </w:pPr>
            <w:r w:rsidRPr="001355FF">
              <w:rPr>
                <w:rFonts w:eastAsia="Times New Roman" w:cs="Arial"/>
                <w:b/>
                <w:bCs/>
                <w:sz w:val="18"/>
                <w:szCs w:val="18"/>
                <w:lang w:val="it-IT" w:eastAsia="it-CH"/>
              </w:rPr>
              <w:t>SN tot mq</w:t>
            </w:r>
          </w:p>
        </w:tc>
        <w:tc>
          <w:tcPr>
            <w:tcW w:w="3565" w:type="dxa"/>
            <w:tcBorders>
              <w:top w:val="single" w:sz="4" w:space="0" w:color="auto"/>
              <w:bottom w:val="single" w:sz="4" w:space="0" w:color="auto"/>
            </w:tcBorders>
            <w:shd w:val="clear" w:color="auto" w:fill="auto"/>
            <w:vAlign w:val="center"/>
            <w:hideMark/>
          </w:tcPr>
          <w:p w:rsidR="001355FF" w:rsidRPr="001355FF" w:rsidRDefault="001355FF" w:rsidP="004F4E2C">
            <w:pPr>
              <w:jc w:val="center"/>
              <w:rPr>
                <w:rFonts w:eastAsia="Times New Roman" w:cs="Arial"/>
                <w:b/>
                <w:bCs/>
                <w:sz w:val="18"/>
                <w:szCs w:val="18"/>
                <w:lang w:val="it-IT" w:eastAsia="it-CH"/>
              </w:rPr>
            </w:pPr>
            <w:r w:rsidRPr="001355FF">
              <w:rPr>
                <w:rFonts w:eastAsia="Times New Roman" w:cs="Arial"/>
                <w:b/>
                <w:bCs/>
                <w:sz w:val="18"/>
                <w:szCs w:val="18"/>
                <w:lang w:val="it-IT" w:eastAsia="it-CH"/>
              </w:rPr>
              <w:t>Osservazioni</w:t>
            </w:r>
          </w:p>
        </w:tc>
      </w:tr>
      <w:tr w:rsidR="001355FF" w:rsidRPr="001355FF" w:rsidTr="004F4E2C">
        <w:trPr>
          <w:trHeight w:val="77"/>
        </w:trPr>
        <w:tc>
          <w:tcPr>
            <w:tcW w:w="920" w:type="dxa"/>
            <w:tcBorders>
              <w:top w:val="single" w:sz="4" w:space="0" w:color="auto"/>
            </w:tcBorders>
            <w:shd w:val="clear" w:color="auto" w:fill="auto"/>
            <w:noWrap/>
            <w:vAlign w:val="center"/>
          </w:tcPr>
          <w:p w:rsidR="001355FF" w:rsidRPr="001355FF" w:rsidRDefault="001355FF" w:rsidP="004F4E2C">
            <w:pPr>
              <w:jc w:val="center"/>
              <w:rPr>
                <w:rFonts w:eastAsia="Times New Roman" w:cs="Arial"/>
                <w:b/>
                <w:bCs/>
                <w:sz w:val="10"/>
                <w:szCs w:val="10"/>
                <w:lang w:val="it-IT" w:eastAsia="it-CH"/>
              </w:rPr>
            </w:pPr>
          </w:p>
        </w:tc>
        <w:tc>
          <w:tcPr>
            <w:tcW w:w="3753" w:type="dxa"/>
            <w:tcBorders>
              <w:top w:val="single" w:sz="4" w:space="0" w:color="auto"/>
            </w:tcBorders>
            <w:shd w:val="clear" w:color="auto" w:fill="auto"/>
            <w:vAlign w:val="center"/>
          </w:tcPr>
          <w:p w:rsidR="001355FF" w:rsidRPr="001355FF" w:rsidRDefault="001355FF" w:rsidP="004F4E2C">
            <w:pPr>
              <w:jc w:val="left"/>
              <w:rPr>
                <w:rFonts w:eastAsia="Times New Roman" w:cs="Arial"/>
                <w:b/>
                <w:bCs/>
                <w:sz w:val="10"/>
                <w:szCs w:val="10"/>
                <w:lang w:val="it-IT" w:eastAsia="it-CH"/>
              </w:rPr>
            </w:pPr>
          </w:p>
        </w:tc>
        <w:tc>
          <w:tcPr>
            <w:tcW w:w="856" w:type="dxa"/>
            <w:tcBorders>
              <w:top w:val="single" w:sz="4" w:space="0" w:color="auto"/>
            </w:tcBorders>
            <w:shd w:val="clear" w:color="auto" w:fill="auto"/>
            <w:noWrap/>
            <w:vAlign w:val="center"/>
          </w:tcPr>
          <w:p w:rsidR="001355FF" w:rsidRPr="001355FF" w:rsidRDefault="001355FF" w:rsidP="004F4E2C">
            <w:pPr>
              <w:jc w:val="center"/>
              <w:rPr>
                <w:rFonts w:eastAsia="Times New Roman" w:cs="Arial"/>
                <w:b/>
                <w:bCs/>
                <w:sz w:val="10"/>
                <w:szCs w:val="10"/>
                <w:lang w:val="it-IT" w:eastAsia="it-CH"/>
              </w:rPr>
            </w:pPr>
          </w:p>
        </w:tc>
        <w:tc>
          <w:tcPr>
            <w:tcW w:w="901" w:type="dxa"/>
            <w:tcBorders>
              <w:top w:val="single" w:sz="4" w:space="0" w:color="auto"/>
            </w:tcBorders>
            <w:shd w:val="clear" w:color="auto" w:fill="auto"/>
            <w:noWrap/>
            <w:vAlign w:val="center"/>
          </w:tcPr>
          <w:p w:rsidR="001355FF" w:rsidRPr="001355FF" w:rsidRDefault="001355FF" w:rsidP="004F4E2C">
            <w:pPr>
              <w:jc w:val="center"/>
              <w:rPr>
                <w:rFonts w:eastAsia="Times New Roman" w:cs="Arial"/>
                <w:b/>
                <w:bCs/>
                <w:sz w:val="10"/>
                <w:szCs w:val="10"/>
                <w:lang w:val="it-IT" w:eastAsia="it-CH"/>
              </w:rPr>
            </w:pPr>
          </w:p>
        </w:tc>
        <w:tc>
          <w:tcPr>
            <w:tcW w:w="3565" w:type="dxa"/>
            <w:tcBorders>
              <w:top w:val="single" w:sz="4" w:space="0" w:color="auto"/>
            </w:tcBorders>
            <w:shd w:val="clear" w:color="auto" w:fill="auto"/>
            <w:vAlign w:val="center"/>
          </w:tcPr>
          <w:p w:rsidR="001355FF" w:rsidRPr="001355FF" w:rsidRDefault="001355FF" w:rsidP="004F4E2C">
            <w:pPr>
              <w:jc w:val="left"/>
              <w:rPr>
                <w:rFonts w:eastAsia="Times New Roman" w:cs="Arial"/>
                <w:b/>
                <w:bCs/>
                <w:sz w:val="10"/>
                <w:szCs w:val="10"/>
                <w:lang w:val="it-IT" w:eastAsia="it-CH"/>
              </w:rPr>
            </w:pP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center"/>
              <w:rPr>
                <w:rFonts w:eastAsia="Times New Roman" w:cs="Arial"/>
                <w:b/>
                <w:bCs/>
                <w:sz w:val="18"/>
                <w:szCs w:val="18"/>
                <w:lang w:val="it-IT" w:eastAsia="it-CH"/>
              </w:rPr>
            </w:pPr>
            <w:r w:rsidRPr="001355FF">
              <w:rPr>
                <w:rFonts w:eastAsia="Times New Roman" w:cs="Arial"/>
                <w:b/>
                <w:bCs/>
                <w:sz w:val="18"/>
                <w:szCs w:val="18"/>
                <w:lang w:val="it-IT" w:eastAsia="it-CH"/>
              </w:rPr>
              <w:t>-100</w:t>
            </w:r>
          </w:p>
        </w:tc>
        <w:tc>
          <w:tcPr>
            <w:tcW w:w="3753" w:type="dxa"/>
            <w:shd w:val="clear" w:color="auto" w:fill="auto"/>
            <w:vAlign w:val="center"/>
            <w:hideMark/>
          </w:tcPr>
          <w:p w:rsidR="001355FF" w:rsidRPr="001355FF" w:rsidRDefault="001355FF" w:rsidP="004F4E2C">
            <w:pPr>
              <w:jc w:val="left"/>
              <w:rPr>
                <w:rFonts w:eastAsia="Times New Roman" w:cs="Arial"/>
                <w:b/>
                <w:bCs/>
                <w:sz w:val="18"/>
                <w:szCs w:val="18"/>
                <w:lang w:val="it-IT" w:eastAsia="it-CH"/>
              </w:rPr>
            </w:pPr>
            <w:r w:rsidRPr="001355FF">
              <w:rPr>
                <w:rFonts w:eastAsia="Times New Roman" w:cs="Arial"/>
                <w:b/>
                <w:bCs/>
                <w:sz w:val="18"/>
                <w:szCs w:val="18"/>
                <w:lang w:val="it-IT" w:eastAsia="it-CH"/>
              </w:rPr>
              <w:t>PIANO INTERRATO</w:t>
            </w:r>
          </w:p>
        </w:tc>
        <w:tc>
          <w:tcPr>
            <w:tcW w:w="856" w:type="dxa"/>
            <w:shd w:val="clear" w:color="auto" w:fill="auto"/>
            <w:noWrap/>
            <w:vAlign w:val="center"/>
          </w:tcPr>
          <w:p w:rsidR="001355FF" w:rsidRPr="001355FF" w:rsidRDefault="001355FF" w:rsidP="004F4E2C">
            <w:pPr>
              <w:jc w:val="center"/>
              <w:rPr>
                <w:rFonts w:eastAsia="Times New Roman" w:cs="Arial"/>
                <w:b/>
                <w:bCs/>
                <w:sz w:val="18"/>
                <w:szCs w:val="18"/>
                <w:lang w:val="it-IT" w:eastAsia="it-CH"/>
              </w:rPr>
            </w:pPr>
          </w:p>
        </w:tc>
        <w:tc>
          <w:tcPr>
            <w:tcW w:w="901" w:type="dxa"/>
            <w:shd w:val="clear" w:color="auto" w:fill="auto"/>
            <w:noWrap/>
            <w:vAlign w:val="center"/>
          </w:tcPr>
          <w:p w:rsidR="001355FF" w:rsidRPr="001355FF" w:rsidRDefault="001355FF" w:rsidP="004F4E2C">
            <w:pPr>
              <w:jc w:val="center"/>
              <w:rPr>
                <w:rFonts w:eastAsia="Times New Roman" w:cs="Arial"/>
                <w:b/>
                <w:bCs/>
                <w:sz w:val="18"/>
                <w:szCs w:val="18"/>
                <w:lang w:val="it-IT" w:eastAsia="it-CH"/>
              </w:rPr>
            </w:pP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right"/>
              <w:rPr>
                <w:rFonts w:eastAsia="Times New Roman" w:cs="Arial"/>
                <w:bCs/>
                <w:sz w:val="18"/>
                <w:szCs w:val="18"/>
                <w:lang w:val="it-IT" w:eastAsia="it-CH"/>
              </w:rPr>
            </w:pPr>
            <w:r w:rsidRPr="001355FF">
              <w:rPr>
                <w:rFonts w:eastAsia="Times New Roman" w:cs="Arial"/>
                <w:bCs/>
                <w:sz w:val="18"/>
                <w:szCs w:val="18"/>
                <w:lang w:val="it-IT" w:eastAsia="it-CH"/>
              </w:rPr>
              <w:t>-110</w:t>
            </w:r>
          </w:p>
        </w:tc>
        <w:tc>
          <w:tcPr>
            <w:tcW w:w="3753" w:type="dxa"/>
            <w:shd w:val="clear" w:color="auto" w:fill="auto"/>
            <w:vAlign w:val="center"/>
            <w:hideMark/>
          </w:tcPr>
          <w:p w:rsidR="001355FF" w:rsidRPr="001355FF" w:rsidRDefault="001355FF" w:rsidP="004F4E2C">
            <w:pPr>
              <w:jc w:val="left"/>
              <w:rPr>
                <w:rFonts w:eastAsia="Times New Roman" w:cs="Arial"/>
                <w:bCs/>
                <w:sz w:val="18"/>
                <w:szCs w:val="18"/>
                <w:lang w:val="it-IT" w:eastAsia="it-CH"/>
              </w:rPr>
            </w:pPr>
            <w:r w:rsidRPr="001355FF">
              <w:rPr>
                <w:rFonts w:eastAsia="Times New Roman" w:cs="Arial"/>
                <w:bCs/>
                <w:sz w:val="18"/>
                <w:szCs w:val="18"/>
                <w:lang w:val="it-IT" w:eastAsia="it-CH"/>
              </w:rPr>
              <w:t>magazzino depositi</w:t>
            </w:r>
          </w:p>
        </w:tc>
        <w:tc>
          <w:tcPr>
            <w:tcW w:w="856" w:type="dxa"/>
            <w:shd w:val="clear" w:color="auto" w:fill="auto"/>
            <w:noWrap/>
            <w:vAlign w:val="center"/>
            <w:hideMark/>
          </w:tcPr>
          <w:p w:rsidR="001355FF" w:rsidRPr="001355FF" w:rsidRDefault="001355FF" w:rsidP="004F4E2C">
            <w:pPr>
              <w:jc w:val="center"/>
              <w:rPr>
                <w:rFonts w:eastAsia="Times New Roman" w:cs="Arial"/>
                <w:bCs/>
                <w:sz w:val="18"/>
                <w:szCs w:val="18"/>
                <w:lang w:val="it-IT" w:eastAsia="it-CH"/>
              </w:rPr>
            </w:pPr>
            <w:r w:rsidRPr="001355FF">
              <w:rPr>
                <w:rFonts w:eastAsia="Times New Roman" w:cs="Arial"/>
                <w:bCs/>
                <w:sz w:val="18"/>
                <w:szCs w:val="18"/>
                <w:lang w:val="it-IT" w:eastAsia="it-CH"/>
              </w:rPr>
              <w:t>22</w:t>
            </w:r>
          </w:p>
        </w:tc>
        <w:tc>
          <w:tcPr>
            <w:tcW w:w="901" w:type="dxa"/>
            <w:shd w:val="clear" w:color="auto" w:fill="auto"/>
            <w:noWrap/>
            <w:vAlign w:val="center"/>
          </w:tcPr>
          <w:p w:rsidR="001355FF" w:rsidRPr="001355FF" w:rsidRDefault="001355FF" w:rsidP="004F4E2C">
            <w:pPr>
              <w:jc w:val="center"/>
              <w:rPr>
                <w:rFonts w:eastAsia="Times New Roman" w:cs="Arial"/>
                <w:bCs/>
                <w:sz w:val="18"/>
                <w:szCs w:val="18"/>
                <w:lang w:val="it-IT" w:eastAsia="it-CH"/>
              </w:rPr>
            </w:pPr>
            <w:r w:rsidRPr="001355FF">
              <w:rPr>
                <w:rFonts w:eastAsia="Times New Roman" w:cs="Arial"/>
                <w:bCs/>
                <w:sz w:val="18"/>
                <w:szCs w:val="18"/>
                <w:lang w:val="it-IT" w:eastAsia="it-CH"/>
              </w:rPr>
              <w:t>401.5</w:t>
            </w: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right"/>
              <w:rPr>
                <w:rFonts w:eastAsia="Times New Roman" w:cs="Arial"/>
                <w:bCs/>
                <w:sz w:val="18"/>
                <w:szCs w:val="18"/>
                <w:lang w:val="it-IT" w:eastAsia="it-CH"/>
              </w:rPr>
            </w:pPr>
            <w:r w:rsidRPr="001355FF">
              <w:rPr>
                <w:rFonts w:eastAsia="Times New Roman" w:cs="Arial"/>
                <w:bCs/>
                <w:sz w:val="18"/>
                <w:szCs w:val="18"/>
                <w:lang w:val="it-IT" w:eastAsia="it-CH"/>
              </w:rPr>
              <w:t>-120</w:t>
            </w:r>
          </w:p>
        </w:tc>
        <w:tc>
          <w:tcPr>
            <w:tcW w:w="3753" w:type="dxa"/>
            <w:shd w:val="clear" w:color="auto" w:fill="auto"/>
            <w:vAlign w:val="center"/>
            <w:hideMark/>
          </w:tcPr>
          <w:p w:rsidR="001355FF" w:rsidRPr="001355FF" w:rsidRDefault="001355FF" w:rsidP="004F4E2C">
            <w:pPr>
              <w:jc w:val="left"/>
              <w:rPr>
                <w:rFonts w:eastAsia="Times New Roman" w:cs="Arial"/>
                <w:bCs/>
                <w:sz w:val="18"/>
                <w:szCs w:val="18"/>
                <w:lang w:val="it-IT" w:eastAsia="it-CH"/>
              </w:rPr>
            </w:pPr>
            <w:r w:rsidRPr="001355FF">
              <w:rPr>
                <w:rFonts w:eastAsia="Times New Roman" w:cs="Arial"/>
                <w:bCs/>
                <w:sz w:val="18"/>
                <w:szCs w:val="18"/>
                <w:lang w:val="it-IT" w:eastAsia="it-CH"/>
              </w:rPr>
              <w:t>locali tecnici</w:t>
            </w:r>
          </w:p>
        </w:tc>
        <w:tc>
          <w:tcPr>
            <w:tcW w:w="856" w:type="dxa"/>
            <w:shd w:val="clear" w:color="auto" w:fill="auto"/>
            <w:noWrap/>
            <w:vAlign w:val="center"/>
            <w:hideMark/>
          </w:tcPr>
          <w:p w:rsidR="001355FF" w:rsidRPr="001355FF" w:rsidRDefault="001355FF" w:rsidP="004F4E2C">
            <w:pPr>
              <w:jc w:val="center"/>
              <w:rPr>
                <w:rFonts w:eastAsia="Times New Roman" w:cs="Arial"/>
                <w:sz w:val="18"/>
                <w:szCs w:val="18"/>
                <w:lang w:val="it-IT" w:eastAsia="it-CH"/>
              </w:rPr>
            </w:pPr>
            <w:r w:rsidRPr="001355FF">
              <w:rPr>
                <w:rFonts w:eastAsia="Times New Roman" w:cs="Arial"/>
                <w:sz w:val="18"/>
                <w:szCs w:val="18"/>
                <w:lang w:val="it-IT" w:eastAsia="it-CH"/>
              </w:rPr>
              <w:t>3</w:t>
            </w:r>
          </w:p>
        </w:tc>
        <w:tc>
          <w:tcPr>
            <w:tcW w:w="901" w:type="dxa"/>
            <w:shd w:val="clear" w:color="auto" w:fill="auto"/>
            <w:noWrap/>
            <w:vAlign w:val="center"/>
            <w:hideMark/>
          </w:tcPr>
          <w:p w:rsidR="001355FF" w:rsidRPr="001355FF" w:rsidRDefault="001355FF" w:rsidP="004F4E2C">
            <w:pPr>
              <w:jc w:val="center"/>
              <w:rPr>
                <w:rFonts w:eastAsia="Times New Roman" w:cs="Arial"/>
                <w:sz w:val="18"/>
                <w:szCs w:val="18"/>
                <w:lang w:val="it-IT" w:eastAsia="it-CH"/>
              </w:rPr>
            </w:pPr>
            <w:r w:rsidRPr="001355FF">
              <w:rPr>
                <w:rFonts w:eastAsia="Times New Roman" w:cs="Arial"/>
                <w:sz w:val="18"/>
                <w:szCs w:val="18"/>
                <w:lang w:val="it-IT" w:eastAsia="it-CH"/>
              </w:rPr>
              <w:t>47.0</w:t>
            </w: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r w:rsidRPr="001355FF">
              <w:rPr>
                <w:rFonts w:eastAsia="Times New Roman" w:cs="Arial"/>
                <w:sz w:val="18"/>
                <w:szCs w:val="18"/>
                <w:lang w:val="it-IT" w:eastAsia="it-CH"/>
              </w:rPr>
              <w:t>divisi per i diversi impianti</w:t>
            </w:r>
          </w:p>
        </w:tc>
      </w:tr>
      <w:tr w:rsidR="001355FF" w:rsidRPr="001355FF" w:rsidTr="004F4E2C">
        <w:trPr>
          <w:trHeight w:val="77"/>
        </w:trPr>
        <w:tc>
          <w:tcPr>
            <w:tcW w:w="920" w:type="dxa"/>
            <w:shd w:val="clear" w:color="auto" w:fill="auto"/>
            <w:noWrap/>
            <w:vAlign w:val="center"/>
          </w:tcPr>
          <w:p w:rsidR="001355FF" w:rsidRPr="001355FF" w:rsidRDefault="001355FF" w:rsidP="004F4E2C">
            <w:pPr>
              <w:jc w:val="center"/>
              <w:rPr>
                <w:rFonts w:eastAsia="Times New Roman" w:cs="Arial"/>
                <w:b/>
                <w:bCs/>
                <w:sz w:val="10"/>
                <w:szCs w:val="10"/>
                <w:lang w:val="it-IT" w:eastAsia="it-CH"/>
              </w:rPr>
            </w:pPr>
          </w:p>
        </w:tc>
        <w:tc>
          <w:tcPr>
            <w:tcW w:w="3753" w:type="dxa"/>
            <w:shd w:val="clear" w:color="auto" w:fill="auto"/>
            <w:vAlign w:val="center"/>
          </w:tcPr>
          <w:p w:rsidR="001355FF" w:rsidRPr="001355FF" w:rsidRDefault="001355FF" w:rsidP="004F4E2C">
            <w:pPr>
              <w:jc w:val="left"/>
              <w:rPr>
                <w:rFonts w:eastAsia="Times New Roman" w:cs="Arial"/>
                <w:b/>
                <w:bCs/>
                <w:sz w:val="10"/>
                <w:szCs w:val="10"/>
                <w:lang w:val="it-IT" w:eastAsia="it-CH"/>
              </w:rPr>
            </w:pPr>
          </w:p>
        </w:tc>
        <w:tc>
          <w:tcPr>
            <w:tcW w:w="856" w:type="dxa"/>
            <w:shd w:val="clear" w:color="auto" w:fill="auto"/>
            <w:noWrap/>
            <w:vAlign w:val="center"/>
          </w:tcPr>
          <w:p w:rsidR="001355FF" w:rsidRPr="001355FF" w:rsidRDefault="001355FF" w:rsidP="004F4E2C">
            <w:pPr>
              <w:jc w:val="center"/>
              <w:rPr>
                <w:rFonts w:eastAsia="Times New Roman" w:cs="Arial"/>
                <w:b/>
                <w:bCs/>
                <w:sz w:val="10"/>
                <w:szCs w:val="10"/>
                <w:lang w:val="it-IT" w:eastAsia="it-CH"/>
              </w:rPr>
            </w:pPr>
          </w:p>
        </w:tc>
        <w:tc>
          <w:tcPr>
            <w:tcW w:w="901" w:type="dxa"/>
            <w:shd w:val="clear" w:color="auto" w:fill="auto"/>
            <w:noWrap/>
            <w:vAlign w:val="center"/>
          </w:tcPr>
          <w:p w:rsidR="001355FF" w:rsidRPr="001355FF" w:rsidRDefault="001355FF" w:rsidP="004F4E2C">
            <w:pPr>
              <w:jc w:val="center"/>
              <w:rPr>
                <w:rFonts w:eastAsia="Times New Roman" w:cs="Arial"/>
                <w:b/>
                <w:bCs/>
                <w:sz w:val="10"/>
                <w:szCs w:val="10"/>
                <w:lang w:val="it-IT" w:eastAsia="it-CH"/>
              </w:rPr>
            </w:pPr>
          </w:p>
        </w:tc>
        <w:tc>
          <w:tcPr>
            <w:tcW w:w="3565" w:type="dxa"/>
            <w:shd w:val="clear" w:color="auto" w:fill="auto"/>
            <w:vAlign w:val="center"/>
          </w:tcPr>
          <w:p w:rsidR="001355FF" w:rsidRPr="001355FF" w:rsidRDefault="001355FF" w:rsidP="004F4E2C">
            <w:pPr>
              <w:jc w:val="left"/>
              <w:rPr>
                <w:rFonts w:eastAsia="Times New Roman" w:cs="Arial"/>
                <w:b/>
                <w:bCs/>
                <w:sz w:val="10"/>
                <w:szCs w:val="10"/>
                <w:lang w:val="it-IT" w:eastAsia="it-CH"/>
              </w:rPr>
            </w:pP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center"/>
              <w:rPr>
                <w:rFonts w:eastAsia="Times New Roman" w:cs="Arial"/>
                <w:b/>
                <w:bCs/>
                <w:sz w:val="18"/>
                <w:szCs w:val="18"/>
                <w:lang w:val="it-IT" w:eastAsia="it-CH"/>
              </w:rPr>
            </w:pPr>
            <w:r w:rsidRPr="001355FF">
              <w:rPr>
                <w:rFonts w:eastAsia="Times New Roman" w:cs="Arial"/>
                <w:b/>
                <w:bCs/>
                <w:sz w:val="18"/>
                <w:szCs w:val="18"/>
                <w:lang w:val="it-IT" w:eastAsia="it-CH"/>
              </w:rPr>
              <w:t>000</w:t>
            </w:r>
          </w:p>
        </w:tc>
        <w:tc>
          <w:tcPr>
            <w:tcW w:w="3753" w:type="dxa"/>
            <w:shd w:val="clear" w:color="auto" w:fill="auto"/>
            <w:vAlign w:val="center"/>
            <w:hideMark/>
          </w:tcPr>
          <w:p w:rsidR="001355FF" w:rsidRPr="001355FF" w:rsidRDefault="001355FF" w:rsidP="004F4E2C">
            <w:pPr>
              <w:jc w:val="left"/>
              <w:rPr>
                <w:rFonts w:eastAsia="Times New Roman" w:cs="Arial"/>
                <w:b/>
                <w:bCs/>
                <w:sz w:val="18"/>
                <w:szCs w:val="18"/>
                <w:lang w:val="it-IT" w:eastAsia="it-CH"/>
              </w:rPr>
            </w:pPr>
            <w:r w:rsidRPr="001355FF">
              <w:rPr>
                <w:rFonts w:eastAsia="Times New Roman" w:cs="Arial"/>
                <w:b/>
                <w:bCs/>
                <w:sz w:val="18"/>
                <w:szCs w:val="18"/>
                <w:lang w:val="it-IT" w:eastAsia="it-CH"/>
              </w:rPr>
              <w:t>PIANO TERRENO</w:t>
            </w:r>
          </w:p>
        </w:tc>
        <w:tc>
          <w:tcPr>
            <w:tcW w:w="856" w:type="dxa"/>
            <w:shd w:val="clear" w:color="auto" w:fill="auto"/>
            <w:noWrap/>
            <w:vAlign w:val="center"/>
          </w:tcPr>
          <w:p w:rsidR="001355FF" w:rsidRPr="001355FF" w:rsidRDefault="001355FF" w:rsidP="004F4E2C">
            <w:pPr>
              <w:jc w:val="center"/>
              <w:rPr>
                <w:rFonts w:eastAsia="Times New Roman" w:cs="Arial"/>
                <w:b/>
                <w:bCs/>
                <w:sz w:val="18"/>
                <w:szCs w:val="18"/>
                <w:lang w:val="it-IT" w:eastAsia="it-CH"/>
              </w:rPr>
            </w:pPr>
          </w:p>
        </w:tc>
        <w:tc>
          <w:tcPr>
            <w:tcW w:w="901" w:type="dxa"/>
            <w:shd w:val="clear" w:color="auto" w:fill="auto"/>
            <w:noWrap/>
            <w:vAlign w:val="center"/>
          </w:tcPr>
          <w:p w:rsidR="001355FF" w:rsidRPr="001355FF" w:rsidRDefault="001355FF" w:rsidP="004F4E2C">
            <w:pPr>
              <w:jc w:val="center"/>
              <w:rPr>
                <w:rFonts w:eastAsia="Times New Roman" w:cs="Arial"/>
                <w:b/>
                <w:bCs/>
                <w:sz w:val="18"/>
                <w:szCs w:val="18"/>
                <w:lang w:val="it-IT" w:eastAsia="it-CH"/>
              </w:rPr>
            </w:pP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right"/>
              <w:rPr>
                <w:rFonts w:eastAsia="Times New Roman" w:cs="Arial"/>
                <w:bCs/>
                <w:sz w:val="18"/>
                <w:szCs w:val="18"/>
                <w:lang w:val="it-IT" w:eastAsia="it-CH"/>
              </w:rPr>
            </w:pPr>
            <w:r w:rsidRPr="001355FF">
              <w:rPr>
                <w:rFonts w:eastAsia="Times New Roman" w:cs="Arial"/>
                <w:bCs/>
                <w:sz w:val="18"/>
                <w:szCs w:val="18"/>
                <w:lang w:val="it-IT" w:eastAsia="it-CH"/>
              </w:rPr>
              <w:t>010</w:t>
            </w:r>
          </w:p>
        </w:tc>
        <w:tc>
          <w:tcPr>
            <w:tcW w:w="3753" w:type="dxa"/>
            <w:shd w:val="clear" w:color="auto" w:fill="auto"/>
            <w:vAlign w:val="center"/>
            <w:hideMark/>
          </w:tcPr>
          <w:p w:rsidR="001355FF" w:rsidRPr="001355FF" w:rsidRDefault="001355FF" w:rsidP="004F4E2C">
            <w:pPr>
              <w:jc w:val="left"/>
              <w:rPr>
                <w:rFonts w:eastAsia="Times New Roman" w:cs="Arial"/>
                <w:bCs/>
                <w:sz w:val="18"/>
                <w:szCs w:val="18"/>
                <w:lang w:val="it-IT" w:eastAsia="it-CH"/>
              </w:rPr>
            </w:pPr>
            <w:r w:rsidRPr="001355FF">
              <w:rPr>
                <w:rFonts w:eastAsia="Times New Roman" w:cs="Arial"/>
                <w:bCs/>
                <w:sz w:val="18"/>
                <w:szCs w:val="18"/>
                <w:lang w:val="it-IT" w:eastAsia="it-CH"/>
              </w:rPr>
              <w:t>accoglienza</w:t>
            </w:r>
          </w:p>
        </w:tc>
        <w:tc>
          <w:tcPr>
            <w:tcW w:w="856" w:type="dxa"/>
            <w:shd w:val="clear" w:color="auto" w:fill="auto"/>
            <w:noWrap/>
            <w:vAlign w:val="center"/>
          </w:tcPr>
          <w:p w:rsidR="001355FF" w:rsidRPr="001355FF" w:rsidRDefault="001355FF" w:rsidP="004F4E2C">
            <w:pPr>
              <w:jc w:val="center"/>
              <w:rPr>
                <w:rFonts w:eastAsia="Times New Roman" w:cs="Arial"/>
                <w:bCs/>
                <w:sz w:val="18"/>
                <w:szCs w:val="18"/>
                <w:lang w:val="it-IT" w:eastAsia="it-CH"/>
              </w:rPr>
            </w:pPr>
            <w:r w:rsidRPr="001355FF">
              <w:rPr>
                <w:rFonts w:eastAsia="Times New Roman" w:cs="Arial"/>
                <w:bCs/>
                <w:sz w:val="18"/>
                <w:szCs w:val="18"/>
                <w:lang w:val="it-IT" w:eastAsia="it-CH"/>
              </w:rPr>
              <w:t>3</w:t>
            </w:r>
          </w:p>
        </w:tc>
        <w:tc>
          <w:tcPr>
            <w:tcW w:w="901" w:type="dxa"/>
            <w:shd w:val="clear" w:color="auto" w:fill="auto"/>
            <w:noWrap/>
            <w:vAlign w:val="center"/>
          </w:tcPr>
          <w:p w:rsidR="001355FF" w:rsidRPr="001355FF" w:rsidRDefault="001355FF" w:rsidP="004F4E2C">
            <w:pPr>
              <w:jc w:val="center"/>
              <w:rPr>
                <w:rFonts w:eastAsia="Times New Roman" w:cs="Arial"/>
                <w:bCs/>
                <w:sz w:val="18"/>
                <w:szCs w:val="18"/>
                <w:lang w:val="it-IT" w:eastAsia="it-CH"/>
              </w:rPr>
            </w:pPr>
            <w:r w:rsidRPr="001355FF">
              <w:rPr>
                <w:rFonts w:eastAsia="Times New Roman" w:cs="Arial"/>
                <w:bCs/>
                <w:sz w:val="18"/>
                <w:szCs w:val="18"/>
                <w:lang w:val="it-IT" w:eastAsia="it-CH"/>
              </w:rPr>
              <w:t>60.0</w:t>
            </w: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r w:rsidRPr="001355FF">
              <w:rPr>
                <w:rFonts w:eastAsia="Times New Roman" w:cs="Arial"/>
                <w:sz w:val="18"/>
                <w:szCs w:val="18"/>
                <w:lang w:val="it-IT" w:eastAsia="it-CH"/>
              </w:rPr>
              <w:t>atrio, sala riunione, servizi igienici</w:t>
            </w: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right"/>
              <w:rPr>
                <w:rFonts w:eastAsia="Times New Roman" w:cs="Arial"/>
                <w:bCs/>
                <w:sz w:val="18"/>
                <w:szCs w:val="18"/>
                <w:lang w:val="it-IT" w:eastAsia="it-CH"/>
              </w:rPr>
            </w:pPr>
            <w:r w:rsidRPr="001355FF">
              <w:rPr>
                <w:rFonts w:eastAsia="Times New Roman" w:cs="Arial"/>
                <w:bCs/>
                <w:sz w:val="18"/>
                <w:szCs w:val="18"/>
                <w:lang w:val="it-IT" w:eastAsia="it-CH"/>
              </w:rPr>
              <w:t>020</w:t>
            </w:r>
          </w:p>
        </w:tc>
        <w:tc>
          <w:tcPr>
            <w:tcW w:w="3753" w:type="dxa"/>
            <w:shd w:val="clear" w:color="auto" w:fill="auto"/>
            <w:vAlign w:val="center"/>
            <w:hideMark/>
          </w:tcPr>
          <w:p w:rsidR="001355FF" w:rsidRPr="001355FF" w:rsidRDefault="001355FF" w:rsidP="004F4E2C">
            <w:pPr>
              <w:jc w:val="left"/>
              <w:rPr>
                <w:rFonts w:eastAsia="Times New Roman" w:cs="Arial"/>
                <w:bCs/>
                <w:sz w:val="18"/>
                <w:szCs w:val="18"/>
                <w:lang w:val="it-IT" w:eastAsia="it-CH"/>
              </w:rPr>
            </w:pPr>
            <w:r w:rsidRPr="001355FF">
              <w:rPr>
                <w:rFonts w:eastAsia="Times New Roman" w:cs="Arial"/>
                <w:bCs/>
                <w:sz w:val="18"/>
                <w:szCs w:val="18"/>
                <w:lang w:val="it-IT" w:eastAsia="it-CH"/>
              </w:rPr>
              <w:t>amministrativo</w:t>
            </w:r>
          </w:p>
        </w:tc>
        <w:tc>
          <w:tcPr>
            <w:tcW w:w="856" w:type="dxa"/>
            <w:shd w:val="clear" w:color="auto" w:fill="auto"/>
            <w:noWrap/>
            <w:vAlign w:val="center"/>
          </w:tcPr>
          <w:p w:rsidR="001355FF" w:rsidRPr="001355FF" w:rsidRDefault="001355FF" w:rsidP="004F4E2C">
            <w:pPr>
              <w:jc w:val="center"/>
              <w:rPr>
                <w:rFonts w:eastAsia="Times New Roman" w:cs="Arial"/>
                <w:bCs/>
                <w:sz w:val="18"/>
                <w:szCs w:val="18"/>
                <w:lang w:val="it-IT" w:eastAsia="it-CH"/>
              </w:rPr>
            </w:pPr>
            <w:r w:rsidRPr="001355FF">
              <w:rPr>
                <w:rFonts w:eastAsia="Times New Roman" w:cs="Arial"/>
                <w:bCs/>
                <w:sz w:val="18"/>
                <w:szCs w:val="18"/>
                <w:lang w:val="it-IT" w:eastAsia="it-CH"/>
              </w:rPr>
              <w:t>6</w:t>
            </w:r>
          </w:p>
        </w:tc>
        <w:tc>
          <w:tcPr>
            <w:tcW w:w="901" w:type="dxa"/>
            <w:shd w:val="clear" w:color="auto" w:fill="auto"/>
            <w:noWrap/>
            <w:vAlign w:val="center"/>
          </w:tcPr>
          <w:p w:rsidR="001355FF" w:rsidRPr="001355FF" w:rsidRDefault="001355FF" w:rsidP="004F4E2C">
            <w:pPr>
              <w:jc w:val="center"/>
              <w:rPr>
                <w:rFonts w:eastAsia="Times New Roman" w:cs="Arial"/>
                <w:bCs/>
                <w:sz w:val="18"/>
                <w:szCs w:val="18"/>
                <w:lang w:val="it-IT" w:eastAsia="it-CH"/>
              </w:rPr>
            </w:pPr>
            <w:r w:rsidRPr="001355FF">
              <w:rPr>
                <w:rFonts w:eastAsia="Times New Roman" w:cs="Arial"/>
                <w:bCs/>
                <w:sz w:val="18"/>
                <w:szCs w:val="18"/>
                <w:lang w:val="it-IT" w:eastAsia="it-CH"/>
              </w:rPr>
              <w:t>53.0</w:t>
            </w: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right"/>
              <w:rPr>
                <w:rFonts w:eastAsia="Times New Roman" w:cs="Arial"/>
                <w:bCs/>
                <w:sz w:val="18"/>
                <w:szCs w:val="18"/>
                <w:lang w:val="it-IT" w:eastAsia="it-CH"/>
              </w:rPr>
            </w:pPr>
            <w:r w:rsidRPr="001355FF">
              <w:rPr>
                <w:rFonts w:eastAsia="Times New Roman" w:cs="Arial"/>
                <w:bCs/>
                <w:sz w:val="18"/>
                <w:szCs w:val="18"/>
                <w:lang w:val="it-IT" w:eastAsia="it-CH"/>
              </w:rPr>
              <w:t>030</w:t>
            </w:r>
          </w:p>
        </w:tc>
        <w:tc>
          <w:tcPr>
            <w:tcW w:w="3753" w:type="dxa"/>
            <w:shd w:val="clear" w:color="auto" w:fill="auto"/>
            <w:vAlign w:val="center"/>
            <w:hideMark/>
          </w:tcPr>
          <w:p w:rsidR="001355FF" w:rsidRPr="001355FF" w:rsidRDefault="001355FF" w:rsidP="004F4E2C">
            <w:pPr>
              <w:jc w:val="left"/>
              <w:rPr>
                <w:rFonts w:eastAsia="Times New Roman" w:cs="Arial"/>
                <w:bCs/>
                <w:sz w:val="18"/>
                <w:szCs w:val="18"/>
                <w:lang w:val="it-IT" w:eastAsia="it-CH"/>
              </w:rPr>
            </w:pPr>
            <w:r w:rsidRPr="001355FF">
              <w:rPr>
                <w:rFonts w:eastAsia="Times New Roman" w:cs="Arial"/>
                <w:bCs/>
                <w:sz w:val="18"/>
                <w:szCs w:val="18"/>
                <w:lang w:val="it-IT" w:eastAsia="it-CH"/>
              </w:rPr>
              <w:t>camere</w:t>
            </w:r>
          </w:p>
        </w:tc>
        <w:tc>
          <w:tcPr>
            <w:tcW w:w="856"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r w:rsidRPr="001355FF">
              <w:rPr>
                <w:rFonts w:eastAsia="Times New Roman" w:cs="Arial"/>
                <w:sz w:val="18"/>
                <w:szCs w:val="18"/>
                <w:lang w:val="it-IT" w:eastAsia="it-CH"/>
              </w:rPr>
              <w:t>12</w:t>
            </w:r>
          </w:p>
        </w:tc>
        <w:tc>
          <w:tcPr>
            <w:tcW w:w="901" w:type="dxa"/>
            <w:shd w:val="clear" w:color="auto" w:fill="auto"/>
            <w:noWrap/>
            <w:vAlign w:val="center"/>
          </w:tcPr>
          <w:p w:rsidR="001355FF" w:rsidRPr="001355FF" w:rsidRDefault="001355FF" w:rsidP="004F4E2C">
            <w:pPr>
              <w:jc w:val="center"/>
              <w:rPr>
                <w:rFonts w:eastAsia="Times New Roman" w:cs="Arial"/>
                <w:bCs/>
                <w:sz w:val="18"/>
                <w:szCs w:val="18"/>
                <w:lang w:val="it-IT" w:eastAsia="it-CH"/>
              </w:rPr>
            </w:pPr>
            <w:r w:rsidRPr="001355FF">
              <w:rPr>
                <w:rFonts w:eastAsia="Times New Roman" w:cs="Arial"/>
                <w:bCs/>
                <w:sz w:val="18"/>
                <w:szCs w:val="18"/>
                <w:lang w:val="it-IT" w:eastAsia="it-CH"/>
              </w:rPr>
              <w:t>300.0</w:t>
            </w: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r w:rsidRPr="001355FF">
              <w:rPr>
                <w:rFonts w:eastAsia="Times New Roman" w:cs="Arial"/>
                <w:sz w:val="18"/>
                <w:szCs w:val="18"/>
                <w:lang w:val="it-IT" w:eastAsia="it-CH"/>
              </w:rPr>
              <w:t xml:space="preserve">6 per il CARL e 6 per gli </w:t>
            </w:r>
            <w:proofErr w:type="spellStart"/>
            <w:r w:rsidRPr="001355FF">
              <w:rPr>
                <w:rFonts w:eastAsia="Times New Roman" w:cs="Arial"/>
                <w:sz w:val="18"/>
                <w:szCs w:val="18"/>
                <w:lang w:val="it-IT" w:eastAsia="it-CH"/>
              </w:rPr>
              <w:t>stagiares</w:t>
            </w:r>
            <w:proofErr w:type="spellEnd"/>
            <w:r w:rsidRPr="001355FF">
              <w:rPr>
                <w:rFonts w:eastAsia="Times New Roman" w:cs="Arial"/>
                <w:sz w:val="18"/>
                <w:szCs w:val="18"/>
                <w:lang w:val="it-IT" w:eastAsia="it-CH"/>
              </w:rPr>
              <w:t xml:space="preserve"> (camera comprensiva di servizio igienico e balcone)</w:t>
            </w: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right"/>
              <w:rPr>
                <w:rFonts w:eastAsia="Times New Roman" w:cs="Arial"/>
                <w:bCs/>
                <w:sz w:val="18"/>
                <w:szCs w:val="18"/>
                <w:lang w:val="it-IT" w:eastAsia="it-CH"/>
              </w:rPr>
            </w:pPr>
            <w:r w:rsidRPr="001355FF">
              <w:rPr>
                <w:rFonts w:eastAsia="Times New Roman" w:cs="Arial"/>
                <w:bCs/>
                <w:sz w:val="18"/>
                <w:szCs w:val="18"/>
                <w:lang w:val="it-IT" w:eastAsia="it-CH"/>
              </w:rPr>
              <w:t>040</w:t>
            </w:r>
          </w:p>
        </w:tc>
        <w:tc>
          <w:tcPr>
            <w:tcW w:w="3753" w:type="dxa"/>
            <w:shd w:val="clear" w:color="auto" w:fill="auto"/>
            <w:vAlign w:val="center"/>
            <w:hideMark/>
          </w:tcPr>
          <w:p w:rsidR="001355FF" w:rsidRPr="001355FF" w:rsidRDefault="001355FF" w:rsidP="004F4E2C">
            <w:pPr>
              <w:jc w:val="left"/>
              <w:rPr>
                <w:rFonts w:eastAsia="Times New Roman" w:cs="Arial"/>
                <w:bCs/>
                <w:sz w:val="18"/>
                <w:szCs w:val="18"/>
                <w:lang w:val="it-IT" w:eastAsia="it-CH"/>
              </w:rPr>
            </w:pPr>
            <w:r w:rsidRPr="001355FF">
              <w:rPr>
                <w:rFonts w:eastAsia="Times New Roman" w:cs="Arial"/>
                <w:bCs/>
                <w:sz w:val="18"/>
                <w:szCs w:val="18"/>
                <w:lang w:val="it-IT" w:eastAsia="it-CH"/>
              </w:rPr>
              <w:t>spazi comuni</w:t>
            </w:r>
          </w:p>
        </w:tc>
        <w:tc>
          <w:tcPr>
            <w:tcW w:w="856"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r w:rsidRPr="001355FF">
              <w:rPr>
                <w:rFonts w:eastAsia="Times New Roman" w:cs="Arial"/>
                <w:sz w:val="18"/>
                <w:szCs w:val="18"/>
                <w:lang w:val="it-IT" w:eastAsia="it-CH"/>
              </w:rPr>
              <w:t>2</w:t>
            </w:r>
          </w:p>
        </w:tc>
        <w:tc>
          <w:tcPr>
            <w:tcW w:w="901"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r w:rsidRPr="001355FF">
              <w:rPr>
                <w:rFonts w:eastAsia="Times New Roman" w:cs="Arial"/>
                <w:sz w:val="18"/>
                <w:szCs w:val="18"/>
                <w:lang w:val="it-IT" w:eastAsia="it-CH"/>
              </w:rPr>
              <w:t>114.0</w:t>
            </w: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r w:rsidRPr="001355FF">
              <w:rPr>
                <w:rFonts w:eastAsia="Times New Roman" w:cs="Arial"/>
                <w:sz w:val="18"/>
                <w:szCs w:val="18"/>
                <w:lang w:val="it-IT" w:eastAsia="it-CH"/>
              </w:rPr>
              <w:t>cucina pranzo e soggiorno</w:t>
            </w: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center"/>
              <w:rPr>
                <w:rFonts w:eastAsia="Times New Roman" w:cs="Arial"/>
                <w:b/>
                <w:bCs/>
                <w:sz w:val="18"/>
                <w:szCs w:val="18"/>
                <w:lang w:val="it-IT" w:eastAsia="it-CH"/>
              </w:rPr>
            </w:pPr>
            <w:r w:rsidRPr="001355FF">
              <w:rPr>
                <w:rFonts w:eastAsia="Times New Roman" w:cs="Arial"/>
                <w:b/>
                <w:bCs/>
                <w:sz w:val="18"/>
                <w:szCs w:val="18"/>
                <w:lang w:val="it-IT" w:eastAsia="it-CH"/>
              </w:rPr>
              <w:t>100</w:t>
            </w:r>
          </w:p>
        </w:tc>
        <w:tc>
          <w:tcPr>
            <w:tcW w:w="3753" w:type="dxa"/>
            <w:shd w:val="clear" w:color="auto" w:fill="auto"/>
            <w:vAlign w:val="center"/>
            <w:hideMark/>
          </w:tcPr>
          <w:p w:rsidR="001355FF" w:rsidRPr="001355FF" w:rsidRDefault="001355FF" w:rsidP="004F4E2C">
            <w:pPr>
              <w:jc w:val="left"/>
              <w:rPr>
                <w:rFonts w:eastAsia="Times New Roman" w:cs="Arial"/>
                <w:b/>
                <w:bCs/>
                <w:sz w:val="18"/>
                <w:szCs w:val="18"/>
                <w:lang w:val="it-IT" w:eastAsia="it-CH"/>
              </w:rPr>
            </w:pPr>
            <w:r w:rsidRPr="001355FF">
              <w:rPr>
                <w:rFonts w:eastAsia="Times New Roman" w:cs="Arial"/>
                <w:b/>
                <w:bCs/>
                <w:sz w:val="18"/>
                <w:szCs w:val="18"/>
                <w:lang w:val="it-IT" w:eastAsia="it-CH"/>
              </w:rPr>
              <w:t>COLLEGAMENTI</w:t>
            </w:r>
          </w:p>
        </w:tc>
        <w:tc>
          <w:tcPr>
            <w:tcW w:w="856"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p>
        </w:tc>
        <w:tc>
          <w:tcPr>
            <w:tcW w:w="901"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right"/>
              <w:rPr>
                <w:rFonts w:eastAsia="Times New Roman" w:cs="Arial"/>
                <w:bCs/>
                <w:sz w:val="18"/>
                <w:szCs w:val="18"/>
                <w:lang w:val="it-IT" w:eastAsia="it-CH"/>
              </w:rPr>
            </w:pPr>
            <w:r w:rsidRPr="001355FF">
              <w:rPr>
                <w:rFonts w:eastAsia="Times New Roman" w:cs="Arial"/>
                <w:bCs/>
                <w:sz w:val="18"/>
                <w:szCs w:val="18"/>
                <w:lang w:val="it-IT" w:eastAsia="it-CH"/>
              </w:rPr>
              <w:t>110</w:t>
            </w:r>
          </w:p>
        </w:tc>
        <w:tc>
          <w:tcPr>
            <w:tcW w:w="3753" w:type="dxa"/>
            <w:shd w:val="clear" w:color="auto" w:fill="auto"/>
            <w:vAlign w:val="center"/>
            <w:hideMark/>
          </w:tcPr>
          <w:p w:rsidR="001355FF" w:rsidRPr="001355FF" w:rsidRDefault="001355FF" w:rsidP="004F4E2C">
            <w:pPr>
              <w:jc w:val="left"/>
              <w:rPr>
                <w:rFonts w:eastAsia="Times New Roman" w:cs="Arial"/>
                <w:bCs/>
                <w:sz w:val="18"/>
                <w:szCs w:val="18"/>
                <w:lang w:val="it-IT" w:eastAsia="it-CH"/>
              </w:rPr>
            </w:pPr>
            <w:r w:rsidRPr="001355FF">
              <w:rPr>
                <w:rFonts w:eastAsia="Times New Roman" w:cs="Arial"/>
                <w:bCs/>
                <w:sz w:val="18"/>
                <w:szCs w:val="18"/>
                <w:lang w:val="it-IT" w:eastAsia="it-CH"/>
              </w:rPr>
              <w:t>collegamenti verticali</w:t>
            </w:r>
          </w:p>
        </w:tc>
        <w:tc>
          <w:tcPr>
            <w:tcW w:w="856"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p>
        </w:tc>
        <w:tc>
          <w:tcPr>
            <w:tcW w:w="901"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r w:rsidRPr="001355FF">
              <w:rPr>
                <w:rFonts w:eastAsia="Times New Roman" w:cs="Arial"/>
                <w:sz w:val="18"/>
                <w:szCs w:val="18"/>
                <w:lang w:val="it-IT" w:eastAsia="it-CH"/>
              </w:rPr>
              <w:t>montacarichi, scale e rampe</w:t>
            </w: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right"/>
              <w:rPr>
                <w:rFonts w:eastAsia="Times New Roman" w:cs="Arial"/>
                <w:bCs/>
                <w:sz w:val="18"/>
                <w:szCs w:val="18"/>
                <w:lang w:val="it-IT" w:eastAsia="it-CH"/>
              </w:rPr>
            </w:pPr>
            <w:r w:rsidRPr="001355FF">
              <w:rPr>
                <w:rFonts w:eastAsia="Times New Roman" w:cs="Arial"/>
                <w:bCs/>
                <w:sz w:val="18"/>
                <w:szCs w:val="18"/>
                <w:lang w:val="it-IT" w:eastAsia="it-CH"/>
              </w:rPr>
              <w:t>120</w:t>
            </w:r>
          </w:p>
        </w:tc>
        <w:tc>
          <w:tcPr>
            <w:tcW w:w="3753" w:type="dxa"/>
            <w:shd w:val="clear" w:color="auto" w:fill="auto"/>
            <w:vAlign w:val="center"/>
            <w:hideMark/>
          </w:tcPr>
          <w:p w:rsidR="001355FF" w:rsidRPr="001355FF" w:rsidRDefault="001355FF" w:rsidP="004F4E2C">
            <w:pPr>
              <w:jc w:val="left"/>
              <w:rPr>
                <w:rFonts w:eastAsia="Times New Roman" w:cs="Arial"/>
                <w:bCs/>
                <w:sz w:val="18"/>
                <w:szCs w:val="18"/>
                <w:lang w:val="it-IT" w:eastAsia="it-CH"/>
              </w:rPr>
            </w:pPr>
            <w:r w:rsidRPr="001355FF">
              <w:rPr>
                <w:rFonts w:eastAsia="Times New Roman" w:cs="Arial"/>
                <w:bCs/>
                <w:sz w:val="18"/>
                <w:szCs w:val="18"/>
                <w:lang w:val="it-IT" w:eastAsia="it-CH"/>
              </w:rPr>
              <w:t>collegamenti orizzontali</w:t>
            </w:r>
          </w:p>
        </w:tc>
        <w:tc>
          <w:tcPr>
            <w:tcW w:w="856"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p>
        </w:tc>
        <w:tc>
          <w:tcPr>
            <w:tcW w:w="901"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r w:rsidRPr="001355FF">
              <w:rPr>
                <w:rFonts w:eastAsia="Times New Roman" w:cs="Arial"/>
                <w:sz w:val="18"/>
                <w:szCs w:val="18"/>
                <w:lang w:val="it-IT" w:eastAsia="it-CH"/>
              </w:rPr>
              <w:t xml:space="preserve">comprensivo passerella </w:t>
            </w:r>
            <w:proofErr w:type="spellStart"/>
            <w:r w:rsidRPr="001355FF">
              <w:rPr>
                <w:rFonts w:eastAsia="Times New Roman" w:cs="Arial"/>
                <w:sz w:val="18"/>
                <w:szCs w:val="18"/>
                <w:lang w:val="it-IT" w:eastAsia="it-CH"/>
              </w:rPr>
              <w:t>Mottino</w:t>
            </w:r>
            <w:proofErr w:type="spellEnd"/>
            <w:r w:rsidRPr="001355FF">
              <w:rPr>
                <w:rFonts w:eastAsia="Times New Roman" w:cs="Arial"/>
                <w:sz w:val="18"/>
                <w:szCs w:val="18"/>
                <w:lang w:val="it-IT" w:eastAsia="it-CH"/>
              </w:rPr>
              <w:t>-Motta</w:t>
            </w:r>
          </w:p>
        </w:tc>
      </w:tr>
      <w:tr w:rsidR="001355FF" w:rsidRPr="001355FF" w:rsidTr="004F4E2C">
        <w:trPr>
          <w:trHeight w:val="77"/>
        </w:trPr>
        <w:tc>
          <w:tcPr>
            <w:tcW w:w="920" w:type="dxa"/>
            <w:shd w:val="clear" w:color="auto" w:fill="auto"/>
            <w:noWrap/>
            <w:vAlign w:val="center"/>
          </w:tcPr>
          <w:p w:rsidR="001355FF" w:rsidRPr="001355FF" w:rsidRDefault="001355FF" w:rsidP="004F4E2C">
            <w:pPr>
              <w:jc w:val="center"/>
              <w:rPr>
                <w:rFonts w:eastAsia="Times New Roman" w:cs="Arial"/>
                <w:bCs/>
                <w:sz w:val="10"/>
                <w:szCs w:val="10"/>
                <w:lang w:val="it-IT" w:eastAsia="it-CH"/>
              </w:rPr>
            </w:pPr>
          </w:p>
        </w:tc>
        <w:tc>
          <w:tcPr>
            <w:tcW w:w="3753" w:type="dxa"/>
            <w:shd w:val="clear" w:color="auto" w:fill="auto"/>
            <w:vAlign w:val="center"/>
          </w:tcPr>
          <w:p w:rsidR="001355FF" w:rsidRPr="001355FF" w:rsidRDefault="001355FF" w:rsidP="004F4E2C">
            <w:pPr>
              <w:jc w:val="left"/>
              <w:rPr>
                <w:rFonts w:eastAsia="Times New Roman" w:cs="Arial"/>
                <w:bCs/>
                <w:sz w:val="10"/>
                <w:szCs w:val="10"/>
                <w:lang w:val="it-IT" w:eastAsia="it-CH"/>
              </w:rPr>
            </w:pPr>
          </w:p>
        </w:tc>
        <w:tc>
          <w:tcPr>
            <w:tcW w:w="856" w:type="dxa"/>
            <w:shd w:val="clear" w:color="auto" w:fill="auto"/>
            <w:noWrap/>
            <w:vAlign w:val="center"/>
          </w:tcPr>
          <w:p w:rsidR="001355FF" w:rsidRPr="001355FF" w:rsidRDefault="001355FF" w:rsidP="004F4E2C">
            <w:pPr>
              <w:jc w:val="center"/>
              <w:rPr>
                <w:rFonts w:eastAsia="Times New Roman" w:cs="Arial"/>
                <w:bCs/>
                <w:sz w:val="10"/>
                <w:szCs w:val="10"/>
                <w:lang w:val="it-IT" w:eastAsia="it-CH"/>
              </w:rPr>
            </w:pPr>
          </w:p>
        </w:tc>
        <w:tc>
          <w:tcPr>
            <w:tcW w:w="901" w:type="dxa"/>
            <w:shd w:val="clear" w:color="auto" w:fill="auto"/>
            <w:noWrap/>
            <w:vAlign w:val="center"/>
          </w:tcPr>
          <w:p w:rsidR="001355FF" w:rsidRPr="001355FF" w:rsidRDefault="001355FF" w:rsidP="004F4E2C">
            <w:pPr>
              <w:jc w:val="center"/>
              <w:rPr>
                <w:rFonts w:eastAsia="Times New Roman" w:cs="Arial"/>
                <w:bCs/>
                <w:sz w:val="10"/>
                <w:szCs w:val="10"/>
                <w:lang w:val="it-IT" w:eastAsia="it-CH"/>
              </w:rPr>
            </w:pPr>
          </w:p>
        </w:tc>
        <w:tc>
          <w:tcPr>
            <w:tcW w:w="3565" w:type="dxa"/>
            <w:shd w:val="clear" w:color="auto" w:fill="auto"/>
            <w:vAlign w:val="center"/>
          </w:tcPr>
          <w:p w:rsidR="001355FF" w:rsidRPr="001355FF" w:rsidRDefault="001355FF" w:rsidP="004F4E2C">
            <w:pPr>
              <w:jc w:val="left"/>
              <w:rPr>
                <w:rFonts w:eastAsia="Times New Roman" w:cs="Arial"/>
                <w:bCs/>
                <w:sz w:val="10"/>
                <w:szCs w:val="10"/>
                <w:lang w:val="it-IT" w:eastAsia="it-CH"/>
              </w:rPr>
            </w:pP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center"/>
              <w:rPr>
                <w:rFonts w:eastAsia="Times New Roman" w:cs="Arial"/>
                <w:b/>
                <w:bCs/>
                <w:sz w:val="18"/>
                <w:szCs w:val="18"/>
                <w:lang w:val="it-IT" w:eastAsia="it-CH"/>
              </w:rPr>
            </w:pPr>
            <w:r w:rsidRPr="001355FF">
              <w:rPr>
                <w:rFonts w:eastAsia="Times New Roman" w:cs="Arial"/>
                <w:b/>
                <w:bCs/>
                <w:sz w:val="18"/>
                <w:szCs w:val="18"/>
                <w:lang w:val="it-IT" w:eastAsia="it-CH"/>
              </w:rPr>
              <w:t>200</w:t>
            </w:r>
          </w:p>
        </w:tc>
        <w:tc>
          <w:tcPr>
            <w:tcW w:w="3753" w:type="dxa"/>
            <w:shd w:val="clear" w:color="auto" w:fill="auto"/>
            <w:vAlign w:val="center"/>
            <w:hideMark/>
          </w:tcPr>
          <w:p w:rsidR="001355FF" w:rsidRPr="001355FF" w:rsidRDefault="001355FF" w:rsidP="004F4E2C">
            <w:pPr>
              <w:jc w:val="left"/>
              <w:rPr>
                <w:rFonts w:eastAsia="Times New Roman" w:cs="Arial"/>
                <w:b/>
                <w:bCs/>
                <w:sz w:val="18"/>
                <w:szCs w:val="18"/>
                <w:lang w:val="it-IT" w:eastAsia="it-CH"/>
              </w:rPr>
            </w:pPr>
            <w:r w:rsidRPr="001355FF">
              <w:rPr>
                <w:rFonts w:eastAsia="Times New Roman" w:cs="Arial"/>
                <w:b/>
                <w:bCs/>
                <w:sz w:val="18"/>
                <w:szCs w:val="18"/>
                <w:lang w:val="it-IT" w:eastAsia="it-CH"/>
              </w:rPr>
              <w:t>SPAZI ESTERNI</w:t>
            </w:r>
          </w:p>
        </w:tc>
        <w:tc>
          <w:tcPr>
            <w:tcW w:w="856"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p>
        </w:tc>
        <w:tc>
          <w:tcPr>
            <w:tcW w:w="901"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p>
        </w:tc>
      </w:tr>
      <w:tr w:rsidR="001355FF" w:rsidRPr="001355FF" w:rsidTr="004F4E2C">
        <w:trPr>
          <w:trHeight w:val="282"/>
        </w:trPr>
        <w:tc>
          <w:tcPr>
            <w:tcW w:w="920" w:type="dxa"/>
            <w:shd w:val="clear" w:color="auto" w:fill="auto"/>
            <w:noWrap/>
            <w:vAlign w:val="center"/>
            <w:hideMark/>
          </w:tcPr>
          <w:p w:rsidR="001355FF" w:rsidRPr="001355FF" w:rsidRDefault="001355FF" w:rsidP="004F4E2C">
            <w:pPr>
              <w:jc w:val="right"/>
              <w:rPr>
                <w:rFonts w:eastAsia="Times New Roman" w:cs="Arial"/>
                <w:b/>
                <w:bCs/>
                <w:sz w:val="18"/>
                <w:szCs w:val="18"/>
                <w:lang w:val="it-IT" w:eastAsia="it-CH"/>
              </w:rPr>
            </w:pPr>
            <w:r w:rsidRPr="001355FF">
              <w:rPr>
                <w:rFonts w:eastAsia="Times New Roman" w:cs="Arial"/>
                <w:b/>
                <w:bCs/>
                <w:sz w:val="18"/>
                <w:szCs w:val="18"/>
                <w:lang w:val="it-IT" w:eastAsia="it-CH"/>
              </w:rPr>
              <w:t>210</w:t>
            </w:r>
          </w:p>
        </w:tc>
        <w:tc>
          <w:tcPr>
            <w:tcW w:w="3753" w:type="dxa"/>
            <w:shd w:val="clear" w:color="auto" w:fill="auto"/>
            <w:vAlign w:val="center"/>
            <w:hideMark/>
          </w:tcPr>
          <w:p w:rsidR="001355FF" w:rsidRPr="001355FF" w:rsidRDefault="001355FF" w:rsidP="004F4E2C">
            <w:pPr>
              <w:jc w:val="left"/>
              <w:rPr>
                <w:rFonts w:eastAsia="Times New Roman" w:cs="Arial"/>
                <w:b/>
                <w:bCs/>
                <w:sz w:val="18"/>
                <w:szCs w:val="18"/>
                <w:lang w:val="it-IT" w:eastAsia="it-CH"/>
              </w:rPr>
            </w:pPr>
            <w:r w:rsidRPr="001355FF">
              <w:rPr>
                <w:rFonts w:eastAsia="Times New Roman" w:cs="Arial"/>
                <w:b/>
                <w:bCs/>
                <w:sz w:val="18"/>
                <w:szCs w:val="18"/>
                <w:lang w:val="it-IT" w:eastAsia="it-CH"/>
              </w:rPr>
              <w:t>sistemazione</w:t>
            </w:r>
          </w:p>
        </w:tc>
        <w:tc>
          <w:tcPr>
            <w:tcW w:w="856"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p>
        </w:tc>
        <w:tc>
          <w:tcPr>
            <w:tcW w:w="901" w:type="dxa"/>
            <w:shd w:val="clear" w:color="auto" w:fill="auto"/>
            <w:noWrap/>
            <w:vAlign w:val="center"/>
          </w:tcPr>
          <w:p w:rsidR="001355FF" w:rsidRPr="001355FF" w:rsidRDefault="001355FF" w:rsidP="004F4E2C">
            <w:pPr>
              <w:jc w:val="center"/>
              <w:rPr>
                <w:rFonts w:eastAsia="Times New Roman" w:cs="Arial"/>
                <w:sz w:val="18"/>
                <w:szCs w:val="18"/>
                <w:lang w:val="it-IT" w:eastAsia="it-CH"/>
              </w:rPr>
            </w:pPr>
            <w:r w:rsidRPr="001355FF">
              <w:rPr>
                <w:rFonts w:eastAsia="Times New Roman" w:cs="Arial"/>
                <w:sz w:val="18"/>
                <w:szCs w:val="18"/>
                <w:lang w:val="it-IT" w:eastAsia="it-CH"/>
              </w:rPr>
              <w:t>750.0</w:t>
            </w:r>
          </w:p>
        </w:tc>
        <w:tc>
          <w:tcPr>
            <w:tcW w:w="3565" w:type="dxa"/>
            <w:shd w:val="clear" w:color="auto" w:fill="auto"/>
            <w:vAlign w:val="center"/>
          </w:tcPr>
          <w:p w:rsidR="001355FF" w:rsidRPr="001355FF" w:rsidRDefault="001355FF" w:rsidP="004F4E2C">
            <w:pPr>
              <w:jc w:val="left"/>
              <w:rPr>
                <w:rFonts w:eastAsia="Times New Roman" w:cs="Arial"/>
                <w:sz w:val="18"/>
                <w:szCs w:val="18"/>
                <w:lang w:val="it-IT" w:eastAsia="it-CH"/>
              </w:rPr>
            </w:pPr>
          </w:p>
        </w:tc>
      </w:tr>
      <w:tr w:rsidR="001355FF" w:rsidRPr="001355FF" w:rsidTr="004F4E2C">
        <w:trPr>
          <w:trHeight w:val="77"/>
        </w:trPr>
        <w:tc>
          <w:tcPr>
            <w:tcW w:w="920" w:type="dxa"/>
            <w:tcBorders>
              <w:bottom w:val="single" w:sz="4" w:space="0" w:color="auto"/>
            </w:tcBorders>
            <w:shd w:val="clear" w:color="auto" w:fill="auto"/>
            <w:noWrap/>
            <w:vAlign w:val="center"/>
          </w:tcPr>
          <w:p w:rsidR="001355FF" w:rsidRPr="001355FF" w:rsidRDefault="001355FF" w:rsidP="004F4E2C">
            <w:pPr>
              <w:jc w:val="center"/>
              <w:rPr>
                <w:rFonts w:eastAsia="Times New Roman" w:cs="Arial"/>
                <w:b/>
                <w:bCs/>
                <w:sz w:val="10"/>
                <w:szCs w:val="10"/>
                <w:lang w:val="it-IT" w:eastAsia="it-CH"/>
              </w:rPr>
            </w:pPr>
          </w:p>
        </w:tc>
        <w:tc>
          <w:tcPr>
            <w:tcW w:w="3753" w:type="dxa"/>
            <w:tcBorders>
              <w:bottom w:val="single" w:sz="4" w:space="0" w:color="auto"/>
            </w:tcBorders>
            <w:shd w:val="clear" w:color="auto" w:fill="auto"/>
            <w:vAlign w:val="center"/>
          </w:tcPr>
          <w:p w:rsidR="001355FF" w:rsidRPr="001355FF" w:rsidRDefault="001355FF" w:rsidP="004F4E2C">
            <w:pPr>
              <w:jc w:val="left"/>
              <w:rPr>
                <w:rFonts w:eastAsia="Times New Roman" w:cs="Arial"/>
                <w:b/>
                <w:bCs/>
                <w:sz w:val="10"/>
                <w:szCs w:val="10"/>
                <w:lang w:val="it-IT" w:eastAsia="it-CH"/>
              </w:rPr>
            </w:pPr>
          </w:p>
        </w:tc>
        <w:tc>
          <w:tcPr>
            <w:tcW w:w="856" w:type="dxa"/>
            <w:tcBorders>
              <w:bottom w:val="single" w:sz="4" w:space="0" w:color="auto"/>
            </w:tcBorders>
            <w:shd w:val="clear" w:color="auto" w:fill="auto"/>
            <w:noWrap/>
            <w:vAlign w:val="center"/>
          </w:tcPr>
          <w:p w:rsidR="001355FF" w:rsidRPr="001355FF" w:rsidRDefault="001355FF" w:rsidP="004F4E2C">
            <w:pPr>
              <w:jc w:val="center"/>
              <w:rPr>
                <w:rFonts w:eastAsia="Times New Roman" w:cs="Arial"/>
                <w:b/>
                <w:bCs/>
                <w:sz w:val="10"/>
                <w:szCs w:val="10"/>
                <w:lang w:val="it-IT" w:eastAsia="it-CH"/>
              </w:rPr>
            </w:pPr>
          </w:p>
        </w:tc>
        <w:tc>
          <w:tcPr>
            <w:tcW w:w="901" w:type="dxa"/>
            <w:tcBorders>
              <w:bottom w:val="single" w:sz="4" w:space="0" w:color="auto"/>
            </w:tcBorders>
            <w:shd w:val="clear" w:color="auto" w:fill="auto"/>
            <w:noWrap/>
            <w:vAlign w:val="center"/>
          </w:tcPr>
          <w:p w:rsidR="001355FF" w:rsidRPr="001355FF" w:rsidRDefault="001355FF" w:rsidP="004F4E2C">
            <w:pPr>
              <w:jc w:val="center"/>
              <w:rPr>
                <w:rFonts w:eastAsia="Times New Roman" w:cs="Arial"/>
                <w:b/>
                <w:bCs/>
                <w:sz w:val="10"/>
                <w:szCs w:val="10"/>
                <w:lang w:val="it-IT" w:eastAsia="it-CH"/>
              </w:rPr>
            </w:pPr>
          </w:p>
        </w:tc>
        <w:tc>
          <w:tcPr>
            <w:tcW w:w="3565" w:type="dxa"/>
            <w:tcBorders>
              <w:bottom w:val="single" w:sz="4" w:space="0" w:color="auto"/>
            </w:tcBorders>
            <w:shd w:val="clear" w:color="auto" w:fill="auto"/>
            <w:vAlign w:val="center"/>
          </w:tcPr>
          <w:p w:rsidR="001355FF" w:rsidRPr="001355FF" w:rsidRDefault="001355FF" w:rsidP="004F4E2C">
            <w:pPr>
              <w:jc w:val="left"/>
              <w:rPr>
                <w:rFonts w:eastAsia="Times New Roman" w:cs="Arial"/>
                <w:b/>
                <w:bCs/>
                <w:sz w:val="10"/>
                <w:szCs w:val="10"/>
                <w:lang w:val="it-IT" w:eastAsia="it-CH"/>
              </w:rPr>
            </w:pPr>
          </w:p>
        </w:tc>
      </w:tr>
    </w:tbl>
    <w:p w:rsidR="001355FF" w:rsidRPr="001355FF" w:rsidRDefault="001355FF" w:rsidP="001355FF">
      <w:pPr>
        <w:spacing w:after="120"/>
        <w:rPr>
          <w:rFonts w:cs="Arial"/>
        </w:rPr>
      </w:pPr>
    </w:p>
    <w:p w:rsidR="001355FF" w:rsidRDefault="001355FF" w:rsidP="001355FF">
      <w:pPr>
        <w:rPr>
          <w:rFonts w:cs="Arial"/>
        </w:rPr>
      </w:pPr>
      <w:r w:rsidRPr="001355FF">
        <w:rPr>
          <w:rFonts w:cs="Arial"/>
        </w:rPr>
        <w:t xml:space="preserve">Lo stabile risale agli anni </w:t>
      </w:r>
      <w:r w:rsidR="003910AB">
        <w:rPr>
          <w:rFonts w:cs="Arial"/>
        </w:rPr>
        <w:t>'</w:t>
      </w:r>
      <w:r w:rsidRPr="001355FF">
        <w:rPr>
          <w:rFonts w:cs="Arial"/>
        </w:rPr>
        <w:t>60 e si trova alla fine del suo ciclo di vita. Le analisi hanno confermato che la sicurezza strutturale è garantita, sono comunque necessari interventi di risanamento generale sia interni che esterni oltre ad alcuni adattamenti e ampliamenti per migliorare la qualità degli spazi.</w:t>
      </w:r>
    </w:p>
    <w:p w:rsidR="001355FF" w:rsidRPr="001355FF" w:rsidRDefault="001355FF" w:rsidP="001355FF">
      <w:pPr>
        <w:rPr>
          <w:rFonts w:cs="Arial"/>
        </w:rPr>
      </w:pPr>
    </w:p>
    <w:p w:rsidR="001355FF" w:rsidRDefault="001355FF" w:rsidP="001355FF">
      <w:pPr>
        <w:rPr>
          <w:rFonts w:cs="Arial"/>
        </w:rPr>
      </w:pPr>
      <w:r w:rsidRPr="001355FF">
        <w:rPr>
          <w:rFonts w:cs="Arial"/>
        </w:rPr>
        <w:t>Fra gli interventi importanti vi sono sicuramente quelli che prevedono l’impermeabilizzazione dell’edificio, il risanamento energetico tramite la posa di un cappotto esterno e gli interventi per riportare l’edificio entro le attuali norme di sicurezza e protezione infortuni.</w:t>
      </w:r>
    </w:p>
    <w:p w:rsidR="001355FF" w:rsidRPr="001355FF" w:rsidRDefault="001355FF" w:rsidP="001355FF">
      <w:pPr>
        <w:rPr>
          <w:rFonts w:cs="Arial"/>
        </w:rPr>
      </w:pPr>
    </w:p>
    <w:p w:rsidR="001355FF" w:rsidRDefault="001355FF" w:rsidP="001355FF">
      <w:pPr>
        <w:rPr>
          <w:rFonts w:cs="Arial"/>
        </w:rPr>
      </w:pPr>
      <w:r w:rsidRPr="001355FF">
        <w:rPr>
          <w:rFonts w:cs="Arial"/>
        </w:rPr>
        <w:t>Il risanamento energetico e la messa a norma dell’edificio richiede il rifacimento degli impianti tecnici (riscaldamento, sanitario ed elettrico).</w:t>
      </w:r>
    </w:p>
    <w:p w:rsidR="001355FF" w:rsidRPr="001355FF" w:rsidRDefault="001355FF" w:rsidP="001355FF">
      <w:pPr>
        <w:rPr>
          <w:rFonts w:cs="Arial"/>
        </w:rPr>
      </w:pPr>
    </w:p>
    <w:p w:rsidR="001355FF" w:rsidRPr="001355FF" w:rsidRDefault="001355FF" w:rsidP="001355FF">
      <w:pPr>
        <w:rPr>
          <w:rFonts w:cs="Arial"/>
        </w:rPr>
      </w:pPr>
      <w:r w:rsidRPr="001355FF">
        <w:rPr>
          <w:rFonts w:cs="Arial"/>
        </w:rPr>
        <w:t>Per quanto riguarda l’impianto elettrico viene adeguato alle nuove necessità e vengono cambiati i corpi luminosi nell’ottica di un minor consumo energetico.</w:t>
      </w:r>
    </w:p>
    <w:p w:rsidR="001355FF" w:rsidRDefault="001355FF" w:rsidP="001355FF">
      <w:pPr>
        <w:rPr>
          <w:rFonts w:cs="Arial"/>
        </w:rPr>
      </w:pPr>
    </w:p>
    <w:p w:rsidR="001355FF" w:rsidRPr="001355FF" w:rsidRDefault="001355FF" w:rsidP="001355FF">
      <w:pPr>
        <w:rPr>
          <w:rFonts w:cs="Arial"/>
        </w:rPr>
      </w:pPr>
      <w:r w:rsidRPr="001355FF">
        <w:rPr>
          <w:rFonts w:cs="Arial"/>
        </w:rPr>
        <w:t xml:space="preserve">Vengono cambiati completamente gli impianti sanitari. </w:t>
      </w:r>
    </w:p>
    <w:p w:rsidR="001355FF" w:rsidRDefault="001355FF" w:rsidP="001355FF">
      <w:pPr>
        <w:rPr>
          <w:rFonts w:cs="Arial"/>
        </w:rPr>
      </w:pPr>
    </w:p>
    <w:p w:rsidR="001355FF" w:rsidRDefault="001355FF" w:rsidP="001355FF">
      <w:pPr>
        <w:rPr>
          <w:rFonts w:cs="Arial"/>
        </w:rPr>
      </w:pPr>
      <w:r w:rsidRPr="001355FF">
        <w:rPr>
          <w:rFonts w:cs="Arial"/>
        </w:rPr>
        <w:t>Viene cambiato completamente l’impianto di riscaldamento per quanto riguarda la sottostazione e la distribuzione. Lo stabile continuerà ad essere allacciato alla rete di teleriscaldamento dell’OSC.</w:t>
      </w:r>
    </w:p>
    <w:p w:rsidR="001355FF" w:rsidRPr="001355FF" w:rsidRDefault="001355FF" w:rsidP="001355FF">
      <w:pPr>
        <w:rPr>
          <w:rFonts w:cs="Arial"/>
        </w:rPr>
      </w:pPr>
    </w:p>
    <w:p w:rsidR="001355FF" w:rsidRDefault="001355FF" w:rsidP="001355FF">
      <w:pPr>
        <w:rPr>
          <w:rFonts w:cs="Arial"/>
        </w:rPr>
      </w:pPr>
      <w:r w:rsidRPr="001355FF">
        <w:rPr>
          <w:rFonts w:cs="Arial"/>
        </w:rPr>
        <w:t>Per garantire la salubrità degli spazi, anche quelli seminterrati verrà eseguito un impianto di ventilazione, inoltre ci sarà un impianto di raffreddamento.</w:t>
      </w:r>
    </w:p>
    <w:p w:rsidR="001355FF" w:rsidRPr="001355FF" w:rsidRDefault="001355FF" w:rsidP="001355FF">
      <w:pPr>
        <w:rPr>
          <w:rFonts w:cs="Arial"/>
        </w:rPr>
      </w:pPr>
    </w:p>
    <w:p w:rsidR="001355FF" w:rsidRDefault="001355FF" w:rsidP="001355FF">
      <w:pPr>
        <w:rPr>
          <w:rFonts w:cs="Arial"/>
        </w:rPr>
      </w:pPr>
      <w:r w:rsidRPr="001355FF">
        <w:rPr>
          <w:rFonts w:cs="Arial"/>
        </w:rPr>
        <w:t xml:space="preserve">Per quanto riguarda il controllo degli accessi l’attuale impianto meccanico sarà sostituito da uno digitale, inoltre gli uffici e gli spazi del </w:t>
      </w:r>
      <w:proofErr w:type="spellStart"/>
      <w:r w:rsidRPr="001355FF">
        <w:rPr>
          <w:rFonts w:cs="Arial"/>
        </w:rPr>
        <w:t>Mottino</w:t>
      </w:r>
      <w:proofErr w:type="spellEnd"/>
      <w:r w:rsidRPr="001355FF">
        <w:rPr>
          <w:rFonts w:cs="Arial"/>
        </w:rPr>
        <w:t xml:space="preserve"> saranno attrezzati conformemente agli standard cantonali per quanto riguarda i servizi informativi. Sarà inoltre attualizzato l’allacciamento dello stabile alla rete informatica.</w:t>
      </w:r>
    </w:p>
    <w:p w:rsidR="001355FF" w:rsidRDefault="001355FF" w:rsidP="001355FF">
      <w:pPr>
        <w:rPr>
          <w:rFonts w:cs="Arial"/>
        </w:rPr>
      </w:pPr>
    </w:p>
    <w:p w:rsidR="001355FF" w:rsidRPr="001355FF" w:rsidRDefault="001355FF" w:rsidP="001355FF">
      <w:pPr>
        <w:rPr>
          <w:rFonts w:cs="Arial"/>
        </w:rPr>
      </w:pPr>
    </w:p>
    <w:p w:rsidR="001355FF" w:rsidRPr="001355FF" w:rsidRDefault="001355FF" w:rsidP="001355FF">
      <w:pPr>
        <w:pStyle w:val="Titolo2"/>
      </w:pPr>
      <w:r w:rsidRPr="001355FF">
        <w:t>1.2</w:t>
      </w:r>
      <w:r w:rsidRPr="001355FF">
        <w:tab/>
        <w:t>Aspetti organizzativi</w:t>
      </w:r>
    </w:p>
    <w:p w:rsidR="001355FF" w:rsidRDefault="001355FF" w:rsidP="001355FF">
      <w:pPr>
        <w:spacing w:after="120"/>
        <w:rPr>
          <w:rFonts w:cs="Arial"/>
        </w:rPr>
      </w:pPr>
      <w:r w:rsidRPr="001355FF">
        <w:rPr>
          <w:rFonts w:cs="Arial"/>
        </w:rPr>
        <w:t>L’inizio del cantiere è ipotizzato per l’autunno 2021. I lavori dureranno fino al 2023. Durante questo periodo l’edificio sarà svuotato. Poi dal 2023 ospiterà l’utenza attualmente risiedente in villa ortensia che necessita anch’essa di lavori di risanamento, alla loro conclusione potranno entrare come previsto gli infermieri in formazione e gli utenti del CARL.</w:t>
      </w:r>
    </w:p>
    <w:p w:rsidR="001355FF" w:rsidRDefault="001355FF" w:rsidP="001355FF">
      <w:pPr>
        <w:rPr>
          <w:rFonts w:cs="Arial"/>
        </w:rPr>
      </w:pPr>
    </w:p>
    <w:p w:rsidR="001355FF" w:rsidRPr="001355FF" w:rsidRDefault="001355FF" w:rsidP="001355FF">
      <w:pPr>
        <w:rPr>
          <w:rFonts w:cs="Arial"/>
        </w:rPr>
      </w:pPr>
    </w:p>
    <w:p w:rsidR="001355FF" w:rsidRPr="001355FF" w:rsidRDefault="001355FF" w:rsidP="001355FF">
      <w:pPr>
        <w:pStyle w:val="Titolo2"/>
      </w:pPr>
      <w:r w:rsidRPr="001355FF">
        <w:t>1.3</w:t>
      </w:r>
      <w:r w:rsidRPr="001355FF">
        <w:tab/>
        <w:t>Aspetti finanziari</w:t>
      </w:r>
    </w:p>
    <w:p w:rsidR="001355FF" w:rsidRDefault="001355FF" w:rsidP="001355FF">
      <w:pPr>
        <w:rPr>
          <w:rFonts w:cs="Arial"/>
        </w:rPr>
      </w:pPr>
      <w:r w:rsidRPr="001355FF">
        <w:rPr>
          <w:rFonts w:cs="Arial"/>
        </w:rPr>
        <w:t xml:space="preserve">Il preventivo di spesa complessiva, sulla base delle offerte attualmente rientrate, ammonta a CHF 4’545’000.00, con un aumento pari a CHF 1’240’000.00 rispetto a quanto previsto dal </w:t>
      </w:r>
      <w:r w:rsidR="003910AB">
        <w:rPr>
          <w:rFonts w:cs="Arial"/>
        </w:rPr>
        <w:t>m</w:t>
      </w:r>
      <w:r w:rsidRPr="001355FF">
        <w:rPr>
          <w:rFonts w:cs="Arial"/>
        </w:rPr>
        <w:t>essaggio n. 7538 del 23 maggio 2018.</w:t>
      </w:r>
    </w:p>
    <w:p w:rsidR="001355FF" w:rsidRPr="001355FF" w:rsidRDefault="001355FF" w:rsidP="001355FF">
      <w:pPr>
        <w:rPr>
          <w:rFonts w:cs="Arial"/>
        </w:rPr>
      </w:pPr>
    </w:p>
    <w:p w:rsidR="001355FF" w:rsidRPr="001355FF" w:rsidRDefault="001355FF" w:rsidP="001355FF">
      <w:pPr>
        <w:spacing w:line="276" w:lineRule="auto"/>
        <w:rPr>
          <w:rFonts w:cs="Arial"/>
        </w:rPr>
      </w:pPr>
      <w:r w:rsidRPr="001355FF">
        <w:rPr>
          <w:rFonts w:cs="Arial"/>
        </w:rPr>
        <w:t>Gli aumenti di spesa sono dovuti alle opportunità di migliorie identificate durante l’allestimento del progetto definitivo e che altrimenti sarebbero state oggetto di future richieste di intervento:</w:t>
      </w:r>
    </w:p>
    <w:p w:rsidR="001355FF" w:rsidRPr="001355FF" w:rsidRDefault="001355FF" w:rsidP="001355FF">
      <w:pPr>
        <w:numPr>
          <w:ilvl w:val="0"/>
          <w:numId w:val="13"/>
        </w:numPr>
        <w:spacing w:before="60"/>
        <w:ind w:left="357" w:hanging="357"/>
        <w:jc w:val="left"/>
        <w:rPr>
          <w:rFonts w:cs="Arial"/>
          <w:lang w:eastAsia="it-CH"/>
        </w:rPr>
      </w:pPr>
      <w:r w:rsidRPr="001355FF">
        <w:rPr>
          <w:rFonts w:cs="Arial"/>
          <w:lang w:eastAsia="it-CH"/>
        </w:rPr>
        <w:t>puntuali migliorie interne</w:t>
      </w:r>
      <w:r w:rsidR="003910AB">
        <w:rPr>
          <w:rFonts w:cs="Arial"/>
          <w:lang w:eastAsia="it-CH"/>
        </w:rPr>
        <w:t>;</w:t>
      </w:r>
      <w:r w:rsidRPr="001355FF">
        <w:rPr>
          <w:rFonts w:cs="Arial"/>
          <w:lang w:eastAsia="it-CH"/>
        </w:rPr>
        <w:t xml:space="preserve"> </w:t>
      </w:r>
    </w:p>
    <w:p w:rsidR="001355FF" w:rsidRPr="001355FF" w:rsidRDefault="001355FF" w:rsidP="001355FF">
      <w:pPr>
        <w:numPr>
          <w:ilvl w:val="0"/>
          <w:numId w:val="13"/>
        </w:numPr>
        <w:spacing w:before="60"/>
        <w:ind w:left="357" w:hanging="357"/>
        <w:jc w:val="left"/>
        <w:rPr>
          <w:rFonts w:cs="Arial"/>
          <w:lang w:eastAsia="it-CH"/>
        </w:rPr>
      </w:pPr>
      <w:r w:rsidRPr="001355FF">
        <w:rPr>
          <w:rFonts w:cs="Arial"/>
          <w:lang w:eastAsia="it-CH"/>
        </w:rPr>
        <w:t>uniformità abitativa delle camere</w:t>
      </w:r>
      <w:r w:rsidR="003910AB">
        <w:rPr>
          <w:rFonts w:cs="Arial"/>
          <w:lang w:eastAsia="it-CH"/>
        </w:rPr>
        <w:t>;</w:t>
      </w:r>
      <w:r w:rsidRPr="001355FF">
        <w:rPr>
          <w:rFonts w:cs="Arial"/>
          <w:lang w:eastAsia="it-CH"/>
        </w:rPr>
        <w:t xml:space="preserve"> </w:t>
      </w:r>
    </w:p>
    <w:p w:rsidR="001355FF" w:rsidRPr="001355FF" w:rsidRDefault="001355FF" w:rsidP="001355FF">
      <w:pPr>
        <w:numPr>
          <w:ilvl w:val="0"/>
          <w:numId w:val="13"/>
        </w:numPr>
        <w:spacing w:before="60"/>
        <w:ind w:left="357" w:hanging="357"/>
        <w:jc w:val="left"/>
        <w:rPr>
          <w:rFonts w:cs="Arial"/>
          <w:lang w:eastAsia="it-CH"/>
        </w:rPr>
      </w:pPr>
      <w:r w:rsidRPr="001355FF">
        <w:rPr>
          <w:rFonts w:cs="Arial"/>
          <w:lang w:eastAsia="it-CH"/>
        </w:rPr>
        <w:t>miglioramento dello standard climatico</w:t>
      </w:r>
      <w:r w:rsidR="003910AB">
        <w:rPr>
          <w:rFonts w:cs="Arial"/>
          <w:lang w:eastAsia="it-CH"/>
        </w:rPr>
        <w:t>;</w:t>
      </w:r>
      <w:r w:rsidRPr="001355FF">
        <w:rPr>
          <w:rFonts w:cs="Arial"/>
          <w:lang w:eastAsia="it-CH"/>
        </w:rPr>
        <w:t xml:space="preserve"> </w:t>
      </w:r>
    </w:p>
    <w:p w:rsidR="001355FF" w:rsidRPr="001355FF" w:rsidRDefault="001355FF" w:rsidP="001355FF">
      <w:pPr>
        <w:numPr>
          <w:ilvl w:val="0"/>
          <w:numId w:val="13"/>
        </w:numPr>
        <w:spacing w:before="60"/>
        <w:ind w:left="357" w:hanging="357"/>
        <w:jc w:val="left"/>
        <w:rPr>
          <w:rFonts w:cs="Arial"/>
          <w:lang w:eastAsia="it-CH"/>
        </w:rPr>
      </w:pPr>
      <w:r w:rsidRPr="001355FF">
        <w:rPr>
          <w:rFonts w:cs="Arial"/>
          <w:lang w:eastAsia="it-CH"/>
        </w:rPr>
        <w:t xml:space="preserve">sistemazione del collegamento tra gli edifici </w:t>
      </w:r>
      <w:proofErr w:type="spellStart"/>
      <w:r w:rsidRPr="001355FF">
        <w:rPr>
          <w:rFonts w:cs="Arial"/>
          <w:lang w:eastAsia="it-CH"/>
        </w:rPr>
        <w:t>Mottino</w:t>
      </w:r>
      <w:proofErr w:type="spellEnd"/>
      <w:r w:rsidRPr="001355FF">
        <w:rPr>
          <w:rFonts w:cs="Arial"/>
          <w:lang w:eastAsia="it-CH"/>
        </w:rPr>
        <w:t xml:space="preserve"> e Motta</w:t>
      </w:r>
      <w:r w:rsidR="003910AB">
        <w:rPr>
          <w:rFonts w:cs="Arial"/>
          <w:lang w:eastAsia="it-CH"/>
        </w:rPr>
        <w:t>;</w:t>
      </w:r>
      <w:r w:rsidRPr="001355FF">
        <w:rPr>
          <w:rFonts w:cs="Arial"/>
          <w:lang w:eastAsia="it-CH"/>
        </w:rPr>
        <w:t xml:space="preserve"> </w:t>
      </w:r>
    </w:p>
    <w:p w:rsidR="001355FF" w:rsidRPr="001355FF" w:rsidRDefault="001355FF" w:rsidP="001355FF">
      <w:pPr>
        <w:numPr>
          <w:ilvl w:val="0"/>
          <w:numId w:val="13"/>
        </w:numPr>
        <w:spacing w:before="60"/>
        <w:ind w:left="357" w:hanging="357"/>
        <w:jc w:val="left"/>
        <w:rPr>
          <w:rFonts w:cs="Arial"/>
          <w:lang w:eastAsia="it-CH"/>
        </w:rPr>
      </w:pPr>
      <w:r w:rsidRPr="001355FF">
        <w:rPr>
          <w:rFonts w:cs="Arial"/>
          <w:lang w:eastAsia="it-CH"/>
        </w:rPr>
        <w:t>adeguamento della sistemazione esterna</w:t>
      </w:r>
      <w:r w:rsidR="003910AB">
        <w:rPr>
          <w:rFonts w:cs="Arial"/>
          <w:lang w:eastAsia="it-CH"/>
        </w:rPr>
        <w:t>;</w:t>
      </w:r>
    </w:p>
    <w:p w:rsidR="001355FF" w:rsidRPr="001355FF" w:rsidRDefault="001355FF" w:rsidP="001355FF">
      <w:pPr>
        <w:numPr>
          <w:ilvl w:val="0"/>
          <w:numId w:val="13"/>
        </w:numPr>
        <w:spacing w:before="60"/>
        <w:ind w:left="357" w:hanging="357"/>
        <w:jc w:val="left"/>
        <w:rPr>
          <w:rFonts w:cs="Arial"/>
          <w:lang w:eastAsia="it-CH"/>
        </w:rPr>
      </w:pPr>
      <w:r w:rsidRPr="001355FF">
        <w:rPr>
          <w:rFonts w:cs="Arial"/>
          <w:lang w:eastAsia="it-CH"/>
        </w:rPr>
        <w:t>aggiornamento dell’allacciamento generale alla rete informatica.</w:t>
      </w:r>
    </w:p>
    <w:p w:rsidR="001355FF" w:rsidRPr="001355FF" w:rsidRDefault="001355FF" w:rsidP="001355FF">
      <w:pPr>
        <w:spacing w:line="276" w:lineRule="auto"/>
        <w:rPr>
          <w:rFonts w:cs="Arial"/>
        </w:rPr>
      </w:pPr>
    </w:p>
    <w:p w:rsidR="001355FF" w:rsidRPr="001355FF" w:rsidRDefault="001355FF" w:rsidP="001355FF">
      <w:pPr>
        <w:rPr>
          <w:rFonts w:cs="Arial"/>
        </w:rPr>
      </w:pPr>
      <w:r w:rsidRPr="001355FF">
        <w:rPr>
          <w:rFonts w:cs="Arial"/>
        </w:rPr>
        <w:t xml:space="preserve">“Di seguito la tabella con la spesa complessiva, comprendente anche il credito di progettazione di CHF 345’000.00 concesso con il messaggio n. 7538 del 23 maggio 2018 e l’anticipo di credito di CHF 90'000.00 concesso con risoluzione governativa n. 902 del </w:t>
      </w:r>
      <w:r w:rsidR="003910AB">
        <w:rPr>
          <w:rFonts w:cs="Arial"/>
        </w:rPr>
        <w:br/>
      </w:r>
      <w:r w:rsidRPr="001355FF">
        <w:rPr>
          <w:rFonts w:cs="Arial"/>
        </w:rPr>
        <w:t>7 marzo 2017.”</w:t>
      </w:r>
    </w:p>
    <w:bookmarkStart w:id="2" w:name="_MON_1652015431"/>
    <w:bookmarkEnd w:id="2"/>
    <w:p w:rsidR="001355FF" w:rsidRPr="001355FF" w:rsidRDefault="001355FF" w:rsidP="001355FF">
      <w:pPr>
        <w:rPr>
          <w:rFonts w:cs="Arial"/>
          <w:szCs w:val="24"/>
        </w:rPr>
      </w:pPr>
      <w:r w:rsidRPr="001355FF">
        <w:rPr>
          <w:rFonts w:ascii="Calibri" w:hAnsi="Calibri" w:cs="Arial"/>
          <w:sz w:val="22"/>
          <w:szCs w:val="24"/>
        </w:rPr>
        <w:object w:dxaOrig="10097" w:dyaOrig="11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594.75pt" o:ole="">
            <v:imagedata r:id="rId9" o:title=""/>
          </v:shape>
          <o:OLEObject Type="Embed" ProgID="Excel.Sheet.12" ShapeID="_x0000_i1025" DrawAspect="Content" ObjectID="_1692594081" r:id="rId10"/>
        </w:object>
      </w:r>
    </w:p>
    <w:p w:rsidR="001355FF" w:rsidRPr="003910AB" w:rsidRDefault="001355FF" w:rsidP="001355FF">
      <w:pPr>
        <w:rPr>
          <w:rFonts w:cs="Arial"/>
          <w:sz w:val="22"/>
        </w:rPr>
      </w:pPr>
      <w:r w:rsidRPr="003910AB">
        <w:rPr>
          <w:rFonts w:cs="Arial"/>
          <w:sz w:val="22"/>
        </w:rPr>
        <w:t xml:space="preserve">Considerato l’anticipo concesso </w:t>
      </w:r>
      <w:proofErr w:type="gramStart"/>
      <w:r w:rsidRPr="003910AB">
        <w:rPr>
          <w:rFonts w:cs="Arial"/>
          <w:sz w:val="22"/>
        </w:rPr>
        <w:t>e</w:t>
      </w:r>
      <w:proofErr w:type="gramEnd"/>
      <w:r w:rsidRPr="003910AB">
        <w:rPr>
          <w:rFonts w:cs="Arial"/>
          <w:sz w:val="22"/>
        </w:rPr>
        <w:t xml:space="preserve"> il credito stanziato con il </w:t>
      </w:r>
      <w:r w:rsidR="003910AB" w:rsidRPr="003910AB">
        <w:rPr>
          <w:rFonts w:cs="Arial"/>
          <w:sz w:val="22"/>
        </w:rPr>
        <w:t>m</w:t>
      </w:r>
      <w:r w:rsidRPr="003910AB">
        <w:rPr>
          <w:rFonts w:cs="Arial"/>
          <w:sz w:val="22"/>
        </w:rPr>
        <w:t xml:space="preserve">essaggio n. 7538 del 23 maggio 2018, la richiesta di questo </w:t>
      </w:r>
      <w:r w:rsidR="003910AB" w:rsidRPr="003910AB">
        <w:rPr>
          <w:rFonts w:cs="Arial"/>
          <w:sz w:val="22"/>
        </w:rPr>
        <w:t>m</w:t>
      </w:r>
      <w:r w:rsidRPr="003910AB">
        <w:rPr>
          <w:rFonts w:cs="Arial"/>
          <w:sz w:val="22"/>
        </w:rPr>
        <w:t xml:space="preserve">essaggio ammonta a </w:t>
      </w:r>
      <w:r w:rsidRPr="003910AB">
        <w:rPr>
          <w:rFonts w:cs="Arial"/>
          <w:b/>
          <w:bCs/>
          <w:sz w:val="22"/>
        </w:rPr>
        <w:t>CHF 4'110'000.00</w:t>
      </w:r>
      <w:r w:rsidRPr="003910AB">
        <w:rPr>
          <w:rFonts w:cs="Arial"/>
          <w:sz w:val="22"/>
        </w:rPr>
        <w:t xml:space="preserve"> (IVA e spese comprese).</w:t>
      </w:r>
    </w:p>
    <w:p w:rsidR="001355FF" w:rsidRDefault="001355FF" w:rsidP="001355FF">
      <w:pPr>
        <w:rPr>
          <w:rFonts w:ascii="Calibri" w:hAnsi="Calibri" w:cs="Arial"/>
          <w:sz w:val="22"/>
          <w:szCs w:val="24"/>
        </w:rPr>
      </w:pPr>
      <w:r w:rsidRPr="001355FF">
        <w:rPr>
          <w:rFonts w:ascii="Calibri" w:hAnsi="Calibri" w:cs="Arial"/>
          <w:sz w:val="22"/>
          <w:szCs w:val="24"/>
        </w:rPr>
        <w:object w:dxaOrig="10184" w:dyaOrig="1163">
          <v:shape id="_x0000_i1026" type="#_x0000_t75" style="width:492.75pt;height:58.5pt" o:ole="">
            <v:imagedata r:id="rId11" o:title=""/>
          </v:shape>
          <o:OLEObject Type="Embed" ProgID="Excel.Sheet.12" ShapeID="_x0000_i1026" DrawAspect="Content" ObjectID="_1692594082" r:id="rId12"/>
        </w:object>
      </w:r>
    </w:p>
    <w:p w:rsidR="001355FF" w:rsidRPr="001355FF" w:rsidRDefault="001355FF" w:rsidP="001355FF">
      <w:pPr>
        <w:rPr>
          <w:rFonts w:cs="Arial"/>
          <w:szCs w:val="24"/>
        </w:rPr>
      </w:pPr>
    </w:p>
    <w:p w:rsidR="001355FF" w:rsidRPr="001355FF" w:rsidRDefault="001355FF" w:rsidP="001355FF">
      <w:pPr>
        <w:pStyle w:val="Titolo2"/>
      </w:pPr>
      <w:r w:rsidRPr="001355FF">
        <w:t>1.4</w:t>
      </w:r>
      <w:r w:rsidRPr="001355FF">
        <w:tab/>
        <w:t>Corrispondenza con le linee direttive e il piano finanziario</w:t>
      </w:r>
    </w:p>
    <w:p w:rsidR="001355FF" w:rsidRPr="001355FF" w:rsidRDefault="001355FF" w:rsidP="001355FF">
      <w:pPr>
        <w:pStyle w:val="Titolo3"/>
      </w:pPr>
      <w:r w:rsidRPr="001355FF">
        <w:t>Linee direttive 2019 - 2023</w:t>
      </w:r>
    </w:p>
    <w:p w:rsidR="001355FF" w:rsidRDefault="001355FF" w:rsidP="001355FF">
      <w:pPr>
        <w:rPr>
          <w:rFonts w:cs="Arial"/>
        </w:rPr>
      </w:pPr>
      <w:r w:rsidRPr="001355FF">
        <w:rPr>
          <w:rFonts w:cs="Arial"/>
        </w:rPr>
        <w:t>Il credito è inserito nelle linee direttive 2019 – 2023 “concernenti l’asse strategico 2 “Sviluppo e attrattiva del Cantone Ticino”, riferendosi in particolare agli obiettivi 10 “Riqualificare il territorio costruito, valorizzare il paesaggio, conservare il patrimonio, favorire la biodiversità” e 12 “Valorizzare le risorse naturali, migliorando la qualità dell’ambiente”, e a quelli della strategia energetica.”</w:t>
      </w:r>
    </w:p>
    <w:p w:rsidR="001355FF" w:rsidRPr="001355FF" w:rsidRDefault="001355FF" w:rsidP="001355FF">
      <w:pPr>
        <w:rPr>
          <w:rFonts w:cs="Arial"/>
        </w:rPr>
      </w:pPr>
    </w:p>
    <w:p w:rsidR="001355FF" w:rsidRPr="001355FF" w:rsidRDefault="001355FF" w:rsidP="001355FF">
      <w:pPr>
        <w:pStyle w:val="Titolo3"/>
      </w:pPr>
      <w:r w:rsidRPr="001355FF">
        <w:t>Piano finanziario 2020 - 2023</w:t>
      </w:r>
    </w:p>
    <w:p w:rsidR="001355FF" w:rsidRDefault="001355FF" w:rsidP="001355FF">
      <w:pPr>
        <w:rPr>
          <w:rFonts w:cs="Arial"/>
        </w:rPr>
      </w:pPr>
      <w:r w:rsidRPr="001355FF">
        <w:rPr>
          <w:rFonts w:cs="Arial"/>
        </w:rPr>
        <w:t>“Il credito è inserito a piano finanziario investimenti 2020-2023, settore 31, ospedali e altre istituzioni sanitarie, posizione 311.</w:t>
      </w:r>
    </w:p>
    <w:p w:rsidR="001355FF" w:rsidRPr="001355FF" w:rsidRDefault="001355FF" w:rsidP="001355FF">
      <w:pPr>
        <w:rPr>
          <w:rFonts w:cs="Arial"/>
        </w:rPr>
      </w:pPr>
    </w:p>
    <w:p w:rsidR="001355FF" w:rsidRDefault="001355FF" w:rsidP="001355FF">
      <w:pPr>
        <w:rPr>
          <w:rFonts w:cs="Arial"/>
        </w:rPr>
      </w:pPr>
      <w:r w:rsidRPr="001355FF">
        <w:rPr>
          <w:rFonts w:cs="Arial"/>
        </w:rPr>
        <w:t xml:space="preserve">Il risanamento generale è previsto al WBS 941 59 6063 Mendrisio OSC </w:t>
      </w:r>
      <w:proofErr w:type="spellStart"/>
      <w:r w:rsidRPr="001355FF">
        <w:rPr>
          <w:rFonts w:cs="Arial"/>
        </w:rPr>
        <w:t>Mottino</w:t>
      </w:r>
      <w:proofErr w:type="spellEnd"/>
      <w:r w:rsidRPr="001355FF">
        <w:rPr>
          <w:rFonts w:cs="Arial"/>
        </w:rPr>
        <w:t>, credito di costruzione (voce 5040 0005) per un importo di CHF 4'064'800.00.</w:t>
      </w:r>
    </w:p>
    <w:p w:rsidR="001355FF" w:rsidRPr="001355FF" w:rsidRDefault="001355FF" w:rsidP="001355FF">
      <w:pPr>
        <w:rPr>
          <w:rFonts w:cs="Arial"/>
        </w:rPr>
      </w:pPr>
    </w:p>
    <w:p w:rsidR="001355FF" w:rsidRDefault="001355FF" w:rsidP="001355FF">
      <w:pPr>
        <w:rPr>
          <w:rFonts w:cs="Arial"/>
        </w:rPr>
      </w:pPr>
      <w:r w:rsidRPr="001355FF">
        <w:rPr>
          <w:rFonts w:cs="Arial"/>
        </w:rPr>
        <w:t xml:space="preserve">Gli aspetti informatici del </w:t>
      </w:r>
      <w:proofErr w:type="spellStart"/>
      <w:r w:rsidRPr="001355FF">
        <w:rPr>
          <w:rFonts w:cs="Arial"/>
        </w:rPr>
        <w:t>Mottino</w:t>
      </w:r>
      <w:proofErr w:type="spellEnd"/>
      <w:r w:rsidRPr="001355FF">
        <w:rPr>
          <w:rFonts w:cs="Arial"/>
        </w:rPr>
        <w:t xml:space="preserve"> sono previsti al WBS 951 50 1577 (voce 5060 0007) per un importo di CHF 45'200.00.”</w:t>
      </w:r>
    </w:p>
    <w:p w:rsidR="001355FF" w:rsidRPr="001355FF" w:rsidRDefault="001355FF" w:rsidP="001355FF">
      <w:pPr>
        <w:rPr>
          <w:rFonts w:cs="Arial"/>
        </w:rPr>
      </w:pPr>
    </w:p>
    <w:p w:rsidR="001355FF" w:rsidRPr="001355FF" w:rsidRDefault="001355FF" w:rsidP="001355FF">
      <w:pPr>
        <w:pStyle w:val="Titolo3"/>
      </w:pPr>
      <w:r w:rsidRPr="001355FF">
        <w:t>Gestione corrente</w:t>
      </w:r>
    </w:p>
    <w:p w:rsidR="001355FF" w:rsidRDefault="001355FF" w:rsidP="001355FF">
      <w:pPr>
        <w:rPr>
          <w:rFonts w:cs="Arial"/>
        </w:rPr>
      </w:pPr>
      <w:r w:rsidRPr="001355FF">
        <w:rPr>
          <w:rFonts w:cs="Arial"/>
        </w:rPr>
        <w:t>I costi complessivi di gestione corrente ammonteranno a CHF 80'000 all’anno a cui si aggiungono CHF 20'000 di manutenzione ordinaria.</w:t>
      </w:r>
    </w:p>
    <w:p w:rsidR="001355FF" w:rsidRPr="001355FF" w:rsidRDefault="001355FF" w:rsidP="001355FF">
      <w:pPr>
        <w:rPr>
          <w:rFonts w:cs="Arial"/>
        </w:rPr>
      </w:pPr>
    </w:p>
    <w:p w:rsidR="001355FF" w:rsidRDefault="001355FF" w:rsidP="001355FF">
      <w:pPr>
        <w:rPr>
          <w:rFonts w:cs="Arial"/>
        </w:rPr>
      </w:pPr>
      <w:r w:rsidRPr="001355FF">
        <w:rPr>
          <w:rFonts w:cs="Arial"/>
        </w:rPr>
        <w:t xml:space="preserve">Le sei nuove camere per gli utenti del CARL genereranno maggiori entrate quantificabili in circa CHF 219'000.00 annui a cui vanno aggiunti eventuali ricavi per le prestazioni sanitarie riconosciute dalla </w:t>
      </w:r>
      <w:proofErr w:type="spellStart"/>
      <w:r w:rsidRPr="001355FF">
        <w:rPr>
          <w:rFonts w:cs="Arial"/>
        </w:rPr>
        <w:t>LAMal</w:t>
      </w:r>
      <w:proofErr w:type="spellEnd"/>
      <w:r w:rsidRPr="001355FF">
        <w:rPr>
          <w:rFonts w:cs="Arial"/>
        </w:rPr>
        <w:t>.</w:t>
      </w:r>
    </w:p>
    <w:p w:rsidR="001355FF" w:rsidRPr="001355FF" w:rsidRDefault="001355FF" w:rsidP="001355FF">
      <w:pPr>
        <w:rPr>
          <w:rFonts w:cs="Arial"/>
        </w:rPr>
      </w:pPr>
    </w:p>
    <w:p w:rsidR="001355FF" w:rsidRDefault="001355FF" w:rsidP="001355FF">
      <w:pPr>
        <w:rPr>
          <w:rFonts w:cs="Arial"/>
        </w:rPr>
      </w:pPr>
      <w:r w:rsidRPr="001355FF">
        <w:rPr>
          <w:rFonts w:cs="Arial"/>
        </w:rPr>
        <w:t>L’affitto delle camere al personale in formazione infermieristica permetterà di generare entrate per CHF 25'000 annui, in linea con quanto incassato precedentemente nonostante il numero ridotto di camere.</w:t>
      </w:r>
    </w:p>
    <w:p w:rsidR="001355FF" w:rsidRPr="001355FF" w:rsidRDefault="001355FF" w:rsidP="001355FF">
      <w:pPr>
        <w:rPr>
          <w:rFonts w:cs="Arial"/>
        </w:rPr>
      </w:pPr>
    </w:p>
    <w:p w:rsidR="001355FF" w:rsidRPr="001355FF" w:rsidRDefault="001355FF" w:rsidP="001355FF">
      <w:pPr>
        <w:rPr>
          <w:rFonts w:cs="Arial"/>
        </w:rPr>
      </w:pPr>
      <w:r w:rsidRPr="001355FF">
        <w:rPr>
          <w:rFonts w:cs="Arial"/>
        </w:rPr>
        <w:t xml:space="preserve">Non sono previste conseguenze sugli effettivi del personale OSC. </w:t>
      </w:r>
    </w:p>
    <w:p w:rsidR="001355FF" w:rsidRDefault="001355FF" w:rsidP="001355FF">
      <w:pPr>
        <w:rPr>
          <w:rFonts w:cs="Arial"/>
        </w:rPr>
      </w:pPr>
    </w:p>
    <w:p w:rsidR="001355FF" w:rsidRDefault="001355FF" w:rsidP="001355FF">
      <w:pPr>
        <w:rPr>
          <w:rFonts w:cs="Arial"/>
        </w:rPr>
      </w:pPr>
    </w:p>
    <w:p w:rsidR="001355FF" w:rsidRPr="001355FF" w:rsidRDefault="001355FF" w:rsidP="001355FF">
      <w:pPr>
        <w:rPr>
          <w:rFonts w:cs="Arial"/>
        </w:rPr>
      </w:pPr>
    </w:p>
    <w:p w:rsidR="001355FF" w:rsidRPr="001355FF" w:rsidRDefault="001355FF" w:rsidP="001355FF">
      <w:pPr>
        <w:tabs>
          <w:tab w:val="left" w:pos="567"/>
        </w:tabs>
        <w:spacing w:after="120"/>
        <w:rPr>
          <w:rFonts w:eastAsia="Times New Roman"/>
          <w:b/>
          <w:caps/>
          <w:szCs w:val="24"/>
          <w:lang w:val="it-IT" w:eastAsia="it-IT"/>
        </w:rPr>
      </w:pPr>
      <w:r w:rsidRPr="001355FF">
        <w:rPr>
          <w:rFonts w:eastAsia="Times New Roman" w:cs="Arial"/>
          <w:b/>
          <w:bCs/>
          <w:szCs w:val="24"/>
          <w:lang w:val="it-IT" w:eastAsia="it-CH"/>
        </w:rPr>
        <w:t>2.</w:t>
      </w:r>
      <w:r w:rsidRPr="001355FF">
        <w:rPr>
          <w:rFonts w:eastAsia="Times New Roman" w:cs="Arial"/>
          <w:b/>
          <w:bCs/>
          <w:szCs w:val="24"/>
          <w:lang w:val="it-IT" w:eastAsia="it-CH"/>
        </w:rPr>
        <w:tab/>
      </w:r>
      <w:r w:rsidRPr="001355FF">
        <w:rPr>
          <w:rFonts w:eastAsia="Times New Roman"/>
          <w:b/>
          <w:caps/>
          <w:szCs w:val="24"/>
          <w:lang w:val="it-IT" w:eastAsia="it-IT"/>
        </w:rPr>
        <w:t xml:space="preserve">LAVORI COMMISSIONALI </w:t>
      </w:r>
    </w:p>
    <w:p w:rsidR="001355FF" w:rsidRPr="001355FF" w:rsidRDefault="001355FF" w:rsidP="001355FF">
      <w:pPr>
        <w:rPr>
          <w:rFonts w:eastAsia="Times New Roman" w:cs="Arial"/>
          <w:szCs w:val="24"/>
          <w:lang w:val="it-IT" w:eastAsia="it-CH"/>
        </w:rPr>
      </w:pPr>
      <w:r w:rsidRPr="001355FF">
        <w:rPr>
          <w:rFonts w:eastAsia="Times New Roman" w:cs="Arial"/>
          <w:szCs w:val="24"/>
          <w:lang w:val="it-IT" w:eastAsia="it-CH"/>
        </w:rPr>
        <w:t xml:space="preserve">Ritenuto importante il buon mantenimento degli stabili di proprietà dello Stato, ancor di più quando si tratta di ospedali o istituti di ricovero abbiamo voluto approfondire gli interventi previsti nei prossimi anni per </w:t>
      </w:r>
      <w:proofErr w:type="spellStart"/>
      <w:r w:rsidRPr="001355FF">
        <w:rPr>
          <w:rFonts w:eastAsia="Times New Roman" w:cs="Arial"/>
          <w:szCs w:val="24"/>
          <w:lang w:val="it-IT" w:eastAsia="it-CH"/>
        </w:rPr>
        <w:t>Casvegno</w:t>
      </w:r>
      <w:proofErr w:type="spellEnd"/>
      <w:r w:rsidRPr="001355FF">
        <w:rPr>
          <w:rFonts w:eastAsia="Times New Roman" w:cs="Arial"/>
          <w:szCs w:val="24"/>
          <w:lang w:val="it-IT" w:eastAsia="it-CH"/>
        </w:rPr>
        <w:t xml:space="preserve"> e che auspichiamo vengano eseguiti nella tempistica prevista.</w:t>
      </w:r>
    </w:p>
    <w:p w:rsidR="001355FF" w:rsidRPr="001355FF" w:rsidRDefault="001355FF" w:rsidP="001355FF">
      <w:pPr>
        <w:rPr>
          <w:rFonts w:eastAsia="Times New Roman" w:cs="Arial"/>
          <w:szCs w:val="24"/>
          <w:lang w:val="it-IT" w:eastAsia="it-CH"/>
        </w:rPr>
      </w:pPr>
    </w:p>
    <w:p w:rsidR="001355FF" w:rsidRDefault="001355FF" w:rsidP="001355FF">
      <w:pPr>
        <w:rPr>
          <w:rFonts w:eastAsia="Times New Roman" w:cs="Arial"/>
          <w:i/>
          <w:iCs/>
          <w:szCs w:val="24"/>
          <w:lang w:val="it-IT" w:eastAsia="it-CH"/>
        </w:rPr>
      </w:pPr>
      <w:r w:rsidRPr="001355FF">
        <w:rPr>
          <w:rFonts w:eastAsia="Times New Roman" w:cs="Arial"/>
          <w:i/>
          <w:iCs/>
          <w:szCs w:val="24"/>
          <w:lang w:val="it-IT" w:eastAsia="it-CH"/>
        </w:rPr>
        <w:t xml:space="preserve">“Terminato il risanamento generale del </w:t>
      </w:r>
      <w:proofErr w:type="spellStart"/>
      <w:r w:rsidRPr="001355FF">
        <w:rPr>
          <w:rFonts w:eastAsia="Times New Roman" w:cs="Arial"/>
          <w:i/>
          <w:iCs/>
          <w:szCs w:val="24"/>
          <w:lang w:val="it-IT" w:eastAsia="it-CH"/>
        </w:rPr>
        <w:t>Mottino</w:t>
      </w:r>
      <w:proofErr w:type="spellEnd"/>
      <w:r w:rsidRPr="001355FF">
        <w:rPr>
          <w:rFonts w:eastAsia="Times New Roman" w:cs="Arial"/>
          <w:i/>
          <w:iCs/>
          <w:szCs w:val="24"/>
          <w:lang w:val="it-IT" w:eastAsia="it-CH"/>
        </w:rPr>
        <w:t xml:space="preserve">, i prossimi interventi di risanamento previsti nel comparto di </w:t>
      </w:r>
      <w:proofErr w:type="spellStart"/>
      <w:r w:rsidRPr="001355FF">
        <w:rPr>
          <w:rFonts w:eastAsia="Times New Roman" w:cs="Arial"/>
          <w:i/>
          <w:iCs/>
          <w:szCs w:val="24"/>
          <w:lang w:val="it-IT" w:eastAsia="it-CH"/>
        </w:rPr>
        <w:t>Casvegno</w:t>
      </w:r>
      <w:proofErr w:type="spellEnd"/>
      <w:r w:rsidRPr="001355FF">
        <w:rPr>
          <w:rFonts w:eastAsia="Times New Roman" w:cs="Arial"/>
          <w:i/>
          <w:iCs/>
          <w:szCs w:val="24"/>
          <w:lang w:val="it-IT" w:eastAsia="it-CH"/>
        </w:rPr>
        <w:t xml:space="preserve"> riguardano innanzitutto Villa Ortensia, stabile che ospita unità abitative del Centro abitativo, ricreativo e di lavoro (CARL) dell’OSC. I lavori di adeguamento di questo immobile prevedono un investimento complessivo attorno a CHF 6.2 mio e coinvolgono mirati aspetti funzionali, impiantistici e costruttivi tra cui ad esempio la ristrutturazione dei servizi igienici di tutte le camere secondo gli attuali livelli di confort, l’adeguamento dello stabile per permettere il superamento delle barriere architettoniche, la puntuale sistemazione dei serramenti e il miglioramento del confort termico grazie al raffrescamento delle camere. Dopo la fase di progettazione, i lavori saranno illustrati attraverso il relativo messaggio di costruzione. </w:t>
      </w:r>
    </w:p>
    <w:p w:rsidR="001355FF" w:rsidRPr="001355FF" w:rsidRDefault="001355FF" w:rsidP="001355FF">
      <w:pPr>
        <w:rPr>
          <w:rFonts w:eastAsia="Times New Roman" w:cs="Arial"/>
          <w:i/>
          <w:iCs/>
          <w:szCs w:val="24"/>
          <w:lang w:val="it-IT" w:eastAsia="it-CH"/>
        </w:rPr>
      </w:pPr>
    </w:p>
    <w:p w:rsidR="001355FF" w:rsidRPr="001355FF" w:rsidRDefault="001355FF" w:rsidP="001355FF">
      <w:pPr>
        <w:rPr>
          <w:rFonts w:eastAsia="Times New Roman" w:cs="Arial"/>
          <w:i/>
          <w:iCs/>
          <w:szCs w:val="24"/>
          <w:lang w:val="it-IT" w:eastAsia="it-CH"/>
        </w:rPr>
      </w:pPr>
      <w:r w:rsidRPr="001355FF">
        <w:rPr>
          <w:rFonts w:eastAsia="Times New Roman" w:cs="Arial"/>
          <w:i/>
          <w:iCs/>
          <w:szCs w:val="24"/>
          <w:lang w:val="it-IT" w:eastAsia="it-CH"/>
        </w:rPr>
        <w:t xml:space="preserve">L'adeguamento di Villa Ortensia avrà luogo dopo la conclusione dei lavori del </w:t>
      </w:r>
      <w:proofErr w:type="spellStart"/>
      <w:r w:rsidRPr="001355FF">
        <w:rPr>
          <w:rFonts w:eastAsia="Times New Roman" w:cs="Arial"/>
          <w:i/>
          <w:iCs/>
          <w:szCs w:val="24"/>
          <w:lang w:val="it-IT" w:eastAsia="it-CH"/>
        </w:rPr>
        <w:t>Mottino</w:t>
      </w:r>
      <w:proofErr w:type="spellEnd"/>
      <w:r w:rsidRPr="001355FF">
        <w:rPr>
          <w:rFonts w:eastAsia="Times New Roman" w:cs="Arial"/>
          <w:i/>
          <w:iCs/>
          <w:szCs w:val="24"/>
          <w:lang w:val="it-IT" w:eastAsia="it-CH"/>
        </w:rPr>
        <w:t xml:space="preserve">, in modo che quest'ultimo possa essere utilizzato provvisoriamente per accogliere l'attuale utenza residente presso Villa Ortensia. La conclusione dei lavori è ipotizzata nel 2026. A quel momento Villa Ortensia tornerà ad ospitare tutti i suoi residenti ed il </w:t>
      </w:r>
      <w:proofErr w:type="spellStart"/>
      <w:r w:rsidRPr="001355FF">
        <w:rPr>
          <w:rFonts w:eastAsia="Times New Roman" w:cs="Arial"/>
          <w:i/>
          <w:iCs/>
          <w:szCs w:val="24"/>
          <w:lang w:val="it-IT" w:eastAsia="it-CH"/>
        </w:rPr>
        <w:t>Mottino</w:t>
      </w:r>
      <w:proofErr w:type="spellEnd"/>
      <w:r w:rsidRPr="001355FF">
        <w:rPr>
          <w:rFonts w:eastAsia="Times New Roman" w:cs="Arial"/>
          <w:i/>
          <w:iCs/>
          <w:szCs w:val="24"/>
          <w:lang w:val="it-IT" w:eastAsia="it-CH"/>
        </w:rPr>
        <w:t xml:space="preserve"> potrà essere utilizzato come previsto per gli utenti aggiuntivi del CARL e per continuare ad offrire una possibilità di soggiorno agli studenti/</w:t>
      </w:r>
      <w:proofErr w:type="spellStart"/>
      <w:r w:rsidRPr="001355FF">
        <w:rPr>
          <w:rFonts w:eastAsia="Times New Roman" w:cs="Arial"/>
          <w:i/>
          <w:iCs/>
          <w:szCs w:val="24"/>
          <w:lang w:val="it-IT" w:eastAsia="it-CH"/>
        </w:rPr>
        <w:t>stagiares</w:t>
      </w:r>
      <w:proofErr w:type="spellEnd"/>
      <w:r w:rsidRPr="001355FF">
        <w:rPr>
          <w:rFonts w:eastAsia="Times New Roman" w:cs="Arial"/>
          <w:i/>
          <w:iCs/>
          <w:szCs w:val="24"/>
          <w:lang w:val="it-IT" w:eastAsia="it-CH"/>
        </w:rPr>
        <w:t xml:space="preserve"> anche esterni all’OSC.</w:t>
      </w:r>
    </w:p>
    <w:p w:rsidR="001355FF" w:rsidRPr="001355FF" w:rsidRDefault="001355FF" w:rsidP="001355FF">
      <w:pPr>
        <w:rPr>
          <w:rFonts w:eastAsia="Times New Roman" w:cs="Arial"/>
          <w:i/>
          <w:iCs/>
          <w:szCs w:val="24"/>
          <w:lang w:val="it-IT" w:eastAsia="it-CH"/>
        </w:rPr>
      </w:pPr>
      <w:r w:rsidRPr="001355FF">
        <w:rPr>
          <w:rFonts w:eastAsia="Times New Roman" w:cs="Arial"/>
          <w:i/>
          <w:iCs/>
          <w:szCs w:val="24"/>
          <w:lang w:val="it-IT" w:eastAsia="it-CH"/>
        </w:rPr>
        <w:t xml:space="preserve"> </w:t>
      </w:r>
    </w:p>
    <w:p w:rsidR="001355FF" w:rsidRPr="001355FF" w:rsidRDefault="001355FF" w:rsidP="001355FF">
      <w:pPr>
        <w:rPr>
          <w:rFonts w:eastAsia="Times New Roman" w:cs="Arial"/>
          <w:i/>
          <w:iCs/>
          <w:szCs w:val="24"/>
          <w:lang w:val="it-IT" w:eastAsia="it-CH"/>
        </w:rPr>
      </w:pPr>
      <w:r w:rsidRPr="001355FF">
        <w:rPr>
          <w:rFonts w:eastAsia="Times New Roman" w:cs="Arial"/>
          <w:i/>
          <w:iCs/>
          <w:szCs w:val="24"/>
          <w:lang w:val="it-IT" w:eastAsia="it-CH"/>
        </w:rPr>
        <w:t xml:space="preserve">Altri edifici che ospitano servizi dell’OSC presso il parco di </w:t>
      </w:r>
      <w:proofErr w:type="spellStart"/>
      <w:r w:rsidRPr="001355FF">
        <w:rPr>
          <w:rFonts w:eastAsia="Times New Roman" w:cs="Arial"/>
          <w:i/>
          <w:iCs/>
          <w:szCs w:val="24"/>
          <w:lang w:val="it-IT" w:eastAsia="it-CH"/>
        </w:rPr>
        <w:t>Casvegno</w:t>
      </w:r>
      <w:proofErr w:type="spellEnd"/>
      <w:r w:rsidRPr="001355FF">
        <w:rPr>
          <w:rFonts w:eastAsia="Times New Roman" w:cs="Arial"/>
          <w:i/>
          <w:iCs/>
          <w:szCs w:val="24"/>
          <w:lang w:val="it-IT" w:eastAsia="it-CH"/>
        </w:rPr>
        <w:t xml:space="preserve"> e che sono oggetto di futuri interventi sono la lavanderia e la nuova mensa con la piazza antistante.</w:t>
      </w:r>
    </w:p>
    <w:p w:rsidR="001355FF" w:rsidRDefault="001355FF" w:rsidP="001355FF">
      <w:pPr>
        <w:rPr>
          <w:rFonts w:eastAsia="Times New Roman" w:cs="Arial"/>
          <w:i/>
          <w:iCs/>
          <w:szCs w:val="24"/>
          <w:lang w:val="it-IT" w:eastAsia="it-CH"/>
        </w:rPr>
      </w:pPr>
      <w:r w:rsidRPr="001355FF">
        <w:rPr>
          <w:rFonts w:eastAsia="Times New Roman" w:cs="Arial"/>
          <w:i/>
          <w:iCs/>
          <w:szCs w:val="24"/>
          <w:lang w:val="it-IT" w:eastAsia="it-CH"/>
        </w:rPr>
        <w:t xml:space="preserve">Per la lavanderia si inizierà la progettazione mirata al rinnovamento delle vetuste attrezzature ed al miglioramento dell’attuale situazione di confort termico. Per questi interventi si ipotizza un investimento dell’ordine di grandezza di CHF 3.0 mio e una conclusione orientativa per il 2024. </w:t>
      </w:r>
    </w:p>
    <w:p w:rsidR="001355FF" w:rsidRPr="001355FF" w:rsidRDefault="001355FF" w:rsidP="001355FF">
      <w:pPr>
        <w:rPr>
          <w:rFonts w:eastAsia="Times New Roman" w:cs="Arial"/>
          <w:i/>
          <w:iCs/>
          <w:szCs w:val="24"/>
          <w:lang w:val="it-IT" w:eastAsia="it-CH"/>
        </w:rPr>
      </w:pPr>
    </w:p>
    <w:p w:rsidR="001355FF" w:rsidRPr="001355FF" w:rsidRDefault="001355FF" w:rsidP="001355FF">
      <w:pPr>
        <w:rPr>
          <w:rFonts w:eastAsia="Times New Roman" w:cs="Arial"/>
          <w:i/>
          <w:iCs/>
          <w:szCs w:val="24"/>
          <w:lang w:val="it-IT" w:eastAsia="it-CH"/>
        </w:rPr>
      </w:pPr>
      <w:r w:rsidRPr="001355FF">
        <w:rPr>
          <w:rFonts w:eastAsia="Times New Roman" w:cs="Arial"/>
          <w:i/>
          <w:iCs/>
          <w:szCs w:val="24"/>
          <w:lang w:val="it-IT" w:eastAsia="it-CH"/>
        </w:rPr>
        <w:t>Per la mensa e la piazza dell’OSC è stata definita le necessità di un intervento generale quantificabile in un investimento complessivo attorno a CHF 8.2 mio e una conclusione ipotizzabile nel 2027. Con la nuova mensa e la ristrutturazione della piazza, attualmente in fase di progettazione, si intende valorizzare il comparto qualificandone il suo carattere di centro identitario sociale e aggregativo. Per la fine del corrente anno si attende l’esito del concorso di architettura al quale seguiranno le successive fasi di progettazione, il messaggio di costruzione dedicato e la realizzazione dell’opera.</w:t>
      </w:r>
    </w:p>
    <w:p w:rsidR="001355FF" w:rsidRPr="001355FF" w:rsidRDefault="001355FF" w:rsidP="001355FF">
      <w:pPr>
        <w:rPr>
          <w:rFonts w:eastAsia="Times New Roman" w:cs="Arial"/>
          <w:i/>
          <w:iCs/>
          <w:szCs w:val="24"/>
          <w:lang w:val="it-IT" w:eastAsia="it-CH"/>
        </w:rPr>
      </w:pPr>
      <w:r w:rsidRPr="001355FF">
        <w:rPr>
          <w:rFonts w:eastAsia="Times New Roman" w:cs="Arial"/>
          <w:i/>
          <w:iCs/>
          <w:szCs w:val="24"/>
          <w:lang w:val="it-IT" w:eastAsia="it-CH"/>
        </w:rPr>
        <w:t xml:space="preserve"> </w:t>
      </w:r>
    </w:p>
    <w:p w:rsidR="001355FF" w:rsidRDefault="001355FF" w:rsidP="001355FF">
      <w:pPr>
        <w:rPr>
          <w:rFonts w:eastAsia="Times New Roman" w:cs="Arial"/>
          <w:i/>
          <w:iCs/>
          <w:szCs w:val="24"/>
          <w:lang w:val="it-IT" w:eastAsia="it-CH"/>
        </w:rPr>
      </w:pPr>
      <w:r w:rsidRPr="001355FF">
        <w:rPr>
          <w:rFonts w:eastAsia="Times New Roman" w:cs="Arial"/>
          <w:i/>
          <w:iCs/>
          <w:szCs w:val="24"/>
          <w:lang w:val="it-IT" w:eastAsia="it-CH"/>
        </w:rPr>
        <w:t xml:space="preserve">Per far fronte al disagio provocato durante i periodi estivi dalle elevate temperature a cui sono sottoposti i pazienti, è stato inoltre previsto un investimento globale di </w:t>
      </w:r>
      <w:proofErr w:type="spellStart"/>
      <w:r w:rsidRPr="001355FF">
        <w:rPr>
          <w:rFonts w:eastAsia="Times New Roman" w:cs="Arial"/>
          <w:i/>
          <w:iCs/>
          <w:szCs w:val="24"/>
          <w:lang w:val="it-IT" w:eastAsia="it-CH"/>
        </w:rPr>
        <w:t>ca</w:t>
      </w:r>
      <w:proofErr w:type="spellEnd"/>
      <w:r w:rsidRPr="001355FF">
        <w:rPr>
          <w:rFonts w:eastAsia="Times New Roman" w:cs="Arial"/>
          <w:i/>
          <w:iCs/>
          <w:szCs w:val="24"/>
          <w:lang w:val="it-IT" w:eastAsia="it-CH"/>
        </w:rPr>
        <w:t xml:space="preserve"> CHF 240'000 per la posa di climatizzatori nei locali comuni e nei corridoi della Clinica psichiatrica cantonale, nonché puntali interventi di isolamento termico presso lo stabile Quadrifoglio. </w:t>
      </w:r>
    </w:p>
    <w:p w:rsidR="001355FF" w:rsidRPr="001355FF" w:rsidRDefault="001355FF" w:rsidP="001355FF">
      <w:pPr>
        <w:rPr>
          <w:rFonts w:eastAsia="Times New Roman" w:cs="Arial"/>
          <w:i/>
          <w:iCs/>
          <w:szCs w:val="24"/>
          <w:lang w:val="it-IT" w:eastAsia="it-CH"/>
        </w:rPr>
      </w:pPr>
    </w:p>
    <w:p w:rsidR="001355FF" w:rsidRPr="001355FF" w:rsidRDefault="001355FF" w:rsidP="001355FF">
      <w:pPr>
        <w:rPr>
          <w:rFonts w:eastAsia="Times New Roman" w:cs="Arial"/>
          <w:i/>
          <w:iCs/>
          <w:szCs w:val="24"/>
          <w:lang w:val="it-IT" w:eastAsia="it-CH"/>
        </w:rPr>
      </w:pPr>
      <w:r w:rsidRPr="001355FF">
        <w:rPr>
          <w:rFonts w:eastAsia="Times New Roman" w:cs="Arial"/>
          <w:i/>
          <w:iCs/>
          <w:szCs w:val="24"/>
          <w:lang w:val="it-IT" w:eastAsia="it-CH"/>
        </w:rPr>
        <w:t xml:space="preserve">Infine nel quadro del credito di CHF 100 mio per la manutenzione programmata approvato dal Gran Consiglio il 26 gennaio 2021, CHF 3.3 mio sono destinati al comparto OSC di </w:t>
      </w:r>
      <w:proofErr w:type="spellStart"/>
      <w:r w:rsidRPr="001355FF">
        <w:rPr>
          <w:rFonts w:eastAsia="Times New Roman" w:cs="Arial"/>
          <w:i/>
          <w:iCs/>
          <w:szCs w:val="24"/>
          <w:lang w:val="it-IT" w:eastAsia="it-CH"/>
        </w:rPr>
        <w:t>Casvegno</w:t>
      </w:r>
      <w:proofErr w:type="spellEnd"/>
      <w:r w:rsidRPr="001355FF">
        <w:rPr>
          <w:rFonts w:eastAsia="Times New Roman" w:cs="Arial"/>
          <w:i/>
          <w:iCs/>
          <w:szCs w:val="24"/>
          <w:lang w:val="it-IT" w:eastAsia="it-CH"/>
        </w:rPr>
        <w:t>, in particolare per la sostituzione dei serramenti e delle protezioni solari degli stabili Quadrifoglio e Adorna nonché per altri interventi puntuali. Anche questi risanamenti permetteranno di migliorare la protezione dal calore e dal freddo.”</w:t>
      </w:r>
      <w:r w:rsidRPr="001355FF">
        <w:rPr>
          <w:rFonts w:eastAsia="Times New Roman" w:cs="Arial"/>
          <w:i/>
          <w:iCs/>
          <w:szCs w:val="24"/>
          <w:vertAlign w:val="superscript"/>
          <w:lang w:val="it-IT" w:eastAsia="it-CH"/>
        </w:rPr>
        <w:footnoteReference w:id="2"/>
      </w:r>
      <w:r w:rsidRPr="001355FF">
        <w:rPr>
          <w:rFonts w:eastAsia="Times New Roman" w:cs="Arial"/>
          <w:i/>
          <w:iCs/>
          <w:szCs w:val="24"/>
          <w:lang w:val="it-IT" w:eastAsia="it-CH"/>
        </w:rPr>
        <w:t xml:space="preserve"> </w:t>
      </w:r>
    </w:p>
    <w:p w:rsidR="001355FF" w:rsidRPr="001355FF" w:rsidRDefault="001355FF" w:rsidP="001355FF">
      <w:pPr>
        <w:rPr>
          <w:rFonts w:eastAsia="Times New Roman" w:cs="Arial"/>
          <w:szCs w:val="24"/>
          <w:lang w:val="it-IT" w:eastAsia="it-CH"/>
        </w:rPr>
      </w:pPr>
    </w:p>
    <w:p w:rsidR="001355FF" w:rsidRPr="001355FF" w:rsidRDefault="001355FF" w:rsidP="001355FF">
      <w:pPr>
        <w:rPr>
          <w:rFonts w:eastAsia="Times New Roman" w:cs="Arial"/>
          <w:szCs w:val="24"/>
          <w:lang w:val="it-IT" w:eastAsia="it-CH"/>
        </w:rPr>
      </w:pPr>
      <w:r w:rsidRPr="001355FF">
        <w:rPr>
          <w:rFonts w:eastAsia="Times New Roman" w:cs="Arial"/>
          <w:szCs w:val="24"/>
          <w:lang w:val="it-IT" w:eastAsia="it-CH"/>
        </w:rPr>
        <w:t>Auspichiamo che gli importanti problemi di disagio presso la Clinica nei periodi estivi dovuti alle temperature elevate, presenti peraltro da diversi anni, vengano risolti il più velocemente possibile.</w:t>
      </w:r>
    </w:p>
    <w:p w:rsidR="001355FF" w:rsidRDefault="001355FF" w:rsidP="001355FF">
      <w:pPr>
        <w:rPr>
          <w:rFonts w:eastAsia="Times New Roman" w:cs="Arial"/>
          <w:szCs w:val="24"/>
          <w:lang w:val="it-IT" w:eastAsia="it-CH"/>
        </w:rPr>
      </w:pPr>
    </w:p>
    <w:p w:rsidR="001355FF" w:rsidRDefault="001355FF" w:rsidP="001355FF">
      <w:pPr>
        <w:rPr>
          <w:rFonts w:eastAsia="Times New Roman" w:cs="Arial"/>
          <w:szCs w:val="24"/>
          <w:lang w:val="it-IT" w:eastAsia="it-CH"/>
        </w:rPr>
      </w:pPr>
    </w:p>
    <w:p w:rsidR="001355FF" w:rsidRPr="001355FF" w:rsidRDefault="001355FF" w:rsidP="001355FF">
      <w:pPr>
        <w:rPr>
          <w:rFonts w:eastAsia="Times New Roman" w:cs="Arial"/>
          <w:szCs w:val="24"/>
          <w:lang w:val="it-IT" w:eastAsia="it-CH"/>
        </w:rPr>
      </w:pPr>
    </w:p>
    <w:p w:rsidR="001355FF" w:rsidRPr="001355FF" w:rsidRDefault="001355FF" w:rsidP="001355FF">
      <w:pPr>
        <w:pStyle w:val="Titolo1"/>
      </w:pPr>
      <w:r w:rsidRPr="001355FF">
        <w:t xml:space="preserve">3. </w:t>
      </w:r>
      <w:r>
        <w:tab/>
      </w:r>
      <w:r w:rsidRPr="001355FF">
        <w:t>Conclusioni</w:t>
      </w:r>
    </w:p>
    <w:p w:rsidR="001355FF" w:rsidRDefault="001355FF" w:rsidP="001355FF">
      <w:pPr>
        <w:rPr>
          <w:rFonts w:cs="Arial"/>
        </w:rPr>
      </w:pPr>
      <w:r>
        <w:rPr>
          <w:rFonts w:cs="Arial"/>
        </w:rPr>
        <w:t>Questo m</w:t>
      </w:r>
      <w:r w:rsidRPr="001355FF">
        <w:rPr>
          <w:rFonts w:cs="Arial"/>
        </w:rPr>
        <w:t xml:space="preserve">essaggio </w:t>
      </w:r>
      <w:r>
        <w:rPr>
          <w:rFonts w:cs="Arial"/>
        </w:rPr>
        <w:t>concretizza gli obbiettivi del m</w:t>
      </w:r>
      <w:r w:rsidRPr="001355FF">
        <w:rPr>
          <w:rFonts w:cs="Arial"/>
        </w:rPr>
        <w:t xml:space="preserve">essaggio n. 7538 del 23 maggio 2018 volti al risanamento dello stabile </w:t>
      </w:r>
      <w:proofErr w:type="spellStart"/>
      <w:r w:rsidRPr="001355FF">
        <w:rPr>
          <w:rFonts w:cs="Arial"/>
        </w:rPr>
        <w:t>Mottino</w:t>
      </w:r>
      <w:proofErr w:type="spellEnd"/>
      <w:r w:rsidRPr="001355FF">
        <w:rPr>
          <w:rFonts w:cs="Arial"/>
        </w:rPr>
        <w:t xml:space="preserve"> all’interno del parco di </w:t>
      </w:r>
      <w:proofErr w:type="spellStart"/>
      <w:r w:rsidRPr="001355FF">
        <w:rPr>
          <w:rFonts w:cs="Arial"/>
        </w:rPr>
        <w:t>Casvegno</w:t>
      </w:r>
      <w:proofErr w:type="spellEnd"/>
      <w:r w:rsidRPr="001355FF">
        <w:rPr>
          <w:rFonts w:cs="Arial"/>
        </w:rPr>
        <w:t>.</w:t>
      </w:r>
    </w:p>
    <w:p w:rsidR="001355FF" w:rsidRPr="001355FF" w:rsidRDefault="001355FF" w:rsidP="001355FF">
      <w:pPr>
        <w:rPr>
          <w:rFonts w:cs="Arial"/>
        </w:rPr>
      </w:pPr>
    </w:p>
    <w:p w:rsidR="001355FF" w:rsidRDefault="001355FF" w:rsidP="001355FF">
      <w:pPr>
        <w:rPr>
          <w:rFonts w:cs="Arial"/>
        </w:rPr>
      </w:pPr>
      <w:r w:rsidRPr="001355FF">
        <w:rPr>
          <w:rFonts w:cs="Arial"/>
        </w:rPr>
        <w:t>Lo stabile risalente agli anni sessanta è alla fine del suo ciclo di vita e necessita di interventi importanti.</w:t>
      </w:r>
    </w:p>
    <w:p w:rsidR="001355FF" w:rsidRPr="001355FF" w:rsidRDefault="001355FF" w:rsidP="001355FF">
      <w:pPr>
        <w:rPr>
          <w:rFonts w:cs="Arial"/>
        </w:rPr>
      </w:pPr>
    </w:p>
    <w:p w:rsidR="001355FF" w:rsidRDefault="001355FF" w:rsidP="001355FF">
      <w:pPr>
        <w:rPr>
          <w:rFonts w:cs="Arial"/>
        </w:rPr>
      </w:pPr>
      <w:r w:rsidRPr="001355FF">
        <w:rPr>
          <w:rFonts w:cs="Arial"/>
        </w:rPr>
        <w:t>Grazie a questi interventi si otterrà un risparmio sulla gestione corrente, si migliorerà la qualità degli spazi, si continuerà ad ospitare personale infermieristico in formazione e soprattutto sarà possibile ricavare 6 nuove stanze a disposizione degli utenti del CARL, come da sue esigenze.</w:t>
      </w:r>
    </w:p>
    <w:p w:rsidR="001355FF" w:rsidRPr="001355FF" w:rsidRDefault="001355FF" w:rsidP="001355FF">
      <w:pPr>
        <w:rPr>
          <w:rFonts w:cs="Arial"/>
        </w:rPr>
      </w:pPr>
    </w:p>
    <w:p w:rsidR="001355FF" w:rsidRDefault="001355FF" w:rsidP="001355FF">
      <w:pPr>
        <w:rPr>
          <w:rFonts w:cs="Arial"/>
        </w:rPr>
      </w:pPr>
      <w:r w:rsidRPr="001355FF">
        <w:rPr>
          <w:rFonts w:cs="Arial"/>
        </w:rPr>
        <w:t>Gli interventi cureranno in particolar modo la qualità degli spazi, l’efficienza energetica e la messa a norma dell’edificio per quanto riguarda la sicurezza.</w:t>
      </w:r>
    </w:p>
    <w:p w:rsidR="001355FF" w:rsidRDefault="001355FF" w:rsidP="001355FF">
      <w:pPr>
        <w:rPr>
          <w:rFonts w:cs="Arial"/>
        </w:rPr>
      </w:pPr>
    </w:p>
    <w:p w:rsidR="001355FF" w:rsidRPr="001355FF" w:rsidRDefault="001355FF" w:rsidP="001355FF">
      <w:pPr>
        <w:rPr>
          <w:rFonts w:cs="Arial"/>
        </w:rPr>
      </w:pPr>
    </w:p>
    <w:p w:rsidR="001355FF" w:rsidRPr="001355FF" w:rsidRDefault="001355FF" w:rsidP="001355FF">
      <w:pPr>
        <w:tabs>
          <w:tab w:val="left" w:pos="4962"/>
        </w:tabs>
        <w:ind w:right="-1"/>
        <w:rPr>
          <w:rFonts w:cs="Arial"/>
          <w:szCs w:val="24"/>
        </w:rPr>
      </w:pPr>
      <w:r w:rsidRPr="001355FF">
        <w:rPr>
          <w:rFonts w:cs="Arial"/>
          <w:szCs w:val="24"/>
        </w:rPr>
        <w:t>La Commissione gestione e finanze invita il Gran Consiglio ad accogliere il progetto di rapporto e ad approvare il D</w:t>
      </w:r>
      <w:r>
        <w:rPr>
          <w:rFonts w:cs="Arial"/>
          <w:szCs w:val="24"/>
        </w:rPr>
        <w:t>ecreto legislativo allegato al m</w:t>
      </w:r>
      <w:r w:rsidRPr="001355FF">
        <w:rPr>
          <w:rFonts w:cs="Arial"/>
          <w:szCs w:val="24"/>
        </w:rPr>
        <w:t>essaggio.</w:t>
      </w:r>
    </w:p>
    <w:p w:rsidR="001355FF" w:rsidRPr="001355FF" w:rsidRDefault="001355FF" w:rsidP="001355FF">
      <w:pPr>
        <w:tabs>
          <w:tab w:val="left" w:pos="4962"/>
        </w:tabs>
        <w:ind w:right="-1"/>
        <w:rPr>
          <w:rFonts w:cs="Arial"/>
          <w:szCs w:val="24"/>
        </w:rPr>
      </w:pPr>
    </w:p>
    <w:p w:rsidR="00B860C2" w:rsidRDefault="00B860C2" w:rsidP="00B860C2">
      <w:pPr>
        <w:rPr>
          <w:rFonts w:cs="Arial"/>
        </w:rPr>
      </w:pPr>
    </w:p>
    <w:p w:rsidR="001355FF" w:rsidRPr="00076E70" w:rsidRDefault="001355FF" w:rsidP="00B860C2">
      <w:pPr>
        <w:rPr>
          <w:rFonts w:cs="Arial"/>
          <w:szCs w:val="24"/>
        </w:rPr>
      </w:pPr>
    </w:p>
    <w:p w:rsidR="00B860C2" w:rsidRPr="001355FF" w:rsidRDefault="00B860C2" w:rsidP="00B860C2">
      <w:pPr>
        <w:spacing w:after="120"/>
        <w:rPr>
          <w:rFonts w:cs="Arial"/>
          <w:szCs w:val="24"/>
        </w:rPr>
      </w:pPr>
      <w:r w:rsidRPr="001355FF">
        <w:rPr>
          <w:rFonts w:cs="Arial"/>
          <w:szCs w:val="24"/>
        </w:rPr>
        <w:t>Per la Commissione gestione e finanze:</w:t>
      </w:r>
    </w:p>
    <w:p w:rsidR="00B860C2" w:rsidRPr="00076E70" w:rsidRDefault="001355FF" w:rsidP="00B860C2">
      <w:pPr>
        <w:rPr>
          <w:rFonts w:cs="Arial"/>
          <w:szCs w:val="24"/>
        </w:rPr>
      </w:pPr>
      <w:r>
        <w:rPr>
          <w:rFonts w:cs="Arial"/>
          <w:szCs w:val="24"/>
        </w:rPr>
        <w:t>Fiorenzo Dadò e Ivo Durisch, relatori</w:t>
      </w:r>
    </w:p>
    <w:p w:rsidR="00D423E9" w:rsidRPr="00D423E9" w:rsidRDefault="00D423E9" w:rsidP="00D423E9">
      <w:pPr>
        <w:rPr>
          <w:lang w:val="it-IT"/>
        </w:rPr>
      </w:pPr>
      <w:bookmarkStart w:id="3" w:name="OLE_LINK1"/>
      <w:bookmarkStart w:id="4" w:name="OLE_LINK2"/>
      <w:r w:rsidRPr="00D423E9">
        <w:rPr>
          <w:lang w:val="it-IT"/>
        </w:rPr>
        <w:t xml:space="preserve">Agustoni - Bignasca - Biscossa - Bourgoin - </w:t>
      </w:r>
    </w:p>
    <w:p w:rsidR="00D423E9" w:rsidRDefault="00D423E9" w:rsidP="00D423E9">
      <w:pPr>
        <w:rPr>
          <w:lang w:val="it-IT"/>
        </w:rPr>
      </w:pPr>
      <w:r w:rsidRPr="00D423E9">
        <w:rPr>
          <w:lang w:val="it-IT"/>
        </w:rPr>
        <w:t xml:space="preserve">Caprara </w:t>
      </w:r>
      <w:r>
        <w:rPr>
          <w:lang w:val="it-IT"/>
        </w:rPr>
        <w:t>-</w:t>
      </w:r>
      <w:r w:rsidRPr="00D423E9">
        <w:rPr>
          <w:lang w:val="it-IT"/>
        </w:rPr>
        <w:t xml:space="preserve"> </w:t>
      </w:r>
      <w:r>
        <w:rPr>
          <w:lang w:val="it-IT"/>
        </w:rPr>
        <w:t xml:space="preserve">Ferrara - </w:t>
      </w:r>
      <w:r w:rsidRPr="00D423E9">
        <w:rPr>
          <w:lang w:val="it-IT"/>
        </w:rPr>
        <w:t xml:space="preserve">Gianella Alessandra </w:t>
      </w:r>
      <w:r w:rsidR="003910AB">
        <w:rPr>
          <w:lang w:val="it-IT"/>
        </w:rPr>
        <w:t>-</w:t>
      </w:r>
      <w:r w:rsidRPr="00D423E9">
        <w:rPr>
          <w:lang w:val="it-IT"/>
        </w:rPr>
        <w:t xml:space="preserve"> </w:t>
      </w:r>
    </w:p>
    <w:p w:rsidR="00D423E9" w:rsidRPr="00D423E9" w:rsidRDefault="00D423E9" w:rsidP="00D423E9">
      <w:pPr>
        <w:rPr>
          <w:lang w:val="it-IT"/>
        </w:rPr>
      </w:pPr>
      <w:r w:rsidRPr="00D423E9">
        <w:rPr>
          <w:lang w:val="it-IT"/>
        </w:rPr>
        <w:t>Guerra - Jelmini - Pamini - Quadranti - Sirica</w:t>
      </w:r>
    </w:p>
    <w:bookmarkEnd w:id="3"/>
    <w:bookmarkEnd w:id="4"/>
    <w:p w:rsidR="006E4AE2" w:rsidRPr="00B860C2" w:rsidRDefault="006E4AE2" w:rsidP="00B860C2"/>
    <w:sectPr w:rsidR="006E4AE2" w:rsidRPr="00B860C2" w:rsidSect="008B4137">
      <w:footerReference w:type="default" r:id="rId13"/>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FF" w:rsidRDefault="001355FF" w:rsidP="008E77C6">
      <w:r>
        <w:separator/>
      </w:r>
    </w:p>
  </w:endnote>
  <w:endnote w:type="continuationSeparator" w:id="0">
    <w:p w:rsidR="001355FF" w:rsidRDefault="001355F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509E2" w:rsidRPr="00E509E2">
      <w:rPr>
        <w:noProof/>
        <w:sz w:val="20"/>
        <w:szCs w:val="20"/>
        <w:lang w:val="it-IT"/>
      </w:rPr>
      <w:t>8</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FF" w:rsidRDefault="001355FF" w:rsidP="008E77C6">
      <w:r>
        <w:separator/>
      </w:r>
    </w:p>
  </w:footnote>
  <w:footnote w:type="continuationSeparator" w:id="0">
    <w:p w:rsidR="001355FF" w:rsidRDefault="001355FF" w:rsidP="008E77C6">
      <w:r>
        <w:continuationSeparator/>
      </w:r>
    </w:p>
  </w:footnote>
  <w:footnote w:id="1">
    <w:p w:rsidR="001355FF" w:rsidRPr="004023C5" w:rsidRDefault="001355FF" w:rsidP="001355FF">
      <w:pPr>
        <w:pStyle w:val="Testonotaapidipagina"/>
      </w:pPr>
      <w:r>
        <w:rPr>
          <w:rStyle w:val="Rimandonotaapidipagina"/>
        </w:rPr>
        <w:footnoteRef/>
      </w:r>
      <w:r>
        <w:t xml:space="preserve"> geo.map.admin.ch</w:t>
      </w:r>
    </w:p>
  </w:footnote>
  <w:footnote w:id="2">
    <w:p w:rsidR="001355FF" w:rsidRPr="005F7554" w:rsidRDefault="001355FF" w:rsidP="001355FF">
      <w:pPr>
        <w:pStyle w:val="Testonotaapidipagina"/>
      </w:pPr>
      <w:r>
        <w:rPr>
          <w:rStyle w:val="Rimandonotaapidipagina"/>
        </w:rPr>
        <w:footnoteRef/>
      </w:r>
      <w:r>
        <w:t xml:space="preserve"> Discussione intercorsa con la Divi</w:t>
      </w:r>
      <w:r w:rsidR="003910AB">
        <w:t>si</w:t>
      </w:r>
      <w:r>
        <w:t>one</w:t>
      </w:r>
      <w:r w:rsidR="003910AB">
        <w:t xml:space="preserve"> </w:t>
      </w:r>
      <w:r>
        <w:t>de</w:t>
      </w:r>
      <w:r w:rsidR="003910AB">
        <w:t>l</w:t>
      </w:r>
      <w:r>
        <w:t>la salute pubblica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6A81B00"/>
    <w:multiLevelType w:val="hybridMultilevel"/>
    <w:tmpl w:val="289EB4C0"/>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B3A42DC"/>
    <w:multiLevelType w:val="hybridMultilevel"/>
    <w:tmpl w:val="799CE67A"/>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0"/>
  </w:num>
  <w:num w:numId="4">
    <w:abstractNumId w:val="2"/>
  </w:num>
  <w:num w:numId="5">
    <w:abstractNumId w:val="5"/>
  </w:num>
  <w:num w:numId="6">
    <w:abstractNumId w:val="0"/>
  </w:num>
  <w:num w:numId="7">
    <w:abstractNumId w:val="9"/>
  </w:num>
  <w:num w:numId="8">
    <w:abstractNumId w:val="3"/>
  </w:num>
  <w:num w:numId="9">
    <w:abstractNumId w:val="7"/>
  </w:num>
  <w:num w:numId="10">
    <w:abstractNumId w:val="6"/>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FF"/>
    <w:rsid w:val="00076E70"/>
    <w:rsid w:val="001355FF"/>
    <w:rsid w:val="001574D7"/>
    <w:rsid w:val="00260C8C"/>
    <w:rsid w:val="002677DC"/>
    <w:rsid w:val="002E5E40"/>
    <w:rsid w:val="0032373D"/>
    <w:rsid w:val="003910AB"/>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C59CF"/>
    <w:rsid w:val="00CF6858"/>
    <w:rsid w:val="00D377B5"/>
    <w:rsid w:val="00D423E9"/>
    <w:rsid w:val="00D93B31"/>
    <w:rsid w:val="00DE5307"/>
    <w:rsid w:val="00E505DB"/>
    <w:rsid w:val="00E509E2"/>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DE5BE2F-925B-4025-B02A-38AF7475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1355FF"/>
    <w:pPr>
      <w:keepNext/>
      <w:tabs>
        <w:tab w:val="left" w:pos="426"/>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1355FF"/>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355FF"/>
    <w:rPr>
      <w:sz w:val="20"/>
      <w:szCs w:val="20"/>
    </w:rPr>
  </w:style>
  <w:style w:type="character" w:customStyle="1" w:styleId="TestonotaapidipaginaCarattere">
    <w:name w:val="Testo nota a piè di pagina Carattere"/>
    <w:basedOn w:val="Carpredefinitoparagrafo"/>
    <w:link w:val="Testonotaapidipagina"/>
    <w:uiPriority w:val="99"/>
    <w:semiHidden/>
    <w:rsid w:val="001355FF"/>
    <w:rPr>
      <w:rFonts w:ascii="Arial" w:hAnsi="Arial"/>
      <w:lang w:eastAsia="en-US"/>
    </w:rPr>
  </w:style>
  <w:style w:type="character" w:styleId="Rimandonotaapidipagina">
    <w:name w:val="footnote reference"/>
    <w:semiHidden/>
    <w:unhideWhenUsed/>
    <w:rsid w:val="00135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Foglio_di_lavoro_di_Microsoft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Foglio_di_lavoro_di_Microsoft_Excel.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9368-DEB6-4A3A-916E-BF6525F4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2032</Words>
  <Characters>11586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5</cp:revision>
  <cp:lastPrinted>2021-09-08T06:13:00Z</cp:lastPrinted>
  <dcterms:created xsi:type="dcterms:W3CDTF">2021-09-07T12:39:00Z</dcterms:created>
  <dcterms:modified xsi:type="dcterms:W3CDTF">2021-09-08T06:15:00Z</dcterms:modified>
</cp:coreProperties>
</file>