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9C" w:rsidRDefault="0084739C" w:rsidP="0084739C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C941CD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7970</w:t>
      </w:r>
      <w:r w:rsidR="00D87004">
        <w:rPr>
          <w:rFonts w:cs="Arial"/>
          <w:b/>
          <w:sz w:val="32"/>
          <w:szCs w:val="32"/>
        </w:rPr>
        <w:t xml:space="preserve"> </w:t>
      </w:r>
      <w:r w:rsidR="00B860C2" w:rsidRPr="008B4137">
        <w:rPr>
          <w:rFonts w:cs="Arial"/>
          <w:b/>
          <w:sz w:val="32"/>
          <w:szCs w:val="32"/>
        </w:rPr>
        <w:t>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5</w:t>
      </w:r>
      <w:r w:rsidR="00D870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ottobre</w:t>
      </w:r>
      <w:r w:rsidR="00D870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</w:t>
      </w:r>
      <w:r w:rsidR="00D87004">
        <w:rPr>
          <w:sz w:val="28"/>
        </w:rPr>
        <w:t xml:space="preserve"> </w:t>
      </w:r>
      <w:r>
        <w:rPr>
          <w:sz w:val="28"/>
        </w:rPr>
        <w:t>E</w:t>
      </w:r>
      <w:r w:rsidR="00D87004">
        <w:rPr>
          <w:sz w:val="28"/>
        </w:rPr>
        <w:t xml:space="preserve"> </w:t>
      </w:r>
      <w:r>
        <w:rPr>
          <w:sz w:val="28"/>
        </w:rPr>
        <w:t>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C941CD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</w:t>
      </w:r>
      <w:r w:rsidR="00D87004">
        <w:rPr>
          <w:rFonts w:cs="Arial"/>
          <w:b/>
          <w:sz w:val="28"/>
          <w:szCs w:val="28"/>
        </w:rPr>
        <w:t xml:space="preserve"> </w:t>
      </w:r>
      <w:r w:rsidRPr="008B4137">
        <w:rPr>
          <w:rFonts w:cs="Arial"/>
          <w:b/>
          <w:sz w:val="28"/>
          <w:szCs w:val="28"/>
        </w:rPr>
        <w:t>Commissione</w:t>
      </w:r>
      <w:r w:rsidR="00D87004">
        <w:rPr>
          <w:rFonts w:cs="Arial"/>
          <w:b/>
          <w:sz w:val="28"/>
          <w:szCs w:val="28"/>
        </w:rPr>
        <w:t xml:space="preserve"> </w:t>
      </w:r>
      <w:r w:rsidRPr="00C941CD">
        <w:rPr>
          <w:rFonts w:cs="Arial"/>
          <w:b/>
          <w:sz w:val="28"/>
          <w:szCs w:val="28"/>
        </w:rPr>
        <w:t>gestione</w:t>
      </w:r>
      <w:r w:rsidR="00D87004">
        <w:rPr>
          <w:rFonts w:cs="Arial"/>
          <w:b/>
          <w:sz w:val="28"/>
          <w:szCs w:val="28"/>
        </w:rPr>
        <w:t xml:space="preserve"> </w:t>
      </w:r>
      <w:r w:rsidRPr="00C941CD">
        <w:rPr>
          <w:rFonts w:cs="Arial"/>
          <w:b/>
          <w:sz w:val="28"/>
          <w:szCs w:val="28"/>
        </w:rPr>
        <w:t>e</w:t>
      </w:r>
      <w:r w:rsidR="00D87004">
        <w:rPr>
          <w:rFonts w:cs="Arial"/>
          <w:b/>
          <w:sz w:val="28"/>
          <w:szCs w:val="28"/>
        </w:rPr>
        <w:t xml:space="preserve"> </w:t>
      </w:r>
      <w:r w:rsidRPr="00C941CD">
        <w:rPr>
          <w:rFonts w:cs="Arial"/>
          <w:b/>
          <w:sz w:val="28"/>
          <w:szCs w:val="28"/>
        </w:rPr>
        <w:t>finanze</w:t>
      </w:r>
    </w:p>
    <w:p w:rsidR="00C941CD" w:rsidRPr="00C941CD" w:rsidRDefault="00B860C2" w:rsidP="00D87004">
      <w:pPr>
        <w:rPr>
          <w:rFonts w:eastAsia="Times New Roman"/>
          <w:b/>
          <w:sz w:val="28"/>
          <w:szCs w:val="28"/>
          <w:lang w:val="it-IT" w:eastAsia="it-IT"/>
        </w:rPr>
      </w:pPr>
      <w:r w:rsidRPr="000D6BD0">
        <w:rPr>
          <w:rFonts w:cs="Arial"/>
          <w:b/>
          <w:sz w:val="28"/>
          <w:szCs w:val="28"/>
        </w:rPr>
        <w:t>sul</w:t>
      </w:r>
      <w:r w:rsidR="00D8700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messaggio</w:t>
      </w:r>
      <w:r w:rsidR="00D87004">
        <w:rPr>
          <w:rFonts w:cs="Arial"/>
          <w:b/>
          <w:sz w:val="26"/>
          <w:szCs w:val="26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24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febbraio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2021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circa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la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richiesta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stanziamento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un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credito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d’investimento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CHF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1'393'701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un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credito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gestione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corrente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CHF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98'504.75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per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l’implementazione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la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manutenzione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di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un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nuovo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applicativo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informatico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per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la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gestione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della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riscossione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dell’imposta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comunale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delle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persone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fisiche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giuridiche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(Servizio</w:t>
      </w:r>
      <w:r w:rsidR="00D87004">
        <w:rPr>
          <w:rFonts w:eastAsia="Times New Roman"/>
          <w:b/>
          <w:sz w:val="28"/>
          <w:szCs w:val="28"/>
          <w:lang w:val="it-IT" w:eastAsia="it-IT"/>
        </w:rPr>
        <w:t xml:space="preserve"> </w:t>
      </w:r>
      <w:r w:rsidR="00C941CD" w:rsidRPr="00C941CD">
        <w:rPr>
          <w:rFonts w:eastAsia="Times New Roman"/>
          <w:b/>
          <w:sz w:val="28"/>
          <w:szCs w:val="28"/>
          <w:lang w:val="it-IT" w:eastAsia="it-IT"/>
        </w:rPr>
        <w:t>RICO)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C941CD" w:rsidRPr="00C941CD" w:rsidRDefault="00C941CD" w:rsidP="00C941CD">
      <w:pPr>
        <w:pStyle w:val="Titolo1"/>
      </w:pPr>
      <w:r w:rsidRPr="00C941CD">
        <w:t>RETROSCENA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Secondo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l’art.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296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cpv.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LT</w:t>
      </w:r>
      <w:r w:rsidRPr="00C941CD">
        <w:rPr>
          <w:rFonts w:eastAsia="Times New Roman"/>
          <w:szCs w:val="20"/>
          <w:vertAlign w:val="superscript"/>
          <w:lang w:val="it-IT" w:eastAsia="it-IT"/>
        </w:rPr>
        <w:footnoteReference w:id="1"/>
      </w:r>
      <w:r w:rsidRPr="00C941CD">
        <w:rPr>
          <w:rFonts w:eastAsia="Times New Roman"/>
          <w:szCs w:val="20"/>
          <w:lang w:val="it-IT" w:eastAsia="it-IT"/>
        </w:rPr>
        <w:t>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Comuni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procedono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direttamente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alla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riscossione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dell’imposta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comunale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in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due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più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rate</w:t>
      </w:r>
      <w:r w:rsidRPr="00C941CD">
        <w:rPr>
          <w:rFonts w:eastAsia="Times New Roman"/>
          <w:szCs w:val="20"/>
          <w:lang w:val="it-IT" w:eastAsia="it-IT"/>
        </w:rPr>
        <w:t>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cpv.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3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stesso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articolo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prevede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Comuni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curano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pure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direttamente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l’incasso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degli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importi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loro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competenza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titolo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ricupero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dell’imposta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multe</w:t>
      </w:r>
      <w:r w:rsidRPr="00C941CD">
        <w:rPr>
          <w:rFonts w:eastAsia="Times New Roman"/>
          <w:szCs w:val="20"/>
          <w:lang w:val="it-IT" w:eastAsia="it-IT"/>
        </w:rPr>
        <w:t>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tuttavia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tenuti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ad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occuparsi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mansione;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infatti,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giusta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="00D87004">
        <w:rPr>
          <w:rFonts w:eastAsia="Times New Roman"/>
          <w:szCs w:val="20"/>
          <w:lang w:val="it-IT" w:eastAsia="it-IT"/>
        </w:rPr>
        <w:br/>
      </w:r>
      <w:r w:rsidRPr="00C941CD">
        <w:rPr>
          <w:rFonts w:eastAsia="Times New Roman"/>
          <w:szCs w:val="20"/>
          <w:lang w:val="it-IT" w:eastAsia="it-IT"/>
        </w:rPr>
        <w:t>cpv.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4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stesso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articolo,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autorità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cantonale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può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rappresentare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il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Comune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nella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procedura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riscossione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delle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imposte</w:t>
      </w:r>
      <w:r w:rsidR="00D87004">
        <w:rPr>
          <w:rFonts w:eastAsia="Times New Roman"/>
          <w:b/>
          <w:bCs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b/>
          <w:bCs/>
          <w:i/>
          <w:iCs/>
          <w:szCs w:val="20"/>
          <w:lang w:val="it-IT" w:eastAsia="it-IT"/>
        </w:rPr>
        <w:t>comunali</w:t>
      </w:r>
      <w:r w:rsidRPr="00C941CD">
        <w:rPr>
          <w:rFonts w:eastAsia="Times New Roman"/>
          <w:szCs w:val="20"/>
          <w:lang w:val="it-IT" w:eastAsia="it-IT"/>
        </w:rPr>
        <w:t>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Nelle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procedure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riscossione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particolarmente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complesse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il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Consiglio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di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Stato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stabilisce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la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provvigione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a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favore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dell’autorità</w:t>
      </w:r>
      <w:r w:rsidR="00D87004">
        <w:rPr>
          <w:rFonts w:eastAsia="Times New Roman"/>
          <w:i/>
          <w:iCs/>
          <w:szCs w:val="20"/>
          <w:lang w:val="it-IT" w:eastAsia="it-IT"/>
        </w:rPr>
        <w:t xml:space="preserve"> </w:t>
      </w:r>
      <w:r w:rsidRPr="00C941CD">
        <w:rPr>
          <w:rFonts w:eastAsia="Times New Roman"/>
          <w:i/>
          <w:iCs/>
          <w:szCs w:val="20"/>
          <w:lang w:val="it-IT" w:eastAsia="it-IT"/>
        </w:rPr>
        <w:t>cantonale</w:t>
      </w:r>
      <w:r w:rsidRPr="00C941CD">
        <w:rPr>
          <w:rFonts w:eastAsia="Times New Roman"/>
          <w:szCs w:val="20"/>
          <w:lang w:val="it-IT" w:eastAsia="it-IT"/>
        </w:rPr>
        <w:t>.</w:t>
      </w:r>
    </w:p>
    <w:p w:rsidR="00C941CD" w:rsidRPr="00C941CD" w:rsidRDefault="00C941CD" w:rsidP="00B257C1">
      <w:pPr>
        <w:spacing w:after="12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Nel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periodo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fiscale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2019,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115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ticinesi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ben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84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ha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deciso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demandare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attività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esattive.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preposto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prende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nome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Riscossione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(RICO).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è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erogato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Centro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(CSI)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occupa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riscossione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crediti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giuridiche,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relativi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interessi.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Più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precisamente,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offre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inoltre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aderenti</w:t>
      </w:r>
      <w:r w:rsidR="00D87004">
        <w:rPr>
          <w:rFonts w:eastAsia="Times New Roman"/>
          <w:szCs w:val="20"/>
          <w:lang w:val="it-IT" w:eastAsia="it-IT"/>
        </w:rPr>
        <w:t>:</w:t>
      </w:r>
    </w:p>
    <w:p w:rsidR="00C941CD" w:rsidRPr="00C941CD" w:rsidRDefault="00C941CD" w:rsidP="00C941CD">
      <w:pPr>
        <w:numPr>
          <w:ilvl w:val="0"/>
          <w:numId w:val="16"/>
        </w:numPr>
        <w:spacing w:before="120"/>
        <w:ind w:left="284" w:hanging="284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un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collegamento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telematico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sicuro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protetto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CSI;</w:t>
      </w:r>
    </w:p>
    <w:p w:rsidR="00C941CD" w:rsidRPr="00C941CD" w:rsidRDefault="00C941CD" w:rsidP="00C941CD">
      <w:pPr>
        <w:numPr>
          <w:ilvl w:val="0"/>
          <w:numId w:val="16"/>
        </w:numPr>
        <w:spacing w:before="120"/>
        <w:ind w:left="284" w:hanging="284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gestione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riscossione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comunale;</w:t>
      </w:r>
    </w:p>
    <w:p w:rsidR="00C941CD" w:rsidRDefault="00C941CD" w:rsidP="00D87004">
      <w:pPr>
        <w:numPr>
          <w:ilvl w:val="0"/>
          <w:numId w:val="16"/>
        </w:numPr>
        <w:spacing w:before="120"/>
        <w:ind w:left="284" w:hanging="284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stampa,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l’imbustamento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spedizione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contribuente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documenti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(richieste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d’acconto,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conguagli,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richiami,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diffide,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ecc.).</w:t>
      </w:r>
    </w:p>
    <w:p w:rsidR="00C941CD" w:rsidRPr="00C941CD" w:rsidRDefault="00C941CD" w:rsidP="00D87004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C941CD">
      <w:pPr>
        <w:spacing w:after="24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Gli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84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74%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tutti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Comuni)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più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piccole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dimensioni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periferici,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tant’è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vero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riferimento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periodo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fiscale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2017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stati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trattati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113'723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contribuenti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fisiche,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pari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55%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205'055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contribuenti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domiciliati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Ticino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2017</w:t>
      </w:r>
      <w:r w:rsidRPr="00C941CD">
        <w:rPr>
          <w:rFonts w:eastAsia="Times New Roman"/>
          <w:szCs w:val="20"/>
          <w:vertAlign w:val="superscript"/>
          <w:lang w:val="it-IT" w:eastAsia="it-IT"/>
        </w:rPr>
        <w:footnoteReference w:id="2"/>
      </w:r>
      <w:r w:rsidRPr="00C941CD">
        <w:rPr>
          <w:rFonts w:eastAsia="Times New Roman"/>
          <w:szCs w:val="20"/>
          <w:lang w:val="it-IT" w:eastAsia="it-IT"/>
        </w:rPr>
        <w:t>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Similmente,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relazione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2017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ha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trattato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8'333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giuridiche,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pari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28%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circa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30'000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annuali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tutto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lastRenderedPageBreak/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Cantone</w:t>
      </w:r>
      <w:r w:rsidRPr="00C941CD">
        <w:rPr>
          <w:rFonts w:eastAsia="Times New Roman"/>
          <w:szCs w:val="20"/>
          <w:vertAlign w:val="superscript"/>
          <w:lang w:val="it-IT" w:eastAsia="it-IT"/>
        </w:rPr>
        <w:footnoteReference w:id="3"/>
      </w:r>
      <w:r w:rsidRPr="00C941CD">
        <w:rPr>
          <w:rFonts w:eastAsia="Times New Roman"/>
          <w:szCs w:val="20"/>
          <w:lang w:val="it-IT" w:eastAsia="it-IT"/>
        </w:rPr>
        <w:t>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grossi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centri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urbani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(Lugano,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Mendrisio,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Bellinzona)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occupano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autonomamente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riscossione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comunale.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L’attuale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soluzione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produzione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quasi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40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anni)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ha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raggiunto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termine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ciclo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vita.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interventi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manutenzione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risultano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finanziariamente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troppo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onerosi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riscontrano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difficoltà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integrazione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altre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applicazioni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realizzate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architetture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più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moderne.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modifiche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dettate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cambiamenti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legislativi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organizzativi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richiedono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importante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impiego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risorse,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inoltre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modifiche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apportate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negli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ultimi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permettono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coprire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completamente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tutte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necessità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aderenti.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l’avvio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progetto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implementazione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nuovo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applicativo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intende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porre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basi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nuova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operatività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offrendo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amministrazioni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prestazioni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più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efficienti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proponendo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moderno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orientato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prestazioni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Governo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elettronico.</w:t>
      </w:r>
    </w:p>
    <w:p w:rsidR="00C941CD" w:rsidRDefault="00C941CD" w:rsidP="00C941CD">
      <w:pPr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L’ammodernamento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esame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procede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parallelo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rinnovamento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Divisione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contribuzioni.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nuovi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moduli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registri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contribuenti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giuridiche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conclusi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tempi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recenti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pongono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trasversale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strategico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verso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nuovo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d’Esazione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imposte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ordinarie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federali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Accertamento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PG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attualmente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corso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realizzazione.</w:t>
      </w:r>
    </w:p>
    <w:p w:rsidR="00C941CD" w:rsidRDefault="00C941CD" w:rsidP="00C941CD">
      <w:pPr>
        <w:rPr>
          <w:rFonts w:eastAsia="Times New Roman"/>
          <w:szCs w:val="20"/>
          <w:lang w:val="it-IT" w:eastAsia="it-IT"/>
        </w:rPr>
      </w:pPr>
    </w:p>
    <w:p w:rsidR="00C941CD" w:rsidRDefault="00C941CD" w:rsidP="00C941CD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C941CD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C941CD">
      <w:pPr>
        <w:pStyle w:val="Titolo1"/>
      </w:pPr>
      <w:r w:rsidRPr="00C941CD">
        <w:t>LE</w:t>
      </w:r>
      <w:r w:rsidR="00D87004">
        <w:t xml:space="preserve"> </w:t>
      </w:r>
      <w:r w:rsidRPr="00C941CD">
        <w:t>PROPOSTE</w:t>
      </w:r>
      <w:r w:rsidR="00D87004">
        <w:t xml:space="preserve"> </w:t>
      </w:r>
      <w:r w:rsidRPr="00C941CD">
        <w:t>E</w:t>
      </w:r>
      <w:r w:rsidR="00D87004">
        <w:t xml:space="preserve"> </w:t>
      </w:r>
      <w:r w:rsidRPr="00C941CD">
        <w:t>RICHIESTE</w:t>
      </w:r>
      <w:r w:rsidR="00D87004">
        <w:t xml:space="preserve"> </w:t>
      </w:r>
      <w:r w:rsidRPr="00C941CD">
        <w:t>CONTENUTE</w:t>
      </w:r>
      <w:r w:rsidR="00D87004">
        <w:t xml:space="preserve"> </w:t>
      </w:r>
      <w:r w:rsidRPr="00C941CD">
        <w:t>NEL</w:t>
      </w:r>
      <w:r w:rsidR="00D87004">
        <w:t xml:space="preserve"> </w:t>
      </w:r>
      <w:r w:rsidRPr="00C941CD">
        <w:t>MESSAGGIO</w:t>
      </w:r>
      <w:r w:rsidR="00D87004">
        <w:t xml:space="preserve"> </w:t>
      </w:r>
      <w:r w:rsidRPr="00C941CD">
        <w:t>N.</w:t>
      </w:r>
      <w:r w:rsidR="00D87004">
        <w:t xml:space="preserve"> </w:t>
      </w:r>
      <w:r w:rsidRPr="00C941CD">
        <w:t>7970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Nel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2016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è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pertanto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avviato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Studio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fattibilità,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l’obiettivo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indentificare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eventuali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soluzioni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idonee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già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disponibili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mercato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rispondenti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esigenze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Servizio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CSI.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Studio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ha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permesso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identificare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l’esistenza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soluzioni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confacenti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esigenze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l’incasso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imposte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comunali.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stesso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ha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pure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evidenziato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soluzioni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disponibili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avrebbero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richiesto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importanti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interventi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adattamento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estensione,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cui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stima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ha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evidenziato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necessità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procedere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appalto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pubblico.</w:t>
      </w:r>
    </w:p>
    <w:p w:rsidR="00C941CD" w:rsidRPr="00C941CD" w:rsidRDefault="00C941CD" w:rsidP="00C941CD">
      <w:pPr>
        <w:spacing w:after="120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benefici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attesi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nuova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seguenti:</w:t>
      </w:r>
    </w:p>
    <w:p w:rsidR="00C941CD" w:rsidRPr="00C941CD" w:rsidRDefault="00C941CD" w:rsidP="00C941CD">
      <w:pPr>
        <w:numPr>
          <w:ilvl w:val="0"/>
          <w:numId w:val="17"/>
        </w:numPr>
        <w:spacing w:before="120"/>
        <w:ind w:left="284" w:hanging="284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riduzione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tempi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evasione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registrazioni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emissioni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periodiche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conseguente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possibilità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diminuire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supporti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cartacei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contenere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così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amministrativi;</w:t>
      </w:r>
    </w:p>
    <w:p w:rsidR="00C941CD" w:rsidRPr="00C941CD" w:rsidRDefault="00C941CD" w:rsidP="00C941CD">
      <w:pPr>
        <w:numPr>
          <w:ilvl w:val="0"/>
          <w:numId w:val="17"/>
        </w:numPr>
        <w:spacing w:before="120"/>
        <w:ind w:left="284" w:hanging="284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miglioramento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qualità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controlli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conseguente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minor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rischio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contestazioni;</w:t>
      </w:r>
    </w:p>
    <w:p w:rsidR="00C941CD" w:rsidRPr="00C941CD" w:rsidRDefault="00C941CD" w:rsidP="00C941CD">
      <w:pPr>
        <w:numPr>
          <w:ilvl w:val="0"/>
          <w:numId w:val="17"/>
        </w:numPr>
        <w:spacing w:before="120"/>
        <w:ind w:left="284" w:hanging="284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migliore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qualità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servizi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conseguente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maggior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grado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soddisfazione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fiducia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parte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Comuni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affiliati;</w:t>
      </w:r>
    </w:p>
    <w:p w:rsidR="00C941CD" w:rsidRPr="00C941CD" w:rsidRDefault="00C941CD" w:rsidP="00C941CD">
      <w:pPr>
        <w:numPr>
          <w:ilvl w:val="0"/>
          <w:numId w:val="17"/>
        </w:numPr>
        <w:spacing w:before="120"/>
        <w:ind w:left="284" w:hanging="284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messa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disposizione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piattaforma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possa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garantire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evoluzioni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almeno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prossimi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10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anni;</w:t>
      </w:r>
    </w:p>
    <w:p w:rsidR="00C941CD" w:rsidRDefault="00C941CD" w:rsidP="00B257C1">
      <w:pPr>
        <w:numPr>
          <w:ilvl w:val="0"/>
          <w:numId w:val="17"/>
        </w:numPr>
        <w:ind w:left="284" w:hanging="284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miglioramento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modalità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comunicazione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dati/interfacciamento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sistemi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esistenti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ambito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fiscale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(Registro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contribuenti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persone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fisiche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giuridiche,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Accertamento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persone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fisiche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giuridiche,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Esazione).</w:t>
      </w:r>
    </w:p>
    <w:p w:rsidR="00B257C1" w:rsidRPr="00C941CD" w:rsidRDefault="00B257C1" w:rsidP="00B257C1">
      <w:pPr>
        <w:ind w:left="284"/>
        <w:rPr>
          <w:rFonts w:eastAsia="Times New Roman"/>
          <w:szCs w:val="20"/>
          <w:lang w:eastAsia="it-IT"/>
        </w:rPr>
      </w:pPr>
    </w:p>
    <w:p w:rsidR="00C941CD" w:rsidRPr="00C941CD" w:rsidRDefault="00C941CD" w:rsidP="00C941CD">
      <w:pPr>
        <w:spacing w:after="240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lastRenderedPageBreak/>
        <w:t>Il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Concorso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rifacimento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è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pubblicato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Foglio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ufficiale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44/2018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1°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giugno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2018.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Malgrado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7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società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abbiano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richiesto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documentazione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capitolato,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offerta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è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rientrata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nome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società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Centro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Calcolo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Elettronico</w:t>
      </w:r>
      <w:r w:rsidR="00D87004">
        <w:rPr>
          <w:rFonts w:eastAsia="Times New Roman"/>
          <w:szCs w:val="20"/>
          <w:lang w:eastAsia="it-IT"/>
        </w:rPr>
        <w:t xml:space="preserve"> d</w:t>
      </w:r>
      <w:r w:rsidRPr="00C941CD">
        <w:rPr>
          <w:rFonts w:eastAsia="Times New Roman"/>
          <w:szCs w:val="20"/>
          <w:lang w:eastAsia="it-IT"/>
        </w:rPr>
        <w:t>ott.</w:t>
      </w:r>
      <w:r w:rsidR="00D87004">
        <w:rPr>
          <w:rFonts w:eastAsia="Times New Roman"/>
          <w:szCs w:val="20"/>
          <w:lang w:eastAsia="it-IT"/>
        </w:rPr>
        <w:t xml:space="preserve"> i</w:t>
      </w:r>
      <w:r w:rsidRPr="00C941CD">
        <w:rPr>
          <w:rFonts w:eastAsia="Times New Roman"/>
          <w:szCs w:val="20"/>
          <w:lang w:eastAsia="it-IT"/>
        </w:rPr>
        <w:t>ng.</w:t>
      </w:r>
      <w:r w:rsidR="00D87004">
        <w:rPr>
          <w:rFonts w:eastAsia="Times New Roman"/>
          <w:szCs w:val="20"/>
          <w:lang w:eastAsia="it-IT"/>
        </w:rPr>
        <w:t xml:space="preserve"> </w:t>
      </w:r>
      <w:r w:rsidR="00D87004">
        <w:rPr>
          <w:rFonts w:eastAsia="Times New Roman"/>
          <w:szCs w:val="20"/>
          <w:lang w:eastAsia="it-IT"/>
        </w:rPr>
        <w:br/>
      </w:r>
      <w:r w:rsidRPr="00C941CD">
        <w:rPr>
          <w:rFonts w:eastAsia="Times New Roman"/>
          <w:szCs w:val="20"/>
          <w:lang w:eastAsia="it-IT"/>
        </w:rPr>
        <w:t>G.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Lombardi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Gordola,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prodotto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“</w:t>
      </w:r>
      <w:proofErr w:type="spellStart"/>
      <w:r w:rsidRPr="00C941CD">
        <w:rPr>
          <w:rFonts w:eastAsia="Times New Roman"/>
          <w:szCs w:val="20"/>
          <w:lang w:eastAsia="it-IT"/>
        </w:rPr>
        <w:t>Ge.Co.Ti</w:t>
      </w:r>
      <w:proofErr w:type="spellEnd"/>
      <w:r w:rsidRPr="00C941CD">
        <w:rPr>
          <w:rFonts w:eastAsia="Times New Roman"/>
          <w:szCs w:val="20"/>
          <w:lang w:eastAsia="it-IT"/>
        </w:rPr>
        <w:t>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Web”.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Tale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unica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offerta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prevede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prezzo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complessivo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CHF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1'116'720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(IVA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inclusa)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comprensivo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4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supporto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manutenzione.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validità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dell’offerta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è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stata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confermata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ditta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occasione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dell’allestimento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messaggio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analisi.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prevede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messa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produzione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prime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componenti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funzionali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avverrà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dopo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due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dall’inizio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lavori,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saranno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diretti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monitorati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Controllo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cantonale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finanze.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Poiché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dispone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tutte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risorse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necessarie,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prevede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l’assunzione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titolo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temporaneo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durata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progetto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risorsa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ausiliaria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profilo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analista-programmatore.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caso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difficoltà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reperimento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questa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risorsa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potrà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eventualmente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far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capo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risorsa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esterna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mercato).</w:t>
      </w:r>
    </w:p>
    <w:p w:rsidR="00C941CD" w:rsidRPr="00C941CD" w:rsidRDefault="00C941CD" w:rsidP="00C941CD">
      <w:pPr>
        <w:spacing w:after="240"/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realizzazione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progetto,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inclusi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quelli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personale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aggiuntivo,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preventivati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CHF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1.4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milioni.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Detti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investimento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saranno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ammortizzati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grazie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ricavi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ottenuti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Comuni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aderenti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Servizio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RICO.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Inoltre,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decorrere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dall’anno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seguente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messa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produzione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nuovo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sistema,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prevedono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costi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ricorrenti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supporto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manutenzione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misura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CHF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98'504.75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annui.</w:t>
      </w:r>
      <w:r w:rsidR="00D87004">
        <w:rPr>
          <w:rFonts w:eastAsia="Times New Roman"/>
          <w:szCs w:val="20"/>
          <w:lang w:eastAsia="it-IT"/>
        </w:rPr>
        <w:t xml:space="preserve"> </w:t>
      </w:r>
    </w:p>
    <w:p w:rsidR="00C941CD" w:rsidRDefault="00C941CD" w:rsidP="00C941CD">
      <w:pPr>
        <w:rPr>
          <w:rFonts w:eastAsia="Times New Roman"/>
          <w:szCs w:val="20"/>
          <w:lang w:eastAsia="it-IT"/>
        </w:rPr>
      </w:pPr>
      <w:r w:rsidRPr="00C941CD">
        <w:rPr>
          <w:rFonts w:eastAsia="Times New Roman"/>
          <w:szCs w:val="20"/>
          <w:lang w:eastAsia="it-IT"/>
        </w:rPr>
        <w:t>L’implementazione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nuovo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applicativo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oggetto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presente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messaggio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un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importo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CHF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1'393'701.è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previsto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Piano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finanziario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degli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investimenti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2020-2022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(PFI)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settore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11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“Amministrazione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generale”,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posizione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119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“Progetto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nuovo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sistema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RICO”,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collegato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all’elemento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WBS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951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50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3015.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oneri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gestione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corrente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saranno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inseriti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partire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dall’anno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successivo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messa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produzione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nuova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soluzione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(in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base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all’attuale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pianificazione,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partire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2023)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nei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preventivi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annuali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CSI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(CRB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951,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31580005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“Licenze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per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programmi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applicativi”).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stanziamento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credito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proposto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l’allegato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decreto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legislativo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richiede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l’approvazione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parte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maggioranza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assoluta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membri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Gran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Consiglio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(cfr.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art.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5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cpv.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3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Legge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sulla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gestione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e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sul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controllo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finanziario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dello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Stato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del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20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gennaio</w:t>
      </w:r>
      <w:r w:rsidR="00D87004">
        <w:rPr>
          <w:rFonts w:eastAsia="Times New Roman"/>
          <w:szCs w:val="20"/>
          <w:lang w:eastAsia="it-IT"/>
        </w:rPr>
        <w:t xml:space="preserve"> </w:t>
      </w:r>
      <w:r w:rsidRPr="00C941CD">
        <w:rPr>
          <w:rFonts w:eastAsia="Times New Roman"/>
          <w:szCs w:val="20"/>
          <w:lang w:eastAsia="it-IT"/>
        </w:rPr>
        <w:t>1986).</w:t>
      </w:r>
    </w:p>
    <w:p w:rsidR="00C941CD" w:rsidRDefault="00C941CD" w:rsidP="00C941CD">
      <w:pPr>
        <w:rPr>
          <w:rFonts w:eastAsia="Times New Roman"/>
          <w:szCs w:val="20"/>
          <w:lang w:eastAsia="it-IT"/>
        </w:rPr>
      </w:pPr>
    </w:p>
    <w:p w:rsidR="00C941CD" w:rsidRDefault="00C941CD" w:rsidP="00C941CD">
      <w:pPr>
        <w:rPr>
          <w:rFonts w:eastAsia="Times New Roman"/>
          <w:szCs w:val="20"/>
          <w:lang w:eastAsia="it-IT"/>
        </w:rPr>
      </w:pPr>
    </w:p>
    <w:p w:rsidR="00C941CD" w:rsidRPr="00C941CD" w:rsidRDefault="00C941CD" w:rsidP="00C941CD">
      <w:pPr>
        <w:rPr>
          <w:rFonts w:eastAsia="Times New Roman"/>
          <w:szCs w:val="20"/>
          <w:lang w:eastAsia="it-IT"/>
        </w:rPr>
      </w:pPr>
    </w:p>
    <w:p w:rsidR="00C941CD" w:rsidRPr="00C941CD" w:rsidRDefault="00C941CD" w:rsidP="00C941CD">
      <w:pPr>
        <w:pStyle w:val="Titolo1"/>
      </w:pPr>
      <w:r w:rsidRPr="00C941CD">
        <w:t>DISCUSSIONI</w:t>
      </w:r>
      <w:r w:rsidR="00D87004">
        <w:t xml:space="preserve"> </w:t>
      </w:r>
      <w:r w:rsidRPr="00C941CD">
        <w:t>COMMISSIONALI</w:t>
      </w:r>
      <w:r w:rsidR="00D87004">
        <w:t xml:space="preserve"> </w:t>
      </w:r>
      <w:r w:rsidRPr="00C941CD">
        <w:t>E</w:t>
      </w:r>
      <w:r w:rsidR="00D87004">
        <w:t xml:space="preserve"> </w:t>
      </w:r>
      <w:r w:rsidRPr="00C941CD">
        <w:t>CONCLUSIONI</w:t>
      </w:r>
    </w:p>
    <w:p w:rsidR="00C941CD" w:rsidRDefault="00C941CD" w:rsidP="00D87004">
      <w:pPr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Gli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approfondimenti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commissionali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focalizzati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seguenti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domande,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Consiglio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ha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esaustivamente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risposto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1°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ottobre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2021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Risoluzione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governativa</w:t>
      </w:r>
      <w:r w:rsidR="00D87004">
        <w:rPr>
          <w:rFonts w:eastAsia="Times New Roman"/>
          <w:szCs w:val="20"/>
          <w:lang w:val="it-IT" w:eastAsia="it-IT"/>
        </w:rPr>
        <w:t xml:space="preserve"> n. </w:t>
      </w:r>
      <w:r w:rsidRPr="00C941CD">
        <w:rPr>
          <w:rFonts w:eastAsia="Times New Roman"/>
          <w:szCs w:val="20"/>
          <w:lang w:val="it-IT" w:eastAsia="it-IT"/>
        </w:rPr>
        <w:t>4746.</w:t>
      </w:r>
    </w:p>
    <w:p w:rsidR="00D87004" w:rsidRPr="00C941CD" w:rsidRDefault="00D87004" w:rsidP="00D87004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D87004">
      <w:pPr>
        <w:pStyle w:val="Titolo2"/>
      </w:pPr>
      <w:r>
        <w:t>1.</w:t>
      </w:r>
      <w:r>
        <w:tab/>
      </w:r>
      <w:r w:rsidRPr="00C941CD">
        <w:t>Cosa</w:t>
      </w:r>
      <w:r w:rsidR="00D87004">
        <w:t xml:space="preserve"> </w:t>
      </w:r>
      <w:r w:rsidRPr="00C941CD">
        <w:t>impedisce</w:t>
      </w:r>
      <w:r w:rsidR="00D87004">
        <w:t xml:space="preserve"> </w:t>
      </w:r>
      <w:r w:rsidRPr="00C941CD">
        <w:t>di</w:t>
      </w:r>
      <w:r w:rsidR="00D87004">
        <w:t xml:space="preserve"> </w:t>
      </w:r>
      <w:r w:rsidRPr="00C941CD">
        <w:t>gestire</w:t>
      </w:r>
      <w:r w:rsidR="00D87004">
        <w:t xml:space="preserve"> </w:t>
      </w:r>
      <w:r w:rsidRPr="00C941CD">
        <w:t>l’incasso</w:t>
      </w:r>
      <w:r w:rsidR="00D87004">
        <w:t xml:space="preserve"> </w:t>
      </w:r>
      <w:r w:rsidRPr="00C941CD">
        <w:t>dell’imposta</w:t>
      </w:r>
      <w:r w:rsidR="00D87004">
        <w:t xml:space="preserve"> </w:t>
      </w:r>
      <w:r w:rsidRPr="00C941CD">
        <w:t>comunale</w:t>
      </w:r>
      <w:r w:rsidR="00D87004">
        <w:t xml:space="preserve"> </w:t>
      </w:r>
      <w:r w:rsidRPr="00C941CD">
        <w:t>(per</w:t>
      </w:r>
      <w:r w:rsidR="00D87004">
        <w:t xml:space="preserve"> </w:t>
      </w:r>
      <w:r w:rsidRPr="00C941CD">
        <w:t>i</w:t>
      </w:r>
      <w:r w:rsidR="00D87004">
        <w:t xml:space="preserve"> </w:t>
      </w:r>
      <w:r w:rsidRPr="00C941CD">
        <w:t>Comuni</w:t>
      </w:r>
      <w:r w:rsidR="00D87004">
        <w:t xml:space="preserve"> </w:t>
      </w:r>
      <w:r w:rsidRPr="00C941CD">
        <w:t>che</w:t>
      </w:r>
      <w:r w:rsidR="00D87004">
        <w:t xml:space="preserve"> </w:t>
      </w:r>
      <w:r w:rsidRPr="00C941CD">
        <w:t>desiderano</w:t>
      </w:r>
      <w:r w:rsidR="00D87004">
        <w:t xml:space="preserve"> </w:t>
      </w:r>
      <w:r w:rsidRPr="00C941CD">
        <w:t>appoggiarsi</w:t>
      </w:r>
      <w:r w:rsidR="00D87004">
        <w:t xml:space="preserve"> </w:t>
      </w:r>
      <w:r w:rsidRPr="00C941CD">
        <w:t>sul</w:t>
      </w:r>
      <w:r w:rsidR="00D87004">
        <w:t xml:space="preserve"> </w:t>
      </w:r>
      <w:r w:rsidRPr="00C941CD">
        <w:t>Cantone)</w:t>
      </w:r>
      <w:r w:rsidR="00D87004">
        <w:t xml:space="preserve"> </w:t>
      </w:r>
      <w:r w:rsidRPr="00C941CD">
        <w:t>con</w:t>
      </w:r>
      <w:r w:rsidR="00D87004">
        <w:t xml:space="preserve"> </w:t>
      </w:r>
      <w:r w:rsidRPr="00C941CD">
        <w:t>le</w:t>
      </w:r>
      <w:r w:rsidR="00D87004">
        <w:t xml:space="preserve"> </w:t>
      </w:r>
      <w:r w:rsidRPr="00C941CD">
        <w:t>stesse</w:t>
      </w:r>
      <w:r w:rsidR="00D87004">
        <w:t xml:space="preserve"> </w:t>
      </w:r>
      <w:r w:rsidRPr="00C941CD">
        <w:t>modalità</w:t>
      </w:r>
      <w:r w:rsidR="00D87004">
        <w:t xml:space="preserve"> </w:t>
      </w:r>
      <w:r w:rsidRPr="00C941CD">
        <w:t>informatiche</w:t>
      </w:r>
      <w:r w:rsidR="00D87004">
        <w:t xml:space="preserve"> </w:t>
      </w:r>
      <w:r w:rsidRPr="00C941CD">
        <w:t>adottate</w:t>
      </w:r>
      <w:r w:rsidR="00D87004">
        <w:t xml:space="preserve"> </w:t>
      </w:r>
      <w:r w:rsidRPr="00C941CD">
        <w:t>ai</w:t>
      </w:r>
      <w:r w:rsidR="00D87004">
        <w:t xml:space="preserve"> </w:t>
      </w:r>
      <w:r w:rsidRPr="00C941CD">
        <w:t>fini</w:t>
      </w:r>
      <w:r w:rsidR="00D87004">
        <w:t xml:space="preserve"> </w:t>
      </w:r>
      <w:r w:rsidRPr="00C941CD">
        <w:t>dell’incasso</w:t>
      </w:r>
      <w:r w:rsidR="00D87004">
        <w:t xml:space="preserve"> </w:t>
      </w:r>
      <w:r w:rsidRPr="00C941CD">
        <w:t>dell’imposta</w:t>
      </w:r>
      <w:r w:rsidR="00D87004">
        <w:t xml:space="preserve"> </w:t>
      </w:r>
      <w:r w:rsidRPr="00C941CD">
        <w:t>cantonale</w:t>
      </w:r>
      <w:r w:rsidR="00D87004">
        <w:t xml:space="preserve"> </w:t>
      </w:r>
      <w:r w:rsidRPr="00C941CD">
        <w:t>e</w:t>
      </w:r>
      <w:r w:rsidR="00D87004">
        <w:t xml:space="preserve"> </w:t>
      </w:r>
      <w:r w:rsidRPr="00C941CD">
        <w:t>dell’imposta</w:t>
      </w:r>
      <w:r w:rsidR="00D87004">
        <w:t xml:space="preserve"> </w:t>
      </w:r>
      <w:r w:rsidRPr="00C941CD">
        <w:t>federale</w:t>
      </w:r>
      <w:r w:rsidR="00D87004">
        <w:t xml:space="preserve"> </w:t>
      </w:r>
      <w:r w:rsidRPr="00C941CD">
        <w:t>diretta?</w:t>
      </w:r>
    </w:p>
    <w:p w:rsidR="00C941CD" w:rsidRPr="00C941CD" w:rsidRDefault="00C941CD" w:rsidP="00B257C1">
      <w:pPr>
        <w:spacing w:after="240"/>
        <w:contextualSpacing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sistema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d’incasso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differisce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alcuni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punti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quello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cantonale.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principali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differenze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modalità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calcolo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incasso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causate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da:</w:t>
      </w:r>
    </w:p>
    <w:p w:rsidR="00C941CD" w:rsidRPr="00C941CD" w:rsidRDefault="00C941CD" w:rsidP="00D87004">
      <w:pPr>
        <w:numPr>
          <w:ilvl w:val="1"/>
          <w:numId w:val="15"/>
        </w:numPr>
        <w:tabs>
          <w:tab w:val="left" w:pos="284"/>
        </w:tabs>
        <w:spacing w:before="60"/>
        <w:ind w:left="0" w:firstLine="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moltiplicatore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imposta;</w:t>
      </w:r>
    </w:p>
    <w:p w:rsidR="00C941CD" w:rsidRPr="00C941CD" w:rsidRDefault="00C941CD" w:rsidP="00D87004">
      <w:pPr>
        <w:numPr>
          <w:ilvl w:val="1"/>
          <w:numId w:val="15"/>
        </w:numPr>
        <w:tabs>
          <w:tab w:val="left" w:pos="284"/>
        </w:tabs>
        <w:spacing w:before="60"/>
        <w:ind w:left="0" w:firstLine="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Immobiliare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fisiche);</w:t>
      </w:r>
    </w:p>
    <w:p w:rsidR="00C941CD" w:rsidRPr="00C941CD" w:rsidRDefault="00C941CD" w:rsidP="00D87004">
      <w:pPr>
        <w:numPr>
          <w:ilvl w:val="1"/>
          <w:numId w:val="15"/>
        </w:numPr>
        <w:tabs>
          <w:tab w:val="left" w:pos="284"/>
        </w:tabs>
        <w:spacing w:before="60"/>
        <w:ind w:left="0" w:firstLine="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(persone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fisiche);</w:t>
      </w:r>
    </w:p>
    <w:p w:rsidR="00C941CD" w:rsidRPr="00C941CD" w:rsidRDefault="00C941CD" w:rsidP="00D87004">
      <w:pPr>
        <w:numPr>
          <w:ilvl w:val="1"/>
          <w:numId w:val="15"/>
        </w:numPr>
        <w:tabs>
          <w:tab w:val="left" w:pos="284"/>
        </w:tabs>
        <w:spacing w:before="60"/>
        <w:ind w:left="0" w:firstLine="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riparti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intercomunali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base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reddito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sostanza.</w:t>
      </w:r>
    </w:p>
    <w:p w:rsidR="00C941CD" w:rsidRPr="00C941CD" w:rsidRDefault="00C941CD" w:rsidP="00D87004">
      <w:pPr>
        <w:tabs>
          <w:tab w:val="left" w:pos="284"/>
        </w:tabs>
        <w:spacing w:after="240"/>
        <w:ind w:hanging="284"/>
        <w:contextualSpacing/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D87004">
      <w:pPr>
        <w:spacing w:after="12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lastRenderedPageBreak/>
        <w:t>Queste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differenze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richiedono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sviluppo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ad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hoc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funzionalità,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all’interno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dell’applicativo,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specifiche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all’incasso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comunale.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è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pertanto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possibile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utilizzare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esattamente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stesse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modalità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cui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poggia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l’incasso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cantonale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dell’imposta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federale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diretta.</w:t>
      </w:r>
    </w:p>
    <w:p w:rsidR="00B860C2" w:rsidRDefault="00B860C2" w:rsidP="00B860C2">
      <w:pPr>
        <w:rPr>
          <w:rFonts w:cs="Arial"/>
          <w:szCs w:val="24"/>
        </w:rPr>
      </w:pPr>
    </w:p>
    <w:p w:rsidR="00C941CD" w:rsidRPr="00C941CD" w:rsidRDefault="00C941CD" w:rsidP="00D87004">
      <w:pPr>
        <w:pStyle w:val="Titolo2"/>
      </w:pPr>
      <w:bookmarkStart w:id="1" w:name="_Toc532286235"/>
      <w:r>
        <w:t>2.</w:t>
      </w:r>
      <w:r>
        <w:tab/>
      </w:r>
      <w:r w:rsidRPr="00C941CD">
        <w:t>Entro</w:t>
      </w:r>
      <w:r w:rsidR="00D87004">
        <w:t xml:space="preserve"> </w:t>
      </w:r>
      <w:r w:rsidRPr="00C941CD">
        <w:t>quali</w:t>
      </w:r>
      <w:r w:rsidR="00D87004">
        <w:t xml:space="preserve"> </w:t>
      </w:r>
      <w:r w:rsidRPr="00C941CD">
        <w:t>termini</w:t>
      </w:r>
      <w:r w:rsidR="00D87004">
        <w:t xml:space="preserve"> </w:t>
      </w:r>
      <w:r w:rsidRPr="00C941CD">
        <w:t>temporali</w:t>
      </w:r>
      <w:r w:rsidR="00D87004">
        <w:t xml:space="preserve"> </w:t>
      </w:r>
      <w:r w:rsidRPr="00C941CD">
        <w:t>dovrebbe</w:t>
      </w:r>
      <w:r w:rsidR="00D87004">
        <w:t xml:space="preserve"> </w:t>
      </w:r>
      <w:r w:rsidRPr="00C941CD">
        <w:t>concludersi</w:t>
      </w:r>
      <w:r w:rsidR="00D87004">
        <w:t xml:space="preserve"> </w:t>
      </w:r>
      <w:r w:rsidRPr="00C941CD">
        <w:t>l’ammortamento</w:t>
      </w:r>
      <w:r w:rsidR="00D87004">
        <w:t xml:space="preserve"> </w:t>
      </w:r>
      <w:r w:rsidRPr="00C941CD">
        <w:t>dei</w:t>
      </w:r>
      <w:r w:rsidR="00D87004">
        <w:t xml:space="preserve"> </w:t>
      </w:r>
      <w:r w:rsidRPr="00C941CD">
        <w:t>costi</w:t>
      </w:r>
      <w:r w:rsidR="00D87004">
        <w:t xml:space="preserve"> </w:t>
      </w:r>
      <w:r w:rsidRPr="00C941CD">
        <w:t>di</w:t>
      </w:r>
      <w:r w:rsidR="00D87004">
        <w:t xml:space="preserve"> </w:t>
      </w:r>
      <w:r w:rsidRPr="00C941CD">
        <w:t>investimento</w:t>
      </w:r>
      <w:r w:rsidR="00D87004">
        <w:t xml:space="preserve"> </w:t>
      </w:r>
      <w:r w:rsidRPr="00C941CD">
        <w:t>della</w:t>
      </w:r>
      <w:r w:rsidR="00D87004">
        <w:t xml:space="preserve"> </w:t>
      </w:r>
      <w:r w:rsidRPr="00C941CD">
        <w:t>nuova</w:t>
      </w:r>
      <w:r w:rsidR="00D87004">
        <w:t xml:space="preserve"> </w:t>
      </w:r>
      <w:r w:rsidRPr="00C941CD">
        <w:t>soluzione</w:t>
      </w:r>
      <w:r w:rsidR="00D87004">
        <w:t xml:space="preserve"> </w:t>
      </w:r>
      <w:r w:rsidRPr="00C941CD">
        <w:t>informatica</w:t>
      </w:r>
      <w:r w:rsidR="00D87004">
        <w:t xml:space="preserve"> </w:t>
      </w:r>
      <w:r w:rsidRPr="00C941CD">
        <w:t>RICO?</w:t>
      </w:r>
    </w:p>
    <w:p w:rsidR="00C941CD" w:rsidRDefault="00C941CD" w:rsidP="00D87004">
      <w:pPr>
        <w:spacing w:after="12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fronte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investimento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CHF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1.4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milioni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costi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diretti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CHF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0.7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milioni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(per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3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personale,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manutenzione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software,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stamperia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CSI,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linee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trasmissione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dati,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telefonia,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attrezzatura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informatica),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può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stimare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l’investimento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potrà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essere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considerato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autofinanziato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dall’entrata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servizio.</w:t>
      </w:r>
    </w:p>
    <w:p w:rsidR="00C941CD" w:rsidRPr="00C941CD" w:rsidRDefault="00C941CD" w:rsidP="00D87004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D87004">
      <w:pPr>
        <w:pStyle w:val="Titolo2"/>
      </w:pPr>
      <w:r>
        <w:t>3.</w:t>
      </w:r>
      <w:r>
        <w:tab/>
      </w:r>
      <w:r w:rsidRPr="00C941CD">
        <w:t>Tra</w:t>
      </w:r>
      <w:r w:rsidR="00D87004">
        <w:t xml:space="preserve"> </w:t>
      </w:r>
      <w:r w:rsidRPr="00C941CD">
        <w:t>i</w:t>
      </w:r>
      <w:r w:rsidR="00D87004">
        <w:t xml:space="preserve"> </w:t>
      </w:r>
      <w:r w:rsidRPr="00C941CD">
        <w:t>benefici</w:t>
      </w:r>
      <w:r w:rsidR="00D87004">
        <w:t xml:space="preserve"> </w:t>
      </w:r>
      <w:r w:rsidRPr="00C941CD">
        <w:t>evidenziati</w:t>
      </w:r>
      <w:r w:rsidR="00D87004">
        <w:t xml:space="preserve"> </w:t>
      </w:r>
      <w:r w:rsidRPr="00C941CD">
        <w:t>dal</w:t>
      </w:r>
      <w:r w:rsidR="00D87004">
        <w:t xml:space="preserve"> </w:t>
      </w:r>
      <w:r w:rsidRPr="00C941CD">
        <w:t>messaggio</w:t>
      </w:r>
      <w:r w:rsidR="00D87004">
        <w:t xml:space="preserve"> </w:t>
      </w:r>
      <w:r w:rsidRPr="00C941CD">
        <w:t>vi</w:t>
      </w:r>
      <w:r w:rsidR="00D87004">
        <w:t xml:space="preserve"> </w:t>
      </w:r>
      <w:r w:rsidRPr="00C941CD">
        <w:t>è</w:t>
      </w:r>
      <w:r w:rsidR="00D87004">
        <w:t xml:space="preserve"> </w:t>
      </w:r>
      <w:r w:rsidRPr="00C941CD">
        <w:t>la</w:t>
      </w:r>
      <w:r w:rsidR="00D87004">
        <w:t xml:space="preserve"> </w:t>
      </w:r>
      <w:r w:rsidRPr="00C941CD">
        <w:t>messa</w:t>
      </w:r>
      <w:r w:rsidR="00D87004">
        <w:t xml:space="preserve"> </w:t>
      </w:r>
      <w:r w:rsidRPr="00C941CD">
        <w:t>a</w:t>
      </w:r>
      <w:r w:rsidR="00D87004">
        <w:t xml:space="preserve"> </w:t>
      </w:r>
      <w:r w:rsidRPr="00C941CD">
        <w:t>disposizione</w:t>
      </w:r>
      <w:r w:rsidR="00D87004">
        <w:t xml:space="preserve"> </w:t>
      </w:r>
      <w:r w:rsidRPr="00C941CD">
        <w:t>di</w:t>
      </w:r>
      <w:r w:rsidR="00D87004">
        <w:t xml:space="preserve"> </w:t>
      </w:r>
      <w:r w:rsidRPr="00C941CD">
        <w:t>una</w:t>
      </w:r>
      <w:r w:rsidR="00D87004">
        <w:t xml:space="preserve"> </w:t>
      </w:r>
      <w:r w:rsidRPr="00C941CD">
        <w:t>piattaforma</w:t>
      </w:r>
      <w:r w:rsidR="00D87004">
        <w:t xml:space="preserve"> </w:t>
      </w:r>
      <w:r w:rsidRPr="00C941CD">
        <w:t>che</w:t>
      </w:r>
      <w:r w:rsidR="00D87004">
        <w:t xml:space="preserve"> </w:t>
      </w:r>
      <w:r w:rsidRPr="00C941CD">
        <w:t>possa</w:t>
      </w:r>
      <w:r w:rsidR="00D87004">
        <w:t xml:space="preserve"> </w:t>
      </w:r>
      <w:r w:rsidRPr="00C941CD">
        <w:t>garantire</w:t>
      </w:r>
      <w:r w:rsidR="00D87004">
        <w:t xml:space="preserve"> </w:t>
      </w:r>
      <w:r w:rsidRPr="00C941CD">
        <w:t>le</w:t>
      </w:r>
      <w:r w:rsidR="00D87004">
        <w:t xml:space="preserve"> </w:t>
      </w:r>
      <w:r w:rsidRPr="00C941CD">
        <w:t>evoluzioni</w:t>
      </w:r>
      <w:r w:rsidR="00D87004">
        <w:t xml:space="preserve"> </w:t>
      </w:r>
      <w:r w:rsidRPr="00C941CD">
        <w:t>almeno</w:t>
      </w:r>
      <w:r w:rsidR="00D87004">
        <w:t xml:space="preserve"> </w:t>
      </w:r>
      <w:r w:rsidRPr="00C941CD">
        <w:t>nei</w:t>
      </w:r>
      <w:r w:rsidR="00D87004">
        <w:t xml:space="preserve"> </w:t>
      </w:r>
      <w:r w:rsidRPr="00C941CD">
        <w:t>prossimi</w:t>
      </w:r>
      <w:r w:rsidR="00D87004">
        <w:t xml:space="preserve"> </w:t>
      </w:r>
      <w:r w:rsidRPr="00C941CD">
        <w:t>10</w:t>
      </w:r>
      <w:r w:rsidR="00D87004">
        <w:t xml:space="preserve"> </w:t>
      </w:r>
      <w:r w:rsidRPr="00C941CD">
        <w:t>anni.</w:t>
      </w:r>
      <w:r w:rsidR="00D87004">
        <w:t xml:space="preserve"> </w:t>
      </w:r>
      <w:r w:rsidRPr="00C941CD">
        <w:t>Dopo</w:t>
      </w:r>
      <w:r w:rsidR="00D87004">
        <w:t xml:space="preserve"> </w:t>
      </w:r>
      <w:r w:rsidRPr="00C941CD">
        <w:t>tale</w:t>
      </w:r>
      <w:r w:rsidR="00D87004">
        <w:t xml:space="preserve"> </w:t>
      </w:r>
      <w:r w:rsidRPr="00C941CD">
        <w:t>soglia</w:t>
      </w:r>
      <w:r w:rsidR="00D87004">
        <w:t xml:space="preserve"> </w:t>
      </w:r>
      <w:r w:rsidRPr="00C941CD">
        <w:t>temporale</w:t>
      </w:r>
      <w:r w:rsidR="00D87004">
        <w:t xml:space="preserve"> </w:t>
      </w:r>
      <w:r w:rsidRPr="00C941CD">
        <w:t>il</w:t>
      </w:r>
      <w:r w:rsidR="00D87004">
        <w:t xml:space="preserve"> </w:t>
      </w:r>
      <w:r w:rsidRPr="00C941CD">
        <w:t>CSI</w:t>
      </w:r>
      <w:r w:rsidR="00D87004">
        <w:t xml:space="preserve"> </w:t>
      </w:r>
      <w:r w:rsidRPr="00C941CD">
        <w:t>avrà</w:t>
      </w:r>
      <w:r w:rsidR="00D87004">
        <w:t xml:space="preserve"> </w:t>
      </w:r>
      <w:r w:rsidRPr="00C941CD">
        <w:t>la</w:t>
      </w:r>
      <w:r w:rsidR="00D87004">
        <w:t xml:space="preserve"> </w:t>
      </w:r>
      <w:r w:rsidRPr="00C941CD">
        <w:t>possibilità</w:t>
      </w:r>
      <w:r w:rsidR="00D87004">
        <w:t xml:space="preserve"> </w:t>
      </w:r>
      <w:r w:rsidRPr="00C941CD">
        <w:t>di</w:t>
      </w:r>
      <w:r w:rsidR="00D87004">
        <w:t xml:space="preserve"> </w:t>
      </w:r>
      <w:r w:rsidRPr="00C941CD">
        <w:t>continuare</w:t>
      </w:r>
      <w:r w:rsidR="00D87004">
        <w:t xml:space="preserve"> </w:t>
      </w:r>
      <w:r w:rsidRPr="00C941CD">
        <w:t>a</w:t>
      </w:r>
      <w:r w:rsidR="00D87004">
        <w:t xml:space="preserve"> </w:t>
      </w:r>
      <w:r w:rsidRPr="00C941CD">
        <w:t>mettere</w:t>
      </w:r>
      <w:r w:rsidR="00D87004">
        <w:t xml:space="preserve"> </w:t>
      </w:r>
      <w:r w:rsidRPr="00C941CD">
        <w:t>mano</w:t>
      </w:r>
      <w:r w:rsidR="00D87004">
        <w:t xml:space="preserve"> </w:t>
      </w:r>
      <w:r w:rsidRPr="00C941CD">
        <w:t>alla</w:t>
      </w:r>
      <w:r w:rsidR="00D87004">
        <w:t xml:space="preserve"> </w:t>
      </w:r>
      <w:r w:rsidRPr="00C941CD">
        <w:t>soluzione</w:t>
      </w:r>
      <w:r w:rsidR="00D87004">
        <w:t xml:space="preserve"> </w:t>
      </w:r>
      <w:r w:rsidRPr="00C941CD">
        <w:t>informatica?</w:t>
      </w:r>
      <w:r w:rsidR="00D87004">
        <w:t xml:space="preserve"> </w:t>
      </w:r>
      <w:r w:rsidRPr="00C941CD">
        <w:t>In</w:t>
      </w:r>
      <w:r w:rsidR="00D87004">
        <w:t xml:space="preserve"> </w:t>
      </w:r>
      <w:r w:rsidRPr="00C941CD">
        <w:t>generale,</w:t>
      </w:r>
      <w:r w:rsidR="00D87004">
        <w:t xml:space="preserve"> </w:t>
      </w:r>
      <w:r w:rsidRPr="00C941CD">
        <w:t>la</w:t>
      </w:r>
      <w:r w:rsidR="00D87004">
        <w:t xml:space="preserve"> </w:t>
      </w:r>
      <w:r w:rsidRPr="00C941CD">
        <w:t>società</w:t>
      </w:r>
      <w:r w:rsidR="00D87004">
        <w:t xml:space="preserve"> </w:t>
      </w:r>
      <w:r w:rsidRPr="00C941CD">
        <w:t>appaltata</w:t>
      </w:r>
      <w:r w:rsidR="00D87004">
        <w:t xml:space="preserve"> </w:t>
      </w:r>
      <w:r w:rsidRPr="00C941CD">
        <w:t>manterrà</w:t>
      </w:r>
      <w:r w:rsidR="00D87004">
        <w:t xml:space="preserve"> </w:t>
      </w:r>
      <w:r w:rsidRPr="00C941CD">
        <w:t>il</w:t>
      </w:r>
      <w:r w:rsidR="00D87004">
        <w:t xml:space="preserve"> </w:t>
      </w:r>
      <w:r w:rsidRPr="00C941CD">
        <w:t>codice</w:t>
      </w:r>
      <w:r w:rsidR="00D87004">
        <w:t xml:space="preserve"> </w:t>
      </w:r>
      <w:r w:rsidRPr="00C941CD">
        <w:t>proprietario</w:t>
      </w:r>
      <w:r w:rsidR="00D87004">
        <w:t xml:space="preserve"> </w:t>
      </w:r>
      <w:r w:rsidRPr="00C941CD">
        <w:t>o</w:t>
      </w:r>
      <w:r w:rsidR="00D87004">
        <w:t xml:space="preserve"> </w:t>
      </w:r>
      <w:r w:rsidRPr="00C941CD">
        <w:t>sarà</w:t>
      </w:r>
      <w:r w:rsidR="00D87004">
        <w:t xml:space="preserve"> </w:t>
      </w:r>
      <w:r w:rsidRPr="00C941CD">
        <w:t>possibile</w:t>
      </w:r>
      <w:r w:rsidR="00D87004">
        <w:t xml:space="preserve"> </w:t>
      </w:r>
      <w:r w:rsidRPr="00C941CD">
        <w:t>per</w:t>
      </w:r>
      <w:r w:rsidR="00D87004">
        <w:t xml:space="preserve"> </w:t>
      </w:r>
      <w:r w:rsidRPr="00C941CD">
        <w:t>il</w:t>
      </w:r>
      <w:r w:rsidR="00D87004">
        <w:t xml:space="preserve"> </w:t>
      </w:r>
      <w:r w:rsidRPr="00C941CD">
        <w:t>Cantone</w:t>
      </w:r>
      <w:r w:rsidR="00D87004">
        <w:t xml:space="preserve"> </w:t>
      </w:r>
      <w:r w:rsidRPr="00C941CD">
        <w:t>mettere</w:t>
      </w:r>
      <w:r w:rsidR="00D87004">
        <w:t xml:space="preserve"> </w:t>
      </w:r>
      <w:r w:rsidRPr="00C941CD">
        <w:t>mano</w:t>
      </w:r>
      <w:r w:rsidR="00D87004">
        <w:t xml:space="preserve"> </w:t>
      </w:r>
      <w:r w:rsidRPr="00C941CD">
        <w:t>al</w:t>
      </w:r>
      <w:r w:rsidR="00D87004">
        <w:t xml:space="preserve"> </w:t>
      </w:r>
      <w:r w:rsidRPr="00C941CD">
        <w:t>codice</w:t>
      </w:r>
      <w:r w:rsidR="00D87004">
        <w:t xml:space="preserve"> </w:t>
      </w:r>
      <w:r w:rsidRPr="00C941CD">
        <w:t>(pur</w:t>
      </w:r>
      <w:r w:rsidR="00D87004">
        <w:t xml:space="preserve"> </w:t>
      </w:r>
      <w:r w:rsidRPr="00C941CD">
        <w:t>pagando</w:t>
      </w:r>
      <w:r w:rsidR="00D87004">
        <w:t xml:space="preserve"> </w:t>
      </w:r>
      <w:r w:rsidRPr="00C941CD">
        <w:t>eventuali</w:t>
      </w:r>
      <w:r w:rsidR="00D87004">
        <w:t xml:space="preserve"> </w:t>
      </w:r>
      <w:r w:rsidRPr="00C941CD">
        <w:t>licenze)</w:t>
      </w:r>
      <w:r w:rsidR="00D87004">
        <w:t xml:space="preserve"> </w:t>
      </w:r>
      <w:r w:rsidRPr="00C941CD">
        <w:t>rendendo</w:t>
      </w:r>
      <w:r w:rsidR="00D87004">
        <w:t xml:space="preserve"> </w:t>
      </w:r>
      <w:r w:rsidRPr="00C941CD">
        <w:t>di</w:t>
      </w:r>
      <w:r w:rsidR="00D87004">
        <w:t xml:space="preserve"> </w:t>
      </w:r>
      <w:r w:rsidRPr="00C941CD">
        <w:t>principio</w:t>
      </w:r>
      <w:r w:rsidR="00D87004">
        <w:t xml:space="preserve"> </w:t>
      </w:r>
      <w:r w:rsidRPr="00C941CD">
        <w:t>possibile</w:t>
      </w:r>
      <w:r w:rsidR="00D87004">
        <w:t xml:space="preserve"> </w:t>
      </w:r>
      <w:r w:rsidRPr="00C941CD">
        <w:t>lo</w:t>
      </w:r>
      <w:r w:rsidR="00D87004">
        <w:t xml:space="preserve"> </w:t>
      </w:r>
      <w:r w:rsidRPr="00C941CD">
        <w:t>sviluppo</w:t>
      </w:r>
      <w:r w:rsidR="00D87004">
        <w:t xml:space="preserve"> </w:t>
      </w:r>
      <w:r w:rsidRPr="00C941CD">
        <w:t>oltre</w:t>
      </w:r>
      <w:r w:rsidR="00D87004">
        <w:t xml:space="preserve"> </w:t>
      </w:r>
      <w:r w:rsidRPr="00C941CD">
        <w:t>i</w:t>
      </w:r>
      <w:r w:rsidR="00D87004">
        <w:t xml:space="preserve"> </w:t>
      </w:r>
      <w:r w:rsidRPr="00C941CD">
        <w:t>10</w:t>
      </w:r>
      <w:r w:rsidR="00D87004">
        <w:t xml:space="preserve"> </w:t>
      </w:r>
      <w:r w:rsidRPr="00C941CD">
        <w:t>anni?</w:t>
      </w:r>
    </w:p>
    <w:p w:rsidR="00C941CD" w:rsidRPr="00C941CD" w:rsidRDefault="00C941CD" w:rsidP="00B257C1">
      <w:pPr>
        <w:spacing w:after="240"/>
        <w:contextualSpacing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fornitore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manterrà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proprietà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codice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garantirà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manutenzione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correttiva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ed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evolutiva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integralità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periodo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minimo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10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anni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dalla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scadenza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periodo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garanzia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fintantoché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l’azienda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sarà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attiva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mercato.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Questo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è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dovuto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fatto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codice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sorgente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tale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software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è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condiviso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applicativi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produzione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presso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buona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parte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amministrazioni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comunali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ticinesi.</w:t>
      </w:r>
    </w:p>
    <w:p w:rsidR="00C941CD" w:rsidRPr="00C941CD" w:rsidRDefault="00C941CD" w:rsidP="00B257C1">
      <w:pPr>
        <w:spacing w:after="240"/>
        <w:contextualSpacing/>
        <w:rPr>
          <w:rFonts w:eastAsia="Times New Roman"/>
          <w:szCs w:val="20"/>
          <w:lang w:val="it-IT" w:eastAsia="it-IT"/>
        </w:rPr>
      </w:pPr>
    </w:p>
    <w:p w:rsidR="00C941CD" w:rsidRDefault="00C941CD" w:rsidP="00D87004">
      <w:pPr>
        <w:spacing w:after="12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Pertanto,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intende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chiedere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fornitore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prevedere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nel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contratto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il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seguente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punto:</w:t>
      </w:r>
      <w:r w:rsidR="00D87004">
        <w:rPr>
          <w:rFonts w:eastAsia="Times New Roman"/>
          <w:szCs w:val="20"/>
          <w:lang w:val="it-IT" w:eastAsia="it-IT"/>
        </w:rPr>
        <w:t xml:space="preserve"> </w:t>
      </w:r>
    </w:p>
    <w:p w:rsidR="00C941CD" w:rsidRPr="00D87004" w:rsidRDefault="00C941CD" w:rsidP="00B257C1">
      <w:pPr>
        <w:spacing w:after="240"/>
        <w:contextualSpacing/>
        <w:rPr>
          <w:rFonts w:eastAsia="Times New Roman"/>
          <w:i/>
          <w:iCs/>
          <w:sz w:val="23"/>
          <w:szCs w:val="23"/>
          <w:lang w:val="it-IT" w:eastAsia="it-IT"/>
        </w:rPr>
      </w:pPr>
      <w:r w:rsidRPr="00D87004">
        <w:rPr>
          <w:rFonts w:eastAsia="Times New Roman"/>
          <w:i/>
          <w:sz w:val="23"/>
          <w:szCs w:val="23"/>
          <w:lang w:val="it-IT" w:eastAsia="it-IT"/>
        </w:rPr>
        <w:t>"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diritto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d’uso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concernente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software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prodotto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dal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fornitore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espressamente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per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committente,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compresa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documentazione,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sono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trasmessi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al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committente.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Entrambe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parti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contrattuali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possono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liberamente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disporre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ed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usare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idee,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procedure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metodi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non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legalmente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protetti.</w:t>
      </w:r>
    </w:p>
    <w:p w:rsidR="00C941CD" w:rsidRPr="00D87004" w:rsidRDefault="00C941CD" w:rsidP="00B257C1">
      <w:pPr>
        <w:spacing w:after="240"/>
        <w:contextualSpacing/>
        <w:rPr>
          <w:rFonts w:eastAsia="Times New Roman"/>
          <w:i/>
          <w:sz w:val="23"/>
          <w:szCs w:val="23"/>
          <w:lang w:val="it-IT" w:eastAsia="it-IT"/>
        </w:rPr>
      </w:pP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codice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sorgente,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relativa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documentazione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(in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particolare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la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documentazione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programmi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un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prospetto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generale,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un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modello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dati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delle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funzioni,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pure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una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descrizione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delle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funzioni),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vengono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depositati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presso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un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notaio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garanzia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committente.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In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caso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di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cessazione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dell’attività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da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parte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del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fornitore,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committente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ottiene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il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pieno</w:t>
      </w:r>
      <w:r w:rsidR="00D87004" w:rsidRPr="00D87004">
        <w:rPr>
          <w:rFonts w:eastAsia="Times New Roman"/>
          <w:i/>
          <w:iCs/>
          <w:sz w:val="23"/>
          <w:szCs w:val="23"/>
          <w:lang w:val="it-IT" w:eastAsia="it-IT"/>
        </w:rPr>
        <w:t xml:space="preserve"> </w:t>
      </w:r>
      <w:r w:rsidRPr="00D87004">
        <w:rPr>
          <w:rFonts w:eastAsia="Times New Roman"/>
          <w:i/>
          <w:iCs/>
          <w:sz w:val="23"/>
          <w:szCs w:val="23"/>
          <w:lang w:val="it-IT" w:eastAsia="it-IT"/>
        </w:rPr>
        <w:t>possesso.</w:t>
      </w:r>
      <w:r w:rsidRPr="00D87004">
        <w:rPr>
          <w:rFonts w:eastAsia="Times New Roman"/>
          <w:i/>
          <w:sz w:val="23"/>
          <w:szCs w:val="23"/>
          <w:lang w:val="it-IT" w:eastAsia="it-IT"/>
        </w:rPr>
        <w:t>"</w:t>
      </w:r>
    </w:p>
    <w:p w:rsidR="00C941CD" w:rsidRDefault="00C941CD" w:rsidP="00C941CD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D87004">
      <w:pPr>
        <w:spacing w:after="120"/>
        <w:rPr>
          <w:rFonts w:eastAsia="Times New Roman"/>
          <w:szCs w:val="20"/>
          <w:lang w:val="it-IT" w:eastAsia="it-IT"/>
        </w:rPr>
      </w:pPr>
      <w:r w:rsidRPr="00C941CD">
        <w:rPr>
          <w:rFonts w:eastAsia="Times New Roman"/>
          <w:szCs w:val="20"/>
          <w:lang w:val="it-IT" w:eastAsia="it-IT"/>
        </w:rPr>
        <w:t>Nelle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successive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discussioni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interne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alla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Commissione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gestione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finanze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non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sono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emersi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ulteriori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quesiti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degni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di</w:t>
      </w:r>
      <w:r w:rsidR="00D87004">
        <w:rPr>
          <w:rFonts w:eastAsia="Times New Roman"/>
          <w:szCs w:val="20"/>
          <w:lang w:val="it-IT" w:eastAsia="it-IT"/>
        </w:rPr>
        <w:t xml:space="preserve"> </w:t>
      </w:r>
      <w:r w:rsidRPr="00C941CD">
        <w:rPr>
          <w:rFonts w:eastAsia="Times New Roman"/>
          <w:szCs w:val="20"/>
          <w:lang w:val="it-IT" w:eastAsia="it-IT"/>
        </w:rPr>
        <w:t>nota.</w:t>
      </w:r>
    </w:p>
    <w:p w:rsidR="005B4207" w:rsidRPr="00C941CD" w:rsidRDefault="005B4207" w:rsidP="00C941CD">
      <w:pPr>
        <w:rPr>
          <w:rFonts w:eastAsia="Times New Roman"/>
          <w:szCs w:val="20"/>
          <w:lang w:val="it-IT" w:eastAsia="it-IT"/>
        </w:rPr>
      </w:pPr>
    </w:p>
    <w:p w:rsidR="00C941CD" w:rsidRPr="00C941CD" w:rsidRDefault="00C941CD" w:rsidP="00C941CD">
      <w:pPr>
        <w:rPr>
          <w:rFonts w:eastAsia="Times New Roman" w:cs="Arial"/>
          <w:szCs w:val="24"/>
          <w:lang w:val="it-IT" w:eastAsia="it-IT"/>
        </w:rPr>
      </w:pPr>
      <w:r w:rsidRPr="00C941CD">
        <w:rPr>
          <w:rFonts w:eastAsia="Times New Roman" w:cs="Arial"/>
          <w:szCs w:val="24"/>
          <w:lang w:val="it-IT" w:eastAsia="it-IT"/>
        </w:rPr>
        <w:t>Per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tali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ragioni,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la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Commissione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gestione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e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finanze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invita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il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Gran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Consiglio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ad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approvare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il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disegno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di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decreto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legislativo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annesso</w:t>
      </w:r>
      <w:r w:rsidR="00D87004">
        <w:rPr>
          <w:rFonts w:eastAsia="Times New Roman" w:cs="Arial"/>
          <w:szCs w:val="24"/>
          <w:lang w:val="it-IT" w:eastAsia="it-IT"/>
        </w:rPr>
        <w:t xml:space="preserve"> al mess</w:t>
      </w:r>
      <w:r w:rsidRPr="00C941CD">
        <w:rPr>
          <w:rFonts w:eastAsia="Times New Roman" w:cs="Arial"/>
          <w:szCs w:val="24"/>
          <w:lang w:val="it-IT" w:eastAsia="it-IT"/>
        </w:rPr>
        <w:t>aggio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n.</w:t>
      </w:r>
      <w:r w:rsidR="00D87004">
        <w:rPr>
          <w:rFonts w:eastAsia="Times New Roman" w:cs="Arial"/>
          <w:szCs w:val="24"/>
          <w:lang w:val="it-IT" w:eastAsia="it-IT"/>
        </w:rPr>
        <w:t xml:space="preserve"> </w:t>
      </w:r>
      <w:r w:rsidRPr="00C941CD">
        <w:rPr>
          <w:rFonts w:eastAsia="Times New Roman" w:cs="Arial"/>
          <w:szCs w:val="24"/>
          <w:lang w:val="it-IT" w:eastAsia="it-IT"/>
        </w:rPr>
        <w:t>7970</w:t>
      </w:r>
      <w:r w:rsidR="00D87004">
        <w:rPr>
          <w:rFonts w:eastAsia="Times New Roman" w:cs="Arial"/>
          <w:szCs w:val="24"/>
          <w:lang w:val="it-IT" w:eastAsia="it-IT"/>
        </w:rPr>
        <w:t xml:space="preserve">. </w:t>
      </w:r>
    </w:p>
    <w:p w:rsidR="00B860C2" w:rsidRDefault="00B860C2" w:rsidP="00B860C2"/>
    <w:p w:rsidR="00B860C2" w:rsidRDefault="00B860C2" w:rsidP="00B860C2"/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5B4207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</w:t>
      </w:r>
      <w:r w:rsidR="00D87004">
        <w:rPr>
          <w:rFonts w:cs="Arial"/>
          <w:szCs w:val="24"/>
        </w:rPr>
        <w:t xml:space="preserve"> </w:t>
      </w:r>
      <w:r w:rsidRPr="00076E70">
        <w:rPr>
          <w:rFonts w:cs="Arial"/>
          <w:szCs w:val="24"/>
        </w:rPr>
        <w:t>la</w:t>
      </w:r>
      <w:r w:rsidR="00D87004">
        <w:rPr>
          <w:rFonts w:cs="Arial"/>
          <w:szCs w:val="24"/>
        </w:rPr>
        <w:t xml:space="preserve"> </w:t>
      </w:r>
      <w:r w:rsidRPr="005B4207">
        <w:rPr>
          <w:rFonts w:cs="Arial"/>
          <w:szCs w:val="24"/>
        </w:rPr>
        <w:t>Commissione</w:t>
      </w:r>
      <w:r w:rsidR="00D87004">
        <w:rPr>
          <w:rFonts w:cs="Arial"/>
          <w:szCs w:val="24"/>
        </w:rPr>
        <w:t xml:space="preserve"> </w:t>
      </w:r>
      <w:r w:rsidRPr="005B4207">
        <w:rPr>
          <w:rFonts w:cs="Arial"/>
          <w:szCs w:val="24"/>
        </w:rPr>
        <w:t>gestione</w:t>
      </w:r>
      <w:r w:rsidR="00D87004">
        <w:rPr>
          <w:rFonts w:cs="Arial"/>
          <w:szCs w:val="24"/>
        </w:rPr>
        <w:t xml:space="preserve"> </w:t>
      </w:r>
      <w:r w:rsidRPr="005B4207">
        <w:rPr>
          <w:rFonts w:cs="Arial"/>
          <w:szCs w:val="24"/>
        </w:rPr>
        <w:t>e</w:t>
      </w:r>
      <w:r w:rsidR="00D87004">
        <w:rPr>
          <w:rFonts w:cs="Arial"/>
          <w:szCs w:val="24"/>
        </w:rPr>
        <w:t xml:space="preserve"> </w:t>
      </w:r>
      <w:r w:rsidRPr="005B4207">
        <w:rPr>
          <w:rFonts w:cs="Arial"/>
          <w:szCs w:val="24"/>
        </w:rPr>
        <w:t>finanze:</w:t>
      </w:r>
    </w:p>
    <w:p w:rsidR="00B860C2" w:rsidRPr="00076E70" w:rsidRDefault="00C941CD" w:rsidP="00B860C2">
      <w:pPr>
        <w:rPr>
          <w:rFonts w:cs="Arial"/>
          <w:szCs w:val="24"/>
        </w:rPr>
      </w:pPr>
      <w:r>
        <w:rPr>
          <w:rFonts w:cs="Arial"/>
          <w:szCs w:val="24"/>
        </w:rPr>
        <w:t>Paolo</w:t>
      </w:r>
      <w:r w:rsidR="00D870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Pamini</w:t>
      </w:r>
      <w:r w:rsidR="00B860C2" w:rsidRPr="00076E70">
        <w:rPr>
          <w:rFonts w:cs="Arial"/>
          <w:szCs w:val="24"/>
        </w:rPr>
        <w:t>,</w:t>
      </w:r>
      <w:r w:rsidR="00D87004">
        <w:rPr>
          <w:rFonts w:cs="Arial"/>
          <w:szCs w:val="24"/>
        </w:rPr>
        <w:t xml:space="preserve"> </w:t>
      </w:r>
      <w:r w:rsidR="00B860C2" w:rsidRPr="00076E70">
        <w:rPr>
          <w:rFonts w:cs="Arial"/>
          <w:szCs w:val="24"/>
        </w:rPr>
        <w:t>relatore</w:t>
      </w:r>
    </w:p>
    <w:p w:rsidR="00D87004" w:rsidRDefault="00DE4580" w:rsidP="00DE4580">
      <w:pPr>
        <w:tabs>
          <w:tab w:val="left" w:pos="284"/>
        </w:tabs>
        <w:rPr>
          <w:lang w:val="it-IT"/>
        </w:rPr>
      </w:pPr>
      <w:bookmarkStart w:id="2" w:name="OLE_LINK1"/>
      <w:bookmarkStart w:id="3" w:name="OLE_LINK2"/>
      <w:r w:rsidRPr="00DE4580">
        <w:rPr>
          <w:lang w:val="it-IT"/>
        </w:rPr>
        <w:t>Agustoni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Balli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Bignasca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Biscossa</w:t>
      </w:r>
      <w:r w:rsidR="00D87004">
        <w:rPr>
          <w:lang w:val="it-IT"/>
        </w:rPr>
        <w:t xml:space="preserve"> - </w:t>
      </w:r>
    </w:p>
    <w:p w:rsidR="00D87004" w:rsidRDefault="00DE4580" w:rsidP="00DE4580">
      <w:pPr>
        <w:tabs>
          <w:tab w:val="left" w:pos="284"/>
        </w:tabs>
        <w:rPr>
          <w:lang w:val="it-IT"/>
        </w:rPr>
      </w:pPr>
      <w:r w:rsidRPr="00DE4580">
        <w:rPr>
          <w:lang w:val="it-IT"/>
        </w:rPr>
        <w:t>Bourgoin</w:t>
      </w:r>
      <w:r w:rsidR="00D87004">
        <w:rPr>
          <w:lang w:val="it-IT"/>
        </w:rPr>
        <w:t xml:space="preserve"> </w:t>
      </w:r>
      <w:r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Caprara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Caverzasio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Dadò</w:t>
      </w:r>
      <w:r w:rsidR="00D87004">
        <w:rPr>
          <w:lang w:val="it-IT"/>
        </w:rPr>
        <w:t xml:space="preserve"> - </w:t>
      </w:r>
    </w:p>
    <w:p w:rsidR="00D87004" w:rsidRDefault="00DE4580" w:rsidP="00DE4580">
      <w:pPr>
        <w:tabs>
          <w:tab w:val="left" w:pos="284"/>
        </w:tabs>
        <w:rPr>
          <w:lang w:val="it-IT"/>
        </w:rPr>
      </w:pPr>
      <w:r w:rsidRPr="00DE4580">
        <w:rPr>
          <w:lang w:val="it-IT"/>
        </w:rPr>
        <w:t>Durisch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Ferrara</w:t>
      </w:r>
      <w:r w:rsidR="00D87004">
        <w:rPr>
          <w:lang w:val="it-IT"/>
        </w:rPr>
        <w:t xml:space="preserve"> </w:t>
      </w:r>
      <w:r>
        <w:rPr>
          <w:lang w:val="it-IT"/>
        </w:rPr>
        <w:t>-</w:t>
      </w:r>
      <w:r w:rsidR="00DD3D60">
        <w:rPr>
          <w:lang w:val="it-IT"/>
        </w:rPr>
        <w:t xml:space="preserve"> </w:t>
      </w:r>
      <w:r w:rsidRPr="00DE4580">
        <w:rPr>
          <w:lang w:val="it-IT"/>
        </w:rPr>
        <w:t>Gianella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Alessandra</w:t>
      </w:r>
      <w:r w:rsidR="00D87004">
        <w:rPr>
          <w:lang w:val="it-IT"/>
        </w:rPr>
        <w:t xml:space="preserve"> - </w:t>
      </w:r>
    </w:p>
    <w:p w:rsidR="006E4AE2" w:rsidRPr="00DE4580" w:rsidRDefault="00DE4580" w:rsidP="00DE4580">
      <w:pPr>
        <w:tabs>
          <w:tab w:val="left" w:pos="284"/>
        </w:tabs>
        <w:rPr>
          <w:lang w:val="it-IT"/>
        </w:rPr>
      </w:pPr>
      <w:r w:rsidRPr="00DE4580">
        <w:rPr>
          <w:lang w:val="it-IT"/>
        </w:rPr>
        <w:t>Guerra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Jelmini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Quadranti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-</w:t>
      </w:r>
      <w:r w:rsidR="00D87004">
        <w:rPr>
          <w:lang w:val="it-IT"/>
        </w:rPr>
        <w:t xml:space="preserve"> </w:t>
      </w:r>
      <w:r w:rsidRPr="00DE4580">
        <w:rPr>
          <w:lang w:val="it-IT"/>
        </w:rPr>
        <w:t>Sirica</w:t>
      </w:r>
      <w:bookmarkEnd w:id="2"/>
      <w:bookmarkEnd w:id="3"/>
    </w:p>
    <w:sectPr w:rsidR="006E4AE2" w:rsidRPr="00DE4580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CD" w:rsidRDefault="00C941CD" w:rsidP="008E77C6">
      <w:r>
        <w:separator/>
      </w:r>
    </w:p>
  </w:endnote>
  <w:endnote w:type="continuationSeparator" w:id="0">
    <w:p w:rsidR="00C941CD" w:rsidRDefault="00C941C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84739C" w:rsidRPr="0084739C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CD" w:rsidRDefault="00C941CD" w:rsidP="008E77C6">
      <w:r>
        <w:separator/>
      </w:r>
    </w:p>
  </w:footnote>
  <w:footnote w:type="continuationSeparator" w:id="0">
    <w:p w:rsidR="00C941CD" w:rsidRDefault="00C941CD" w:rsidP="008E77C6">
      <w:r>
        <w:continuationSeparator/>
      </w:r>
    </w:p>
  </w:footnote>
  <w:footnote w:id="1">
    <w:p w:rsidR="00C941CD" w:rsidRPr="00C11DC2" w:rsidRDefault="00C941CD" w:rsidP="00C941CD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>Legge tributaria del 21 giugno 1994, RL 640.100.</w:t>
      </w:r>
    </w:p>
  </w:footnote>
  <w:footnote w:id="2">
    <w:p w:rsidR="00C941CD" w:rsidRPr="00557C6F" w:rsidRDefault="00C941CD" w:rsidP="00C941CD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 xml:space="preserve">Allegato statistico del Rendiconto 2020 del Consiglio di Stato, Tabella </w:t>
      </w:r>
      <w:proofErr w:type="gramStart"/>
      <w:r>
        <w:rPr>
          <w:lang w:val="it-CH"/>
        </w:rPr>
        <w:t>7.T</w:t>
      </w:r>
      <w:proofErr w:type="gramEnd"/>
      <w:r>
        <w:rPr>
          <w:lang w:val="it-CH"/>
        </w:rPr>
        <w:t>47 “Imposte cantonali delle persone fisiche dal 2015 al 2019”, pagina 230.</w:t>
      </w:r>
    </w:p>
  </w:footnote>
  <w:footnote w:id="3">
    <w:p w:rsidR="00C941CD" w:rsidRPr="00765202" w:rsidRDefault="00C941CD" w:rsidP="00C941CD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 xml:space="preserve">Allegato statistico del Rendiconto 2020 del Consiglio di Stato, Tabella </w:t>
      </w:r>
      <w:proofErr w:type="gramStart"/>
      <w:r>
        <w:rPr>
          <w:lang w:val="it-CH"/>
        </w:rPr>
        <w:t>7.T</w:t>
      </w:r>
      <w:proofErr w:type="gramEnd"/>
      <w:r>
        <w:rPr>
          <w:lang w:val="it-CH"/>
        </w:rPr>
        <w:t>48 “Imposte cantonali delle persone giuridiche, dal 2016”, pagina 233.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B53B7"/>
    <w:multiLevelType w:val="hybridMultilevel"/>
    <w:tmpl w:val="9C30446C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69F1"/>
    <w:multiLevelType w:val="hybridMultilevel"/>
    <w:tmpl w:val="4190AF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5B6A"/>
    <w:multiLevelType w:val="hybridMultilevel"/>
    <w:tmpl w:val="976468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E68CE"/>
    <w:multiLevelType w:val="hybridMultilevel"/>
    <w:tmpl w:val="FE024962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B14F3C"/>
    <w:multiLevelType w:val="hybridMultilevel"/>
    <w:tmpl w:val="F03E3C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66572C"/>
    <w:multiLevelType w:val="hybridMultilevel"/>
    <w:tmpl w:val="4AC00C52"/>
    <w:lvl w:ilvl="0" w:tplc="572ED112">
      <w:start w:val="1"/>
      <w:numFmt w:val="upperRoman"/>
      <w:lvlText w:val="%1."/>
      <w:lvlJc w:val="left"/>
      <w:pPr>
        <w:ind w:left="1080" w:hanging="72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D"/>
    <w:rsid w:val="00076E70"/>
    <w:rsid w:val="001574D7"/>
    <w:rsid w:val="00260C8C"/>
    <w:rsid w:val="002677DC"/>
    <w:rsid w:val="002E5E40"/>
    <w:rsid w:val="0052425A"/>
    <w:rsid w:val="00586A8D"/>
    <w:rsid w:val="005B4207"/>
    <w:rsid w:val="006C17AA"/>
    <w:rsid w:val="006D7A3B"/>
    <w:rsid w:val="006E4AE2"/>
    <w:rsid w:val="007352D3"/>
    <w:rsid w:val="007B5462"/>
    <w:rsid w:val="008034BD"/>
    <w:rsid w:val="0084739C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14A01"/>
    <w:rsid w:val="00B257C1"/>
    <w:rsid w:val="00B50E69"/>
    <w:rsid w:val="00B860C2"/>
    <w:rsid w:val="00BC4C95"/>
    <w:rsid w:val="00BD5944"/>
    <w:rsid w:val="00C941CD"/>
    <w:rsid w:val="00CC59CF"/>
    <w:rsid w:val="00CF6858"/>
    <w:rsid w:val="00D377B5"/>
    <w:rsid w:val="00D87004"/>
    <w:rsid w:val="00D93B31"/>
    <w:rsid w:val="00DD3D60"/>
    <w:rsid w:val="00DE4580"/>
    <w:rsid w:val="00DE5307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A60255-A51A-4699-A465-871B395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D87004"/>
    <w:pPr>
      <w:keepNext/>
      <w:spacing w:after="120"/>
      <w:ind w:left="284" w:hanging="284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D87004"/>
    <w:rPr>
      <w:rFonts w:ascii="Arial" w:hAnsi="Arial"/>
      <w:b/>
      <w:sz w:val="24"/>
      <w:szCs w:val="22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C941CD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41CD"/>
    <w:rPr>
      <w:rFonts w:ascii="Arial" w:eastAsia="Times New Roman" w:hAnsi="Arial"/>
      <w:lang w:val="it-IT" w:eastAsia="it-IT"/>
    </w:rPr>
  </w:style>
  <w:style w:type="character" w:styleId="Rimandonotaapidipagina">
    <w:name w:val="footnote reference"/>
    <w:rsid w:val="00C94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5974-8A25-4640-82B9-A8BD231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9</cp:revision>
  <cp:lastPrinted>2021-10-06T09:08:00Z</cp:lastPrinted>
  <dcterms:created xsi:type="dcterms:W3CDTF">2021-10-05T14:29:00Z</dcterms:created>
  <dcterms:modified xsi:type="dcterms:W3CDTF">2021-10-06T09:11:00Z</dcterms:modified>
</cp:coreProperties>
</file>