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B2" w:rsidRDefault="006771B2" w:rsidP="006771B2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Pr="003B21A9" w:rsidRDefault="00B860C2" w:rsidP="00B860C2">
      <w:pPr>
        <w:rPr>
          <w:rFonts w:cs="Arial"/>
          <w:szCs w:val="24"/>
        </w:rPr>
      </w:pPr>
    </w:p>
    <w:p w:rsidR="00B860C2" w:rsidRPr="003B21A9" w:rsidRDefault="00B860C2" w:rsidP="00B860C2">
      <w:pPr>
        <w:rPr>
          <w:rFonts w:cs="Arial"/>
          <w:szCs w:val="24"/>
        </w:rPr>
      </w:pPr>
    </w:p>
    <w:p w:rsidR="00B860C2" w:rsidRPr="003B21A9" w:rsidRDefault="00834DE9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3B21A9">
        <w:rPr>
          <w:rFonts w:cs="Arial"/>
          <w:b/>
          <w:sz w:val="32"/>
          <w:szCs w:val="32"/>
        </w:rPr>
        <w:t>8051</w:t>
      </w:r>
      <w:r w:rsidR="00B860C2" w:rsidRPr="003B21A9">
        <w:rPr>
          <w:rFonts w:cs="Arial"/>
          <w:b/>
          <w:sz w:val="32"/>
          <w:szCs w:val="32"/>
        </w:rPr>
        <w:t xml:space="preserve"> R</w:t>
      </w:r>
      <w:r w:rsidR="00B860C2" w:rsidRPr="003B21A9">
        <w:rPr>
          <w:rFonts w:cs="Arial"/>
          <w:sz w:val="28"/>
          <w:szCs w:val="28"/>
        </w:rPr>
        <w:tab/>
      </w:r>
      <w:r w:rsidRPr="003B21A9">
        <w:rPr>
          <w:rFonts w:cs="Arial"/>
          <w:sz w:val="28"/>
          <w:szCs w:val="28"/>
        </w:rPr>
        <w:t>5 ottobre 2021</w:t>
      </w:r>
      <w:r w:rsidR="00B860C2" w:rsidRPr="003B21A9">
        <w:rPr>
          <w:rFonts w:cs="Arial"/>
          <w:sz w:val="28"/>
          <w:szCs w:val="28"/>
        </w:rPr>
        <w:tab/>
      </w:r>
      <w:r w:rsidRPr="003B21A9">
        <w:rPr>
          <w:sz w:val="28"/>
        </w:rPr>
        <w:t>FINANZE E ECONOMIA</w:t>
      </w:r>
    </w:p>
    <w:p w:rsidR="00B860C2" w:rsidRPr="003B21A9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Pr="003B21A9" w:rsidRDefault="00B860C2" w:rsidP="00B860C2">
      <w:pPr>
        <w:rPr>
          <w:rFonts w:cs="Arial"/>
          <w:szCs w:val="24"/>
        </w:rPr>
      </w:pPr>
    </w:p>
    <w:p w:rsidR="00B860C2" w:rsidRPr="003B21A9" w:rsidRDefault="00B860C2" w:rsidP="00B860C2">
      <w:pPr>
        <w:rPr>
          <w:rFonts w:cs="Arial"/>
          <w:szCs w:val="24"/>
        </w:rPr>
      </w:pPr>
    </w:p>
    <w:p w:rsidR="00B860C2" w:rsidRPr="003B21A9" w:rsidRDefault="00B860C2" w:rsidP="00B860C2">
      <w:pPr>
        <w:rPr>
          <w:rFonts w:cs="Arial"/>
          <w:b/>
          <w:sz w:val="28"/>
          <w:szCs w:val="28"/>
        </w:rPr>
      </w:pPr>
      <w:r w:rsidRPr="003B21A9">
        <w:rPr>
          <w:rFonts w:cs="Arial"/>
          <w:b/>
          <w:sz w:val="28"/>
          <w:szCs w:val="28"/>
        </w:rPr>
        <w:t>della Commissione gestione e finanze</w:t>
      </w:r>
    </w:p>
    <w:p w:rsidR="00834DE9" w:rsidRPr="003B21A9" w:rsidRDefault="00834DE9" w:rsidP="00834DE9">
      <w:pPr>
        <w:rPr>
          <w:rFonts w:cs="Arial"/>
          <w:b/>
          <w:sz w:val="28"/>
          <w:szCs w:val="28"/>
        </w:rPr>
      </w:pPr>
      <w:r w:rsidRPr="003B21A9">
        <w:rPr>
          <w:rFonts w:cs="Arial"/>
          <w:b/>
          <w:sz w:val="28"/>
          <w:szCs w:val="28"/>
        </w:rPr>
        <w:t>sul messaggio 1°</w:t>
      </w:r>
      <w:r w:rsidR="009E5884" w:rsidRPr="003B21A9">
        <w:rPr>
          <w:rFonts w:cs="Arial"/>
          <w:b/>
          <w:sz w:val="28"/>
          <w:szCs w:val="28"/>
        </w:rPr>
        <w:t xml:space="preserve"> </w:t>
      </w:r>
      <w:r w:rsidRPr="003B21A9">
        <w:rPr>
          <w:rFonts w:cs="Arial"/>
          <w:b/>
          <w:sz w:val="28"/>
          <w:szCs w:val="28"/>
        </w:rPr>
        <w:t>settembre 2021 c</w:t>
      </w:r>
      <w:r w:rsidR="009E5884" w:rsidRPr="003B21A9">
        <w:rPr>
          <w:rFonts w:cs="Arial"/>
          <w:b/>
          <w:sz w:val="28"/>
          <w:szCs w:val="28"/>
        </w:rPr>
        <w:t>oncernente</w:t>
      </w:r>
      <w:r w:rsidRPr="003B21A9">
        <w:rPr>
          <w:rFonts w:cs="Arial"/>
          <w:b/>
          <w:sz w:val="28"/>
          <w:szCs w:val="28"/>
        </w:rPr>
        <w:t xml:space="preserve"> la modifica della Legge tributaria del 21</w:t>
      </w:r>
      <w:r w:rsidR="009E5884" w:rsidRPr="003B21A9">
        <w:rPr>
          <w:rFonts w:cs="Arial"/>
          <w:b/>
          <w:sz w:val="28"/>
          <w:szCs w:val="28"/>
        </w:rPr>
        <w:t xml:space="preserve"> </w:t>
      </w:r>
      <w:r w:rsidRPr="003B21A9">
        <w:rPr>
          <w:rFonts w:cs="Arial"/>
          <w:b/>
          <w:sz w:val="28"/>
          <w:szCs w:val="28"/>
        </w:rPr>
        <w:t>giugno 1994 (LT) connessa agli adeguamenti della Legge tributaria alla Legge federale sull’armonizzazione delle imposte dirette dei Cantoni e dei Comuni (</w:t>
      </w:r>
      <w:proofErr w:type="spellStart"/>
      <w:r w:rsidRPr="003B21A9">
        <w:rPr>
          <w:rFonts w:cs="Arial"/>
          <w:b/>
          <w:sz w:val="28"/>
          <w:szCs w:val="28"/>
        </w:rPr>
        <w:t>LAID</w:t>
      </w:r>
      <w:proofErr w:type="spellEnd"/>
      <w:r w:rsidRPr="003B21A9">
        <w:rPr>
          <w:rFonts w:cs="Arial"/>
          <w:b/>
          <w:sz w:val="28"/>
          <w:szCs w:val="28"/>
        </w:rPr>
        <w:t>) in relazione al trattamento fiscale delle sanzioni finanziarie, nonché alla modifica di altre disposizioni cantonali</w:t>
      </w:r>
    </w:p>
    <w:p w:rsidR="00B860C2" w:rsidRPr="003B21A9" w:rsidRDefault="00B860C2" w:rsidP="00B860C2">
      <w:pPr>
        <w:rPr>
          <w:rFonts w:cs="Arial"/>
          <w:szCs w:val="24"/>
        </w:rPr>
      </w:pPr>
    </w:p>
    <w:p w:rsidR="00B860C2" w:rsidRPr="003B21A9" w:rsidRDefault="00B860C2" w:rsidP="00B860C2">
      <w:pPr>
        <w:rPr>
          <w:rFonts w:cs="Arial"/>
          <w:szCs w:val="24"/>
        </w:rPr>
      </w:pPr>
    </w:p>
    <w:p w:rsidR="00B860C2" w:rsidRPr="003B21A9" w:rsidRDefault="00B860C2" w:rsidP="00B860C2">
      <w:pPr>
        <w:rPr>
          <w:rFonts w:cs="Arial"/>
          <w:szCs w:val="24"/>
        </w:rPr>
      </w:pPr>
    </w:p>
    <w:p w:rsidR="00834DE9" w:rsidRPr="003B21A9" w:rsidRDefault="00834DE9" w:rsidP="00834DE9">
      <w:pPr>
        <w:pStyle w:val="Titolo1"/>
        <w:rPr>
          <w:lang w:val="it-CH"/>
        </w:rPr>
      </w:pPr>
      <w:r w:rsidRPr="003B21A9">
        <w:rPr>
          <w:lang w:val="it-CH"/>
        </w:rPr>
        <w:t>i.</w:t>
      </w:r>
      <w:r w:rsidRPr="003B21A9">
        <w:rPr>
          <w:lang w:val="it-CH"/>
        </w:rPr>
        <w:tab/>
        <w:t>VISIONE D’INSIEME</w:t>
      </w:r>
    </w:p>
    <w:p w:rsidR="00834DE9" w:rsidRPr="003B21A9" w:rsidRDefault="00834DE9" w:rsidP="009E5884">
      <w:pPr>
        <w:spacing w:after="20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Il messaggio in analisi propone di adeguare la LT</w:t>
      </w:r>
      <w:r w:rsidRPr="003B21A9">
        <w:rPr>
          <w:rFonts w:eastAsia="Times New Roman"/>
          <w:szCs w:val="20"/>
          <w:vertAlign w:val="superscript"/>
          <w:lang w:eastAsia="it-IT"/>
        </w:rPr>
        <w:footnoteReference w:id="1"/>
      </w:r>
      <w:r w:rsidRPr="003B21A9">
        <w:rPr>
          <w:rFonts w:eastAsia="Times New Roman"/>
          <w:szCs w:val="20"/>
          <w:lang w:eastAsia="it-IT"/>
        </w:rPr>
        <w:t xml:space="preserve"> a valle di alcune modifiche della </w:t>
      </w:r>
      <w:proofErr w:type="spellStart"/>
      <w:r w:rsidRPr="003B21A9">
        <w:rPr>
          <w:rFonts w:eastAsia="Times New Roman"/>
          <w:szCs w:val="20"/>
          <w:lang w:eastAsia="it-IT"/>
        </w:rPr>
        <w:t>LAID</w:t>
      </w:r>
      <w:proofErr w:type="spellEnd"/>
      <w:r w:rsidRPr="003B21A9">
        <w:rPr>
          <w:rFonts w:eastAsia="Times New Roman"/>
          <w:szCs w:val="20"/>
          <w:vertAlign w:val="superscript"/>
          <w:lang w:eastAsia="it-IT"/>
        </w:rPr>
        <w:footnoteReference w:id="2"/>
      </w:r>
      <w:r w:rsidRPr="003B21A9">
        <w:rPr>
          <w:rFonts w:eastAsia="Times New Roman"/>
          <w:szCs w:val="20"/>
          <w:lang w:eastAsia="it-IT"/>
        </w:rPr>
        <w:t xml:space="preserve"> nonché di adattare alcuni disposti a novità amministrative e procedurali. Inoltre, il messaggio propone alcune correzioni formali e lo stralcio redazionale di disposizioni transitorie relativi a periodi fiscali oggetto di prescrizione assoluta.</w:t>
      </w:r>
    </w:p>
    <w:p w:rsidR="00834DE9" w:rsidRPr="003B21A9" w:rsidRDefault="00834DE9" w:rsidP="009E5884">
      <w:pPr>
        <w:spacing w:after="12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Le modifiche proposte riguardano i seguenti articoli di legge:</w:t>
      </w:r>
    </w:p>
    <w:p w:rsidR="00834DE9" w:rsidRPr="003B21A9" w:rsidRDefault="00834DE9" w:rsidP="00834DE9">
      <w:pPr>
        <w:numPr>
          <w:ilvl w:val="0"/>
          <w:numId w:val="13"/>
        </w:numPr>
        <w:spacing w:before="120"/>
        <w:ind w:left="426" w:hanging="426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 xml:space="preserve">adeguamento della LT alla </w:t>
      </w:r>
      <w:proofErr w:type="spellStart"/>
      <w:r w:rsidRPr="003B21A9">
        <w:rPr>
          <w:rFonts w:eastAsia="Times New Roman"/>
          <w:szCs w:val="20"/>
          <w:lang w:eastAsia="it-IT"/>
        </w:rPr>
        <w:t>LAID</w:t>
      </w:r>
      <w:proofErr w:type="spellEnd"/>
      <w:r w:rsidRPr="003B21A9">
        <w:rPr>
          <w:rFonts w:eastAsia="Times New Roman"/>
          <w:szCs w:val="20"/>
          <w:lang w:eastAsia="it-IT"/>
        </w:rPr>
        <w:t xml:space="preserve"> e alla </w:t>
      </w:r>
      <w:proofErr w:type="spellStart"/>
      <w:r w:rsidRPr="003B21A9">
        <w:rPr>
          <w:rFonts w:eastAsia="Times New Roman"/>
          <w:szCs w:val="20"/>
          <w:lang w:eastAsia="it-IT"/>
        </w:rPr>
        <w:t>LIFD</w:t>
      </w:r>
      <w:proofErr w:type="spellEnd"/>
      <w:r w:rsidRPr="003B21A9">
        <w:rPr>
          <w:rFonts w:eastAsia="Times New Roman"/>
          <w:szCs w:val="20"/>
          <w:vertAlign w:val="superscript"/>
          <w:lang w:eastAsia="it-IT"/>
        </w:rPr>
        <w:footnoteReference w:id="3"/>
      </w:r>
      <w:r w:rsidRPr="003B21A9">
        <w:rPr>
          <w:rFonts w:eastAsia="Times New Roman"/>
          <w:szCs w:val="20"/>
          <w:lang w:eastAsia="it-IT"/>
        </w:rPr>
        <w:t xml:space="preserve"> in relazione alla Legge federale sul trattamento fiscale delle sanzioni finanziarie:</w:t>
      </w:r>
    </w:p>
    <w:p w:rsidR="00834DE9" w:rsidRPr="003B21A9" w:rsidRDefault="00834DE9" w:rsidP="00916BCE">
      <w:pPr>
        <w:numPr>
          <w:ilvl w:val="1"/>
          <w:numId w:val="13"/>
        </w:numPr>
        <w:spacing w:before="60"/>
        <w:ind w:left="709" w:hanging="284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diversi capoversi dell’</w:t>
      </w:r>
      <w:r w:rsidRPr="003B21A9">
        <w:rPr>
          <w:rFonts w:eastAsia="Times New Roman"/>
          <w:b/>
          <w:bCs/>
          <w:szCs w:val="20"/>
          <w:lang w:eastAsia="it-IT"/>
        </w:rPr>
        <w:t>art.</w:t>
      </w:r>
      <w:r w:rsidR="009E5884" w:rsidRPr="003B21A9">
        <w:rPr>
          <w:rFonts w:eastAsia="Times New Roman"/>
          <w:b/>
          <w:bCs/>
          <w:szCs w:val="20"/>
          <w:lang w:eastAsia="it-IT"/>
        </w:rPr>
        <w:t xml:space="preserve"> </w:t>
      </w:r>
      <w:r w:rsidRPr="003B21A9">
        <w:rPr>
          <w:rFonts w:eastAsia="Times New Roman"/>
          <w:b/>
          <w:bCs/>
          <w:szCs w:val="20"/>
          <w:lang w:eastAsia="it-IT"/>
        </w:rPr>
        <w:t>26 LT</w:t>
      </w:r>
      <w:r w:rsidRPr="003B21A9">
        <w:rPr>
          <w:rFonts w:eastAsia="Times New Roman"/>
          <w:szCs w:val="20"/>
          <w:lang w:eastAsia="it-IT"/>
        </w:rPr>
        <w:t xml:space="preserve"> (persone fisiche);</w:t>
      </w:r>
    </w:p>
    <w:p w:rsidR="00834DE9" w:rsidRPr="003B21A9" w:rsidRDefault="00834DE9" w:rsidP="00916BCE">
      <w:pPr>
        <w:numPr>
          <w:ilvl w:val="1"/>
          <w:numId w:val="13"/>
        </w:numPr>
        <w:spacing w:before="60" w:after="120"/>
        <w:ind w:left="567" w:hanging="142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diversi capoversi dell’</w:t>
      </w:r>
      <w:r w:rsidRPr="003B21A9">
        <w:rPr>
          <w:rFonts w:eastAsia="Times New Roman"/>
          <w:b/>
          <w:bCs/>
          <w:szCs w:val="20"/>
          <w:lang w:eastAsia="it-IT"/>
        </w:rPr>
        <w:t>art.</w:t>
      </w:r>
      <w:r w:rsidR="009E5884" w:rsidRPr="003B21A9">
        <w:rPr>
          <w:rFonts w:eastAsia="Times New Roman"/>
          <w:b/>
          <w:bCs/>
          <w:szCs w:val="20"/>
          <w:lang w:eastAsia="it-IT"/>
        </w:rPr>
        <w:t xml:space="preserve"> </w:t>
      </w:r>
      <w:r w:rsidRPr="003B21A9">
        <w:rPr>
          <w:rFonts w:eastAsia="Times New Roman"/>
          <w:b/>
          <w:bCs/>
          <w:szCs w:val="20"/>
          <w:lang w:eastAsia="it-IT"/>
        </w:rPr>
        <w:t>68 LT</w:t>
      </w:r>
      <w:r w:rsidRPr="003B21A9">
        <w:rPr>
          <w:rFonts w:eastAsia="Times New Roman"/>
          <w:szCs w:val="20"/>
          <w:lang w:eastAsia="it-IT"/>
        </w:rPr>
        <w:t xml:space="preserve"> (persone giuridiche);</w:t>
      </w:r>
    </w:p>
    <w:p w:rsidR="00834DE9" w:rsidRPr="003B21A9" w:rsidRDefault="00834DE9" w:rsidP="00834DE9">
      <w:pPr>
        <w:numPr>
          <w:ilvl w:val="0"/>
          <w:numId w:val="13"/>
        </w:numPr>
        <w:spacing w:before="120"/>
        <w:ind w:left="426" w:hanging="426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notifica degli estremi bancari o postali per i riversamenti e conseguenze in caso di non ottemperanza (</w:t>
      </w:r>
      <w:r w:rsidRPr="003B21A9">
        <w:rPr>
          <w:rFonts w:eastAsia="Times New Roman"/>
          <w:b/>
          <w:bCs/>
          <w:szCs w:val="20"/>
          <w:lang w:eastAsia="it-IT"/>
        </w:rPr>
        <w:t>art.</w:t>
      </w:r>
      <w:r w:rsidR="009E5884" w:rsidRPr="003B21A9">
        <w:rPr>
          <w:rFonts w:eastAsia="Times New Roman"/>
          <w:b/>
          <w:bCs/>
          <w:szCs w:val="20"/>
          <w:lang w:eastAsia="it-IT"/>
        </w:rPr>
        <w:t xml:space="preserve"> </w:t>
      </w:r>
      <w:r w:rsidRPr="003B21A9">
        <w:rPr>
          <w:rFonts w:eastAsia="Times New Roman"/>
          <w:b/>
          <w:bCs/>
          <w:szCs w:val="20"/>
          <w:lang w:eastAsia="it-IT"/>
        </w:rPr>
        <w:t>241 cpv.</w:t>
      </w:r>
      <w:r w:rsidR="009E5884" w:rsidRPr="003B21A9">
        <w:rPr>
          <w:rFonts w:eastAsia="Times New Roman"/>
          <w:b/>
          <w:bCs/>
          <w:szCs w:val="20"/>
          <w:lang w:eastAsia="it-IT"/>
        </w:rPr>
        <w:t xml:space="preserve"> </w:t>
      </w:r>
      <w:r w:rsidRPr="003B21A9">
        <w:rPr>
          <w:rFonts w:eastAsia="Times New Roman"/>
          <w:b/>
          <w:bCs/>
          <w:szCs w:val="20"/>
          <w:lang w:eastAsia="it-IT"/>
        </w:rPr>
        <w:t>4 e 4</w:t>
      </w:r>
      <w:r w:rsidRPr="003B21A9">
        <w:rPr>
          <w:rFonts w:eastAsia="Times New Roman"/>
          <w:b/>
          <w:bCs/>
          <w:szCs w:val="20"/>
          <w:vertAlign w:val="superscript"/>
          <w:lang w:eastAsia="it-IT"/>
        </w:rPr>
        <w:t>bis</w:t>
      </w:r>
      <w:r w:rsidRPr="003B21A9">
        <w:rPr>
          <w:rFonts w:eastAsia="Times New Roman"/>
          <w:b/>
          <w:bCs/>
          <w:szCs w:val="20"/>
          <w:lang w:eastAsia="it-IT"/>
        </w:rPr>
        <w:t xml:space="preserve"> LT</w:t>
      </w:r>
      <w:r w:rsidRPr="003B21A9">
        <w:rPr>
          <w:rFonts w:eastAsia="Times New Roman"/>
          <w:szCs w:val="20"/>
          <w:lang w:eastAsia="it-IT"/>
        </w:rPr>
        <w:t>);</w:t>
      </w:r>
    </w:p>
    <w:p w:rsidR="00834DE9" w:rsidRPr="003B21A9" w:rsidRDefault="00834DE9" w:rsidP="00834DE9">
      <w:pPr>
        <w:numPr>
          <w:ilvl w:val="0"/>
          <w:numId w:val="13"/>
        </w:numPr>
        <w:spacing w:before="120"/>
        <w:ind w:left="426" w:hanging="426"/>
        <w:rPr>
          <w:rFonts w:eastAsia="Times New Roman" w:cs="Arial"/>
          <w:lang w:eastAsia="it-IT"/>
        </w:rPr>
      </w:pPr>
      <w:r w:rsidRPr="003B21A9">
        <w:rPr>
          <w:rFonts w:eastAsia="Times New Roman" w:cs="Arial"/>
          <w:lang w:eastAsia="it-IT"/>
        </w:rPr>
        <w:t>introduzione dell’obbligo, per le persone giuridiche, di compilare i moduli della dichiarazione fiscale in formato elettronico, stampare, firmare e inoltrare solo il modulo del codice a barre e gli allegati (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198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</w:t>
      </w:r>
      <w:r w:rsidRPr="003B21A9">
        <w:rPr>
          <w:rFonts w:eastAsia="Times New Roman" w:cs="Arial"/>
          <w:b/>
          <w:bCs/>
          <w:vertAlign w:val="superscript"/>
          <w:lang w:eastAsia="it-IT"/>
        </w:rPr>
        <w:t>bis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);</w:t>
      </w:r>
    </w:p>
    <w:p w:rsidR="00834DE9" w:rsidRPr="003B21A9" w:rsidRDefault="00834DE9" w:rsidP="00916BCE">
      <w:pPr>
        <w:numPr>
          <w:ilvl w:val="0"/>
          <w:numId w:val="13"/>
        </w:numPr>
        <w:spacing w:before="120"/>
        <w:ind w:left="426" w:hanging="426"/>
        <w:rPr>
          <w:rFonts w:eastAsia="Times New Roman"/>
          <w:szCs w:val="20"/>
          <w:lang w:eastAsia="it-IT"/>
        </w:rPr>
      </w:pPr>
      <w:r w:rsidRPr="003B21A9">
        <w:rPr>
          <w:rFonts w:eastAsia="Times New Roman" w:cs="Arial"/>
          <w:lang w:eastAsia="it-IT"/>
        </w:rPr>
        <w:t>introduzione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una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norma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relativa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alla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responsabilità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solidale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per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le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persone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incaricate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dell’amministrazione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e/o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liquidazione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un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socio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partecipante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una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società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semplice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(ad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es.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consorzio)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ad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altre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società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persone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(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12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lett.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b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64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4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)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allineamento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12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lett.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d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concetto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64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(quest’ultimo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soggetto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ad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una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minima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modifica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redazionale);</w:t>
      </w:r>
    </w:p>
    <w:p w:rsidR="00834DE9" w:rsidRPr="003B21A9" w:rsidRDefault="00834DE9" w:rsidP="009E5884">
      <w:pPr>
        <w:numPr>
          <w:ilvl w:val="0"/>
          <w:numId w:val="13"/>
        </w:numPr>
        <w:spacing w:before="120"/>
        <w:ind w:left="426" w:hanging="426"/>
        <w:rPr>
          <w:rFonts w:eastAsia="Times New Roman"/>
          <w:szCs w:val="20"/>
          <w:lang w:eastAsia="it-IT"/>
        </w:rPr>
      </w:pPr>
      <w:r w:rsidRPr="003B21A9">
        <w:rPr>
          <w:rFonts w:eastAsia="Times New Roman" w:cs="Arial"/>
          <w:lang w:eastAsia="it-IT"/>
        </w:rPr>
        <w:t>stralcio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271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relativo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requisito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legale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segnalazione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parte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dell’autorità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fiscale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come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condizione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per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l’apertura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un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procedimento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penale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per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delitti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fiscali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(riformulazione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271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allineamento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alla</w:t>
      </w:r>
      <w:r w:rsidR="009E5884" w:rsidRPr="003B21A9">
        <w:rPr>
          <w:rFonts w:eastAsia="Times New Roman" w:cs="Arial"/>
          <w:lang w:eastAsia="it-IT"/>
        </w:rPr>
        <w:t xml:space="preserve"> </w:t>
      </w:r>
      <w:proofErr w:type="spellStart"/>
      <w:r w:rsidRPr="003B21A9">
        <w:rPr>
          <w:rFonts w:eastAsia="Times New Roman" w:cs="Arial"/>
          <w:lang w:eastAsia="it-IT"/>
        </w:rPr>
        <w:t>LIFD</w:t>
      </w:r>
      <w:proofErr w:type="spellEnd"/>
      <w:r w:rsidRPr="003B21A9">
        <w:rPr>
          <w:rFonts w:eastAsia="Times New Roman" w:cs="Arial"/>
          <w:lang w:eastAsia="it-IT"/>
        </w:rPr>
        <w:t>);</w:t>
      </w:r>
    </w:p>
    <w:p w:rsidR="00834DE9" w:rsidRPr="003B21A9" w:rsidRDefault="00834DE9" w:rsidP="009E5884">
      <w:pPr>
        <w:numPr>
          <w:ilvl w:val="0"/>
          <w:numId w:val="13"/>
        </w:numPr>
        <w:spacing w:before="120"/>
        <w:ind w:left="426" w:hanging="426"/>
        <w:rPr>
          <w:rFonts w:eastAsia="Times New Roman"/>
          <w:szCs w:val="20"/>
          <w:lang w:eastAsia="it-IT"/>
        </w:rPr>
      </w:pPr>
      <w:r w:rsidRPr="003B21A9">
        <w:rPr>
          <w:rFonts w:eastAsia="Times New Roman" w:cs="Arial"/>
          <w:lang w:eastAsia="it-IT"/>
        </w:rPr>
        <w:t>correzioni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formali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20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24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dell’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240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cpv.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1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;</w:t>
      </w:r>
    </w:p>
    <w:p w:rsidR="00834DE9" w:rsidRPr="003B21A9" w:rsidRDefault="00834DE9" w:rsidP="009E5884">
      <w:pPr>
        <w:numPr>
          <w:ilvl w:val="0"/>
          <w:numId w:val="13"/>
        </w:numPr>
        <w:spacing w:before="120"/>
        <w:ind w:left="426" w:hanging="426"/>
        <w:rPr>
          <w:rFonts w:eastAsia="Times New Roman"/>
          <w:szCs w:val="20"/>
          <w:lang w:eastAsia="it-IT"/>
        </w:rPr>
      </w:pPr>
      <w:r w:rsidRPr="003B21A9">
        <w:rPr>
          <w:rFonts w:eastAsia="Times New Roman" w:cs="Arial"/>
          <w:lang w:eastAsia="it-IT"/>
        </w:rPr>
        <w:lastRenderedPageBreak/>
        <w:t>stralcio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disposizioni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transitorie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non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più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necessarie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nella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LT,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specificatamente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gli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301–302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303–308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309–309c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310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312–314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,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317–319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nonché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tutto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il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capitolo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VII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consistente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lang w:eastAsia="it-IT"/>
        </w:rPr>
        <w:t>degli</w:t>
      </w:r>
      <w:r w:rsidR="009E5884" w:rsidRPr="003B21A9">
        <w:rPr>
          <w:rFonts w:eastAsia="Times New Roman" w:cs="Arial"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artt.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21a–321i</w:t>
      </w:r>
      <w:r w:rsidR="009E5884" w:rsidRPr="003B21A9">
        <w:rPr>
          <w:rFonts w:eastAsia="Times New Roman" w:cs="Arial"/>
          <w:b/>
          <w:bCs/>
          <w:lang w:eastAsia="it-IT"/>
        </w:rPr>
        <w:t xml:space="preserve"> </w:t>
      </w:r>
      <w:r w:rsidRPr="003B21A9">
        <w:rPr>
          <w:rFonts w:eastAsia="Times New Roman" w:cs="Arial"/>
          <w:b/>
          <w:bCs/>
          <w:lang w:eastAsia="it-IT"/>
        </w:rPr>
        <w:t>LT</w:t>
      </w:r>
      <w:r w:rsidRPr="003B21A9">
        <w:rPr>
          <w:rFonts w:eastAsia="Times New Roman" w:cs="Arial"/>
          <w:lang w:eastAsia="it-IT"/>
        </w:rPr>
        <w:t>.</w:t>
      </w:r>
    </w:p>
    <w:p w:rsidR="00834DE9" w:rsidRPr="003B21A9" w:rsidRDefault="00834DE9" w:rsidP="00834DE9">
      <w:pPr>
        <w:rPr>
          <w:lang w:eastAsia="it-IT"/>
        </w:rPr>
      </w:pPr>
    </w:p>
    <w:p w:rsidR="00834DE9" w:rsidRPr="003B21A9" w:rsidRDefault="00834DE9" w:rsidP="00834DE9">
      <w:pPr>
        <w:rPr>
          <w:lang w:eastAsia="it-IT"/>
        </w:rPr>
      </w:pPr>
    </w:p>
    <w:p w:rsidR="00916BCE" w:rsidRPr="003B21A9" w:rsidRDefault="00916BCE" w:rsidP="00834DE9">
      <w:pPr>
        <w:rPr>
          <w:lang w:eastAsia="it-IT"/>
        </w:rPr>
      </w:pPr>
    </w:p>
    <w:p w:rsidR="00834DE9" w:rsidRPr="003B21A9" w:rsidRDefault="00834DE9" w:rsidP="00834DE9">
      <w:pPr>
        <w:pStyle w:val="Titolo1"/>
        <w:ind w:left="567" w:hanging="567"/>
        <w:rPr>
          <w:lang w:val="it-CH"/>
        </w:rPr>
      </w:pPr>
      <w:r w:rsidRPr="003B21A9">
        <w:rPr>
          <w:lang w:val="it-CH"/>
        </w:rPr>
        <w:t>ii.</w:t>
      </w:r>
      <w:r w:rsidRPr="003B21A9">
        <w:rPr>
          <w:lang w:val="it-CH"/>
        </w:rPr>
        <w:tab/>
        <w:t>COMPARATIVO</w:t>
      </w:r>
      <w:r w:rsidR="009E5884" w:rsidRPr="003B21A9">
        <w:rPr>
          <w:lang w:val="it-CH"/>
        </w:rPr>
        <w:t xml:space="preserve"> </w:t>
      </w:r>
      <w:r w:rsidRPr="003B21A9">
        <w:rPr>
          <w:lang w:val="it-CH"/>
        </w:rPr>
        <w:t>DELLE</w:t>
      </w:r>
      <w:r w:rsidR="009E5884" w:rsidRPr="003B21A9">
        <w:rPr>
          <w:lang w:val="it-CH"/>
        </w:rPr>
        <w:t xml:space="preserve"> </w:t>
      </w:r>
      <w:r w:rsidRPr="003B21A9">
        <w:rPr>
          <w:lang w:val="it-CH"/>
        </w:rPr>
        <w:t>MODIFICHE</w:t>
      </w:r>
      <w:r w:rsidR="009E5884" w:rsidRPr="003B21A9">
        <w:rPr>
          <w:lang w:val="it-CH"/>
        </w:rPr>
        <w:t xml:space="preserve"> </w:t>
      </w:r>
      <w:r w:rsidRPr="003B21A9">
        <w:rPr>
          <w:lang w:val="it-CH"/>
        </w:rPr>
        <w:t>PROPOSTE</w:t>
      </w:r>
      <w:r w:rsidR="009E5884" w:rsidRPr="003B21A9">
        <w:rPr>
          <w:lang w:val="it-CH"/>
        </w:rPr>
        <w:t xml:space="preserve"> </w:t>
      </w:r>
      <w:r w:rsidRPr="003B21A9">
        <w:rPr>
          <w:lang w:val="it-CH"/>
        </w:rPr>
        <w:t>E</w:t>
      </w:r>
      <w:r w:rsidR="009E5884" w:rsidRPr="003B21A9">
        <w:rPr>
          <w:lang w:val="it-CH"/>
        </w:rPr>
        <w:t xml:space="preserve"> </w:t>
      </w:r>
      <w:r w:rsidRPr="003B21A9">
        <w:rPr>
          <w:lang w:val="it-CH"/>
        </w:rPr>
        <w:t>APPROFONDIMENTI</w:t>
      </w:r>
      <w:r w:rsidR="009E5884" w:rsidRPr="003B21A9">
        <w:rPr>
          <w:lang w:val="it-CH"/>
        </w:rPr>
        <w:t xml:space="preserve"> </w:t>
      </w:r>
      <w:r w:rsidRPr="003B21A9">
        <w:rPr>
          <w:lang w:val="it-CH"/>
        </w:rPr>
        <w:t>COMMISSIONALI</w:t>
      </w:r>
    </w:p>
    <w:p w:rsidR="00834DE9" w:rsidRPr="003B21A9" w:rsidRDefault="00834DE9" w:rsidP="00834DE9">
      <w:pPr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confronta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ogni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articolo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oggetto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testo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attuale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quello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proposto,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evidenziando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rosso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differenze.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motivazioni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Consiglio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Stato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sono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pure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succintamente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riassunte.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rimanda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generale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messaggio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quanto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attiene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dettaglio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nonché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eventuali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precisazioni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dell’interpretazione.</w:t>
      </w:r>
    </w:p>
    <w:p w:rsidR="00834DE9" w:rsidRPr="003B21A9" w:rsidRDefault="00834DE9" w:rsidP="00834DE9">
      <w:pPr>
        <w:rPr>
          <w:rFonts w:eastAsia="Times New Roman"/>
          <w:i/>
          <w:iCs/>
          <w:szCs w:val="20"/>
          <w:lang w:eastAsia="it-IT"/>
        </w:rPr>
      </w:pPr>
    </w:p>
    <w:p w:rsidR="00834DE9" w:rsidRPr="003B21A9" w:rsidRDefault="00834DE9" w:rsidP="00834DE9">
      <w:pPr>
        <w:rPr>
          <w:rFonts w:eastAsia="Times New Roman"/>
          <w:i/>
          <w:iCs/>
          <w:szCs w:val="20"/>
          <w:lang w:eastAsia="it-IT"/>
        </w:rPr>
      </w:pPr>
    </w:p>
    <w:p w:rsidR="00834DE9" w:rsidRPr="003B21A9" w:rsidRDefault="00834DE9" w:rsidP="00834DE9">
      <w:pPr>
        <w:pStyle w:val="Titolo2"/>
        <w:rPr>
          <w:lang w:val="it-CH"/>
        </w:rPr>
      </w:pPr>
      <w:r w:rsidRPr="003B21A9">
        <w:rPr>
          <w:lang w:val="it-CH"/>
        </w:rPr>
        <w:t>1.</w:t>
      </w:r>
      <w:r w:rsidRPr="003B21A9">
        <w:rPr>
          <w:lang w:val="it-CH"/>
        </w:rPr>
        <w:tab/>
      </w:r>
      <w:r w:rsidR="00224429" w:rsidRPr="003B21A9">
        <w:rPr>
          <w:lang w:val="it-CH"/>
        </w:rPr>
        <w:t>DEDUCIBILITÀ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FISCALE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RISTRETTA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DI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MULTE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E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SANZIONI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trovano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origine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negli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adattamenti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LIFD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LAID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entreranno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vigore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1°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gennaio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2022.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motivazioni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possono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essere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riassunte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.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e,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d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Attualmente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ex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(ex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sz w:val="20"/>
                <w:szCs w:val="20"/>
                <w:lang w:eastAsia="it-IT"/>
              </w:rPr>
              <w:t>lege</w:t>
            </w:r>
            <w:proofErr w:type="spellEnd"/>
            <w:r w:rsidRPr="003B21A9">
              <w:rPr>
                <w:sz w:val="20"/>
                <w:szCs w:val="20"/>
                <w:lang w:eastAsia="it-IT"/>
              </w:rPr>
              <w:t>: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prassi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esplicita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merito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deducibilità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multe,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pene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penale,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sebbene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questi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costi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già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oggi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base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principio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secondo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spesa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essere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deducibile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deve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essere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finalizzata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conseguimento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utile</w:t>
            </w:r>
            <w:r w:rsidR="004418D2">
              <w:rPr>
                <w:rFonts w:eastAsia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Introduzione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sancisce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esplicitamente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comminate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né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né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dovrebbe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comportare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significative.</w:t>
            </w:r>
          </w:p>
        </w:tc>
      </w:tr>
    </w:tbl>
    <w:p w:rsidR="00834DE9" w:rsidRPr="003B21A9" w:rsidRDefault="00834DE9" w:rsidP="00224429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4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4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jc w:val="left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normativa.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Introduzione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un’eccezione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principio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queste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comminate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violino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l’ordine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4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4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indipendente)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sz w:val="20"/>
                <w:szCs w:val="20"/>
                <w:lang w:eastAsia="it-IT"/>
              </w:rPr>
              <w:t>N.B</w:t>
            </w:r>
            <w:proofErr w:type="spellEnd"/>
            <w:r w:rsidRPr="003B21A9">
              <w:rPr>
                <w:sz w:val="20"/>
                <w:szCs w:val="20"/>
                <w:lang w:eastAsia="it-IT"/>
              </w:rPr>
              <w:t>: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l’applicazione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avverrà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maniera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molto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restrittiva.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dovrebbe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comportare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significative</w:t>
            </w:r>
            <w:r w:rsidR="004418D2">
              <w:rPr>
                <w:rFonts w:eastAsia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532A09" w:rsidRPr="003B21A9" w:rsidRDefault="00532A09" w:rsidP="00224429">
      <w:pPr>
        <w:rPr>
          <w:rFonts w:eastAsia="Times New Roman"/>
          <w:sz w:val="20"/>
          <w:szCs w:val="20"/>
          <w:lang w:eastAsia="it-IT"/>
        </w:rPr>
      </w:pPr>
    </w:p>
    <w:p w:rsidR="00532A09" w:rsidRPr="003B21A9" w:rsidRDefault="00532A09">
      <w:pPr>
        <w:jc w:val="left"/>
        <w:rPr>
          <w:rFonts w:eastAsia="Times New Roman"/>
          <w:sz w:val="20"/>
          <w:szCs w:val="20"/>
          <w:lang w:eastAsia="it-IT"/>
        </w:rPr>
      </w:pPr>
      <w:r w:rsidRPr="003B21A9">
        <w:rPr>
          <w:rFonts w:eastAsia="Times New Roman"/>
          <w:sz w:val="20"/>
          <w:szCs w:val="20"/>
          <w:lang w:eastAsia="it-IT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f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f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base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dottrina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giurisprudenza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incidono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sull’utile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rivestono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attualmente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Introduzione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rivestono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esista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nesso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causalità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l’utile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conseguito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pertanto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commerciale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indipendente).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dovrebbe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comportare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significative</w:t>
            </w:r>
            <w:r w:rsidR="004418D2">
              <w:rPr>
                <w:rFonts w:eastAsia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834DE9" w:rsidRPr="003B21A9" w:rsidRDefault="00834DE9" w:rsidP="00224429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Attualmente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ufficiali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né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né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mentre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privati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Ritenuta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modifica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legislativa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1°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luglio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2016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ambito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privati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punibile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assenza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requisito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distorsione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rapporti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concorrenza,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rende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necessaria,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ossequio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principio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dell’unità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dell’ordinamento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l’introduzione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privati.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indipendente).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dovrebbe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comportare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significative</w:t>
            </w:r>
            <w:r w:rsidR="004418D2">
              <w:rPr>
                <w:rFonts w:eastAsia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834DE9" w:rsidRPr="003B21A9" w:rsidRDefault="00834DE9" w:rsidP="00224429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b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b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normativa.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Introduzione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connesse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possibili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costituiscono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controprestazione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perpetrazione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68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indipendente).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potrà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nesso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causalità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soltanto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base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sentenza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cresciuta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giudicato.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dovrebbe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comportare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ripercussioni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significative</w:t>
            </w:r>
            <w:r w:rsidR="004418D2">
              <w:rPr>
                <w:rFonts w:eastAsia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532A09" w:rsidRPr="003B21A9" w:rsidRDefault="00532A09" w:rsidP="00532A0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532A09">
      <w:pPr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quanto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attiene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fisiche,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tenore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nuovo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27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LIFD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nuovo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10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LAID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sarà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seguente.</w:t>
      </w:r>
    </w:p>
    <w:p w:rsidR="00532A09" w:rsidRPr="003B21A9" w:rsidRDefault="00532A09" w:rsidP="00532A09">
      <w:pPr>
        <w:rPr>
          <w:rFonts w:eastAsia="Times New Roman"/>
          <w:szCs w:val="20"/>
          <w:lang w:eastAsia="it-IT"/>
        </w:rPr>
      </w:pPr>
    </w:p>
    <w:p w:rsidR="00532A09" w:rsidRPr="003B21A9" w:rsidRDefault="00532A09">
      <w:pPr>
        <w:jc w:val="left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2"/>
                <w:lang w:eastAsia="it-IT"/>
              </w:rPr>
            </w:pPr>
            <w:proofErr w:type="spellStart"/>
            <w:r w:rsidRPr="003B21A9">
              <w:rPr>
                <w:b/>
                <w:bCs/>
                <w:color w:val="FFFFFF"/>
                <w:sz w:val="22"/>
                <w:lang w:eastAsia="it-IT"/>
              </w:rPr>
              <w:t>LIFD</w:t>
            </w:r>
            <w:proofErr w:type="spellEnd"/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2"/>
                <w:lang w:eastAsia="it-IT"/>
              </w:rPr>
            </w:pPr>
            <w:proofErr w:type="spellStart"/>
            <w:r w:rsidRPr="003B21A9">
              <w:rPr>
                <w:b/>
                <w:bCs/>
                <w:color w:val="FFFFFF"/>
                <w:sz w:val="22"/>
                <w:lang w:eastAsia="it-IT"/>
              </w:rPr>
              <w:t>LAID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sz w:val="20"/>
                <w:szCs w:val="20"/>
                <w:lang w:eastAsia="it-IT"/>
              </w:rPr>
              <w:t>Sezione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3: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indipendente</w:t>
            </w:r>
          </w:p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27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3B21A9" w:rsidRPr="003B21A9">
              <w:rPr>
                <w:b/>
                <w:bCs/>
                <w:sz w:val="20"/>
                <w:szCs w:val="20"/>
                <w:lang w:eastAsia="it-IT"/>
              </w:rPr>
              <w:t xml:space="preserve">-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generale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indipendente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aziendali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pro­fessionali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giustificate.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segnatamente: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sz w:val="20"/>
                <w:szCs w:val="20"/>
                <w:lang w:eastAsia="it-IT"/>
              </w:rPr>
              <w:t>a.-e</w:t>
            </w:r>
            <w:proofErr w:type="spellEnd"/>
            <w:r w:rsidRPr="003B21A9">
              <w:rPr>
                <w:sz w:val="20"/>
                <w:szCs w:val="20"/>
                <w:lang w:eastAsia="it-IT"/>
              </w:rPr>
              <w:t>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[tralasciati];</w:t>
            </w:r>
          </w:p>
          <w:p w:rsidR="00834DE9" w:rsidRPr="003B21A9" w:rsidRDefault="00834DE9" w:rsidP="003B21A9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f.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prelievo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dell’utile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illecito,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segnatamente: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versamenti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sensi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diritto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possibili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costituiscono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controprestazione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commissione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reati;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c.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d.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penale.71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4</w:t>
            </w:r>
            <w:r w:rsidRPr="003B21A9">
              <w:rPr>
                <w:sz w:val="20"/>
                <w:szCs w:val="20"/>
                <w:lang w:eastAsia="it-IT"/>
              </w:rPr>
              <w:t>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pronunciate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estere,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ca­poverso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se: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all’ordine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dimostra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plausibile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aver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intrapreso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tutto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poteva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ragionevolmente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pretendere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conformarsi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legge</w:t>
            </w:r>
            <w:r w:rsidR="003B21A9" w:rsidRPr="003B21A9">
              <w:rPr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10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Attività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lucrativa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indipendente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segnatamente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dedotti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titolo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commerciale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professionale:68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a.-f.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[tralasciati;]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g.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prelievo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dell’utile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illecito,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1bis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segnatamente: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versamenti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sensi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diritto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possibili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costituiscono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controprestazione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commissione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reati;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c.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d.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1ter</w:t>
            </w:r>
            <w:r w:rsidRPr="003B21A9">
              <w:rPr>
                <w:sz w:val="20"/>
                <w:szCs w:val="20"/>
                <w:lang w:eastAsia="it-IT"/>
              </w:rPr>
              <w:t>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pronunciate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estere,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</w:t>
            </w:r>
            <w:r w:rsidRPr="003B21A9">
              <w:rPr>
                <w:sz w:val="20"/>
                <w:szCs w:val="20"/>
                <w:vertAlign w:val="superscript"/>
                <w:lang w:eastAsia="it-IT"/>
              </w:rPr>
              <w:t>bis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="003B21A9" w:rsidRPr="003B21A9">
              <w:rPr>
                <w:sz w:val="20"/>
                <w:szCs w:val="20"/>
                <w:lang w:eastAsia="it-IT"/>
              </w:rPr>
              <w:br/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se: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all’ordine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dimostra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plausibile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aver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intrapreso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tutto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poteva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ragionevolmente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pretendere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conformarsi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legge.</w:t>
            </w:r>
          </w:p>
        </w:tc>
      </w:tr>
    </w:tbl>
    <w:p w:rsidR="00834DE9" w:rsidRPr="003B21A9" w:rsidRDefault="00834DE9" w:rsidP="0022442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Coerentemente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previsti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due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suddette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leggi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federali,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emendare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cantonale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834DE9" w:rsidRPr="003B21A9" w:rsidRDefault="00834DE9" w:rsidP="003B21A9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26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lett.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f)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(nuova)</w:t>
            </w:r>
          </w:p>
          <w:p w:rsidR="003B21A9" w:rsidRPr="003B21A9" w:rsidRDefault="003B21A9" w:rsidP="003B21A9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3B21A9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attività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lucrativa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indipendente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deducibili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spese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aziendali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professionali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giustificate.</w:t>
            </w:r>
          </w:p>
          <w:p w:rsidR="00532A09" w:rsidRPr="003B21A9" w:rsidRDefault="00532A09" w:rsidP="003B21A9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3B21A9">
            <w:pPr>
              <w:spacing w:after="120"/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segnatamente:</w:t>
            </w:r>
          </w:p>
          <w:p w:rsidR="00834DE9" w:rsidRPr="003B21A9" w:rsidRDefault="00834DE9" w:rsidP="003B21A9">
            <w:pPr>
              <w:ind w:left="391" w:right="215" w:hanging="391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f)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ab/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sanzioni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finalizzate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prelievo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dell’utile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illecito,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nella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misura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abbiano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carattere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penale.</w:t>
            </w:r>
          </w:p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2A09" w:rsidRPr="003B21A9" w:rsidRDefault="00532A09"/>
    <w:p w:rsidR="00532A09" w:rsidRPr="003B21A9" w:rsidRDefault="00532A09">
      <w:pPr>
        <w:jc w:val="left"/>
      </w:pPr>
      <w:r w:rsidRPr="003B21A9"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16BCE">
        <w:tc>
          <w:tcPr>
            <w:tcW w:w="4814" w:type="dxa"/>
          </w:tcPr>
          <w:p w:rsidR="00834DE9" w:rsidRPr="003B21A9" w:rsidRDefault="00834DE9" w:rsidP="00532A09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26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3</w:t>
            </w:r>
          </w:p>
          <w:p w:rsidR="00834DE9" w:rsidRPr="003B21A9" w:rsidRDefault="00834DE9" w:rsidP="00532A09">
            <w:pPr>
              <w:ind w:left="391" w:right="215" w:hanging="391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532A09">
            <w:pPr>
              <w:spacing w:after="120"/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21A9">
              <w:rPr>
                <w:rFonts w:cs="Arial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deducibili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versamenti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retribuzioni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corruttive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sensi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diritto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penale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svizzero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fatti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pubblici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ufficiali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svizzeri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stranieri.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26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3</w:t>
            </w:r>
          </w:p>
          <w:p w:rsidR="00834DE9" w:rsidRPr="003B21A9" w:rsidRDefault="00834DE9" w:rsidP="00916BCE">
            <w:pPr>
              <w:ind w:left="391" w:right="215" w:hanging="391"/>
              <w:jc w:val="left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3B21A9">
            <w:pPr>
              <w:spacing w:after="120"/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21A9">
              <w:rPr>
                <w:rFonts w:cs="Arial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deducibili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segnatamente:</w:t>
            </w:r>
          </w:p>
          <w:p w:rsidR="00834DE9" w:rsidRPr="003B21A9" w:rsidRDefault="00834DE9" w:rsidP="00532A09">
            <w:pPr>
              <w:numPr>
                <w:ilvl w:val="0"/>
                <w:numId w:val="14"/>
              </w:numPr>
              <w:spacing w:before="120" w:after="120"/>
              <w:ind w:left="393" w:right="215" w:hanging="42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versamenti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retribuzioni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corruttive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sensi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diritto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penale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svizzero;</w:t>
            </w:r>
          </w:p>
          <w:p w:rsidR="00834DE9" w:rsidRPr="003B21A9" w:rsidRDefault="00834DE9" w:rsidP="00532A09">
            <w:pPr>
              <w:numPr>
                <w:ilvl w:val="0"/>
                <w:numId w:val="14"/>
              </w:numPr>
              <w:spacing w:before="120" w:after="120"/>
              <w:ind w:left="393" w:right="215" w:hanging="42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spese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finalizzate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rendere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possibili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reati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che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costituiscono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controprestazione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commissione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reati;</w:t>
            </w:r>
          </w:p>
          <w:p w:rsidR="00834DE9" w:rsidRPr="003B21A9" w:rsidRDefault="00834DE9" w:rsidP="00532A09">
            <w:pPr>
              <w:numPr>
                <w:ilvl w:val="0"/>
                <w:numId w:val="14"/>
              </w:numPr>
              <w:spacing w:before="120" w:after="120"/>
              <w:ind w:left="393" w:right="215" w:hanging="42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multe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pecuniarie;</w:t>
            </w:r>
          </w:p>
          <w:p w:rsidR="00834DE9" w:rsidRPr="003B21A9" w:rsidRDefault="00834DE9" w:rsidP="00532A09">
            <w:pPr>
              <w:numPr>
                <w:ilvl w:val="0"/>
                <w:numId w:val="14"/>
              </w:numPr>
              <w:spacing w:before="120"/>
              <w:ind w:left="391" w:right="215" w:hanging="425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sanzioni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pecuniarie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amministrative,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nella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misura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abbiano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carattere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penale.</w:t>
            </w:r>
          </w:p>
          <w:p w:rsidR="00532A09" w:rsidRPr="003B21A9" w:rsidRDefault="00532A09" w:rsidP="00532A09">
            <w:pPr>
              <w:ind w:left="391" w:right="215"/>
              <w:jc w:val="left"/>
              <w:rPr>
                <w:sz w:val="20"/>
                <w:szCs w:val="20"/>
                <w:lang w:eastAsia="it-IT"/>
              </w:rPr>
            </w:pP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2"/>
              </w:rPr>
              <w:t>Art.</w:t>
            </w:r>
            <w:r w:rsidR="009E5884" w:rsidRPr="003B21A9">
              <w:rPr>
                <w:rFonts w:cs="Arial"/>
                <w:b/>
                <w:sz w:val="22"/>
              </w:rPr>
              <w:t xml:space="preserve"> </w:t>
            </w:r>
            <w:r w:rsidRPr="003B21A9">
              <w:rPr>
                <w:rFonts w:cs="Arial"/>
                <w:b/>
                <w:sz w:val="22"/>
              </w:rPr>
              <w:t>26</w:t>
            </w:r>
            <w:r w:rsidR="009E5884" w:rsidRPr="003B21A9">
              <w:rPr>
                <w:rFonts w:cs="Arial"/>
                <w:b/>
                <w:sz w:val="22"/>
              </w:rPr>
              <w:t xml:space="preserve"> </w:t>
            </w:r>
            <w:r w:rsidRPr="003B21A9">
              <w:rPr>
                <w:rFonts w:cs="Arial"/>
                <w:b/>
                <w:sz w:val="22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4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(nuovo)</w:t>
            </w:r>
          </w:p>
          <w:p w:rsidR="00834DE9" w:rsidRPr="003B21A9" w:rsidRDefault="00834DE9" w:rsidP="00532A09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532A09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pronunciate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autorità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penali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amministrative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estere,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sanzioni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capoverso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3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lettere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deducibili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se:</w:t>
            </w:r>
          </w:p>
          <w:p w:rsidR="00834DE9" w:rsidRPr="003B21A9" w:rsidRDefault="00834DE9" w:rsidP="00532A09">
            <w:pPr>
              <w:numPr>
                <w:ilvl w:val="0"/>
                <w:numId w:val="15"/>
              </w:numPr>
              <w:spacing w:before="120" w:after="120"/>
              <w:ind w:left="391" w:right="215" w:hanging="391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contrarie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all’ordine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pubblico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svizzero;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</w:p>
          <w:p w:rsidR="00834DE9" w:rsidRPr="003B21A9" w:rsidRDefault="00834DE9" w:rsidP="00532A09">
            <w:pPr>
              <w:numPr>
                <w:ilvl w:val="0"/>
                <w:numId w:val="15"/>
              </w:numPr>
              <w:ind w:left="391" w:right="215" w:hanging="391"/>
              <w:rPr>
                <w:lang w:eastAsia="it-IT"/>
              </w:rPr>
            </w:pP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contribuente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dimostra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modo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plausibile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aver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intrapreso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tutto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quanto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poteva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ragionevolmente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pretendere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conformarsi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legge.</w:t>
            </w:r>
          </w:p>
          <w:p w:rsidR="00532A09" w:rsidRPr="003B21A9" w:rsidRDefault="00532A09" w:rsidP="00532A09">
            <w:pPr>
              <w:ind w:left="391" w:right="215"/>
              <w:jc w:val="left"/>
              <w:rPr>
                <w:lang w:eastAsia="it-IT"/>
              </w:rPr>
            </w:pPr>
          </w:p>
        </w:tc>
      </w:tr>
    </w:tbl>
    <w:p w:rsidR="00834DE9" w:rsidRPr="003B21A9" w:rsidRDefault="00834DE9" w:rsidP="0022442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quanto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attiene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fisiche,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tenore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nuovo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27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LIFD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nuovo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10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LAID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sarà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seguente.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LIFD</w:t>
            </w:r>
            <w:proofErr w:type="spellEnd"/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LAID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b/>
                <w:bCs/>
                <w:sz w:val="20"/>
                <w:szCs w:val="20"/>
                <w:lang w:eastAsia="it-IT"/>
              </w:rPr>
              <w:t>LIFD</w:t>
            </w:r>
            <w:proofErr w:type="spellEnd"/>
          </w:p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59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Oneri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giustificati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commerciale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oneri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commerciale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comprendono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anche: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federali,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comunali;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sz w:val="20"/>
                <w:szCs w:val="20"/>
                <w:lang w:eastAsia="it-IT"/>
              </w:rPr>
              <w:t>b.-e</w:t>
            </w:r>
            <w:proofErr w:type="spellEnd"/>
            <w:r w:rsidRPr="003B21A9">
              <w:rPr>
                <w:sz w:val="20"/>
                <w:szCs w:val="20"/>
                <w:lang w:eastAsia="it-IT"/>
              </w:rPr>
              <w:t>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[tralasciati];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f.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prelievo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dell’utile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illecito,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oneri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commerciale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comprendono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segnatamente: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versamenti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sensi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diritto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possibili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costituiscono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controprestazione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commissione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reati;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c.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d.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pronunciate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estere,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se: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all’ordine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dimostra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plausibile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aver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intrapreso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tutto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poteva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ragionevolmente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pretendere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conformarsi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legge.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b/>
                <w:bCs/>
                <w:sz w:val="20"/>
                <w:szCs w:val="20"/>
                <w:lang w:eastAsia="it-IT"/>
              </w:rPr>
              <w:t>LAID</w:t>
            </w:r>
            <w:proofErr w:type="spellEnd"/>
          </w:p>
          <w:p w:rsidR="00834DE9" w:rsidRPr="003B21A9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25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Oneri</w:t>
            </w: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oneri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commerciale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comprendono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anche: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federali,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comunali;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proofErr w:type="spellStart"/>
            <w:r w:rsidRPr="003B21A9">
              <w:rPr>
                <w:sz w:val="20"/>
                <w:szCs w:val="20"/>
                <w:lang w:eastAsia="it-IT"/>
              </w:rPr>
              <w:t>b.-e</w:t>
            </w:r>
            <w:proofErr w:type="spellEnd"/>
            <w:r w:rsidRPr="003B21A9">
              <w:rPr>
                <w:sz w:val="20"/>
                <w:szCs w:val="20"/>
                <w:lang w:eastAsia="it-IT"/>
              </w:rPr>
              <w:t>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[tralasciati];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f.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prelievo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dell’utile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illecito,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1bis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oneri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giustificati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dall’uso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commerciale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comprendono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segnatamente: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versamenti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corruttive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sensi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diritto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finalizzate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possibili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costituiscono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controprestazione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commissione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reati;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c.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multe;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d.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pecuniarie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misura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carattere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penale.130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1ter</w:t>
            </w:r>
            <w:r w:rsidRPr="003B21A9">
              <w:rPr>
                <w:sz w:val="20"/>
                <w:szCs w:val="20"/>
                <w:lang w:eastAsia="it-IT"/>
              </w:rPr>
              <w:t>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pronunciate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estere,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sanzioni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1bis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deducibili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se:</w:t>
            </w:r>
          </w:p>
          <w:p w:rsidR="00834DE9" w:rsidRPr="003B21A9" w:rsidRDefault="00834DE9" w:rsidP="00532A0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contrarie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all’ordine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svizzero;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b.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dimostra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plausibile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aver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intrapreso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tutto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poteva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ragionevolmente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pretendere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conformarsi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legge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2-4</w:t>
            </w:r>
            <w:r w:rsidRPr="003B21A9">
              <w:rPr>
                <w:sz w:val="20"/>
                <w:szCs w:val="20"/>
                <w:lang w:eastAsia="it-IT"/>
              </w:rPr>
              <w:t>[tralasciati]</w:t>
            </w:r>
          </w:p>
        </w:tc>
      </w:tr>
    </w:tbl>
    <w:p w:rsidR="00834DE9" w:rsidRPr="003B21A9" w:rsidRDefault="00834DE9" w:rsidP="0022442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Anche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giuridiche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coerentemente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previsti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due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suddette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leggi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federali,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emendare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cantonale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color w:val="FFFFFF"/>
                <w:sz w:val="22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4"/>
              <w:contextualSpacing/>
              <w:jc w:val="left"/>
              <w:rPr>
                <w:rFonts w:cs="Arial"/>
                <w:b/>
                <w:color w:val="FFFFFF"/>
                <w:sz w:val="22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68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1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lett.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a)</w:t>
            </w: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3B21A9">
              <w:rPr>
                <w:rFonts w:cs="Arial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oneri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giustificati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dall’uso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commerciale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comprendono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anche:</w:t>
            </w:r>
          </w:p>
          <w:p w:rsidR="00834DE9" w:rsidRPr="003B21A9" w:rsidRDefault="00834DE9" w:rsidP="00916BCE">
            <w:pPr>
              <w:numPr>
                <w:ilvl w:val="0"/>
                <w:numId w:val="16"/>
              </w:numPr>
              <w:spacing w:before="120"/>
              <w:ind w:left="391" w:right="215" w:hanging="391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federali,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comunali;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ma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multe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fiscali;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68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1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lett.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a)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f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(nuova)</w:t>
            </w: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3B21A9">
              <w:rPr>
                <w:rFonts w:cs="Arial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oneri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giustificati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dall’uso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commerciale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comprendono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anche:</w:t>
            </w:r>
          </w:p>
          <w:p w:rsidR="00834DE9" w:rsidRPr="003B21A9" w:rsidRDefault="00834DE9" w:rsidP="00916BCE">
            <w:pPr>
              <w:numPr>
                <w:ilvl w:val="0"/>
                <w:numId w:val="20"/>
              </w:numPr>
              <w:spacing w:before="120"/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federali,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comunali;</w:t>
            </w:r>
          </w:p>
          <w:p w:rsidR="00834DE9" w:rsidRPr="003B21A9" w:rsidRDefault="00834DE9" w:rsidP="00916BCE">
            <w:pPr>
              <w:numPr>
                <w:ilvl w:val="0"/>
                <w:numId w:val="17"/>
              </w:numPr>
              <w:spacing w:before="120"/>
              <w:ind w:left="391" w:right="215" w:hanging="391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sanzioni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finalizzate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prelievo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dell’utile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illecito,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misura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abbiano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carattere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penale.</w:t>
            </w:r>
          </w:p>
          <w:p w:rsidR="00834DE9" w:rsidRPr="003B21A9" w:rsidRDefault="00834DE9" w:rsidP="00532A09">
            <w:pPr>
              <w:rPr>
                <w:sz w:val="20"/>
                <w:szCs w:val="20"/>
                <w:lang w:eastAsia="it-IT"/>
              </w:rPr>
            </w:pP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68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</w:t>
            </w: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3B21A9">
              <w:rPr>
                <w:rFonts w:cs="Arial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oneri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giustificati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dall’uso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commerciale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comprendono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versamenti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retribuzioni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corruttive</w:t>
            </w: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ai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sensi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diritto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penale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svizzero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fatti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pubblici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ufficiali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svizzeri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stranieri.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68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</w:t>
            </w: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3B21A9">
              <w:rPr>
                <w:rFonts w:cs="Arial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oneri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giustificati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dall’uso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commerciale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comprendono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segnatamente:</w:t>
            </w:r>
          </w:p>
          <w:p w:rsidR="00834DE9" w:rsidRPr="003B21A9" w:rsidRDefault="00834DE9" w:rsidP="00916BCE">
            <w:pPr>
              <w:numPr>
                <w:ilvl w:val="0"/>
                <w:numId w:val="18"/>
              </w:numPr>
              <w:spacing w:before="120"/>
              <w:ind w:left="391" w:right="215" w:hanging="42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versamenti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retribuzioni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corruttive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sensi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diritto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penale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svizzero;</w:t>
            </w:r>
          </w:p>
          <w:p w:rsidR="00834DE9" w:rsidRPr="003B21A9" w:rsidRDefault="00834DE9" w:rsidP="00916BCE">
            <w:pPr>
              <w:numPr>
                <w:ilvl w:val="0"/>
                <w:numId w:val="18"/>
              </w:numPr>
              <w:spacing w:before="120"/>
              <w:ind w:left="391" w:right="215" w:hanging="42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spese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finalizzate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rendere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possibili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reati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che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costituiscono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controprestazione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commissione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reati;</w:t>
            </w:r>
          </w:p>
          <w:p w:rsidR="00834DE9" w:rsidRPr="003B21A9" w:rsidRDefault="00834DE9" w:rsidP="00916BCE">
            <w:pPr>
              <w:numPr>
                <w:ilvl w:val="0"/>
                <w:numId w:val="18"/>
              </w:numPr>
              <w:spacing w:before="120" w:after="120"/>
              <w:ind w:left="391" w:right="215" w:hanging="42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multe;</w:t>
            </w:r>
          </w:p>
          <w:p w:rsidR="00834DE9" w:rsidRPr="003B21A9" w:rsidRDefault="00834DE9" w:rsidP="00916BCE">
            <w:pPr>
              <w:numPr>
                <w:ilvl w:val="0"/>
                <w:numId w:val="18"/>
              </w:numPr>
              <w:ind w:left="391" w:right="215" w:hanging="42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sanzioni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pecuniarie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amministrative,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nella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misura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abbiano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carattere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penale.</w:t>
            </w:r>
          </w:p>
          <w:p w:rsidR="00834DE9" w:rsidRPr="003B21A9" w:rsidRDefault="00834DE9" w:rsidP="00532A09">
            <w:pPr>
              <w:rPr>
                <w:sz w:val="20"/>
                <w:szCs w:val="20"/>
                <w:lang w:eastAsia="it-IT"/>
              </w:rPr>
            </w:pP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2"/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4"/>
              <w:contextualSpacing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68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3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(nuovo)</w:t>
            </w: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4"/>
              <w:contextualSpacing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pronunciate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autorità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penali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amministrative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estere,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sanzioni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capoverso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2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lettere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deducibili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se:</w:t>
            </w:r>
          </w:p>
          <w:p w:rsidR="00834DE9" w:rsidRPr="003B21A9" w:rsidRDefault="00834DE9" w:rsidP="00916BCE">
            <w:pPr>
              <w:numPr>
                <w:ilvl w:val="0"/>
                <w:numId w:val="19"/>
              </w:numPr>
              <w:spacing w:before="120" w:after="120"/>
              <w:ind w:left="391" w:right="215" w:hanging="391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contrarie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all’ordine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pubblico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svizzero;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</w:p>
          <w:p w:rsidR="00834DE9" w:rsidRPr="003B21A9" w:rsidRDefault="00834DE9" w:rsidP="00916BCE">
            <w:pPr>
              <w:numPr>
                <w:ilvl w:val="0"/>
                <w:numId w:val="19"/>
              </w:numPr>
              <w:spacing w:before="120"/>
              <w:ind w:left="391" w:right="215" w:hanging="391"/>
              <w:contextualSpacing/>
              <w:rPr>
                <w:sz w:val="22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contribuente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dimostra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modo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plausibile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aver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intrapreso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tutto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quanto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poteva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ragionevolmente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pretendere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conformarsi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legge.</w:t>
            </w:r>
          </w:p>
        </w:tc>
      </w:tr>
    </w:tbl>
    <w:p w:rsidR="00834DE9" w:rsidRPr="003B21A9" w:rsidRDefault="00834DE9" w:rsidP="00834DE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pStyle w:val="Titolo2"/>
        <w:rPr>
          <w:lang w:val="it-CH"/>
        </w:rPr>
      </w:pPr>
      <w:r w:rsidRPr="003B21A9">
        <w:rPr>
          <w:lang w:val="it-CH"/>
        </w:rPr>
        <w:t>2.</w:t>
      </w:r>
      <w:r w:rsidRPr="003B21A9">
        <w:rPr>
          <w:lang w:val="it-CH"/>
        </w:rPr>
        <w:tab/>
      </w:r>
      <w:r w:rsidR="00224429" w:rsidRPr="003B21A9">
        <w:rPr>
          <w:lang w:val="it-CH"/>
        </w:rPr>
        <w:t>ESTREMI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BANCARI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O</w:t>
      </w:r>
      <w:r w:rsidR="009E5884" w:rsidRPr="003B21A9">
        <w:rPr>
          <w:lang w:val="it-CH"/>
        </w:rPr>
        <w:t xml:space="preserve"> </w:t>
      </w:r>
      <w:r w:rsidR="00224429" w:rsidRPr="003B21A9">
        <w:rPr>
          <w:lang w:val="it-CH"/>
        </w:rPr>
        <w:t>POSTALI</w:t>
      </w:r>
      <w:r w:rsidR="009E5884" w:rsidRPr="003B21A9">
        <w:rPr>
          <w:lang w:val="it-CH"/>
        </w:rPr>
        <w:t xml:space="preserve"> 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Consiglio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Stato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desidera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avere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facoltà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richiedere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–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giuridica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–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fornire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bancario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postale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ove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l’autorità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possa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restituire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eventuali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eccedenze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d’imposta.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intende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facilitare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procedura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amministrativa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ridurre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connessi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rimborsi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tramite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assegno.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caso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mancata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comunicazione,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l’autorità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accrediterà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l’importo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equivalente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partita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contribuente.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comporta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ripercussioni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finanziarie.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2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2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241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4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l’importo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riscosso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insufficiente,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chiesta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differenza;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l’eccedenza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rimborsata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d’ufficio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interesse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rimunerativo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fissato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Consiglio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Stato.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L’autorità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riscossione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emette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relativi</w:t>
            </w:r>
          </w:p>
          <w:p w:rsidR="00834DE9" w:rsidRPr="003B21A9" w:rsidRDefault="00834DE9" w:rsidP="003B21A9">
            <w:pPr>
              <w:ind w:right="215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</w:rPr>
              <w:t>conteggi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definitivi.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241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4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l’importo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riscosso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insufficiente,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chiesta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differenza.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vi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un’eccedenza,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questa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rimborsata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interesse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rimunerativo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fissato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Consiglio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Stato.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L’autorità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riscossione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emette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relativi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conteggi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definitivi.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Resta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riservata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facoltà,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nei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limiti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legali,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effettuare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compensazioni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altre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scadute</w:t>
            </w:r>
            <w:r w:rsidRPr="003B21A9">
              <w:rPr>
                <w:rFonts w:cs="Arial"/>
                <w:sz w:val="20"/>
                <w:szCs w:val="20"/>
              </w:rPr>
              <w:t>.</w:t>
            </w:r>
          </w:p>
          <w:p w:rsidR="00834DE9" w:rsidRPr="003B21A9" w:rsidRDefault="00834DE9" w:rsidP="00916BCE">
            <w:pPr>
              <w:ind w:right="215"/>
              <w:rPr>
                <w:sz w:val="20"/>
                <w:szCs w:val="20"/>
                <w:lang w:eastAsia="it-IT"/>
              </w:rPr>
            </w:pP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2"/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5"/>
              <w:rPr>
                <w:rFonts w:cs="Arial"/>
                <w:b/>
                <w:sz w:val="22"/>
              </w:rPr>
            </w:pPr>
            <w:r w:rsidRPr="003B21A9">
              <w:rPr>
                <w:rFonts w:cs="Arial"/>
                <w:b/>
                <w:sz w:val="22"/>
              </w:rPr>
              <w:t>Art.</w:t>
            </w:r>
            <w:r w:rsidR="009E5884" w:rsidRPr="003B21A9">
              <w:rPr>
                <w:rFonts w:cs="Arial"/>
                <w:b/>
                <w:sz w:val="22"/>
              </w:rPr>
              <w:t xml:space="preserve"> </w:t>
            </w:r>
            <w:r w:rsidRPr="003B21A9">
              <w:rPr>
                <w:rFonts w:cs="Arial"/>
                <w:b/>
                <w:sz w:val="22"/>
              </w:rPr>
              <w:t>241</w:t>
            </w:r>
            <w:r w:rsidR="009E5884" w:rsidRPr="003B21A9">
              <w:rPr>
                <w:rFonts w:cs="Arial"/>
                <w:b/>
                <w:sz w:val="22"/>
              </w:rPr>
              <w:t xml:space="preserve"> </w:t>
            </w:r>
            <w:r w:rsidRPr="003B21A9">
              <w:rPr>
                <w:rFonts w:cs="Arial"/>
                <w:b/>
                <w:sz w:val="22"/>
              </w:rPr>
              <w:t>cpv.</w:t>
            </w:r>
            <w:r w:rsidR="009E5884" w:rsidRPr="003B21A9">
              <w:rPr>
                <w:rFonts w:cs="Arial"/>
                <w:b/>
                <w:sz w:val="22"/>
              </w:rPr>
              <w:t xml:space="preserve"> </w:t>
            </w:r>
            <w:r w:rsidRPr="003B21A9">
              <w:rPr>
                <w:rFonts w:cs="Arial"/>
                <w:b/>
                <w:sz w:val="22"/>
              </w:rPr>
              <w:t>4</w:t>
            </w:r>
            <w:r w:rsidRPr="003B21A9">
              <w:rPr>
                <w:rFonts w:cs="Arial"/>
                <w:b/>
                <w:sz w:val="22"/>
                <w:vertAlign w:val="superscript"/>
              </w:rPr>
              <w:t>bis</w:t>
            </w:r>
            <w:r w:rsidR="009E5884" w:rsidRPr="003B21A9">
              <w:rPr>
                <w:rFonts w:cs="Arial"/>
                <w:b/>
                <w:sz w:val="22"/>
              </w:rPr>
              <w:t xml:space="preserve"> </w:t>
            </w:r>
            <w:r w:rsidRPr="003B21A9">
              <w:rPr>
                <w:rFonts w:cs="Arial"/>
                <w:b/>
                <w:sz w:val="22"/>
              </w:rPr>
              <w:t>(nuovo)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5"/>
              <w:rPr>
                <w:rFonts w:cs="Arial"/>
                <w:sz w:val="22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4bis</w:t>
            </w: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contribuente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deve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fornire,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domanda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ed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entro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termini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stabiliti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dall’autorità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fiscale,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bancario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postale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ove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quest’ultima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possa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restituire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eccedenze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d’imposta.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contribue</w:t>
            </w:r>
            <w:r w:rsidRPr="003B21A9">
              <w:rPr>
                <w:rFonts w:cs="Arial"/>
                <w:sz w:val="22"/>
              </w:rPr>
              <w:t>nte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non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indica,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entro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termini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stabiliti,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alcun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conto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bancario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postale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restituzioni,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l’autorità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riscossione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può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accreditare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eventuali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eccedenze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sulla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partita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fiscale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del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contribuente.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2"/>
              </w:rPr>
            </w:pPr>
          </w:p>
        </w:tc>
      </w:tr>
    </w:tbl>
    <w:p w:rsidR="00834DE9" w:rsidRDefault="00834DE9" w:rsidP="003B21A9">
      <w:pPr>
        <w:rPr>
          <w:rFonts w:eastAsia="Times New Roman"/>
          <w:szCs w:val="20"/>
          <w:lang w:eastAsia="it-IT"/>
        </w:rPr>
      </w:pPr>
    </w:p>
    <w:p w:rsidR="003B21A9" w:rsidRPr="003B21A9" w:rsidRDefault="003B21A9" w:rsidP="003B21A9">
      <w:pPr>
        <w:rPr>
          <w:rFonts w:eastAsia="Times New Roman"/>
          <w:szCs w:val="20"/>
          <w:lang w:eastAsia="it-IT"/>
        </w:rPr>
      </w:pPr>
    </w:p>
    <w:p w:rsidR="00834DE9" w:rsidRPr="003B21A9" w:rsidRDefault="00224429" w:rsidP="00224429">
      <w:pPr>
        <w:keepNext/>
        <w:tabs>
          <w:tab w:val="left" w:pos="567"/>
        </w:tabs>
        <w:spacing w:after="120"/>
        <w:outlineLvl w:val="0"/>
        <w:rPr>
          <w:rFonts w:eastAsia="Times New Roman"/>
          <w:b/>
          <w:caps/>
          <w:szCs w:val="24"/>
          <w:lang w:eastAsia="it-IT"/>
        </w:rPr>
      </w:pPr>
      <w:r w:rsidRPr="003B21A9">
        <w:rPr>
          <w:rFonts w:eastAsia="Times New Roman"/>
          <w:b/>
          <w:caps/>
          <w:szCs w:val="24"/>
          <w:lang w:eastAsia="it-IT"/>
        </w:rPr>
        <w:t>3.</w:t>
      </w:r>
      <w:r w:rsidRPr="003B21A9">
        <w:rPr>
          <w:rFonts w:eastAsia="Times New Roman"/>
          <w:b/>
          <w:caps/>
          <w:szCs w:val="24"/>
          <w:lang w:eastAsia="it-IT"/>
        </w:rPr>
        <w:tab/>
      </w:r>
      <w:r w:rsidR="00834DE9" w:rsidRPr="003B21A9">
        <w:rPr>
          <w:rFonts w:eastAsia="Times New Roman"/>
          <w:b/>
          <w:caps/>
          <w:szCs w:val="24"/>
          <w:lang w:eastAsia="it-IT"/>
        </w:rPr>
        <w:t>Dichiarazione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fiscale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elettronica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per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le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persone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giuridiche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Consiglio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Stato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l’introduzione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norma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prevede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l’obbligo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giuridiche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compilare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dichiarazione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d’imposta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formato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elettronico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tramite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l’applicativo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eTax</w:t>
      </w:r>
      <w:proofErr w:type="spellEnd"/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PG</w:t>
      </w:r>
      <w:proofErr w:type="spellEnd"/>
      <w:r w:rsidRPr="003B21A9">
        <w:rPr>
          <w:rFonts w:eastAsia="Times New Roman"/>
          <w:szCs w:val="20"/>
          <w:lang w:eastAsia="it-IT"/>
        </w:rPr>
        <w:t>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nuova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norma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(nuovo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198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cpv.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</w:t>
      </w:r>
      <w:r w:rsidRPr="003B21A9">
        <w:rPr>
          <w:rFonts w:eastAsia="Times New Roman"/>
          <w:szCs w:val="20"/>
          <w:vertAlign w:val="superscript"/>
          <w:lang w:eastAsia="it-IT"/>
        </w:rPr>
        <w:t>bis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LT)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permette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ottimizzare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processi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lavoro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evitando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dover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riportare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manualmente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contenuti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supporto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cartaceo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sistema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informatico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ridurre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l’invio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documenti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cartacei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parte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contribuente,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dovrà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limitarsi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trasmettere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foglio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trasmissione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debitamente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firmato.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stima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dell’eventuale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risparmio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finanziario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è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prematura.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Commissione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gestione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finanze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condivide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richiedere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giuridiche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l’allestimento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dichiarazione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i/>
          <w:iCs/>
          <w:szCs w:val="20"/>
          <w:lang w:eastAsia="it-IT"/>
        </w:rPr>
        <w:t>software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(messo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gratuitamente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disposizione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Divisione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contribuzioni,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anni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è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caso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software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proofErr w:type="spellStart"/>
      <w:r w:rsidRPr="003B21A9">
        <w:rPr>
          <w:rFonts w:eastAsia="Times New Roman"/>
          <w:szCs w:val="20"/>
          <w:lang w:eastAsia="it-IT"/>
        </w:rPr>
        <w:t>eTax</w:t>
      </w:r>
      <w:proofErr w:type="spellEnd"/>
      <w:r w:rsidRPr="003B21A9">
        <w:rPr>
          <w:rFonts w:eastAsia="Times New Roman"/>
          <w:szCs w:val="20"/>
          <w:lang w:eastAsia="it-IT"/>
        </w:rPr>
        <w:t>)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migliorare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procedure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amministrative.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particolare,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è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concordi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fatto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misura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consentirà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all’autorità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ottimizzare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processi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lavoro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evitando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tassatori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dover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riportare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manualmente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contenuti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supporto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cartaceo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sistema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informatico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Durante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l’audizione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Direttore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Dipartimento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finanze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ed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economia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Christian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Vitta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Direttore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Divisione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Giordano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Macchi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31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agosto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2021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parte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Sottocommissione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Commissione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gestione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finanze,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esplicita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richiesta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è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stato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riferito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(verosimilmente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pochi)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giuridiche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dotati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strumenti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informatici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potranno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allestire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propria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dichiarazione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i/>
          <w:iCs/>
          <w:szCs w:val="20"/>
          <w:lang w:eastAsia="it-IT"/>
        </w:rPr>
        <w:t>personal</w:t>
      </w:r>
      <w:r w:rsidR="009E5884" w:rsidRPr="003B21A9">
        <w:rPr>
          <w:rFonts w:eastAsia="Times New Roman"/>
          <w:i/>
          <w:iCs/>
          <w:szCs w:val="20"/>
          <w:lang w:eastAsia="it-IT"/>
        </w:rPr>
        <w:t xml:space="preserve"> </w:t>
      </w:r>
      <w:r w:rsidRPr="003B21A9">
        <w:rPr>
          <w:rFonts w:eastAsia="Times New Roman"/>
          <w:i/>
          <w:iCs/>
          <w:szCs w:val="20"/>
          <w:lang w:eastAsia="it-IT"/>
        </w:rPr>
        <w:t>computer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messi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disposizione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agli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uffici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tassazione.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desume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testo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legge,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compilazione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elettronica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dichiarazione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implica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trasmissione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automatica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all’autorità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fiscale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né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tantomeno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completa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digitalizzazione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processo,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richiederà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ancora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firma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manuale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l’invio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cartaceo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degli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allegati.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contributo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i/>
          <w:iCs/>
          <w:szCs w:val="20"/>
          <w:lang w:eastAsia="it-IT"/>
        </w:rPr>
        <w:t>software</w:t>
      </w:r>
      <w:r w:rsidR="009E5884" w:rsidRPr="003B21A9">
        <w:rPr>
          <w:rFonts w:eastAsia="Times New Roman"/>
          <w:i/>
          <w:iCs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consiste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generazione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sui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moduli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finali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codici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barre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permettano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ripresa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meccanica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dichiarati.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Cs w:val="24"/>
                <w:lang w:eastAsia="it-IT"/>
              </w:rPr>
            </w:pPr>
            <w:r w:rsidRPr="003B21A9">
              <w:rPr>
                <w:rFonts w:cs="Arial"/>
                <w:b/>
                <w:color w:val="FFFFFF"/>
                <w:szCs w:val="24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Cs w:val="24"/>
              </w:rPr>
            </w:pPr>
            <w:r w:rsidRPr="003B21A9">
              <w:rPr>
                <w:rFonts w:cs="Arial"/>
                <w:b/>
                <w:color w:val="FFFFFF"/>
                <w:szCs w:val="24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5575CC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sz w:val="20"/>
                <w:szCs w:val="20"/>
                <w:lang w:eastAsia="it-IT"/>
              </w:rPr>
              <w:t>198</w:t>
            </w:r>
          </w:p>
          <w:p w:rsidR="00834DE9" w:rsidRPr="003B21A9" w:rsidRDefault="00834DE9" w:rsidP="005575CC">
            <w:pPr>
              <w:spacing w:after="20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invitati,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mediante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notificazione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presentare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dichiarazione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d’imposta.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hanno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ricevuto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devono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chiederlo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competente.</w:t>
            </w:r>
          </w:p>
          <w:p w:rsidR="00834DE9" w:rsidRPr="003B21A9" w:rsidRDefault="00834DE9" w:rsidP="005575CC">
            <w:pPr>
              <w:spacing w:after="20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compilare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completo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veritiero,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firmarlo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inviarlo,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allegati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prescritti,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competente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termine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stabilito.</w:t>
            </w:r>
          </w:p>
          <w:p w:rsidR="00834DE9" w:rsidRPr="003B21A9" w:rsidRDefault="00834DE9" w:rsidP="005575CC">
            <w:pPr>
              <w:spacing w:after="20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omette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dichiarazione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d’imposta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presenta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incompleto,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diffidato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rimediarvi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congruo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termine.</w:t>
            </w:r>
          </w:p>
          <w:p w:rsidR="00834DE9" w:rsidRPr="003B21A9" w:rsidRDefault="00834DE9" w:rsidP="005575CC">
            <w:pPr>
              <w:spacing w:after="20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4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ogni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diffida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percepita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tassa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Consiglio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Stato.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5</w:t>
            </w:r>
            <w:r w:rsidRPr="003B21A9">
              <w:rPr>
                <w:sz w:val="20"/>
                <w:szCs w:val="20"/>
                <w:lang w:eastAsia="it-IT"/>
              </w:rPr>
              <w:t>Contro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diffida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facoltà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reclamo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ricorso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Camera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diritto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tributario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termini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articoli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206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227.</w:t>
            </w:r>
          </w:p>
        </w:tc>
        <w:tc>
          <w:tcPr>
            <w:tcW w:w="4814" w:type="dxa"/>
          </w:tcPr>
          <w:p w:rsidR="00834DE9" w:rsidRPr="003B21A9" w:rsidRDefault="00834DE9" w:rsidP="005575CC">
            <w:pPr>
              <w:spacing w:after="200"/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198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</w:t>
            </w:r>
            <w:r w:rsidRPr="003B21A9">
              <w:rPr>
                <w:rFonts w:cs="Arial"/>
                <w:b/>
                <w:sz w:val="20"/>
                <w:szCs w:val="20"/>
                <w:vertAlign w:val="superscript"/>
              </w:rPr>
              <w:t>bis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(nuovo)</w:t>
            </w:r>
          </w:p>
          <w:p w:rsidR="00834DE9" w:rsidRPr="003B21A9" w:rsidRDefault="00834DE9" w:rsidP="005575CC">
            <w:pPr>
              <w:spacing w:after="20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invitati,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mediante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notificazione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presentare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dichiarazione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d’imposta.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hanno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ricevuto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devono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chiederlo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competente.</w:t>
            </w:r>
          </w:p>
          <w:p w:rsidR="00834DE9" w:rsidRPr="003B21A9" w:rsidRDefault="00834DE9" w:rsidP="005575CC">
            <w:pPr>
              <w:spacing w:after="20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compilare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completo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veritiero,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firmarlo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inviarlo,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allegati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prescritti,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competente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termine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stabilito.</w:t>
            </w:r>
          </w:p>
          <w:p w:rsidR="00834DE9" w:rsidRPr="003B21A9" w:rsidRDefault="00834DE9" w:rsidP="005575CC">
            <w:pPr>
              <w:spacing w:after="200"/>
              <w:ind w:right="21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  <w:vertAlign w:val="superscript"/>
              </w:rPr>
              <w:t>2bis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deroga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capoverso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2,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persone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giuridiche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devono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compilare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moduli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dichiarazione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d’imposta,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modo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completo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veritiero,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formato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elettronico.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modulo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relativo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codice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barre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deve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essere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stampato,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firmato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inviato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all’autorità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fiscale,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congiuntamente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agli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allegati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prescritti.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capoversi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3-5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applicano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analogia.</w:t>
            </w:r>
          </w:p>
          <w:p w:rsidR="00834DE9" w:rsidRPr="003B21A9" w:rsidRDefault="00834DE9" w:rsidP="005575CC">
            <w:pPr>
              <w:spacing w:after="200"/>
              <w:ind w:right="215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omette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inviare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dichiarazione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d’imposta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presenta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modulo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incompleto,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diffidato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rimediarvi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congruo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termine.</w:t>
            </w:r>
          </w:p>
          <w:p w:rsidR="00834DE9" w:rsidRPr="003B21A9" w:rsidRDefault="00834DE9" w:rsidP="005575CC">
            <w:pPr>
              <w:spacing w:after="200"/>
              <w:ind w:right="215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4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ogni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diffida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percepita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tassa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Consiglio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Stato.</w:t>
            </w:r>
          </w:p>
          <w:p w:rsidR="00834DE9" w:rsidRPr="003B21A9" w:rsidRDefault="00834DE9" w:rsidP="005575CC">
            <w:pPr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5</w:t>
            </w:r>
            <w:r w:rsidRPr="003B21A9">
              <w:rPr>
                <w:sz w:val="20"/>
                <w:szCs w:val="20"/>
                <w:lang w:eastAsia="it-IT"/>
              </w:rPr>
              <w:t>Contro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diffida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facoltà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reclamo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ricorso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Camera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diritto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tributario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entro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termini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articoli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206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227.</w:t>
            </w:r>
          </w:p>
        </w:tc>
      </w:tr>
    </w:tbl>
    <w:p w:rsidR="00834DE9" w:rsidRDefault="00834DE9" w:rsidP="003B21A9">
      <w:pPr>
        <w:rPr>
          <w:rFonts w:eastAsia="Times New Roman"/>
          <w:szCs w:val="20"/>
          <w:lang w:eastAsia="it-IT"/>
        </w:rPr>
      </w:pPr>
    </w:p>
    <w:p w:rsidR="003B21A9" w:rsidRPr="003B21A9" w:rsidRDefault="003B21A9" w:rsidP="003B21A9">
      <w:pPr>
        <w:rPr>
          <w:rFonts w:eastAsia="Times New Roman"/>
          <w:szCs w:val="20"/>
          <w:lang w:eastAsia="it-IT"/>
        </w:rPr>
      </w:pPr>
    </w:p>
    <w:p w:rsidR="00834DE9" w:rsidRPr="003B21A9" w:rsidRDefault="00224429" w:rsidP="00224429">
      <w:pPr>
        <w:keepNext/>
        <w:tabs>
          <w:tab w:val="left" w:pos="567"/>
        </w:tabs>
        <w:spacing w:after="120"/>
        <w:outlineLvl w:val="0"/>
        <w:rPr>
          <w:rFonts w:eastAsia="Times New Roman"/>
          <w:b/>
          <w:caps/>
          <w:szCs w:val="24"/>
          <w:lang w:eastAsia="it-IT"/>
        </w:rPr>
      </w:pPr>
      <w:r w:rsidRPr="003B21A9">
        <w:rPr>
          <w:rFonts w:eastAsia="Times New Roman"/>
          <w:b/>
          <w:caps/>
          <w:szCs w:val="24"/>
          <w:lang w:eastAsia="it-IT"/>
        </w:rPr>
        <w:t>4.</w:t>
      </w:r>
      <w:r w:rsidRPr="003B21A9">
        <w:rPr>
          <w:rFonts w:eastAsia="Times New Roman"/>
          <w:b/>
          <w:caps/>
          <w:szCs w:val="24"/>
          <w:lang w:eastAsia="it-IT"/>
        </w:rPr>
        <w:tab/>
      </w:r>
      <w:r w:rsidR="00834DE9" w:rsidRPr="003B21A9">
        <w:rPr>
          <w:rFonts w:eastAsia="Times New Roman"/>
          <w:b/>
          <w:caps/>
          <w:szCs w:val="24"/>
          <w:lang w:eastAsia="it-IT"/>
        </w:rPr>
        <w:t>Norme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sulla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responsabilità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="00834DE9" w:rsidRPr="003B21A9">
        <w:rPr>
          <w:rFonts w:eastAsia="Times New Roman"/>
          <w:b/>
          <w:caps/>
          <w:szCs w:val="24"/>
          <w:lang w:eastAsia="it-IT"/>
        </w:rPr>
        <w:t>solidale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motivazioni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possono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essere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riassunte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rimanda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messaggio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ulteriori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approfondimento.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lang w:eastAsia="it-IT"/>
              </w:rPr>
            </w:pPr>
            <w:r w:rsidRPr="003B21A9">
              <w:rPr>
                <w:b/>
                <w:bCs/>
                <w:color w:val="FFFFFF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12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3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lett.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b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LT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e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64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5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L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disposizioni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attuali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relative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fisiche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responsabilità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domiciliati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semplici,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nome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collettivo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accomandita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concorrenza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quota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sociale,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dovute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domiciliati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all’estero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b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responsabilità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incaricate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liquidazione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d’imprese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stabilimenti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d’impresa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concorrenza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ricavo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netto,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abbia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domicilio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Svizzera.</w:t>
            </w:r>
          </w:p>
        </w:tc>
        <w:tc>
          <w:tcPr>
            <w:tcW w:w="4814" w:type="dxa"/>
          </w:tcPr>
          <w:p w:rsidR="00834DE9" w:rsidRDefault="00834DE9" w:rsidP="005575CC">
            <w:pPr>
              <w:spacing w:after="16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articoli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b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64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5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prefiggono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ancorare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legge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responsabilità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incaricate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dell’amministra</w:t>
            </w:r>
            <w:r w:rsidR="005575CC">
              <w:rPr>
                <w:sz w:val="20"/>
                <w:szCs w:val="20"/>
                <w:lang w:eastAsia="it-IT"/>
              </w:rPr>
              <w:t>-</w:t>
            </w:r>
            <w:r w:rsidRPr="003B21A9">
              <w:rPr>
                <w:sz w:val="20"/>
                <w:szCs w:val="20"/>
                <w:lang w:eastAsia="it-IT"/>
              </w:rPr>
              <w:t>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e/o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liquidazione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ditta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individuale,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volta,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un’altra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titolo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esempio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consorzio).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questi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casi,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incaricate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amministrazione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e/o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liquidazione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saranno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responsabili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obblighi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contratti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ditta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individuale,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giuridica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nell’ambito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appartenenza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quest’altra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(consorzio),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ed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particolare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dovuti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altri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partecipano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residenti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all’estero.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</w:p>
          <w:p w:rsidR="00834DE9" w:rsidRPr="003B21A9" w:rsidRDefault="005575CC" w:rsidP="005575CC">
            <w:pPr>
              <w:spacing w:after="16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La misura non dovrebbe comportare sensibili ripercussioni finanziarie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disposti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relativi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fisiche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vengono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pertanto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adattati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color w:val="FFFFFF"/>
                <w:szCs w:val="24"/>
                <w:lang w:eastAsia="it-IT"/>
              </w:rPr>
            </w:pPr>
            <w:r w:rsidRPr="003B21A9">
              <w:rPr>
                <w:rFonts w:cs="Arial"/>
                <w:b/>
                <w:color w:val="FFFFFF"/>
                <w:szCs w:val="24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color w:val="FFFFFF"/>
                <w:szCs w:val="24"/>
                <w:lang w:eastAsia="it-IT"/>
              </w:rPr>
            </w:pPr>
            <w:r w:rsidRPr="003B21A9">
              <w:rPr>
                <w:rFonts w:cs="Arial"/>
                <w:b/>
                <w:color w:val="FFFFFF"/>
                <w:szCs w:val="24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rPr>
                <w:b/>
                <w:sz w:val="20"/>
                <w:szCs w:val="20"/>
                <w:lang w:eastAsia="it-IT"/>
              </w:rPr>
            </w:pPr>
            <w:r w:rsidRPr="003B21A9">
              <w:rPr>
                <w:b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12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b)</w:t>
            </w:r>
          </w:p>
          <w:p w:rsidR="00834DE9" w:rsidRPr="005575CC" w:rsidRDefault="00834DE9" w:rsidP="00916BCE">
            <w:pPr>
              <w:rPr>
                <w:sz w:val="20"/>
                <w:szCs w:val="20"/>
                <w:lang w:eastAsia="it-IT"/>
              </w:rPr>
            </w:pP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rispondono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solidalmente:</w:t>
            </w:r>
          </w:p>
          <w:p w:rsidR="00834DE9" w:rsidRPr="003B21A9" w:rsidRDefault="00834DE9" w:rsidP="00916BCE">
            <w:pPr>
              <w:numPr>
                <w:ilvl w:val="0"/>
                <w:numId w:val="24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domiciliati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Svizzera,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società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semplici,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nome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collettivo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accomandita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concorrenza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quota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sociale,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dovute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soci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domiciliati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all’estero;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rPr>
                <w:b/>
                <w:sz w:val="20"/>
                <w:szCs w:val="20"/>
                <w:lang w:eastAsia="it-IT"/>
              </w:rPr>
            </w:pPr>
            <w:r w:rsidRPr="003B21A9">
              <w:rPr>
                <w:b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12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b)</w:t>
            </w:r>
          </w:p>
          <w:p w:rsidR="00834DE9" w:rsidRPr="003B21A9" w:rsidRDefault="00834DE9" w:rsidP="00916BCE">
            <w:pPr>
              <w:rPr>
                <w:sz w:val="20"/>
                <w:szCs w:val="20"/>
                <w:lang w:eastAsia="it-IT"/>
              </w:rPr>
            </w:pP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rispondono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solidalmente:</w:t>
            </w:r>
          </w:p>
          <w:p w:rsidR="00834DE9" w:rsidRPr="003B21A9" w:rsidRDefault="00834DE9" w:rsidP="00916BCE">
            <w:pPr>
              <w:ind w:left="391" w:right="215" w:hanging="391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b)</w:t>
            </w:r>
            <w:r w:rsidRPr="003B21A9">
              <w:rPr>
                <w:rFonts w:cs="Arial"/>
                <w:sz w:val="20"/>
                <w:szCs w:val="20"/>
              </w:rPr>
              <w:tab/>
              <w:t>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soci,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domiciliati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Svizzera,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società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semplici,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nome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collettivo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accomandita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concorrenza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loro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quota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sociale,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dovute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soci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domiciliati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all’estero;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persone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incaricate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dell’amministrazione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e/o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liquidazione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socio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partecipante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una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società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semplice,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segnatamente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consorzio,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partecipante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ad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altre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società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persone,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rispondono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solidalmente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socio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dovute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dagli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altri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soci,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domiciliati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all’estero,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sino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concorrenza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quota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dovuta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dal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loro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socio,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rispettivamente,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sino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concorrenza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ricavo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netto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dello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stesso.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Tale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responsabilità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decade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dette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persone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provano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aver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usato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diligenza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richiesta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dalle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circostanze;</w:t>
            </w:r>
          </w:p>
          <w:p w:rsidR="00834DE9" w:rsidRPr="003B21A9" w:rsidRDefault="00834DE9" w:rsidP="004418D2">
            <w:pPr>
              <w:rPr>
                <w:sz w:val="20"/>
                <w:szCs w:val="20"/>
                <w:lang w:eastAsia="it-IT"/>
              </w:rPr>
            </w:pP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rPr>
                <w:b/>
                <w:sz w:val="20"/>
                <w:szCs w:val="20"/>
                <w:lang w:eastAsia="it-IT"/>
              </w:rPr>
            </w:pPr>
            <w:r w:rsidRPr="003B21A9">
              <w:rPr>
                <w:b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12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b)</w:t>
            </w:r>
          </w:p>
          <w:p w:rsidR="00834DE9" w:rsidRPr="005575CC" w:rsidRDefault="00834DE9" w:rsidP="00916BCE">
            <w:pPr>
              <w:rPr>
                <w:sz w:val="20"/>
                <w:szCs w:val="20"/>
                <w:lang w:eastAsia="it-IT"/>
              </w:rPr>
            </w:pP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rispondono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solidalmente:</w:t>
            </w:r>
          </w:p>
          <w:p w:rsidR="00834DE9" w:rsidRPr="003B21A9" w:rsidRDefault="00834DE9" w:rsidP="005575CC">
            <w:pPr>
              <w:numPr>
                <w:ilvl w:val="0"/>
                <w:numId w:val="25"/>
              </w:numPr>
              <w:spacing w:after="120"/>
              <w:ind w:left="357" w:hanging="357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incaricate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liquidazione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d’imprese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stabilimenti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d’impresa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dell’alienazione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realizzazione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fondi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nonché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crediti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garantiti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fondi,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concorrenza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ricavo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ove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abbia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domicilio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Svizzera.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rPr>
                <w:b/>
                <w:sz w:val="20"/>
                <w:szCs w:val="20"/>
                <w:lang w:eastAsia="it-IT"/>
              </w:rPr>
            </w:pPr>
            <w:r w:rsidRPr="003B21A9">
              <w:rPr>
                <w:b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12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lett.</w:t>
            </w:r>
            <w:r w:rsidR="009E5884" w:rsidRPr="003B21A9">
              <w:rPr>
                <w:b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sz w:val="20"/>
                <w:szCs w:val="20"/>
                <w:lang w:eastAsia="it-IT"/>
              </w:rPr>
              <w:t>d)</w:t>
            </w:r>
          </w:p>
          <w:p w:rsidR="00834DE9" w:rsidRPr="003B21A9" w:rsidRDefault="00834DE9" w:rsidP="00916BCE">
            <w:pPr>
              <w:rPr>
                <w:sz w:val="20"/>
                <w:szCs w:val="20"/>
                <w:lang w:eastAsia="it-IT"/>
              </w:rPr>
            </w:pPr>
          </w:p>
          <w:p w:rsidR="00834DE9" w:rsidRPr="003B21A9" w:rsidRDefault="00834DE9" w:rsidP="003B21A9">
            <w:pPr>
              <w:spacing w:after="12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Con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rispondono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solidalmente:</w:t>
            </w:r>
          </w:p>
          <w:p w:rsidR="00834DE9" w:rsidRPr="003B21A9" w:rsidRDefault="00834DE9" w:rsidP="005575CC">
            <w:pPr>
              <w:ind w:left="391" w:right="215" w:hanging="391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</w:rPr>
              <w:t>d)</w:t>
            </w:r>
            <w:r w:rsidRPr="003B21A9">
              <w:rPr>
                <w:rFonts w:cs="Arial"/>
                <w:sz w:val="20"/>
                <w:szCs w:val="20"/>
              </w:rPr>
              <w:tab/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persone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incaricate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liquidazione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d’imprese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stabilimenti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d’impresa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dell’alienazione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realizzazione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fondi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nonché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crediti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garantiti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fondi,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concorrenza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ricavo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netto.</w:t>
            </w:r>
          </w:p>
        </w:tc>
      </w:tr>
    </w:tbl>
    <w:p w:rsidR="00834DE9" w:rsidRPr="003B21A9" w:rsidRDefault="00834DE9" w:rsidP="0022442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relativo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testo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legge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(art.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64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LT)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applica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–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già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ora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–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persone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giuridiche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è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oggetto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leggera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redazionale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dell’aggiunta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un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nuovo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capoverso.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4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4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proposto</w:t>
            </w:r>
          </w:p>
        </w:tc>
      </w:tr>
    </w:tbl>
    <w:p w:rsidR="005575CC" w:rsidRDefault="005575CC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4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64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</w:t>
            </w:r>
          </w:p>
          <w:p w:rsidR="00834DE9" w:rsidRPr="003B21A9" w:rsidRDefault="00834DE9" w:rsidP="00916BCE">
            <w:pPr>
              <w:ind w:right="214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3B21A9">
            <w:pPr>
              <w:spacing w:after="120"/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persona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giuridica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assoggettata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all’imposta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virtù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dell’appartenenza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economica,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persone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incaricate</w:t>
            </w:r>
          </w:p>
          <w:p w:rsidR="00834DE9" w:rsidRDefault="00834DE9" w:rsidP="00916BCE">
            <w:pPr>
              <w:spacing w:before="120" w:after="120"/>
              <w:ind w:left="393" w:right="215" w:hanging="393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a)</w:t>
            </w:r>
            <w:r w:rsidRPr="003B21A9">
              <w:rPr>
                <w:rFonts w:cs="Arial"/>
                <w:sz w:val="20"/>
                <w:szCs w:val="20"/>
              </w:rPr>
              <w:tab/>
              <w:t>dello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scioglimento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un’impresa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stabilimento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d’impresa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</w:p>
          <w:p w:rsidR="00834DE9" w:rsidRPr="003B21A9" w:rsidRDefault="00834DE9" w:rsidP="00916BCE">
            <w:pPr>
              <w:spacing w:before="120" w:after="120"/>
              <w:ind w:left="393" w:right="215" w:hanging="393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b)</w:t>
            </w:r>
            <w:r w:rsidRPr="003B21A9">
              <w:rPr>
                <w:rFonts w:cs="Arial"/>
                <w:sz w:val="20"/>
                <w:szCs w:val="20"/>
              </w:rPr>
              <w:tab/>
              <w:t>dell’alienazione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realizzazione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fondo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crediti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garantiti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fondo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rispondono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solidalmente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delle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dovute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dalla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persona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giuridica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si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tratta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fino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concorrenza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ricavo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netto</w:t>
            </w:r>
            <w:r w:rsidRPr="003B21A9">
              <w:rPr>
                <w:rFonts w:cs="Arial"/>
                <w:sz w:val="20"/>
                <w:szCs w:val="20"/>
              </w:rPr>
              <w:t>.</w:t>
            </w:r>
          </w:p>
          <w:p w:rsidR="00834DE9" w:rsidRPr="003B21A9" w:rsidRDefault="00834DE9" w:rsidP="003B21A9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4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64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</w:t>
            </w:r>
          </w:p>
          <w:p w:rsidR="00834DE9" w:rsidRPr="003B21A9" w:rsidRDefault="00834DE9" w:rsidP="00916BCE">
            <w:pPr>
              <w:ind w:right="214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3B21A9">
            <w:pPr>
              <w:spacing w:after="120"/>
              <w:ind w:right="215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3B21A9">
              <w:rPr>
                <w:rFonts w:cs="Arial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persona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giuridica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assoggettata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all’imposta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virtù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dell’appartenenza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economica,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persone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incaricate</w:t>
            </w:r>
          </w:p>
          <w:p w:rsidR="00834DE9" w:rsidRDefault="00834DE9" w:rsidP="00916BCE">
            <w:pPr>
              <w:spacing w:before="120" w:after="120"/>
              <w:ind w:left="393" w:right="215" w:hanging="393"/>
              <w:rPr>
                <w:rFonts w:cs="Arial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a)</w:t>
            </w:r>
            <w:r w:rsidRPr="003B21A9">
              <w:rPr>
                <w:rFonts w:cs="Arial"/>
                <w:sz w:val="20"/>
                <w:szCs w:val="20"/>
              </w:rPr>
              <w:tab/>
              <w:t>dello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scioglimento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un’impresa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stabilimento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d’impresa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</w:p>
          <w:p w:rsidR="00834DE9" w:rsidRPr="003B21A9" w:rsidRDefault="00834DE9" w:rsidP="003B21A9">
            <w:pPr>
              <w:spacing w:before="120" w:after="120"/>
              <w:ind w:left="393" w:right="215" w:hanging="393"/>
              <w:rPr>
                <w:rFonts w:cs="Arial"/>
                <w:color w:val="00B050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</w:rPr>
              <w:t>b)</w:t>
            </w:r>
            <w:r w:rsidRPr="003B21A9">
              <w:rPr>
                <w:rFonts w:cs="Arial"/>
                <w:sz w:val="20"/>
                <w:szCs w:val="20"/>
              </w:rPr>
              <w:tab/>
              <w:t>dell’alienazione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della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realizzazione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fondo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Cantone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crediti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garantiti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fondo,</w:t>
            </w:r>
            <w:r w:rsid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rispondono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solidalmente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delle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imposte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dovute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dalla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persona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giuridica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si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tratta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fino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concorrenza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ricavo</w:t>
            </w:r>
            <w:r w:rsidR="009E5884" w:rsidRPr="003B21A9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00B050"/>
                <w:sz w:val="20"/>
                <w:szCs w:val="20"/>
              </w:rPr>
              <w:t>netto.</w:t>
            </w:r>
          </w:p>
          <w:p w:rsidR="00834DE9" w:rsidRPr="003B21A9" w:rsidRDefault="00834DE9" w:rsidP="003B21A9">
            <w:pPr>
              <w:rPr>
                <w:sz w:val="20"/>
                <w:szCs w:val="20"/>
                <w:lang w:eastAsia="it-IT"/>
              </w:rPr>
            </w:pPr>
          </w:p>
        </w:tc>
      </w:tr>
    </w:tbl>
    <w:p w:rsidR="005575CC" w:rsidRDefault="005575CC"/>
    <w:p w:rsidR="004418D2" w:rsidRDefault="004418D2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spacing w:after="240"/>
              <w:rPr>
                <w:sz w:val="22"/>
                <w:lang w:eastAsia="it-IT"/>
              </w:rPr>
            </w:pPr>
          </w:p>
        </w:tc>
        <w:tc>
          <w:tcPr>
            <w:tcW w:w="4814" w:type="dxa"/>
          </w:tcPr>
          <w:p w:rsidR="005575CC" w:rsidRDefault="005575CC" w:rsidP="005575CC">
            <w:pPr>
              <w:ind w:right="214"/>
              <w:rPr>
                <w:rFonts w:cs="Arial"/>
                <w:b/>
                <w:sz w:val="22"/>
              </w:rPr>
            </w:pPr>
            <w:r w:rsidRPr="003B21A9">
              <w:rPr>
                <w:rFonts w:cs="Arial"/>
                <w:b/>
                <w:sz w:val="22"/>
              </w:rPr>
              <w:t>Art. 64 cpv. 5 (nuovo)</w:t>
            </w:r>
          </w:p>
          <w:p w:rsidR="005575CC" w:rsidRPr="005575CC" w:rsidRDefault="005575CC" w:rsidP="005575CC">
            <w:pPr>
              <w:ind w:right="214"/>
              <w:rPr>
                <w:rFonts w:cs="Arial"/>
                <w:sz w:val="22"/>
              </w:rPr>
            </w:pPr>
          </w:p>
          <w:p w:rsidR="00834DE9" w:rsidRPr="003B21A9" w:rsidRDefault="00834DE9" w:rsidP="005575CC">
            <w:pPr>
              <w:spacing w:after="120"/>
              <w:ind w:right="215"/>
              <w:rPr>
                <w:sz w:val="22"/>
                <w:lang w:eastAsia="it-IT"/>
              </w:rPr>
            </w:pPr>
            <w:r w:rsidRPr="003B21A9">
              <w:rPr>
                <w:rFonts w:cs="Arial"/>
                <w:sz w:val="22"/>
                <w:vertAlign w:val="superscript"/>
              </w:rPr>
              <w:t>5</w:t>
            </w:r>
            <w:r w:rsidRPr="003B21A9">
              <w:rPr>
                <w:rFonts w:cs="Arial"/>
                <w:sz w:val="22"/>
              </w:rPr>
              <w:t>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persone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incaricate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dell’amministrazione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e/o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della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liquidazione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una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persona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giuridica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socia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una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società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semplice,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segnatamente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un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consorzio,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un’altra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società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persone,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rispondono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solidalmente,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con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la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persona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giuridica,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imposte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dovute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dagli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altri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soci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domiciliati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all’estero,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sino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concorrenza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della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quota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sociale,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rispettivamente,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sino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concorrenza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del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ricavo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netto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della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persona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giuridica.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Tale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responsabilità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decade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se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dette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persone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provano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aver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usato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la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diligenza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richiesta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dalle</w:t>
            </w:r>
            <w:r w:rsidR="009E5884" w:rsidRPr="003B21A9">
              <w:rPr>
                <w:rFonts w:cs="Arial"/>
                <w:sz w:val="22"/>
              </w:rPr>
              <w:t xml:space="preserve"> </w:t>
            </w:r>
            <w:r w:rsidRPr="003B21A9">
              <w:rPr>
                <w:rFonts w:cs="Arial"/>
                <w:sz w:val="22"/>
              </w:rPr>
              <w:t>circostanze.</w:t>
            </w:r>
          </w:p>
        </w:tc>
      </w:tr>
    </w:tbl>
    <w:p w:rsidR="00834DE9" w:rsidRDefault="00834DE9" w:rsidP="003B21A9">
      <w:pPr>
        <w:rPr>
          <w:rFonts w:eastAsia="Times New Roman"/>
          <w:szCs w:val="20"/>
          <w:lang w:eastAsia="it-IT"/>
        </w:rPr>
      </w:pPr>
    </w:p>
    <w:p w:rsidR="003B21A9" w:rsidRPr="003B21A9" w:rsidRDefault="003B21A9" w:rsidP="003B21A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224429">
      <w:pPr>
        <w:keepNext/>
        <w:numPr>
          <w:ilvl w:val="0"/>
          <w:numId w:val="27"/>
        </w:numPr>
        <w:tabs>
          <w:tab w:val="left" w:pos="567"/>
        </w:tabs>
        <w:spacing w:after="120"/>
        <w:ind w:left="567" w:hanging="567"/>
        <w:outlineLvl w:val="0"/>
        <w:rPr>
          <w:rFonts w:eastAsia="Times New Roman"/>
          <w:b/>
          <w:caps/>
          <w:szCs w:val="24"/>
          <w:lang w:eastAsia="it-IT"/>
        </w:rPr>
      </w:pPr>
      <w:r w:rsidRPr="003B21A9">
        <w:rPr>
          <w:rFonts w:eastAsia="Times New Roman"/>
          <w:b/>
          <w:caps/>
          <w:szCs w:val="24"/>
          <w:lang w:eastAsia="it-IT"/>
        </w:rPr>
        <w:t>condizioni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di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apertura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di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un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procedimento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penale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per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delitti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fiscali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rimanda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messaggio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cui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motivazioni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modifiche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testo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legge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sono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riassunte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lang w:eastAsia="it-IT"/>
              </w:rPr>
            </w:pPr>
            <w:r w:rsidRPr="003B21A9">
              <w:rPr>
                <w:b/>
                <w:bCs/>
                <w:color w:val="FFFFFF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271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E5884"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attuale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delitti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(frode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appropriazione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indebita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fonte),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procedura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sarà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aperta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richiesta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Divisione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trasmettendo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Ministero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formulazione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disposizione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271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l’autorità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mantenga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facoltà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denuncia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Ministero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chiarendo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però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segnalazione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rappresenta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prerequisito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l’apertura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procedimento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fiscali.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Ministero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potrà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pertanto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agire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d’ufficio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assenza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segnalazione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esplicita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Divisione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contribuzioni.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misura.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271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delitti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perseguiti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secondo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disposizioni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codice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procedura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5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ottobre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2007.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procedura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penale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sarà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aperta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su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richiesta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trike/>
                <w:color w:val="FF0000"/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trike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Divisione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trasmettendo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Ministero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Divisione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contribuzioni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deve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trasmettere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Ministero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ha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fondati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motivi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ritenere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realizzato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delitto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fiscale.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271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L’autorità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fiscale,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presume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che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sia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stato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commesso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un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delitto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secondo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articoli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269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270,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denuncia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fatto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Ministero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pubblico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trasmette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atti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perseguimento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delitto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fiscale.</w:t>
            </w:r>
          </w:p>
          <w:p w:rsidR="00834DE9" w:rsidRPr="003B21A9" w:rsidRDefault="00834DE9" w:rsidP="00916BCE">
            <w:pPr>
              <w:ind w:right="215"/>
              <w:rPr>
                <w:rFonts w:cs="Arial"/>
                <w:color w:val="FF0000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5"/>
              <w:rPr>
                <w:rFonts w:cs="Arial"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color w:val="FF0000"/>
                <w:sz w:val="20"/>
                <w:szCs w:val="20"/>
                <w:vertAlign w:val="superscript"/>
              </w:rPr>
              <w:t>2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delitti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fiscali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sono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perseguiti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secondo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disposizioni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del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Codice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procedura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penale.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</w:p>
        </w:tc>
      </w:tr>
    </w:tbl>
    <w:p w:rsidR="00834DE9" w:rsidRDefault="00834DE9" w:rsidP="005575CC">
      <w:pPr>
        <w:rPr>
          <w:rFonts w:eastAsia="Times New Roman"/>
          <w:szCs w:val="20"/>
          <w:lang w:eastAsia="it-IT"/>
        </w:rPr>
      </w:pPr>
    </w:p>
    <w:p w:rsidR="005575CC" w:rsidRPr="003B21A9" w:rsidRDefault="005575CC" w:rsidP="005575CC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224429">
      <w:pPr>
        <w:keepNext/>
        <w:numPr>
          <w:ilvl w:val="0"/>
          <w:numId w:val="27"/>
        </w:numPr>
        <w:tabs>
          <w:tab w:val="left" w:pos="567"/>
        </w:tabs>
        <w:spacing w:after="120"/>
        <w:ind w:left="567" w:hanging="567"/>
        <w:outlineLvl w:val="0"/>
        <w:rPr>
          <w:rFonts w:eastAsia="Times New Roman"/>
          <w:b/>
          <w:caps/>
          <w:szCs w:val="24"/>
          <w:lang w:eastAsia="it-IT"/>
        </w:rPr>
      </w:pPr>
      <w:r w:rsidRPr="003B21A9">
        <w:rPr>
          <w:rFonts w:eastAsia="Times New Roman"/>
          <w:b/>
          <w:caps/>
          <w:szCs w:val="24"/>
          <w:lang w:eastAsia="it-IT"/>
        </w:rPr>
        <w:t>Correzioni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formali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rimanda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messaggio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dettaglio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dell’art.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20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cpv.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dell’art.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24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dell’art.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240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cpv.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1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seguito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vengono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riassunte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motivazioni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ed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evidenziate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modifiche.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lang w:eastAsia="it-IT"/>
              </w:rPr>
            </w:pPr>
            <w:r w:rsidRPr="003B21A9">
              <w:rPr>
                <w:b/>
                <w:bCs/>
                <w:color w:val="FFFFFF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20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3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E5884"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attuale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(segnatamente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valore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locativo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venga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calcolato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base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60-70%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valore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mercato)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ammessa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immobili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utilizzati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prevalentemente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scopo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vacanza.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Considerato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valore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locativo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ammessa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attualmente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l’abitazione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primaria,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formulazione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disposizione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20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prevede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ammessa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immobili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utilizzati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residenza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primaria.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0"/>
                <w:szCs w:val="20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20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3</w:t>
            </w:r>
          </w:p>
          <w:p w:rsidR="00834DE9" w:rsidRPr="003B21A9" w:rsidRDefault="00834DE9" w:rsidP="00916BCE">
            <w:pPr>
              <w:ind w:right="215"/>
              <w:jc w:val="left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spacing w:after="240"/>
              <w:jc w:val="left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21A9">
              <w:rPr>
                <w:rFonts w:cs="Arial"/>
                <w:sz w:val="20"/>
                <w:szCs w:val="20"/>
              </w:rPr>
              <w:t>L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capoverso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ammessa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immobili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utilizzati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prevalentemente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scopo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vacanza.</w:t>
            </w:r>
          </w:p>
        </w:tc>
        <w:tc>
          <w:tcPr>
            <w:tcW w:w="4814" w:type="dxa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20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3</w:t>
            </w:r>
          </w:p>
          <w:p w:rsidR="00834DE9" w:rsidRPr="003B21A9" w:rsidRDefault="00834DE9" w:rsidP="00916BCE">
            <w:pPr>
              <w:ind w:right="215"/>
              <w:jc w:val="left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916BCE">
            <w:pPr>
              <w:ind w:right="215"/>
              <w:jc w:val="left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21A9">
              <w:rPr>
                <w:rFonts w:cs="Arial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riduzione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capoverso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2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è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ammessa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solo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per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gli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immobili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utilizzati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come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residenza</w:t>
            </w:r>
            <w:r w:rsidR="009E5884" w:rsidRPr="003B21A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primaria</w:t>
            </w:r>
            <w:r w:rsidRPr="003B21A9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834DE9" w:rsidRPr="003B21A9" w:rsidRDefault="00834DE9" w:rsidP="00224429">
      <w:pPr>
        <w:rPr>
          <w:rFonts w:eastAsia="Times New Roman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lang w:eastAsia="it-IT"/>
              </w:rPr>
            </w:pPr>
            <w:r w:rsidRPr="003B21A9">
              <w:rPr>
                <w:b/>
                <w:bCs/>
                <w:color w:val="FFFFFF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lang w:eastAsia="it-IT"/>
              </w:rPr>
              <w:t>24</w:t>
            </w:r>
            <w:r w:rsidR="009E5884" w:rsidRPr="003B21A9">
              <w:rPr>
                <w:b/>
                <w:bCs/>
                <w:color w:val="FFFFFF"/>
                <w:lang w:eastAsia="it-IT"/>
              </w:rPr>
              <w:t xml:space="preserve">  </w:t>
            </w:r>
            <w:r w:rsidRPr="003B21A9">
              <w:rPr>
                <w:b/>
                <w:bCs/>
                <w:color w:val="FFFFFF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E5884"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seguito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refuso,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l’attuale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disposizione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riporta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erroneamente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calcolo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reddito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netto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sono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rilevanti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proventi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lordi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imponibili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meno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acquisizione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generali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articoli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25-32a,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ossia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figli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terzi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compresa.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Essendo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generali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cui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articoli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32b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(spese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malattia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infortunio)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32c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(prestazioni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volontarie),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conseguentemente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corretta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estendendo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deduzioni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generali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dagli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articoli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25-32c.</w:t>
            </w:r>
          </w:p>
          <w:p w:rsidR="00834DE9" w:rsidRPr="003B21A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Cs w:val="24"/>
              </w:rPr>
            </w:pPr>
            <w:r w:rsidRPr="003B21A9">
              <w:rPr>
                <w:rFonts w:cs="Arial"/>
                <w:b/>
                <w:color w:val="FFFFFF"/>
                <w:szCs w:val="24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Cs w:val="24"/>
              </w:rPr>
            </w:pPr>
            <w:r w:rsidRPr="003B21A9">
              <w:rPr>
                <w:rFonts w:cs="Arial"/>
                <w:b/>
                <w:color w:val="FFFFFF"/>
                <w:szCs w:val="24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Cs w:val="24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5575CC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24</w:t>
            </w:r>
          </w:p>
          <w:p w:rsidR="00834DE9" w:rsidRPr="003B21A9" w:rsidRDefault="00834DE9" w:rsidP="005575CC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5575CC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reddito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netto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corrisponde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proventi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lordi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imponibili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meno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spese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acquisizione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generali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agli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articoli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25-32a.</w:t>
            </w:r>
          </w:p>
        </w:tc>
        <w:tc>
          <w:tcPr>
            <w:tcW w:w="4814" w:type="dxa"/>
          </w:tcPr>
          <w:p w:rsidR="00834DE9" w:rsidRPr="003B21A9" w:rsidRDefault="00834DE9" w:rsidP="005575CC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24</w:t>
            </w:r>
          </w:p>
          <w:p w:rsidR="00834DE9" w:rsidRPr="003B21A9" w:rsidRDefault="00834DE9" w:rsidP="005575CC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5575CC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reddito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netto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corrisponde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proventi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lordi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imponibili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meno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spese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acquisizione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deduzioni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generali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cui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agli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articoli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25-</w:t>
            </w:r>
            <w:r w:rsidRPr="003B21A9">
              <w:rPr>
                <w:rFonts w:cs="Arial"/>
                <w:color w:val="FF0000"/>
                <w:sz w:val="20"/>
                <w:szCs w:val="20"/>
              </w:rPr>
              <w:t>32c</w:t>
            </w:r>
            <w:r w:rsidRPr="003B21A9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834DE9" w:rsidRPr="003B21A9" w:rsidRDefault="00834DE9" w:rsidP="00224429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9628" w:type="dxa"/>
            <w:gridSpan w:val="2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Art.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240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 xml:space="preserve">  </w:t>
            </w:r>
            <w:r w:rsidRPr="003B21A9">
              <w:rPr>
                <w:b/>
                <w:bCs/>
                <w:color w:val="FFFFFF"/>
                <w:sz w:val="20"/>
                <w:szCs w:val="20"/>
                <w:lang w:eastAsia="it-IT"/>
              </w:rPr>
              <w:t>LT</w:t>
            </w:r>
          </w:p>
        </w:tc>
      </w:tr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lata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jc w:val="left"/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De</w:t>
            </w:r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lege</w:t>
            </w:r>
            <w:proofErr w:type="spellEnd"/>
            <w:r w:rsidR="009E5884"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21A9">
              <w:rPr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ferenda</w:t>
            </w:r>
            <w:proofErr w:type="spellEnd"/>
          </w:p>
        </w:tc>
      </w:tr>
      <w:tr w:rsidR="00834DE9" w:rsidRPr="003B21A9" w:rsidTr="009E5884"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5575CC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risulta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poco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chiara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rispetto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quella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sempre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prassi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vigore.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scadenza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dell’imposta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ordinaria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statuita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dal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Consiglio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tramite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Decreto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esecutivo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concernente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riscossione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tassi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d’interesse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cantonali,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quale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contiene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anche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scadenza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singole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rate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acconto.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decreto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è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pubblicato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annualmente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Bollettino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ufficiale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leggi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</w:t>
            </w:r>
            <w:proofErr w:type="spellStart"/>
            <w:r w:rsidRPr="003B21A9">
              <w:rPr>
                <w:sz w:val="20"/>
                <w:szCs w:val="20"/>
                <w:lang w:eastAsia="it-IT"/>
              </w:rPr>
              <w:t>BU</w:t>
            </w:r>
            <w:proofErr w:type="spellEnd"/>
            <w:r w:rsidRPr="003B21A9">
              <w:rPr>
                <w:sz w:val="20"/>
                <w:szCs w:val="20"/>
                <w:lang w:eastAsia="it-IT"/>
              </w:rPr>
              <w:t>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non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Foglio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ufficiale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(FU).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ritiene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pertanto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opportuno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riformulare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l’articolo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sensi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dell’applicazione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pratica.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4DE9" w:rsidRPr="003B21A9" w:rsidRDefault="00834DE9" w:rsidP="005575CC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nuova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norma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(art.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240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cpv.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1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LT)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stralcia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riferimento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alla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pubblicazione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sul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Foglio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ufficiale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(FU)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Decreto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esecutivo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concernente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la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riscossione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tassi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d’interesse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delle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imposte</w:t>
            </w:r>
            <w:r w:rsidR="009E5884" w:rsidRPr="003B21A9">
              <w:rPr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sz w:val="20"/>
                <w:szCs w:val="20"/>
                <w:lang w:eastAsia="it-IT"/>
              </w:rPr>
              <w:t>cantonali.</w:t>
            </w:r>
          </w:p>
          <w:p w:rsidR="00834DE9" w:rsidRPr="003B21A9" w:rsidRDefault="00834DE9" w:rsidP="005575CC">
            <w:pPr>
              <w:spacing w:after="240"/>
              <w:rPr>
                <w:sz w:val="20"/>
                <w:szCs w:val="20"/>
                <w:lang w:eastAsia="it-IT"/>
              </w:rPr>
            </w:pP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Nessuna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ripercussione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finanziaria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della</w:t>
            </w:r>
            <w:r w:rsidR="009E5884" w:rsidRPr="003B21A9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3B21A9">
              <w:rPr>
                <w:rFonts w:eastAsia="Times New Roman"/>
                <w:sz w:val="20"/>
                <w:szCs w:val="20"/>
                <w:lang w:eastAsia="it-IT"/>
              </w:rPr>
              <w:t>misura</w:t>
            </w:r>
          </w:p>
        </w:tc>
      </w:tr>
    </w:tbl>
    <w:p w:rsidR="005575CC" w:rsidRDefault="005575CC"/>
    <w:p w:rsidR="005575CC" w:rsidRDefault="005575CC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DE9" w:rsidRPr="003B21A9" w:rsidTr="009E5884"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2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vigore</w:t>
            </w:r>
          </w:p>
        </w:tc>
        <w:tc>
          <w:tcPr>
            <w:tcW w:w="4814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ind w:right="215"/>
              <w:jc w:val="left"/>
              <w:rPr>
                <w:rFonts w:cs="Arial"/>
                <w:b/>
                <w:color w:val="FFFFFF"/>
                <w:sz w:val="22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proposto</w:t>
            </w:r>
          </w:p>
        </w:tc>
      </w:tr>
      <w:tr w:rsidR="00834DE9" w:rsidRPr="003B21A9" w:rsidTr="00916BCE">
        <w:tc>
          <w:tcPr>
            <w:tcW w:w="4814" w:type="dxa"/>
          </w:tcPr>
          <w:p w:rsidR="00834DE9" w:rsidRPr="003B21A9" w:rsidRDefault="00834DE9" w:rsidP="005575CC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240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1</w:t>
            </w:r>
          </w:p>
          <w:p w:rsidR="00834DE9" w:rsidRPr="003B21A9" w:rsidRDefault="00834DE9" w:rsidP="005575CC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5575CC">
            <w:pPr>
              <w:ind w:right="215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3B21A9">
              <w:rPr>
                <w:rFonts w:cs="Arial"/>
                <w:sz w:val="20"/>
                <w:szCs w:val="20"/>
              </w:rPr>
              <w:t>L’imposta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ordinaria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scade,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regola,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termine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fissato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Consiglio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e</w:t>
            </w:r>
          </w:p>
          <w:p w:rsidR="00834DE9" w:rsidRPr="003B21A9" w:rsidRDefault="00834DE9" w:rsidP="005575CC">
            <w:pPr>
              <w:ind w:right="215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pubblicato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nel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Foglio</w:t>
            </w:r>
            <w:r w:rsidR="009E5884" w:rsidRPr="003B21A9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trike/>
                <w:color w:val="FF0000"/>
                <w:sz w:val="20"/>
                <w:szCs w:val="20"/>
              </w:rPr>
              <w:t>ufficiale</w:t>
            </w:r>
            <w:r w:rsidRPr="003B21A9">
              <w:rPr>
                <w:rFonts w:cs="Arial"/>
                <w:sz w:val="20"/>
                <w:szCs w:val="20"/>
              </w:rPr>
              <w:t>.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Consiglio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può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prevedere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scadenza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singole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rate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acconto.</w:t>
            </w:r>
          </w:p>
        </w:tc>
        <w:tc>
          <w:tcPr>
            <w:tcW w:w="4814" w:type="dxa"/>
          </w:tcPr>
          <w:p w:rsidR="00834DE9" w:rsidRPr="003B21A9" w:rsidRDefault="00834DE9" w:rsidP="005575CC">
            <w:pPr>
              <w:ind w:right="215"/>
              <w:rPr>
                <w:rFonts w:cs="Arial"/>
                <w:b/>
                <w:sz w:val="20"/>
                <w:szCs w:val="20"/>
              </w:rPr>
            </w:pPr>
            <w:r w:rsidRPr="003B21A9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240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cpv.</w:t>
            </w:r>
            <w:r w:rsidR="009E5884" w:rsidRPr="003B21A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b/>
                <w:sz w:val="20"/>
                <w:szCs w:val="20"/>
              </w:rPr>
              <w:t>1</w:t>
            </w:r>
          </w:p>
          <w:p w:rsidR="00834DE9" w:rsidRPr="003B21A9" w:rsidRDefault="00834DE9" w:rsidP="005575CC">
            <w:pPr>
              <w:ind w:right="215"/>
              <w:rPr>
                <w:rFonts w:cs="Arial"/>
                <w:sz w:val="20"/>
                <w:szCs w:val="20"/>
              </w:rPr>
            </w:pPr>
          </w:p>
          <w:p w:rsidR="00834DE9" w:rsidRPr="003B21A9" w:rsidRDefault="00834DE9" w:rsidP="005575CC">
            <w:pPr>
              <w:ind w:right="215"/>
              <w:rPr>
                <w:sz w:val="20"/>
                <w:szCs w:val="20"/>
                <w:lang w:eastAsia="it-IT"/>
              </w:rPr>
            </w:pPr>
            <w:r w:rsidRPr="003B21A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3B21A9">
              <w:rPr>
                <w:rFonts w:cs="Arial"/>
                <w:sz w:val="20"/>
                <w:szCs w:val="20"/>
              </w:rPr>
              <w:t>L’imposta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ordinaria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scade,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regola,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termine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fissato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dal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Consiglio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Stato,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il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quale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può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anche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prevedere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la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scadenza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singole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rate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di</w:t>
            </w:r>
            <w:r w:rsidR="009E5884" w:rsidRPr="003B21A9">
              <w:rPr>
                <w:rFonts w:cs="Arial"/>
                <w:sz w:val="20"/>
                <w:szCs w:val="20"/>
              </w:rPr>
              <w:t xml:space="preserve"> </w:t>
            </w:r>
            <w:r w:rsidRPr="003B21A9">
              <w:rPr>
                <w:rFonts w:cs="Arial"/>
                <w:sz w:val="20"/>
                <w:szCs w:val="20"/>
              </w:rPr>
              <w:t>acconto.</w:t>
            </w:r>
          </w:p>
        </w:tc>
      </w:tr>
    </w:tbl>
    <w:p w:rsidR="00834DE9" w:rsidRPr="003B21A9" w:rsidRDefault="00834DE9" w:rsidP="00224429">
      <w:pPr>
        <w:rPr>
          <w:rFonts w:eastAsia="Times New Roman"/>
          <w:szCs w:val="20"/>
          <w:lang w:eastAsia="it-IT"/>
        </w:rPr>
      </w:pPr>
    </w:p>
    <w:p w:rsidR="00224429" w:rsidRPr="003B21A9" w:rsidRDefault="00224429" w:rsidP="0022442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5575CC">
      <w:pPr>
        <w:keepNext/>
        <w:numPr>
          <w:ilvl w:val="0"/>
          <w:numId w:val="27"/>
        </w:numPr>
        <w:tabs>
          <w:tab w:val="left" w:pos="567"/>
        </w:tabs>
        <w:spacing w:after="120"/>
        <w:ind w:hanging="720"/>
        <w:outlineLvl w:val="0"/>
        <w:rPr>
          <w:rFonts w:eastAsia="Times New Roman"/>
          <w:b/>
          <w:caps/>
          <w:szCs w:val="24"/>
          <w:lang w:eastAsia="it-IT"/>
        </w:rPr>
      </w:pPr>
      <w:r w:rsidRPr="003B21A9">
        <w:rPr>
          <w:rFonts w:eastAsia="Times New Roman"/>
          <w:b/>
          <w:caps/>
          <w:szCs w:val="24"/>
          <w:lang w:eastAsia="it-IT"/>
        </w:rPr>
        <w:t>stralcio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di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disposizioni</w:t>
      </w:r>
      <w:r w:rsidR="009E5884" w:rsidRPr="003B21A9">
        <w:rPr>
          <w:rFonts w:eastAsia="Times New Roman"/>
          <w:b/>
          <w:caps/>
          <w:szCs w:val="24"/>
          <w:lang w:eastAsia="it-IT"/>
        </w:rPr>
        <w:t xml:space="preserve"> </w:t>
      </w:r>
      <w:r w:rsidRPr="003B21A9">
        <w:rPr>
          <w:rFonts w:eastAsia="Times New Roman"/>
          <w:b/>
          <w:caps/>
          <w:szCs w:val="24"/>
          <w:lang w:eastAsia="it-IT"/>
        </w:rPr>
        <w:t>transitorie</w:t>
      </w:r>
    </w:p>
    <w:p w:rsidR="00834DE9" w:rsidRPr="003B21A9" w:rsidRDefault="00834DE9" w:rsidP="00834DE9">
      <w:pPr>
        <w:spacing w:after="240"/>
        <w:rPr>
          <w:rFonts w:eastAsia="Times New Roman"/>
          <w:szCs w:val="20"/>
          <w:lang w:eastAsia="it-IT"/>
        </w:rPr>
      </w:pPr>
      <w:r w:rsidRPr="003B21A9">
        <w:rPr>
          <w:rFonts w:eastAsia="Times New Roman"/>
          <w:szCs w:val="20"/>
          <w:lang w:eastAsia="it-IT"/>
        </w:rPr>
        <w:t>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rimanda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messaggio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commenti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proposta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stralcio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disposizioni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transitorie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più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necessarie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nella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specificatamente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gli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301–302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303–308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309–309c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310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312–314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317–319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nonché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tutto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il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capitolo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VII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consistente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degli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21a–321i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LT.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Questi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articoli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non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trovano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più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alcuna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applicazione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pratica,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riferendosi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periodi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imposta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coperti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dalla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prescrizione</w:t>
      </w:r>
      <w:r w:rsidR="009E5884" w:rsidRPr="003B21A9">
        <w:rPr>
          <w:rFonts w:eastAsia="Times New Roman"/>
          <w:szCs w:val="20"/>
          <w:lang w:eastAsia="it-IT"/>
        </w:rPr>
        <w:t xml:space="preserve"> </w:t>
      </w:r>
      <w:r w:rsidRPr="003B21A9">
        <w:rPr>
          <w:rFonts w:eastAsia="Times New Roman"/>
          <w:szCs w:val="20"/>
          <w:lang w:eastAsia="it-IT"/>
        </w:rPr>
        <w:t>assoluta.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256"/>
        <w:gridCol w:w="4372"/>
      </w:tblGrid>
      <w:tr w:rsidR="00834DE9" w:rsidRPr="003B21A9" w:rsidTr="009E5884">
        <w:trPr>
          <w:trHeight w:val="340"/>
        </w:trPr>
        <w:tc>
          <w:tcPr>
            <w:tcW w:w="5256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rPr>
                <w:b/>
                <w:bCs/>
                <w:color w:val="FFFFFF"/>
                <w:sz w:val="22"/>
                <w:lang w:eastAsia="it-IT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attualmente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in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vigore</w:t>
            </w:r>
          </w:p>
        </w:tc>
        <w:tc>
          <w:tcPr>
            <w:tcW w:w="4372" w:type="dxa"/>
            <w:shd w:val="clear" w:color="auto" w:fill="7F7F7F" w:themeFill="text1" w:themeFillTint="80"/>
          </w:tcPr>
          <w:p w:rsidR="00834DE9" w:rsidRPr="003B21A9" w:rsidRDefault="00834DE9" w:rsidP="00916BCE">
            <w:pPr>
              <w:rPr>
                <w:b/>
                <w:bCs/>
                <w:color w:val="FFFFFF"/>
                <w:sz w:val="22"/>
                <w:lang w:eastAsia="it-IT"/>
              </w:rPr>
            </w:pPr>
            <w:r w:rsidRPr="003B21A9">
              <w:rPr>
                <w:rFonts w:cs="Arial"/>
                <w:b/>
                <w:color w:val="FFFFFF"/>
                <w:sz w:val="22"/>
              </w:rPr>
              <w:t>Testo</w:t>
            </w:r>
            <w:r w:rsidR="009E5884" w:rsidRPr="003B21A9">
              <w:rPr>
                <w:rFonts w:cs="Arial"/>
                <w:b/>
                <w:color w:val="FFFFFF"/>
                <w:sz w:val="22"/>
              </w:rPr>
              <w:t xml:space="preserve"> </w:t>
            </w:r>
            <w:r w:rsidRPr="003B21A9">
              <w:rPr>
                <w:rFonts w:cs="Arial"/>
                <w:b/>
                <w:color w:val="FFFFFF"/>
                <w:sz w:val="22"/>
              </w:rPr>
              <w:t>proposto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301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Deduzioni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perdite</w:t>
            </w:r>
          </w:p>
          <w:p w:rsidR="00834DE9" w:rsidRPr="005575CC" w:rsidRDefault="00834DE9" w:rsidP="005575CC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30,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deducibili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unicamente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perdite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partire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sempreché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301</w:t>
            </w:r>
          </w:p>
          <w:p w:rsidR="00834DE9" w:rsidRPr="005575CC" w:rsidRDefault="00834DE9" w:rsidP="00916BCE">
            <w:pPr>
              <w:spacing w:after="240"/>
              <w:rPr>
                <w:i/>
                <w:iCs/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302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Deduzioni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generali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2000,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generale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coniugi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doppio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ammessa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coniuge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lavora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l’altro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beneficia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rendita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d’invalidità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base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legislazione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federale.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303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Prestazioni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provenienti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dalla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previdenza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prestazioni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previdenza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pure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analoghe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prestazioni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datore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lavoro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somme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versate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seguito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decesso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corporale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permanente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oppure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pregiudizio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durevole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salute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virtù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erano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successivo,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tassate,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38.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303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304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Redditi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fonti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previdenziali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2000,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istituzioni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previdenza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professionale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misura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90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massimo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2’000.-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franchi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indicizzabile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base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39.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304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</w:tbl>
    <w:p w:rsidR="005575CC" w:rsidRDefault="005575CC"/>
    <w:p w:rsidR="005575CC" w:rsidRDefault="005575CC"/>
    <w:p w:rsidR="005575CC" w:rsidRDefault="005575CC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256"/>
        <w:gridCol w:w="4372"/>
      </w:tblGrid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305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Versamenti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danni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corporali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pregiudizio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durevole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salute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parziale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articoli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38,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2000,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somme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versate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corporale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permanente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pregiudizio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durevole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salute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rappresentino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compensazione.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305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306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Prestazioni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provenienti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dalla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previdenza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professionale</w:t>
            </w:r>
          </w:p>
          <w:p w:rsidR="00834DE9" w:rsidRPr="005575CC" w:rsidRDefault="00834DE9" w:rsidP="005575CC">
            <w:pPr>
              <w:spacing w:after="12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2000,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prestazioni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provenienti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previdenza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professionale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fondate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rapporto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previdenza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esistente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1986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ragione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del: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noProof/>
                <w:sz w:val="20"/>
                <w:szCs w:val="20"/>
                <w:lang w:eastAsia="it-CH"/>
              </w:rPr>
              <w:drawing>
                <wp:inline distT="0" distB="0" distL="0" distR="0">
                  <wp:extent cx="2643889" cy="810478"/>
                  <wp:effectExtent l="0" t="0" r="4445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54" cy="82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306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307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Guadagni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commercio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professionale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immobili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guadagni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derivanti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commercio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immobili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esercitato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titolo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professionale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tributaria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settembre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1976,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Quando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guadagni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possono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l’intero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57.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307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308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Profitti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utili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liquidazione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immobiliari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profitti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utili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liquidazione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immobiliari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tributaria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settembre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1976,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erano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successivo,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tassati,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57.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308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intermedia</w:t>
            </w:r>
          </w:p>
          <w:p w:rsidR="00834DE9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intermedie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basate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99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tributaria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settembre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1976,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presupposti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verificati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continuano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ad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esplicare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loro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effetti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stessa.</w:t>
            </w:r>
          </w:p>
          <w:p w:rsidR="005575CC" w:rsidRPr="005575CC" w:rsidRDefault="005575CC" w:rsidP="00916BCE">
            <w:pPr>
              <w:spacing w:after="240"/>
              <w:rPr>
                <w:sz w:val="20"/>
                <w:szCs w:val="20"/>
                <w:lang w:eastAsia="it-IT"/>
              </w:rPr>
            </w:pP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presupposti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intermedia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verificati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richiesta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deve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all’autorità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relativa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iniziata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quest’ultima,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entro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scadenza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riferisce.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309a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aliquote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35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limitatamente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2004,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aumentata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3.823%.</w:t>
            </w:r>
          </w:p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base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moltiplicatore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276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309a</w:t>
            </w:r>
          </w:p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309b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Neutralizzazione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2005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aliquote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dell’art.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35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2005,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aliquote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35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aumentata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2.215%.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base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moltiplicatore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276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309b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309c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Supplemento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comunale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2006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2006,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base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276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aumentata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supplemento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2.215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%.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Municipio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ha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facoltà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rinunciare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all’applicazione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supplemento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previsto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questo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decisione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deve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adottata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più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tardi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decisione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determina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moltiplicatore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2006.</w:t>
            </w:r>
          </w:p>
          <w:p w:rsidR="00834DE9" w:rsidRPr="005575CC" w:rsidRDefault="00834DE9" w:rsidP="005575CC">
            <w:pPr>
              <w:spacing w:after="12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supplemento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fini:</w:t>
            </w:r>
          </w:p>
          <w:p w:rsidR="00834DE9" w:rsidRPr="005575CC" w:rsidRDefault="00834DE9" w:rsidP="00916BCE">
            <w:pPr>
              <w:numPr>
                <w:ilvl w:val="0"/>
                <w:numId w:val="21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livellamento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4,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5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6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LPI</w:t>
            </w:r>
            <w:proofErr w:type="spellEnd"/>
            <w:r w:rsidRPr="005575CC">
              <w:rPr>
                <w:sz w:val="20"/>
                <w:szCs w:val="20"/>
                <w:lang w:eastAsia="it-IT"/>
              </w:rPr>
              <w:t>;</w:t>
            </w:r>
          </w:p>
          <w:p w:rsidR="00834DE9" w:rsidRPr="005575CC" w:rsidRDefault="00834DE9" w:rsidP="00916BCE">
            <w:pPr>
              <w:numPr>
                <w:ilvl w:val="0"/>
                <w:numId w:val="21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dell’indice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forza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finanziaria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articoli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9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LPI</w:t>
            </w:r>
            <w:proofErr w:type="spellEnd"/>
            <w:r w:rsidRPr="005575CC">
              <w:rPr>
                <w:sz w:val="20"/>
                <w:szCs w:val="20"/>
                <w:lang w:eastAsia="it-IT"/>
              </w:rPr>
              <w:t>;</w:t>
            </w:r>
          </w:p>
          <w:p w:rsidR="00834DE9" w:rsidRPr="005575CC" w:rsidRDefault="00834DE9" w:rsidP="00916BCE">
            <w:pPr>
              <w:numPr>
                <w:ilvl w:val="0"/>
                <w:numId w:val="21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aiuti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investimenti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14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LPI</w:t>
            </w:r>
            <w:proofErr w:type="spellEnd"/>
            <w:r w:rsidRPr="005575CC">
              <w:rPr>
                <w:sz w:val="20"/>
                <w:szCs w:val="20"/>
                <w:lang w:eastAsia="it-IT"/>
              </w:rPr>
              <w:t>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4</w:t>
            </w:r>
            <w:r w:rsidRPr="005575CC">
              <w:rPr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4372" w:type="dxa"/>
          </w:tcPr>
          <w:p w:rsidR="00834DE9" w:rsidRPr="005575CC" w:rsidRDefault="00834DE9" w:rsidP="005575CC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309c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5575CC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310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Modificazione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basi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temporali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sull’utile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associazioni,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fondazioni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altre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giuridiche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dopo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provvisoriamente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vecchio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nuovo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l’importo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nuovo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maggiore,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dovuta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questo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altrimenti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determinata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vecchio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realizzati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esercizi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chiusi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durante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sottoposti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speciale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78,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purché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utilizzati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copertura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perdite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autorizzata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deduzione.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intendono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utili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rivalutazioni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contabili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elementi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patrimoniali,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scioglimento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accantonamenti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l’omissione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ammortamenti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accantonamenti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giustificati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dall’uso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commerciale.</w:t>
            </w:r>
          </w:p>
        </w:tc>
        <w:tc>
          <w:tcPr>
            <w:tcW w:w="4372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310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312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Oneri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deducibili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costituiscono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oneri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giustificati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dall’uso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commerciale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conformemente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68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federali,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concernenti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antecedenti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legge.</w:t>
            </w:r>
          </w:p>
        </w:tc>
        <w:tc>
          <w:tcPr>
            <w:tcW w:w="4372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313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Deduzione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perdite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75,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deducibili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unicamente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perdite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partire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quattro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esercizi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sempreché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dell’utile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anni.</w:t>
            </w:r>
          </w:p>
        </w:tc>
        <w:tc>
          <w:tcPr>
            <w:tcW w:w="4372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313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314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Aliquota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aggiuntiva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deroga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articoli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76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79,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l’aliquota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sull’utile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società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società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cooperative,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pure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giuridiche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59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fondi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investimento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possesso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fondiario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diretto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59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aumentata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punto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percentuale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quattro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successivi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legge.</w:t>
            </w:r>
          </w:p>
        </w:tc>
        <w:tc>
          <w:tcPr>
            <w:tcW w:w="4372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314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317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Rimedi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diritto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Contro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notificate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maggior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valore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immobiliare,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emanate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virtu</w:t>
            </w:r>
            <w:proofErr w:type="spellEnd"/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concernente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maggior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valore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immobiliare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1964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rimedi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precedente.</w:t>
            </w:r>
          </w:p>
        </w:tc>
        <w:tc>
          <w:tcPr>
            <w:tcW w:w="4372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317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318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Revisione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revisione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decisioni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cresciute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giudicato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momento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termini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revisione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decisioni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emanate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virtù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concernente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maggior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valore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immobiliare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1964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termini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precedente.</w:t>
            </w:r>
          </w:p>
        </w:tc>
        <w:tc>
          <w:tcPr>
            <w:tcW w:w="4372" w:type="dxa"/>
          </w:tcPr>
          <w:p w:rsidR="00834DE9" w:rsidRPr="005575CC" w:rsidRDefault="00834DE9" w:rsidP="00916BCE">
            <w:pPr>
              <w:spacing w:after="24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318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</w:tbl>
    <w:p w:rsidR="00295391" w:rsidRDefault="00295391"/>
    <w:p w:rsidR="00295391" w:rsidRDefault="00295391"/>
    <w:p w:rsidR="00295391" w:rsidRDefault="00295391"/>
    <w:p w:rsidR="00295391" w:rsidRDefault="00295391"/>
    <w:p w:rsidR="00295391" w:rsidRDefault="00295391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256"/>
        <w:gridCol w:w="4372"/>
      </w:tblGrid>
      <w:tr w:rsidR="00834DE9" w:rsidRPr="005575CC" w:rsidTr="00916BCE">
        <w:tc>
          <w:tcPr>
            <w:tcW w:w="5256" w:type="dxa"/>
          </w:tcPr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319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Ricupero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d’imposta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Alle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procedure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ricupero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riferiscono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disposizioni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precedente.</w:t>
            </w:r>
          </w:p>
          <w:p w:rsidR="00834DE9" w:rsidRPr="005575CC" w:rsidRDefault="00834DE9" w:rsidP="00295391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procedure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ricupero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apertesi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dopo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l’entrata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vigore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termini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237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fattispecie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prescritti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virt</w:t>
            </w:r>
            <w:r w:rsidR="00295391">
              <w:rPr>
                <w:sz w:val="20"/>
                <w:szCs w:val="20"/>
                <w:lang w:eastAsia="it-IT"/>
              </w:rPr>
              <w:t>ù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precedente.</w:t>
            </w:r>
          </w:p>
        </w:tc>
        <w:tc>
          <w:tcPr>
            <w:tcW w:w="4372" w:type="dxa"/>
          </w:tcPr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319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i/>
                <w:iCs/>
                <w:sz w:val="20"/>
                <w:szCs w:val="20"/>
                <w:lang w:eastAsia="it-IT"/>
              </w:rPr>
              <w:t>Abrogato</w:t>
            </w:r>
          </w:p>
        </w:tc>
      </w:tr>
      <w:tr w:rsidR="00834DE9" w:rsidRPr="005575CC" w:rsidTr="00916BCE">
        <w:tc>
          <w:tcPr>
            <w:tcW w:w="5256" w:type="dxa"/>
          </w:tcPr>
          <w:p w:rsidR="00834DE9" w:rsidRPr="005575CC" w:rsidRDefault="00834DE9" w:rsidP="00295391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CAPITOLO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VII</w:t>
            </w:r>
          </w:p>
          <w:p w:rsidR="00834DE9" w:rsidRPr="005575CC" w:rsidRDefault="00834DE9" w:rsidP="00295391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Disposizioni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concernenti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cambiamento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basi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temporali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fisiche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Principio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nuovo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concernente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prima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volta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2003.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riscossione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compreso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disciplinati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vecchio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diritto.</w:t>
            </w:r>
          </w:p>
          <w:p w:rsidR="00834DE9" w:rsidRPr="005575CC" w:rsidRDefault="00834DE9" w:rsidP="00295391">
            <w:pPr>
              <w:spacing w:after="12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Passaggio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annuale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fisiche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321b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a)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Contribuenti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interessati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disciplinamento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concernente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passaggio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fisiche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assoggettati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all’inizio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2003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erano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durante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2001/2002.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321c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b)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Imposta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sul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sulla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sostanza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sostanza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2003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riscosse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conformemente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nuovo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diritto.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321d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c)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esercizio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concluso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questi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soggiacciono,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realizzati,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intera.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riservati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articoli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36,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38.</w:t>
            </w:r>
          </w:p>
          <w:p w:rsidR="00295391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particolare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liquidazioni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prestazioni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ricorrenti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cessazione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rapporto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lavoro,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componenti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salario,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aperiodici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sostanza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proveniente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dall’alienazione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rimborso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obbligazioni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preponderatamente</w:t>
            </w:r>
            <w:proofErr w:type="spellEnd"/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interesse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unico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dividendi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sostanza,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utili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capitale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rivalutazione,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scioglimento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accantonamenti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riserve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occulte,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l’omissione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ammortamenti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accantonamenti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usuali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rispettivo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esercizio,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nonché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altri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utili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derivanti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un’attività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lucrativa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indipendente.</w:t>
            </w:r>
          </w:p>
          <w:p w:rsidR="00295391" w:rsidRPr="005575CC" w:rsidRDefault="00295391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 321e – Procedura di tassazione dei proventi straordinari degli anni 2001 e 2002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medesimo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cumulati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soggiacciono,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assieme,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ad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intera.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calcolata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aliquote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valevoli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2001/2002.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situazione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determinante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all’inizio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quest’ultimo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sociali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34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accordate.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relazione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diretta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possono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dedotte.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4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scade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notifica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decisione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5</w:t>
            </w:r>
            <w:r w:rsidRPr="005575CC">
              <w:rPr>
                <w:sz w:val="20"/>
                <w:szCs w:val="20"/>
                <w:lang w:eastAsia="it-IT"/>
              </w:rPr>
              <w:t>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assegnata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dove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presupposti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l’assoggettamento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secondo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277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1.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321f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degli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Dal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periodo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fiscale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2001/2002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assoggettati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1°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gennaio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2003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possono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dedotte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sostenute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mediamente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2002.</w:t>
            </w:r>
          </w:p>
          <w:p w:rsidR="00834DE9" w:rsidRPr="005575CC" w:rsidRDefault="00834DE9" w:rsidP="00295391">
            <w:pPr>
              <w:spacing w:after="12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unicamente:</w:t>
            </w:r>
          </w:p>
          <w:p w:rsidR="00834DE9" w:rsidRPr="005575CC" w:rsidRDefault="00834DE9" w:rsidP="00916BCE">
            <w:pPr>
              <w:numPr>
                <w:ilvl w:val="0"/>
                <w:numId w:val="22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manutenzione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immobili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3),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misura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superano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annualmente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complessiva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capoverso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4;</w:t>
            </w:r>
          </w:p>
          <w:p w:rsidR="00834DE9" w:rsidRPr="005575CC" w:rsidRDefault="00834DE9" w:rsidP="00916BCE">
            <w:pPr>
              <w:numPr>
                <w:ilvl w:val="0"/>
                <w:numId w:val="22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dell’assicurato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istituzioni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previdenza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professionale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riscatto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contributivi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d);</w:t>
            </w:r>
          </w:p>
          <w:p w:rsidR="00834DE9" w:rsidRDefault="00834DE9" w:rsidP="00916BCE">
            <w:pPr>
              <w:numPr>
                <w:ilvl w:val="0"/>
                <w:numId w:val="22"/>
              </w:numPr>
              <w:spacing w:after="240"/>
              <w:contextualSpacing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malattia,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infortunio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invalidità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i),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perfezionamento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riqualificazione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professionale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25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cpv.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misura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superano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mediamente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considerate.</w:t>
            </w:r>
          </w:p>
          <w:p w:rsidR="00295391" w:rsidRPr="005575CC" w:rsidRDefault="00295391" w:rsidP="00295391">
            <w:pPr>
              <w:spacing w:after="240"/>
              <w:ind w:left="360"/>
              <w:contextualSpacing/>
              <w:rPr>
                <w:sz w:val="20"/>
                <w:szCs w:val="20"/>
                <w:lang w:eastAsia="it-IT"/>
              </w:rPr>
            </w:pP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3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cresciute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giudicato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modificate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favore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contribuente.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procedura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applicabile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234.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dichiarazione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321h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considerata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domanda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revisione.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321g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Modifica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dell’assoggettamento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nelle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relazioni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intercantonali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partenza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321d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321f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sostenuti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partenza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rispettivamente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deducibili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Ticino.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arrivo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proventi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321d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321f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conseguiti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sostenuti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arrivo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Cantone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fino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dicembre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imponibili,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rispettivamente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deducibili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Ticino.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321h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Dichiarazione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imposta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gli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1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contribuenti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devono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presentare,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nell’anno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2003,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dichiarazione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completa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compilata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conformemente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disposizioni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concernenti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biennale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praenumerando</w:t>
            </w:r>
            <w:proofErr w:type="spellEnd"/>
            <w:r w:rsidRPr="005575CC">
              <w:rPr>
                <w:sz w:val="20"/>
                <w:szCs w:val="20"/>
                <w:lang w:eastAsia="it-IT"/>
              </w:rPr>
              <w:t>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serve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determinare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chiedere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rimborso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preventiva,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procedere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comunicazioni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</w:t>
            </w:r>
            <w:proofErr w:type="spellStart"/>
            <w:r w:rsidRPr="005575CC">
              <w:rPr>
                <w:sz w:val="20"/>
                <w:szCs w:val="20"/>
                <w:lang w:eastAsia="it-IT"/>
              </w:rPr>
              <w:t>AVS</w:t>
            </w:r>
            <w:proofErr w:type="spellEnd"/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indipendenti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persone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attività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lucrativa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verificare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casi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intermedia.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vertAlign w:val="superscript"/>
                <w:lang w:eastAsia="it-IT"/>
              </w:rPr>
              <w:t>2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dichiarazione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imposta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deve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essere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comprensiva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redditi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321d)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spese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straordinarie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cui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chiede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deduzione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(art.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321f).</w:t>
            </w:r>
          </w:p>
          <w:p w:rsidR="00834DE9" w:rsidRPr="005575CC" w:rsidRDefault="00834DE9" w:rsidP="00295391">
            <w:pPr>
              <w:spacing w:after="200"/>
              <w:rPr>
                <w:b/>
                <w:bCs/>
                <w:sz w:val="20"/>
                <w:szCs w:val="20"/>
                <w:lang w:eastAsia="it-IT"/>
              </w:rPr>
            </w:pPr>
            <w:r w:rsidRPr="005575CC">
              <w:rPr>
                <w:b/>
                <w:bCs/>
                <w:sz w:val="20"/>
                <w:szCs w:val="20"/>
                <w:lang w:eastAsia="it-IT"/>
              </w:rPr>
              <w:t>Art.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321i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–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intermedia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per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cessazione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attività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o</w:t>
            </w:r>
            <w:r w:rsidR="009E5884" w:rsidRPr="005575CC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b/>
                <w:bCs/>
                <w:sz w:val="20"/>
                <w:szCs w:val="20"/>
                <w:lang w:eastAsia="it-IT"/>
              </w:rPr>
              <w:t>2002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sz w:val="20"/>
                <w:szCs w:val="20"/>
                <w:lang w:eastAsia="it-IT"/>
              </w:rPr>
              <w:t>In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relazione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all’articolo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55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lettera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b)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Legge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tributaria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giugno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1994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tassazione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intermedia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è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anche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quando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cessazione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dell’attività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lavorativa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ha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una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durata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di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almeno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mesi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senza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interruzioni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apprezzabili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negli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anni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2001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e</w:t>
            </w:r>
            <w:r w:rsidR="009E5884" w:rsidRPr="005575CC">
              <w:rPr>
                <w:sz w:val="20"/>
                <w:szCs w:val="20"/>
                <w:lang w:eastAsia="it-IT"/>
              </w:rPr>
              <w:t xml:space="preserve"> </w:t>
            </w:r>
            <w:r w:rsidRPr="005575CC">
              <w:rPr>
                <w:sz w:val="20"/>
                <w:szCs w:val="20"/>
                <w:lang w:eastAsia="it-IT"/>
              </w:rPr>
              <w:t>2002.</w:t>
            </w:r>
          </w:p>
        </w:tc>
        <w:tc>
          <w:tcPr>
            <w:tcW w:w="4372" w:type="dxa"/>
          </w:tcPr>
          <w:p w:rsidR="00834DE9" w:rsidRPr="005575CC" w:rsidRDefault="00834DE9" w:rsidP="0029539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5575CC">
              <w:rPr>
                <w:rFonts w:cs="Arial"/>
                <w:b/>
                <w:sz w:val="20"/>
                <w:szCs w:val="20"/>
              </w:rPr>
              <w:t>Capitolo</w:t>
            </w:r>
            <w:r w:rsidR="009E5884" w:rsidRPr="005575C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575CC">
              <w:rPr>
                <w:rFonts w:cs="Arial"/>
                <w:b/>
                <w:sz w:val="20"/>
                <w:szCs w:val="20"/>
              </w:rPr>
              <w:t>VII</w:t>
            </w:r>
            <w:r w:rsidR="009E5884" w:rsidRPr="005575C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575CC">
              <w:rPr>
                <w:rFonts w:cs="Arial"/>
                <w:b/>
                <w:sz w:val="20"/>
                <w:szCs w:val="20"/>
              </w:rPr>
              <w:t>–</w:t>
            </w:r>
            <w:r w:rsidR="009E5884" w:rsidRPr="005575C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575CC">
              <w:rPr>
                <w:rFonts w:cs="Arial"/>
                <w:b/>
                <w:sz w:val="20"/>
                <w:szCs w:val="20"/>
              </w:rPr>
              <w:t>art.</w:t>
            </w:r>
            <w:r w:rsidR="009E5884" w:rsidRPr="005575C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575CC">
              <w:rPr>
                <w:rFonts w:cs="Arial"/>
                <w:b/>
                <w:sz w:val="20"/>
                <w:szCs w:val="20"/>
              </w:rPr>
              <w:t>321a-321i</w:t>
            </w:r>
          </w:p>
          <w:p w:rsidR="00834DE9" w:rsidRPr="005575CC" w:rsidRDefault="00834DE9" w:rsidP="00916BCE">
            <w:pPr>
              <w:spacing w:after="240"/>
              <w:rPr>
                <w:sz w:val="20"/>
                <w:szCs w:val="20"/>
                <w:lang w:eastAsia="it-IT"/>
              </w:rPr>
            </w:pPr>
            <w:r w:rsidRPr="005575CC">
              <w:rPr>
                <w:rFonts w:cs="Arial"/>
                <w:i/>
                <w:sz w:val="20"/>
                <w:szCs w:val="20"/>
              </w:rPr>
              <w:t>Abrogato</w:t>
            </w:r>
          </w:p>
        </w:tc>
      </w:tr>
    </w:tbl>
    <w:p w:rsidR="00224429" w:rsidRDefault="00224429" w:rsidP="00224429">
      <w:pPr>
        <w:rPr>
          <w:lang w:eastAsia="it-IT"/>
        </w:rPr>
      </w:pPr>
    </w:p>
    <w:p w:rsidR="00295391" w:rsidRDefault="00295391" w:rsidP="00224429">
      <w:pPr>
        <w:rPr>
          <w:lang w:eastAsia="it-IT"/>
        </w:rPr>
      </w:pPr>
    </w:p>
    <w:p w:rsidR="00295391" w:rsidRPr="003B21A9" w:rsidRDefault="00295391" w:rsidP="00224429">
      <w:pPr>
        <w:rPr>
          <w:lang w:eastAsia="it-IT"/>
        </w:rPr>
      </w:pPr>
    </w:p>
    <w:p w:rsidR="00834DE9" w:rsidRPr="003B21A9" w:rsidRDefault="00224429" w:rsidP="00224429">
      <w:pPr>
        <w:pStyle w:val="Titolo1"/>
        <w:rPr>
          <w:lang w:val="it-CH"/>
        </w:rPr>
      </w:pPr>
      <w:r w:rsidRPr="003B21A9">
        <w:rPr>
          <w:lang w:val="it-CH"/>
        </w:rPr>
        <w:t>III.</w:t>
      </w:r>
      <w:r w:rsidRPr="003B21A9">
        <w:rPr>
          <w:lang w:val="it-CH"/>
        </w:rPr>
        <w:tab/>
      </w:r>
      <w:r w:rsidR="00834DE9" w:rsidRPr="003B21A9">
        <w:rPr>
          <w:lang w:val="it-CH"/>
        </w:rPr>
        <w:t>CONCLUSIONI</w:t>
      </w:r>
    </w:p>
    <w:p w:rsidR="009E5884" w:rsidRPr="003B21A9" w:rsidRDefault="00834DE9" w:rsidP="00295391">
      <w:pPr>
        <w:keepNext/>
        <w:tabs>
          <w:tab w:val="left" w:pos="709"/>
        </w:tabs>
        <w:spacing w:before="120"/>
        <w:outlineLvl w:val="3"/>
        <w:rPr>
          <w:rFonts w:eastAsia="Times New Roman" w:cs="Arial"/>
          <w:szCs w:val="24"/>
          <w:lang w:eastAsia="it-IT"/>
        </w:rPr>
      </w:pPr>
      <w:r w:rsidRPr="003B21A9">
        <w:rPr>
          <w:rFonts w:eastAsia="Times New Roman" w:cs="Arial"/>
          <w:szCs w:val="24"/>
          <w:lang w:eastAsia="it-IT"/>
        </w:rPr>
        <w:t>Tutto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ciò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premesso,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la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Commissione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gestione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e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finanze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invita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il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Gran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Consiglio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ad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approvare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il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disegno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di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decreto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legislativo</w:t>
      </w:r>
      <w:r w:rsidR="009E5884" w:rsidRPr="003B21A9">
        <w:rPr>
          <w:rFonts w:eastAsia="Times New Roman" w:cs="Arial"/>
          <w:szCs w:val="24"/>
          <w:lang w:eastAsia="it-IT"/>
        </w:rPr>
        <w:t xml:space="preserve"> </w:t>
      </w:r>
      <w:r w:rsidRPr="003B21A9">
        <w:rPr>
          <w:rFonts w:eastAsia="Times New Roman" w:cs="Arial"/>
          <w:szCs w:val="24"/>
          <w:lang w:eastAsia="it-IT"/>
        </w:rPr>
        <w:t>annesso</w:t>
      </w:r>
      <w:r w:rsidR="009E5884" w:rsidRPr="003B21A9">
        <w:rPr>
          <w:rFonts w:eastAsia="Times New Roman" w:cs="Arial"/>
          <w:szCs w:val="24"/>
          <w:lang w:eastAsia="it-IT"/>
        </w:rPr>
        <w:t xml:space="preserve"> al messaggio.</w:t>
      </w:r>
    </w:p>
    <w:p w:rsidR="00834DE9" w:rsidRPr="003B21A9" w:rsidRDefault="00834DE9" w:rsidP="00834DE9">
      <w:pPr>
        <w:rPr>
          <w:rFonts w:eastAsia="Times New Roman"/>
          <w:szCs w:val="20"/>
          <w:lang w:eastAsia="it-IT"/>
        </w:rPr>
      </w:pPr>
    </w:p>
    <w:p w:rsidR="00834DE9" w:rsidRPr="003B21A9" w:rsidRDefault="00834DE9" w:rsidP="00834DE9">
      <w:pPr>
        <w:rPr>
          <w:rFonts w:eastAsia="Times New Roman"/>
          <w:szCs w:val="20"/>
          <w:lang w:eastAsia="it-IT"/>
        </w:rPr>
      </w:pPr>
    </w:p>
    <w:p w:rsidR="00224429" w:rsidRPr="003B21A9" w:rsidRDefault="00224429" w:rsidP="00834DE9">
      <w:pPr>
        <w:rPr>
          <w:rFonts w:eastAsia="Times New Roman"/>
          <w:szCs w:val="20"/>
          <w:lang w:eastAsia="it-IT"/>
        </w:rPr>
      </w:pPr>
    </w:p>
    <w:p w:rsidR="00916BCE" w:rsidRPr="003B21A9" w:rsidRDefault="00916BCE" w:rsidP="00916BCE">
      <w:pPr>
        <w:spacing w:after="120"/>
        <w:rPr>
          <w:rFonts w:cs="Arial"/>
          <w:szCs w:val="24"/>
        </w:rPr>
      </w:pPr>
      <w:r w:rsidRPr="003B21A9">
        <w:rPr>
          <w:rFonts w:cs="Arial"/>
          <w:szCs w:val="24"/>
        </w:rPr>
        <w:t>Per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la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Commissione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gestione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e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finanze:</w:t>
      </w:r>
    </w:p>
    <w:p w:rsidR="00916BCE" w:rsidRPr="003B21A9" w:rsidRDefault="00916BCE" w:rsidP="00916BCE">
      <w:pPr>
        <w:rPr>
          <w:rFonts w:cs="Arial"/>
          <w:szCs w:val="24"/>
        </w:rPr>
      </w:pPr>
      <w:r w:rsidRPr="003B21A9">
        <w:rPr>
          <w:rFonts w:cs="Arial"/>
          <w:szCs w:val="24"/>
        </w:rPr>
        <w:t>Paolo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Pamini,</w:t>
      </w:r>
      <w:r w:rsidR="009E5884" w:rsidRPr="003B21A9">
        <w:rPr>
          <w:rFonts w:cs="Arial"/>
          <w:szCs w:val="24"/>
        </w:rPr>
        <w:t xml:space="preserve"> </w:t>
      </w:r>
      <w:r w:rsidRPr="003B21A9">
        <w:rPr>
          <w:rFonts w:cs="Arial"/>
          <w:szCs w:val="24"/>
        </w:rPr>
        <w:t>relatore</w:t>
      </w:r>
    </w:p>
    <w:p w:rsidR="00A168E9" w:rsidRPr="003B21A9" w:rsidRDefault="00A168E9" w:rsidP="00A168E9">
      <w:pPr>
        <w:rPr>
          <w:rFonts w:eastAsia="Times New Roman" w:cs="Arial"/>
          <w:szCs w:val="20"/>
          <w:lang w:eastAsia="it-IT"/>
        </w:rPr>
      </w:pPr>
      <w:bookmarkStart w:id="1" w:name="OLE_LINK1"/>
      <w:bookmarkStart w:id="2" w:name="OLE_LINK2"/>
      <w:r w:rsidRPr="003B21A9">
        <w:rPr>
          <w:rFonts w:eastAsia="Times New Roman" w:cs="Arial"/>
          <w:szCs w:val="20"/>
          <w:lang w:eastAsia="it-IT"/>
        </w:rPr>
        <w:t>Agustoni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Balli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Bignasca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Biscossa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</w:p>
    <w:p w:rsidR="00A168E9" w:rsidRPr="003B21A9" w:rsidRDefault="00A168E9" w:rsidP="00A168E9">
      <w:pPr>
        <w:rPr>
          <w:rFonts w:eastAsia="Times New Roman" w:cs="Arial"/>
          <w:szCs w:val="20"/>
          <w:lang w:eastAsia="it-IT"/>
        </w:rPr>
      </w:pPr>
      <w:r w:rsidRPr="003B21A9">
        <w:rPr>
          <w:rFonts w:eastAsia="Times New Roman" w:cs="Arial"/>
          <w:szCs w:val="20"/>
          <w:lang w:eastAsia="it-IT"/>
        </w:rPr>
        <w:t>Bourgoin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Caprara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Caverzasio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Dadò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</w:p>
    <w:p w:rsidR="00A168E9" w:rsidRPr="003B21A9" w:rsidRDefault="00A168E9" w:rsidP="00A168E9">
      <w:pPr>
        <w:rPr>
          <w:rFonts w:eastAsia="Times New Roman" w:cs="Arial"/>
          <w:szCs w:val="20"/>
          <w:lang w:eastAsia="it-IT"/>
        </w:rPr>
      </w:pPr>
      <w:r w:rsidRPr="003B21A9">
        <w:rPr>
          <w:rFonts w:eastAsia="Times New Roman" w:cs="Arial"/>
          <w:szCs w:val="20"/>
          <w:lang w:eastAsia="it-IT"/>
        </w:rPr>
        <w:t>Durisch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Ferrara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Gianella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Alessandra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</w:p>
    <w:p w:rsidR="00A168E9" w:rsidRPr="003B21A9" w:rsidRDefault="00A168E9" w:rsidP="00A168E9">
      <w:pPr>
        <w:rPr>
          <w:rFonts w:eastAsia="Times New Roman" w:cs="Arial"/>
          <w:szCs w:val="20"/>
          <w:lang w:eastAsia="it-IT"/>
        </w:rPr>
      </w:pPr>
      <w:r w:rsidRPr="003B21A9">
        <w:rPr>
          <w:rFonts w:eastAsia="Times New Roman" w:cs="Arial"/>
          <w:szCs w:val="20"/>
          <w:lang w:eastAsia="it-IT"/>
        </w:rPr>
        <w:t>Guerra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Jelmini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Quadranti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-</w:t>
      </w:r>
      <w:r w:rsidR="009E5884" w:rsidRPr="003B21A9">
        <w:rPr>
          <w:rFonts w:eastAsia="Times New Roman" w:cs="Arial"/>
          <w:szCs w:val="20"/>
          <w:lang w:eastAsia="it-IT"/>
        </w:rPr>
        <w:t xml:space="preserve"> </w:t>
      </w:r>
      <w:r w:rsidRPr="003B21A9">
        <w:rPr>
          <w:rFonts w:eastAsia="Times New Roman" w:cs="Arial"/>
          <w:szCs w:val="20"/>
          <w:lang w:eastAsia="it-IT"/>
        </w:rPr>
        <w:t>Sirica</w:t>
      </w:r>
    </w:p>
    <w:bookmarkEnd w:id="1"/>
    <w:bookmarkEnd w:id="2"/>
    <w:p w:rsidR="00916BCE" w:rsidRPr="003B21A9" w:rsidRDefault="00916BCE" w:rsidP="00916BCE">
      <w:pPr>
        <w:tabs>
          <w:tab w:val="left" w:pos="284"/>
        </w:tabs>
      </w:pPr>
    </w:p>
    <w:sectPr w:rsidR="00916BCE" w:rsidRPr="003B21A9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84" w:rsidRDefault="009E5884" w:rsidP="008E77C6">
      <w:r>
        <w:separator/>
      </w:r>
    </w:p>
  </w:endnote>
  <w:endnote w:type="continuationSeparator" w:id="0">
    <w:p w:rsidR="009E5884" w:rsidRDefault="009E588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84" w:rsidRPr="008E77C6" w:rsidRDefault="009E5884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4418D2" w:rsidRPr="004418D2">
      <w:rPr>
        <w:noProof/>
        <w:sz w:val="20"/>
        <w:szCs w:val="20"/>
        <w:lang w:val="it-IT"/>
      </w:rPr>
      <w:t>11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84" w:rsidRDefault="009E5884" w:rsidP="008E77C6">
      <w:r>
        <w:separator/>
      </w:r>
    </w:p>
  </w:footnote>
  <w:footnote w:type="continuationSeparator" w:id="0">
    <w:p w:rsidR="009E5884" w:rsidRDefault="009E5884" w:rsidP="008E77C6">
      <w:r>
        <w:continuationSeparator/>
      </w:r>
    </w:p>
  </w:footnote>
  <w:footnote w:id="1">
    <w:p w:rsidR="009E5884" w:rsidRPr="00C11DC2" w:rsidRDefault="009E5884" w:rsidP="00834DE9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>Legge tributaria del 21 giugno 1994, RL 640.100.</w:t>
      </w:r>
    </w:p>
  </w:footnote>
  <w:footnote w:id="2">
    <w:p w:rsidR="009E5884" w:rsidRPr="00560A78" w:rsidRDefault="009E5884" w:rsidP="00834DE9">
      <w:pPr>
        <w:pStyle w:val="Testonotaapidipagina"/>
      </w:pPr>
      <w:r>
        <w:rPr>
          <w:rStyle w:val="Rimandonotaapidipagina"/>
        </w:rPr>
        <w:footnoteRef/>
      </w:r>
      <w:r>
        <w:t xml:space="preserve"> Legge federale del 14 dicembre 1990 sull’armonizzazione delle imposte dirette dei Cantoni e dei Comuni, RS 642.14.</w:t>
      </w:r>
    </w:p>
  </w:footnote>
  <w:footnote w:id="3">
    <w:p w:rsidR="009E5884" w:rsidRPr="00BD6ADC" w:rsidRDefault="009E5884" w:rsidP="00834DE9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>Legge federale del 14 dicembre 1990 sull’imposta federale diretta, RS 642.11.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2B25"/>
    <w:multiLevelType w:val="hybridMultilevel"/>
    <w:tmpl w:val="890862B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3A3"/>
    <w:multiLevelType w:val="hybridMultilevel"/>
    <w:tmpl w:val="CA023CFA"/>
    <w:lvl w:ilvl="0" w:tplc="6938E3E8">
      <w:start w:val="792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5AF6"/>
    <w:multiLevelType w:val="hybridMultilevel"/>
    <w:tmpl w:val="CF744FE0"/>
    <w:lvl w:ilvl="0" w:tplc="6B66B20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20C3"/>
    <w:multiLevelType w:val="hybridMultilevel"/>
    <w:tmpl w:val="481001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040B"/>
    <w:multiLevelType w:val="hybridMultilevel"/>
    <w:tmpl w:val="920077C4"/>
    <w:lvl w:ilvl="0" w:tplc="4E881BA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A9443F"/>
    <w:multiLevelType w:val="hybridMultilevel"/>
    <w:tmpl w:val="CCA0C964"/>
    <w:lvl w:ilvl="0" w:tplc="6486F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C4D39"/>
    <w:multiLevelType w:val="hybridMultilevel"/>
    <w:tmpl w:val="890862B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030"/>
    <w:multiLevelType w:val="hybridMultilevel"/>
    <w:tmpl w:val="78AC02B0"/>
    <w:lvl w:ilvl="0" w:tplc="77D0FAE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66572C"/>
    <w:multiLevelType w:val="hybridMultilevel"/>
    <w:tmpl w:val="07A83144"/>
    <w:lvl w:ilvl="0" w:tplc="20000013">
      <w:start w:val="1"/>
      <w:numFmt w:val="upperRoman"/>
      <w:lvlText w:val="%1."/>
      <w:lvlJc w:val="righ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337CD"/>
    <w:multiLevelType w:val="hybridMultilevel"/>
    <w:tmpl w:val="890862B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C3121"/>
    <w:multiLevelType w:val="hybridMultilevel"/>
    <w:tmpl w:val="0E7AE0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0EF3"/>
    <w:multiLevelType w:val="hybridMultilevel"/>
    <w:tmpl w:val="5A283FD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17118"/>
    <w:multiLevelType w:val="hybridMultilevel"/>
    <w:tmpl w:val="E4EA932A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36C72"/>
    <w:multiLevelType w:val="hybridMultilevel"/>
    <w:tmpl w:val="19AC222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065C"/>
    <w:multiLevelType w:val="hybridMultilevel"/>
    <w:tmpl w:val="40A8F928"/>
    <w:lvl w:ilvl="0" w:tplc="BB6CB6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561DC"/>
    <w:multiLevelType w:val="hybridMultilevel"/>
    <w:tmpl w:val="890862B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1"/>
  </w:num>
  <w:num w:numId="5">
    <w:abstractNumId w:val="8"/>
  </w:num>
  <w:num w:numId="6">
    <w:abstractNumId w:val="0"/>
  </w:num>
  <w:num w:numId="7">
    <w:abstractNumId w:val="19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25"/>
  </w:num>
  <w:num w:numId="15">
    <w:abstractNumId w:val="12"/>
  </w:num>
  <w:num w:numId="16">
    <w:abstractNumId w:val="3"/>
  </w:num>
  <w:num w:numId="17">
    <w:abstractNumId w:val="9"/>
  </w:num>
  <w:num w:numId="18">
    <w:abstractNumId w:val="17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1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9"/>
    <w:rsid w:val="00076E70"/>
    <w:rsid w:val="001574D7"/>
    <w:rsid w:val="00224429"/>
    <w:rsid w:val="00260C8C"/>
    <w:rsid w:val="002677DC"/>
    <w:rsid w:val="00295391"/>
    <w:rsid w:val="002E5E40"/>
    <w:rsid w:val="003B21A9"/>
    <w:rsid w:val="004418D2"/>
    <w:rsid w:val="004C4FBA"/>
    <w:rsid w:val="0052425A"/>
    <w:rsid w:val="00532A09"/>
    <w:rsid w:val="005575CC"/>
    <w:rsid w:val="00586A8D"/>
    <w:rsid w:val="006771B2"/>
    <w:rsid w:val="006C17AA"/>
    <w:rsid w:val="006D7A3B"/>
    <w:rsid w:val="006E4AE2"/>
    <w:rsid w:val="007352D3"/>
    <w:rsid w:val="007B5462"/>
    <w:rsid w:val="008034BD"/>
    <w:rsid w:val="00834DE9"/>
    <w:rsid w:val="00876352"/>
    <w:rsid w:val="008B2655"/>
    <w:rsid w:val="008B4137"/>
    <w:rsid w:val="008C767A"/>
    <w:rsid w:val="008E77C6"/>
    <w:rsid w:val="00916BCE"/>
    <w:rsid w:val="009770BB"/>
    <w:rsid w:val="009E008D"/>
    <w:rsid w:val="009E5884"/>
    <w:rsid w:val="00A168E9"/>
    <w:rsid w:val="00A5465F"/>
    <w:rsid w:val="00A77678"/>
    <w:rsid w:val="00B860C2"/>
    <w:rsid w:val="00BC4C95"/>
    <w:rsid w:val="00BD5944"/>
    <w:rsid w:val="00CC59CF"/>
    <w:rsid w:val="00CF6858"/>
    <w:rsid w:val="00D377B5"/>
    <w:rsid w:val="00D93B31"/>
    <w:rsid w:val="00DE5307"/>
    <w:rsid w:val="00E505DB"/>
    <w:rsid w:val="00E765A9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3E2FF"/>
  <w15:docId w15:val="{DB6D0FCC-C8EF-4AAD-A5C0-172180A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834DE9"/>
    <w:pPr>
      <w:keepNext/>
      <w:tabs>
        <w:tab w:val="left" w:pos="0"/>
        <w:tab w:val="left" w:pos="567"/>
      </w:tabs>
      <w:spacing w:after="120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834DE9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834DE9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834DE9"/>
    <w:rPr>
      <w:rFonts w:ascii="Arial" w:hAnsi="Arial"/>
      <w:b/>
      <w:sz w:val="24"/>
      <w:szCs w:val="22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2425A"/>
  </w:style>
  <w:style w:type="character" w:customStyle="1" w:styleId="Titolo4Carattere">
    <w:name w:val="Titolo 4 Carattere"/>
    <w:link w:val="Titolo4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B860C2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834DE9"/>
  </w:style>
  <w:style w:type="character" w:styleId="Numeropagina">
    <w:name w:val="page number"/>
    <w:rsid w:val="00834DE9"/>
  </w:style>
  <w:style w:type="paragraph" w:styleId="Corpodeltesto2">
    <w:name w:val="Body Text 2"/>
    <w:basedOn w:val="Normale"/>
    <w:link w:val="Corpodeltesto2Carattere"/>
    <w:rsid w:val="00834DE9"/>
    <w:pPr>
      <w:tabs>
        <w:tab w:val="left" w:pos="284"/>
        <w:tab w:val="left" w:pos="426"/>
        <w:tab w:val="left" w:pos="4962"/>
      </w:tabs>
    </w:pPr>
    <w:rPr>
      <w:rFonts w:eastAsia="Times New Roman"/>
      <w:b/>
      <w:sz w:val="26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34DE9"/>
    <w:rPr>
      <w:rFonts w:ascii="Arial" w:eastAsia="Times New Roman" w:hAnsi="Arial"/>
      <w:b/>
      <w:sz w:val="26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834DE9"/>
    <w:pPr>
      <w:tabs>
        <w:tab w:val="left" w:pos="709"/>
        <w:tab w:val="right" w:leader="dot" w:pos="9639"/>
      </w:tabs>
      <w:spacing w:before="40"/>
    </w:pPr>
    <w:rPr>
      <w:rFonts w:eastAsia="Times New Roman"/>
      <w:sz w:val="22"/>
      <w:lang w:val="it-IT" w:eastAsia="it-IT"/>
    </w:rPr>
  </w:style>
  <w:style w:type="paragraph" w:styleId="Sommario5">
    <w:name w:val="toc 5"/>
    <w:basedOn w:val="Normale"/>
    <w:next w:val="Normale"/>
    <w:autoRedefine/>
    <w:semiHidden/>
    <w:rsid w:val="00834DE9"/>
    <w:pPr>
      <w:tabs>
        <w:tab w:val="left" w:pos="709"/>
        <w:tab w:val="right" w:leader="dot" w:pos="9639"/>
      </w:tabs>
      <w:spacing w:before="40"/>
    </w:pPr>
    <w:rPr>
      <w:rFonts w:eastAsia="Times New Roman"/>
      <w:sz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834DE9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4DE9"/>
    <w:rPr>
      <w:rFonts w:ascii="Arial" w:eastAsia="Times New Roman" w:hAnsi="Arial"/>
      <w:lang w:val="it-IT" w:eastAsia="it-IT"/>
    </w:rPr>
  </w:style>
  <w:style w:type="character" w:styleId="Rimandonotaapidipagina">
    <w:name w:val="footnote reference"/>
    <w:rsid w:val="00834DE9"/>
    <w:rPr>
      <w:vertAlign w:val="superscript"/>
    </w:rPr>
  </w:style>
  <w:style w:type="character" w:styleId="Collegamentoipertestuale">
    <w:name w:val="Hyperlink"/>
    <w:unhideWhenUsed/>
    <w:rsid w:val="00834DE9"/>
    <w:rPr>
      <w:color w:val="0000FF"/>
      <w:u w:val="single"/>
    </w:rPr>
  </w:style>
  <w:style w:type="paragraph" w:customStyle="1" w:styleId="rientro">
    <w:name w:val="rientro"/>
    <w:basedOn w:val="Normale"/>
    <w:rsid w:val="00834DE9"/>
    <w:pPr>
      <w:ind w:left="1134" w:right="1134"/>
      <w:jc w:val="left"/>
    </w:pPr>
    <w:rPr>
      <w:rFonts w:ascii="Courier" w:eastAsia="Times New Roman" w:hAnsi="Courier"/>
      <w:szCs w:val="20"/>
      <w:lang w:val="it-IT" w:eastAsia="it-IT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unhideWhenUsed/>
    <w:rsid w:val="00834DE9"/>
    <w:pPr>
      <w:jc w:val="left"/>
    </w:pPr>
    <w:rPr>
      <w:rFonts w:ascii="Courier New" w:hAnsi="Courier New" w:cs="Courier New"/>
      <w:sz w:val="20"/>
      <w:szCs w:val="20"/>
      <w:lang w:eastAsia="it-CH"/>
    </w:rPr>
  </w:style>
  <w:style w:type="character" w:customStyle="1" w:styleId="TestonormaleCarattere">
    <w:name w:val="Testo normale Carattere"/>
    <w:link w:val="Testonormale1"/>
    <w:uiPriority w:val="99"/>
    <w:rsid w:val="00834DE9"/>
    <w:rPr>
      <w:rFonts w:ascii="Courier New" w:eastAsia="Calibri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834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834DE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apple-converted-space">
    <w:name w:val="apple-converted-space"/>
    <w:rsid w:val="00834DE9"/>
  </w:style>
  <w:style w:type="table" w:customStyle="1" w:styleId="Grigliatabella11">
    <w:name w:val="Griglia tabella11"/>
    <w:basedOn w:val="Tabellanormale"/>
    <w:next w:val="Grigliatabella"/>
    <w:uiPriority w:val="59"/>
    <w:rsid w:val="0083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link w:val="testoCarattere"/>
    <w:rsid w:val="00834DE9"/>
    <w:pPr>
      <w:tabs>
        <w:tab w:val="left" w:pos="567"/>
      </w:tabs>
      <w:spacing w:before="120"/>
    </w:pPr>
    <w:rPr>
      <w:rFonts w:eastAsia="Times New Roman"/>
      <w:snapToGrid w:val="0"/>
      <w:sz w:val="22"/>
      <w:szCs w:val="20"/>
      <w:lang w:eastAsia="it-IT"/>
    </w:rPr>
  </w:style>
  <w:style w:type="character" w:customStyle="1" w:styleId="testoCarattere">
    <w:name w:val="testo Carattere"/>
    <w:link w:val="testo"/>
    <w:rsid w:val="00834DE9"/>
    <w:rPr>
      <w:rFonts w:ascii="Arial" w:eastAsia="Times New Roman" w:hAnsi="Arial"/>
      <w:snapToGrid w:val="0"/>
      <w:sz w:val="22"/>
      <w:lang w:eastAsia="it-IT"/>
    </w:rPr>
  </w:style>
  <w:style w:type="paragraph" w:customStyle="1" w:styleId="TXT01Normale">
    <w:name w:val="TXT 01 Normale"/>
    <w:basedOn w:val="Normale"/>
    <w:rsid w:val="00834DE9"/>
    <w:pPr>
      <w:widowControl w:val="0"/>
      <w:tabs>
        <w:tab w:val="left" w:pos="567"/>
      </w:tabs>
      <w:autoSpaceDE w:val="0"/>
      <w:autoSpaceDN w:val="0"/>
      <w:adjustRightInd w:val="0"/>
      <w:spacing w:after="120"/>
      <w:ind w:left="851"/>
      <w:jc w:val="left"/>
    </w:pPr>
    <w:rPr>
      <w:rFonts w:eastAsia="Times New Roman" w:cs="Arial"/>
      <w:sz w:val="23"/>
      <w:szCs w:val="23"/>
      <w:lang w:eastAsia="it-IT"/>
    </w:rPr>
  </w:style>
  <w:style w:type="paragraph" w:customStyle="1" w:styleId="TXTgrisNormale">
    <w:name w:val="TXT gris Normale"/>
    <w:basedOn w:val="Normale"/>
    <w:rsid w:val="00834DE9"/>
    <w:pPr>
      <w:widowControl w:val="0"/>
      <w:autoSpaceDE w:val="0"/>
      <w:autoSpaceDN w:val="0"/>
      <w:adjustRightInd w:val="0"/>
      <w:spacing w:before="120"/>
      <w:ind w:left="851"/>
      <w:jc w:val="left"/>
    </w:pPr>
    <w:rPr>
      <w:rFonts w:eastAsia="Times New Roman" w:cs="Arial"/>
      <w:color w:val="808080"/>
      <w:sz w:val="20"/>
      <w:lang w:eastAsia="it-IT"/>
    </w:rPr>
  </w:style>
  <w:style w:type="paragraph" w:styleId="Didascalia">
    <w:name w:val="caption"/>
    <w:basedOn w:val="Normale"/>
    <w:next w:val="Normale"/>
    <w:qFormat/>
    <w:rsid w:val="00834DE9"/>
    <w:pPr>
      <w:widowControl w:val="0"/>
      <w:spacing w:before="120" w:after="240" w:line="260" w:lineRule="atLeast"/>
      <w:jc w:val="left"/>
    </w:pPr>
    <w:rPr>
      <w:rFonts w:eastAsia="Times New Roman"/>
      <w:b/>
      <w:bCs/>
      <w:sz w:val="18"/>
      <w:szCs w:val="18"/>
      <w:lang w:val="it-IT"/>
    </w:rPr>
  </w:style>
  <w:style w:type="character" w:customStyle="1" w:styleId="Collegamentovisitato1">
    <w:name w:val="Collegamento visitato1"/>
    <w:semiHidden/>
    <w:unhideWhenUsed/>
    <w:rsid w:val="00834DE9"/>
    <w:rPr>
      <w:color w:val="800080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834DE9"/>
    <w:rPr>
      <w:rFonts w:ascii="Arial" w:hAnsi="Arial"/>
      <w:sz w:val="24"/>
      <w:szCs w:val="22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834DE9"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834DE9"/>
    <w:rPr>
      <w:rFonts w:ascii="Courier New" w:hAnsi="Courier New" w:cs="Courier New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03DD-BD7B-46C8-8CB6-D398FDB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8</cp:revision>
  <cp:lastPrinted>2021-10-06T09:44:00Z</cp:lastPrinted>
  <dcterms:created xsi:type="dcterms:W3CDTF">2021-10-05T13:36:00Z</dcterms:created>
  <dcterms:modified xsi:type="dcterms:W3CDTF">2021-10-06T09:47:00Z</dcterms:modified>
</cp:coreProperties>
</file>