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F0" w:rsidRDefault="00C420F0" w:rsidP="00C420F0">
      <w:pPr>
        <w:rPr>
          <w:rFonts w:ascii="Gill Sans MT" w:hAnsi="Gill Sans MT"/>
          <w:b/>
          <w:sz w:val="56"/>
          <w:szCs w:val="56"/>
        </w:rPr>
      </w:pPr>
      <w:bookmarkStart w:id="0" w:name="_GoBack"/>
      <w:bookmarkEnd w:id="0"/>
      <w:r>
        <w:rPr>
          <w:rFonts w:ascii="Gill Sans MT" w:hAnsi="Gill Sans MT"/>
          <w:b/>
          <w:sz w:val="56"/>
          <w:szCs w:val="56"/>
        </w:rPr>
        <w:t xml:space="preserve">Rapporto </w:t>
      </w:r>
      <w:r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242E5" w:rsidP="00F242E5">
      <w:pPr>
        <w:tabs>
          <w:tab w:val="left" w:pos="2098"/>
          <w:tab w:val="left" w:pos="4962"/>
        </w:tabs>
        <w:rPr>
          <w:position w:val="4"/>
        </w:rPr>
      </w:pPr>
      <w:r>
        <w:rPr>
          <w:position w:val="4"/>
          <w:sz w:val="28"/>
        </w:rPr>
        <w:tab/>
      </w:r>
      <w:r w:rsidR="00B57004">
        <w:rPr>
          <w:position w:val="4"/>
          <w:sz w:val="28"/>
        </w:rPr>
        <w:t>5 ottobre 2021</w:t>
      </w:r>
      <w:r>
        <w:rPr>
          <w:position w:val="4"/>
          <w:sz w:val="28"/>
        </w:rPr>
        <w:tab/>
      </w:r>
      <w:r w:rsidR="00B57004">
        <w:rPr>
          <w:position w:val="4"/>
          <w:sz w:val="28"/>
        </w:rPr>
        <w:t>FINANZE E ECONOMIA</w:t>
      </w:r>
    </w:p>
    <w:p w:rsidR="00F242E5" w:rsidRDefault="00F242E5" w:rsidP="00F242E5"/>
    <w:p w:rsidR="00F242E5" w:rsidRDefault="00F242E5" w:rsidP="00F242E5"/>
    <w:p w:rsidR="00F242E5" w:rsidRDefault="00F242E5" w:rsidP="00F242E5"/>
    <w:p w:rsidR="00CB127C" w:rsidRPr="007A285B" w:rsidRDefault="00B57004" w:rsidP="00CB127C">
      <w:pPr>
        <w:rPr>
          <w:rFonts w:cs="Arial"/>
          <w:b/>
          <w:sz w:val="28"/>
        </w:rPr>
      </w:pPr>
      <w:r>
        <w:rPr>
          <w:rFonts w:cs="Arial"/>
          <w:b/>
          <w:sz w:val="28"/>
        </w:rPr>
        <w:t>della Commissione gestione e finanze</w:t>
      </w:r>
    </w:p>
    <w:p w:rsidR="00B57004" w:rsidRPr="00B57004" w:rsidRDefault="00B57004" w:rsidP="00B57004">
      <w:pPr>
        <w:rPr>
          <w:rFonts w:eastAsia="Times New Roman"/>
          <w:b/>
          <w:sz w:val="28"/>
          <w:szCs w:val="28"/>
          <w:lang w:val="it-IT" w:eastAsia="it-IT"/>
        </w:rPr>
      </w:pPr>
      <w:bookmarkStart w:id="1" w:name="_Toc316973975"/>
      <w:bookmarkStart w:id="2" w:name="_Toc381024231"/>
      <w:bookmarkStart w:id="3" w:name="_Toc393113402"/>
      <w:bookmarkStart w:id="4" w:name="_Toc445911173"/>
      <w:r w:rsidRPr="00B57004">
        <w:rPr>
          <w:rFonts w:eastAsia="Times New Roman"/>
          <w:b/>
          <w:sz w:val="28"/>
          <w:szCs w:val="28"/>
          <w:lang w:val="it-IT" w:eastAsia="it-IT"/>
        </w:rPr>
        <w:t xml:space="preserve">sull’iniziativa parlamentare 21 settembre 2021 presentata nella forma elaborata da Sergio Morisoli e cofirmatari per la modifica </w:t>
      </w:r>
      <w:r w:rsidR="00F00679">
        <w:rPr>
          <w:rFonts w:eastAsia="Times New Roman"/>
          <w:b/>
          <w:sz w:val="28"/>
          <w:szCs w:val="28"/>
          <w:lang w:val="it-IT" w:eastAsia="it-IT"/>
        </w:rPr>
        <w:t xml:space="preserve">degli art. 4 e 44 </w:t>
      </w:r>
      <w:r w:rsidRPr="00B57004">
        <w:rPr>
          <w:rFonts w:eastAsia="Times New Roman"/>
          <w:b/>
          <w:sz w:val="28"/>
          <w:szCs w:val="28"/>
          <w:lang w:val="it-IT" w:eastAsia="it-IT"/>
        </w:rPr>
        <w:t>della Legge sulla gestione e sul controllo finanziario dello Stato (Risanamento finanziario e non solo pa</w:t>
      </w:r>
      <w:r w:rsidR="00F00679">
        <w:rPr>
          <w:rFonts w:eastAsia="Times New Roman"/>
          <w:b/>
          <w:sz w:val="28"/>
          <w:szCs w:val="28"/>
          <w:lang w:val="it-IT" w:eastAsia="it-IT"/>
        </w:rPr>
        <w:t>reggio dei conti entro il 2025)</w:t>
      </w:r>
    </w:p>
    <w:p w:rsidR="00B57004" w:rsidRPr="00B57004" w:rsidRDefault="00B57004" w:rsidP="00B57004">
      <w:pPr>
        <w:rPr>
          <w:rFonts w:eastAsia="Times New Roman"/>
          <w:szCs w:val="20"/>
          <w:lang w:val="it-IT" w:eastAsia="it-IT"/>
        </w:rPr>
      </w:pPr>
    </w:p>
    <w:p w:rsidR="00B57004" w:rsidRDefault="00B57004" w:rsidP="00B57004">
      <w:pPr>
        <w:rPr>
          <w:rFonts w:eastAsia="Times New Roman"/>
          <w:sz w:val="22"/>
          <w:lang w:val="it-IT" w:eastAsia="it-IT"/>
        </w:rPr>
      </w:pPr>
    </w:p>
    <w:p w:rsidR="00B57004" w:rsidRPr="00B57004" w:rsidRDefault="00B57004" w:rsidP="00B57004">
      <w:pPr>
        <w:rPr>
          <w:rFonts w:eastAsia="Times New Roman"/>
          <w:sz w:val="22"/>
          <w:lang w:val="it-IT" w:eastAsia="it-IT"/>
        </w:rPr>
      </w:pPr>
    </w:p>
    <w:p w:rsidR="00B57004" w:rsidRPr="00B57004" w:rsidRDefault="00B57004" w:rsidP="00B57004">
      <w:pPr>
        <w:pStyle w:val="Titolo1"/>
      </w:pPr>
      <w:r w:rsidRPr="00B57004">
        <w:t>Retroscena</w:t>
      </w:r>
    </w:p>
    <w:p w:rsidR="00B57004" w:rsidRDefault="00B57004" w:rsidP="00B57004">
      <w:pPr>
        <w:rPr>
          <w:rFonts w:eastAsia="Times New Roman"/>
          <w:szCs w:val="20"/>
          <w:lang w:val="it-IT" w:eastAsia="it-IT"/>
        </w:rPr>
      </w:pPr>
      <w:r w:rsidRPr="00B57004">
        <w:rPr>
          <w:rFonts w:eastAsia="Times New Roman"/>
          <w:szCs w:val="20"/>
          <w:lang w:val="it-IT" w:eastAsia="it-IT"/>
        </w:rPr>
        <w:t>Martedì 21 settembre 2021, in occasione del dibattito parlamentare sul Consuntivo 2020, il plenum si è chinato su una proposta di emendamento teso alla fissazione in un decreto legislativo dell’equilibrio delle finanze dello Stato attraverso misure di intervento sulla spesa. Detto principio è stato condiviso da numerose deputate e deputati, compresi vari capigruppo e presidenti di partito.</w:t>
      </w:r>
    </w:p>
    <w:p w:rsidR="00B57004" w:rsidRPr="00B57004" w:rsidRDefault="00B57004" w:rsidP="00B57004">
      <w:pPr>
        <w:rPr>
          <w:rFonts w:eastAsia="Times New Roman"/>
          <w:szCs w:val="20"/>
          <w:lang w:val="it-IT" w:eastAsia="it-IT"/>
        </w:rPr>
      </w:pPr>
    </w:p>
    <w:p w:rsidR="00B57004" w:rsidRDefault="00B57004" w:rsidP="00B57004">
      <w:pPr>
        <w:rPr>
          <w:rFonts w:eastAsia="Times New Roman"/>
          <w:szCs w:val="20"/>
          <w:lang w:val="it-IT" w:eastAsia="it-IT"/>
        </w:rPr>
      </w:pPr>
      <w:r w:rsidRPr="00B57004">
        <w:rPr>
          <w:rFonts w:eastAsia="Times New Roman"/>
          <w:szCs w:val="20"/>
          <w:lang w:val="it-IT" w:eastAsia="it-IT"/>
        </w:rPr>
        <w:t xml:space="preserve">Durante il dibattito le parti hanno convenuto di preferire la trattazione del principio attraverso un’iniziativa parlamentare elaborata nella successiva seduta parlamentare prevista nel mese di ottobre 2021. Tali intenti si sono materializzati nel ritiro dell’emendamento e nel deposito, il giorno stesso, dell’iniziativa parlamentare elaborata </w:t>
      </w:r>
      <w:r w:rsidR="00B01837">
        <w:rPr>
          <w:rFonts w:eastAsia="Times New Roman"/>
          <w:szCs w:val="20"/>
          <w:lang w:val="it-IT" w:eastAsia="it-IT"/>
        </w:rPr>
        <w:t xml:space="preserve">(IE </w:t>
      </w:r>
      <w:r w:rsidRPr="00B57004">
        <w:rPr>
          <w:rFonts w:eastAsia="Times New Roman"/>
          <w:szCs w:val="20"/>
          <w:lang w:val="it-IT" w:eastAsia="it-IT"/>
        </w:rPr>
        <w:t>644</w:t>
      </w:r>
      <w:r w:rsidR="00B01837">
        <w:rPr>
          <w:rFonts w:eastAsia="Times New Roman"/>
          <w:szCs w:val="20"/>
          <w:lang w:val="it-IT" w:eastAsia="it-IT"/>
        </w:rPr>
        <w:t>)</w:t>
      </w:r>
      <w:r w:rsidRPr="00B57004">
        <w:rPr>
          <w:rFonts w:eastAsia="Times New Roman"/>
          <w:szCs w:val="20"/>
          <w:lang w:val="it-IT" w:eastAsia="it-IT"/>
        </w:rPr>
        <w:t xml:space="preserve"> di Sergio Morisoli e cofirmatari.</w:t>
      </w:r>
    </w:p>
    <w:p w:rsidR="00B57004" w:rsidRPr="00B57004" w:rsidRDefault="00B57004" w:rsidP="00B57004">
      <w:pPr>
        <w:rPr>
          <w:rFonts w:eastAsia="Times New Roman"/>
          <w:szCs w:val="20"/>
          <w:lang w:val="it-IT" w:eastAsia="it-IT"/>
        </w:rPr>
      </w:pPr>
    </w:p>
    <w:p w:rsidR="00B57004" w:rsidRDefault="00B57004" w:rsidP="00B57004">
      <w:pPr>
        <w:rPr>
          <w:rFonts w:eastAsia="Times New Roman"/>
          <w:szCs w:val="20"/>
          <w:lang w:val="it-IT" w:eastAsia="it-IT"/>
        </w:rPr>
      </w:pPr>
      <w:r w:rsidRPr="00B57004">
        <w:rPr>
          <w:rFonts w:eastAsia="Times New Roman"/>
          <w:szCs w:val="20"/>
          <w:lang w:val="it-IT" w:eastAsia="it-IT"/>
        </w:rPr>
        <w:t xml:space="preserve">Si rimanda al dibattito parlamentare del 21 settembre 2021 e alle relative verbalizzazioni circa gli argomenti a sostegno dell’approccio di risanamento finanziario espresso nell’iniziativa parlamentare elaborata </w:t>
      </w:r>
      <w:r w:rsidR="00B01837">
        <w:rPr>
          <w:rFonts w:eastAsia="Times New Roman"/>
          <w:szCs w:val="20"/>
          <w:lang w:val="it-IT" w:eastAsia="it-IT"/>
        </w:rPr>
        <w:t xml:space="preserve">(IE </w:t>
      </w:r>
      <w:r w:rsidRPr="00B57004">
        <w:rPr>
          <w:rFonts w:eastAsia="Times New Roman"/>
          <w:szCs w:val="20"/>
          <w:lang w:val="it-IT" w:eastAsia="it-IT"/>
        </w:rPr>
        <w:t>644</w:t>
      </w:r>
      <w:r w:rsidR="00B01837">
        <w:rPr>
          <w:rFonts w:eastAsia="Times New Roman"/>
          <w:szCs w:val="20"/>
          <w:lang w:val="it-IT" w:eastAsia="it-IT"/>
        </w:rPr>
        <w:t>)</w:t>
      </w:r>
      <w:r w:rsidRPr="00B57004">
        <w:rPr>
          <w:rFonts w:eastAsia="Times New Roman"/>
          <w:szCs w:val="20"/>
          <w:lang w:val="it-IT" w:eastAsia="it-IT"/>
        </w:rPr>
        <w:t>.</w:t>
      </w:r>
    </w:p>
    <w:p w:rsidR="00B57004" w:rsidRDefault="00B57004" w:rsidP="00B57004">
      <w:pPr>
        <w:rPr>
          <w:rFonts w:eastAsia="Times New Roman"/>
          <w:szCs w:val="20"/>
          <w:lang w:val="it-IT" w:eastAsia="it-IT"/>
        </w:rPr>
      </w:pPr>
    </w:p>
    <w:p w:rsidR="00B57004" w:rsidRDefault="00B57004" w:rsidP="00B57004">
      <w:pPr>
        <w:rPr>
          <w:rFonts w:eastAsia="Times New Roman"/>
          <w:szCs w:val="20"/>
          <w:lang w:val="it-IT" w:eastAsia="it-IT"/>
        </w:rPr>
      </w:pPr>
    </w:p>
    <w:p w:rsidR="00B57004" w:rsidRPr="00B57004" w:rsidRDefault="00B57004" w:rsidP="00B57004">
      <w:pPr>
        <w:rPr>
          <w:rFonts w:eastAsia="Times New Roman"/>
          <w:szCs w:val="20"/>
          <w:lang w:val="it-IT" w:eastAsia="it-IT"/>
        </w:rPr>
      </w:pPr>
    </w:p>
    <w:p w:rsidR="00B57004" w:rsidRPr="00B57004" w:rsidRDefault="00B57004" w:rsidP="00B57004">
      <w:pPr>
        <w:pStyle w:val="Titolo1"/>
      </w:pPr>
      <w:r w:rsidRPr="00B57004">
        <w:t>Lavori commissionali</w:t>
      </w:r>
    </w:p>
    <w:p w:rsidR="00B57004" w:rsidRPr="00B57004" w:rsidRDefault="00B57004" w:rsidP="00B57004">
      <w:pPr>
        <w:pStyle w:val="Titolo2"/>
      </w:pPr>
      <w:r w:rsidRPr="00B57004">
        <w:t>Posizione del Consiglio di Stato e divieto di riversamento di oneri sui Comuni</w:t>
      </w:r>
    </w:p>
    <w:p w:rsidR="00B57004" w:rsidRDefault="00B57004" w:rsidP="00B57004">
      <w:pPr>
        <w:rPr>
          <w:rFonts w:eastAsia="Times New Roman"/>
          <w:szCs w:val="20"/>
          <w:lang w:val="it-IT" w:eastAsia="it-IT"/>
        </w:rPr>
      </w:pPr>
      <w:r w:rsidRPr="00B57004">
        <w:rPr>
          <w:rFonts w:eastAsia="Times New Roman"/>
          <w:szCs w:val="20"/>
          <w:lang w:val="it-IT" w:eastAsia="it-IT"/>
        </w:rPr>
        <w:t>Con lettera del 28</w:t>
      </w:r>
      <w:r w:rsidR="00B01837">
        <w:rPr>
          <w:rFonts w:eastAsia="Times New Roman"/>
          <w:szCs w:val="20"/>
          <w:lang w:val="it-IT" w:eastAsia="it-IT"/>
        </w:rPr>
        <w:t xml:space="preserve"> </w:t>
      </w:r>
      <w:r w:rsidRPr="00B57004">
        <w:rPr>
          <w:rFonts w:eastAsia="Times New Roman"/>
          <w:szCs w:val="20"/>
          <w:lang w:val="it-IT" w:eastAsia="it-IT"/>
        </w:rPr>
        <w:t>settembre 2021, la Commissione gestione e finanze ha invitato il Consiglio di Stato a trasmettere una sua presa di posizione entro martedì 5</w:t>
      </w:r>
      <w:r w:rsidR="00B01837">
        <w:rPr>
          <w:rFonts w:eastAsia="Times New Roman"/>
          <w:szCs w:val="20"/>
          <w:lang w:val="it-IT" w:eastAsia="it-IT"/>
        </w:rPr>
        <w:t xml:space="preserve"> </w:t>
      </w:r>
      <w:r w:rsidRPr="00B57004">
        <w:rPr>
          <w:rFonts w:eastAsia="Times New Roman"/>
          <w:szCs w:val="20"/>
          <w:lang w:val="it-IT" w:eastAsia="it-IT"/>
        </w:rPr>
        <w:t xml:space="preserve">ottobre, ultimo termine per la sottoscrizione dei rapporti da sottoporre alla seduta </w:t>
      </w:r>
      <w:r w:rsidR="00B01837">
        <w:rPr>
          <w:rFonts w:eastAsia="Times New Roman"/>
          <w:szCs w:val="20"/>
          <w:lang w:val="it-IT" w:eastAsia="it-IT"/>
        </w:rPr>
        <w:t xml:space="preserve">di Gran Consiglio </w:t>
      </w:r>
      <w:r w:rsidRPr="00B57004">
        <w:rPr>
          <w:rFonts w:eastAsia="Times New Roman"/>
          <w:szCs w:val="20"/>
          <w:lang w:val="it-IT" w:eastAsia="it-IT"/>
        </w:rPr>
        <w:t>di ottobre 2021.</w:t>
      </w:r>
    </w:p>
    <w:p w:rsidR="00B57004" w:rsidRDefault="00B57004" w:rsidP="00B57004">
      <w:pPr>
        <w:rPr>
          <w:rFonts w:eastAsia="Times New Roman"/>
          <w:szCs w:val="20"/>
          <w:lang w:val="it-IT" w:eastAsia="it-IT"/>
        </w:rPr>
      </w:pPr>
    </w:p>
    <w:p w:rsidR="00B57004" w:rsidRDefault="00B57004" w:rsidP="00B01837">
      <w:pPr>
        <w:spacing w:after="120"/>
        <w:rPr>
          <w:rFonts w:eastAsia="Times New Roman"/>
          <w:szCs w:val="20"/>
          <w:lang w:val="it-IT" w:eastAsia="it-IT"/>
        </w:rPr>
      </w:pPr>
      <w:r w:rsidRPr="00B57004">
        <w:rPr>
          <w:rFonts w:eastAsia="Times New Roman"/>
          <w:szCs w:val="20"/>
          <w:lang w:val="it-IT" w:eastAsia="it-IT"/>
        </w:rPr>
        <w:t xml:space="preserve">Con Risoluzione governativa </w:t>
      </w:r>
      <w:r w:rsidR="00B01837">
        <w:rPr>
          <w:rFonts w:eastAsia="Times New Roman"/>
          <w:szCs w:val="20"/>
          <w:lang w:val="it-IT" w:eastAsia="it-IT"/>
        </w:rPr>
        <w:t xml:space="preserve">n. </w:t>
      </w:r>
      <w:r w:rsidRPr="00B57004">
        <w:rPr>
          <w:rFonts w:eastAsia="Times New Roman"/>
          <w:szCs w:val="20"/>
          <w:lang w:val="it-IT" w:eastAsia="it-IT"/>
        </w:rPr>
        <w:t>4744 del 30</w:t>
      </w:r>
      <w:r w:rsidR="00B01837">
        <w:rPr>
          <w:rFonts w:eastAsia="Times New Roman"/>
          <w:szCs w:val="20"/>
          <w:lang w:val="it-IT" w:eastAsia="it-IT"/>
        </w:rPr>
        <w:t xml:space="preserve"> </w:t>
      </w:r>
      <w:r w:rsidRPr="00B57004">
        <w:rPr>
          <w:rFonts w:eastAsia="Times New Roman"/>
          <w:szCs w:val="20"/>
          <w:lang w:val="it-IT" w:eastAsia="it-IT"/>
        </w:rPr>
        <w:t>settembre 2021 il Consiglio di Stato ha dato tempestivo seguito alla richiesta commissionale osservando quanto segue.</w:t>
      </w:r>
    </w:p>
    <w:p w:rsidR="00B57004" w:rsidRPr="00B57004" w:rsidRDefault="00B57004" w:rsidP="00B01837">
      <w:pPr>
        <w:rPr>
          <w:rFonts w:eastAsia="Times New Roman"/>
          <w:i/>
          <w:iCs/>
          <w:sz w:val="22"/>
          <w:lang w:val="it-IT" w:eastAsia="it-IT"/>
        </w:rPr>
      </w:pPr>
      <w:r w:rsidRPr="00B57004">
        <w:rPr>
          <w:rFonts w:eastAsia="Times New Roman"/>
          <w:i/>
          <w:iCs/>
          <w:sz w:val="22"/>
          <w:lang w:val="it-IT" w:eastAsia="it-IT"/>
        </w:rPr>
        <w:t>In riferimento alla vostra richiesta del 28</w:t>
      </w:r>
      <w:r w:rsidR="00B01837">
        <w:rPr>
          <w:rFonts w:eastAsia="Times New Roman"/>
          <w:i/>
          <w:iCs/>
          <w:sz w:val="22"/>
          <w:lang w:val="it-IT" w:eastAsia="it-IT"/>
        </w:rPr>
        <w:t xml:space="preserve"> </w:t>
      </w:r>
      <w:r w:rsidRPr="00B57004">
        <w:rPr>
          <w:rFonts w:eastAsia="Times New Roman"/>
          <w:i/>
          <w:iCs/>
          <w:sz w:val="22"/>
          <w:lang w:val="it-IT" w:eastAsia="it-IT"/>
        </w:rPr>
        <w:t>settembre u.s. vi informiamo che, considerate le tempistiche particolarmente ristrette da voi previste, per il Consiglio di Stato non è possibile entrare nei dettagli della proposta che ci è stata sottoposta nei termini temporali richiesti, che tra l’altro derogano significativamente dalle scadenze previste dall’art.</w:t>
      </w:r>
      <w:r w:rsidR="00B01837">
        <w:rPr>
          <w:rFonts w:eastAsia="Times New Roman"/>
          <w:i/>
          <w:iCs/>
          <w:sz w:val="22"/>
          <w:lang w:val="it-IT" w:eastAsia="it-IT"/>
        </w:rPr>
        <w:t xml:space="preserve"> </w:t>
      </w:r>
      <w:r w:rsidRPr="00B57004">
        <w:rPr>
          <w:rFonts w:eastAsia="Times New Roman"/>
          <w:i/>
          <w:iCs/>
          <w:sz w:val="22"/>
          <w:lang w:val="it-IT" w:eastAsia="it-IT"/>
        </w:rPr>
        <w:t>102 della Legge sul Gran Consiglio e i rapporti con il Consiglio di Stato.</w:t>
      </w:r>
    </w:p>
    <w:p w:rsidR="00B57004" w:rsidRPr="00B57004" w:rsidRDefault="00B57004" w:rsidP="00B01837">
      <w:pPr>
        <w:rPr>
          <w:rFonts w:eastAsia="Times New Roman"/>
          <w:i/>
          <w:iCs/>
          <w:sz w:val="22"/>
          <w:lang w:val="it-IT" w:eastAsia="it-IT"/>
        </w:rPr>
      </w:pPr>
      <w:r w:rsidRPr="00B57004">
        <w:rPr>
          <w:rFonts w:eastAsia="Times New Roman"/>
          <w:i/>
          <w:iCs/>
          <w:sz w:val="22"/>
          <w:lang w:val="it-IT" w:eastAsia="it-IT"/>
        </w:rPr>
        <w:lastRenderedPageBreak/>
        <w:t>Ciò nonostante, vi informiamo che il Consiglio di Stato nei contatti con la Sottocommissione finanze ha già previsto di condividere un programma che permette un riequilibrio delle finanze entro il periodo 2024-2025. Nel quadro delle discussioni attorno a questo programma si potranno verificare le ipotesi alla base dell’iniziativa parlamentare, anche qualora la stessa non dovesse essere adottata dal Parlamento.</w:t>
      </w:r>
    </w:p>
    <w:p w:rsidR="00B57004" w:rsidRPr="00B57004" w:rsidRDefault="00B57004" w:rsidP="00B01837">
      <w:pPr>
        <w:rPr>
          <w:rFonts w:eastAsia="Times New Roman"/>
          <w:i/>
          <w:iCs/>
          <w:sz w:val="22"/>
          <w:lang w:val="it-IT" w:eastAsia="it-IT"/>
        </w:rPr>
      </w:pPr>
      <w:r w:rsidRPr="00B57004">
        <w:rPr>
          <w:rFonts w:eastAsia="Times New Roman"/>
          <w:i/>
          <w:iCs/>
          <w:sz w:val="22"/>
          <w:lang w:val="it-IT" w:eastAsia="it-IT"/>
        </w:rPr>
        <w:t>A questo proposito riteniamo importante che si adotti da subito un approccio coerente, in particolare evitando l’adozione di decisioni che introducono nuovi costi o minori entrate non programmati nella pianificazione finanziaria dello Stato.</w:t>
      </w:r>
    </w:p>
    <w:p w:rsidR="00B57004" w:rsidRPr="00B57004" w:rsidRDefault="00B57004" w:rsidP="00B01837">
      <w:pPr>
        <w:rPr>
          <w:rFonts w:eastAsia="Times New Roman"/>
          <w:i/>
          <w:iCs/>
          <w:sz w:val="22"/>
          <w:lang w:val="it-IT" w:eastAsia="it-IT"/>
        </w:rPr>
      </w:pPr>
      <w:r w:rsidRPr="00B57004">
        <w:rPr>
          <w:rFonts w:eastAsia="Times New Roman"/>
          <w:i/>
          <w:iCs/>
          <w:sz w:val="22"/>
          <w:lang w:val="it-IT" w:eastAsia="it-IT"/>
        </w:rPr>
        <w:t>Rileviamo inoltre che, rispetto al testo dell’emendamento discusso in occasione dell’ultima seduta di Gran Consiglio, nel testo dell’iniziativa è stato integrato un riferimento relativo ai Comuni. A questo proposito evidenziamo che il Parlamento ha previsto il ripristino dell’intera partecipazione comunale al finanziamento dei compiti cantonali al momento della presentazione del messaggio del progetto Ticino 2020 e ha inoltre indicato una modifica del flusso finanziario tra Cantone e Comuni nell’ambito della decisione sull’eventuale proroga della riduzione del coefficiente d’imposta cantonale. Questi aspetti risultano importanti e vanno per coerenza confermati.</w:t>
      </w:r>
    </w:p>
    <w:p w:rsidR="00B57004" w:rsidRPr="00B57004" w:rsidRDefault="00B57004" w:rsidP="00B57004">
      <w:pPr>
        <w:rPr>
          <w:rFonts w:eastAsia="Times New Roman"/>
          <w:i/>
          <w:iCs/>
          <w:szCs w:val="20"/>
          <w:lang w:val="it-IT" w:eastAsia="it-IT"/>
        </w:rPr>
      </w:pPr>
    </w:p>
    <w:p w:rsidR="00B57004" w:rsidRDefault="00B57004" w:rsidP="00B57004">
      <w:pPr>
        <w:rPr>
          <w:rFonts w:eastAsia="Times New Roman"/>
          <w:szCs w:val="20"/>
          <w:lang w:val="it-IT" w:eastAsia="it-IT"/>
        </w:rPr>
      </w:pPr>
      <w:r w:rsidRPr="00B57004">
        <w:rPr>
          <w:rFonts w:eastAsia="Times New Roman"/>
          <w:szCs w:val="20"/>
          <w:lang w:val="it-IT" w:eastAsia="it-IT"/>
        </w:rPr>
        <w:t>La Commissione gestione e finanze, apprezzando l’estrema celerità del Consiglio di Stato nel produrre una tempestiva risposta, per quanto attiene all’interpretazione della proposta di divieto di riversamento di oneri sui Comuni condivide l’osservazione del Governo. La maggioranza della Commissione è concorde sul fatto che accordi già presi o tematizzati tra il Cantone e i Comuni che precedono la presente restino in vigore e non vengano toccati dal nuovo disposto. Questo riguarda in particolare gli impegni assunti in passato dal Gran Consiglio nel contesto del progetto Ticino 2020 (allocuzione dei compiti “Cantone-Comuni”), i quali andranno mantenuti e non potranno essere disattesi. Si osserva peraltro che il qui proposto testo di legge circa il divieto di riversamento di oneri sui Comuni non impedisce il riversamento di funzioni sui Comuni o la ridefinizione di compiti tra Cantone e Comuni, bensì è teso ad impedire che ciò avvenga – da qui via – sgravando le finanze cantonali attraverso il trasferimento di oneri finanziari netti a costo delle finanze comunali.</w:t>
      </w:r>
    </w:p>
    <w:p w:rsidR="00B57004" w:rsidRDefault="00B57004" w:rsidP="00B57004">
      <w:pPr>
        <w:rPr>
          <w:rFonts w:eastAsia="Times New Roman"/>
          <w:szCs w:val="20"/>
          <w:lang w:val="it-IT" w:eastAsia="it-IT"/>
        </w:rPr>
      </w:pPr>
    </w:p>
    <w:p w:rsidR="00B57004" w:rsidRPr="00B57004" w:rsidRDefault="00B57004" w:rsidP="00B57004">
      <w:pPr>
        <w:rPr>
          <w:rFonts w:eastAsia="Times New Roman"/>
          <w:szCs w:val="20"/>
          <w:lang w:val="it-IT" w:eastAsia="it-IT"/>
        </w:rPr>
      </w:pPr>
    </w:p>
    <w:p w:rsidR="00B57004" w:rsidRPr="00B57004" w:rsidRDefault="00B57004" w:rsidP="00B57004">
      <w:pPr>
        <w:pStyle w:val="Titolo2"/>
      </w:pPr>
      <w:r w:rsidRPr="00B57004">
        <w:t>Coerenza con la Costituzione cantonale</w:t>
      </w:r>
    </w:p>
    <w:p w:rsidR="00B57004" w:rsidRDefault="00B57004" w:rsidP="00B57004">
      <w:pPr>
        <w:rPr>
          <w:rFonts w:eastAsia="Times New Roman"/>
          <w:szCs w:val="20"/>
          <w:lang w:val="it-IT" w:eastAsia="it-IT"/>
        </w:rPr>
      </w:pPr>
      <w:r w:rsidRPr="00B57004">
        <w:rPr>
          <w:rFonts w:eastAsia="Times New Roman"/>
          <w:szCs w:val="20"/>
          <w:lang w:val="it-IT" w:eastAsia="it-IT"/>
        </w:rPr>
        <w:t>Gli approfondimenti giuridici richiesti dalla Commissione gestione e finanze hanno appurato che il testo di legge proposto è coerente con sia con l’art.</w:t>
      </w:r>
      <w:r w:rsidR="00B01837">
        <w:rPr>
          <w:rFonts w:eastAsia="Times New Roman"/>
          <w:szCs w:val="20"/>
          <w:lang w:val="it-IT" w:eastAsia="it-IT"/>
        </w:rPr>
        <w:t xml:space="preserve"> </w:t>
      </w:r>
      <w:r w:rsidRPr="00B57004">
        <w:rPr>
          <w:rFonts w:eastAsia="Times New Roman"/>
          <w:szCs w:val="20"/>
          <w:lang w:val="it-IT" w:eastAsia="it-IT"/>
        </w:rPr>
        <w:t>34</w:t>
      </w:r>
      <w:r w:rsidRPr="00B57004">
        <w:rPr>
          <w:rFonts w:eastAsia="Times New Roman"/>
          <w:szCs w:val="20"/>
          <w:vertAlign w:val="superscript"/>
          <w:lang w:val="it-IT" w:eastAsia="it-IT"/>
        </w:rPr>
        <w:t>ter</w:t>
      </w:r>
      <w:r w:rsidRPr="00B57004">
        <w:rPr>
          <w:rFonts w:eastAsia="Times New Roman"/>
          <w:szCs w:val="20"/>
          <w:lang w:val="it-IT" w:eastAsia="it-IT"/>
        </w:rPr>
        <w:t xml:space="preserve"> </w:t>
      </w:r>
      <w:proofErr w:type="spellStart"/>
      <w:r w:rsidRPr="00B57004">
        <w:rPr>
          <w:rFonts w:eastAsia="Times New Roman"/>
          <w:szCs w:val="20"/>
          <w:lang w:val="it-IT" w:eastAsia="it-IT"/>
        </w:rPr>
        <w:t>Cost</w:t>
      </w:r>
      <w:proofErr w:type="spellEnd"/>
      <w:r w:rsidRPr="00B57004">
        <w:rPr>
          <w:rFonts w:eastAsia="Times New Roman"/>
          <w:szCs w:val="20"/>
          <w:lang w:val="it-IT" w:eastAsia="it-IT"/>
        </w:rPr>
        <w:t>-TI</w:t>
      </w:r>
      <w:r w:rsidRPr="00B57004">
        <w:rPr>
          <w:rFonts w:eastAsia="Times New Roman"/>
          <w:szCs w:val="20"/>
          <w:vertAlign w:val="superscript"/>
          <w:lang w:val="it-IT" w:eastAsia="it-IT"/>
        </w:rPr>
        <w:footnoteReference w:id="1"/>
      </w:r>
      <w:r w:rsidRPr="00B57004">
        <w:rPr>
          <w:rFonts w:eastAsia="Times New Roman"/>
          <w:szCs w:val="20"/>
          <w:lang w:val="it-IT" w:eastAsia="it-IT"/>
        </w:rPr>
        <w:t xml:space="preserve"> sia l’art.</w:t>
      </w:r>
      <w:r w:rsidR="00B01837">
        <w:rPr>
          <w:rFonts w:eastAsia="Times New Roman"/>
          <w:szCs w:val="20"/>
          <w:lang w:val="it-IT" w:eastAsia="it-IT"/>
        </w:rPr>
        <w:t xml:space="preserve"> </w:t>
      </w:r>
      <w:r w:rsidRPr="00B57004">
        <w:rPr>
          <w:rFonts w:eastAsia="Times New Roman"/>
          <w:szCs w:val="20"/>
          <w:lang w:val="it-IT" w:eastAsia="it-IT"/>
        </w:rPr>
        <w:t>4 LGF</w:t>
      </w:r>
      <w:r w:rsidRPr="00B57004">
        <w:rPr>
          <w:rFonts w:eastAsia="Times New Roman"/>
          <w:szCs w:val="20"/>
          <w:vertAlign w:val="superscript"/>
          <w:lang w:val="it-IT" w:eastAsia="it-IT"/>
        </w:rPr>
        <w:footnoteReference w:id="2"/>
      </w:r>
      <w:r w:rsidRPr="00B57004">
        <w:rPr>
          <w:rFonts w:eastAsia="Times New Roman"/>
          <w:szCs w:val="20"/>
          <w:lang w:val="it-IT" w:eastAsia="it-IT"/>
        </w:rPr>
        <w:t xml:space="preserve"> e li precisa. Poiché quest’ultimo prevede che </w:t>
      </w:r>
      <w:r w:rsidRPr="00B57004">
        <w:rPr>
          <w:rFonts w:eastAsia="Times New Roman"/>
          <w:i/>
          <w:iCs/>
          <w:szCs w:val="20"/>
          <w:lang w:val="it-IT" w:eastAsia="it-IT"/>
        </w:rPr>
        <w:t>il conto economico deve essere pareggiato a medio termine</w:t>
      </w:r>
      <w:r w:rsidRPr="00B57004">
        <w:rPr>
          <w:rFonts w:eastAsia="Times New Roman"/>
          <w:szCs w:val="20"/>
          <w:lang w:val="it-IT" w:eastAsia="it-IT"/>
        </w:rPr>
        <w:t>, la richiesta di pareggio entro il 2025 formulata nel quarto trimestre 2021 risulta temporalmente coerente con la LGF. Di riflesso e senza sorprese, esso è coerente con l’art.</w:t>
      </w:r>
      <w:r w:rsidR="00B01837">
        <w:rPr>
          <w:rFonts w:eastAsia="Times New Roman"/>
          <w:szCs w:val="20"/>
          <w:lang w:val="it-IT" w:eastAsia="it-IT"/>
        </w:rPr>
        <w:t xml:space="preserve"> </w:t>
      </w:r>
      <w:r w:rsidRPr="00B57004">
        <w:rPr>
          <w:rFonts w:eastAsia="Times New Roman"/>
          <w:szCs w:val="20"/>
          <w:lang w:val="it-IT" w:eastAsia="it-IT"/>
        </w:rPr>
        <w:t>34</w:t>
      </w:r>
      <w:r w:rsidRPr="00B57004">
        <w:rPr>
          <w:rFonts w:eastAsia="Times New Roman"/>
          <w:szCs w:val="20"/>
          <w:vertAlign w:val="superscript"/>
          <w:lang w:val="it-IT" w:eastAsia="it-IT"/>
        </w:rPr>
        <w:t>ter</w:t>
      </w:r>
      <w:r w:rsidRPr="00B57004">
        <w:rPr>
          <w:rFonts w:eastAsia="Times New Roman"/>
          <w:szCs w:val="20"/>
          <w:lang w:val="it-IT" w:eastAsia="it-IT"/>
        </w:rPr>
        <w:t xml:space="preserve"> cpv.</w:t>
      </w:r>
      <w:r w:rsidR="00B01837">
        <w:rPr>
          <w:rFonts w:eastAsia="Times New Roman"/>
          <w:szCs w:val="20"/>
          <w:lang w:val="it-IT" w:eastAsia="it-IT"/>
        </w:rPr>
        <w:t xml:space="preserve"> </w:t>
      </w:r>
      <w:r w:rsidRPr="00B57004">
        <w:rPr>
          <w:rFonts w:eastAsia="Times New Roman"/>
          <w:szCs w:val="20"/>
          <w:lang w:val="it-IT" w:eastAsia="it-IT"/>
        </w:rPr>
        <w:t xml:space="preserve">1 </w:t>
      </w:r>
      <w:proofErr w:type="spellStart"/>
      <w:r w:rsidRPr="00B57004">
        <w:rPr>
          <w:rFonts w:eastAsia="Times New Roman"/>
          <w:szCs w:val="20"/>
          <w:lang w:val="it-IT" w:eastAsia="it-IT"/>
        </w:rPr>
        <w:t>Cost</w:t>
      </w:r>
      <w:proofErr w:type="spellEnd"/>
      <w:r w:rsidRPr="00B57004">
        <w:rPr>
          <w:rFonts w:eastAsia="Times New Roman"/>
          <w:szCs w:val="20"/>
          <w:lang w:val="it-IT" w:eastAsia="it-IT"/>
        </w:rPr>
        <w:t xml:space="preserve">-TI secondo il quale </w:t>
      </w:r>
      <w:r w:rsidRPr="00B57004">
        <w:rPr>
          <w:rFonts w:eastAsia="Times New Roman"/>
          <w:i/>
          <w:iCs/>
          <w:szCs w:val="20"/>
          <w:lang w:val="it-IT" w:eastAsia="it-IT"/>
        </w:rPr>
        <w:t>di principio, il preventivo e il consuntivo di gestione corrente devono essere presentati in equilibrio</w:t>
      </w:r>
      <w:r w:rsidRPr="00B57004">
        <w:rPr>
          <w:rFonts w:eastAsia="Times New Roman"/>
          <w:szCs w:val="20"/>
          <w:lang w:val="it-IT" w:eastAsia="it-IT"/>
        </w:rPr>
        <w:t>.</w:t>
      </w:r>
    </w:p>
    <w:p w:rsidR="00B57004" w:rsidRPr="00B57004" w:rsidRDefault="00B57004" w:rsidP="00B57004">
      <w:pPr>
        <w:rPr>
          <w:rFonts w:eastAsia="Times New Roman"/>
          <w:szCs w:val="20"/>
          <w:lang w:val="it-IT" w:eastAsia="it-IT"/>
        </w:rPr>
      </w:pPr>
    </w:p>
    <w:p w:rsidR="00B01837" w:rsidRDefault="00B57004" w:rsidP="00B57004">
      <w:pPr>
        <w:rPr>
          <w:rFonts w:eastAsia="Times New Roman"/>
          <w:szCs w:val="20"/>
          <w:lang w:val="it-IT" w:eastAsia="it-IT"/>
        </w:rPr>
      </w:pPr>
      <w:r w:rsidRPr="00B57004">
        <w:rPr>
          <w:rFonts w:eastAsia="Times New Roman"/>
          <w:szCs w:val="20"/>
          <w:lang w:val="it-IT" w:eastAsia="it-IT"/>
        </w:rPr>
        <w:t>La presente proposta intende raggiungere il pareggio del conto economico operando sulla spesa dello Stato. Tale intenzione va interpretata alla luce del testo dell’art. 34</w:t>
      </w:r>
      <w:r w:rsidRPr="00B57004">
        <w:rPr>
          <w:rFonts w:eastAsia="Times New Roman"/>
          <w:szCs w:val="20"/>
          <w:vertAlign w:val="superscript"/>
          <w:lang w:val="it-IT" w:eastAsia="it-IT"/>
        </w:rPr>
        <w:t>ter</w:t>
      </w:r>
      <w:r w:rsidRPr="00B57004">
        <w:rPr>
          <w:rFonts w:eastAsia="Times New Roman"/>
          <w:szCs w:val="20"/>
          <w:lang w:val="it-IT" w:eastAsia="it-IT"/>
        </w:rPr>
        <w:t xml:space="preserve"> cpv.</w:t>
      </w:r>
      <w:r w:rsidR="00B01837">
        <w:rPr>
          <w:rFonts w:eastAsia="Times New Roman"/>
          <w:szCs w:val="20"/>
          <w:lang w:val="it-IT" w:eastAsia="it-IT"/>
        </w:rPr>
        <w:t xml:space="preserve"> </w:t>
      </w:r>
      <w:r w:rsidRPr="00B57004">
        <w:rPr>
          <w:rFonts w:eastAsia="Times New Roman"/>
          <w:szCs w:val="20"/>
          <w:lang w:val="it-IT" w:eastAsia="it-IT"/>
        </w:rPr>
        <w:t xml:space="preserve">1 </w:t>
      </w:r>
      <w:proofErr w:type="spellStart"/>
      <w:r w:rsidRPr="00B57004">
        <w:rPr>
          <w:rFonts w:eastAsia="Times New Roman"/>
          <w:szCs w:val="20"/>
          <w:lang w:val="it-IT" w:eastAsia="it-IT"/>
        </w:rPr>
        <w:t>Cost</w:t>
      </w:r>
      <w:proofErr w:type="spellEnd"/>
      <w:r w:rsidRPr="00B57004">
        <w:rPr>
          <w:rFonts w:eastAsia="Times New Roman"/>
          <w:szCs w:val="20"/>
          <w:lang w:val="it-IT" w:eastAsia="it-IT"/>
        </w:rPr>
        <w:t xml:space="preserve">-TI, secondo cui </w:t>
      </w:r>
      <w:r w:rsidRPr="00B57004">
        <w:rPr>
          <w:rFonts w:eastAsia="Times New Roman"/>
          <w:i/>
          <w:iCs/>
          <w:szCs w:val="20"/>
          <w:lang w:val="it-IT" w:eastAsia="it-IT"/>
        </w:rPr>
        <w:t>i limiti definiti dalla legge vanno rispettati attraverso misure di contenimento della spesa, di aumento dei ricavi o di adeguamento del coefficiente d’imposta cantonale</w:t>
      </w:r>
      <w:r w:rsidRPr="00B57004">
        <w:rPr>
          <w:rFonts w:eastAsia="Times New Roman"/>
          <w:szCs w:val="20"/>
          <w:lang w:val="it-IT" w:eastAsia="it-IT"/>
        </w:rPr>
        <w:t xml:space="preserve">. Considerato che il contenimento della spesa è una delle tre possibili misure tese all’equilibrio finanziario (accanto all’aumento dei ricavi e all’adeguamento del coefficiente d’imposta cantonale) previste dalla Costituzione, non vi sono impedimenti formali nel voler operare esclusivamente sulla spesa. </w:t>
      </w:r>
      <w:r w:rsidRPr="00B57004">
        <w:rPr>
          <w:rFonts w:eastAsia="Times New Roman"/>
          <w:i/>
          <w:iCs/>
          <w:szCs w:val="20"/>
          <w:lang w:val="it-IT" w:eastAsia="it-IT"/>
        </w:rPr>
        <w:t xml:space="preserve">E contrario </w:t>
      </w:r>
      <w:r w:rsidRPr="00B57004">
        <w:rPr>
          <w:rFonts w:eastAsia="Times New Roman"/>
          <w:szCs w:val="20"/>
          <w:lang w:val="it-IT" w:eastAsia="it-IT"/>
        </w:rPr>
        <w:t xml:space="preserve">tenuto conto del tenore del testo costituzionale in combinato disposto con quello dell’iniziativa parlamentare elaborata, la maggioranza </w:t>
      </w:r>
      <w:r w:rsidR="00B01837">
        <w:rPr>
          <w:rFonts w:eastAsia="Times New Roman"/>
          <w:szCs w:val="20"/>
          <w:lang w:val="it-IT" w:eastAsia="it-IT"/>
        </w:rPr>
        <w:br/>
      </w:r>
    </w:p>
    <w:p w:rsidR="00B57004" w:rsidRPr="00B57004" w:rsidRDefault="00B57004" w:rsidP="00B57004">
      <w:pPr>
        <w:rPr>
          <w:rFonts w:eastAsia="Times New Roman"/>
          <w:szCs w:val="20"/>
          <w:lang w:val="it-IT" w:eastAsia="it-IT"/>
        </w:rPr>
      </w:pPr>
      <w:r w:rsidRPr="00B57004">
        <w:rPr>
          <w:rFonts w:eastAsia="Times New Roman"/>
          <w:szCs w:val="20"/>
          <w:lang w:val="it-IT" w:eastAsia="it-IT"/>
        </w:rPr>
        <w:t xml:space="preserve">della Commissione gestione e finanze condivide con gli </w:t>
      </w:r>
      <w:proofErr w:type="spellStart"/>
      <w:r w:rsidRPr="00B57004">
        <w:rPr>
          <w:rFonts w:eastAsia="Times New Roman"/>
          <w:szCs w:val="20"/>
          <w:lang w:val="it-IT" w:eastAsia="it-IT"/>
        </w:rPr>
        <w:t>iniziativisti</w:t>
      </w:r>
      <w:proofErr w:type="spellEnd"/>
      <w:r w:rsidRPr="00B57004">
        <w:rPr>
          <w:rFonts w:eastAsia="Times New Roman"/>
          <w:szCs w:val="20"/>
          <w:lang w:val="it-IT" w:eastAsia="it-IT"/>
        </w:rPr>
        <w:t xml:space="preserve"> il fatto che il presente decreto legislativo escluda fino al 2025 compreso aumenti della pressione fiscale, segnatamente delle imposte elencate nella Legge cantonale tributaria del 21 giugno 1994 quali le imposte dirette sull’utile e sul capitale sulle persone giuridiche, sul reddito e sulla sostanza delle persone fisiche, sugli utili immobiliari, il coefficiente d’imposta, l’imposta personale,</w:t>
      </w:r>
      <w:r w:rsidRPr="00B57004" w:rsidDel="00467727">
        <w:rPr>
          <w:rFonts w:eastAsia="Times New Roman"/>
          <w:szCs w:val="20"/>
          <w:lang w:val="it-IT" w:eastAsia="it-IT"/>
        </w:rPr>
        <w:t xml:space="preserve"> </w:t>
      </w:r>
      <w:r w:rsidRPr="00B57004">
        <w:rPr>
          <w:rFonts w:eastAsia="Times New Roman"/>
          <w:szCs w:val="20"/>
          <w:lang w:val="it-IT" w:eastAsia="it-IT"/>
        </w:rPr>
        <w:t>le imposte immobiliari, l’imposta minima, l’imposta sulle successioni e donazioni, ecc. Naturalmente, l’eventuale crescita organica dei ricavi – segnatamente grazie alla crescita organica del gettito fiscale, grazie all’arrivo di nuovi contribuenti, grazie a maggiori riversamenti dalla Confederazione o enti terzi, o ancora grazie a più generose distribuzioni dalle imprese partecipate dal Cantone – non sono in contrasto con quanto precede e possono dare un benvenuto contributo sul fronte delle entrate al riassestamento delle finanze cantonali.</w:t>
      </w:r>
    </w:p>
    <w:p w:rsidR="00B57004" w:rsidRPr="00B01837" w:rsidRDefault="00B57004" w:rsidP="00B57004">
      <w:pPr>
        <w:rPr>
          <w:rFonts w:eastAsia="Times New Roman"/>
          <w:bCs/>
          <w:i/>
          <w:iCs/>
          <w:szCs w:val="20"/>
          <w:lang w:val="it-IT" w:eastAsia="it-IT"/>
        </w:rPr>
      </w:pPr>
    </w:p>
    <w:p w:rsidR="00B57004" w:rsidRPr="00B01837" w:rsidRDefault="00B57004" w:rsidP="00B57004">
      <w:pPr>
        <w:rPr>
          <w:rFonts w:eastAsia="Times New Roman"/>
          <w:bCs/>
          <w:i/>
          <w:iCs/>
          <w:szCs w:val="20"/>
          <w:lang w:val="it-IT" w:eastAsia="it-IT"/>
        </w:rPr>
      </w:pPr>
    </w:p>
    <w:p w:rsidR="00B57004" w:rsidRPr="00B57004" w:rsidRDefault="00B57004" w:rsidP="00B57004">
      <w:pPr>
        <w:pStyle w:val="Titolo2"/>
      </w:pPr>
      <w:r w:rsidRPr="00B57004">
        <w:t>Validità temporale</w:t>
      </w:r>
    </w:p>
    <w:p w:rsidR="00B57004" w:rsidRPr="00B57004" w:rsidRDefault="00B57004" w:rsidP="00B01837">
      <w:pPr>
        <w:spacing w:after="120"/>
        <w:rPr>
          <w:rFonts w:eastAsia="Times New Roman"/>
          <w:szCs w:val="20"/>
          <w:lang w:val="it-IT" w:eastAsia="it-IT"/>
        </w:rPr>
      </w:pPr>
      <w:r w:rsidRPr="00B57004">
        <w:rPr>
          <w:rFonts w:eastAsia="Times New Roman"/>
          <w:szCs w:val="20"/>
          <w:lang w:val="it-IT" w:eastAsia="it-IT"/>
        </w:rPr>
        <w:t xml:space="preserve">Considerata la durata limitata nel tempo proposta dall’iniziativa parlamentare elaborata </w:t>
      </w:r>
      <w:r w:rsidR="00B01837">
        <w:rPr>
          <w:rFonts w:eastAsia="Times New Roman"/>
          <w:szCs w:val="20"/>
          <w:lang w:val="it-IT" w:eastAsia="it-IT"/>
        </w:rPr>
        <w:br/>
        <w:t xml:space="preserve">(IE </w:t>
      </w:r>
      <w:r w:rsidRPr="00B57004">
        <w:rPr>
          <w:rFonts w:eastAsia="Times New Roman"/>
          <w:szCs w:val="20"/>
          <w:lang w:val="it-IT" w:eastAsia="it-IT"/>
        </w:rPr>
        <w:t>644</w:t>
      </w:r>
      <w:r w:rsidR="00B01837">
        <w:rPr>
          <w:rFonts w:eastAsia="Times New Roman"/>
          <w:szCs w:val="20"/>
          <w:lang w:val="it-IT" w:eastAsia="it-IT"/>
        </w:rPr>
        <w:t>)</w:t>
      </w:r>
      <w:r w:rsidRPr="00B57004">
        <w:rPr>
          <w:rFonts w:eastAsia="Times New Roman"/>
          <w:szCs w:val="20"/>
          <w:lang w:val="it-IT" w:eastAsia="it-IT"/>
        </w:rPr>
        <w:t xml:space="preserve"> nonché sulla base degli approfondimenti giuridici commissionati e ottenuti dalla Commissione gestione e finanze, la maggioranza della Commissione ritiene preferibile da un punto di vista di tecnica legislativa fissarne i disposti in un Decreto legislativo a sé stante anziché modificando la LGF. Il pareggio del conto economico andrà raggiunto al più tardi nel contesto dell’esercizio finanziario 2025, che si conclude il 31</w:t>
      </w:r>
      <w:r w:rsidR="00B01837">
        <w:rPr>
          <w:rFonts w:eastAsia="Times New Roman"/>
          <w:szCs w:val="20"/>
          <w:lang w:val="it-IT" w:eastAsia="it-IT"/>
        </w:rPr>
        <w:t xml:space="preserve"> </w:t>
      </w:r>
      <w:r w:rsidRPr="00B57004">
        <w:rPr>
          <w:rFonts w:eastAsia="Times New Roman"/>
          <w:szCs w:val="20"/>
          <w:lang w:val="it-IT" w:eastAsia="it-IT"/>
        </w:rPr>
        <w:t xml:space="preserve">dicembre 2025. Tenuto conto dei tempi necessari per l’allestimento del Consuntivo 2025, nel cui ambito sono possibili gli ultimi assestamenti contabili coerenti con la </w:t>
      </w:r>
      <w:r w:rsidRPr="00B57004">
        <w:rPr>
          <w:rFonts w:eastAsia="Times New Roman"/>
          <w:i/>
          <w:iCs/>
          <w:szCs w:val="20"/>
          <w:lang w:val="it-IT" w:eastAsia="it-IT"/>
        </w:rPr>
        <w:t xml:space="preserve">ratio </w:t>
      </w:r>
      <w:proofErr w:type="spellStart"/>
      <w:r w:rsidRPr="00B57004">
        <w:rPr>
          <w:rFonts w:eastAsia="Times New Roman"/>
          <w:i/>
          <w:iCs/>
          <w:szCs w:val="20"/>
          <w:lang w:val="it-IT" w:eastAsia="it-IT"/>
        </w:rPr>
        <w:t>legis</w:t>
      </w:r>
      <w:proofErr w:type="spellEnd"/>
      <w:r w:rsidRPr="00B57004">
        <w:rPr>
          <w:rFonts w:eastAsia="Times New Roman"/>
          <w:szCs w:val="20"/>
          <w:lang w:val="it-IT" w:eastAsia="it-IT"/>
        </w:rPr>
        <w:t xml:space="preserve"> della presente, si propone di far cessare il decreto legislativo con l’approvazione del Consuntivo 2025 da parte del Gran Consiglio.</w:t>
      </w:r>
    </w:p>
    <w:p w:rsidR="00B57004" w:rsidRPr="00B57004" w:rsidRDefault="00B57004" w:rsidP="00B57004">
      <w:pPr>
        <w:rPr>
          <w:rFonts w:eastAsia="Times New Roman"/>
          <w:szCs w:val="20"/>
          <w:lang w:val="it-IT" w:eastAsia="it-IT"/>
        </w:rPr>
      </w:pPr>
    </w:p>
    <w:p w:rsidR="00B57004" w:rsidRPr="00B57004" w:rsidRDefault="00B57004" w:rsidP="00B57004">
      <w:pPr>
        <w:rPr>
          <w:rFonts w:eastAsia="Times New Roman"/>
          <w:szCs w:val="20"/>
          <w:lang w:val="it-IT" w:eastAsia="it-IT"/>
        </w:rPr>
      </w:pPr>
      <w:r w:rsidRPr="00B57004">
        <w:rPr>
          <w:rFonts w:eastAsia="Times New Roman"/>
          <w:szCs w:val="20"/>
          <w:lang w:val="it-IT" w:eastAsia="it-IT"/>
        </w:rPr>
        <w:t>Tutto ciò premesso, la maggioranza della Commissione gestione e finanze invita il Gran Consiglio a respingere l’iniziativa parlamentare elaborata n.</w:t>
      </w:r>
      <w:r w:rsidR="00B01837">
        <w:rPr>
          <w:rFonts w:eastAsia="Times New Roman"/>
          <w:szCs w:val="20"/>
          <w:lang w:val="it-IT" w:eastAsia="it-IT"/>
        </w:rPr>
        <w:t xml:space="preserve"> </w:t>
      </w:r>
      <w:r w:rsidRPr="00B57004">
        <w:rPr>
          <w:rFonts w:eastAsia="Times New Roman"/>
          <w:szCs w:val="20"/>
          <w:lang w:val="it-IT" w:eastAsia="it-IT"/>
        </w:rPr>
        <w:t xml:space="preserve">644 e ad accettare il controprogetto nella forma del disegno di decreto legislativo allegato, che riprende la </w:t>
      </w:r>
      <w:r w:rsidRPr="00B57004">
        <w:rPr>
          <w:rFonts w:eastAsia="Times New Roman"/>
          <w:i/>
          <w:iCs/>
          <w:szCs w:val="20"/>
          <w:lang w:val="it-IT" w:eastAsia="it-IT"/>
        </w:rPr>
        <w:t>ratio</w:t>
      </w:r>
      <w:r w:rsidRPr="00B57004">
        <w:rPr>
          <w:rFonts w:eastAsia="Times New Roman"/>
          <w:szCs w:val="20"/>
          <w:lang w:val="it-IT" w:eastAsia="it-IT"/>
        </w:rPr>
        <w:t xml:space="preserve"> e i disposti proposti dall’iniziativa.</w:t>
      </w:r>
    </w:p>
    <w:p w:rsidR="00B57004" w:rsidRDefault="00B57004" w:rsidP="00B57004">
      <w:pPr>
        <w:jc w:val="left"/>
        <w:rPr>
          <w:rFonts w:eastAsia="Times New Roman"/>
          <w:szCs w:val="20"/>
          <w:lang w:val="it-IT" w:eastAsia="it-IT"/>
        </w:rPr>
      </w:pPr>
    </w:p>
    <w:p w:rsidR="00B57004" w:rsidRDefault="00B57004" w:rsidP="00B57004">
      <w:pPr>
        <w:jc w:val="left"/>
        <w:rPr>
          <w:rFonts w:eastAsia="Times New Roman"/>
          <w:szCs w:val="20"/>
          <w:lang w:val="it-IT" w:eastAsia="it-IT"/>
        </w:rPr>
      </w:pPr>
    </w:p>
    <w:p w:rsidR="00B57004" w:rsidRDefault="00B57004" w:rsidP="00B57004">
      <w:pPr>
        <w:jc w:val="left"/>
        <w:rPr>
          <w:rFonts w:eastAsia="Times New Roman"/>
          <w:szCs w:val="20"/>
          <w:lang w:val="it-IT" w:eastAsia="it-IT"/>
        </w:rPr>
      </w:pPr>
    </w:p>
    <w:p w:rsidR="00712F3A" w:rsidRPr="00712F3A" w:rsidRDefault="00712F3A" w:rsidP="00712F3A">
      <w:pPr>
        <w:spacing w:after="120"/>
        <w:jc w:val="left"/>
        <w:rPr>
          <w:rFonts w:eastAsia="Times New Roman"/>
          <w:szCs w:val="20"/>
          <w:lang w:eastAsia="it-IT"/>
        </w:rPr>
      </w:pPr>
      <w:r w:rsidRPr="00712F3A">
        <w:rPr>
          <w:rFonts w:eastAsia="Times New Roman"/>
          <w:szCs w:val="20"/>
          <w:lang w:eastAsia="it-IT"/>
        </w:rPr>
        <w:t xml:space="preserve">Per la maggioranza </w:t>
      </w:r>
      <w:r>
        <w:rPr>
          <w:rFonts w:eastAsia="Times New Roman"/>
          <w:szCs w:val="20"/>
          <w:lang w:eastAsia="it-IT"/>
        </w:rPr>
        <w:t>della Commissione gestione e finanze:</w:t>
      </w:r>
    </w:p>
    <w:p w:rsidR="00712F3A" w:rsidRPr="00712F3A" w:rsidRDefault="00712F3A" w:rsidP="00712F3A">
      <w:pPr>
        <w:jc w:val="left"/>
        <w:rPr>
          <w:rFonts w:eastAsia="Times New Roman"/>
          <w:szCs w:val="20"/>
          <w:lang w:eastAsia="it-IT"/>
        </w:rPr>
      </w:pPr>
      <w:r>
        <w:rPr>
          <w:rFonts w:eastAsia="Times New Roman"/>
          <w:szCs w:val="20"/>
          <w:lang w:eastAsia="it-IT"/>
        </w:rPr>
        <w:t>Paolo Pamini</w:t>
      </w:r>
      <w:r w:rsidRPr="00712F3A">
        <w:rPr>
          <w:rFonts w:eastAsia="Times New Roman"/>
          <w:szCs w:val="20"/>
          <w:lang w:eastAsia="it-IT"/>
        </w:rPr>
        <w:t>, relatore</w:t>
      </w:r>
    </w:p>
    <w:p w:rsidR="00F66160" w:rsidRDefault="00E37B96" w:rsidP="00E37B96">
      <w:pPr>
        <w:jc w:val="left"/>
        <w:rPr>
          <w:rFonts w:eastAsia="Times New Roman"/>
          <w:szCs w:val="20"/>
          <w:lang w:val="it-IT" w:eastAsia="it-IT"/>
        </w:rPr>
      </w:pPr>
      <w:bookmarkStart w:id="5" w:name="OLE_LINK1"/>
      <w:bookmarkStart w:id="6" w:name="OLE_LINK2"/>
      <w:r w:rsidRPr="00E37B96">
        <w:rPr>
          <w:rFonts w:eastAsia="Times New Roman"/>
          <w:szCs w:val="20"/>
          <w:lang w:val="it-IT" w:eastAsia="it-IT"/>
        </w:rPr>
        <w:t xml:space="preserve">Bignasca </w:t>
      </w:r>
      <w:r>
        <w:rPr>
          <w:rFonts w:eastAsia="Times New Roman"/>
          <w:szCs w:val="20"/>
          <w:lang w:val="it-IT" w:eastAsia="it-IT"/>
        </w:rPr>
        <w:t>-</w:t>
      </w:r>
      <w:r w:rsidRPr="00E37B96">
        <w:rPr>
          <w:rFonts w:eastAsia="Times New Roman"/>
          <w:szCs w:val="20"/>
          <w:lang w:val="it-IT" w:eastAsia="it-IT"/>
        </w:rPr>
        <w:t xml:space="preserve"> </w:t>
      </w:r>
      <w:r>
        <w:rPr>
          <w:rFonts w:eastAsia="Times New Roman"/>
          <w:szCs w:val="20"/>
          <w:lang w:val="it-IT" w:eastAsia="it-IT"/>
        </w:rPr>
        <w:t xml:space="preserve">Balli - </w:t>
      </w:r>
      <w:r w:rsidRPr="00E37B96">
        <w:rPr>
          <w:rFonts w:eastAsia="Times New Roman"/>
          <w:szCs w:val="20"/>
          <w:lang w:val="it-IT" w:eastAsia="it-IT"/>
        </w:rPr>
        <w:t xml:space="preserve">Caprara </w:t>
      </w:r>
      <w:r>
        <w:rPr>
          <w:rFonts w:eastAsia="Times New Roman"/>
          <w:szCs w:val="20"/>
          <w:lang w:val="it-IT" w:eastAsia="it-IT"/>
        </w:rPr>
        <w:t xml:space="preserve">(con riserva) </w:t>
      </w:r>
      <w:r w:rsidR="00B01837">
        <w:rPr>
          <w:rFonts w:eastAsia="Times New Roman"/>
          <w:szCs w:val="20"/>
          <w:lang w:val="it-IT" w:eastAsia="it-IT"/>
        </w:rPr>
        <w:t>-</w:t>
      </w:r>
      <w:r>
        <w:rPr>
          <w:rFonts w:eastAsia="Times New Roman"/>
          <w:szCs w:val="20"/>
          <w:lang w:val="it-IT" w:eastAsia="it-IT"/>
        </w:rPr>
        <w:t xml:space="preserve"> </w:t>
      </w:r>
      <w:r w:rsidRPr="00E37B96">
        <w:rPr>
          <w:rFonts w:eastAsia="Times New Roman"/>
          <w:szCs w:val="20"/>
          <w:lang w:val="it-IT" w:eastAsia="it-IT"/>
        </w:rPr>
        <w:t xml:space="preserve">Caverzasio </w:t>
      </w:r>
      <w:r w:rsidR="00F66160">
        <w:rPr>
          <w:rFonts w:eastAsia="Times New Roman"/>
          <w:szCs w:val="20"/>
          <w:lang w:val="it-IT" w:eastAsia="it-IT"/>
        </w:rPr>
        <w:t>-</w:t>
      </w:r>
      <w:r w:rsidRPr="00E37B96">
        <w:rPr>
          <w:rFonts w:eastAsia="Times New Roman"/>
          <w:szCs w:val="20"/>
          <w:lang w:val="it-IT" w:eastAsia="it-IT"/>
        </w:rPr>
        <w:t xml:space="preserve"> </w:t>
      </w:r>
    </w:p>
    <w:p w:rsidR="00E37B96" w:rsidRPr="00E37B96" w:rsidRDefault="00E37B96" w:rsidP="00E37B96">
      <w:pPr>
        <w:jc w:val="left"/>
        <w:rPr>
          <w:rFonts w:eastAsia="Times New Roman"/>
          <w:szCs w:val="20"/>
          <w:lang w:val="it-IT" w:eastAsia="it-IT"/>
        </w:rPr>
      </w:pPr>
      <w:r w:rsidRPr="00E37B96">
        <w:rPr>
          <w:rFonts w:eastAsia="Times New Roman"/>
          <w:szCs w:val="20"/>
          <w:lang w:val="it-IT" w:eastAsia="it-IT"/>
        </w:rPr>
        <w:t xml:space="preserve">Gianella Alessandra </w:t>
      </w:r>
      <w:r>
        <w:rPr>
          <w:rFonts w:eastAsia="Times New Roman"/>
          <w:szCs w:val="20"/>
          <w:lang w:val="it-IT" w:eastAsia="it-IT"/>
        </w:rPr>
        <w:t>(con riserva)</w:t>
      </w:r>
      <w:r w:rsidR="00AF0C29">
        <w:rPr>
          <w:rFonts w:eastAsia="Times New Roman"/>
          <w:szCs w:val="20"/>
          <w:lang w:val="it-IT" w:eastAsia="it-IT"/>
        </w:rPr>
        <w:t xml:space="preserve"> - Guerra</w:t>
      </w:r>
    </w:p>
    <w:bookmarkEnd w:id="5"/>
    <w:bookmarkEnd w:id="6"/>
    <w:p w:rsidR="00B57004" w:rsidRDefault="00B57004" w:rsidP="00B57004">
      <w:pPr>
        <w:jc w:val="left"/>
        <w:rPr>
          <w:rFonts w:eastAsia="Times New Roman"/>
          <w:szCs w:val="20"/>
          <w:lang w:val="it-IT" w:eastAsia="it-IT"/>
        </w:rPr>
      </w:pPr>
    </w:p>
    <w:bookmarkEnd w:id="1"/>
    <w:bookmarkEnd w:id="2"/>
    <w:bookmarkEnd w:id="3"/>
    <w:bookmarkEnd w:id="4"/>
    <w:p w:rsidR="00B57004" w:rsidRPr="00B57004" w:rsidRDefault="00B57004" w:rsidP="00B57004">
      <w:pPr>
        <w:rPr>
          <w:rFonts w:eastAsia="Times New Roman" w:cs="Arial"/>
          <w:szCs w:val="24"/>
          <w:lang w:eastAsia="it-IT"/>
        </w:rPr>
      </w:pPr>
      <w:r>
        <w:rPr>
          <w:rFonts w:eastAsia="Times New Roman"/>
          <w:szCs w:val="20"/>
          <w:lang w:val="it-IT" w:eastAsia="it-IT"/>
        </w:rPr>
        <w:br w:type="page"/>
      </w:r>
      <w:r w:rsidRPr="00B57004">
        <w:rPr>
          <w:rFonts w:eastAsia="Times New Roman" w:cs="Arial"/>
          <w:szCs w:val="24"/>
          <w:lang w:eastAsia="it-IT"/>
        </w:rPr>
        <w:t xml:space="preserve">Disegno di </w:t>
      </w:r>
    </w:p>
    <w:p w:rsidR="00B57004" w:rsidRPr="00B57004" w:rsidRDefault="00B57004" w:rsidP="00B57004">
      <w:pPr>
        <w:rPr>
          <w:rFonts w:eastAsia="Times New Roman" w:cs="Arial"/>
          <w:szCs w:val="24"/>
          <w:lang w:eastAsia="it-IT"/>
        </w:rPr>
      </w:pPr>
    </w:p>
    <w:p w:rsidR="00B57004" w:rsidRPr="00B57004" w:rsidRDefault="00B57004" w:rsidP="00B01837">
      <w:pPr>
        <w:outlineLvl w:val="0"/>
        <w:rPr>
          <w:rFonts w:eastAsia="Times New Roman" w:cs="Arial"/>
          <w:b/>
          <w:szCs w:val="24"/>
          <w:lang w:eastAsia="it-IT"/>
        </w:rPr>
      </w:pPr>
      <w:r w:rsidRPr="00B57004">
        <w:rPr>
          <w:rFonts w:eastAsia="Times New Roman" w:cs="Arial"/>
          <w:b/>
          <w:szCs w:val="24"/>
          <w:lang w:eastAsia="it-IT"/>
        </w:rPr>
        <w:t>DECRETO LEGISLATIVO</w:t>
      </w:r>
    </w:p>
    <w:p w:rsidR="00B57004" w:rsidRPr="00B57004" w:rsidRDefault="00B57004" w:rsidP="00B57004">
      <w:pPr>
        <w:jc w:val="left"/>
        <w:rPr>
          <w:rFonts w:eastAsia="Times New Roman" w:cs="Arial"/>
          <w:b/>
          <w:szCs w:val="24"/>
          <w:lang w:eastAsia="it-IT"/>
        </w:rPr>
      </w:pPr>
      <w:r w:rsidRPr="00B57004">
        <w:rPr>
          <w:rFonts w:eastAsia="Times New Roman" w:cs="Arial"/>
          <w:b/>
          <w:szCs w:val="24"/>
          <w:lang w:eastAsia="it-IT"/>
        </w:rPr>
        <w:t>concernente il pareggio del conto economico entro il 31 dicembre 2025 con misure di contenimento della spesa e senza riversamento di oneri sui Comuni</w:t>
      </w:r>
    </w:p>
    <w:p w:rsidR="00B57004" w:rsidRPr="00B57004" w:rsidRDefault="00B57004" w:rsidP="00B57004">
      <w:pPr>
        <w:rPr>
          <w:rFonts w:eastAsia="Times New Roman" w:cs="Arial"/>
          <w:szCs w:val="24"/>
          <w:lang w:eastAsia="it-IT"/>
        </w:rPr>
      </w:pPr>
    </w:p>
    <w:p w:rsidR="00B57004" w:rsidRPr="00B57004" w:rsidRDefault="00B57004" w:rsidP="00B57004">
      <w:pPr>
        <w:rPr>
          <w:rFonts w:eastAsia="Times New Roman" w:cs="Arial"/>
          <w:szCs w:val="24"/>
          <w:lang w:eastAsia="it-IT"/>
        </w:rPr>
      </w:pPr>
    </w:p>
    <w:p w:rsidR="00B57004" w:rsidRPr="00B57004" w:rsidRDefault="00B57004" w:rsidP="00B57004">
      <w:pPr>
        <w:outlineLvl w:val="0"/>
        <w:rPr>
          <w:rFonts w:eastAsia="Times New Roman" w:cs="Arial"/>
          <w:szCs w:val="24"/>
          <w:lang w:eastAsia="it-IT"/>
        </w:rPr>
      </w:pPr>
      <w:r w:rsidRPr="00B57004">
        <w:rPr>
          <w:rFonts w:eastAsia="Times New Roman" w:cs="Arial"/>
          <w:szCs w:val="24"/>
          <w:lang w:eastAsia="it-IT"/>
        </w:rPr>
        <w:t>IL GRAN CONSIGLIO</w:t>
      </w:r>
    </w:p>
    <w:p w:rsidR="00B57004" w:rsidRPr="00B57004" w:rsidRDefault="00B57004" w:rsidP="00B57004">
      <w:pPr>
        <w:rPr>
          <w:rFonts w:eastAsia="Times New Roman" w:cs="Arial"/>
          <w:szCs w:val="24"/>
          <w:lang w:eastAsia="it-IT"/>
        </w:rPr>
      </w:pPr>
      <w:r w:rsidRPr="00B57004">
        <w:rPr>
          <w:rFonts w:eastAsia="Times New Roman" w:cs="Arial"/>
          <w:szCs w:val="24"/>
          <w:lang w:eastAsia="it-IT"/>
        </w:rPr>
        <w:t>DELLA REPUBBLICA E CANTONE TICINO</w:t>
      </w:r>
    </w:p>
    <w:p w:rsidR="00B57004" w:rsidRPr="00B57004" w:rsidRDefault="00B57004" w:rsidP="00B57004">
      <w:pPr>
        <w:rPr>
          <w:rFonts w:eastAsia="Times New Roman" w:cs="Arial"/>
          <w:szCs w:val="24"/>
          <w:lang w:val="it-IT" w:eastAsia="it-IT"/>
        </w:rPr>
      </w:pPr>
    </w:p>
    <w:p w:rsidR="00B57004" w:rsidRPr="00B57004" w:rsidRDefault="00B57004" w:rsidP="003F7C4F">
      <w:pPr>
        <w:numPr>
          <w:ilvl w:val="0"/>
          <w:numId w:val="20"/>
        </w:numPr>
        <w:spacing w:before="120"/>
        <w:ind w:left="284" w:hanging="284"/>
        <w:rPr>
          <w:rFonts w:eastAsia="Times New Roman" w:cs="Arial"/>
          <w:szCs w:val="24"/>
          <w:lang w:val="it-IT" w:eastAsia="it-IT"/>
        </w:rPr>
      </w:pPr>
      <w:r w:rsidRPr="00B57004">
        <w:rPr>
          <w:rFonts w:eastAsia="Times New Roman" w:cs="Arial"/>
          <w:szCs w:val="24"/>
          <w:lang w:val="it-IT" w:eastAsia="it-IT"/>
        </w:rPr>
        <w:t xml:space="preserve">vista l'iniziativa parlamentare elaborata </w:t>
      </w:r>
      <w:r w:rsidR="00B01837">
        <w:rPr>
          <w:rFonts w:eastAsia="Times New Roman" w:cs="Arial"/>
          <w:szCs w:val="24"/>
          <w:lang w:val="it-IT" w:eastAsia="it-IT"/>
        </w:rPr>
        <w:t xml:space="preserve">(IE </w:t>
      </w:r>
      <w:r w:rsidRPr="00B57004">
        <w:rPr>
          <w:rFonts w:eastAsia="Times New Roman" w:cs="Arial"/>
          <w:szCs w:val="24"/>
          <w:lang w:val="it-IT" w:eastAsia="it-IT"/>
        </w:rPr>
        <w:t>644</w:t>
      </w:r>
      <w:r w:rsidR="00B01837">
        <w:rPr>
          <w:rFonts w:eastAsia="Times New Roman" w:cs="Arial"/>
          <w:szCs w:val="24"/>
          <w:lang w:val="it-IT" w:eastAsia="it-IT"/>
        </w:rPr>
        <w:t>)</w:t>
      </w:r>
      <w:r w:rsidRPr="00B57004">
        <w:rPr>
          <w:rFonts w:eastAsia="Times New Roman" w:cs="Arial"/>
          <w:szCs w:val="24"/>
          <w:lang w:val="it-IT" w:eastAsia="it-IT"/>
        </w:rPr>
        <w:t xml:space="preserve"> 21</w:t>
      </w:r>
      <w:r w:rsidR="00B01837">
        <w:rPr>
          <w:rFonts w:eastAsia="Times New Roman" w:cs="Arial"/>
          <w:szCs w:val="24"/>
          <w:lang w:val="it-IT" w:eastAsia="it-IT"/>
        </w:rPr>
        <w:t xml:space="preserve"> </w:t>
      </w:r>
      <w:r w:rsidRPr="00B57004">
        <w:rPr>
          <w:rFonts w:eastAsia="Times New Roman" w:cs="Arial"/>
          <w:szCs w:val="24"/>
          <w:lang w:val="it-IT" w:eastAsia="it-IT"/>
        </w:rPr>
        <w:t>settembre 2021 di Sergio Morisoli e cofirmatari;</w:t>
      </w:r>
    </w:p>
    <w:p w:rsidR="00B57004" w:rsidRPr="00B57004" w:rsidRDefault="00B57004" w:rsidP="001D029E">
      <w:pPr>
        <w:numPr>
          <w:ilvl w:val="0"/>
          <w:numId w:val="20"/>
        </w:numPr>
        <w:spacing w:before="60"/>
        <w:ind w:left="284" w:hanging="284"/>
        <w:rPr>
          <w:rFonts w:eastAsia="Times New Roman" w:cs="Arial"/>
          <w:szCs w:val="24"/>
          <w:lang w:val="it-IT" w:eastAsia="it-IT"/>
        </w:rPr>
      </w:pPr>
      <w:r w:rsidRPr="00B57004">
        <w:rPr>
          <w:rFonts w:eastAsia="Times New Roman" w:cs="Arial"/>
          <w:szCs w:val="24"/>
          <w:lang w:val="it-IT" w:eastAsia="it-IT"/>
        </w:rPr>
        <w:t>richiamato l’art</w:t>
      </w:r>
      <w:r w:rsidR="00B01837">
        <w:rPr>
          <w:rFonts w:eastAsia="Times New Roman" w:cs="Arial"/>
          <w:szCs w:val="24"/>
          <w:lang w:val="it-IT" w:eastAsia="it-IT"/>
        </w:rPr>
        <w:t>.</w:t>
      </w:r>
      <w:r w:rsidRPr="00B57004">
        <w:rPr>
          <w:rFonts w:eastAsia="Times New Roman" w:cs="Arial"/>
          <w:szCs w:val="24"/>
          <w:lang w:val="it-IT" w:eastAsia="it-IT"/>
        </w:rPr>
        <w:t xml:space="preserve"> 34</w:t>
      </w:r>
      <w:r w:rsidRPr="00B57004">
        <w:rPr>
          <w:rFonts w:eastAsia="Times New Roman" w:cs="Arial"/>
          <w:szCs w:val="24"/>
          <w:vertAlign w:val="superscript"/>
          <w:lang w:val="it-IT" w:eastAsia="it-IT"/>
        </w:rPr>
        <w:t>ter</w:t>
      </w:r>
      <w:r w:rsidRPr="00B57004">
        <w:rPr>
          <w:rFonts w:eastAsia="Times New Roman" w:cs="Arial"/>
          <w:szCs w:val="24"/>
          <w:lang w:val="it-IT" w:eastAsia="it-IT"/>
        </w:rPr>
        <w:t xml:space="preserve"> </w:t>
      </w:r>
      <w:r w:rsidR="00E634DA">
        <w:rPr>
          <w:rFonts w:eastAsia="Times New Roman" w:cs="Arial"/>
          <w:szCs w:val="24"/>
          <w:lang w:val="it-IT" w:eastAsia="it-IT"/>
        </w:rPr>
        <w:t xml:space="preserve">della </w:t>
      </w:r>
      <w:r w:rsidRPr="00B57004">
        <w:rPr>
          <w:rFonts w:eastAsia="Times New Roman" w:cs="Arial"/>
          <w:szCs w:val="24"/>
          <w:lang w:val="it-IT" w:eastAsia="it-IT"/>
        </w:rPr>
        <w:t>Costituzione della Repubblica e Cantone Ticino</w:t>
      </w:r>
      <w:r w:rsidR="00E634DA">
        <w:rPr>
          <w:rFonts w:eastAsia="Times New Roman" w:cs="Arial"/>
          <w:szCs w:val="24"/>
          <w:lang w:val="it-IT" w:eastAsia="it-IT"/>
        </w:rPr>
        <w:t xml:space="preserve"> </w:t>
      </w:r>
      <w:r w:rsidR="00E634DA" w:rsidRPr="00B57004">
        <w:rPr>
          <w:rFonts w:eastAsia="Times New Roman" w:cs="Arial"/>
          <w:szCs w:val="24"/>
          <w:lang w:val="it-IT" w:eastAsia="it-IT"/>
        </w:rPr>
        <w:t xml:space="preserve">del </w:t>
      </w:r>
      <w:r w:rsidR="00F66160">
        <w:rPr>
          <w:rFonts w:eastAsia="Times New Roman" w:cs="Arial"/>
          <w:szCs w:val="24"/>
          <w:lang w:val="it-IT" w:eastAsia="it-IT"/>
        </w:rPr>
        <w:br/>
      </w:r>
      <w:r w:rsidR="00E634DA" w:rsidRPr="00B57004">
        <w:rPr>
          <w:rFonts w:eastAsia="Times New Roman" w:cs="Arial"/>
          <w:szCs w:val="24"/>
          <w:lang w:val="it-IT" w:eastAsia="it-IT"/>
        </w:rPr>
        <w:t>14</w:t>
      </w:r>
      <w:r w:rsidR="00E634DA">
        <w:rPr>
          <w:rFonts w:eastAsia="Times New Roman" w:cs="Arial"/>
          <w:szCs w:val="24"/>
          <w:lang w:val="it-IT" w:eastAsia="it-IT"/>
        </w:rPr>
        <w:t xml:space="preserve"> </w:t>
      </w:r>
      <w:r w:rsidR="00E634DA" w:rsidRPr="00B57004">
        <w:rPr>
          <w:rFonts w:eastAsia="Times New Roman" w:cs="Arial"/>
          <w:szCs w:val="24"/>
          <w:lang w:val="it-IT" w:eastAsia="it-IT"/>
        </w:rPr>
        <w:t>dicembre 1998</w:t>
      </w:r>
      <w:r w:rsidRPr="00B57004">
        <w:rPr>
          <w:rFonts w:eastAsia="Times New Roman" w:cs="Arial"/>
          <w:szCs w:val="24"/>
          <w:lang w:val="it-IT" w:eastAsia="it-IT"/>
        </w:rPr>
        <w:t>;</w:t>
      </w:r>
    </w:p>
    <w:p w:rsidR="00B57004" w:rsidRPr="00B57004" w:rsidRDefault="00B57004" w:rsidP="001D029E">
      <w:pPr>
        <w:numPr>
          <w:ilvl w:val="0"/>
          <w:numId w:val="20"/>
        </w:numPr>
        <w:spacing w:before="60"/>
        <w:ind w:left="284" w:hanging="284"/>
        <w:rPr>
          <w:rFonts w:eastAsia="Times New Roman" w:cs="Arial"/>
          <w:szCs w:val="24"/>
          <w:lang w:val="it-IT" w:eastAsia="it-IT"/>
        </w:rPr>
      </w:pPr>
      <w:r w:rsidRPr="00B57004">
        <w:rPr>
          <w:rFonts w:eastAsia="Times New Roman" w:cs="Arial"/>
          <w:szCs w:val="24"/>
          <w:lang w:val="it-IT" w:eastAsia="it-IT"/>
        </w:rPr>
        <w:t>richiamato l’art</w:t>
      </w:r>
      <w:r w:rsidR="00B01837">
        <w:rPr>
          <w:rFonts w:eastAsia="Times New Roman" w:cs="Arial"/>
          <w:szCs w:val="24"/>
          <w:lang w:val="it-IT" w:eastAsia="it-IT"/>
        </w:rPr>
        <w:t>.</w:t>
      </w:r>
      <w:r w:rsidRPr="00B57004">
        <w:rPr>
          <w:rFonts w:eastAsia="Times New Roman" w:cs="Arial"/>
          <w:szCs w:val="24"/>
          <w:lang w:val="it-IT" w:eastAsia="it-IT"/>
        </w:rPr>
        <w:t xml:space="preserve"> 4 </w:t>
      </w:r>
      <w:r w:rsidR="00E634DA">
        <w:rPr>
          <w:rFonts w:eastAsia="Times New Roman" w:cs="Arial"/>
          <w:szCs w:val="24"/>
          <w:lang w:val="it-IT" w:eastAsia="it-IT"/>
        </w:rPr>
        <w:t xml:space="preserve">della </w:t>
      </w:r>
      <w:r w:rsidRPr="00B57004">
        <w:rPr>
          <w:rFonts w:eastAsia="Times New Roman" w:cs="Arial"/>
          <w:szCs w:val="24"/>
          <w:lang w:val="it-IT" w:eastAsia="it-IT"/>
        </w:rPr>
        <w:t>Legge cantonale sulla gestione e sul controllo finanziario dello Stato</w:t>
      </w:r>
      <w:r w:rsidR="00E634DA">
        <w:rPr>
          <w:rFonts w:eastAsia="Times New Roman" w:cs="Arial"/>
          <w:szCs w:val="24"/>
          <w:lang w:val="it-IT" w:eastAsia="it-IT"/>
        </w:rPr>
        <w:t xml:space="preserve"> </w:t>
      </w:r>
      <w:r w:rsidR="00E634DA" w:rsidRPr="00B57004">
        <w:rPr>
          <w:rFonts w:eastAsia="Times New Roman" w:cs="Arial"/>
          <w:szCs w:val="24"/>
          <w:lang w:val="it-IT" w:eastAsia="it-IT"/>
        </w:rPr>
        <w:t>del 20</w:t>
      </w:r>
      <w:r w:rsidR="00E634DA">
        <w:rPr>
          <w:rFonts w:eastAsia="Times New Roman" w:cs="Arial"/>
          <w:szCs w:val="24"/>
          <w:lang w:val="it-IT" w:eastAsia="it-IT"/>
        </w:rPr>
        <w:t xml:space="preserve"> </w:t>
      </w:r>
      <w:r w:rsidR="00E634DA" w:rsidRPr="00B57004">
        <w:rPr>
          <w:rFonts w:eastAsia="Times New Roman" w:cs="Arial"/>
          <w:szCs w:val="24"/>
          <w:lang w:val="it-IT" w:eastAsia="it-IT"/>
        </w:rPr>
        <w:t>gennaio 1986</w:t>
      </w:r>
      <w:r w:rsidRPr="00B57004">
        <w:rPr>
          <w:rFonts w:eastAsia="Times New Roman" w:cs="Arial"/>
          <w:szCs w:val="24"/>
          <w:lang w:val="it-IT" w:eastAsia="it-IT"/>
        </w:rPr>
        <w:t>;</w:t>
      </w:r>
    </w:p>
    <w:p w:rsidR="00B57004" w:rsidRPr="00B57004" w:rsidRDefault="00B57004" w:rsidP="001D029E">
      <w:pPr>
        <w:numPr>
          <w:ilvl w:val="0"/>
          <w:numId w:val="20"/>
        </w:numPr>
        <w:spacing w:before="60"/>
        <w:ind w:left="284" w:hanging="284"/>
        <w:rPr>
          <w:rFonts w:eastAsia="Times New Roman" w:cs="Arial"/>
          <w:szCs w:val="24"/>
          <w:lang w:val="it-IT" w:eastAsia="it-IT"/>
        </w:rPr>
      </w:pPr>
      <w:r w:rsidRPr="00B57004">
        <w:rPr>
          <w:rFonts w:eastAsia="Times New Roman" w:cs="Arial"/>
          <w:szCs w:val="24"/>
          <w:lang w:val="it-IT" w:eastAsia="it-IT"/>
        </w:rPr>
        <w:t>visto il rapporto di maggioranza 5</w:t>
      </w:r>
      <w:r w:rsidR="00E37B96" w:rsidRPr="00E37B96">
        <w:rPr>
          <w:rFonts w:eastAsia="Times New Roman" w:cs="Arial"/>
          <w:szCs w:val="24"/>
          <w:lang w:val="it-IT" w:eastAsia="it-IT"/>
        </w:rPr>
        <w:t xml:space="preserve"> </w:t>
      </w:r>
      <w:r w:rsidRPr="00B57004">
        <w:rPr>
          <w:rFonts w:eastAsia="Times New Roman" w:cs="Arial"/>
          <w:szCs w:val="24"/>
          <w:lang w:val="it-IT" w:eastAsia="it-IT"/>
        </w:rPr>
        <w:t>ottobre 2021 della</w:t>
      </w:r>
      <w:r w:rsidR="003F7C4F">
        <w:rPr>
          <w:rFonts w:eastAsia="Times New Roman" w:cs="Arial"/>
          <w:szCs w:val="24"/>
          <w:lang w:val="it-IT" w:eastAsia="it-IT"/>
        </w:rPr>
        <w:t xml:space="preserve"> Commissione gestione e finanze,</w:t>
      </w:r>
    </w:p>
    <w:p w:rsidR="00B57004" w:rsidRPr="00B57004" w:rsidRDefault="00B57004" w:rsidP="00B57004">
      <w:pPr>
        <w:rPr>
          <w:rFonts w:eastAsia="Times New Roman" w:cs="Arial"/>
          <w:szCs w:val="24"/>
          <w:lang w:val="it-IT" w:eastAsia="it-IT"/>
        </w:rPr>
      </w:pPr>
    </w:p>
    <w:p w:rsidR="00B57004" w:rsidRPr="00B57004" w:rsidRDefault="00B57004" w:rsidP="00B57004">
      <w:pPr>
        <w:rPr>
          <w:rFonts w:eastAsia="Times New Roman" w:cs="Arial"/>
          <w:szCs w:val="24"/>
          <w:lang w:eastAsia="it-IT"/>
        </w:rPr>
      </w:pPr>
    </w:p>
    <w:p w:rsidR="00B57004" w:rsidRPr="00B57004" w:rsidRDefault="00B57004" w:rsidP="00B57004">
      <w:pPr>
        <w:rPr>
          <w:rFonts w:eastAsia="Times New Roman" w:cs="Arial"/>
          <w:b/>
          <w:szCs w:val="24"/>
          <w:lang w:eastAsia="it-IT"/>
        </w:rPr>
      </w:pPr>
      <w:r w:rsidRPr="00B57004">
        <w:rPr>
          <w:rFonts w:eastAsia="Times New Roman" w:cs="Arial"/>
          <w:b/>
          <w:szCs w:val="24"/>
          <w:lang w:eastAsia="it-IT"/>
        </w:rPr>
        <w:t xml:space="preserve">d e c r e t </w:t>
      </w:r>
      <w:proofErr w:type="gramStart"/>
      <w:r w:rsidRPr="00B57004">
        <w:rPr>
          <w:rFonts w:eastAsia="Times New Roman" w:cs="Arial"/>
          <w:b/>
          <w:szCs w:val="24"/>
          <w:lang w:eastAsia="it-IT"/>
        </w:rPr>
        <w:t>a</w:t>
      </w:r>
      <w:r w:rsidR="00B01837">
        <w:rPr>
          <w:rFonts w:eastAsia="Times New Roman" w:cs="Arial"/>
          <w:b/>
          <w:szCs w:val="24"/>
          <w:lang w:eastAsia="it-IT"/>
        </w:rPr>
        <w:t xml:space="preserve"> </w:t>
      </w:r>
      <w:r w:rsidRPr="00B57004">
        <w:rPr>
          <w:rFonts w:eastAsia="Times New Roman" w:cs="Arial"/>
          <w:b/>
          <w:szCs w:val="24"/>
          <w:lang w:eastAsia="it-IT"/>
        </w:rPr>
        <w:t>:</w:t>
      </w:r>
      <w:proofErr w:type="gramEnd"/>
    </w:p>
    <w:p w:rsidR="00B57004" w:rsidRDefault="00B57004" w:rsidP="00B57004">
      <w:pPr>
        <w:rPr>
          <w:rFonts w:eastAsia="Times New Roman" w:cs="Arial"/>
          <w:szCs w:val="24"/>
          <w:lang w:eastAsia="it-IT"/>
        </w:rPr>
      </w:pPr>
    </w:p>
    <w:p w:rsidR="003F7C4F" w:rsidRPr="00B57004" w:rsidRDefault="003F7C4F" w:rsidP="00B57004">
      <w:pPr>
        <w:rPr>
          <w:rFonts w:eastAsia="Times New Roman" w:cs="Arial"/>
          <w:szCs w:val="24"/>
          <w:lang w:eastAsia="it-IT"/>
        </w:rPr>
      </w:pPr>
    </w:p>
    <w:p w:rsidR="00B57004" w:rsidRPr="00B57004" w:rsidRDefault="00B57004" w:rsidP="00B57004">
      <w:pPr>
        <w:suppressAutoHyphens/>
        <w:rPr>
          <w:rFonts w:cs="Arial"/>
          <w:b/>
          <w:szCs w:val="24"/>
          <w:lang w:val="it-IT" w:eastAsia="it-IT"/>
        </w:rPr>
      </w:pPr>
      <w:r w:rsidRPr="00B57004">
        <w:rPr>
          <w:rFonts w:cs="Arial"/>
          <w:b/>
          <w:szCs w:val="24"/>
          <w:u w:val="single"/>
          <w:lang w:val="it-IT" w:eastAsia="it-IT"/>
        </w:rPr>
        <w:t>Articolo 1</w:t>
      </w:r>
      <w:r w:rsidRPr="00B57004">
        <w:rPr>
          <w:rFonts w:cs="Arial"/>
          <w:b/>
          <w:szCs w:val="24"/>
          <w:lang w:val="it-IT" w:eastAsia="it-IT"/>
        </w:rPr>
        <w:t xml:space="preserve"> </w:t>
      </w:r>
      <w:r w:rsidR="00B01837">
        <w:rPr>
          <w:rFonts w:cs="Arial"/>
          <w:b/>
          <w:szCs w:val="24"/>
          <w:lang w:val="it-IT" w:eastAsia="it-IT"/>
        </w:rPr>
        <w:t>-</w:t>
      </w:r>
      <w:r w:rsidRPr="00B57004">
        <w:rPr>
          <w:rFonts w:cs="Arial"/>
          <w:b/>
          <w:szCs w:val="24"/>
          <w:lang w:val="it-IT" w:eastAsia="it-IT"/>
        </w:rPr>
        <w:t xml:space="preserve"> Pareggio del conto economico entro il 2025 contenendo la spesa</w:t>
      </w:r>
    </w:p>
    <w:p w:rsidR="00B57004" w:rsidRPr="00B57004" w:rsidRDefault="00B57004" w:rsidP="00B57004">
      <w:pPr>
        <w:suppressAutoHyphens/>
        <w:rPr>
          <w:rFonts w:cs="Arial"/>
          <w:szCs w:val="24"/>
          <w:u w:val="single"/>
          <w:lang w:val="it-IT" w:eastAsia="it-IT"/>
        </w:rPr>
      </w:pPr>
    </w:p>
    <w:p w:rsidR="00B57004" w:rsidRPr="00B57004" w:rsidRDefault="00B57004" w:rsidP="00B01837">
      <w:pPr>
        <w:spacing w:after="80"/>
        <w:rPr>
          <w:rFonts w:cs="Arial"/>
          <w:szCs w:val="24"/>
          <w:lang w:val="it-IT" w:eastAsia="it-IT"/>
        </w:rPr>
      </w:pPr>
      <w:r w:rsidRPr="00B57004">
        <w:rPr>
          <w:rFonts w:cs="Arial"/>
          <w:szCs w:val="24"/>
          <w:lang w:val="it-IT" w:eastAsia="it-IT"/>
        </w:rPr>
        <w:t>L'obiettivo di pareggio del conto economico deve essere raggiunto al più tardi entro la fine dell’esercizio 2025, con delle misure esclusivamente di contenimento della spesa, segnatamente</w:t>
      </w:r>
    </w:p>
    <w:p w:rsidR="00B57004" w:rsidRPr="00B57004" w:rsidRDefault="00B57004" w:rsidP="00B01837">
      <w:pPr>
        <w:numPr>
          <w:ilvl w:val="0"/>
          <w:numId w:val="21"/>
        </w:numPr>
        <w:ind w:left="426" w:hanging="426"/>
        <w:contextualSpacing/>
        <w:rPr>
          <w:rFonts w:eastAsia="Times New Roman" w:cs="Arial"/>
          <w:szCs w:val="24"/>
          <w:lang w:eastAsia="it-IT"/>
        </w:rPr>
      </w:pPr>
      <w:r w:rsidRPr="00B57004">
        <w:rPr>
          <w:rFonts w:eastAsia="Times New Roman" w:cs="Arial"/>
          <w:szCs w:val="24"/>
          <w:lang w:eastAsia="it-IT"/>
        </w:rPr>
        <w:t>del personale (voce di spesa gruppo 30, spese di funzionamento);</w:t>
      </w:r>
    </w:p>
    <w:p w:rsidR="00B57004" w:rsidRPr="00B57004" w:rsidRDefault="00B57004" w:rsidP="00B01837">
      <w:pPr>
        <w:numPr>
          <w:ilvl w:val="0"/>
          <w:numId w:val="21"/>
        </w:numPr>
        <w:ind w:left="426" w:hanging="426"/>
        <w:contextualSpacing/>
        <w:rPr>
          <w:rFonts w:eastAsia="Times New Roman" w:cs="Arial"/>
          <w:szCs w:val="24"/>
          <w:lang w:eastAsia="it-IT"/>
        </w:rPr>
      </w:pPr>
      <w:r w:rsidRPr="00B57004">
        <w:rPr>
          <w:rFonts w:eastAsia="Times New Roman" w:cs="Arial"/>
          <w:szCs w:val="24"/>
          <w:lang w:eastAsia="it-IT"/>
        </w:rPr>
        <w:t>dei beni e servizi (voce di spesa gruppo 31, spese di funzionamento);</w:t>
      </w:r>
    </w:p>
    <w:p w:rsidR="00B57004" w:rsidRPr="00B57004" w:rsidRDefault="00B57004" w:rsidP="00B01837">
      <w:pPr>
        <w:numPr>
          <w:ilvl w:val="0"/>
          <w:numId w:val="21"/>
        </w:numPr>
        <w:ind w:left="426" w:hanging="426"/>
        <w:contextualSpacing/>
        <w:rPr>
          <w:rFonts w:eastAsia="Times New Roman" w:cs="Arial"/>
          <w:szCs w:val="24"/>
          <w:lang w:eastAsia="it-IT"/>
        </w:rPr>
      </w:pPr>
      <w:r w:rsidRPr="00B57004">
        <w:rPr>
          <w:rFonts w:eastAsia="Times New Roman" w:cs="Arial"/>
          <w:szCs w:val="24"/>
          <w:lang w:eastAsia="it-IT"/>
        </w:rPr>
        <w:t>di trasferimento (voce di spesa gruppo 36, contributi).</w:t>
      </w:r>
    </w:p>
    <w:p w:rsidR="00B57004" w:rsidRDefault="00B57004" w:rsidP="00B57004">
      <w:pPr>
        <w:rPr>
          <w:rFonts w:eastAsia="Times New Roman" w:cs="Arial"/>
          <w:szCs w:val="24"/>
          <w:lang w:eastAsia="it-IT"/>
        </w:rPr>
      </w:pPr>
    </w:p>
    <w:p w:rsidR="003F7C4F" w:rsidRPr="00B57004" w:rsidRDefault="003F7C4F" w:rsidP="00B57004">
      <w:pPr>
        <w:rPr>
          <w:rFonts w:eastAsia="Times New Roman" w:cs="Arial"/>
          <w:szCs w:val="24"/>
          <w:lang w:eastAsia="it-IT"/>
        </w:rPr>
      </w:pPr>
    </w:p>
    <w:p w:rsidR="00B57004" w:rsidRPr="00B57004" w:rsidRDefault="00B57004" w:rsidP="00B57004">
      <w:pPr>
        <w:suppressAutoHyphens/>
        <w:rPr>
          <w:rFonts w:cs="Arial"/>
          <w:b/>
          <w:szCs w:val="24"/>
          <w:lang w:val="it-IT" w:eastAsia="it-IT"/>
        </w:rPr>
      </w:pPr>
      <w:r w:rsidRPr="00B57004">
        <w:rPr>
          <w:rFonts w:cs="Arial"/>
          <w:b/>
          <w:szCs w:val="24"/>
          <w:u w:val="single"/>
          <w:lang w:val="it-IT" w:eastAsia="it-IT"/>
        </w:rPr>
        <w:t>Articolo 2</w:t>
      </w:r>
      <w:r w:rsidRPr="00B57004">
        <w:rPr>
          <w:rFonts w:cs="Arial"/>
          <w:b/>
          <w:szCs w:val="24"/>
          <w:lang w:val="it-IT" w:eastAsia="it-IT"/>
        </w:rPr>
        <w:t xml:space="preserve"> </w:t>
      </w:r>
      <w:r w:rsidR="00B01837">
        <w:rPr>
          <w:rFonts w:cs="Arial"/>
          <w:b/>
          <w:szCs w:val="24"/>
          <w:lang w:val="it-IT" w:eastAsia="it-IT"/>
        </w:rPr>
        <w:t>-</w:t>
      </w:r>
      <w:r w:rsidRPr="00B57004">
        <w:rPr>
          <w:rFonts w:cs="Arial"/>
          <w:b/>
          <w:szCs w:val="24"/>
          <w:lang w:val="it-IT" w:eastAsia="it-IT"/>
        </w:rPr>
        <w:t xml:space="preserve"> </w:t>
      </w:r>
      <w:r w:rsidRPr="00B57004">
        <w:rPr>
          <w:rFonts w:eastAsia="Times New Roman" w:cs="Arial"/>
          <w:b/>
          <w:bCs/>
          <w:szCs w:val="24"/>
          <w:lang w:eastAsia="it-IT"/>
        </w:rPr>
        <w:t>Divieto del riversamento di oneri finanziari netti sui Comuni</w:t>
      </w:r>
    </w:p>
    <w:p w:rsidR="00B57004" w:rsidRPr="00B57004" w:rsidRDefault="00B57004" w:rsidP="00B57004">
      <w:pPr>
        <w:suppressAutoHyphens/>
        <w:rPr>
          <w:rFonts w:cs="Arial"/>
          <w:szCs w:val="24"/>
          <w:u w:val="single"/>
          <w:lang w:val="it-IT" w:eastAsia="it-IT"/>
        </w:rPr>
      </w:pPr>
    </w:p>
    <w:p w:rsidR="00B57004" w:rsidRPr="00B57004" w:rsidRDefault="00B57004" w:rsidP="00B57004">
      <w:pPr>
        <w:rPr>
          <w:rFonts w:cs="Arial"/>
          <w:szCs w:val="24"/>
          <w:lang w:val="it-IT" w:eastAsia="it-IT"/>
        </w:rPr>
      </w:pPr>
      <w:r w:rsidRPr="00B57004">
        <w:rPr>
          <w:rFonts w:cs="Arial"/>
          <w:szCs w:val="24"/>
          <w:vertAlign w:val="superscript"/>
          <w:lang w:val="it-IT" w:eastAsia="it-IT"/>
        </w:rPr>
        <w:t>1</w:t>
      </w:r>
      <w:r w:rsidRPr="00B57004">
        <w:rPr>
          <w:rFonts w:cs="Arial"/>
          <w:szCs w:val="24"/>
          <w:lang w:val="it-IT" w:eastAsia="it-IT"/>
        </w:rPr>
        <w:t>Le misure di cui all’articolo 1 non possono prevedere il riversamento di oneri finanziari netti sui Comuni.</w:t>
      </w:r>
    </w:p>
    <w:p w:rsidR="00B57004" w:rsidRPr="00B57004" w:rsidRDefault="00B57004" w:rsidP="00B57004">
      <w:pPr>
        <w:rPr>
          <w:rFonts w:cs="Arial"/>
          <w:szCs w:val="24"/>
          <w:lang w:val="it-IT" w:eastAsia="it-IT"/>
        </w:rPr>
      </w:pPr>
    </w:p>
    <w:p w:rsidR="00B57004" w:rsidRPr="00B57004" w:rsidRDefault="00B57004" w:rsidP="00B57004">
      <w:pPr>
        <w:rPr>
          <w:rFonts w:cs="Arial"/>
          <w:szCs w:val="24"/>
          <w:lang w:val="it-IT" w:eastAsia="it-IT"/>
        </w:rPr>
      </w:pPr>
      <w:r w:rsidRPr="00B57004">
        <w:rPr>
          <w:rFonts w:cs="Arial"/>
          <w:szCs w:val="24"/>
          <w:vertAlign w:val="superscript"/>
          <w:lang w:val="it-IT" w:eastAsia="it-IT"/>
        </w:rPr>
        <w:t>2</w:t>
      </w:r>
      <w:r w:rsidRPr="00B57004">
        <w:rPr>
          <w:rFonts w:cs="Arial"/>
          <w:szCs w:val="24"/>
          <w:lang w:val="it-IT" w:eastAsia="it-IT"/>
        </w:rPr>
        <w:t>Sono fatti salvi accordi e decreti già in fase di discussione tra il Cantone e i Comuni al momento dell’entrata in vigore del presente decreto legislativo, anche se non ancora attuati.</w:t>
      </w:r>
    </w:p>
    <w:p w:rsidR="00B57004" w:rsidRDefault="00B57004" w:rsidP="00B57004">
      <w:pPr>
        <w:rPr>
          <w:rFonts w:cs="Arial"/>
          <w:szCs w:val="24"/>
          <w:lang w:val="it-IT" w:eastAsia="it-IT"/>
        </w:rPr>
      </w:pPr>
    </w:p>
    <w:p w:rsidR="003F7C4F" w:rsidRPr="00B57004" w:rsidRDefault="003F7C4F" w:rsidP="00B57004">
      <w:pPr>
        <w:rPr>
          <w:rFonts w:cs="Arial"/>
          <w:szCs w:val="24"/>
          <w:lang w:val="it-IT" w:eastAsia="it-IT"/>
        </w:rPr>
      </w:pPr>
    </w:p>
    <w:p w:rsidR="00B57004" w:rsidRPr="00B57004" w:rsidRDefault="00B57004" w:rsidP="00B57004">
      <w:pPr>
        <w:suppressAutoHyphens/>
        <w:rPr>
          <w:rFonts w:cs="Arial"/>
          <w:b/>
          <w:szCs w:val="24"/>
          <w:lang w:val="it-IT" w:eastAsia="it-IT"/>
        </w:rPr>
      </w:pPr>
      <w:r w:rsidRPr="00B57004">
        <w:rPr>
          <w:rFonts w:cs="Arial"/>
          <w:b/>
          <w:szCs w:val="24"/>
          <w:u w:val="single"/>
          <w:lang w:val="it-IT" w:eastAsia="it-IT"/>
        </w:rPr>
        <w:t>Articolo 3</w:t>
      </w:r>
      <w:r w:rsidRPr="00B57004">
        <w:rPr>
          <w:rFonts w:cs="Arial"/>
          <w:b/>
          <w:szCs w:val="24"/>
          <w:lang w:val="it-IT" w:eastAsia="it-IT"/>
        </w:rPr>
        <w:t xml:space="preserve"> </w:t>
      </w:r>
      <w:r w:rsidR="00B01837">
        <w:rPr>
          <w:rFonts w:cs="Arial"/>
          <w:b/>
          <w:szCs w:val="24"/>
          <w:lang w:val="it-IT" w:eastAsia="it-IT"/>
        </w:rPr>
        <w:t>-</w:t>
      </w:r>
      <w:r w:rsidRPr="00B57004">
        <w:rPr>
          <w:rFonts w:cs="Arial"/>
          <w:b/>
          <w:szCs w:val="24"/>
          <w:lang w:val="it-IT" w:eastAsia="it-IT"/>
        </w:rPr>
        <w:t xml:space="preserve"> </w:t>
      </w:r>
      <w:r w:rsidRPr="00B57004">
        <w:rPr>
          <w:rFonts w:cs="Arial"/>
          <w:b/>
          <w:bCs/>
          <w:szCs w:val="24"/>
          <w:lang w:val="it-IT" w:eastAsia="it-IT"/>
        </w:rPr>
        <w:t>Validità temporale</w:t>
      </w:r>
    </w:p>
    <w:p w:rsidR="00B57004" w:rsidRPr="00B57004" w:rsidRDefault="00B57004" w:rsidP="00B57004">
      <w:pPr>
        <w:suppressAutoHyphens/>
        <w:rPr>
          <w:rFonts w:cs="Arial"/>
          <w:szCs w:val="24"/>
          <w:u w:val="single"/>
          <w:lang w:val="it-IT" w:eastAsia="it-IT"/>
        </w:rPr>
      </w:pPr>
    </w:p>
    <w:p w:rsidR="00B57004" w:rsidRPr="00B57004" w:rsidRDefault="00B57004" w:rsidP="00B57004">
      <w:pPr>
        <w:rPr>
          <w:rFonts w:cs="Arial"/>
          <w:szCs w:val="24"/>
          <w:lang w:val="it-IT" w:eastAsia="it-IT"/>
        </w:rPr>
      </w:pPr>
      <w:r w:rsidRPr="00B57004">
        <w:rPr>
          <w:rFonts w:cs="Arial"/>
          <w:szCs w:val="24"/>
          <w:vertAlign w:val="superscript"/>
          <w:lang w:val="it-IT" w:eastAsia="it-IT"/>
        </w:rPr>
        <w:t>1</w:t>
      </w:r>
      <w:r w:rsidRPr="00B57004">
        <w:rPr>
          <w:rFonts w:cs="Arial"/>
          <w:szCs w:val="24"/>
          <w:lang w:val="it-IT" w:eastAsia="it-IT"/>
        </w:rPr>
        <w:t>Il presente decreto legislativo è pubblicato nel Bollettino ufficiale delle leggi ed entra in vigore non appena trascorso il termine di referendum.</w:t>
      </w:r>
    </w:p>
    <w:p w:rsidR="00B57004" w:rsidRPr="00B57004" w:rsidRDefault="00B57004" w:rsidP="00B57004">
      <w:pPr>
        <w:rPr>
          <w:rFonts w:cs="Arial"/>
          <w:szCs w:val="24"/>
          <w:lang w:val="it-IT" w:eastAsia="it-IT"/>
        </w:rPr>
      </w:pPr>
    </w:p>
    <w:p w:rsidR="00B57004" w:rsidRPr="00B57004" w:rsidRDefault="00B57004" w:rsidP="00B57004">
      <w:pPr>
        <w:rPr>
          <w:rFonts w:eastAsia="Times New Roman" w:cs="Arial"/>
          <w:szCs w:val="24"/>
          <w:lang w:eastAsia="it-IT"/>
        </w:rPr>
      </w:pPr>
      <w:r w:rsidRPr="00B57004">
        <w:rPr>
          <w:rFonts w:cs="Arial"/>
          <w:szCs w:val="24"/>
          <w:vertAlign w:val="superscript"/>
          <w:lang w:val="it-IT" w:eastAsia="it-IT"/>
        </w:rPr>
        <w:t>2</w:t>
      </w:r>
      <w:r w:rsidRPr="00B57004">
        <w:rPr>
          <w:rFonts w:cs="Arial"/>
          <w:szCs w:val="24"/>
          <w:lang w:val="it-IT" w:eastAsia="it-IT"/>
        </w:rPr>
        <w:t>Il presente decreto legislativo cessa con l’approvazione del Consuntivo 2025 da parte del Gran Consiglio.</w:t>
      </w:r>
    </w:p>
    <w:p w:rsidR="00CB127C" w:rsidRPr="007A285B" w:rsidRDefault="00CB127C" w:rsidP="00B57004"/>
    <w:sectPr w:rsidR="00CB127C" w:rsidRPr="007A285B" w:rsidSect="00F242E5">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004" w:rsidRDefault="00B57004" w:rsidP="008E77C6">
      <w:r>
        <w:separator/>
      </w:r>
    </w:p>
  </w:endnote>
  <w:endnote w:type="continuationSeparator" w:id="0">
    <w:p w:rsidR="00B57004" w:rsidRDefault="00B57004"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C420F0" w:rsidRPr="00C420F0">
      <w:rPr>
        <w:noProof/>
        <w:sz w:val="20"/>
        <w:szCs w:val="20"/>
        <w:lang w:val="it-IT"/>
      </w:rPr>
      <w:t>1</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004" w:rsidRDefault="00B57004" w:rsidP="008E77C6">
      <w:r>
        <w:separator/>
      </w:r>
    </w:p>
  </w:footnote>
  <w:footnote w:type="continuationSeparator" w:id="0">
    <w:p w:rsidR="00B57004" w:rsidRDefault="00B57004" w:rsidP="008E77C6">
      <w:r>
        <w:continuationSeparator/>
      </w:r>
    </w:p>
  </w:footnote>
  <w:footnote w:id="1">
    <w:p w:rsidR="00B57004" w:rsidRPr="00DA1ED3" w:rsidRDefault="00B57004" w:rsidP="00B57004">
      <w:pPr>
        <w:pStyle w:val="Testonotaapidipagina"/>
        <w:jc w:val="left"/>
        <w:rPr>
          <w:lang w:val="it-CH"/>
        </w:rPr>
      </w:pPr>
      <w:r>
        <w:rPr>
          <w:rStyle w:val="Rimandonotaapidipagina"/>
        </w:rPr>
        <w:footnoteRef/>
      </w:r>
      <w:r>
        <w:t xml:space="preserve"> </w:t>
      </w:r>
      <w:r>
        <w:rPr>
          <w:lang w:val="it-CH"/>
        </w:rPr>
        <w:t>Costituzione</w:t>
      </w:r>
      <w:r w:rsidRPr="006C4E2A">
        <w:rPr>
          <w:lang w:val="it-CH"/>
        </w:rPr>
        <w:t xml:space="preserve"> </w:t>
      </w:r>
      <w:r>
        <w:rPr>
          <w:lang w:val="it-CH"/>
        </w:rPr>
        <w:t xml:space="preserve">del 14 dicembre 1997 della Repubblica e Cantone Ticino, RS 131.229 e RL 101.000; </w:t>
      </w:r>
      <w:hyperlink r:id="rId1" w:anchor="art_34_ter" w:history="1">
        <w:r w:rsidRPr="0015302E">
          <w:rPr>
            <w:rStyle w:val="Collegamentoipertestuale"/>
            <w:lang w:val="it-CH"/>
          </w:rPr>
          <w:t>https://www.fedlex.admin.ch/eli/cc/1998/1_5494_4818_4364_fga/it#art_34_ter</w:t>
        </w:r>
      </w:hyperlink>
      <w:r>
        <w:rPr>
          <w:lang w:val="it-CH"/>
        </w:rPr>
        <w:t xml:space="preserve"> </w:t>
      </w:r>
    </w:p>
  </w:footnote>
  <w:footnote w:id="2">
    <w:p w:rsidR="00B57004" w:rsidRPr="00DA1ED3" w:rsidRDefault="00B57004" w:rsidP="00B57004">
      <w:pPr>
        <w:pStyle w:val="Testonotaapidipagina"/>
        <w:jc w:val="left"/>
        <w:rPr>
          <w:lang w:val="it-CH"/>
        </w:rPr>
      </w:pPr>
      <w:r>
        <w:rPr>
          <w:rStyle w:val="Rimandonotaapidipagina"/>
        </w:rPr>
        <w:footnoteRef/>
      </w:r>
      <w:r>
        <w:t xml:space="preserve"> </w:t>
      </w:r>
      <w:r>
        <w:rPr>
          <w:lang w:val="it-CH"/>
        </w:rPr>
        <w:t xml:space="preserve">Legge cantonale del 20 gennaio 1986 sulla gestione e sul controllo finanziario dello Stato, RL 600.100; </w:t>
      </w:r>
      <w:hyperlink r:id="rId2" w:history="1">
        <w:r w:rsidRPr="0015302E">
          <w:rPr>
            <w:rStyle w:val="Collegamentoipertestuale"/>
            <w:lang w:val="it-CH"/>
          </w:rPr>
          <w:t>https://m3.ti.ch/CAN/RLeggi/public/index.php/raccolta-leggi/legge/num/102</w:t>
        </w:r>
      </w:hyperlink>
      <w:r>
        <w:rPr>
          <w:lang w:val="it-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15:restartNumberingAfterBreak="0">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15:restartNumberingAfterBreak="0">
    <w:nsid w:val="15384552"/>
    <w:multiLevelType w:val="hybridMultilevel"/>
    <w:tmpl w:val="5EA44B3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7" w15:restartNumberingAfterBreak="0">
    <w:nsid w:val="1EDF1813"/>
    <w:multiLevelType w:val="hybridMultilevel"/>
    <w:tmpl w:val="8C2E2ECE"/>
    <w:lvl w:ilvl="0" w:tplc="89C8314C">
      <w:start w:val="7"/>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15:restartNumberingAfterBreak="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15:restartNumberingAfterBreak="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3" w15:restartNumberingAfterBreak="0">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4" w15:restartNumberingAfterBreak="0">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6" w15:restartNumberingAfterBreak="0">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15:restartNumberingAfterBreak="0">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8"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8"/>
  </w:num>
  <w:num w:numId="2">
    <w:abstractNumId w:val="18"/>
  </w:num>
  <w:num w:numId="3">
    <w:abstractNumId w:val="19"/>
  </w:num>
  <w:num w:numId="4">
    <w:abstractNumId w:val="2"/>
  </w:num>
  <w:num w:numId="5">
    <w:abstractNumId w:val="9"/>
  </w:num>
  <w:num w:numId="6">
    <w:abstractNumId w:val="8"/>
  </w:num>
  <w:num w:numId="7">
    <w:abstractNumId w:val="3"/>
  </w:num>
  <w:num w:numId="8">
    <w:abstractNumId w:val="14"/>
  </w:num>
  <w:num w:numId="9">
    <w:abstractNumId w:val="6"/>
  </w:num>
  <w:num w:numId="10">
    <w:abstractNumId w:val="11"/>
  </w:num>
  <w:num w:numId="11">
    <w:abstractNumId w:val="12"/>
  </w:num>
  <w:num w:numId="12">
    <w:abstractNumId w:val="15"/>
  </w:num>
  <w:num w:numId="13">
    <w:abstractNumId w:val="4"/>
  </w:num>
  <w:num w:numId="14">
    <w:abstractNumId w:val="13"/>
  </w:num>
  <w:num w:numId="15">
    <w:abstractNumId w:val="17"/>
  </w:num>
  <w:num w:numId="16">
    <w:abstractNumId w:val="0"/>
  </w:num>
  <w:num w:numId="17">
    <w:abstractNumId w:val="16"/>
  </w:num>
  <w:num w:numId="18">
    <w:abstractNumId w:val="1"/>
  </w:num>
  <w:num w:numId="19">
    <w:abstractNumId w:val="10"/>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04"/>
    <w:rsid w:val="00076E70"/>
    <w:rsid w:val="000B2940"/>
    <w:rsid w:val="001A2396"/>
    <w:rsid w:val="001D029E"/>
    <w:rsid w:val="002E5E40"/>
    <w:rsid w:val="003B7935"/>
    <w:rsid w:val="003F7C4F"/>
    <w:rsid w:val="0052425A"/>
    <w:rsid w:val="00534AD1"/>
    <w:rsid w:val="0057039F"/>
    <w:rsid w:val="00586A8D"/>
    <w:rsid w:val="005F4380"/>
    <w:rsid w:val="006D7A3B"/>
    <w:rsid w:val="00712F3A"/>
    <w:rsid w:val="007B5462"/>
    <w:rsid w:val="008034BD"/>
    <w:rsid w:val="00876352"/>
    <w:rsid w:val="008B4137"/>
    <w:rsid w:val="008C767A"/>
    <w:rsid w:val="008E77C6"/>
    <w:rsid w:val="009770BB"/>
    <w:rsid w:val="009E008D"/>
    <w:rsid w:val="00A5465F"/>
    <w:rsid w:val="00A77678"/>
    <w:rsid w:val="00AF0C29"/>
    <w:rsid w:val="00B01837"/>
    <w:rsid w:val="00B57004"/>
    <w:rsid w:val="00BC4C95"/>
    <w:rsid w:val="00BD5944"/>
    <w:rsid w:val="00C420F0"/>
    <w:rsid w:val="00CB127C"/>
    <w:rsid w:val="00CF6858"/>
    <w:rsid w:val="00D377B5"/>
    <w:rsid w:val="00D93B31"/>
    <w:rsid w:val="00E37B96"/>
    <w:rsid w:val="00E634DA"/>
    <w:rsid w:val="00F00679"/>
    <w:rsid w:val="00F242E5"/>
    <w:rsid w:val="00F6616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9A103-0171-414E-99AC-BAC849F6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B57004"/>
    <w:pPr>
      <w:keepNext/>
      <w:tabs>
        <w:tab w:val="left" w:pos="0"/>
      </w:tabs>
      <w:spacing w:after="120"/>
      <w:outlineLvl w:val="0"/>
    </w:pPr>
    <w:rPr>
      <w:b/>
      <w:caps/>
      <w:szCs w:val="24"/>
      <w:lang w:val="it-IT" w:eastAsia="it-IT"/>
    </w:rPr>
  </w:style>
  <w:style w:type="paragraph" w:styleId="Titolo2">
    <w:name w:val="heading 2"/>
    <w:basedOn w:val="Normale"/>
    <w:next w:val="Normale"/>
    <w:link w:val="Titolo2Carattere"/>
    <w:autoRedefine/>
    <w:qFormat/>
    <w:rsid w:val="00B57004"/>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B57004"/>
    <w:rPr>
      <w:rFonts w:ascii="Arial" w:hAnsi="Arial"/>
      <w:b/>
      <w:caps/>
      <w:sz w:val="24"/>
      <w:szCs w:val="24"/>
      <w:lang w:val="it-IT" w:eastAsia="it-IT"/>
    </w:rPr>
  </w:style>
  <w:style w:type="character" w:customStyle="1" w:styleId="Titolo2Carattere">
    <w:name w:val="Titolo 2 Carattere"/>
    <w:link w:val="Titolo2"/>
    <w:rsid w:val="00B57004"/>
    <w:rPr>
      <w:rFonts w:ascii="Arial" w:hAnsi="Arial"/>
      <w:b/>
      <w:sz w:val="24"/>
      <w:szCs w:val="22"/>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34"/>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nhideWhenUsed/>
    <w:rsid w:val="00CB127C"/>
    <w:rPr>
      <w:rFonts w:eastAsia="Times New Roman"/>
      <w:sz w:val="20"/>
      <w:szCs w:val="20"/>
      <w:lang w:val="it-IT" w:eastAsia="it-IT"/>
    </w:rPr>
  </w:style>
  <w:style w:type="character" w:customStyle="1" w:styleId="TestonotaapidipaginaCarattere">
    <w:name w:val="Testo nota a piè di pagina Carattere"/>
    <w:link w:val="Testonotaapidipagina"/>
    <w:rsid w:val="00CB127C"/>
    <w:rPr>
      <w:rFonts w:ascii="Arial" w:eastAsia="Times New Roman" w:hAnsi="Arial" w:cs="Times New Roman"/>
      <w:sz w:val="20"/>
      <w:szCs w:val="20"/>
      <w:lang w:val="it-IT" w:eastAsia="it-IT"/>
    </w:rPr>
  </w:style>
  <w:style w:type="character" w:styleId="Rimandonotaapidipagina">
    <w:name w:val="footnote reference"/>
    <w:unhideWhenUsed/>
    <w:rsid w:val="00CB127C"/>
    <w:rPr>
      <w:vertAlign w:val="superscript"/>
    </w:rPr>
  </w:style>
  <w:style w:type="paragraph" w:customStyle="1" w:styleId="Default">
    <w:name w:val="Default"/>
    <w:rsid w:val="00CB127C"/>
    <w:pPr>
      <w:autoSpaceDE w:val="0"/>
      <w:autoSpaceDN w:val="0"/>
      <w:adjustRightInd w:val="0"/>
    </w:pPr>
    <w:rPr>
      <w:rFonts w:ascii="Arial" w:hAnsi="Arial" w:cs="Arial"/>
      <w:color w:val="000000"/>
      <w:sz w:val="24"/>
      <w:szCs w:val="24"/>
      <w:lang w:eastAsia="en-US"/>
    </w:rPr>
  </w:style>
  <w:style w:type="table" w:styleId="Grigliatabella">
    <w:name w:val="Table Grid"/>
    <w:basedOn w:val="Tabellanormale"/>
    <w:uiPriority w:val="39"/>
    <w:rsid w:val="00C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CB127C"/>
    <w:rPr>
      <w:color w:val="0000FF"/>
      <w:u w:val="single"/>
    </w:rPr>
  </w:style>
  <w:style w:type="paragraph" w:styleId="Testofumetto">
    <w:name w:val="Balloon Text"/>
    <w:basedOn w:val="Normale"/>
    <w:link w:val="TestofumettoCarattere"/>
    <w:uiPriority w:val="99"/>
    <w:semiHidden/>
    <w:unhideWhenUsed/>
    <w:rsid w:val="001D02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02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3.ti.ch/CAN/RLeggi/public/index.php/raccolta-leggi/legge/num/102" TargetMode="External"/><Relationship Id="rId1" Type="http://schemas.openxmlformats.org/officeDocument/2006/relationships/hyperlink" Target="https://www.fedlex.admin.ch/eli/cc/1998/1_5494_4818_4364_fg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6F60B-99FE-4D11-B192-A11BDF90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1555</Words>
  <Characters>8868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10</cp:revision>
  <cp:lastPrinted>2021-10-06T07:56:00Z</cp:lastPrinted>
  <dcterms:created xsi:type="dcterms:W3CDTF">2021-10-05T12:31:00Z</dcterms:created>
  <dcterms:modified xsi:type="dcterms:W3CDTF">2021-10-06T07:58:00Z</dcterms:modified>
</cp:coreProperties>
</file>