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37" w:rsidRPr="00CD2237" w:rsidRDefault="00CD2237" w:rsidP="00CD2237">
      <w:pPr>
        <w:jc w:val="left"/>
        <w:rPr>
          <w:rFonts w:ascii="Gill Sans MT" w:eastAsia="Times New Roman" w:hAnsi="Gill Sans MT"/>
          <w:b/>
          <w:sz w:val="56"/>
          <w:szCs w:val="56"/>
          <w:lang w:eastAsia="it-IT"/>
        </w:rPr>
      </w:pPr>
      <w:r w:rsidRPr="00CD2237">
        <w:rPr>
          <w:rFonts w:ascii="Gill Sans MT" w:eastAsia="Times New Roman" w:hAnsi="Gill Sans MT"/>
          <w:b/>
          <w:sz w:val="56"/>
          <w:szCs w:val="56"/>
          <w:lang w:eastAsia="it-IT"/>
        </w:rPr>
        <w:t>Rapporto</w:t>
      </w:r>
    </w:p>
    <w:p w:rsidR="00CD2237" w:rsidRPr="00CD2237" w:rsidRDefault="00CD2237" w:rsidP="00CD2237">
      <w:pPr>
        <w:ind w:right="-1"/>
        <w:jc w:val="left"/>
        <w:rPr>
          <w:rFonts w:eastAsia="Times New Roman" w:cs="Arial"/>
          <w:sz w:val="20"/>
          <w:szCs w:val="20"/>
          <w:lang w:eastAsia="it-IT"/>
        </w:rPr>
      </w:pPr>
    </w:p>
    <w:p w:rsidR="00CD2237" w:rsidRPr="00CD2237" w:rsidRDefault="00CD2237" w:rsidP="00CD2237">
      <w:pPr>
        <w:ind w:right="-1"/>
        <w:jc w:val="left"/>
        <w:rPr>
          <w:rFonts w:eastAsia="Times New Roman" w:cs="Arial"/>
          <w:sz w:val="20"/>
          <w:szCs w:val="20"/>
          <w:lang w:eastAsia="it-IT"/>
        </w:rPr>
      </w:pPr>
    </w:p>
    <w:p w:rsidR="00B860C2" w:rsidRDefault="00E46C06" w:rsidP="00B860C2">
      <w:pPr>
        <w:tabs>
          <w:tab w:val="left" w:pos="2098"/>
          <w:tab w:val="left" w:pos="4933"/>
        </w:tabs>
        <w:rPr>
          <w:rFonts w:cs="Arial"/>
          <w:szCs w:val="24"/>
        </w:rPr>
      </w:pPr>
      <w:bookmarkStart w:id="0" w:name="_GoBack"/>
      <w:bookmarkEnd w:id="0"/>
      <w:r>
        <w:rPr>
          <w:rFonts w:cs="Arial"/>
          <w:b/>
          <w:sz w:val="32"/>
          <w:szCs w:val="32"/>
        </w:rPr>
        <w:t>8055</w:t>
      </w:r>
      <w:r w:rsidR="00B860C2" w:rsidRPr="008B4137">
        <w:rPr>
          <w:rFonts w:cs="Arial"/>
          <w:b/>
          <w:sz w:val="32"/>
          <w:szCs w:val="32"/>
        </w:rPr>
        <w:t xml:space="preserve"> R</w:t>
      </w:r>
      <w:r w:rsidR="00B860C2" w:rsidRPr="008B4137">
        <w:rPr>
          <w:rFonts w:cs="Arial"/>
          <w:sz w:val="28"/>
          <w:szCs w:val="28"/>
        </w:rPr>
        <w:tab/>
      </w:r>
      <w:r>
        <w:rPr>
          <w:rFonts w:cs="Arial"/>
          <w:sz w:val="28"/>
          <w:szCs w:val="28"/>
        </w:rPr>
        <w:t>26 ottobre 2021</w:t>
      </w:r>
      <w:r w:rsidR="00B860C2" w:rsidRPr="008B4137">
        <w:rPr>
          <w:rFonts w:cs="Arial"/>
          <w:sz w:val="28"/>
          <w:szCs w:val="28"/>
        </w:rPr>
        <w:tab/>
      </w:r>
      <w:r>
        <w:rPr>
          <w:sz w:val="28"/>
        </w:rPr>
        <w:t>ISTITUZIONI</w:t>
      </w:r>
    </w:p>
    <w:p w:rsidR="00B860C2" w:rsidRDefault="00B860C2" w:rsidP="00B860C2">
      <w:pPr>
        <w:rPr>
          <w:rFonts w:cs="Arial"/>
          <w:szCs w:val="24"/>
        </w:rPr>
      </w:pPr>
    </w:p>
    <w:p w:rsidR="00B860C2" w:rsidRDefault="00B860C2" w:rsidP="00B860C2">
      <w:pPr>
        <w:rPr>
          <w:rFonts w:cs="Arial"/>
          <w:szCs w:val="24"/>
        </w:rPr>
      </w:pPr>
    </w:p>
    <w:p w:rsidR="00B860C2" w:rsidRDefault="00B860C2" w:rsidP="00B860C2">
      <w:pPr>
        <w:rPr>
          <w:rFonts w:cs="Arial"/>
          <w:szCs w:val="24"/>
        </w:rPr>
      </w:pPr>
    </w:p>
    <w:p w:rsidR="00B860C2" w:rsidRPr="008B4137" w:rsidRDefault="00B860C2" w:rsidP="00B860C2">
      <w:pPr>
        <w:rPr>
          <w:rFonts w:cs="Arial"/>
          <w:b/>
          <w:sz w:val="28"/>
          <w:szCs w:val="28"/>
        </w:rPr>
      </w:pPr>
      <w:r w:rsidRPr="008B4137">
        <w:rPr>
          <w:rFonts w:cs="Arial"/>
          <w:b/>
          <w:sz w:val="28"/>
          <w:szCs w:val="28"/>
        </w:rPr>
        <w:t xml:space="preserve">della Commissione </w:t>
      </w:r>
      <w:r w:rsidR="00E46C06" w:rsidRPr="00E46C06">
        <w:rPr>
          <w:rFonts w:cs="Arial"/>
          <w:b/>
          <w:sz w:val="28"/>
          <w:szCs w:val="28"/>
        </w:rPr>
        <w:t>Costituzione e leggi</w:t>
      </w:r>
    </w:p>
    <w:p w:rsidR="00E46C06" w:rsidRPr="008567E8" w:rsidRDefault="00B860C2" w:rsidP="00E46C06">
      <w:pPr>
        <w:rPr>
          <w:rFonts w:cs="Arial"/>
          <w:b/>
          <w:sz w:val="28"/>
          <w:szCs w:val="28"/>
        </w:rPr>
      </w:pPr>
      <w:r w:rsidRPr="000D6BD0">
        <w:rPr>
          <w:rFonts w:cs="Arial"/>
          <w:b/>
          <w:sz w:val="28"/>
          <w:szCs w:val="28"/>
        </w:rPr>
        <w:t>sul</w:t>
      </w:r>
      <w:r>
        <w:rPr>
          <w:rFonts w:cs="Arial"/>
          <w:b/>
          <w:sz w:val="28"/>
          <w:szCs w:val="28"/>
        </w:rPr>
        <w:t xml:space="preserve"> messaggio</w:t>
      </w:r>
      <w:r>
        <w:rPr>
          <w:rFonts w:cs="Arial"/>
          <w:b/>
          <w:sz w:val="26"/>
          <w:szCs w:val="26"/>
        </w:rPr>
        <w:t xml:space="preserve"> </w:t>
      </w:r>
      <w:r w:rsidR="00E46C06">
        <w:rPr>
          <w:rFonts w:cs="Arial"/>
          <w:b/>
          <w:sz w:val="28"/>
          <w:szCs w:val="28"/>
        </w:rPr>
        <w:t xml:space="preserve">8 settembre 2021 concernente </w:t>
      </w:r>
      <w:r w:rsidR="00E46C06" w:rsidRPr="008567E8">
        <w:rPr>
          <w:rFonts w:cs="Arial"/>
          <w:b/>
          <w:sz w:val="28"/>
          <w:szCs w:val="28"/>
        </w:rPr>
        <w:t>l'adeguamento della Legge sulla protezione civile alla nuova Legge federale sulla protezione della popolazione e sulla protezione civile</w:t>
      </w:r>
    </w:p>
    <w:p w:rsidR="00B860C2" w:rsidRDefault="00B860C2" w:rsidP="00B860C2">
      <w:pPr>
        <w:rPr>
          <w:rFonts w:cs="Arial"/>
          <w:szCs w:val="24"/>
        </w:rPr>
      </w:pPr>
    </w:p>
    <w:p w:rsidR="00B860C2" w:rsidRDefault="00B860C2" w:rsidP="00B860C2">
      <w:pPr>
        <w:rPr>
          <w:rFonts w:cs="Arial"/>
          <w:szCs w:val="24"/>
        </w:rPr>
      </w:pPr>
    </w:p>
    <w:p w:rsidR="00B860C2" w:rsidRDefault="00B860C2" w:rsidP="00B860C2">
      <w:pPr>
        <w:rPr>
          <w:rFonts w:cs="Arial"/>
          <w:szCs w:val="24"/>
        </w:rPr>
      </w:pPr>
    </w:p>
    <w:p w:rsidR="00E46C06" w:rsidRPr="008567E8" w:rsidRDefault="00E46C06" w:rsidP="00E46C06">
      <w:pPr>
        <w:pStyle w:val="Titolo1"/>
      </w:pPr>
      <w:r w:rsidRPr="008567E8">
        <w:t>P</w:t>
      </w:r>
      <w:r>
        <w:t>REMESSA</w:t>
      </w:r>
    </w:p>
    <w:p w:rsidR="00E46C06" w:rsidRPr="00D645C3" w:rsidRDefault="00E46C06" w:rsidP="00E46C06">
      <w:pPr>
        <w:rPr>
          <w:rFonts w:cs="Arial"/>
          <w:szCs w:val="24"/>
        </w:rPr>
      </w:pPr>
      <w:r w:rsidRPr="00D645C3">
        <w:rPr>
          <w:rFonts w:cs="Arial"/>
          <w:szCs w:val="24"/>
        </w:rPr>
        <w:t>In data 20</w:t>
      </w:r>
      <w:r>
        <w:rPr>
          <w:rFonts w:cs="Arial"/>
          <w:szCs w:val="24"/>
        </w:rPr>
        <w:t xml:space="preserve"> dicembre </w:t>
      </w:r>
      <w:r w:rsidRPr="00D645C3">
        <w:rPr>
          <w:rFonts w:cs="Arial"/>
          <w:szCs w:val="24"/>
        </w:rPr>
        <w:t>2019 il Parlamento federale ha adottato la revisione totale della Legge federale sulla protezione della popolazione e sulla protezione civile</w:t>
      </w:r>
      <w:r>
        <w:rPr>
          <w:rFonts w:cs="Arial"/>
          <w:szCs w:val="24"/>
        </w:rPr>
        <w:t xml:space="preserve"> (LPPC),</w:t>
      </w:r>
      <w:r w:rsidRPr="00D645C3">
        <w:rPr>
          <w:rFonts w:cs="Arial"/>
          <w:szCs w:val="24"/>
        </w:rPr>
        <w:t xml:space="preserve"> che è entrata in vigore il 1</w:t>
      </w:r>
      <w:r>
        <w:rPr>
          <w:rFonts w:cs="Arial"/>
          <w:szCs w:val="24"/>
        </w:rPr>
        <w:t xml:space="preserve">° gennaio </w:t>
      </w:r>
      <w:r w:rsidRPr="00D645C3">
        <w:rPr>
          <w:rFonts w:cs="Arial"/>
          <w:szCs w:val="24"/>
        </w:rPr>
        <w:t>2021.</w:t>
      </w:r>
    </w:p>
    <w:p w:rsidR="00E46C06" w:rsidRPr="00D645C3" w:rsidRDefault="00E46C06" w:rsidP="00E46C06">
      <w:pPr>
        <w:spacing w:before="120"/>
        <w:rPr>
          <w:rFonts w:cs="Arial"/>
          <w:szCs w:val="24"/>
        </w:rPr>
      </w:pPr>
      <w:r w:rsidRPr="00D645C3">
        <w:rPr>
          <w:rFonts w:cs="Arial"/>
          <w:szCs w:val="24"/>
        </w:rPr>
        <w:t>Queste modifiche legislative hanno portato all</w:t>
      </w:r>
      <w:r>
        <w:rPr>
          <w:rFonts w:cs="Arial"/>
          <w:szCs w:val="24"/>
        </w:rPr>
        <w:t>'</w:t>
      </w:r>
      <w:r w:rsidRPr="00D645C3">
        <w:rPr>
          <w:rFonts w:cs="Arial"/>
          <w:szCs w:val="24"/>
        </w:rPr>
        <w:t>adeguamento delle leggi nei vari Cantoni, Ticino compreso.</w:t>
      </w:r>
    </w:p>
    <w:p w:rsidR="00E46C06" w:rsidRPr="00D645C3" w:rsidRDefault="00E46C06" w:rsidP="00E46C06">
      <w:pPr>
        <w:spacing w:before="120"/>
        <w:rPr>
          <w:rFonts w:cs="Arial"/>
          <w:szCs w:val="24"/>
        </w:rPr>
      </w:pPr>
      <w:r w:rsidRPr="00D645C3">
        <w:rPr>
          <w:rFonts w:cs="Arial"/>
          <w:szCs w:val="24"/>
        </w:rPr>
        <w:t>I principali cambiamenti della revisione sono:</w:t>
      </w:r>
    </w:p>
    <w:p w:rsidR="00E46C06" w:rsidRPr="00D645C3" w:rsidRDefault="00E46C06" w:rsidP="00974BD8">
      <w:pPr>
        <w:pStyle w:val="Paragrafoelenco"/>
        <w:numPr>
          <w:ilvl w:val="0"/>
          <w:numId w:val="12"/>
        </w:numPr>
        <w:spacing w:before="80"/>
        <w:ind w:left="283" w:hanging="289"/>
        <w:rPr>
          <w:rFonts w:eastAsia="Arial" w:cs="Arial"/>
          <w:szCs w:val="24"/>
        </w:rPr>
      </w:pPr>
      <w:r w:rsidRPr="00D645C3">
        <w:rPr>
          <w:rFonts w:eastAsia="Arial" w:cs="Arial"/>
          <w:szCs w:val="24"/>
        </w:rPr>
        <w:t xml:space="preserve">il sistema di servizio e la formazione dei militi: è prevista una riduzione e una </w:t>
      </w:r>
      <w:proofErr w:type="spellStart"/>
      <w:r w:rsidRPr="00D645C3">
        <w:rPr>
          <w:rFonts w:eastAsia="Arial" w:cs="Arial"/>
          <w:szCs w:val="24"/>
        </w:rPr>
        <w:t>flessibilizzazione</w:t>
      </w:r>
      <w:proofErr w:type="spellEnd"/>
      <w:r w:rsidRPr="00D645C3">
        <w:rPr>
          <w:rFonts w:eastAsia="Arial" w:cs="Arial"/>
          <w:szCs w:val="24"/>
        </w:rPr>
        <w:t xml:space="preserve"> della durata dell</w:t>
      </w:r>
      <w:r>
        <w:rPr>
          <w:rFonts w:eastAsia="Arial" w:cs="Arial"/>
          <w:szCs w:val="24"/>
        </w:rPr>
        <w:t>'obbligo di prestare servizio;</w:t>
      </w:r>
    </w:p>
    <w:p w:rsidR="00E46C06" w:rsidRPr="00D645C3" w:rsidRDefault="00E46C06" w:rsidP="00974BD8">
      <w:pPr>
        <w:pStyle w:val="Paragrafoelenco"/>
        <w:numPr>
          <w:ilvl w:val="0"/>
          <w:numId w:val="12"/>
        </w:numPr>
        <w:spacing w:before="80"/>
        <w:ind w:left="283" w:hanging="289"/>
        <w:rPr>
          <w:rFonts w:cs="Arial"/>
          <w:szCs w:val="24"/>
        </w:rPr>
      </w:pPr>
      <w:r w:rsidRPr="00D645C3">
        <w:rPr>
          <w:rFonts w:eastAsia="Arial" w:cs="Arial"/>
          <w:szCs w:val="24"/>
        </w:rPr>
        <w:t>la tassa d</w:t>
      </w:r>
      <w:r>
        <w:rPr>
          <w:rFonts w:eastAsia="Arial" w:cs="Arial"/>
          <w:szCs w:val="24"/>
        </w:rPr>
        <w:t>'</w:t>
      </w:r>
      <w:r w:rsidRPr="00D645C3">
        <w:rPr>
          <w:rFonts w:eastAsia="Arial" w:cs="Arial"/>
          <w:szCs w:val="24"/>
        </w:rPr>
        <w:t>esenzione: i militi della protezione civile possono ora computare tutti i giorni di servizio prestati</w:t>
      </w:r>
      <w:r>
        <w:rPr>
          <w:rFonts w:eastAsia="Arial" w:cs="Arial"/>
          <w:szCs w:val="24"/>
        </w:rPr>
        <w:t>;</w:t>
      </w:r>
    </w:p>
    <w:p w:rsidR="00E46C06" w:rsidRPr="00D645C3" w:rsidRDefault="00E46C06" w:rsidP="00974BD8">
      <w:pPr>
        <w:pStyle w:val="Paragrafoelenco"/>
        <w:numPr>
          <w:ilvl w:val="0"/>
          <w:numId w:val="12"/>
        </w:numPr>
        <w:spacing w:before="80"/>
        <w:ind w:left="283" w:hanging="289"/>
        <w:rPr>
          <w:rFonts w:cs="Arial"/>
          <w:szCs w:val="24"/>
        </w:rPr>
      </w:pPr>
      <w:r w:rsidRPr="00D645C3">
        <w:rPr>
          <w:rFonts w:eastAsia="Arial" w:cs="Arial"/>
          <w:szCs w:val="24"/>
        </w:rPr>
        <w:t>l</w:t>
      </w:r>
      <w:r>
        <w:rPr>
          <w:rFonts w:eastAsia="Arial" w:cs="Arial"/>
          <w:szCs w:val="24"/>
        </w:rPr>
        <w:t>'</w:t>
      </w:r>
      <w:r w:rsidRPr="00D645C3">
        <w:rPr>
          <w:rFonts w:eastAsia="Arial" w:cs="Arial"/>
          <w:szCs w:val="24"/>
        </w:rPr>
        <w:t>istruzione: l</w:t>
      </w:r>
      <w:r>
        <w:rPr>
          <w:rFonts w:eastAsia="Arial" w:cs="Arial"/>
          <w:szCs w:val="24"/>
        </w:rPr>
        <w:t>'</w:t>
      </w:r>
      <w:r w:rsidRPr="00D645C3">
        <w:rPr>
          <w:rFonts w:eastAsia="Arial" w:cs="Arial"/>
          <w:szCs w:val="24"/>
        </w:rPr>
        <w:t>istruzione di base, quella complementare, quelle dei quadri e i corsi di ripetizioni subiranno delle modifiche. Il sistema d</w:t>
      </w:r>
      <w:r>
        <w:rPr>
          <w:rFonts w:eastAsia="Arial" w:cs="Arial"/>
          <w:szCs w:val="24"/>
        </w:rPr>
        <w:t>'</w:t>
      </w:r>
      <w:r w:rsidRPr="00D645C3">
        <w:rPr>
          <w:rFonts w:eastAsia="Arial" w:cs="Arial"/>
          <w:szCs w:val="24"/>
        </w:rPr>
        <w:t>istruzione è stato semplificato</w:t>
      </w:r>
      <w:r>
        <w:rPr>
          <w:rFonts w:eastAsia="Arial" w:cs="Arial"/>
          <w:szCs w:val="24"/>
        </w:rPr>
        <w:t>;</w:t>
      </w:r>
    </w:p>
    <w:p w:rsidR="00E46C06" w:rsidRPr="00D645C3" w:rsidRDefault="00E46C06" w:rsidP="00974BD8">
      <w:pPr>
        <w:pStyle w:val="Paragrafoelenco"/>
        <w:numPr>
          <w:ilvl w:val="0"/>
          <w:numId w:val="12"/>
        </w:numPr>
        <w:spacing w:before="80"/>
        <w:ind w:left="283" w:hanging="289"/>
        <w:rPr>
          <w:rFonts w:cs="Arial"/>
          <w:szCs w:val="24"/>
        </w:rPr>
      </w:pPr>
      <w:r>
        <w:rPr>
          <w:rFonts w:eastAsia="Arial" w:cs="Arial"/>
          <w:szCs w:val="24"/>
        </w:rPr>
        <w:t>i</w:t>
      </w:r>
      <w:r w:rsidRPr="00D645C3">
        <w:rPr>
          <w:rFonts w:eastAsia="Arial" w:cs="Arial"/>
          <w:szCs w:val="24"/>
        </w:rPr>
        <w:t xml:space="preserve"> contributi sostitutivi: la legge chiarisce in modo esaustive l</w:t>
      </w:r>
      <w:r>
        <w:rPr>
          <w:rFonts w:eastAsia="Arial" w:cs="Arial"/>
          <w:szCs w:val="24"/>
        </w:rPr>
        <w:t>'</w:t>
      </w:r>
      <w:r w:rsidRPr="00D645C3">
        <w:rPr>
          <w:rFonts w:eastAsia="Arial" w:cs="Arial"/>
          <w:szCs w:val="24"/>
        </w:rPr>
        <w:t xml:space="preserve">uso dei </w:t>
      </w:r>
      <w:r>
        <w:rPr>
          <w:rFonts w:eastAsia="Arial" w:cs="Arial"/>
          <w:szCs w:val="24"/>
        </w:rPr>
        <w:t>contributi sostitutivi grazie a</w:t>
      </w:r>
      <w:r w:rsidRPr="00D645C3">
        <w:rPr>
          <w:rFonts w:eastAsia="Arial" w:cs="Arial"/>
          <w:szCs w:val="24"/>
        </w:rPr>
        <w:t xml:space="preserve"> un elenco.</w:t>
      </w:r>
    </w:p>
    <w:p w:rsidR="00E46C06" w:rsidRDefault="00E46C06" w:rsidP="00E46C06">
      <w:pPr>
        <w:spacing w:before="120"/>
        <w:rPr>
          <w:rFonts w:cs="Arial"/>
          <w:szCs w:val="24"/>
        </w:rPr>
      </w:pPr>
      <w:r w:rsidRPr="00D645C3">
        <w:rPr>
          <w:rFonts w:cs="Arial"/>
          <w:szCs w:val="24"/>
        </w:rPr>
        <w:t>Visto quanto sopra il Cantone deve adeguare la propria legge cantonale</w:t>
      </w:r>
      <w:r>
        <w:rPr>
          <w:rFonts w:cs="Arial"/>
          <w:szCs w:val="24"/>
        </w:rPr>
        <w:t>:</w:t>
      </w:r>
    </w:p>
    <w:p w:rsidR="00E46C06" w:rsidRPr="008125C3" w:rsidRDefault="00E46C06" w:rsidP="00974BD8">
      <w:pPr>
        <w:pStyle w:val="Paragrafoelenco"/>
        <w:numPr>
          <w:ilvl w:val="0"/>
          <w:numId w:val="12"/>
        </w:numPr>
        <w:spacing w:before="80"/>
        <w:ind w:left="283" w:hanging="289"/>
        <w:rPr>
          <w:rFonts w:cs="Arial"/>
          <w:szCs w:val="24"/>
        </w:rPr>
      </w:pPr>
      <w:r w:rsidRPr="00D645C3">
        <w:rPr>
          <w:rFonts w:eastAsia="Arial" w:cs="Arial"/>
          <w:szCs w:val="24"/>
        </w:rPr>
        <w:t xml:space="preserve">art. 1 cpv. 2, art. 5 lett. a, lett. c, art. 14 cpv. 2 e 3, art. 28a cpv.4, art. 34, art. 36 cpv. 2 lett. b e cpv. 3 e 4, art. 38 cpv. 1, art. 39 cpv.1 </w:t>
      </w:r>
      <w:r>
        <w:rPr>
          <w:rFonts w:eastAsia="Arial" w:cs="Arial"/>
          <w:szCs w:val="24"/>
        </w:rPr>
        <w:t xml:space="preserve">della </w:t>
      </w:r>
      <w:r w:rsidRPr="008125C3">
        <w:rPr>
          <w:rFonts w:eastAsia="Arial" w:cs="Arial"/>
          <w:szCs w:val="24"/>
        </w:rPr>
        <w:t>Legge sulla protezione civile</w:t>
      </w:r>
      <w:r>
        <w:rPr>
          <w:rFonts w:eastAsia="Arial" w:cs="Arial"/>
          <w:szCs w:val="24"/>
        </w:rPr>
        <w:t xml:space="preserve"> (</w:t>
      </w:r>
      <w:proofErr w:type="spellStart"/>
      <w:r w:rsidRPr="00D645C3">
        <w:rPr>
          <w:rFonts w:eastAsia="Arial" w:cs="Arial"/>
          <w:szCs w:val="24"/>
        </w:rPr>
        <w:t>LPCi</w:t>
      </w:r>
      <w:proofErr w:type="spellEnd"/>
      <w:r>
        <w:rPr>
          <w:rFonts w:eastAsia="Arial" w:cs="Arial"/>
          <w:szCs w:val="24"/>
        </w:rPr>
        <w:t>)</w:t>
      </w:r>
      <w:r w:rsidRPr="00D645C3">
        <w:rPr>
          <w:rFonts w:eastAsia="Arial" w:cs="Arial"/>
          <w:szCs w:val="24"/>
        </w:rPr>
        <w:t>;</w:t>
      </w:r>
    </w:p>
    <w:p w:rsidR="00E46C06" w:rsidRPr="00D645C3" w:rsidRDefault="00E46C06" w:rsidP="00974BD8">
      <w:pPr>
        <w:pStyle w:val="Paragrafoelenco"/>
        <w:numPr>
          <w:ilvl w:val="0"/>
          <w:numId w:val="12"/>
        </w:numPr>
        <w:spacing w:before="80"/>
        <w:ind w:left="283" w:hanging="289"/>
        <w:rPr>
          <w:rFonts w:cs="Arial"/>
          <w:szCs w:val="24"/>
        </w:rPr>
      </w:pPr>
      <w:r w:rsidRPr="00D645C3">
        <w:rPr>
          <w:rFonts w:eastAsia="Arial" w:cs="Arial"/>
          <w:szCs w:val="24"/>
        </w:rPr>
        <w:t xml:space="preserve">art. 10 cpv. 2, art. 13, art. 20, art. 31, art. 31a cpv. 2 e 3 </w:t>
      </w:r>
      <w:r>
        <w:rPr>
          <w:rFonts w:eastAsia="Arial" w:cs="Arial"/>
          <w:szCs w:val="24"/>
        </w:rPr>
        <w:t xml:space="preserve">del </w:t>
      </w:r>
      <w:r w:rsidRPr="008125C3">
        <w:rPr>
          <w:rFonts w:eastAsia="Arial" w:cs="Arial"/>
          <w:szCs w:val="24"/>
        </w:rPr>
        <w:t xml:space="preserve">Regolamento sulla protezione civile </w:t>
      </w:r>
      <w:r>
        <w:rPr>
          <w:rFonts w:eastAsia="Arial" w:cs="Arial"/>
          <w:szCs w:val="24"/>
        </w:rPr>
        <w:t>(</w:t>
      </w:r>
      <w:proofErr w:type="spellStart"/>
      <w:r w:rsidRPr="00D645C3">
        <w:rPr>
          <w:rFonts w:eastAsia="Arial" w:cs="Arial"/>
          <w:szCs w:val="24"/>
        </w:rPr>
        <w:t>RPCi</w:t>
      </w:r>
      <w:proofErr w:type="spellEnd"/>
      <w:r w:rsidRPr="00D645C3">
        <w:rPr>
          <w:rFonts w:eastAsia="Arial" w:cs="Arial"/>
          <w:szCs w:val="24"/>
        </w:rPr>
        <w:t xml:space="preserve">). </w:t>
      </w:r>
    </w:p>
    <w:p w:rsidR="00E46C06" w:rsidRPr="00D645C3" w:rsidRDefault="00E46C06" w:rsidP="00E46C06">
      <w:pPr>
        <w:spacing w:before="120"/>
        <w:rPr>
          <w:rFonts w:eastAsia="Arial" w:cs="Arial"/>
          <w:szCs w:val="24"/>
        </w:rPr>
      </w:pPr>
      <w:r w:rsidRPr="00D645C3">
        <w:rPr>
          <w:rFonts w:eastAsia="Arial" w:cs="Arial"/>
          <w:szCs w:val="24"/>
        </w:rPr>
        <w:t xml:space="preserve">Viste le </w:t>
      </w:r>
      <w:r w:rsidRPr="008567E8">
        <w:rPr>
          <w:rFonts w:cs="Arial"/>
          <w:szCs w:val="24"/>
        </w:rPr>
        <w:t>modifiche</w:t>
      </w:r>
      <w:r w:rsidRPr="00D645C3">
        <w:rPr>
          <w:rFonts w:eastAsia="Arial" w:cs="Arial"/>
          <w:szCs w:val="24"/>
        </w:rPr>
        <w:t xml:space="preserve"> imposte dal diritto federale</w:t>
      </w:r>
      <w:r>
        <w:rPr>
          <w:rFonts w:eastAsia="Arial" w:cs="Arial"/>
          <w:szCs w:val="24"/>
        </w:rPr>
        <w:t>,</w:t>
      </w:r>
      <w:r w:rsidRPr="00D645C3">
        <w:rPr>
          <w:rFonts w:eastAsia="Arial" w:cs="Arial"/>
          <w:szCs w:val="24"/>
        </w:rPr>
        <w:t xml:space="preserve"> il Consiglio di Stato ha deciso di modificare </w:t>
      </w:r>
      <w:r>
        <w:rPr>
          <w:rFonts w:eastAsia="Arial" w:cs="Arial"/>
          <w:szCs w:val="24"/>
        </w:rPr>
        <w:t xml:space="preserve">anche </w:t>
      </w:r>
      <w:r w:rsidRPr="00D645C3">
        <w:rPr>
          <w:rFonts w:eastAsia="Arial" w:cs="Arial"/>
          <w:szCs w:val="24"/>
        </w:rPr>
        <w:t xml:space="preserve">alcuni aspetti di competenza esclusivamente cantonale, ad esempio la ripartizione dei compiti tra Cantone e Regioni (art. 15 cpv. 2, art. 26 cpv. 1 </w:t>
      </w:r>
      <w:proofErr w:type="spellStart"/>
      <w:r w:rsidRPr="00D645C3">
        <w:rPr>
          <w:rFonts w:eastAsia="Arial" w:cs="Arial"/>
          <w:szCs w:val="24"/>
        </w:rPr>
        <w:t>LPCi</w:t>
      </w:r>
      <w:proofErr w:type="spellEnd"/>
      <w:r w:rsidRPr="00D645C3">
        <w:rPr>
          <w:rFonts w:eastAsia="Arial" w:cs="Arial"/>
          <w:szCs w:val="24"/>
        </w:rPr>
        <w:t xml:space="preserve">; art. 2, art. 4, art. 10, art. 14 </w:t>
      </w:r>
      <w:proofErr w:type="spellStart"/>
      <w:r w:rsidRPr="00D645C3">
        <w:rPr>
          <w:rFonts w:eastAsia="Arial" w:cs="Arial"/>
          <w:szCs w:val="24"/>
        </w:rPr>
        <w:t>RPCi</w:t>
      </w:r>
      <w:proofErr w:type="spellEnd"/>
      <w:r w:rsidRPr="00D645C3">
        <w:rPr>
          <w:rFonts w:eastAsia="Arial" w:cs="Arial"/>
          <w:szCs w:val="24"/>
        </w:rPr>
        <w:t>), l</w:t>
      </w:r>
      <w:r>
        <w:rPr>
          <w:rFonts w:eastAsia="Arial" w:cs="Arial"/>
          <w:szCs w:val="24"/>
        </w:rPr>
        <w:t>'</w:t>
      </w:r>
      <w:r w:rsidRPr="00D645C3">
        <w:rPr>
          <w:rFonts w:eastAsia="Arial" w:cs="Arial"/>
          <w:szCs w:val="24"/>
        </w:rPr>
        <w:t>introduzione di un sistema di prontezza combinato a un sistema di picchetto sostitutivo (art. 5 lett. h, art. 26, art. 46 cpv. 1</w:t>
      </w:r>
      <w:r w:rsidRPr="0092512A">
        <w:rPr>
          <w:rFonts w:eastAsia="Arial" w:cs="Arial"/>
          <w:szCs w:val="24"/>
          <w:vertAlign w:val="superscript"/>
        </w:rPr>
        <w:t>bis</w:t>
      </w:r>
      <w:r w:rsidRPr="00D645C3">
        <w:rPr>
          <w:rFonts w:eastAsia="Arial" w:cs="Arial"/>
          <w:szCs w:val="24"/>
        </w:rPr>
        <w:t>, art. 47 lett. c.</w:t>
      </w:r>
      <w:r>
        <w:rPr>
          <w:rFonts w:eastAsia="Arial" w:cs="Arial"/>
          <w:szCs w:val="24"/>
        </w:rPr>
        <w:t>,</w:t>
      </w:r>
      <w:r w:rsidRPr="00D645C3">
        <w:rPr>
          <w:rFonts w:eastAsia="Arial" w:cs="Arial"/>
          <w:szCs w:val="24"/>
        </w:rPr>
        <w:t xml:space="preserve"> lett. d </w:t>
      </w:r>
      <w:proofErr w:type="spellStart"/>
      <w:r w:rsidRPr="00D645C3">
        <w:rPr>
          <w:rFonts w:eastAsia="Arial" w:cs="Arial"/>
          <w:szCs w:val="24"/>
        </w:rPr>
        <w:t>LPCi</w:t>
      </w:r>
      <w:proofErr w:type="spellEnd"/>
      <w:r w:rsidRPr="00D645C3">
        <w:rPr>
          <w:rFonts w:eastAsia="Arial" w:cs="Arial"/>
          <w:szCs w:val="24"/>
        </w:rPr>
        <w:t xml:space="preserve">; art. 4 lett. l </w:t>
      </w:r>
      <w:proofErr w:type="spellStart"/>
      <w:r w:rsidRPr="00D645C3">
        <w:rPr>
          <w:rFonts w:eastAsia="Arial" w:cs="Arial"/>
          <w:szCs w:val="24"/>
        </w:rPr>
        <w:t>RPCi</w:t>
      </w:r>
      <w:proofErr w:type="spellEnd"/>
      <w:r w:rsidRPr="00D645C3">
        <w:rPr>
          <w:rFonts w:eastAsia="Arial" w:cs="Arial"/>
          <w:szCs w:val="24"/>
        </w:rPr>
        <w:t>) nonché la concessione di un sussidio cantonale tramite il Fondo cantonale dei contributi sostitutivi per interventi a</w:t>
      </w:r>
      <w:r>
        <w:rPr>
          <w:rFonts w:eastAsia="Arial" w:cs="Arial"/>
          <w:szCs w:val="24"/>
        </w:rPr>
        <w:t xml:space="preserve"> un rifugio pubblico o a </w:t>
      </w:r>
      <w:r w:rsidRPr="00D645C3">
        <w:rPr>
          <w:rFonts w:eastAsia="Arial" w:cs="Arial"/>
          <w:szCs w:val="24"/>
        </w:rPr>
        <w:t>un impianto per l</w:t>
      </w:r>
      <w:r>
        <w:rPr>
          <w:rFonts w:eastAsia="Arial" w:cs="Arial"/>
          <w:szCs w:val="24"/>
        </w:rPr>
        <w:t>'</w:t>
      </w:r>
      <w:r w:rsidRPr="00D645C3">
        <w:rPr>
          <w:rFonts w:eastAsia="Arial" w:cs="Arial"/>
          <w:szCs w:val="24"/>
        </w:rPr>
        <w:t>utilizzo in tempo di pace, rispettivamente per l</w:t>
      </w:r>
      <w:r>
        <w:rPr>
          <w:rFonts w:eastAsia="Arial" w:cs="Arial"/>
          <w:szCs w:val="24"/>
        </w:rPr>
        <w:t>'</w:t>
      </w:r>
      <w:r w:rsidRPr="00D645C3">
        <w:rPr>
          <w:rFonts w:eastAsia="Arial" w:cs="Arial"/>
          <w:szCs w:val="24"/>
        </w:rPr>
        <w:t>acquisto dell</w:t>
      </w:r>
      <w:r>
        <w:rPr>
          <w:rFonts w:eastAsia="Arial" w:cs="Arial"/>
          <w:szCs w:val="24"/>
        </w:rPr>
        <w:t>'</w:t>
      </w:r>
      <w:r w:rsidRPr="00D645C3">
        <w:rPr>
          <w:rFonts w:eastAsia="Arial" w:cs="Arial"/>
          <w:szCs w:val="24"/>
        </w:rPr>
        <w:t xml:space="preserve">equipaggiamento o di materiale di valenza cantonale (art. 35 cpv. 1 </w:t>
      </w:r>
      <w:proofErr w:type="spellStart"/>
      <w:r w:rsidRPr="00D645C3">
        <w:rPr>
          <w:rFonts w:eastAsia="Arial" w:cs="Arial"/>
          <w:szCs w:val="24"/>
        </w:rPr>
        <w:t>LPCi</w:t>
      </w:r>
      <w:proofErr w:type="spellEnd"/>
      <w:r w:rsidRPr="00D645C3">
        <w:rPr>
          <w:rFonts w:eastAsia="Arial" w:cs="Arial"/>
          <w:szCs w:val="24"/>
        </w:rPr>
        <w:t xml:space="preserve">; art. 32a, art. 32b </w:t>
      </w:r>
      <w:proofErr w:type="spellStart"/>
      <w:r w:rsidRPr="00D645C3">
        <w:rPr>
          <w:rFonts w:eastAsia="Arial" w:cs="Arial"/>
          <w:szCs w:val="24"/>
        </w:rPr>
        <w:t>RPCi</w:t>
      </w:r>
      <w:proofErr w:type="spellEnd"/>
      <w:r w:rsidRPr="00D645C3">
        <w:rPr>
          <w:rFonts w:eastAsia="Arial" w:cs="Arial"/>
          <w:szCs w:val="24"/>
        </w:rPr>
        <w:t xml:space="preserve">). </w:t>
      </w:r>
    </w:p>
    <w:p w:rsidR="00E46C06" w:rsidRPr="00D645C3" w:rsidRDefault="00E46C06" w:rsidP="00E46C06">
      <w:pPr>
        <w:spacing w:before="120"/>
        <w:rPr>
          <w:rFonts w:eastAsia="Arial" w:cs="Arial"/>
          <w:szCs w:val="24"/>
        </w:rPr>
      </w:pPr>
      <w:r w:rsidRPr="00D645C3">
        <w:rPr>
          <w:rFonts w:eastAsia="Arial" w:cs="Arial"/>
          <w:szCs w:val="24"/>
        </w:rPr>
        <w:lastRenderedPageBreak/>
        <w:t xml:space="preserve">Queste </w:t>
      </w:r>
      <w:r w:rsidRPr="008567E8">
        <w:rPr>
          <w:rFonts w:cs="Arial"/>
          <w:szCs w:val="24"/>
        </w:rPr>
        <w:t>ulteriori</w:t>
      </w:r>
      <w:r w:rsidRPr="00D645C3">
        <w:rPr>
          <w:rFonts w:eastAsia="Arial" w:cs="Arial"/>
          <w:szCs w:val="24"/>
        </w:rPr>
        <w:t xml:space="preserve"> modifiche sono state discusse e concordate, in parte su loro richiesta, con le Organizzazioni di Protezione civile (</w:t>
      </w:r>
      <w:proofErr w:type="spellStart"/>
      <w:r w:rsidRPr="00D645C3">
        <w:rPr>
          <w:rFonts w:eastAsia="Arial" w:cs="Arial"/>
          <w:szCs w:val="24"/>
        </w:rPr>
        <w:t>OrgPCi</w:t>
      </w:r>
      <w:proofErr w:type="spellEnd"/>
      <w:r w:rsidRPr="00D645C3">
        <w:rPr>
          <w:rFonts w:eastAsia="Arial" w:cs="Arial"/>
          <w:szCs w:val="24"/>
        </w:rPr>
        <w:t>). Lo scopo di queste modifiche è di migliorare maggiormente l</w:t>
      </w:r>
      <w:r>
        <w:rPr>
          <w:rFonts w:eastAsia="Arial" w:cs="Arial"/>
          <w:szCs w:val="24"/>
        </w:rPr>
        <w:t>'</w:t>
      </w:r>
      <w:r w:rsidRPr="00D645C3">
        <w:rPr>
          <w:rFonts w:eastAsia="Arial" w:cs="Arial"/>
          <w:szCs w:val="24"/>
        </w:rPr>
        <w:t xml:space="preserve">efficacia e la funzionalità della protezione civile nel nostro Cantone. </w:t>
      </w:r>
    </w:p>
    <w:p w:rsidR="00E46C06" w:rsidRPr="00D645C3" w:rsidRDefault="00E46C06" w:rsidP="00E46C06">
      <w:pPr>
        <w:spacing w:before="120"/>
        <w:rPr>
          <w:rFonts w:eastAsia="Arial" w:cs="Arial"/>
          <w:szCs w:val="24"/>
        </w:rPr>
      </w:pPr>
      <w:r w:rsidRPr="00D645C3">
        <w:rPr>
          <w:rFonts w:eastAsia="Arial" w:cs="Arial"/>
          <w:szCs w:val="24"/>
        </w:rPr>
        <w:t>Oltre a discutere le modiche citate nel messaggio con le Organizzazioni di Protezione civile</w:t>
      </w:r>
      <w:r>
        <w:rPr>
          <w:rFonts w:eastAsia="Arial" w:cs="Arial"/>
          <w:szCs w:val="24"/>
        </w:rPr>
        <w:t>,</w:t>
      </w:r>
      <w:r w:rsidRPr="00D645C3">
        <w:rPr>
          <w:rFonts w:eastAsia="Arial" w:cs="Arial"/>
          <w:szCs w:val="24"/>
        </w:rPr>
        <w:t xml:space="preserve"> il Cantone ha anche consultato i Comuni.</w:t>
      </w:r>
    </w:p>
    <w:p w:rsidR="00E46C06" w:rsidRDefault="00E46C06" w:rsidP="00E46C06">
      <w:pPr>
        <w:spacing w:before="120"/>
        <w:rPr>
          <w:rFonts w:eastAsia="Arial" w:cs="Arial"/>
          <w:szCs w:val="24"/>
        </w:rPr>
      </w:pPr>
      <w:r w:rsidRPr="00D645C3">
        <w:rPr>
          <w:rFonts w:eastAsia="Arial" w:cs="Arial"/>
          <w:szCs w:val="24"/>
        </w:rPr>
        <w:t>La procedura di consultazione ha fatto emergere un largo consenso in seno agli enti interpellati</w:t>
      </w:r>
      <w:r>
        <w:rPr>
          <w:rFonts w:eastAsia="Arial" w:cs="Arial"/>
          <w:szCs w:val="24"/>
        </w:rPr>
        <w:t xml:space="preserve">, i quali </w:t>
      </w:r>
      <w:r w:rsidRPr="00D645C3">
        <w:rPr>
          <w:rFonts w:eastAsia="Arial" w:cs="Arial"/>
          <w:szCs w:val="24"/>
        </w:rPr>
        <w:t>hanno accolto favorevolmente il progetto sottoposto</w:t>
      </w:r>
      <w:r>
        <w:rPr>
          <w:rFonts w:eastAsia="Arial" w:cs="Arial"/>
          <w:szCs w:val="24"/>
        </w:rPr>
        <w:t xml:space="preserve"> loro</w:t>
      </w:r>
      <w:r w:rsidRPr="00D645C3">
        <w:rPr>
          <w:rFonts w:eastAsia="Arial" w:cs="Arial"/>
          <w:szCs w:val="24"/>
        </w:rPr>
        <w:t>.</w:t>
      </w:r>
    </w:p>
    <w:p w:rsidR="00E46C06" w:rsidRDefault="00E46C06" w:rsidP="00E46C06">
      <w:pPr>
        <w:rPr>
          <w:rFonts w:eastAsia="Arial" w:cs="Arial"/>
          <w:szCs w:val="24"/>
        </w:rPr>
      </w:pPr>
    </w:p>
    <w:p w:rsidR="00E46C06" w:rsidRDefault="00E46C06" w:rsidP="00E46C06">
      <w:pPr>
        <w:rPr>
          <w:rFonts w:eastAsia="Arial" w:cs="Arial"/>
          <w:szCs w:val="24"/>
        </w:rPr>
      </w:pPr>
    </w:p>
    <w:p w:rsidR="00E46C06" w:rsidRPr="00D645C3" w:rsidRDefault="00E46C06" w:rsidP="00E46C06">
      <w:pPr>
        <w:rPr>
          <w:rFonts w:eastAsia="Arial" w:cs="Arial"/>
          <w:szCs w:val="24"/>
        </w:rPr>
      </w:pPr>
    </w:p>
    <w:p w:rsidR="00E46C06" w:rsidRPr="00D645C3" w:rsidRDefault="00E46C06" w:rsidP="00E46C06">
      <w:pPr>
        <w:pStyle w:val="Titolo1"/>
        <w:spacing w:after="0"/>
        <w:rPr>
          <w:rFonts w:eastAsia="Arial" w:cs="Arial"/>
        </w:rPr>
      </w:pPr>
      <w:r>
        <w:t>ARTICOLI MODIFICATI: SPIEGAZIONI</w:t>
      </w:r>
    </w:p>
    <w:p w:rsidR="00E46C06" w:rsidRPr="0092512A" w:rsidRDefault="00E46C06" w:rsidP="00E46C06">
      <w:pPr>
        <w:spacing w:before="120"/>
        <w:rPr>
          <w:rFonts w:eastAsia="Arial" w:cs="Arial"/>
          <w:szCs w:val="24"/>
          <w:u w:val="single"/>
        </w:rPr>
      </w:pPr>
      <w:r w:rsidRPr="0092512A">
        <w:rPr>
          <w:rFonts w:eastAsia="Arial" w:cs="Arial"/>
          <w:szCs w:val="24"/>
          <w:u w:val="single"/>
        </w:rPr>
        <w:t>Art. 1 cpv. 2</w:t>
      </w:r>
    </w:p>
    <w:p w:rsidR="00E46C06" w:rsidRPr="00D645C3" w:rsidRDefault="00E46C06" w:rsidP="00E46C06">
      <w:pPr>
        <w:suppressAutoHyphens/>
        <w:spacing w:before="60" w:after="240"/>
        <w:rPr>
          <w:rFonts w:eastAsia="Arial" w:cs="Arial"/>
          <w:szCs w:val="24"/>
        </w:rPr>
      </w:pPr>
      <w:r w:rsidRPr="00D645C3">
        <w:rPr>
          <w:rFonts w:eastAsia="Arial" w:cs="Arial"/>
          <w:szCs w:val="24"/>
        </w:rPr>
        <w:t>A margine della revisione della LPPC è stato riformulato lo scopo della protezione civile. Per parallelismo delle forme, la definizione inserita all</w:t>
      </w:r>
      <w:r>
        <w:rPr>
          <w:rFonts w:eastAsia="Arial" w:cs="Arial"/>
          <w:szCs w:val="24"/>
        </w:rPr>
        <w:t>'</w:t>
      </w:r>
      <w:r w:rsidRPr="00D645C3">
        <w:rPr>
          <w:rFonts w:eastAsia="Arial" w:cs="Arial"/>
          <w:szCs w:val="24"/>
        </w:rPr>
        <w:t xml:space="preserve">art. 2 LPPC è stata ripresa nella legge cantonale, precisando che lo scopo e i compiti della protezione civile sono rimasti immutati. </w:t>
      </w:r>
    </w:p>
    <w:p w:rsidR="00E46C06" w:rsidRPr="0092512A" w:rsidRDefault="00E46C06" w:rsidP="00E46C06">
      <w:pPr>
        <w:spacing w:before="120"/>
        <w:rPr>
          <w:rFonts w:eastAsia="Arial" w:cs="Arial"/>
          <w:szCs w:val="24"/>
          <w:u w:val="single"/>
        </w:rPr>
      </w:pPr>
      <w:r w:rsidRPr="0092512A">
        <w:rPr>
          <w:rFonts w:eastAsia="Arial" w:cs="Arial"/>
          <w:szCs w:val="24"/>
          <w:u w:val="single"/>
        </w:rPr>
        <w:t>Art. 2 cpv. 2</w:t>
      </w:r>
    </w:p>
    <w:p w:rsidR="00E46C06" w:rsidRPr="00D645C3" w:rsidRDefault="00E46C06" w:rsidP="00E46C06">
      <w:pPr>
        <w:suppressAutoHyphens/>
        <w:spacing w:before="60" w:after="240"/>
        <w:rPr>
          <w:rFonts w:eastAsia="Arial" w:cs="Arial"/>
          <w:szCs w:val="24"/>
        </w:rPr>
      </w:pPr>
      <w:r w:rsidRPr="00D645C3">
        <w:rPr>
          <w:rFonts w:eastAsia="Arial" w:cs="Arial"/>
          <w:szCs w:val="24"/>
        </w:rPr>
        <w:t xml:space="preserve">Questo capoverso è stato abrogato in quanto la pianificazione finanziaria </w:t>
      </w:r>
      <w:r>
        <w:rPr>
          <w:rFonts w:eastAsia="Arial" w:cs="Arial"/>
          <w:szCs w:val="24"/>
        </w:rPr>
        <w:t>concernente</w:t>
      </w:r>
      <w:r w:rsidRPr="00D645C3">
        <w:rPr>
          <w:rFonts w:eastAsia="Arial" w:cs="Arial"/>
          <w:szCs w:val="24"/>
        </w:rPr>
        <w:t xml:space="preserve"> la protezione civile viene già inserita nel piano finanziario del Cantone.</w:t>
      </w:r>
    </w:p>
    <w:p w:rsidR="00E46C06" w:rsidRPr="0092512A" w:rsidRDefault="00E46C06" w:rsidP="00E46C06">
      <w:pPr>
        <w:spacing w:before="120"/>
        <w:rPr>
          <w:rFonts w:eastAsia="Arial" w:cs="Arial"/>
          <w:szCs w:val="24"/>
          <w:u w:val="single"/>
        </w:rPr>
      </w:pPr>
      <w:r w:rsidRPr="0092512A">
        <w:rPr>
          <w:rFonts w:eastAsia="Arial" w:cs="Arial"/>
          <w:szCs w:val="24"/>
          <w:u w:val="single"/>
        </w:rPr>
        <w:t>Art. 5 lett. a</w:t>
      </w:r>
      <w:r w:rsidR="00974BD8">
        <w:rPr>
          <w:rFonts w:eastAsia="Arial" w:cs="Arial"/>
          <w:szCs w:val="24"/>
          <w:u w:val="single"/>
        </w:rPr>
        <w:t>)</w:t>
      </w:r>
      <w:r w:rsidRPr="0092512A">
        <w:rPr>
          <w:rFonts w:eastAsia="Arial" w:cs="Arial"/>
          <w:szCs w:val="24"/>
          <w:u w:val="single"/>
        </w:rPr>
        <w:t>, c</w:t>
      </w:r>
      <w:r w:rsidR="00974BD8">
        <w:rPr>
          <w:rFonts w:eastAsia="Arial" w:cs="Arial"/>
          <w:szCs w:val="24"/>
          <w:u w:val="single"/>
        </w:rPr>
        <w:t>) e</w:t>
      </w:r>
      <w:r w:rsidRPr="0092512A">
        <w:rPr>
          <w:rFonts w:eastAsia="Arial" w:cs="Arial"/>
          <w:szCs w:val="24"/>
          <w:u w:val="single"/>
        </w:rPr>
        <w:t xml:space="preserve"> h</w:t>
      </w:r>
      <w:r w:rsidR="00974BD8">
        <w:rPr>
          <w:rFonts w:eastAsia="Arial" w:cs="Arial"/>
          <w:szCs w:val="24"/>
          <w:u w:val="single"/>
        </w:rPr>
        <w:t>)</w:t>
      </w:r>
    </w:p>
    <w:p w:rsidR="00E46C06" w:rsidRPr="00D645C3" w:rsidRDefault="00E46C06" w:rsidP="00E46C06">
      <w:pPr>
        <w:suppressAutoHyphens/>
        <w:spacing w:before="60"/>
        <w:rPr>
          <w:rFonts w:eastAsia="Arial" w:cs="Arial"/>
          <w:szCs w:val="24"/>
        </w:rPr>
      </w:pPr>
      <w:r w:rsidRPr="00D645C3">
        <w:rPr>
          <w:rFonts w:eastAsia="Arial" w:cs="Arial"/>
          <w:szCs w:val="24"/>
        </w:rPr>
        <w:t xml:space="preserve">La </w:t>
      </w:r>
      <w:r w:rsidRPr="0092512A">
        <w:rPr>
          <w:rFonts w:eastAsia="Arial" w:cs="Arial"/>
          <w:szCs w:val="24"/>
          <w:u w:val="single"/>
        </w:rPr>
        <w:t>lett. a</w:t>
      </w:r>
      <w:r w:rsidR="00974BD8">
        <w:rPr>
          <w:rFonts w:eastAsia="Arial" w:cs="Arial"/>
          <w:szCs w:val="24"/>
          <w:u w:val="single"/>
        </w:rPr>
        <w:t>)</w:t>
      </w:r>
      <w:r w:rsidRPr="00D645C3">
        <w:rPr>
          <w:rFonts w:eastAsia="Arial" w:cs="Arial"/>
          <w:szCs w:val="24"/>
        </w:rPr>
        <w:t xml:space="preserve"> è stata modificata tenendo conto del fatto che la gestione dei sistemi d</w:t>
      </w:r>
      <w:r>
        <w:rPr>
          <w:rFonts w:eastAsia="Arial" w:cs="Arial"/>
          <w:szCs w:val="24"/>
        </w:rPr>
        <w:t>'</w:t>
      </w:r>
      <w:r w:rsidRPr="00D645C3">
        <w:rPr>
          <w:rFonts w:eastAsia="Arial" w:cs="Arial"/>
          <w:szCs w:val="24"/>
        </w:rPr>
        <w:t>allarme compete al Cantone.</w:t>
      </w:r>
    </w:p>
    <w:p w:rsidR="00E46C06" w:rsidRPr="00D645C3" w:rsidRDefault="00E46C06" w:rsidP="00E46C06">
      <w:pPr>
        <w:suppressAutoHyphens/>
        <w:spacing w:before="60" w:after="240"/>
        <w:rPr>
          <w:rFonts w:eastAsia="Arial" w:cs="Arial"/>
          <w:szCs w:val="24"/>
        </w:rPr>
      </w:pPr>
      <w:r w:rsidRPr="00D645C3">
        <w:rPr>
          <w:rFonts w:eastAsia="Arial" w:cs="Arial"/>
          <w:szCs w:val="24"/>
        </w:rPr>
        <w:t xml:space="preserve">La </w:t>
      </w:r>
      <w:r w:rsidRPr="0092512A">
        <w:rPr>
          <w:rFonts w:eastAsia="Arial" w:cs="Arial"/>
          <w:szCs w:val="24"/>
          <w:u w:val="single"/>
        </w:rPr>
        <w:t xml:space="preserve">lett. </w:t>
      </w:r>
      <w:r>
        <w:rPr>
          <w:rFonts w:eastAsia="Arial" w:cs="Arial"/>
          <w:szCs w:val="24"/>
          <w:u w:val="single"/>
        </w:rPr>
        <w:t>c</w:t>
      </w:r>
      <w:r w:rsidR="00974BD8">
        <w:rPr>
          <w:rFonts w:eastAsia="Arial" w:cs="Arial"/>
          <w:szCs w:val="24"/>
          <w:u w:val="single"/>
        </w:rPr>
        <w:t>)</w:t>
      </w:r>
      <w:r w:rsidRPr="00D645C3">
        <w:rPr>
          <w:rFonts w:eastAsia="Arial" w:cs="Arial"/>
          <w:szCs w:val="24"/>
        </w:rPr>
        <w:t xml:space="preserve"> è stata adeguata alla luce del nuovo sistema d</w:t>
      </w:r>
      <w:r>
        <w:rPr>
          <w:rFonts w:eastAsia="Arial" w:cs="Arial"/>
          <w:szCs w:val="24"/>
        </w:rPr>
        <w:t>'</w:t>
      </w:r>
      <w:r w:rsidRPr="00D645C3">
        <w:rPr>
          <w:rFonts w:eastAsia="Arial" w:cs="Arial"/>
          <w:szCs w:val="24"/>
        </w:rPr>
        <w:t>istruzion</w:t>
      </w:r>
      <w:r>
        <w:rPr>
          <w:rFonts w:eastAsia="Arial" w:cs="Arial"/>
          <w:szCs w:val="24"/>
        </w:rPr>
        <w:t>e che prevede che i militi venga</w:t>
      </w:r>
      <w:r w:rsidRPr="00D645C3">
        <w:rPr>
          <w:rFonts w:eastAsia="Arial" w:cs="Arial"/>
          <w:szCs w:val="24"/>
        </w:rPr>
        <w:t>no attribuiti alla relativa Regione dopo l</w:t>
      </w:r>
      <w:r>
        <w:rPr>
          <w:rFonts w:eastAsia="Arial" w:cs="Arial"/>
          <w:szCs w:val="24"/>
        </w:rPr>
        <w:t>'</w:t>
      </w:r>
      <w:r w:rsidRPr="00D645C3">
        <w:rPr>
          <w:rFonts w:eastAsia="Arial" w:cs="Arial"/>
          <w:szCs w:val="24"/>
        </w:rPr>
        <w:t>assolvimento dell</w:t>
      </w:r>
      <w:r>
        <w:rPr>
          <w:rFonts w:eastAsia="Arial" w:cs="Arial"/>
          <w:szCs w:val="24"/>
        </w:rPr>
        <w:t>'</w:t>
      </w:r>
      <w:r w:rsidRPr="00D645C3">
        <w:rPr>
          <w:rFonts w:eastAsia="Arial" w:cs="Arial"/>
          <w:szCs w:val="24"/>
        </w:rPr>
        <w:t>istruzione di base.</w:t>
      </w:r>
    </w:p>
    <w:p w:rsidR="00E46C06" w:rsidRPr="0092512A" w:rsidRDefault="00E46C06" w:rsidP="00E46C06">
      <w:pPr>
        <w:spacing w:before="120"/>
        <w:rPr>
          <w:rFonts w:eastAsia="Arial" w:cs="Arial"/>
          <w:szCs w:val="24"/>
          <w:u w:val="single"/>
        </w:rPr>
      </w:pPr>
      <w:r w:rsidRPr="0092512A">
        <w:rPr>
          <w:rFonts w:eastAsia="Arial" w:cs="Arial"/>
          <w:szCs w:val="24"/>
          <w:u w:val="single"/>
        </w:rPr>
        <w:t>Art. 10 cpv. 4</w:t>
      </w:r>
    </w:p>
    <w:p w:rsidR="00E46C06" w:rsidRPr="00D645C3" w:rsidRDefault="00E46C06" w:rsidP="00E46C06">
      <w:pPr>
        <w:suppressAutoHyphens/>
        <w:spacing w:before="60" w:after="240"/>
        <w:rPr>
          <w:rFonts w:eastAsia="Arial" w:cs="Arial"/>
          <w:szCs w:val="24"/>
        </w:rPr>
      </w:pPr>
      <w:r w:rsidRPr="00D645C3">
        <w:rPr>
          <w:rFonts w:eastAsia="Arial" w:cs="Arial"/>
          <w:szCs w:val="24"/>
        </w:rPr>
        <w:t>Considerato che il Dipartimento delle istituzioni esercita la competenza in ambito alla creazione di formazioni specialistiche, si è ritenuto più immediato inserire tale autorità direttamente nel testo di legge, invece di dover in</w:t>
      </w:r>
      <w:r>
        <w:rPr>
          <w:rFonts w:eastAsia="Arial" w:cs="Arial"/>
          <w:szCs w:val="24"/>
        </w:rPr>
        <w:t xml:space="preserve">trodurre </w:t>
      </w:r>
      <w:r w:rsidRPr="00D645C3">
        <w:rPr>
          <w:rFonts w:eastAsia="Arial" w:cs="Arial"/>
          <w:szCs w:val="24"/>
        </w:rPr>
        <w:t>un</w:t>
      </w:r>
      <w:r>
        <w:rPr>
          <w:rFonts w:eastAsia="Arial" w:cs="Arial"/>
          <w:szCs w:val="24"/>
        </w:rPr>
        <w:t>'</w:t>
      </w:r>
      <w:r w:rsidRPr="00D645C3">
        <w:rPr>
          <w:rFonts w:eastAsia="Arial" w:cs="Arial"/>
          <w:szCs w:val="24"/>
        </w:rPr>
        <w:t>apposita delega nel Regolamento sulle deleghe di competenze decisionali del 24 agosto 199</w:t>
      </w:r>
      <w:r>
        <w:rPr>
          <w:rFonts w:eastAsia="Arial" w:cs="Arial"/>
          <w:szCs w:val="24"/>
        </w:rPr>
        <w:t>4</w:t>
      </w:r>
      <w:r w:rsidRPr="00D645C3">
        <w:rPr>
          <w:rFonts w:eastAsia="Arial" w:cs="Arial"/>
          <w:szCs w:val="24"/>
        </w:rPr>
        <w:t xml:space="preserve">. </w:t>
      </w:r>
    </w:p>
    <w:p w:rsidR="00E46C06" w:rsidRPr="00A9550E" w:rsidRDefault="00E46C06" w:rsidP="00E46C06">
      <w:pPr>
        <w:spacing w:before="120"/>
        <w:rPr>
          <w:rFonts w:eastAsia="Arial" w:cs="Arial"/>
          <w:szCs w:val="24"/>
          <w:u w:val="single"/>
        </w:rPr>
      </w:pPr>
      <w:r w:rsidRPr="00A9550E">
        <w:rPr>
          <w:rFonts w:eastAsia="Arial" w:cs="Arial"/>
          <w:szCs w:val="24"/>
          <w:u w:val="single"/>
        </w:rPr>
        <w:t>Art. 12 cpv. 1</w:t>
      </w:r>
    </w:p>
    <w:p w:rsidR="00E46C06" w:rsidRPr="00D645C3" w:rsidRDefault="00E46C06" w:rsidP="00E46C06">
      <w:pPr>
        <w:suppressAutoHyphens/>
        <w:spacing w:before="60" w:after="240"/>
        <w:rPr>
          <w:rFonts w:eastAsia="Arial" w:cs="Arial"/>
          <w:szCs w:val="24"/>
        </w:rPr>
      </w:pPr>
      <w:r w:rsidRPr="00D645C3">
        <w:rPr>
          <w:rFonts w:eastAsia="Arial" w:cs="Arial"/>
          <w:szCs w:val="24"/>
        </w:rPr>
        <w:t>In materia di valutazione dei dati relativi ai militi della protezione civile si è ritenuto opportuno inserire una competenza cantonale sul controllo e la correttezza di tali informazioni per garantire una gestione uniforme e centralizzata. Già oggi il Dip</w:t>
      </w:r>
      <w:r>
        <w:rPr>
          <w:rFonts w:eastAsia="Arial" w:cs="Arial"/>
          <w:szCs w:val="24"/>
        </w:rPr>
        <w:t xml:space="preserve">artimento esercita </w:t>
      </w:r>
      <w:r w:rsidRPr="00D645C3">
        <w:rPr>
          <w:rFonts w:eastAsia="Arial" w:cs="Arial"/>
          <w:szCs w:val="24"/>
        </w:rPr>
        <w:t>questo compito.</w:t>
      </w:r>
    </w:p>
    <w:p w:rsidR="00E46C06" w:rsidRPr="00A9550E" w:rsidRDefault="00E46C06" w:rsidP="00E46C06">
      <w:pPr>
        <w:spacing w:before="120"/>
        <w:rPr>
          <w:rFonts w:eastAsia="Arial" w:cs="Arial"/>
          <w:szCs w:val="24"/>
          <w:u w:val="single"/>
        </w:rPr>
      </w:pPr>
      <w:r w:rsidRPr="00A9550E">
        <w:rPr>
          <w:rFonts w:eastAsia="Arial" w:cs="Arial"/>
          <w:szCs w:val="24"/>
          <w:u w:val="single"/>
        </w:rPr>
        <w:t xml:space="preserve">Art. 14 cpv. 2 e 3 </w:t>
      </w:r>
    </w:p>
    <w:p w:rsidR="00E46C06" w:rsidRPr="00D645C3" w:rsidRDefault="00E46C06" w:rsidP="00E46C06">
      <w:pPr>
        <w:suppressAutoHyphens/>
        <w:spacing w:before="60"/>
        <w:rPr>
          <w:rFonts w:eastAsia="Arial" w:cs="Arial"/>
          <w:szCs w:val="24"/>
        </w:rPr>
      </w:pPr>
      <w:r w:rsidRPr="00D645C3">
        <w:rPr>
          <w:rFonts w:eastAsia="Arial" w:cs="Arial"/>
          <w:szCs w:val="24"/>
        </w:rPr>
        <w:t xml:space="preserve">Al </w:t>
      </w:r>
      <w:r w:rsidRPr="00A9550E">
        <w:rPr>
          <w:rFonts w:eastAsia="Arial" w:cs="Arial"/>
          <w:bCs/>
          <w:szCs w:val="24"/>
          <w:u w:val="single"/>
        </w:rPr>
        <w:t>cpv. 2</w:t>
      </w:r>
      <w:r w:rsidRPr="00D645C3">
        <w:rPr>
          <w:rFonts w:eastAsia="Arial" w:cs="Arial"/>
          <w:szCs w:val="24"/>
        </w:rPr>
        <w:t xml:space="preserve"> sono state richiamate espressamente le indicazioni dell</w:t>
      </w:r>
      <w:r>
        <w:rPr>
          <w:rFonts w:eastAsia="Arial" w:cs="Arial"/>
          <w:szCs w:val="24"/>
        </w:rPr>
        <w:t>'</w:t>
      </w:r>
      <w:r w:rsidRPr="00D645C3">
        <w:rPr>
          <w:rFonts w:eastAsia="Arial" w:cs="Arial"/>
          <w:szCs w:val="24"/>
        </w:rPr>
        <w:t>U</w:t>
      </w:r>
      <w:r>
        <w:rPr>
          <w:rFonts w:eastAsia="Arial" w:cs="Arial"/>
          <w:szCs w:val="24"/>
        </w:rPr>
        <w:t>fficio federale della protezione della popolazione (U</w:t>
      </w:r>
      <w:r w:rsidRPr="00D645C3">
        <w:rPr>
          <w:rFonts w:eastAsia="Arial" w:cs="Arial"/>
          <w:szCs w:val="24"/>
        </w:rPr>
        <w:t>FPP</w:t>
      </w:r>
      <w:r>
        <w:rPr>
          <w:rFonts w:eastAsia="Arial" w:cs="Arial"/>
          <w:szCs w:val="24"/>
        </w:rPr>
        <w:t>)</w:t>
      </w:r>
      <w:r w:rsidRPr="00D645C3">
        <w:rPr>
          <w:rFonts w:eastAsia="Arial" w:cs="Arial"/>
          <w:szCs w:val="24"/>
        </w:rPr>
        <w:t xml:space="preserve"> in materia di istruzione in quanto il diritto federale stesso, e meglio l</w:t>
      </w:r>
      <w:r>
        <w:rPr>
          <w:rFonts w:eastAsia="Arial" w:cs="Arial"/>
          <w:szCs w:val="24"/>
        </w:rPr>
        <w:t>'</w:t>
      </w:r>
      <w:r w:rsidRPr="00D645C3">
        <w:rPr>
          <w:rFonts w:eastAsia="Arial" w:cs="Arial"/>
          <w:szCs w:val="24"/>
        </w:rPr>
        <w:t>art. 54 LPPC, prevede la sua competenza per allestire le basi per un</w:t>
      </w:r>
      <w:r>
        <w:rPr>
          <w:rFonts w:eastAsia="Arial" w:cs="Arial"/>
          <w:szCs w:val="24"/>
        </w:rPr>
        <w:t>'</w:t>
      </w:r>
      <w:r w:rsidRPr="00D645C3">
        <w:rPr>
          <w:rFonts w:eastAsia="Arial" w:cs="Arial"/>
          <w:szCs w:val="24"/>
        </w:rPr>
        <w:t xml:space="preserve">istruzione unificata. </w:t>
      </w:r>
    </w:p>
    <w:p w:rsidR="00E46C06" w:rsidRPr="00D645C3" w:rsidRDefault="00E46C06" w:rsidP="00E46C06">
      <w:pPr>
        <w:suppressAutoHyphens/>
        <w:spacing w:before="60" w:after="240"/>
        <w:rPr>
          <w:rFonts w:eastAsia="Arial" w:cs="Arial"/>
          <w:szCs w:val="24"/>
        </w:rPr>
      </w:pPr>
      <w:r w:rsidRPr="00D645C3">
        <w:rPr>
          <w:rFonts w:eastAsia="Arial" w:cs="Arial"/>
          <w:szCs w:val="24"/>
        </w:rPr>
        <w:t xml:space="preserve">Il </w:t>
      </w:r>
      <w:r w:rsidRPr="00A9550E">
        <w:rPr>
          <w:rFonts w:eastAsia="Arial" w:cs="Arial"/>
          <w:bCs/>
          <w:szCs w:val="24"/>
          <w:u w:val="single"/>
        </w:rPr>
        <w:t>cpv. 3</w:t>
      </w:r>
      <w:r w:rsidRPr="00D645C3">
        <w:rPr>
          <w:rFonts w:eastAsia="Arial" w:cs="Arial"/>
          <w:szCs w:val="24"/>
        </w:rPr>
        <w:t xml:space="preserve"> è stato adeguato all</w:t>
      </w:r>
      <w:r>
        <w:rPr>
          <w:rFonts w:eastAsia="Arial" w:cs="Arial"/>
          <w:szCs w:val="24"/>
        </w:rPr>
        <w:t>'</w:t>
      </w:r>
      <w:r w:rsidRPr="00D645C3">
        <w:rPr>
          <w:rFonts w:eastAsia="Arial" w:cs="Arial"/>
          <w:szCs w:val="24"/>
        </w:rPr>
        <w:t>art. 53 cpv. 3 LPPC che prevede che gli interventi di pubblica utilità veng</w:t>
      </w:r>
      <w:r>
        <w:rPr>
          <w:rFonts w:eastAsia="Arial" w:cs="Arial"/>
          <w:szCs w:val="24"/>
        </w:rPr>
        <w:t>a</w:t>
      </w:r>
      <w:r w:rsidRPr="00D645C3">
        <w:rPr>
          <w:rFonts w:eastAsia="Arial" w:cs="Arial"/>
          <w:szCs w:val="24"/>
        </w:rPr>
        <w:t xml:space="preserve">no ora svolti sotto forma di corsi di ripetizione. </w:t>
      </w:r>
    </w:p>
    <w:p w:rsidR="00E46C06" w:rsidRPr="00A9550E" w:rsidRDefault="00E46C06" w:rsidP="00E46C06">
      <w:pPr>
        <w:spacing w:before="120"/>
        <w:rPr>
          <w:rFonts w:eastAsia="Arial" w:cs="Arial"/>
          <w:szCs w:val="24"/>
          <w:u w:val="single"/>
        </w:rPr>
      </w:pPr>
      <w:r w:rsidRPr="00A9550E">
        <w:rPr>
          <w:rFonts w:eastAsia="Arial" w:cs="Arial"/>
          <w:szCs w:val="24"/>
          <w:u w:val="single"/>
        </w:rPr>
        <w:t>Art. 14a</w:t>
      </w:r>
    </w:p>
    <w:p w:rsidR="00E46C06" w:rsidRDefault="00E46C06" w:rsidP="00E46C06">
      <w:pPr>
        <w:suppressAutoHyphens/>
        <w:spacing w:before="60" w:after="240"/>
        <w:rPr>
          <w:rFonts w:eastAsia="Arial" w:cs="Arial"/>
          <w:szCs w:val="24"/>
        </w:rPr>
      </w:pPr>
      <w:r w:rsidRPr="00D645C3">
        <w:rPr>
          <w:rFonts w:eastAsia="Arial" w:cs="Arial"/>
          <w:szCs w:val="24"/>
        </w:rPr>
        <w:t>Trattandosi di una disposizione transitoria, questo articolo è stato inserito alla fine del presente progetto di revisione.</w:t>
      </w:r>
    </w:p>
    <w:p w:rsidR="00E46C06" w:rsidRPr="00A9550E" w:rsidRDefault="00E46C06" w:rsidP="00E46C06">
      <w:pPr>
        <w:spacing w:before="120"/>
        <w:rPr>
          <w:rFonts w:eastAsia="Arial" w:cs="Arial"/>
          <w:szCs w:val="24"/>
          <w:u w:val="single"/>
        </w:rPr>
      </w:pPr>
      <w:r w:rsidRPr="00A9550E">
        <w:rPr>
          <w:rFonts w:eastAsia="Arial" w:cs="Arial"/>
          <w:szCs w:val="24"/>
          <w:u w:val="single"/>
        </w:rPr>
        <w:lastRenderedPageBreak/>
        <w:t>Art. 15 cpv. 2 e art. 16</w:t>
      </w:r>
    </w:p>
    <w:p w:rsidR="00E46C06" w:rsidRPr="00D645C3" w:rsidRDefault="00E46C06" w:rsidP="00E46C06">
      <w:pPr>
        <w:suppressAutoHyphens/>
        <w:spacing w:before="60" w:after="240"/>
        <w:rPr>
          <w:rFonts w:eastAsia="Arial" w:cs="Arial"/>
          <w:szCs w:val="24"/>
        </w:rPr>
      </w:pPr>
      <w:r w:rsidRPr="00D645C3">
        <w:rPr>
          <w:rFonts w:eastAsia="Arial" w:cs="Arial"/>
          <w:szCs w:val="24"/>
        </w:rPr>
        <w:t xml:space="preserve">Gli attuali art. 15 e 16 sono stati uniti in un unico art. 15, suddiviso in due capoversi. </w:t>
      </w:r>
    </w:p>
    <w:p w:rsidR="00E46C06" w:rsidRPr="00A9550E" w:rsidRDefault="00E46C06" w:rsidP="00E46C06">
      <w:pPr>
        <w:spacing w:before="120"/>
        <w:rPr>
          <w:rFonts w:eastAsia="Arial" w:cs="Arial"/>
          <w:szCs w:val="24"/>
          <w:u w:val="single"/>
        </w:rPr>
      </w:pPr>
      <w:r w:rsidRPr="00A9550E">
        <w:rPr>
          <w:rFonts w:eastAsia="Arial" w:cs="Arial"/>
          <w:szCs w:val="24"/>
          <w:u w:val="single"/>
        </w:rPr>
        <w:t>Art. 25</w:t>
      </w:r>
    </w:p>
    <w:p w:rsidR="00E46C06" w:rsidRPr="00974BD8" w:rsidRDefault="00E46C06" w:rsidP="00E46C06">
      <w:pPr>
        <w:suppressAutoHyphens/>
        <w:spacing w:before="60" w:after="240"/>
        <w:rPr>
          <w:rFonts w:eastAsia="Arial" w:cs="Arial"/>
          <w:szCs w:val="24"/>
        </w:rPr>
      </w:pPr>
      <w:r w:rsidRPr="00974BD8">
        <w:rPr>
          <w:rFonts w:eastAsia="Arial" w:cs="Arial"/>
          <w:szCs w:val="24"/>
        </w:rPr>
        <w:t>Si veda il commento all'art. 47 lett. d</w:t>
      </w:r>
      <w:r w:rsidR="00974BD8" w:rsidRPr="00974BD8">
        <w:rPr>
          <w:rFonts w:eastAsia="Arial" w:cs="Arial"/>
          <w:szCs w:val="24"/>
        </w:rPr>
        <w:t>)</w:t>
      </w:r>
      <w:r w:rsidRPr="00974BD8">
        <w:rPr>
          <w:rFonts w:eastAsia="Arial" w:cs="Arial"/>
          <w:szCs w:val="24"/>
        </w:rPr>
        <w:t>.</w:t>
      </w:r>
    </w:p>
    <w:p w:rsidR="00E46C06" w:rsidRPr="00A9550E" w:rsidRDefault="00E46C06" w:rsidP="00E46C06">
      <w:pPr>
        <w:spacing w:before="120"/>
        <w:rPr>
          <w:rFonts w:eastAsia="Arial" w:cs="Arial"/>
          <w:szCs w:val="24"/>
          <w:u w:val="single"/>
        </w:rPr>
      </w:pPr>
      <w:r w:rsidRPr="00A9550E">
        <w:rPr>
          <w:rFonts w:eastAsia="Arial" w:cs="Arial"/>
          <w:szCs w:val="24"/>
          <w:u w:val="single"/>
        </w:rPr>
        <w:t>Art. 26</w:t>
      </w:r>
    </w:p>
    <w:p w:rsidR="00E46C06" w:rsidRDefault="00E46C06" w:rsidP="00E46C06">
      <w:pPr>
        <w:suppressAutoHyphens/>
        <w:spacing w:before="60" w:after="240"/>
        <w:rPr>
          <w:rFonts w:eastAsia="Arial" w:cs="Arial"/>
          <w:szCs w:val="24"/>
        </w:rPr>
      </w:pPr>
      <w:r w:rsidRPr="00D645C3">
        <w:rPr>
          <w:rFonts w:eastAsia="Arial" w:cs="Arial"/>
          <w:szCs w:val="24"/>
        </w:rPr>
        <w:t>Questo articolo riprende il tema della prontezza operativa, garantita sull</w:t>
      </w:r>
      <w:r>
        <w:rPr>
          <w:rFonts w:eastAsia="Arial" w:cs="Arial"/>
          <w:szCs w:val="24"/>
        </w:rPr>
        <w:t>'</w:t>
      </w:r>
      <w:r w:rsidRPr="00D645C3">
        <w:rPr>
          <w:rFonts w:eastAsia="Arial" w:cs="Arial"/>
          <w:szCs w:val="24"/>
        </w:rPr>
        <w:t>arco dell</w:t>
      </w:r>
      <w:r>
        <w:rPr>
          <w:rFonts w:eastAsia="Arial" w:cs="Arial"/>
          <w:szCs w:val="24"/>
        </w:rPr>
        <w:t>'</w:t>
      </w:r>
      <w:r w:rsidRPr="00D645C3">
        <w:rPr>
          <w:rFonts w:eastAsia="Arial" w:cs="Arial"/>
          <w:szCs w:val="24"/>
        </w:rPr>
        <w:t xml:space="preserve">intero anno civile, rispettivamente del sistema di picchetto sostitutivo. </w:t>
      </w:r>
    </w:p>
    <w:p w:rsidR="00E46C06" w:rsidRPr="00A9550E" w:rsidRDefault="00E46C06" w:rsidP="00E46C06">
      <w:pPr>
        <w:spacing w:before="120"/>
        <w:rPr>
          <w:rFonts w:eastAsia="Arial" w:cs="Arial"/>
          <w:szCs w:val="24"/>
          <w:u w:val="single"/>
        </w:rPr>
      </w:pPr>
      <w:r>
        <w:rPr>
          <w:rFonts w:eastAsia="Arial" w:cs="Arial"/>
          <w:szCs w:val="24"/>
          <w:u w:val="single"/>
        </w:rPr>
        <w:t>Art. 28a cpv. 2, 4</w:t>
      </w:r>
      <w:r w:rsidR="00974BD8">
        <w:rPr>
          <w:rFonts w:eastAsia="Arial" w:cs="Arial"/>
          <w:szCs w:val="24"/>
          <w:u w:val="single"/>
        </w:rPr>
        <w:t xml:space="preserve"> e</w:t>
      </w:r>
      <w:r>
        <w:rPr>
          <w:rFonts w:eastAsia="Arial" w:cs="Arial"/>
          <w:szCs w:val="24"/>
          <w:u w:val="single"/>
        </w:rPr>
        <w:t xml:space="preserve"> 5</w:t>
      </w:r>
    </w:p>
    <w:p w:rsidR="00E46C06" w:rsidRPr="00D645C3" w:rsidRDefault="00E46C06" w:rsidP="00E46C06">
      <w:pPr>
        <w:suppressAutoHyphens/>
        <w:spacing w:before="60"/>
        <w:rPr>
          <w:rFonts w:eastAsia="Arial" w:cs="Arial"/>
          <w:szCs w:val="24"/>
        </w:rPr>
      </w:pPr>
      <w:r w:rsidRPr="00D645C3">
        <w:rPr>
          <w:rFonts w:eastAsia="Arial" w:cs="Arial"/>
          <w:szCs w:val="24"/>
        </w:rPr>
        <w:t xml:space="preserve">È stata inserita al </w:t>
      </w:r>
      <w:r w:rsidRPr="00A9550E">
        <w:rPr>
          <w:rFonts w:eastAsia="Arial" w:cs="Arial"/>
          <w:szCs w:val="24"/>
          <w:u w:val="single"/>
        </w:rPr>
        <w:t>cpv. 2</w:t>
      </w:r>
      <w:r w:rsidRPr="00D645C3">
        <w:rPr>
          <w:rFonts w:eastAsia="Arial" w:cs="Arial"/>
          <w:szCs w:val="24"/>
        </w:rPr>
        <w:t xml:space="preserve"> la competenza, già ora esercitata, del Dipartimento in materia di gestione dei sistemi d</w:t>
      </w:r>
      <w:r>
        <w:rPr>
          <w:rFonts w:eastAsia="Arial" w:cs="Arial"/>
          <w:szCs w:val="24"/>
        </w:rPr>
        <w:t>'</w:t>
      </w:r>
      <w:r w:rsidRPr="00D645C3">
        <w:rPr>
          <w:rFonts w:eastAsia="Arial" w:cs="Arial"/>
          <w:szCs w:val="24"/>
        </w:rPr>
        <w:t>allarme. Si preci</w:t>
      </w:r>
      <w:r>
        <w:rPr>
          <w:rFonts w:eastAsia="Arial" w:cs="Arial"/>
          <w:szCs w:val="24"/>
        </w:rPr>
        <w:t>sa inoltre che in questo ambito</w:t>
      </w:r>
      <w:r w:rsidRPr="00D645C3">
        <w:rPr>
          <w:rFonts w:eastAsia="Arial" w:cs="Arial"/>
          <w:szCs w:val="24"/>
        </w:rPr>
        <w:t xml:space="preserve"> viene versato ai Cantoni dal 2021 un finanziamento da parte della Confederazione. </w:t>
      </w:r>
    </w:p>
    <w:p w:rsidR="00E46C06" w:rsidRPr="00D645C3" w:rsidRDefault="00E46C06" w:rsidP="00E46C06">
      <w:pPr>
        <w:suppressAutoHyphens/>
        <w:rPr>
          <w:rFonts w:eastAsia="Arial" w:cs="Arial"/>
          <w:szCs w:val="24"/>
        </w:rPr>
      </w:pPr>
      <w:r w:rsidRPr="00D645C3">
        <w:rPr>
          <w:rFonts w:eastAsia="Arial" w:cs="Arial"/>
          <w:szCs w:val="24"/>
        </w:rPr>
        <w:t>Entro il 31.12.2024 il Dipartimento delle istituzion</w:t>
      </w:r>
      <w:r>
        <w:rPr>
          <w:rFonts w:eastAsia="Arial" w:cs="Arial"/>
          <w:szCs w:val="24"/>
        </w:rPr>
        <w:t>i</w:t>
      </w:r>
      <w:r w:rsidRPr="00D645C3">
        <w:rPr>
          <w:rFonts w:eastAsia="Arial" w:cs="Arial"/>
          <w:szCs w:val="24"/>
        </w:rPr>
        <w:t xml:space="preserve"> rimarrà unico competente per gestire i sistemi d</w:t>
      </w:r>
      <w:r>
        <w:rPr>
          <w:rFonts w:eastAsia="Arial" w:cs="Arial"/>
          <w:szCs w:val="24"/>
        </w:rPr>
        <w:t>'</w:t>
      </w:r>
      <w:r w:rsidRPr="00D645C3">
        <w:rPr>
          <w:rFonts w:eastAsia="Arial" w:cs="Arial"/>
          <w:szCs w:val="24"/>
        </w:rPr>
        <w:t>allarme, ricevendo un finanziamento da parte delle autorità federali</w:t>
      </w:r>
      <w:r>
        <w:rPr>
          <w:rFonts w:eastAsia="Arial" w:cs="Arial"/>
          <w:szCs w:val="24"/>
        </w:rPr>
        <w:t>;</w:t>
      </w:r>
      <w:r w:rsidRPr="00D645C3">
        <w:rPr>
          <w:rFonts w:eastAsia="Arial" w:cs="Arial"/>
          <w:szCs w:val="24"/>
        </w:rPr>
        <w:t xml:space="preserve"> eventuali ammanchi finanziari verranno suddivisi </w:t>
      </w:r>
      <w:r>
        <w:rPr>
          <w:rFonts w:eastAsia="Arial" w:cs="Arial"/>
          <w:szCs w:val="24"/>
        </w:rPr>
        <w:t>e presi a carico in forma equa</w:t>
      </w:r>
      <w:r w:rsidRPr="00D645C3">
        <w:rPr>
          <w:rFonts w:eastAsia="Arial" w:cs="Arial"/>
          <w:szCs w:val="24"/>
        </w:rPr>
        <w:t xml:space="preserve"> tra Regione e gestori idrici (</w:t>
      </w:r>
      <w:r w:rsidRPr="00285D32">
        <w:rPr>
          <w:rFonts w:eastAsia="Arial" w:cs="Arial"/>
          <w:bCs/>
          <w:szCs w:val="24"/>
          <w:u w:val="single"/>
        </w:rPr>
        <w:t>cpv. 4</w:t>
      </w:r>
      <w:r w:rsidRPr="00D645C3">
        <w:rPr>
          <w:rFonts w:eastAsia="Arial" w:cs="Arial"/>
          <w:szCs w:val="24"/>
        </w:rPr>
        <w:t xml:space="preserve">). </w:t>
      </w:r>
    </w:p>
    <w:p w:rsidR="00E46C06" w:rsidRPr="00D645C3" w:rsidRDefault="00E46C06" w:rsidP="00E46C06">
      <w:pPr>
        <w:suppressAutoHyphens/>
        <w:spacing w:before="60" w:after="240"/>
        <w:rPr>
          <w:rFonts w:eastAsia="Arial" w:cs="Arial"/>
          <w:szCs w:val="24"/>
        </w:rPr>
      </w:pPr>
      <w:r w:rsidRPr="00D645C3">
        <w:rPr>
          <w:rFonts w:eastAsia="Arial" w:cs="Arial"/>
          <w:szCs w:val="24"/>
        </w:rPr>
        <w:t xml:space="preserve">Infine, è stata abrogata il </w:t>
      </w:r>
      <w:r w:rsidRPr="00285D32">
        <w:rPr>
          <w:rFonts w:eastAsia="Arial" w:cs="Arial"/>
          <w:szCs w:val="24"/>
          <w:u w:val="single"/>
        </w:rPr>
        <w:t>cpv. 5 lett. b</w:t>
      </w:r>
      <w:r w:rsidR="00974BD8">
        <w:rPr>
          <w:rFonts w:eastAsia="Arial" w:cs="Arial"/>
          <w:szCs w:val="24"/>
          <w:u w:val="single"/>
        </w:rPr>
        <w:t>)</w:t>
      </w:r>
      <w:r w:rsidRPr="00285D32">
        <w:rPr>
          <w:rFonts w:eastAsia="Arial" w:cs="Arial"/>
          <w:szCs w:val="24"/>
        </w:rPr>
        <w:t xml:space="preserve"> </w:t>
      </w:r>
      <w:r w:rsidRPr="00D645C3">
        <w:rPr>
          <w:rFonts w:eastAsia="Arial" w:cs="Arial"/>
          <w:szCs w:val="24"/>
        </w:rPr>
        <w:t xml:space="preserve">in quanto non vi sono più sirene mobili nel nostro Cantone. </w:t>
      </w:r>
    </w:p>
    <w:p w:rsidR="00E46C06" w:rsidRPr="00285D32" w:rsidRDefault="00E46C06" w:rsidP="00E46C06">
      <w:pPr>
        <w:spacing w:before="120"/>
        <w:rPr>
          <w:rFonts w:eastAsia="Arial" w:cs="Arial"/>
          <w:szCs w:val="24"/>
          <w:u w:val="single"/>
        </w:rPr>
      </w:pPr>
      <w:r w:rsidRPr="00285D32">
        <w:rPr>
          <w:rFonts w:eastAsia="Arial" w:cs="Arial"/>
          <w:szCs w:val="24"/>
          <w:u w:val="single"/>
        </w:rPr>
        <w:t>Art. 34</w:t>
      </w:r>
    </w:p>
    <w:p w:rsidR="00E46C06" w:rsidRPr="00D645C3" w:rsidRDefault="00E46C06" w:rsidP="00E46C06">
      <w:pPr>
        <w:suppressAutoHyphens/>
        <w:spacing w:before="60" w:after="240"/>
        <w:rPr>
          <w:rFonts w:eastAsia="Arial" w:cs="Arial"/>
          <w:szCs w:val="24"/>
        </w:rPr>
      </w:pPr>
      <w:r w:rsidRPr="00D645C3">
        <w:rPr>
          <w:rFonts w:eastAsia="Arial" w:cs="Arial"/>
          <w:szCs w:val="24"/>
        </w:rPr>
        <w:t>Per parallelismo delle forme tra i due testi legislativi, il contenuto della norma cantonale riprende integralmente quello dell</w:t>
      </w:r>
      <w:r>
        <w:rPr>
          <w:rFonts w:eastAsia="Arial" w:cs="Arial"/>
          <w:szCs w:val="24"/>
        </w:rPr>
        <w:t>'</w:t>
      </w:r>
      <w:r w:rsidRPr="00D645C3">
        <w:rPr>
          <w:rFonts w:eastAsia="Arial" w:cs="Arial"/>
          <w:szCs w:val="24"/>
        </w:rPr>
        <w:t>art. 64 cpv. 1 LPPC.</w:t>
      </w:r>
    </w:p>
    <w:p w:rsidR="00E46C06" w:rsidRPr="00285D32" w:rsidRDefault="00E46C06" w:rsidP="00E46C06">
      <w:pPr>
        <w:spacing w:before="120"/>
        <w:rPr>
          <w:rFonts w:eastAsia="Arial" w:cs="Arial"/>
          <w:szCs w:val="24"/>
          <w:u w:val="single"/>
        </w:rPr>
      </w:pPr>
      <w:r w:rsidRPr="00285D32">
        <w:rPr>
          <w:rFonts w:eastAsia="Arial" w:cs="Arial"/>
          <w:szCs w:val="24"/>
          <w:u w:val="single"/>
        </w:rPr>
        <w:t>Art. 35 cpv. 1</w:t>
      </w:r>
    </w:p>
    <w:p w:rsidR="00E46C06" w:rsidRPr="00D645C3" w:rsidRDefault="00E46C06" w:rsidP="00E46C06">
      <w:pPr>
        <w:suppressAutoHyphens/>
        <w:spacing w:before="60" w:after="240"/>
        <w:rPr>
          <w:rFonts w:eastAsia="Arial" w:cs="Arial"/>
          <w:szCs w:val="24"/>
        </w:rPr>
      </w:pPr>
      <w:r w:rsidRPr="00D645C3">
        <w:rPr>
          <w:rFonts w:eastAsia="Arial" w:cs="Arial"/>
          <w:szCs w:val="24"/>
        </w:rPr>
        <w:t xml:space="preserve">Nel </w:t>
      </w:r>
      <w:proofErr w:type="spellStart"/>
      <w:r>
        <w:rPr>
          <w:rFonts w:eastAsia="Arial" w:cs="Arial"/>
          <w:szCs w:val="24"/>
        </w:rPr>
        <w:t>RPCi</w:t>
      </w:r>
      <w:proofErr w:type="spellEnd"/>
      <w:r w:rsidRPr="00D645C3">
        <w:rPr>
          <w:rFonts w:eastAsia="Arial" w:cs="Arial"/>
          <w:szCs w:val="24"/>
        </w:rPr>
        <w:t xml:space="preserve"> è stata introdotta una nuova disposizione che prevede la concessione di una partecipazione cantonale per effettuare degli interventi in un rifugio pubblico o in un impianto per l</w:t>
      </w:r>
      <w:r>
        <w:rPr>
          <w:rFonts w:eastAsia="Arial" w:cs="Arial"/>
          <w:szCs w:val="24"/>
        </w:rPr>
        <w:t>'</w:t>
      </w:r>
      <w:r w:rsidRPr="00D645C3">
        <w:rPr>
          <w:rFonts w:eastAsia="Arial" w:cs="Arial"/>
          <w:szCs w:val="24"/>
        </w:rPr>
        <w:t>utilizzo in tempo di pace, rispettivamente per l</w:t>
      </w:r>
      <w:r>
        <w:rPr>
          <w:rFonts w:eastAsia="Arial" w:cs="Arial"/>
          <w:szCs w:val="24"/>
        </w:rPr>
        <w:t>'</w:t>
      </w:r>
      <w:r w:rsidRPr="00D645C3">
        <w:rPr>
          <w:rFonts w:eastAsia="Arial" w:cs="Arial"/>
          <w:szCs w:val="24"/>
        </w:rPr>
        <w:t>acquisto dell</w:t>
      </w:r>
      <w:r>
        <w:rPr>
          <w:rFonts w:eastAsia="Arial" w:cs="Arial"/>
          <w:szCs w:val="24"/>
        </w:rPr>
        <w:t>'</w:t>
      </w:r>
      <w:r w:rsidRPr="00D645C3">
        <w:rPr>
          <w:rFonts w:eastAsia="Arial" w:cs="Arial"/>
          <w:szCs w:val="24"/>
        </w:rPr>
        <w:t>equipaggiamento e di materiale di valenza cantonale. Questa nuova facoltà è stata sancita con l</w:t>
      </w:r>
      <w:r>
        <w:rPr>
          <w:rFonts w:eastAsia="Arial" w:cs="Arial"/>
          <w:szCs w:val="24"/>
        </w:rPr>
        <w:t>'</w:t>
      </w:r>
      <w:r w:rsidRPr="00D645C3">
        <w:rPr>
          <w:rFonts w:eastAsia="Arial" w:cs="Arial"/>
          <w:szCs w:val="24"/>
        </w:rPr>
        <w:t>inserimento della relativa competenza del Dipartimento di cui all</w:t>
      </w:r>
      <w:r>
        <w:rPr>
          <w:rFonts w:eastAsia="Arial" w:cs="Arial"/>
          <w:szCs w:val="24"/>
        </w:rPr>
        <w:t>'</w:t>
      </w:r>
      <w:r w:rsidRPr="00D645C3">
        <w:rPr>
          <w:rFonts w:eastAsia="Arial" w:cs="Arial"/>
          <w:szCs w:val="24"/>
        </w:rPr>
        <w:t>art. 35 cpv. 1. Il sussidio viene concesso al massimo nella misura del 30%</w:t>
      </w:r>
      <w:r>
        <w:rPr>
          <w:rFonts w:eastAsia="Arial" w:cs="Arial"/>
          <w:szCs w:val="24"/>
        </w:rPr>
        <w:t xml:space="preserve"> e viene finanziato tramite il F</w:t>
      </w:r>
      <w:r w:rsidRPr="00D645C3">
        <w:rPr>
          <w:rFonts w:eastAsia="Arial" w:cs="Arial"/>
          <w:szCs w:val="24"/>
        </w:rPr>
        <w:t xml:space="preserve">ondo cantonale dei contributi sostitutivi (cfr. art. 33 e 34 </w:t>
      </w:r>
      <w:proofErr w:type="spellStart"/>
      <w:r w:rsidRPr="00D645C3">
        <w:rPr>
          <w:rFonts w:eastAsia="Arial" w:cs="Arial"/>
          <w:szCs w:val="24"/>
        </w:rPr>
        <w:t>nRPCi</w:t>
      </w:r>
      <w:proofErr w:type="spellEnd"/>
      <w:r w:rsidRPr="00D645C3">
        <w:rPr>
          <w:rFonts w:eastAsia="Arial" w:cs="Arial"/>
          <w:szCs w:val="24"/>
        </w:rPr>
        <w:t>).</w:t>
      </w:r>
    </w:p>
    <w:p w:rsidR="00E46C06" w:rsidRPr="00285D32" w:rsidRDefault="00E46C06" w:rsidP="00E46C06">
      <w:pPr>
        <w:spacing w:before="120"/>
        <w:rPr>
          <w:rFonts w:eastAsia="Arial" w:cs="Arial"/>
          <w:szCs w:val="24"/>
          <w:u w:val="single"/>
        </w:rPr>
      </w:pPr>
      <w:r w:rsidRPr="00285D32">
        <w:rPr>
          <w:rFonts w:eastAsia="Arial" w:cs="Arial"/>
          <w:szCs w:val="24"/>
          <w:u w:val="single"/>
        </w:rPr>
        <w:t>Art. 36 cpv. 2 lett. b</w:t>
      </w:r>
      <w:r w:rsidR="00974BD8">
        <w:rPr>
          <w:rFonts w:eastAsia="Arial" w:cs="Arial"/>
          <w:szCs w:val="24"/>
          <w:u w:val="single"/>
        </w:rPr>
        <w:t>)</w:t>
      </w:r>
      <w:r w:rsidRPr="00285D32">
        <w:rPr>
          <w:rFonts w:eastAsia="Arial" w:cs="Arial"/>
          <w:szCs w:val="24"/>
          <w:u w:val="single"/>
        </w:rPr>
        <w:t>, cpv. 3 e 4</w:t>
      </w:r>
    </w:p>
    <w:p w:rsidR="00E46C06" w:rsidRPr="00D645C3" w:rsidRDefault="00E46C06" w:rsidP="00E46C06">
      <w:pPr>
        <w:suppressAutoHyphens/>
        <w:spacing w:before="60" w:after="240"/>
        <w:rPr>
          <w:rFonts w:eastAsia="Arial" w:cs="Arial"/>
          <w:szCs w:val="24"/>
        </w:rPr>
      </w:pPr>
      <w:r w:rsidRPr="00D645C3">
        <w:rPr>
          <w:rFonts w:eastAsia="Arial" w:cs="Arial"/>
          <w:szCs w:val="24"/>
        </w:rPr>
        <w:t>Considerato che l</w:t>
      </w:r>
      <w:r>
        <w:rPr>
          <w:rFonts w:eastAsia="Arial" w:cs="Arial"/>
          <w:szCs w:val="24"/>
        </w:rPr>
        <w:t>'</w:t>
      </w:r>
      <w:r w:rsidRPr="00D645C3">
        <w:rPr>
          <w:rFonts w:eastAsia="Arial" w:cs="Arial"/>
          <w:szCs w:val="24"/>
        </w:rPr>
        <w:t xml:space="preserve">uso dei contributi sostitutivi è stato definito esaustivamente dal diritto federale (art. 62 cpv. 3 LPPC e art. 76 </w:t>
      </w:r>
      <w:proofErr w:type="spellStart"/>
      <w:r w:rsidRPr="00D645C3">
        <w:rPr>
          <w:rFonts w:eastAsia="Arial" w:cs="Arial"/>
          <w:szCs w:val="24"/>
        </w:rPr>
        <w:t>OPCi</w:t>
      </w:r>
      <w:proofErr w:type="spellEnd"/>
      <w:r w:rsidRPr="00D645C3">
        <w:rPr>
          <w:rFonts w:eastAsia="Arial" w:cs="Arial"/>
          <w:szCs w:val="24"/>
        </w:rPr>
        <w:t xml:space="preserve">), in applicazione del principio del rispetto del diritto superiore, il diritto cantonale deve limitarsi a rinviare alle disposizioni di rango federale. Il Cantone non dispone dunque della facoltà di definire la destinazione dei contributi sostitutivi. </w:t>
      </w:r>
    </w:p>
    <w:p w:rsidR="00E46C06" w:rsidRPr="00285D32" w:rsidRDefault="00E46C06" w:rsidP="00E46C06">
      <w:pPr>
        <w:spacing w:before="120"/>
        <w:rPr>
          <w:rFonts w:eastAsia="Arial" w:cs="Arial"/>
          <w:szCs w:val="24"/>
          <w:u w:val="single"/>
        </w:rPr>
      </w:pPr>
      <w:r w:rsidRPr="00285D32">
        <w:rPr>
          <w:rFonts w:eastAsia="Arial" w:cs="Arial"/>
          <w:szCs w:val="24"/>
          <w:u w:val="single"/>
        </w:rPr>
        <w:t>Art. 37 cpv. 3 e 4 (nuovi)</w:t>
      </w:r>
    </w:p>
    <w:p w:rsidR="00E46C06" w:rsidRPr="00D645C3" w:rsidRDefault="00E46C06" w:rsidP="00E46C06">
      <w:pPr>
        <w:suppressAutoHyphens/>
        <w:spacing w:before="60"/>
        <w:rPr>
          <w:rFonts w:eastAsia="Arial" w:cs="Arial"/>
          <w:szCs w:val="24"/>
        </w:rPr>
      </w:pPr>
      <w:r w:rsidRPr="00D645C3">
        <w:rPr>
          <w:rFonts w:eastAsia="Arial" w:cs="Arial"/>
          <w:szCs w:val="24"/>
        </w:rPr>
        <w:t>In ambito di un contezioso è emersa la problematica legata al termine di prescrizione per la restituzione dei sussidi. Nella sua decisione, il Servizio dei ricorsi del Consiglio di Stato ha sollevato che la legislazione attualmente in vigore (</w:t>
      </w:r>
      <w:proofErr w:type="spellStart"/>
      <w:r w:rsidRPr="00D645C3">
        <w:rPr>
          <w:rFonts w:eastAsia="Arial" w:cs="Arial"/>
          <w:szCs w:val="24"/>
        </w:rPr>
        <w:t>LPCi</w:t>
      </w:r>
      <w:proofErr w:type="spellEnd"/>
      <w:r w:rsidRPr="00D645C3">
        <w:rPr>
          <w:rFonts w:eastAsia="Arial" w:cs="Arial"/>
          <w:szCs w:val="24"/>
        </w:rPr>
        <w:t xml:space="preserve">, </w:t>
      </w:r>
      <w:proofErr w:type="spellStart"/>
      <w:r w:rsidRPr="00D645C3">
        <w:rPr>
          <w:rFonts w:eastAsia="Arial" w:cs="Arial"/>
          <w:szCs w:val="24"/>
        </w:rPr>
        <w:t>RPCi</w:t>
      </w:r>
      <w:proofErr w:type="spellEnd"/>
      <w:r w:rsidRPr="00D645C3">
        <w:rPr>
          <w:rFonts w:eastAsia="Arial" w:cs="Arial"/>
          <w:szCs w:val="24"/>
        </w:rPr>
        <w:t>) regolava unicamente la restituzione dei sussidi tacendo tuttavia riguardo alla prescrizione. Si è pertanto colta l</w:t>
      </w:r>
      <w:r>
        <w:rPr>
          <w:rFonts w:eastAsia="Arial" w:cs="Arial"/>
          <w:szCs w:val="24"/>
        </w:rPr>
        <w:t>'</w:t>
      </w:r>
      <w:r w:rsidRPr="00D645C3">
        <w:rPr>
          <w:rFonts w:eastAsia="Arial" w:cs="Arial"/>
          <w:szCs w:val="24"/>
        </w:rPr>
        <w:t xml:space="preserve">occasione della presente revisione per completare la legge cantonale, conformemente a quanto sollevato dal Servizio dei ricorsi del Consiglio di Stato. Il nuovo art. 37 cpv. 3 costituisce </w:t>
      </w:r>
      <w:proofErr w:type="spellStart"/>
      <w:r w:rsidRPr="00D645C3">
        <w:rPr>
          <w:rFonts w:eastAsia="Arial" w:cs="Arial"/>
          <w:i/>
          <w:szCs w:val="24"/>
        </w:rPr>
        <w:t>lex</w:t>
      </w:r>
      <w:proofErr w:type="spellEnd"/>
      <w:r w:rsidRPr="00D645C3">
        <w:rPr>
          <w:rFonts w:eastAsia="Arial" w:cs="Arial"/>
          <w:i/>
          <w:szCs w:val="24"/>
        </w:rPr>
        <w:t xml:space="preserve"> </w:t>
      </w:r>
      <w:proofErr w:type="spellStart"/>
      <w:r w:rsidRPr="00D645C3">
        <w:rPr>
          <w:rFonts w:eastAsia="Arial" w:cs="Arial"/>
          <w:i/>
          <w:szCs w:val="24"/>
        </w:rPr>
        <w:t>specialis</w:t>
      </w:r>
      <w:proofErr w:type="spellEnd"/>
      <w:r w:rsidRPr="00D645C3">
        <w:rPr>
          <w:rFonts w:eastAsia="Arial" w:cs="Arial"/>
          <w:szCs w:val="24"/>
        </w:rPr>
        <w:t xml:space="preserve"> dell</w:t>
      </w:r>
      <w:r>
        <w:rPr>
          <w:rFonts w:eastAsia="Arial" w:cs="Arial"/>
          <w:szCs w:val="24"/>
        </w:rPr>
        <w:t>'</w:t>
      </w:r>
      <w:r w:rsidRPr="00D645C3">
        <w:rPr>
          <w:rFonts w:eastAsia="Arial" w:cs="Arial"/>
          <w:szCs w:val="24"/>
        </w:rPr>
        <w:t>art. 20 cpv. 1 e</w:t>
      </w:r>
      <w:r>
        <w:rPr>
          <w:rFonts w:eastAsia="Arial" w:cs="Arial"/>
          <w:szCs w:val="24"/>
        </w:rPr>
        <w:t xml:space="preserve"> 3 Legge sui sussidi cantonali del 22 giugno 1994</w:t>
      </w:r>
      <w:r w:rsidRPr="00D645C3">
        <w:rPr>
          <w:rFonts w:eastAsia="Arial" w:cs="Arial"/>
          <w:szCs w:val="24"/>
        </w:rPr>
        <w:t>.</w:t>
      </w:r>
    </w:p>
    <w:p w:rsidR="00E46C06" w:rsidRDefault="00E46C06" w:rsidP="00E46C06">
      <w:pPr>
        <w:suppressAutoHyphens/>
        <w:spacing w:before="60" w:after="240"/>
        <w:rPr>
          <w:rFonts w:eastAsia="Arial" w:cs="Arial"/>
          <w:szCs w:val="24"/>
        </w:rPr>
      </w:pPr>
      <w:r w:rsidRPr="00D645C3">
        <w:rPr>
          <w:rFonts w:eastAsia="Arial" w:cs="Arial"/>
          <w:szCs w:val="24"/>
        </w:rPr>
        <w:lastRenderedPageBreak/>
        <w:t>Sempre nel contesto del contenzioso sopramenzionato, il Servizio dei ricorsi del Consiglio di Stato ha sollevato l</w:t>
      </w:r>
      <w:r>
        <w:rPr>
          <w:rFonts w:eastAsia="Arial" w:cs="Arial"/>
          <w:szCs w:val="24"/>
        </w:rPr>
        <w:t>'</w:t>
      </w:r>
      <w:r w:rsidRPr="00D645C3">
        <w:rPr>
          <w:rFonts w:eastAsia="Arial" w:cs="Arial"/>
          <w:szCs w:val="24"/>
        </w:rPr>
        <w:t xml:space="preserve">assenza di delega a favore del Cantone per richiedere la restituzione anche dei contributi comunali. </w:t>
      </w:r>
    </w:p>
    <w:p w:rsidR="00E46C06" w:rsidRPr="00285D32" w:rsidRDefault="00E46C06" w:rsidP="00E46C06">
      <w:pPr>
        <w:spacing w:before="120"/>
        <w:rPr>
          <w:rFonts w:eastAsia="Arial" w:cs="Arial"/>
          <w:szCs w:val="24"/>
          <w:u w:val="single"/>
        </w:rPr>
      </w:pPr>
      <w:r w:rsidRPr="00285D32">
        <w:rPr>
          <w:rFonts w:eastAsia="Arial" w:cs="Arial"/>
          <w:szCs w:val="24"/>
          <w:u w:val="single"/>
        </w:rPr>
        <w:t>Art. 38 cpv. 1</w:t>
      </w:r>
    </w:p>
    <w:p w:rsidR="00E46C06" w:rsidRPr="00D645C3" w:rsidRDefault="00E46C06" w:rsidP="00E46C06">
      <w:pPr>
        <w:suppressAutoHyphens/>
        <w:spacing w:before="60" w:after="240"/>
        <w:rPr>
          <w:rFonts w:eastAsia="Arial" w:cs="Arial"/>
          <w:szCs w:val="24"/>
        </w:rPr>
      </w:pPr>
      <w:r w:rsidRPr="00D645C3">
        <w:rPr>
          <w:rFonts w:eastAsia="Arial" w:cs="Arial"/>
          <w:szCs w:val="24"/>
        </w:rPr>
        <w:t>L</w:t>
      </w:r>
      <w:r>
        <w:rPr>
          <w:rFonts w:eastAsia="Arial" w:cs="Arial"/>
          <w:szCs w:val="24"/>
        </w:rPr>
        <w:t>'</w:t>
      </w:r>
      <w:r w:rsidRPr="00D645C3">
        <w:rPr>
          <w:rFonts w:eastAsia="Arial" w:cs="Arial"/>
          <w:szCs w:val="24"/>
        </w:rPr>
        <w:t>art. 67 lett. c</w:t>
      </w:r>
      <w:r w:rsidR="00974BD8">
        <w:rPr>
          <w:rFonts w:eastAsia="Arial" w:cs="Arial"/>
          <w:szCs w:val="24"/>
        </w:rPr>
        <w:t>)</w:t>
      </w:r>
      <w:r w:rsidRPr="00D645C3">
        <w:rPr>
          <w:rFonts w:eastAsia="Arial" w:cs="Arial"/>
          <w:szCs w:val="24"/>
        </w:rPr>
        <w:t xml:space="preserve"> LPPC include espressamente i centri sanitari protetti</w:t>
      </w:r>
      <w:r>
        <w:rPr>
          <w:rFonts w:eastAsia="Arial" w:cs="Arial"/>
          <w:szCs w:val="24"/>
        </w:rPr>
        <w:t xml:space="preserve"> </w:t>
      </w:r>
      <w:r w:rsidRPr="00D645C3">
        <w:rPr>
          <w:rFonts w:eastAsia="Arial" w:cs="Arial"/>
          <w:szCs w:val="24"/>
        </w:rPr>
        <w:t>qua</w:t>
      </w:r>
      <w:r>
        <w:rPr>
          <w:rFonts w:eastAsia="Arial" w:cs="Arial"/>
          <w:szCs w:val="24"/>
        </w:rPr>
        <w:t>li impianti di protezione</w:t>
      </w:r>
      <w:r w:rsidRPr="00D645C3">
        <w:rPr>
          <w:rFonts w:eastAsia="Arial" w:cs="Arial"/>
          <w:szCs w:val="24"/>
        </w:rPr>
        <w:t>. Per evitare quindi inutili ridondanze, si rinvia direttamente alla de</w:t>
      </w:r>
      <w:r>
        <w:rPr>
          <w:rFonts w:eastAsia="Arial" w:cs="Arial"/>
          <w:szCs w:val="24"/>
        </w:rPr>
        <w:t>finizione del diritto federale.</w:t>
      </w:r>
    </w:p>
    <w:p w:rsidR="00E46C06" w:rsidRPr="00285D32" w:rsidRDefault="00E46C06" w:rsidP="00E46C06">
      <w:pPr>
        <w:spacing w:before="120"/>
        <w:rPr>
          <w:rFonts w:eastAsia="Arial" w:cs="Arial"/>
          <w:szCs w:val="24"/>
          <w:u w:val="single"/>
        </w:rPr>
      </w:pPr>
      <w:r w:rsidRPr="00285D32">
        <w:rPr>
          <w:rFonts w:eastAsia="Arial" w:cs="Arial"/>
          <w:szCs w:val="24"/>
          <w:u w:val="single"/>
        </w:rPr>
        <w:t>Art. 39 cpv. 1</w:t>
      </w:r>
    </w:p>
    <w:p w:rsidR="00E46C06" w:rsidRPr="00D645C3" w:rsidRDefault="00E46C06" w:rsidP="00E46C06">
      <w:pPr>
        <w:suppressAutoHyphens/>
        <w:spacing w:before="60" w:after="240"/>
        <w:rPr>
          <w:rFonts w:eastAsia="Arial" w:cs="Arial"/>
          <w:szCs w:val="24"/>
        </w:rPr>
      </w:pPr>
      <w:r w:rsidRPr="00D645C3">
        <w:rPr>
          <w:rFonts w:eastAsia="Arial" w:cs="Arial"/>
          <w:szCs w:val="24"/>
        </w:rPr>
        <w:t xml:space="preserve">In conformità con il diritto superiore </w:t>
      </w:r>
      <w:r w:rsidR="00974BD8">
        <w:rPr>
          <w:rFonts w:eastAsia="Arial" w:cs="Arial"/>
          <w:szCs w:val="24"/>
        </w:rPr>
        <w:t>-</w:t>
      </w:r>
      <w:r>
        <w:rPr>
          <w:rFonts w:eastAsia="Arial" w:cs="Arial"/>
          <w:szCs w:val="24"/>
        </w:rPr>
        <w:t xml:space="preserve"> </w:t>
      </w:r>
      <w:r w:rsidRPr="00D645C3">
        <w:rPr>
          <w:rFonts w:eastAsia="Arial" w:cs="Arial"/>
          <w:szCs w:val="24"/>
        </w:rPr>
        <w:t>che agli art. 57 e 58 LPPC prevede i diritti e gli obblighi non solo dei proprietari di edifici abitativi ma anche dei locatari</w:t>
      </w:r>
      <w:r>
        <w:rPr>
          <w:rFonts w:eastAsia="Arial" w:cs="Arial"/>
          <w:szCs w:val="24"/>
        </w:rPr>
        <w:t xml:space="preserve"> </w:t>
      </w:r>
      <w:r w:rsidR="00974BD8">
        <w:rPr>
          <w:rFonts w:eastAsia="Arial" w:cs="Arial"/>
          <w:szCs w:val="24"/>
        </w:rPr>
        <w:t>-</w:t>
      </w:r>
      <w:r w:rsidRPr="00D645C3">
        <w:rPr>
          <w:rFonts w:eastAsia="Arial" w:cs="Arial"/>
          <w:szCs w:val="24"/>
        </w:rPr>
        <w:t xml:space="preserve"> occorre adeguare il diritto cantonale di conseguenza</w:t>
      </w:r>
      <w:r>
        <w:rPr>
          <w:rFonts w:eastAsia="Arial" w:cs="Arial"/>
          <w:b/>
          <w:szCs w:val="24"/>
        </w:rPr>
        <w:t>.</w:t>
      </w:r>
    </w:p>
    <w:p w:rsidR="00E46C06" w:rsidRPr="00285D32" w:rsidRDefault="00E46C06" w:rsidP="00E46C06">
      <w:pPr>
        <w:spacing w:before="120"/>
        <w:rPr>
          <w:rFonts w:eastAsia="Arial" w:cs="Arial"/>
          <w:szCs w:val="24"/>
          <w:u w:val="single"/>
        </w:rPr>
      </w:pPr>
      <w:r w:rsidRPr="00285D32">
        <w:rPr>
          <w:rFonts w:eastAsia="Arial" w:cs="Arial"/>
          <w:szCs w:val="24"/>
          <w:u w:val="single"/>
        </w:rPr>
        <w:t>Art. 45 cpv. 2</w:t>
      </w:r>
    </w:p>
    <w:p w:rsidR="00E46C06" w:rsidRPr="00D645C3" w:rsidRDefault="00E46C06" w:rsidP="00E46C06">
      <w:pPr>
        <w:suppressAutoHyphens/>
        <w:spacing w:before="60" w:after="240"/>
        <w:rPr>
          <w:rFonts w:eastAsia="Arial" w:cs="Arial"/>
          <w:szCs w:val="24"/>
        </w:rPr>
      </w:pPr>
      <w:r w:rsidRPr="00D645C3">
        <w:rPr>
          <w:rFonts w:eastAsia="Arial" w:cs="Arial"/>
          <w:szCs w:val="24"/>
        </w:rPr>
        <w:t>Date le varie revisioni della LOC, il riferimento all</w:t>
      </w:r>
      <w:r>
        <w:rPr>
          <w:rFonts w:eastAsia="Arial" w:cs="Arial"/>
          <w:szCs w:val="24"/>
        </w:rPr>
        <w:t>'</w:t>
      </w:r>
      <w:r w:rsidRPr="00D645C3">
        <w:rPr>
          <w:rFonts w:eastAsia="Arial" w:cs="Arial"/>
          <w:szCs w:val="24"/>
        </w:rPr>
        <w:t>articolo attualmente menzionato non è più aggiornato. Si è colta l</w:t>
      </w:r>
      <w:r>
        <w:rPr>
          <w:rFonts w:eastAsia="Arial" w:cs="Arial"/>
          <w:szCs w:val="24"/>
        </w:rPr>
        <w:t>'</w:t>
      </w:r>
      <w:r w:rsidRPr="00D645C3">
        <w:rPr>
          <w:rFonts w:eastAsia="Arial" w:cs="Arial"/>
          <w:szCs w:val="24"/>
        </w:rPr>
        <w:t>occasione della presente modifica per inserire l</w:t>
      </w:r>
      <w:r>
        <w:rPr>
          <w:rFonts w:eastAsia="Arial" w:cs="Arial"/>
          <w:szCs w:val="24"/>
        </w:rPr>
        <w:t>'</w:t>
      </w:r>
      <w:r w:rsidRPr="00D645C3">
        <w:rPr>
          <w:rFonts w:eastAsia="Arial" w:cs="Arial"/>
          <w:szCs w:val="24"/>
        </w:rPr>
        <w:t>articolo pertinente della LOC.</w:t>
      </w:r>
    </w:p>
    <w:p w:rsidR="00E46C06" w:rsidRPr="00285D32" w:rsidRDefault="00E46C06" w:rsidP="00E46C06">
      <w:pPr>
        <w:spacing w:before="120"/>
        <w:rPr>
          <w:rFonts w:eastAsia="Arial" w:cs="Arial"/>
          <w:szCs w:val="24"/>
          <w:u w:val="single"/>
        </w:rPr>
      </w:pPr>
      <w:r w:rsidRPr="00285D32">
        <w:rPr>
          <w:rFonts w:eastAsia="Arial" w:cs="Arial"/>
          <w:szCs w:val="24"/>
          <w:u w:val="single"/>
        </w:rPr>
        <w:t>Art. 46 cpv. 1</w:t>
      </w:r>
      <w:r w:rsidRPr="00285D32">
        <w:rPr>
          <w:rFonts w:eastAsia="Arial" w:cs="Arial"/>
          <w:szCs w:val="24"/>
          <w:u w:val="single"/>
          <w:vertAlign w:val="superscript"/>
        </w:rPr>
        <w:t>bis</w:t>
      </w:r>
      <w:r w:rsidRPr="00285D32">
        <w:rPr>
          <w:rFonts w:eastAsia="Arial" w:cs="Arial"/>
          <w:szCs w:val="24"/>
          <w:u w:val="single"/>
        </w:rPr>
        <w:t xml:space="preserve"> (nuovo) </w:t>
      </w:r>
    </w:p>
    <w:p w:rsidR="00E46C06" w:rsidRPr="00D645C3" w:rsidRDefault="00E46C06" w:rsidP="00E46C06">
      <w:pPr>
        <w:suppressAutoHyphens/>
        <w:spacing w:before="60" w:after="240"/>
        <w:rPr>
          <w:rFonts w:eastAsia="Arial" w:cs="Arial"/>
          <w:szCs w:val="24"/>
        </w:rPr>
      </w:pPr>
      <w:r w:rsidRPr="00D645C3">
        <w:rPr>
          <w:rFonts w:eastAsia="Arial" w:cs="Arial"/>
          <w:szCs w:val="24"/>
        </w:rPr>
        <w:t>I costi relativi alla chiamata in servizio del servizio di picchetto, per un impiego oppure per esercitazioni, sono a carico dell</w:t>
      </w:r>
      <w:r>
        <w:rPr>
          <w:rFonts w:eastAsia="Arial" w:cs="Arial"/>
          <w:szCs w:val="24"/>
        </w:rPr>
        <w:t>'</w:t>
      </w:r>
      <w:r w:rsidRPr="00D645C3">
        <w:rPr>
          <w:rFonts w:eastAsia="Arial" w:cs="Arial"/>
          <w:szCs w:val="24"/>
        </w:rPr>
        <w:t xml:space="preserve">autorità richiedente (Cantone rispettivamente Regioni). Nei casi in cui la </w:t>
      </w:r>
      <w:proofErr w:type="spellStart"/>
      <w:r w:rsidRPr="00D645C3">
        <w:rPr>
          <w:rFonts w:eastAsia="Arial" w:cs="Arial"/>
          <w:szCs w:val="24"/>
        </w:rPr>
        <w:t>PCi</w:t>
      </w:r>
      <w:proofErr w:type="spellEnd"/>
      <w:r w:rsidRPr="00D645C3">
        <w:rPr>
          <w:rFonts w:eastAsia="Arial" w:cs="Arial"/>
          <w:szCs w:val="24"/>
        </w:rPr>
        <w:t xml:space="preserve"> è chiamata a operare autonomamente o a sostenere gli enti di primo intervento (polizia, pompieri e soccorso d</w:t>
      </w:r>
      <w:r>
        <w:rPr>
          <w:rFonts w:eastAsia="Arial" w:cs="Arial"/>
          <w:szCs w:val="24"/>
        </w:rPr>
        <w:t>'</w:t>
      </w:r>
      <w:r w:rsidRPr="00D645C3">
        <w:rPr>
          <w:rFonts w:eastAsia="Arial" w:cs="Arial"/>
          <w:szCs w:val="24"/>
        </w:rPr>
        <w:t>urgenza)</w:t>
      </w:r>
      <w:r>
        <w:rPr>
          <w:rFonts w:eastAsia="Arial" w:cs="Arial"/>
          <w:szCs w:val="24"/>
        </w:rPr>
        <w:t>,</w:t>
      </w:r>
      <w:r w:rsidRPr="00D645C3">
        <w:rPr>
          <w:rFonts w:eastAsia="Arial" w:cs="Arial"/>
          <w:szCs w:val="24"/>
        </w:rPr>
        <w:t xml:space="preserve"> i costi degli interventi sono a carico delle singole Regioni poiché rientrano nei compiti di competenze della </w:t>
      </w:r>
      <w:proofErr w:type="spellStart"/>
      <w:r w:rsidRPr="00D645C3">
        <w:rPr>
          <w:rFonts w:eastAsia="Arial" w:cs="Arial"/>
          <w:szCs w:val="24"/>
        </w:rPr>
        <w:t>PCi</w:t>
      </w:r>
      <w:proofErr w:type="spellEnd"/>
      <w:r w:rsidRPr="00D645C3">
        <w:rPr>
          <w:rFonts w:eastAsia="Arial" w:cs="Arial"/>
          <w:szCs w:val="24"/>
        </w:rPr>
        <w:t xml:space="preserve">. </w:t>
      </w:r>
    </w:p>
    <w:p w:rsidR="00E46C06" w:rsidRPr="00285D32" w:rsidRDefault="00E46C06" w:rsidP="00E46C06">
      <w:pPr>
        <w:spacing w:before="120"/>
        <w:rPr>
          <w:rFonts w:eastAsia="Arial" w:cs="Arial"/>
          <w:szCs w:val="24"/>
          <w:u w:val="single"/>
        </w:rPr>
      </w:pPr>
      <w:r w:rsidRPr="00285D32">
        <w:rPr>
          <w:rFonts w:eastAsia="Arial" w:cs="Arial"/>
          <w:szCs w:val="24"/>
          <w:u w:val="single"/>
        </w:rPr>
        <w:t>Art. 47 lett</w:t>
      </w:r>
      <w:r w:rsidR="00974BD8">
        <w:rPr>
          <w:rFonts w:eastAsia="Arial" w:cs="Arial"/>
          <w:szCs w:val="24"/>
          <w:u w:val="single"/>
        </w:rPr>
        <w:t>.</w:t>
      </w:r>
      <w:r w:rsidRPr="00285D32">
        <w:rPr>
          <w:rFonts w:eastAsia="Arial" w:cs="Arial"/>
          <w:szCs w:val="24"/>
          <w:u w:val="single"/>
        </w:rPr>
        <w:t xml:space="preserve"> c</w:t>
      </w:r>
      <w:r w:rsidR="00974BD8">
        <w:rPr>
          <w:rFonts w:eastAsia="Arial" w:cs="Arial"/>
          <w:szCs w:val="24"/>
          <w:u w:val="single"/>
        </w:rPr>
        <w:t xml:space="preserve">) e </w:t>
      </w:r>
      <w:r w:rsidRPr="00285D32">
        <w:rPr>
          <w:rFonts w:eastAsia="Arial" w:cs="Arial"/>
          <w:szCs w:val="24"/>
          <w:u w:val="single"/>
        </w:rPr>
        <w:t>d</w:t>
      </w:r>
      <w:r w:rsidR="00974BD8">
        <w:rPr>
          <w:rFonts w:eastAsia="Arial" w:cs="Arial"/>
          <w:szCs w:val="24"/>
          <w:u w:val="single"/>
        </w:rPr>
        <w:t>)</w:t>
      </w:r>
      <w:r w:rsidRPr="00285D32">
        <w:rPr>
          <w:rFonts w:eastAsia="Arial" w:cs="Arial"/>
          <w:szCs w:val="24"/>
          <w:u w:val="single"/>
        </w:rPr>
        <w:t xml:space="preserve"> (nuov</w:t>
      </w:r>
      <w:r w:rsidR="00974BD8">
        <w:rPr>
          <w:rFonts w:eastAsia="Arial" w:cs="Arial"/>
          <w:szCs w:val="24"/>
          <w:u w:val="single"/>
        </w:rPr>
        <w:t>e</w:t>
      </w:r>
      <w:r w:rsidRPr="00285D32">
        <w:rPr>
          <w:rFonts w:eastAsia="Arial" w:cs="Arial"/>
          <w:szCs w:val="24"/>
          <w:u w:val="single"/>
        </w:rPr>
        <w:t>)</w:t>
      </w:r>
    </w:p>
    <w:p w:rsidR="00E46C06" w:rsidRPr="00D645C3" w:rsidRDefault="00E46C06" w:rsidP="00E46C06">
      <w:pPr>
        <w:suppressAutoHyphens/>
        <w:spacing w:before="60"/>
        <w:rPr>
          <w:rFonts w:eastAsia="Arial" w:cs="Arial"/>
          <w:szCs w:val="24"/>
        </w:rPr>
      </w:pPr>
      <w:r w:rsidRPr="00D645C3">
        <w:rPr>
          <w:rFonts w:eastAsia="Arial" w:cs="Arial"/>
          <w:szCs w:val="24"/>
        </w:rPr>
        <w:t>Nel contesto del sistema di prontezza e di picchetto, descritto alla modifica di cui all</w:t>
      </w:r>
      <w:r>
        <w:rPr>
          <w:rFonts w:eastAsia="Arial" w:cs="Arial"/>
          <w:szCs w:val="24"/>
        </w:rPr>
        <w:t>'</w:t>
      </w:r>
      <w:r w:rsidRPr="00D645C3">
        <w:rPr>
          <w:rFonts w:eastAsia="Arial" w:cs="Arial"/>
          <w:szCs w:val="24"/>
        </w:rPr>
        <w:t>art. 5 lett. h</w:t>
      </w:r>
      <w:r w:rsidR="00974BD8">
        <w:rPr>
          <w:rFonts w:eastAsia="Arial" w:cs="Arial"/>
          <w:szCs w:val="24"/>
        </w:rPr>
        <w:t>)</w:t>
      </w:r>
      <w:r w:rsidRPr="00D645C3">
        <w:rPr>
          <w:rFonts w:eastAsia="Arial" w:cs="Arial"/>
          <w:szCs w:val="24"/>
        </w:rPr>
        <w:t>, si precisa che l</w:t>
      </w:r>
      <w:r>
        <w:rPr>
          <w:rFonts w:eastAsia="Arial" w:cs="Arial"/>
          <w:szCs w:val="24"/>
        </w:rPr>
        <w:t>'</w:t>
      </w:r>
      <w:r w:rsidRPr="00D645C3">
        <w:rPr>
          <w:rFonts w:eastAsia="Arial" w:cs="Arial"/>
          <w:szCs w:val="24"/>
        </w:rPr>
        <w:t>indennità di picchetto è a carico del Cantone. Il personale professionista invece è interamente a carico delle Regioni (</w:t>
      </w:r>
      <w:r w:rsidRPr="00285D32">
        <w:rPr>
          <w:rFonts w:eastAsia="Arial" w:cs="Arial"/>
          <w:szCs w:val="24"/>
          <w:u w:val="single"/>
        </w:rPr>
        <w:t>lett. c</w:t>
      </w:r>
      <w:r w:rsidRPr="00D645C3">
        <w:rPr>
          <w:rFonts w:eastAsia="Arial" w:cs="Arial"/>
          <w:szCs w:val="24"/>
        </w:rPr>
        <w:t>).</w:t>
      </w:r>
    </w:p>
    <w:p w:rsidR="00E46C06" w:rsidRPr="00D645C3" w:rsidRDefault="00E46C06" w:rsidP="00E46C06">
      <w:pPr>
        <w:suppressAutoHyphens/>
        <w:spacing w:before="60" w:after="240"/>
        <w:rPr>
          <w:rFonts w:eastAsia="Arial" w:cs="Arial"/>
          <w:szCs w:val="24"/>
        </w:rPr>
      </w:pPr>
      <w:r w:rsidRPr="00D645C3">
        <w:rPr>
          <w:rFonts w:eastAsia="Arial" w:cs="Arial"/>
          <w:szCs w:val="24"/>
        </w:rPr>
        <w:t xml:space="preserve">Per quanto concerne i costi </w:t>
      </w:r>
      <w:r>
        <w:rPr>
          <w:rFonts w:eastAsia="Arial" w:cs="Arial"/>
          <w:szCs w:val="24"/>
        </w:rPr>
        <w:t xml:space="preserve">concernenti </w:t>
      </w:r>
      <w:r w:rsidRPr="00D645C3">
        <w:rPr>
          <w:rFonts w:eastAsia="Arial" w:cs="Arial"/>
          <w:szCs w:val="24"/>
        </w:rPr>
        <w:t>la piattaforma per l</w:t>
      </w:r>
      <w:r>
        <w:rPr>
          <w:rFonts w:eastAsia="Arial" w:cs="Arial"/>
          <w:szCs w:val="24"/>
        </w:rPr>
        <w:t>'</w:t>
      </w:r>
      <w:r w:rsidRPr="00D645C3">
        <w:rPr>
          <w:rFonts w:eastAsia="Arial" w:cs="Arial"/>
          <w:szCs w:val="24"/>
        </w:rPr>
        <w:t>attivazione delle formazioni di prontezza operativ</w:t>
      </w:r>
      <w:r>
        <w:rPr>
          <w:rFonts w:eastAsia="Arial" w:cs="Arial"/>
          <w:szCs w:val="24"/>
        </w:rPr>
        <w:t>a</w:t>
      </w:r>
      <w:r w:rsidRPr="00D645C3">
        <w:rPr>
          <w:rFonts w:eastAsia="Arial" w:cs="Arial"/>
          <w:szCs w:val="24"/>
        </w:rPr>
        <w:t xml:space="preserve"> o del personale di picchetto (</w:t>
      </w:r>
      <w:r w:rsidRPr="00285D32">
        <w:rPr>
          <w:rFonts w:eastAsia="Arial" w:cs="Arial"/>
          <w:szCs w:val="24"/>
          <w:u w:val="single"/>
        </w:rPr>
        <w:t>lett. d</w:t>
      </w:r>
      <w:r w:rsidRPr="00D645C3">
        <w:rPr>
          <w:rFonts w:eastAsia="Arial" w:cs="Arial"/>
          <w:szCs w:val="24"/>
        </w:rPr>
        <w:t>)</w:t>
      </w:r>
      <w:r>
        <w:rPr>
          <w:rFonts w:eastAsia="Arial" w:cs="Arial"/>
          <w:szCs w:val="24"/>
        </w:rPr>
        <w:t>,</w:t>
      </w:r>
      <w:r w:rsidRPr="00D645C3">
        <w:rPr>
          <w:rFonts w:eastAsia="Arial" w:cs="Arial"/>
          <w:szCs w:val="24"/>
        </w:rPr>
        <w:t xml:space="preserve"> si rimanda a quanto indicato al punto VI, ricordando che il Cantone si prende a carico un forfait iniziale</w:t>
      </w:r>
      <w:r>
        <w:rPr>
          <w:rFonts w:eastAsia="Arial" w:cs="Arial"/>
          <w:szCs w:val="24"/>
        </w:rPr>
        <w:t>,</w:t>
      </w:r>
      <w:r w:rsidRPr="00D645C3">
        <w:rPr>
          <w:rFonts w:eastAsia="Arial" w:cs="Arial"/>
          <w:szCs w:val="24"/>
        </w:rPr>
        <w:t xml:space="preserve"> oltre ai costi di gestione annuali coperti </w:t>
      </w:r>
      <w:r>
        <w:rPr>
          <w:rFonts w:eastAsia="Arial" w:cs="Arial"/>
          <w:szCs w:val="24"/>
        </w:rPr>
        <w:t>nella misura del 50% dal Cantone e de</w:t>
      </w:r>
      <w:r w:rsidRPr="00D645C3">
        <w:rPr>
          <w:rFonts w:eastAsia="Arial" w:cs="Arial"/>
          <w:szCs w:val="24"/>
        </w:rPr>
        <w:t xml:space="preserve">l 50% dalle Regioni in base alla chiave di ripartizione dei militi incorporati per </w:t>
      </w:r>
      <w:proofErr w:type="spellStart"/>
      <w:r w:rsidRPr="00D645C3">
        <w:rPr>
          <w:rFonts w:eastAsia="Arial" w:cs="Arial"/>
          <w:szCs w:val="24"/>
        </w:rPr>
        <w:t>OrgPCi</w:t>
      </w:r>
      <w:proofErr w:type="spellEnd"/>
      <w:r w:rsidRPr="00D645C3">
        <w:rPr>
          <w:rFonts w:eastAsia="Arial" w:cs="Arial"/>
          <w:szCs w:val="24"/>
        </w:rPr>
        <w:t xml:space="preserve">. </w:t>
      </w:r>
    </w:p>
    <w:p w:rsidR="00E46C06" w:rsidRPr="00285D32" w:rsidRDefault="00E46C06" w:rsidP="00E46C06">
      <w:pPr>
        <w:spacing w:before="120"/>
        <w:rPr>
          <w:rFonts w:eastAsia="Arial" w:cs="Arial"/>
          <w:szCs w:val="24"/>
          <w:u w:val="single"/>
        </w:rPr>
      </w:pPr>
      <w:r w:rsidRPr="00285D32">
        <w:rPr>
          <w:rFonts w:eastAsia="Arial" w:cs="Arial"/>
          <w:szCs w:val="24"/>
          <w:u w:val="single"/>
        </w:rPr>
        <w:t>Art. 48 cpv. 2</w:t>
      </w:r>
    </w:p>
    <w:p w:rsidR="00E46C06" w:rsidRPr="00D645C3" w:rsidRDefault="00E46C06" w:rsidP="00E46C06">
      <w:pPr>
        <w:suppressAutoHyphens/>
        <w:spacing w:before="60" w:after="240"/>
        <w:rPr>
          <w:rFonts w:eastAsia="Arial" w:cs="Arial"/>
          <w:szCs w:val="24"/>
        </w:rPr>
      </w:pPr>
      <w:r w:rsidRPr="00D645C3">
        <w:rPr>
          <w:rFonts w:eastAsia="Arial" w:cs="Arial"/>
          <w:szCs w:val="24"/>
        </w:rPr>
        <w:t>Per quanto concerne invece l</w:t>
      </w:r>
      <w:r>
        <w:rPr>
          <w:rFonts w:eastAsia="Arial" w:cs="Arial"/>
          <w:szCs w:val="24"/>
        </w:rPr>
        <w:t>'</w:t>
      </w:r>
      <w:r w:rsidRPr="00D645C3">
        <w:rPr>
          <w:rFonts w:eastAsia="Arial" w:cs="Arial"/>
          <w:szCs w:val="24"/>
        </w:rPr>
        <w:t>abrogazione del cpv. 2</w:t>
      </w:r>
      <w:r>
        <w:rPr>
          <w:rFonts w:eastAsia="Arial" w:cs="Arial"/>
          <w:szCs w:val="24"/>
        </w:rPr>
        <w:t>,</w:t>
      </w:r>
      <w:r w:rsidRPr="00D645C3">
        <w:rPr>
          <w:rFonts w:eastAsia="Arial" w:cs="Arial"/>
          <w:szCs w:val="24"/>
        </w:rPr>
        <w:t xml:space="preserve"> si rinvia a quanto esposto sopra </w:t>
      </w:r>
      <w:r>
        <w:rPr>
          <w:rFonts w:eastAsia="Arial" w:cs="Arial"/>
          <w:szCs w:val="24"/>
        </w:rPr>
        <w:br/>
      </w:r>
      <w:r w:rsidRPr="00D645C3">
        <w:rPr>
          <w:rFonts w:eastAsia="Arial" w:cs="Arial"/>
          <w:szCs w:val="24"/>
        </w:rPr>
        <w:t>all</w:t>
      </w:r>
      <w:r>
        <w:rPr>
          <w:rFonts w:eastAsia="Arial" w:cs="Arial"/>
          <w:szCs w:val="24"/>
        </w:rPr>
        <w:t>'</w:t>
      </w:r>
      <w:r w:rsidRPr="00D645C3">
        <w:rPr>
          <w:rFonts w:eastAsia="Arial" w:cs="Arial"/>
          <w:szCs w:val="24"/>
        </w:rPr>
        <w:t>art. 2 cpv. 2.</w:t>
      </w:r>
    </w:p>
    <w:p w:rsidR="00E46C06" w:rsidRPr="00285D32" w:rsidRDefault="00E46C06" w:rsidP="00E46C06">
      <w:pPr>
        <w:spacing w:before="120"/>
        <w:rPr>
          <w:rFonts w:eastAsia="Arial" w:cs="Arial"/>
          <w:szCs w:val="24"/>
          <w:u w:val="single"/>
        </w:rPr>
      </w:pPr>
      <w:r w:rsidRPr="00285D32">
        <w:rPr>
          <w:rFonts w:eastAsia="Arial" w:cs="Arial"/>
          <w:szCs w:val="24"/>
          <w:u w:val="single"/>
        </w:rPr>
        <w:t>Art. 50 cpv. 2</w:t>
      </w:r>
    </w:p>
    <w:p w:rsidR="00E46C06" w:rsidRPr="00D645C3" w:rsidRDefault="00E46C06" w:rsidP="00E46C06">
      <w:pPr>
        <w:suppressAutoHyphens/>
        <w:spacing w:before="60" w:after="240"/>
        <w:rPr>
          <w:rFonts w:eastAsia="Arial" w:cs="Arial"/>
          <w:szCs w:val="24"/>
        </w:rPr>
      </w:pPr>
      <w:r w:rsidRPr="00D645C3">
        <w:rPr>
          <w:rFonts w:eastAsia="Arial" w:cs="Arial"/>
          <w:szCs w:val="24"/>
        </w:rPr>
        <w:t>Si è preferito, per ragioni meramente d</w:t>
      </w:r>
      <w:r>
        <w:rPr>
          <w:rFonts w:eastAsia="Arial" w:cs="Arial"/>
          <w:szCs w:val="24"/>
        </w:rPr>
        <w:t>i stile, di mettere il termine "decisione"</w:t>
      </w:r>
      <w:r w:rsidRPr="00D645C3">
        <w:rPr>
          <w:rFonts w:eastAsia="Arial" w:cs="Arial"/>
          <w:szCs w:val="24"/>
        </w:rPr>
        <w:t xml:space="preserve"> al plurale, in una forma più generica.</w:t>
      </w:r>
    </w:p>
    <w:p w:rsidR="00E46C06" w:rsidRPr="008125C3" w:rsidRDefault="00E46C06" w:rsidP="00E46C06">
      <w:pPr>
        <w:spacing w:before="120"/>
        <w:rPr>
          <w:rFonts w:eastAsia="Arial" w:cs="Arial"/>
          <w:szCs w:val="24"/>
          <w:u w:val="single"/>
        </w:rPr>
      </w:pPr>
      <w:r w:rsidRPr="008125C3">
        <w:rPr>
          <w:rFonts w:eastAsia="Arial" w:cs="Arial"/>
          <w:szCs w:val="24"/>
          <w:u w:val="single"/>
        </w:rPr>
        <w:t>Art. 51</w:t>
      </w:r>
    </w:p>
    <w:p w:rsidR="00E46C06" w:rsidRPr="00D645C3" w:rsidRDefault="00E46C06" w:rsidP="00E46C06">
      <w:pPr>
        <w:suppressAutoHyphens/>
        <w:spacing w:before="60"/>
        <w:rPr>
          <w:rFonts w:eastAsia="Arial" w:cs="Arial"/>
          <w:szCs w:val="24"/>
        </w:rPr>
      </w:pPr>
      <w:r w:rsidRPr="00D645C3">
        <w:rPr>
          <w:rFonts w:eastAsia="Arial" w:cs="Arial"/>
          <w:szCs w:val="24"/>
        </w:rPr>
        <w:t xml:space="preserve">È stato adeguato il riferimento alla </w:t>
      </w:r>
      <w:r w:rsidRPr="00EF0B8C">
        <w:rPr>
          <w:rFonts w:eastAsia="Arial" w:cs="Arial"/>
          <w:szCs w:val="24"/>
        </w:rPr>
        <w:t>Legge</w:t>
      </w:r>
      <w:r>
        <w:rPr>
          <w:rFonts w:eastAsia="Arial" w:cs="Arial"/>
          <w:szCs w:val="24"/>
        </w:rPr>
        <w:t xml:space="preserve"> </w:t>
      </w:r>
      <w:r w:rsidRPr="00EF0B8C">
        <w:rPr>
          <w:rFonts w:eastAsia="Arial" w:cs="Arial"/>
          <w:szCs w:val="24"/>
        </w:rPr>
        <w:t>sulla procedura amministrativa</w:t>
      </w:r>
      <w:r w:rsidRPr="00D645C3">
        <w:rPr>
          <w:rFonts w:eastAsia="Arial" w:cs="Arial"/>
          <w:szCs w:val="24"/>
        </w:rPr>
        <w:t>, la cui revisione totale è stata approvata dal Parlamento il 24 settembre 2013.</w:t>
      </w:r>
    </w:p>
    <w:p w:rsidR="00E46C06" w:rsidRDefault="00E46C06" w:rsidP="00E46C06">
      <w:pPr>
        <w:suppressAutoHyphens/>
        <w:rPr>
          <w:rFonts w:eastAsia="Arial" w:cs="Arial"/>
          <w:szCs w:val="24"/>
        </w:rPr>
      </w:pPr>
    </w:p>
    <w:p w:rsidR="00E46C06" w:rsidRDefault="00E46C06" w:rsidP="00E46C06">
      <w:pPr>
        <w:suppressAutoHyphens/>
        <w:rPr>
          <w:rFonts w:eastAsia="Arial" w:cs="Arial"/>
          <w:szCs w:val="24"/>
        </w:rPr>
      </w:pPr>
    </w:p>
    <w:p w:rsidR="00E46C06" w:rsidRPr="00D645C3" w:rsidRDefault="00E46C06" w:rsidP="00E46C06">
      <w:pPr>
        <w:suppressAutoHyphens/>
        <w:rPr>
          <w:rFonts w:eastAsia="Arial" w:cs="Arial"/>
          <w:szCs w:val="24"/>
        </w:rPr>
      </w:pPr>
    </w:p>
    <w:p w:rsidR="00E46C06" w:rsidRPr="0080675A" w:rsidRDefault="00E46C06" w:rsidP="00E46C06">
      <w:pPr>
        <w:pStyle w:val="Titolo1"/>
        <w:spacing w:after="0"/>
      </w:pPr>
      <w:r>
        <w:lastRenderedPageBreak/>
        <w:t>CONCLUSIONI</w:t>
      </w:r>
    </w:p>
    <w:p w:rsidR="00E46C06" w:rsidRPr="00D645C3" w:rsidRDefault="00E46C06" w:rsidP="00E46C06">
      <w:pPr>
        <w:suppressAutoHyphens/>
        <w:spacing w:before="120" w:after="240"/>
        <w:rPr>
          <w:rFonts w:eastAsia="Arial" w:cs="Arial"/>
          <w:szCs w:val="24"/>
        </w:rPr>
      </w:pPr>
      <w:r w:rsidRPr="00D645C3">
        <w:rPr>
          <w:rFonts w:eastAsia="Arial" w:cs="Arial"/>
          <w:szCs w:val="24"/>
        </w:rPr>
        <w:t xml:space="preserve">La Commissione </w:t>
      </w:r>
      <w:r>
        <w:rPr>
          <w:rFonts w:eastAsia="Arial" w:cs="Arial"/>
          <w:szCs w:val="24"/>
        </w:rPr>
        <w:t xml:space="preserve">Costituzione e leggi </w:t>
      </w:r>
      <w:r w:rsidRPr="00D645C3">
        <w:rPr>
          <w:rFonts w:eastAsia="Arial" w:cs="Arial"/>
          <w:szCs w:val="24"/>
        </w:rPr>
        <w:t>prende atto che queste modifiche legislative sono essenziali poiché a livello federale è entrata in vigore la nuova legislazione. Il Consiglio di Stato non solo ha aggiornato gli articoli di legge dovuti al cambiamento federale</w:t>
      </w:r>
      <w:r>
        <w:rPr>
          <w:rFonts w:eastAsia="Arial" w:cs="Arial"/>
          <w:szCs w:val="24"/>
        </w:rPr>
        <w:t>,</w:t>
      </w:r>
      <w:r w:rsidRPr="00D645C3">
        <w:rPr>
          <w:rFonts w:eastAsia="Arial" w:cs="Arial"/>
          <w:szCs w:val="24"/>
        </w:rPr>
        <w:t xml:space="preserve"> ma ha anche deciso, dopo una consultazione tra gli enti interessati, di modificare e aggiornare altri articoli della </w:t>
      </w:r>
      <w:r w:rsidRPr="00EF0B8C">
        <w:rPr>
          <w:rFonts w:eastAsia="Arial" w:cs="Arial"/>
          <w:szCs w:val="24"/>
        </w:rPr>
        <w:t xml:space="preserve">Legge sulla protezione civile </w:t>
      </w:r>
      <w:r>
        <w:rPr>
          <w:rFonts w:eastAsia="Arial" w:cs="Arial"/>
          <w:szCs w:val="24"/>
        </w:rPr>
        <w:t>(</w:t>
      </w:r>
      <w:proofErr w:type="spellStart"/>
      <w:r w:rsidRPr="00D645C3">
        <w:rPr>
          <w:rFonts w:cs="Arial"/>
          <w:szCs w:val="24"/>
        </w:rPr>
        <w:t>LPCi</w:t>
      </w:r>
      <w:proofErr w:type="spellEnd"/>
      <w:r>
        <w:rPr>
          <w:rFonts w:cs="Arial"/>
          <w:szCs w:val="24"/>
        </w:rPr>
        <w:t xml:space="preserve">) e del </w:t>
      </w:r>
      <w:r w:rsidRPr="00EF0B8C">
        <w:rPr>
          <w:rFonts w:cs="Arial"/>
          <w:szCs w:val="24"/>
        </w:rPr>
        <w:t xml:space="preserve">Regolamento sulla protezione civile </w:t>
      </w:r>
      <w:r>
        <w:rPr>
          <w:rFonts w:cs="Arial"/>
          <w:szCs w:val="24"/>
        </w:rPr>
        <w:t>(</w:t>
      </w:r>
      <w:proofErr w:type="spellStart"/>
      <w:r w:rsidRPr="00D645C3">
        <w:rPr>
          <w:rFonts w:cs="Arial"/>
          <w:szCs w:val="24"/>
        </w:rPr>
        <w:t>RPCi</w:t>
      </w:r>
      <w:proofErr w:type="spellEnd"/>
      <w:r>
        <w:rPr>
          <w:rFonts w:cs="Arial"/>
          <w:szCs w:val="24"/>
        </w:rPr>
        <w:t>)</w:t>
      </w:r>
      <w:r w:rsidRPr="00D645C3">
        <w:rPr>
          <w:rFonts w:cs="Arial"/>
          <w:szCs w:val="24"/>
        </w:rPr>
        <w:t>.</w:t>
      </w:r>
    </w:p>
    <w:p w:rsidR="00E46C06" w:rsidRPr="00D645C3" w:rsidRDefault="00E46C06" w:rsidP="00E46C06">
      <w:pPr>
        <w:suppressAutoHyphens/>
        <w:spacing w:before="120"/>
        <w:rPr>
          <w:rFonts w:cs="Arial"/>
          <w:szCs w:val="24"/>
          <w:highlight w:val="yellow"/>
          <w:u w:val="single"/>
        </w:rPr>
      </w:pPr>
      <w:r w:rsidRPr="00D645C3">
        <w:rPr>
          <w:rFonts w:eastAsia="Arial" w:cs="Arial"/>
          <w:szCs w:val="24"/>
        </w:rPr>
        <w:t>In base a quanto sopraesposto, la Commissione Costituzione e leggi invita il Gran Consiglio ad accogliere il Disegno di modifica della Legge sulla protezione civile del 26 febbraio 2007 annesso al messaggio governativo.</w:t>
      </w:r>
    </w:p>
    <w:p w:rsidR="00B860C2" w:rsidRDefault="00B860C2" w:rsidP="00B860C2">
      <w:pPr>
        <w:rPr>
          <w:rFonts w:cs="Arial"/>
          <w:szCs w:val="24"/>
        </w:rPr>
      </w:pPr>
    </w:p>
    <w:p w:rsidR="00B860C2" w:rsidRDefault="00B860C2" w:rsidP="00B860C2">
      <w:bookmarkStart w:id="1" w:name="_Toc532286235"/>
    </w:p>
    <w:p w:rsidR="00B860C2" w:rsidRDefault="00B860C2" w:rsidP="00B860C2"/>
    <w:bookmarkEnd w:id="1"/>
    <w:p w:rsidR="00B860C2" w:rsidRPr="00076E70" w:rsidRDefault="00B860C2" w:rsidP="00B860C2">
      <w:pPr>
        <w:spacing w:after="120"/>
        <w:rPr>
          <w:rFonts w:cs="Arial"/>
          <w:szCs w:val="24"/>
        </w:rPr>
      </w:pPr>
      <w:r w:rsidRPr="00076E70">
        <w:rPr>
          <w:rFonts w:cs="Arial"/>
          <w:szCs w:val="24"/>
        </w:rPr>
        <w:t>Per la Commissione</w:t>
      </w:r>
      <w:r w:rsidR="00E46C06">
        <w:rPr>
          <w:rFonts w:cs="Arial"/>
          <w:szCs w:val="24"/>
        </w:rPr>
        <w:t xml:space="preserve"> Costituzione e leggi</w:t>
      </w:r>
      <w:r w:rsidRPr="00076E70">
        <w:rPr>
          <w:rFonts w:cs="Arial"/>
          <w:szCs w:val="24"/>
        </w:rPr>
        <w:t>:</w:t>
      </w:r>
    </w:p>
    <w:p w:rsidR="00B860C2" w:rsidRPr="00076E70" w:rsidRDefault="00E46C06" w:rsidP="00B860C2">
      <w:pPr>
        <w:rPr>
          <w:rFonts w:cs="Arial"/>
          <w:szCs w:val="24"/>
        </w:rPr>
      </w:pPr>
      <w:r>
        <w:rPr>
          <w:rFonts w:cs="Arial"/>
          <w:szCs w:val="24"/>
        </w:rPr>
        <w:t>Sara Imelli, relatrice</w:t>
      </w:r>
    </w:p>
    <w:p w:rsidR="00E46C06" w:rsidRDefault="00E46C06" w:rsidP="00E46C06">
      <w:pPr>
        <w:suppressAutoHyphens/>
        <w:rPr>
          <w:rFonts w:eastAsia="Arial" w:cs="Arial"/>
          <w:szCs w:val="24"/>
        </w:rPr>
      </w:pPr>
      <w:r>
        <w:rPr>
          <w:rFonts w:eastAsia="Arial" w:cs="Arial"/>
          <w:szCs w:val="24"/>
        </w:rPr>
        <w:t>Aldi - Buzzini - Censi - Corti - Filippini -</w:t>
      </w:r>
    </w:p>
    <w:p w:rsidR="00974BD8" w:rsidRDefault="00E46C06" w:rsidP="00E46C06">
      <w:pPr>
        <w:suppressAutoHyphens/>
        <w:rPr>
          <w:rFonts w:eastAsia="Arial" w:cs="Arial"/>
          <w:szCs w:val="24"/>
        </w:rPr>
      </w:pPr>
      <w:r>
        <w:rPr>
          <w:rFonts w:eastAsia="Arial" w:cs="Arial"/>
          <w:szCs w:val="24"/>
        </w:rPr>
        <w:t xml:space="preserve">Gendotti </w:t>
      </w:r>
      <w:r w:rsidR="00096E7B">
        <w:rPr>
          <w:rFonts w:eastAsia="Arial" w:cs="Arial"/>
          <w:szCs w:val="24"/>
        </w:rPr>
        <w:t>-</w:t>
      </w:r>
      <w:r>
        <w:rPr>
          <w:rFonts w:eastAsia="Arial" w:cs="Arial"/>
          <w:szCs w:val="24"/>
        </w:rPr>
        <w:t xml:space="preserve"> </w:t>
      </w:r>
      <w:r w:rsidR="00096E7B">
        <w:rPr>
          <w:rFonts w:eastAsia="Arial" w:cs="Arial"/>
          <w:szCs w:val="24"/>
        </w:rPr>
        <w:t xml:space="preserve">Genini - </w:t>
      </w:r>
      <w:r>
        <w:rPr>
          <w:rFonts w:eastAsia="Arial" w:cs="Arial"/>
          <w:szCs w:val="24"/>
        </w:rPr>
        <w:t xml:space="preserve">Ghisolfi - Käppeli </w:t>
      </w:r>
      <w:r w:rsidR="00974BD8">
        <w:rPr>
          <w:rFonts w:eastAsia="Arial" w:cs="Arial"/>
          <w:szCs w:val="24"/>
        </w:rPr>
        <w:t>-</w:t>
      </w:r>
      <w:r>
        <w:rPr>
          <w:rFonts w:eastAsia="Arial" w:cs="Arial"/>
          <w:szCs w:val="24"/>
        </w:rPr>
        <w:t xml:space="preserve"> </w:t>
      </w:r>
    </w:p>
    <w:p w:rsidR="00974BD8" w:rsidRDefault="00E46C06" w:rsidP="00E46C06">
      <w:pPr>
        <w:suppressAutoHyphens/>
        <w:rPr>
          <w:rFonts w:eastAsia="Arial" w:cs="Arial"/>
          <w:szCs w:val="24"/>
        </w:rPr>
      </w:pPr>
      <w:r>
        <w:rPr>
          <w:rFonts w:eastAsia="Arial" w:cs="Arial"/>
          <w:szCs w:val="24"/>
        </w:rPr>
        <w:t>Lepori C. -</w:t>
      </w:r>
      <w:r w:rsidR="00974BD8">
        <w:rPr>
          <w:rFonts w:eastAsia="Arial" w:cs="Arial"/>
          <w:szCs w:val="24"/>
        </w:rPr>
        <w:t xml:space="preserve"> </w:t>
      </w:r>
      <w:r>
        <w:rPr>
          <w:rFonts w:eastAsia="Arial" w:cs="Arial"/>
          <w:szCs w:val="24"/>
        </w:rPr>
        <w:t xml:space="preserve">Lepori D. - Passardi - Ris </w:t>
      </w:r>
      <w:r w:rsidR="00974BD8">
        <w:rPr>
          <w:rFonts w:eastAsia="Arial" w:cs="Arial"/>
          <w:szCs w:val="24"/>
        </w:rPr>
        <w:t>-</w:t>
      </w:r>
      <w:r>
        <w:rPr>
          <w:rFonts w:eastAsia="Arial" w:cs="Arial"/>
          <w:szCs w:val="24"/>
        </w:rPr>
        <w:t xml:space="preserve"> </w:t>
      </w:r>
    </w:p>
    <w:p w:rsidR="00E46C06" w:rsidRPr="00D645C3" w:rsidRDefault="00E46C06" w:rsidP="00E46C06">
      <w:pPr>
        <w:suppressAutoHyphens/>
        <w:rPr>
          <w:rFonts w:eastAsia="Arial" w:cs="Arial"/>
          <w:szCs w:val="24"/>
        </w:rPr>
      </w:pPr>
      <w:r>
        <w:rPr>
          <w:rFonts w:eastAsia="Arial" w:cs="Arial"/>
          <w:szCs w:val="24"/>
        </w:rPr>
        <w:t>Stephani -</w:t>
      </w:r>
      <w:r w:rsidR="00974BD8">
        <w:rPr>
          <w:rFonts w:eastAsia="Arial" w:cs="Arial"/>
          <w:szCs w:val="24"/>
        </w:rPr>
        <w:t xml:space="preserve"> </w:t>
      </w:r>
      <w:r>
        <w:rPr>
          <w:rFonts w:eastAsia="Arial" w:cs="Arial"/>
          <w:szCs w:val="24"/>
        </w:rPr>
        <w:t>Terraneo - Viscardi</w:t>
      </w:r>
    </w:p>
    <w:sectPr w:rsidR="00E46C06" w:rsidRPr="00D645C3" w:rsidSect="008B4137">
      <w:footerReference w:type="default" r:id="rId8"/>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C06" w:rsidRDefault="00E46C06" w:rsidP="008E77C6">
      <w:r>
        <w:separator/>
      </w:r>
    </w:p>
  </w:endnote>
  <w:endnote w:type="continuationSeparator" w:id="0">
    <w:p w:rsidR="00E46C06" w:rsidRDefault="00E46C06"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CD2237" w:rsidRPr="00CD2237">
      <w:rPr>
        <w:noProof/>
        <w:sz w:val="20"/>
        <w:szCs w:val="20"/>
        <w:lang w:val="it-IT"/>
      </w:rPr>
      <w:t>5</w:t>
    </w:r>
    <w:r w:rsidRPr="008E77C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C06" w:rsidRDefault="00E46C06" w:rsidP="008E77C6">
      <w:r>
        <w:separator/>
      </w:r>
    </w:p>
  </w:footnote>
  <w:footnote w:type="continuationSeparator" w:id="0">
    <w:p w:rsidR="00E46C06" w:rsidRDefault="00E46C06" w:rsidP="008E7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B777776"/>
    <w:multiLevelType w:val="hybridMultilevel"/>
    <w:tmpl w:val="F13AD9E0"/>
    <w:lvl w:ilvl="0" w:tplc="3652391A">
      <w:numFmt w:val="bullet"/>
      <w:lvlText w:val="-"/>
      <w:lvlJc w:val="left"/>
      <w:pPr>
        <w:ind w:left="720" w:hanging="360"/>
      </w:pPr>
      <w:rPr>
        <w:rFonts w:ascii="Calibri" w:eastAsiaTheme="minorHAnsi" w:hAnsi="Calibri" w:cs="Calibr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15:restartNumberingAfterBreak="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15:restartNumberingAfterBreak="0">
    <w:nsid w:val="15A916B4"/>
    <w:multiLevelType w:val="hybridMultilevel"/>
    <w:tmpl w:val="71241184"/>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1F2453EC"/>
    <w:multiLevelType w:val="hybridMultilevel"/>
    <w:tmpl w:val="BBE02A84"/>
    <w:lvl w:ilvl="0" w:tplc="8988A65E">
      <w:start w:val="1"/>
      <w:numFmt w:val="bullet"/>
      <w:lvlText w:val="-"/>
      <w:lvlJc w:val="left"/>
      <w:pPr>
        <w:ind w:left="720" w:hanging="360"/>
      </w:pPr>
      <w:rPr>
        <w:rFonts w:ascii="Arial" w:hAnsi="Arial" w:hint="default"/>
      </w:rPr>
    </w:lvl>
    <w:lvl w:ilvl="1" w:tplc="8988A65E">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301C687C"/>
    <w:multiLevelType w:val="hybridMultilevel"/>
    <w:tmpl w:val="6C88FD22"/>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15:restartNumberingAfterBreak="0">
    <w:nsid w:val="44901A79"/>
    <w:multiLevelType w:val="hybridMultilevel"/>
    <w:tmpl w:val="9F786C86"/>
    <w:lvl w:ilvl="0" w:tplc="3996A1A0">
      <w:numFmt w:val="bullet"/>
      <w:lvlText w:val="-"/>
      <w:lvlJc w:val="left"/>
      <w:pPr>
        <w:ind w:left="720" w:hanging="360"/>
      </w:pPr>
      <w:rPr>
        <w:rFonts w:ascii="Arial" w:eastAsia="Times New Roman" w:hAnsi="Arial" w:cs="Arial" w:hint="default"/>
      </w:rPr>
    </w:lvl>
    <w:lvl w:ilvl="1" w:tplc="AAA0516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554E6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A1F66EE"/>
    <w:multiLevelType w:val="hybridMultilevel"/>
    <w:tmpl w:val="2556DA38"/>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2A623D6"/>
    <w:multiLevelType w:val="hybridMultilevel"/>
    <w:tmpl w:val="660A06E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9"/>
  </w:num>
  <w:num w:numId="2">
    <w:abstractNumId w:val="9"/>
  </w:num>
  <w:num w:numId="3">
    <w:abstractNumId w:val="11"/>
  </w:num>
  <w:num w:numId="4">
    <w:abstractNumId w:val="2"/>
  </w:num>
  <w:num w:numId="5">
    <w:abstractNumId w:val="6"/>
  </w:num>
  <w:num w:numId="6">
    <w:abstractNumId w:val="0"/>
  </w:num>
  <w:num w:numId="7">
    <w:abstractNumId w:val="10"/>
  </w:num>
  <w:num w:numId="8">
    <w:abstractNumId w:val="3"/>
  </w:num>
  <w:num w:numId="9">
    <w:abstractNumId w:val="8"/>
  </w:num>
  <w:num w:numId="10">
    <w:abstractNumId w:val="7"/>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C06"/>
    <w:rsid w:val="00076E70"/>
    <w:rsid w:val="00096E7B"/>
    <w:rsid w:val="001574D7"/>
    <w:rsid w:val="00260C8C"/>
    <w:rsid w:val="002677DC"/>
    <w:rsid w:val="002E5E40"/>
    <w:rsid w:val="0052425A"/>
    <w:rsid w:val="00586A8D"/>
    <w:rsid w:val="005F33B1"/>
    <w:rsid w:val="006C17AA"/>
    <w:rsid w:val="006D7A3B"/>
    <w:rsid w:val="006E4AE2"/>
    <w:rsid w:val="0070624E"/>
    <w:rsid w:val="007352D3"/>
    <w:rsid w:val="007B5462"/>
    <w:rsid w:val="008034BD"/>
    <w:rsid w:val="00876352"/>
    <w:rsid w:val="008B2655"/>
    <w:rsid w:val="008B4137"/>
    <w:rsid w:val="008C767A"/>
    <w:rsid w:val="008E77C6"/>
    <w:rsid w:val="00974BD8"/>
    <w:rsid w:val="009770BB"/>
    <w:rsid w:val="009E008D"/>
    <w:rsid w:val="00A5465F"/>
    <w:rsid w:val="00A77678"/>
    <w:rsid w:val="00B860C2"/>
    <w:rsid w:val="00BC4C95"/>
    <w:rsid w:val="00BD5944"/>
    <w:rsid w:val="00CC59CF"/>
    <w:rsid w:val="00CD2237"/>
    <w:rsid w:val="00CF6858"/>
    <w:rsid w:val="00D377B5"/>
    <w:rsid w:val="00D93B31"/>
    <w:rsid w:val="00DE5307"/>
    <w:rsid w:val="00E46C06"/>
    <w:rsid w:val="00E505DB"/>
    <w:rsid w:val="00E765A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9C62F-5FCB-4E03-AFEE-F40250F0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CH" w:eastAsia="it-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pPr>
      <w:jc w:val="both"/>
    </w:pPr>
    <w:rPr>
      <w:rFonts w:ascii="Arial" w:hAnsi="Arial"/>
      <w:sz w:val="24"/>
      <w:szCs w:val="22"/>
      <w:lang w:eastAsia="en-US"/>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imes New Roman"/>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imes New Roman"/>
      <w:b/>
      <w:i/>
      <w:color w:val="243F6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caps/>
      <w:szCs w:val="24"/>
      <w:lang w:val="it-IT"/>
    </w:rPr>
  </w:style>
  <w:style w:type="character" w:customStyle="1" w:styleId="Titolo1Carattere">
    <w:name w:val="Titolo 1 Carattere"/>
    <w:link w:val="Titolo1"/>
    <w:rsid w:val="00076E70"/>
    <w:rPr>
      <w:rFonts w:ascii="Arial" w:hAnsi="Arial"/>
      <w:b/>
      <w:caps/>
      <w:sz w:val="24"/>
      <w:szCs w:val="24"/>
      <w:lang w:val="it-IT" w:eastAsia="it-IT"/>
    </w:rPr>
  </w:style>
  <w:style w:type="character" w:customStyle="1" w:styleId="Titolo2Carattere">
    <w:name w:val="Titolo 2 Carattere"/>
    <w:link w:val="Titolo2"/>
    <w:rsid w:val="006D7A3B"/>
    <w:rPr>
      <w:rFonts w:ascii="Arial" w:hAnsi="Arial"/>
      <w:b/>
      <w:sz w:val="24"/>
      <w:lang w:val="it-IT" w:eastAsia="it-IT"/>
    </w:rPr>
  </w:style>
  <w:style w:type="character" w:customStyle="1" w:styleId="Titolo3Carattere">
    <w:name w:val="Titolo 3 Carattere"/>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szCs w:val="24"/>
      <w:lang w:val="it-IT"/>
    </w:rPr>
  </w:style>
  <w:style w:type="paragraph" w:styleId="Sommario2">
    <w:name w:val="toc 2"/>
    <w:basedOn w:val="Normale"/>
    <w:next w:val="Normale"/>
    <w:autoRedefine/>
    <w:uiPriority w:val="39"/>
    <w:unhideWhenUsed/>
    <w:rsid w:val="0052425A"/>
    <w:rPr>
      <w:szCs w:val="24"/>
      <w:lang w:val="it-IT"/>
    </w:rPr>
  </w:style>
  <w:style w:type="paragraph" w:styleId="Paragrafoelenco">
    <w:name w:val="List Paragraph"/>
    <w:basedOn w:val="Normale"/>
    <w:uiPriority w:val="26"/>
    <w:qFormat/>
    <w:rsid w:val="0052425A"/>
  </w:style>
  <w:style w:type="character" w:customStyle="1" w:styleId="Titolo4Carattere">
    <w:name w:val="Titolo 4 Carattere"/>
    <w:link w:val="Titolo4"/>
    <w:uiPriority w:val="9"/>
    <w:rsid w:val="00076E70"/>
    <w:rPr>
      <w:rFonts w:ascii="Arial" w:eastAsia="Times New Roman" w:hAnsi="Arial" w:cs="Times New Roman"/>
      <w:b/>
      <w:bCs/>
      <w:iCs/>
    </w:rPr>
  </w:style>
  <w:style w:type="character" w:customStyle="1" w:styleId="Titolo5Carattere">
    <w:name w:val="Titolo 5 Carattere"/>
    <w:link w:val="Titolo5"/>
    <w:uiPriority w:val="9"/>
    <w:rsid w:val="00076E70"/>
    <w:rPr>
      <w:rFonts w:ascii="Arial" w:eastAsia="Times New Roman" w:hAnsi="Arial" w:cs="Times New Roman"/>
      <w:b/>
      <w:i/>
      <w:color w:val="243F60"/>
    </w:rPr>
  </w:style>
  <w:style w:type="paragraph" w:styleId="Nessunaspaziatura">
    <w:name w:val="No Spacing"/>
    <w:uiPriority w:val="1"/>
    <w:qFormat/>
    <w:rsid w:val="00076E70"/>
    <w:pPr>
      <w:jc w:val="both"/>
    </w:pPr>
    <w:rPr>
      <w:sz w:val="22"/>
      <w:szCs w:val="22"/>
      <w:lang w:eastAsia="en-US"/>
    </w:rPr>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link w:val="Pidipagina"/>
    <w:uiPriority w:val="99"/>
    <w:rsid w:val="008E77C6"/>
    <w:rPr>
      <w:rFonts w:ascii="Arial" w:hAnsi="Arial"/>
      <w:sz w:val="24"/>
    </w:rPr>
  </w:style>
  <w:style w:type="table" w:styleId="Grigliatabella">
    <w:name w:val="Table Grid"/>
    <w:basedOn w:val="Tabellanormale"/>
    <w:rsid w:val="00260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szCs w:val="20"/>
      <w:lang w:val="it-IT" w:eastAsia="it-IT"/>
    </w:rPr>
  </w:style>
  <w:style w:type="character" w:customStyle="1" w:styleId="CorpotestoCarattere">
    <w:name w:val="Corpo testo Carattere"/>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pPr>
    <w:rPr>
      <w:rFonts w:ascii="Arial" w:eastAsia="Times New Roman" w:hAnsi="Arial" w:cs="Arial"/>
      <w:color w:val="000000"/>
      <w:sz w:val="24"/>
      <w:szCs w:val="24"/>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link w:val="Testofumetto"/>
    <w:uiPriority w:val="99"/>
    <w:semiHidden/>
    <w:rsid w:val="00B86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792A0-75CC-4AFF-87F8-1CA3BC387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1692</Words>
  <Characters>9648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Venturi Luca / T128124</dc:creator>
  <cp:keywords/>
  <cp:lastModifiedBy>Venturi Luca</cp:lastModifiedBy>
  <cp:revision>5</cp:revision>
  <cp:lastPrinted>2018-08-29T13:06:00Z</cp:lastPrinted>
  <dcterms:created xsi:type="dcterms:W3CDTF">2021-10-26T12:43:00Z</dcterms:created>
  <dcterms:modified xsi:type="dcterms:W3CDTF">2021-10-27T07:24:00Z</dcterms:modified>
</cp:coreProperties>
</file>