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A" w:rsidRDefault="00BF3FCA" w:rsidP="00BF3FCA">
      <w:pPr>
        <w:rPr>
          <w:rFonts w:cs="Arial"/>
          <w:b/>
          <w:sz w:val="28"/>
          <w:szCs w:val="28"/>
          <w:lang w:val="it-CH"/>
        </w:rPr>
      </w:pPr>
      <w:bookmarkStart w:id="0" w:name="_GoBack"/>
      <w:bookmarkEnd w:id="0"/>
      <w:r>
        <w:rPr>
          <w:rFonts w:cs="Arial"/>
          <w:b/>
          <w:sz w:val="28"/>
          <w:szCs w:val="28"/>
          <w:lang w:val="it-CH"/>
        </w:rPr>
        <w:t>della Commissione gestione e finanze</w:t>
      </w:r>
    </w:p>
    <w:p w:rsidR="00BF3FCA" w:rsidRPr="00714F8F" w:rsidRDefault="00BF3FCA" w:rsidP="00BF3FCA">
      <w:pPr>
        <w:rPr>
          <w:rFonts w:cs="Arial"/>
          <w:b/>
          <w:sz w:val="28"/>
          <w:szCs w:val="28"/>
          <w:lang w:val="it-CH"/>
        </w:rPr>
      </w:pPr>
      <w:r>
        <w:rPr>
          <w:rFonts w:cs="Arial"/>
          <w:b/>
          <w:sz w:val="28"/>
          <w:szCs w:val="28"/>
          <w:lang w:val="it-CH"/>
        </w:rPr>
        <w:t>sul messaggio 18 agosto 2021 in merito allo s</w:t>
      </w:r>
      <w:r w:rsidRPr="00714F8F">
        <w:rPr>
          <w:rFonts w:cs="Arial"/>
          <w:b/>
          <w:sz w:val="28"/>
          <w:szCs w:val="28"/>
          <w:lang w:val="it-CH"/>
        </w:rPr>
        <w:t>tanziamento di un credito complessivo di fr. 3'781'</w:t>
      </w:r>
      <w:proofErr w:type="gramStart"/>
      <w:r w:rsidRPr="00714F8F">
        <w:rPr>
          <w:rFonts w:cs="Arial"/>
          <w:b/>
          <w:sz w:val="28"/>
          <w:szCs w:val="28"/>
          <w:lang w:val="it-CH"/>
        </w:rPr>
        <w:t>000.-</w:t>
      </w:r>
      <w:proofErr w:type="gramEnd"/>
      <w:r w:rsidRPr="00714F8F">
        <w:rPr>
          <w:rFonts w:cs="Arial"/>
          <w:b/>
          <w:sz w:val="28"/>
          <w:szCs w:val="28"/>
          <w:lang w:val="it-CH"/>
        </w:rPr>
        <w:t xml:space="preserve"> per la sostituzione degli apparecchi terminali Polycom a servizio degli enti cantonali in vista del termine del loro ciclo di vita</w:t>
      </w:r>
    </w:p>
    <w:p w:rsidR="00BF3FCA" w:rsidRDefault="00BF3FCA" w:rsidP="00BF3FCA">
      <w:pPr>
        <w:contextualSpacing/>
        <w:rPr>
          <w:rFonts w:cs="Arial"/>
          <w:szCs w:val="24"/>
        </w:rPr>
      </w:pPr>
    </w:p>
    <w:p w:rsidR="00BF3FCA" w:rsidRDefault="00BF3FCA" w:rsidP="00BF3FCA">
      <w:pPr>
        <w:contextualSpacing/>
        <w:rPr>
          <w:rFonts w:cs="Arial"/>
          <w:szCs w:val="24"/>
        </w:rPr>
      </w:pPr>
    </w:p>
    <w:p w:rsidR="00BF3FCA" w:rsidRPr="00714F8F" w:rsidRDefault="00BF3FCA" w:rsidP="00BF3FCA">
      <w:pPr>
        <w:contextualSpacing/>
        <w:rPr>
          <w:rFonts w:cs="Arial"/>
          <w:szCs w:val="24"/>
        </w:rPr>
      </w:pPr>
    </w:p>
    <w:p w:rsidR="00BF3FCA" w:rsidRPr="00714F8F" w:rsidRDefault="00BF3FCA" w:rsidP="00BF3FCA">
      <w:pPr>
        <w:pStyle w:val="Titolo1"/>
        <w:numPr>
          <w:ilvl w:val="0"/>
          <w:numId w:val="19"/>
        </w:numPr>
        <w:tabs>
          <w:tab w:val="left" w:pos="567"/>
        </w:tabs>
        <w:spacing w:before="0"/>
        <w:ind w:left="567" w:hanging="567"/>
        <w:jc w:val="both"/>
      </w:pPr>
      <w:r w:rsidRPr="00714F8F">
        <w:t>INTRODUZIONE</w:t>
      </w:r>
    </w:p>
    <w:p w:rsidR="00BF3FCA" w:rsidRPr="001865A5" w:rsidRDefault="00BF3FCA" w:rsidP="00BF3FCA">
      <w:pPr>
        <w:contextualSpacing/>
        <w:rPr>
          <w:rFonts w:cs="Arial"/>
          <w:szCs w:val="24"/>
        </w:rPr>
      </w:pPr>
      <w:r w:rsidRPr="00714F8F">
        <w:rPr>
          <w:rFonts w:cs="Arial"/>
          <w:szCs w:val="24"/>
        </w:rPr>
        <w:t>Il 18 marzo 2009 il Gran Consiglio ha concesso, con il messaggio n. 6159 del 16 dicembre 2008, un credito complessivo di fr. 29'677'</w:t>
      </w:r>
      <w:proofErr w:type="gramStart"/>
      <w:r w:rsidRPr="00714F8F">
        <w:rPr>
          <w:rFonts w:cs="Arial"/>
          <w:szCs w:val="24"/>
        </w:rPr>
        <w:t>600.-</w:t>
      </w:r>
      <w:proofErr w:type="gramEnd"/>
      <w:r w:rsidRPr="00714F8F">
        <w:rPr>
          <w:rFonts w:cs="Arial"/>
          <w:szCs w:val="24"/>
        </w:rPr>
        <w:t xml:space="preserve"> per la realizzazione della nuova rete radio cantonale di sicurezza Polycom.</w:t>
      </w:r>
      <w:r>
        <w:rPr>
          <w:rFonts w:cs="Arial"/>
          <w:szCs w:val="24"/>
        </w:rPr>
        <w:t xml:space="preserve"> </w:t>
      </w:r>
      <w:r w:rsidRPr="001865A5">
        <w:rPr>
          <w:rFonts w:cs="Arial"/>
          <w:szCs w:val="24"/>
        </w:rPr>
        <w:t>All’epoca, come si evince dal citato Messaggio, la Confederazione partecipò (in varie misure) ad una parte dei costi complessivi dell’intero progetto, incluso l’acquisto degli apparecchi per gli utenti.</w:t>
      </w:r>
    </w:p>
    <w:p w:rsidR="00BF3FCA" w:rsidRDefault="00BF3FCA" w:rsidP="00BF3FCA">
      <w:pPr>
        <w:contextualSpacing/>
        <w:rPr>
          <w:rFonts w:cs="Arial"/>
          <w:szCs w:val="24"/>
        </w:rPr>
      </w:pPr>
    </w:p>
    <w:p w:rsidR="00BF3FCA" w:rsidRPr="00714F8F" w:rsidRDefault="00BF3FCA" w:rsidP="00BF3FCA">
      <w:pPr>
        <w:contextualSpacing/>
        <w:rPr>
          <w:rFonts w:cs="Arial"/>
          <w:szCs w:val="24"/>
        </w:rPr>
      </w:pPr>
      <w:r>
        <w:rPr>
          <w:rFonts w:cs="Arial"/>
          <w:szCs w:val="24"/>
        </w:rPr>
        <w:t>C</w:t>
      </w:r>
      <w:r w:rsidRPr="00663C4A">
        <w:rPr>
          <w:rFonts w:cs="Arial"/>
          <w:szCs w:val="24"/>
        </w:rPr>
        <w:t xml:space="preserve">ol messaggio </w:t>
      </w:r>
      <w:r>
        <w:rPr>
          <w:rFonts w:cs="Arial"/>
          <w:szCs w:val="24"/>
        </w:rPr>
        <w:t xml:space="preserve">in oggetto il Governo </w:t>
      </w:r>
      <w:r w:rsidRPr="00663C4A">
        <w:rPr>
          <w:rFonts w:cs="Arial"/>
          <w:szCs w:val="24"/>
        </w:rPr>
        <w:t>sottopon</w:t>
      </w:r>
      <w:r>
        <w:rPr>
          <w:rFonts w:cs="Arial"/>
          <w:szCs w:val="24"/>
        </w:rPr>
        <w:t>e</w:t>
      </w:r>
      <w:r w:rsidRPr="00663C4A">
        <w:rPr>
          <w:rFonts w:cs="Arial"/>
          <w:szCs w:val="24"/>
        </w:rPr>
        <w:t xml:space="preserve"> </w:t>
      </w:r>
      <w:r>
        <w:rPr>
          <w:rFonts w:cs="Arial"/>
          <w:szCs w:val="24"/>
        </w:rPr>
        <w:t>al Parlamento</w:t>
      </w:r>
      <w:r w:rsidRPr="00663C4A">
        <w:rPr>
          <w:rFonts w:cs="Arial"/>
          <w:szCs w:val="24"/>
        </w:rPr>
        <w:t xml:space="preserve"> la richiesta di un credito d’investimento complessivo di fr. 3'781'</w:t>
      </w:r>
      <w:proofErr w:type="gramStart"/>
      <w:r w:rsidRPr="00663C4A">
        <w:rPr>
          <w:rFonts w:cs="Arial"/>
          <w:szCs w:val="24"/>
        </w:rPr>
        <w:t>000.-</w:t>
      </w:r>
      <w:proofErr w:type="gramEnd"/>
      <w:r w:rsidRPr="00663C4A">
        <w:rPr>
          <w:rFonts w:cs="Arial"/>
          <w:szCs w:val="24"/>
        </w:rPr>
        <w:t xml:space="preserve"> destinato alla sostituzione delle radio Polycom e relativi accessori in uso presso gli enti cantonali. Il credito verrà impiegato per sostituire gli apparecchi in uso dal 2012 entro il termine del loro normale ciclo di vita, in favore della nuova serie.</w:t>
      </w:r>
    </w:p>
    <w:p w:rsidR="00BF3FCA" w:rsidRDefault="00BF3FCA" w:rsidP="00BF3FCA">
      <w:pPr>
        <w:contextualSpacing/>
        <w:rPr>
          <w:rFonts w:cs="Arial"/>
          <w:szCs w:val="24"/>
        </w:rPr>
      </w:pPr>
    </w:p>
    <w:p w:rsidR="00BF3FCA" w:rsidRPr="0015685E" w:rsidRDefault="00BF3FCA" w:rsidP="00BF3FCA">
      <w:pPr>
        <w:spacing w:after="120"/>
        <w:rPr>
          <w:rFonts w:cs="Arial"/>
          <w:b/>
          <w:bCs/>
          <w:szCs w:val="24"/>
        </w:rPr>
      </w:pPr>
      <w:r w:rsidRPr="0015685E">
        <w:rPr>
          <w:rFonts w:cs="Arial"/>
          <w:b/>
          <w:bCs/>
          <w:szCs w:val="24"/>
        </w:rPr>
        <w:t>Cosa è la rete Polycom</w:t>
      </w:r>
    </w:p>
    <w:p w:rsidR="00BF3FCA" w:rsidRPr="00714F8F" w:rsidRDefault="00BF3FCA" w:rsidP="00BF3FCA">
      <w:pPr>
        <w:contextualSpacing/>
        <w:rPr>
          <w:rFonts w:cs="Arial"/>
          <w:szCs w:val="24"/>
        </w:rPr>
      </w:pPr>
      <w:r w:rsidRPr="00714F8F">
        <w:rPr>
          <w:rFonts w:cs="Arial"/>
          <w:szCs w:val="24"/>
        </w:rPr>
        <w:t xml:space="preserve">La rete radio cantonale Polycom nazionale e la relativa sottorete cantonale di proprietà dello Stato del Cantone Ticino e della Confederazione Svizzera formano la rete nazionale di telecomunicazione radio </w:t>
      </w:r>
      <w:proofErr w:type="spellStart"/>
      <w:r w:rsidRPr="00714F8F">
        <w:rPr>
          <w:rFonts w:cs="Arial"/>
          <w:szCs w:val="24"/>
        </w:rPr>
        <w:t>securizzata</w:t>
      </w:r>
      <w:proofErr w:type="spellEnd"/>
      <w:r w:rsidRPr="00714F8F">
        <w:rPr>
          <w:rFonts w:cs="Arial"/>
          <w:szCs w:val="24"/>
        </w:rPr>
        <w:t xml:space="preserve"> Polycom ad uso esclusivo delle autorità e delle organizzazioni attive nel campo del salvataggio e della sicurezza (AOSS). Essa permette la radiocomunicazione tra le diverse organizzazioni come le guardie di confine, la Polizia cantonale, le Polizie comunali, la Polizia militare, i pompieri, le organizzazioni sanitarie di salvataggio, le protezioni civili, i gestori idrici, le formazioni ausiliarie dell’esercito, le strutture carcerarie e i guardia caccia.</w:t>
      </w:r>
    </w:p>
    <w:p w:rsidR="00BF3FCA" w:rsidRPr="00714F8F" w:rsidRDefault="00BF3FCA" w:rsidP="00BF3FCA">
      <w:pPr>
        <w:contextualSpacing/>
        <w:rPr>
          <w:rFonts w:cs="Arial"/>
          <w:szCs w:val="24"/>
        </w:rPr>
      </w:pPr>
    </w:p>
    <w:p w:rsidR="00BF3FCA" w:rsidRPr="00714F8F" w:rsidRDefault="00BF3FCA" w:rsidP="00BF3FCA">
      <w:pPr>
        <w:contextualSpacing/>
        <w:rPr>
          <w:rFonts w:cs="Arial"/>
          <w:szCs w:val="24"/>
        </w:rPr>
      </w:pPr>
      <w:r w:rsidRPr="00714F8F">
        <w:rPr>
          <w:rFonts w:cs="Arial"/>
          <w:szCs w:val="24"/>
        </w:rPr>
        <w:t>A livello nazionale sono oltre 68’000 gli utenti della Confederazione, dei Cantoni e dei Comuni dotati di apparecchiature Polycom che permettono la conversazione radio e l’invio di piccole quantità di dati tramite un’infrastruttura omogenea e uniforme.</w:t>
      </w:r>
    </w:p>
    <w:p w:rsidR="00BF3FCA" w:rsidRDefault="00BF3FCA" w:rsidP="00BF3FCA">
      <w:pPr>
        <w:contextualSpacing/>
        <w:rPr>
          <w:rFonts w:cs="Arial"/>
          <w:szCs w:val="24"/>
        </w:rPr>
      </w:pPr>
    </w:p>
    <w:p w:rsidR="00BF3FCA" w:rsidRPr="00714F8F" w:rsidRDefault="00BF3FCA" w:rsidP="00BF3FCA">
      <w:pPr>
        <w:contextualSpacing/>
        <w:rPr>
          <w:rFonts w:cs="Arial"/>
          <w:szCs w:val="24"/>
        </w:rPr>
      </w:pPr>
    </w:p>
    <w:p w:rsidR="00BF3FCA" w:rsidRPr="00714F8F" w:rsidRDefault="00BF3FCA" w:rsidP="00C94804">
      <w:pPr>
        <w:pStyle w:val="Titolo1"/>
        <w:numPr>
          <w:ilvl w:val="0"/>
          <w:numId w:val="0"/>
        </w:numPr>
        <w:spacing w:before="0"/>
        <w:ind w:left="567" w:hanging="567"/>
      </w:pPr>
      <w:r>
        <w:t>2.</w:t>
      </w:r>
      <w:r>
        <w:tab/>
      </w:r>
      <w:r w:rsidR="00C94804">
        <w:t xml:space="preserve">IL MESSAGGIO </w:t>
      </w:r>
    </w:p>
    <w:p w:rsidR="00BF3FCA" w:rsidRPr="0015685E" w:rsidRDefault="00C94804" w:rsidP="00C94804">
      <w:pPr>
        <w:tabs>
          <w:tab w:val="left" w:pos="567"/>
        </w:tabs>
        <w:spacing w:after="120"/>
        <w:rPr>
          <w:rFonts w:cs="Arial"/>
          <w:b/>
        </w:rPr>
      </w:pPr>
      <w:r>
        <w:rPr>
          <w:rFonts w:cs="Arial"/>
          <w:b/>
          <w:bCs/>
          <w:szCs w:val="24"/>
        </w:rPr>
        <w:t>2.1</w:t>
      </w:r>
      <w:r w:rsidR="00BF3FCA">
        <w:rPr>
          <w:rFonts w:cs="Arial"/>
          <w:szCs w:val="24"/>
        </w:rPr>
        <w:tab/>
      </w:r>
      <w:r>
        <w:rPr>
          <w:rFonts w:cs="Arial"/>
          <w:b/>
        </w:rPr>
        <w:t>L</w:t>
      </w:r>
      <w:r w:rsidRPr="0015685E">
        <w:rPr>
          <w:rFonts w:cs="Arial"/>
          <w:b/>
        </w:rPr>
        <w:t>a gestione dei terminali a livello cantonale</w:t>
      </w:r>
    </w:p>
    <w:p w:rsidR="00BF3FCA" w:rsidRPr="00714F8F" w:rsidRDefault="00BF3FCA" w:rsidP="00BF3FCA">
      <w:pPr>
        <w:contextualSpacing/>
        <w:rPr>
          <w:rFonts w:cs="Arial"/>
          <w:szCs w:val="24"/>
        </w:rPr>
      </w:pPr>
      <w:r>
        <w:rPr>
          <w:rFonts w:cs="Arial"/>
          <w:szCs w:val="24"/>
        </w:rPr>
        <w:t xml:space="preserve">La </w:t>
      </w:r>
      <w:r w:rsidRPr="00714F8F">
        <w:rPr>
          <w:rFonts w:cs="Arial"/>
          <w:szCs w:val="24"/>
        </w:rPr>
        <w:t>gesti</w:t>
      </w:r>
      <w:r>
        <w:rPr>
          <w:rFonts w:cs="Arial"/>
          <w:szCs w:val="24"/>
        </w:rPr>
        <w:t>one</w:t>
      </w:r>
      <w:r w:rsidRPr="00714F8F">
        <w:rPr>
          <w:rFonts w:cs="Arial"/>
          <w:szCs w:val="24"/>
        </w:rPr>
        <w:t xml:space="preserve"> </w:t>
      </w:r>
      <w:r>
        <w:rPr>
          <w:rFonts w:cs="Arial"/>
          <w:szCs w:val="24"/>
        </w:rPr>
        <w:t xml:space="preserve">della rete radio </w:t>
      </w:r>
      <w:r w:rsidRPr="00714F8F">
        <w:rPr>
          <w:rFonts w:cs="Arial"/>
          <w:szCs w:val="24"/>
        </w:rPr>
        <w:t xml:space="preserve">di proprietà e competenza del Canton Ticino </w:t>
      </w:r>
      <w:r>
        <w:rPr>
          <w:rFonts w:cs="Arial"/>
          <w:szCs w:val="24"/>
        </w:rPr>
        <w:t xml:space="preserve">è affidata in modo centralizzato alla polizia Cantonale sin </w:t>
      </w:r>
      <w:r w:rsidRPr="00714F8F">
        <w:rPr>
          <w:rFonts w:cs="Arial"/>
          <w:szCs w:val="24"/>
        </w:rPr>
        <w:t>dalla loro introduzione nel 2012</w:t>
      </w:r>
      <w:r>
        <w:rPr>
          <w:rFonts w:cs="Arial"/>
          <w:szCs w:val="24"/>
        </w:rPr>
        <w:t xml:space="preserve"> col vantaggio di </w:t>
      </w:r>
      <w:r>
        <w:rPr>
          <w:rFonts w:cs="Arial"/>
          <w:szCs w:val="24"/>
        </w:rPr>
        <w:lastRenderedPageBreak/>
        <w:t>meglio</w:t>
      </w:r>
      <w:r w:rsidRPr="00714F8F">
        <w:rPr>
          <w:rFonts w:cs="Arial"/>
          <w:szCs w:val="24"/>
        </w:rPr>
        <w:t xml:space="preserve"> coordinare le forniture, le riparazioni, la formazione e soprattutto la gestione finanziaria comune per tutti i servizi cantonali partner.</w:t>
      </w:r>
    </w:p>
    <w:p w:rsidR="00BF3FCA" w:rsidRPr="00714F8F" w:rsidRDefault="00BF3FCA" w:rsidP="00BF3FCA">
      <w:pPr>
        <w:contextualSpacing/>
        <w:rPr>
          <w:rFonts w:cs="Arial"/>
          <w:szCs w:val="24"/>
        </w:rPr>
      </w:pPr>
    </w:p>
    <w:p w:rsidR="00BF3FCA" w:rsidRPr="00714F8F" w:rsidRDefault="00BF3FCA" w:rsidP="00BF3FCA">
      <w:pPr>
        <w:contextualSpacing/>
        <w:rPr>
          <w:rFonts w:cs="Arial"/>
          <w:szCs w:val="24"/>
        </w:rPr>
      </w:pPr>
      <w:r w:rsidRPr="00714F8F">
        <w:rPr>
          <w:rFonts w:cs="Arial"/>
          <w:szCs w:val="24"/>
        </w:rPr>
        <w:t>La programmazione delle radio è fatta ad hoc sulla base di un piano radio cantonale orientato alle esigenze di ciascun utilizzatore e a favore dell’operatività con dei “canali” dedicati all’organizzazione con delle risorse condivise che ne permettono la collaborazione, come ad esempio nella condotta di uno stato maggiore degli enti di primo intervento (SMEPI) o per eventi che coinvolgono più organizzazioni.</w:t>
      </w:r>
    </w:p>
    <w:p w:rsidR="00BF3FCA" w:rsidRPr="00714F8F" w:rsidRDefault="00BF3FCA" w:rsidP="00BF3FCA">
      <w:pPr>
        <w:contextualSpacing/>
        <w:rPr>
          <w:rFonts w:cs="Arial"/>
          <w:szCs w:val="24"/>
        </w:rPr>
      </w:pPr>
    </w:p>
    <w:p w:rsidR="00BF3FCA" w:rsidRPr="00714F8F" w:rsidRDefault="00BF3FCA" w:rsidP="00BF3FCA">
      <w:pPr>
        <w:contextualSpacing/>
        <w:rPr>
          <w:rFonts w:cs="Arial"/>
          <w:szCs w:val="24"/>
        </w:rPr>
      </w:pPr>
      <w:r w:rsidRPr="00714F8F">
        <w:rPr>
          <w:rFonts w:cs="Arial"/>
          <w:szCs w:val="24"/>
        </w:rPr>
        <w:t>Operativamente è la Centrale Comune di Allarme (CECAL) a sovraintendere l’operatività tattica delle comunicazioni radio Polycom.</w:t>
      </w:r>
    </w:p>
    <w:p w:rsidR="00BF3FCA" w:rsidRDefault="00BF3FCA" w:rsidP="00BF3FCA">
      <w:pPr>
        <w:contextualSpacing/>
        <w:rPr>
          <w:rFonts w:cs="Arial"/>
          <w:szCs w:val="24"/>
        </w:rPr>
      </w:pPr>
    </w:p>
    <w:p w:rsidR="00C94804" w:rsidRPr="00714F8F" w:rsidRDefault="00C94804" w:rsidP="00BF3FCA">
      <w:pPr>
        <w:contextualSpacing/>
        <w:rPr>
          <w:rFonts w:cs="Arial"/>
          <w:szCs w:val="24"/>
        </w:rPr>
      </w:pPr>
    </w:p>
    <w:p w:rsidR="00BF3FCA" w:rsidRPr="000165CA" w:rsidRDefault="00BF3FCA" w:rsidP="00C94804">
      <w:pPr>
        <w:tabs>
          <w:tab w:val="left" w:pos="567"/>
        </w:tabs>
        <w:spacing w:after="120"/>
        <w:rPr>
          <w:rFonts w:cs="Arial"/>
          <w:b/>
        </w:rPr>
      </w:pPr>
      <w:r w:rsidRPr="000165CA">
        <w:rPr>
          <w:rFonts w:cs="Arial"/>
          <w:b/>
          <w:bCs/>
          <w:szCs w:val="24"/>
        </w:rPr>
        <w:t>2.2</w:t>
      </w:r>
      <w:r>
        <w:rPr>
          <w:rFonts w:cs="Arial"/>
          <w:szCs w:val="24"/>
        </w:rPr>
        <w:tab/>
      </w:r>
      <w:r w:rsidR="00C94804">
        <w:rPr>
          <w:rFonts w:cs="Arial"/>
          <w:b/>
        </w:rPr>
        <w:t>Le radio in uso</w:t>
      </w:r>
    </w:p>
    <w:p w:rsidR="00BF3FCA" w:rsidRPr="00714F8F" w:rsidRDefault="00BF3FCA" w:rsidP="00BF3FCA">
      <w:pPr>
        <w:contextualSpacing/>
        <w:rPr>
          <w:rFonts w:cs="Arial"/>
          <w:szCs w:val="24"/>
        </w:rPr>
      </w:pPr>
      <w:r w:rsidRPr="00714F8F">
        <w:rPr>
          <w:rFonts w:cs="Arial"/>
          <w:szCs w:val="24"/>
        </w:rPr>
        <w:t>Polycom</w:t>
      </w:r>
      <w:r>
        <w:rPr>
          <w:rFonts w:cs="Arial"/>
          <w:szCs w:val="24"/>
        </w:rPr>
        <w:t>, come tutti i sistemi di comunicazione,</w:t>
      </w:r>
      <w:r w:rsidRPr="00714F8F">
        <w:rPr>
          <w:rFonts w:cs="Arial"/>
          <w:szCs w:val="24"/>
        </w:rPr>
        <w:t xml:space="preserve"> deve mantenere aggiornata</w:t>
      </w:r>
      <w:r>
        <w:rPr>
          <w:rFonts w:cs="Arial"/>
          <w:szCs w:val="24"/>
        </w:rPr>
        <w:t xml:space="preserve"> agli sviluppi tecnologici</w:t>
      </w:r>
      <w:r w:rsidRPr="00714F8F">
        <w:rPr>
          <w:rFonts w:cs="Arial"/>
          <w:szCs w:val="24"/>
        </w:rPr>
        <w:t xml:space="preserve"> la propria piattaforma. </w:t>
      </w:r>
      <w:r>
        <w:rPr>
          <w:rFonts w:cs="Arial"/>
          <w:szCs w:val="24"/>
        </w:rPr>
        <w:t>N</w:t>
      </w:r>
      <w:r w:rsidRPr="00714F8F">
        <w:rPr>
          <w:rFonts w:cs="Arial"/>
          <w:szCs w:val="24"/>
        </w:rPr>
        <w:t>egli ultimi anni, la Confederazione ed i Cantoni hanno investito capitale e risorse nel progetto WEP2030 (</w:t>
      </w:r>
      <w:proofErr w:type="spellStart"/>
      <w:r w:rsidRPr="00714F8F">
        <w:rPr>
          <w:rFonts w:cs="Arial"/>
          <w:szCs w:val="24"/>
        </w:rPr>
        <w:t>Werterhalt</w:t>
      </w:r>
      <w:proofErr w:type="spellEnd"/>
      <w:r w:rsidRPr="00714F8F">
        <w:rPr>
          <w:rFonts w:cs="Arial"/>
          <w:szCs w:val="24"/>
        </w:rPr>
        <w:t xml:space="preserve"> Polycom)</w:t>
      </w:r>
      <w:r>
        <w:rPr>
          <w:rFonts w:cs="Arial"/>
          <w:szCs w:val="24"/>
        </w:rPr>
        <w:t xml:space="preserve"> per</w:t>
      </w:r>
      <w:r w:rsidRPr="00714F8F">
        <w:rPr>
          <w:rFonts w:cs="Arial"/>
          <w:szCs w:val="24"/>
        </w:rPr>
        <w:t xml:space="preserve"> aggiornare l’infrastruttura Polycom passando alla tecnologia IP, assicurandone l’operatività per i prossimi 15 anni.</w:t>
      </w:r>
    </w:p>
    <w:p w:rsidR="00BF3FCA" w:rsidRPr="00714F8F" w:rsidRDefault="00BF3FCA" w:rsidP="00BF3FCA">
      <w:pPr>
        <w:contextualSpacing/>
        <w:rPr>
          <w:rFonts w:cs="Arial"/>
          <w:szCs w:val="24"/>
        </w:rPr>
      </w:pPr>
    </w:p>
    <w:p w:rsidR="00BF3FCA" w:rsidRPr="00714F8F" w:rsidRDefault="00BF3FCA" w:rsidP="00BF3FCA">
      <w:pPr>
        <w:contextualSpacing/>
        <w:rPr>
          <w:rFonts w:cs="Arial"/>
          <w:szCs w:val="24"/>
        </w:rPr>
      </w:pPr>
      <w:r>
        <w:rPr>
          <w:rFonts w:cs="Arial"/>
          <w:szCs w:val="24"/>
        </w:rPr>
        <w:t>I</w:t>
      </w:r>
      <w:r w:rsidRPr="00714F8F">
        <w:rPr>
          <w:rFonts w:cs="Arial"/>
          <w:szCs w:val="24"/>
        </w:rPr>
        <w:t xml:space="preserve">l </w:t>
      </w:r>
      <w:r>
        <w:rPr>
          <w:rFonts w:cs="Arial"/>
          <w:szCs w:val="24"/>
        </w:rPr>
        <w:t>nostro Gran Consiglio, oltre ai 29 milioni di investimento del 2012 di cui al messaggio indicato in ingresso,</w:t>
      </w:r>
      <w:r w:rsidRPr="00714F8F">
        <w:rPr>
          <w:rFonts w:cs="Arial"/>
          <w:szCs w:val="24"/>
        </w:rPr>
        <w:t xml:space="preserve"> con il messaggio n. 7574 del 5 settembre 2018, ha </w:t>
      </w:r>
      <w:r>
        <w:rPr>
          <w:rFonts w:cs="Arial"/>
          <w:szCs w:val="24"/>
        </w:rPr>
        <w:t xml:space="preserve">pure </w:t>
      </w:r>
      <w:r w:rsidRPr="00714F8F">
        <w:rPr>
          <w:rFonts w:cs="Arial"/>
          <w:szCs w:val="24"/>
        </w:rPr>
        <w:t>autorizzato nel febbraio 2019 il credito di 6.55 milioni di franchi per il rinnovo tecnologico infrastrutturale della sottorete di proprietà</w:t>
      </w:r>
      <w:r>
        <w:rPr>
          <w:rFonts w:cs="Arial"/>
          <w:szCs w:val="24"/>
        </w:rPr>
        <w:t xml:space="preserve"> cantonale</w:t>
      </w:r>
      <w:r w:rsidRPr="00714F8F">
        <w:rPr>
          <w:rFonts w:cs="Arial"/>
          <w:szCs w:val="24"/>
        </w:rPr>
        <w:t>.</w:t>
      </w:r>
    </w:p>
    <w:p w:rsidR="00BF3FCA" w:rsidRPr="00714F8F" w:rsidRDefault="00BF3FCA" w:rsidP="00BF3FCA">
      <w:pPr>
        <w:contextualSpacing/>
        <w:rPr>
          <w:rFonts w:cs="Arial"/>
          <w:szCs w:val="24"/>
        </w:rPr>
      </w:pPr>
    </w:p>
    <w:p w:rsidR="00BF3FCA" w:rsidRPr="00714F8F" w:rsidRDefault="00BF3FCA" w:rsidP="00BF3FCA">
      <w:pPr>
        <w:contextualSpacing/>
        <w:rPr>
          <w:rFonts w:cs="Arial"/>
          <w:szCs w:val="24"/>
        </w:rPr>
      </w:pPr>
      <w:r w:rsidRPr="00714F8F">
        <w:rPr>
          <w:rFonts w:cs="Arial"/>
          <w:szCs w:val="24"/>
        </w:rPr>
        <w:t>I modelli radio ora in dotazione sono stati dismessi nel 2020 e non sono più reperibili dal fornitore RUAG AG che ne detiene il monopolio. Dato che le riparazioni sono garantite unicamente fino a inizio 2022, rispettivamente 2025 per i difetti minori, è inevitabile</w:t>
      </w:r>
      <w:r>
        <w:rPr>
          <w:rFonts w:cs="Arial"/>
          <w:szCs w:val="24"/>
        </w:rPr>
        <w:t xml:space="preserve"> per il Governo</w:t>
      </w:r>
      <w:r w:rsidRPr="00714F8F">
        <w:rPr>
          <w:rFonts w:cs="Arial"/>
          <w:szCs w:val="24"/>
        </w:rPr>
        <w:t xml:space="preserve"> dover prevedere la sostituzione in blocco.</w:t>
      </w:r>
    </w:p>
    <w:p w:rsidR="00BF3FCA" w:rsidRDefault="00BF3FCA" w:rsidP="00BF3FCA">
      <w:pPr>
        <w:contextualSpacing/>
        <w:rPr>
          <w:rFonts w:cs="Arial"/>
          <w:szCs w:val="24"/>
        </w:rPr>
      </w:pPr>
    </w:p>
    <w:p w:rsidR="00BF3FCA" w:rsidRDefault="00BF3FCA" w:rsidP="00BF3FCA">
      <w:pPr>
        <w:contextualSpacing/>
        <w:rPr>
          <w:rFonts w:cs="Arial"/>
          <w:szCs w:val="24"/>
        </w:rPr>
      </w:pPr>
      <w:r>
        <w:rPr>
          <w:rFonts w:cs="Arial"/>
          <w:szCs w:val="24"/>
        </w:rPr>
        <w:t>Il Messaggio si diffonde in vari dettagli tecnici circa i dispositivi a cui per economia si rinvia.</w:t>
      </w:r>
    </w:p>
    <w:p w:rsidR="00BF3FCA" w:rsidRDefault="00BF3FCA" w:rsidP="00C94804">
      <w:pPr>
        <w:spacing w:after="120"/>
        <w:rPr>
          <w:rFonts w:cs="Arial"/>
          <w:szCs w:val="24"/>
        </w:rPr>
      </w:pPr>
      <w:r>
        <w:rPr>
          <w:rFonts w:cs="Arial"/>
          <w:szCs w:val="24"/>
        </w:rPr>
        <w:t>Per quanto possa essere utile per i colleghi deputati si indica che:</w:t>
      </w:r>
    </w:p>
    <w:p w:rsidR="00BF3FCA" w:rsidRPr="002D7FFE" w:rsidRDefault="00C94804" w:rsidP="00C94804">
      <w:pPr>
        <w:pStyle w:val="Paragrafoelenco"/>
        <w:numPr>
          <w:ilvl w:val="0"/>
          <w:numId w:val="22"/>
        </w:numPr>
        <w:spacing w:after="120"/>
        <w:ind w:left="284" w:hanging="284"/>
        <w:contextualSpacing w:val="0"/>
        <w:rPr>
          <w:rFonts w:cs="Arial"/>
          <w:szCs w:val="24"/>
        </w:rPr>
      </w:pPr>
      <w:r>
        <w:rPr>
          <w:rFonts w:cs="Arial"/>
          <w:szCs w:val="24"/>
        </w:rPr>
        <w:t>i</w:t>
      </w:r>
      <w:r w:rsidR="00BF3FCA" w:rsidRPr="002D7FFE">
        <w:rPr>
          <w:rFonts w:cs="Arial"/>
          <w:szCs w:val="24"/>
        </w:rPr>
        <w:t>l costo unitario globale di riferimento per una radio portatile standard è di fr.</w:t>
      </w:r>
      <w:r>
        <w:rPr>
          <w:rFonts w:cs="Arial"/>
          <w:szCs w:val="24"/>
        </w:rPr>
        <w:t xml:space="preserve"> 1’</w:t>
      </w:r>
      <w:proofErr w:type="gramStart"/>
      <w:r>
        <w:rPr>
          <w:rFonts w:cs="Arial"/>
          <w:szCs w:val="24"/>
        </w:rPr>
        <w:t>915.-</w:t>
      </w:r>
      <w:proofErr w:type="gramEnd"/>
      <w:r>
        <w:rPr>
          <w:rFonts w:cs="Arial"/>
          <w:szCs w:val="24"/>
        </w:rPr>
        <w:t xml:space="preserve"> (IVA e spese escluse);</w:t>
      </w:r>
    </w:p>
    <w:p w:rsidR="00BF3FCA" w:rsidRPr="002D7FFE" w:rsidRDefault="00C94804" w:rsidP="00C94804">
      <w:pPr>
        <w:pStyle w:val="Paragrafoelenco"/>
        <w:numPr>
          <w:ilvl w:val="0"/>
          <w:numId w:val="22"/>
        </w:numPr>
        <w:spacing w:after="120"/>
        <w:ind w:left="284" w:hanging="284"/>
        <w:contextualSpacing w:val="0"/>
        <w:rPr>
          <w:rFonts w:cs="Arial"/>
          <w:szCs w:val="24"/>
        </w:rPr>
      </w:pPr>
      <w:r>
        <w:rPr>
          <w:rFonts w:cs="Arial"/>
          <w:szCs w:val="24"/>
        </w:rPr>
        <w:t>i</w:t>
      </w:r>
      <w:r w:rsidR="00BF3FCA" w:rsidRPr="002D7FFE">
        <w:rPr>
          <w:rFonts w:cs="Arial"/>
          <w:szCs w:val="24"/>
        </w:rPr>
        <w:t xml:space="preserve"> fabbisogni di accessori specialistici richiedono inoltre degli accesso</w:t>
      </w:r>
      <w:r>
        <w:rPr>
          <w:rFonts w:cs="Arial"/>
          <w:szCs w:val="24"/>
        </w:rPr>
        <w:t>ri speciali o realizzati ad hoc;</w:t>
      </w:r>
    </w:p>
    <w:p w:rsidR="00BF3FCA" w:rsidRPr="002D7FFE" w:rsidRDefault="00C94804" w:rsidP="00C94804">
      <w:pPr>
        <w:pStyle w:val="Paragrafoelenco"/>
        <w:numPr>
          <w:ilvl w:val="0"/>
          <w:numId w:val="22"/>
        </w:numPr>
        <w:spacing w:after="120"/>
        <w:ind w:left="284" w:hanging="284"/>
        <w:contextualSpacing w:val="0"/>
        <w:rPr>
          <w:rFonts w:cs="Arial"/>
          <w:szCs w:val="24"/>
        </w:rPr>
      </w:pPr>
      <w:r>
        <w:rPr>
          <w:rFonts w:cs="Arial"/>
          <w:szCs w:val="24"/>
        </w:rPr>
        <w:t>i</w:t>
      </w:r>
      <w:r w:rsidR="00BF3FCA" w:rsidRPr="002D7FFE">
        <w:rPr>
          <w:rFonts w:cs="Arial"/>
          <w:szCs w:val="24"/>
        </w:rPr>
        <w:t>l costo unitario globale di riferimento per una radio veicolare standard è di fr. 3’</w:t>
      </w:r>
      <w:proofErr w:type="gramStart"/>
      <w:r w:rsidR="00BF3FCA" w:rsidRPr="002D7FFE">
        <w:rPr>
          <w:rFonts w:cs="Arial"/>
          <w:szCs w:val="24"/>
        </w:rPr>
        <w:t>727.-</w:t>
      </w:r>
      <w:proofErr w:type="gramEnd"/>
      <w:r w:rsidR="00BF3FCA" w:rsidRPr="002D7FFE">
        <w:rPr>
          <w:rFonts w:cs="Arial"/>
          <w:szCs w:val="24"/>
        </w:rPr>
        <w:t xml:space="preserve"> (IVA e spese escluse) a cui vanno aggiunti costi di modifica e personalizzazione dei veicoli effettuati in collaborazione con l’Ufficio degli automez</w:t>
      </w:r>
      <w:r>
        <w:rPr>
          <w:rFonts w:cs="Arial"/>
          <w:szCs w:val="24"/>
        </w:rPr>
        <w:t>zi e delle macchine dello Stato;</w:t>
      </w:r>
    </w:p>
    <w:p w:rsidR="00BF3FCA" w:rsidRDefault="00C94804" w:rsidP="00C94804">
      <w:pPr>
        <w:pStyle w:val="Paragrafoelenco"/>
        <w:numPr>
          <w:ilvl w:val="0"/>
          <w:numId w:val="22"/>
        </w:numPr>
        <w:ind w:left="284" w:hanging="284"/>
        <w:rPr>
          <w:rFonts w:cs="Arial"/>
          <w:szCs w:val="24"/>
        </w:rPr>
      </w:pPr>
      <w:r>
        <w:rPr>
          <w:rFonts w:cs="Arial"/>
          <w:szCs w:val="24"/>
        </w:rPr>
        <w:t>l</w:t>
      </w:r>
      <w:r w:rsidR="00BF3FCA" w:rsidRPr="002D7FFE">
        <w:rPr>
          <w:rFonts w:cs="Arial"/>
          <w:szCs w:val="24"/>
        </w:rPr>
        <w:t>e due tipologie di radio citate sono le uniche in dotazione ed in uso dal 2012 per tutti gli enti di primo intervento di competenza del Cantone Ticino, così ripartiti:</w:t>
      </w:r>
    </w:p>
    <w:p w:rsidR="00C94804" w:rsidRPr="002D7FFE" w:rsidRDefault="00C94804" w:rsidP="00EC21AF">
      <w:pPr>
        <w:pStyle w:val="Paragrafoelenco"/>
        <w:ind w:left="284"/>
        <w:rPr>
          <w:rFonts w:cs="Arial"/>
          <w:szCs w:val="24"/>
        </w:rPr>
      </w:pPr>
    </w:p>
    <w:p w:rsidR="00C94804" w:rsidRDefault="00C94804">
      <w:pPr>
        <w:spacing w:after="240"/>
        <w:jc w:val="left"/>
        <w:rPr>
          <w:rFonts w:cs="Arial"/>
          <w:szCs w:val="24"/>
        </w:rPr>
      </w:pPr>
      <w:r>
        <w:rPr>
          <w:rFonts w:cs="Arial"/>
          <w:szCs w:val="24"/>
        </w:rPr>
        <w:br w:type="page"/>
      </w:r>
    </w:p>
    <w:tbl>
      <w:tblPr>
        <w:tblW w:w="9639" w:type="dxa"/>
        <w:jc w:val="center"/>
        <w:tblCellMar>
          <w:left w:w="0" w:type="dxa"/>
          <w:right w:w="0" w:type="dxa"/>
        </w:tblCellMar>
        <w:tblLook w:val="04A0" w:firstRow="1" w:lastRow="0" w:firstColumn="1" w:lastColumn="0" w:noHBand="0" w:noVBand="1"/>
      </w:tblPr>
      <w:tblGrid>
        <w:gridCol w:w="5670"/>
        <w:gridCol w:w="1842"/>
        <w:gridCol w:w="2127"/>
      </w:tblGrid>
      <w:tr w:rsidR="00BF3FCA" w:rsidRPr="002D7FFE" w:rsidTr="009428B1">
        <w:trPr>
          <w:trHeight w:val="737"/>
          <w:jc w:val="center"/>
        </w:trPr>
        <w:tc>
          <w:tcPr>
            <w:tcW w:w="5670" w:type="dxa"/>
            <w:tcBorders>
              <w:top w:val="nil"/>
              <w:left w:val="nil"/>
              <w:bottom w:val="single" w:sz="24" w:space="0" w:color="5B9BD5"/>
              <w:right w:val="single" w:sz="12" w:space="0" w:color="5B9BD5"/>
            </w:tcBorders>
            <w:shd w:val="clear" w:color="auto" w:fill="FFFFFF"/>
            <w:tcMar>
              <w:top w:w="0" w:type="dxa"/>
              <w:left w:w="108" w:type="dxa"/>
              <w:bottom w:w="0" w:type="dxa"/>
              <w:right w:w="108" w:type="dxa"/>
            </w:tcMar>
          </w:tcPr>
          <w:p w:rsidR="00BF3FCA" w:rsidRPr="002D7FFE" w:rsidRDefault="00BF3FCA" w:rsidP="009428B1">
            <w:pPr>
              <w:contextualSpacing/>
              <w:rPr>
                <w:rFonts w:cs="Arial"/>
                <w:b/>
                <w:bCs/>
                <w:szCs w:val="24"/>
              </w:rPr>
            </w:pPr>
            <w:r w:rsidRPr="002D7FFE">
              <w:rPr>
                <w:rFonts w:cs="Arial"/>
                <w:b/>
                <w:bCs/>
                <w:szCs w:val="24"/>
              </w:rPr>
              <w:lastRenderedPageBreak/>
              <w:t xml:space="preserve">Flotta radio Polycom </w:t>
            </w:r>
            <w:r w:rsidRPr="002D7FFE">
              <w:rPr>
                <w:rFonts w:cs="Arial"/>
                <w:b/>
                <w:bCs/>
                <w:szCs w:val="24"/>
                <w:u w:val="single"/>
              </w:rPr>
              <w:t>enti cantonali</w:t>
            </w:r>
            <w:r w:rsidRPr="002D7FFE">
              <w:rPr>
                <w:rFonts w:cs="Arial"/>
                <w:b/>
                <w:bCs/>
                <w:szCs w:val="24"/>
              </w:rPr>
              <w:t xml:space="preserve"> </w:t>
            </w:r>
          </w:p>
          <w:p w:rsidR="00BF3FCA" w:rsidRPr="002D7FFE" w:rsidRDefault="00BF3FCA" w:rsidP="009428B1">
            <w:pPr>
              <w:contextualSpacing/>
              <w:rPr>
                <w:rFonts w:cs="Arial"/>
                <w:szCs w:val="24"/>
              </w:rPr>
            </w:pPr>
          </w:p>
          <w:p w:rsidR="00BF3FCA" w:rsidRPr="002D7FFE" w:rsidRDefault="00BF3FCA" w:rsidP="009428B1">
            <w:pPr>
              <w:contextualSpacing/>
              <w:rPr>
                <w:rFonts w:cs="Arial"/>
                <w:b/>
                <w:bCs/>
                <w:szCs w:val="24"/>
              </w:rPr>
            </w:pPr>
            <w:r w:rsidRPr="002D7FFE">
              <w:rPr>
                <w:rFonts w:cs="Arial"/>
                <w:szCs w:val="24"/>
              </w:rPr>
              <w:t>Finanziate e gestite dalla Polizia cantonale.</w:t>
            </w:r>
          </w:p>
        </w:tc>
        <w:tc>
          <w:tcPr>
            <w:tcW w:w="1842" w:type="dxa"/>
            <w:tcBorders>
              <w:top w:val="nil"/>
              <w:left w:val="nil"/>
              <w:bottom w:val="single" w:sz="24" w:space="0" w:color="5B9BD5"/>
              <w:right w:val="nil"/>
            </w:tcBorders>
            <w:shd w:val="clear" w:color="auto" w:fill="FFFFFF"/>
            <w:tcMar>
              <w:top w:w="0" w:type="dxa"/>
              <w:left w:w="108" w:type="dxa"/>
              <w:bottom w:w="0" w:type="dxa"/>
              <w:right w:w="108" w:type="dxa"/>
            </w:tcMar>
            <w:hideMark/>
          </w:tcPr>
          <w:p w:rsidR="00BF3FCA" w:rsidRPr="002D7FFE" w:rsidRDefault="00BF3FCA" w:rsidP="009428B1">
            <w:pPr>
              <w:contextualSpacing/>
              <w:rPr>
                <w:rFonts w:cs="Arial"/>
                <w:b/>
                <w:bCs/>
                <w:szCs w:val="24"/>
              </w:rPr>
            </w:pPr>
            <w:r w:rsidRPr="002D7FFE">
              <w:rPr>
                <w:rFonts w:cs="Arial"/>
                <w:b/>
                <w:bCs/>
                <w:szCs w:val="24"/>
              </w:rPr>
              <w:t>TPH-700</w:t>
            </w:r>
          </w:p>
          <w:p w:rsidR="00BF3FCA" w:rsidRPr="002D7FFE" w:rsidRDefault="00BF3FCA" w:rsidP="009428B1">
            <w:pPr>
              <w:contextualSpacing/>
              <w:rPr>
                <w:rFonts w:cs="Arial"/>
                <w:b/>
                <w:bCs/>
                <w:szCs w:val="24"/>
              </w:rPr>
            </w:pPr>
            <w:r w:rsidRPr="002D7FFE">
              <w:rPr>
                <w:rFonts w:cs="Arial"/>
                <w:noProof/>
                <w:szCs w:val="24"/>
                <w:lang w:val="it-CH" w:eastAsia="it-CH"/>
              </w:rPr>
              <w:drawing>
                <wp:inline distT="0" distB="0" distL="0" distR="0" wp14:anchorId="4AE73D94" wp14:editId="243222F8">
                  <wp:extent cx="291465" cy="793750"/>
                  <wp:effectExtent l="228600" t="0" r="241935" b="6350"/>
                  <wp:docPr id="12" name="Immagine 3" descr="TP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PH7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466910">
                            <a:off x="0" y="0"/>
                            <a:ext cx="291465" cy="793750"/>
                          </a:xfrm>
                          <a:prstGeom prst="rect">
                            <a:avLst/>
                          </a:prstGeom>
                          <a:noFill/>
                        </pic:spPr>
                      </pic:pic>
                    </a:graphicData>
                  </a:graphic>
                </wp:inline>
              </w:drawing>
            </w:r>
          </w:p>
        </w:tc>
        <w:tc>
          <w:tcPr>
            <w:tcW w:w="2127" w:type="dxa"/>
            <w:tcBorders>
              <w:top w:val="nil"/>
              <w:left w:val="nil"/>
              <w:bottom w:val="single" w:sz="24" w:space="0" w:color="5B9BD5"/>
              <w:right w:val="nil"/>
            </w:tcBorders>
            <w:shd w:val="clear" w:color="auto" w:fill="FFFFFF"/>
            <w:tcMar>
              <w:top w:w="0" w:type="dxa"/>
              <w:left w:w="108" w:type="dxa"/>
              <w:bottom w:w="0" w:type="dxa"/>
              <w:right w:w="108" w:type="dxa"/>
            </w:tcMar>
            <w:hideMark/>
          </w:tcPr>
          <w:p w:rsidR="00BF3FCA" w:rsidRPr="002D7FFE" w:rsidRDefault="00BF3FCA" w:rsidP="009428B1">
            <w:pPr>
              <w:contextualSpacing/>
              <w:rPr>
                <w:rFonts w:cs="Arial"/>
                <w:b/>
                <w:bCs/>
                <w:szCs w:val="24"/>
              </w:rPr>
            </w:pPr>
            <w:r w:rsidRPr="002D7FFE">
              <w:rPr>
                <w:rFonts w:cs="Arial"/>
                <w:b/>
                <w:bCs/>
                <w:szCs w:val="24"/>
              </w:rPr>
              <w:t>TPM-700</w:t>
            </w:r>
          </w:p>
          <w:p w:rsidR="00BF3FCA" w:rsidRPr="002D7FFE" w:rsidRDefault="00BF3FCA" w:rsidP="009428B1">
            <w:pPr>
              <w:contextualSpacing/>
              <w:rPr>
                <w:rFonts w:cs="Arial"/>
                <w:b/>
                <w:bCs/>
                <w:szCs w:val="24"/>
              </w:rPr>
            </w:pPr>
            <w:r w:rsidRPr="002D7FFE">
              <w:rPr>
                <w:rFonts w:cs="Arial"/>
                <w:noProof/>
                <w:szCs w:val="24"/>
                <w:lang w:val="it-CH" w:eastAsia="it-CH"/>
              </w:rPr>
              <w:drawing>
                <wp:inline distT="0" distB="0" distL="0" distR="0" wp14:anchorId="32745385" wp14:editId="33B4DD79">
                  <wp:extent cx="838200" cy="800100"/>
                  <wp:effectExtent l="0" t="0" r="0" b="0"/>
                  <wp:docPr id="13" name="Immagine 2" descr="TPM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PM_700"/>
                          <pic:cNvPicPr>
                            <a:picLocks noChangeAspect="1" noChangeArrowheads="1"/>
                          </pic:cNvPicPr>
                        </pic:nvPicPr>
                        <pic:blipFill>
                          <a:blip r:embed="rId12">
                            <a:extLst>
                              <a:ext uri="{28A0092B-C50C-407E-A947-70E740481C1C}">
                                <a14:useLocalDpi xmlns:a14="http://schemas.microsoft.com/office/drawing/2010/main" val="0"/>
                              </a:ext>
                            </a:extLst>
                          </a:blip>
                          <a:srcRect t="15004" b="9933"/>
                          <a:stretch>
                            <a:fillRect/>
                          </a:stretch>
                        </pic:blipFill>
                        <pic:spPr bwMode="auto">
                          <a:xfrm>
                            <a:off x="0" y="0"/>
                            <a:ext cx="838200" cy="800100"/>
                          </a:xfrm>
                          <a:prstGeom prst="rect">
                            <a:avLst/>
                          </a:prstGeom>
                          <a:noFill/>
                          <a:ln>
                            <a:noFill/>
                          </a:ln>
                        </pic:spPr>
                      </pic:pic>
                    </a:graphicData>
                  </a:graphic>
                </wp:inline>
              </w:drawing>
            </w:r>
          </w:p>
        </w:tc>
      </w:tr>
      <w:tr w:rsidR="00BF3FCA" w:rsidRPr="002D7FFE" w:rsidTr="009428B1">
        <w:trPr>
          <w:trHeight w:val="454"/>
          <w:jc w:val="center"/>
        </w:trPr>
        <w:tc>
          <w:tcPr>
            <w:tcW w:w="5670"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Polizia cantonale (DI)</w:t>
            </w:r>
          </w:p>
        </w:tc>
        <w:tc>
          <w:tcPr>
            <w:tcW w:w="1842" w:type="dxa"/>
            <w:shd w:val="clear" w:color="auto" w:fill="D6E6F4"/>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727</w:t>
            </w:r>
          </w:p>
        </w:tc>
        <w:tc>
          <w:tcPr>
            <w:tcW w:w="2127" w:type="dxa"/>
            <w:tcBorders>
              <w:top w:val="nil"/>
              <w:left w:val="nil"/>
              <w:bottom w:val="nil"/>
              <w:right w:val="single" w:sz="8" w:space="0" w:color="5B9BD5"/>
            </w:tcBorders>
            <w:shd w:val="clear" w:color="auto" w:fill="D6E6F4"/>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269</w:t>
            </w:r>
          </w:p>
        </w:tc>
      </w:tr>
      <w:tr w:rsidR="00BF3FCA" w:rsidRPr="002D7FFE" w:rsidTr="009428B1">
        <w:trPr>
          <w:trHeight w:val="454"/>
          <w:jc w:val="center"/>
        </w:trPr>
        <w:tc>
          <w:tcPr>
            <w:tcW w:w="5670"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 xml:space="preserve">Strutture carcerarie (DI) </w:t>
            </w:r>
          </w:p>
        </w:tc>
        <w:tc>
          <w:tcPr>
            <w:tcW w:w="1842" w:type="dxa"/>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74</w:t>
            </w:r>
          </w:p>
        </w:tc>
        <w:tc>
          <w:tcPr>
            <w:tcW w:w="2127" w:type="dxa"/>
            <w:tcBorders>
              <w:top w:val="nil"/>
              <w:left w:val="nil"/>
              <w:bottom w:val="nil"/>
              <w:right w:val="single" w:sz="8" w:space="0" w:color="5B9BD5"/>
            </w:tcBorders>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2</w:t>
            </w:r>
          </w:p>
        </w:tc>
      </w:tr>
      <w:tr w:rsidR="00BF3FCA" w:rsidRPr="002D7FFE" w:rsidTr="009428B1">
        <w:trPr>
          <w:trHeight w:val="454"/>
          <w:jc w:val="center"/>
        </w:trPr>
        <w:tc>
          <w:tcPr>
            <w:tcW w:w="5670"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Ufficio della caccia e della pesca (DT)</w:t>
            </w:r>
          </w:p>
        </w:tc>
        <w:tc>
          <w:tcPr>
            <w:tcW w:w="1842" w:type="dxa"/>
            <w:shd w:val="clear" w:color="auto" w:fill="D6E6F4"/>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26</w:t>
            </w:r>
          </w:p>
        </w:tc>
        <w:tc>
          <w:tcPr>
            <w:tcW w:w="2127" w:type="dxa"/>
            <w:tcBorders>
              <w:top w:val="nil"/>
              <w:left w:val="nil"/>
              <w:bottom w:val="nil"/>
              <w:right w:val="single" w:sz="8" w:space="0" w:color="5B9BD5"/>
            </w:tcBorders>
            <w:shd w:val="clear" w:color="auto" w:fill="D6E6F4"/>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0</w:t>
            </w:r>
          </w:p>
        </w:tc>
      </w:tr>
      <w:tr w:rsidR="00BF3FCA" w:rsidRPr="002D7FFE" w:rsidTr="009428B1">
        <w:trPr>
          <w:trHeight w:val="454"/>
          <w:jc w:val="center"/>
        </w:trPr>
        <w:tc>
          <w:tcPr>
            <w:tcW w:w="5670"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Area dell'esercizio e della manutenzione (DT)</w:t>
            </w:r>
          </w:p>
        </w:tc>
        <w:tc>
          <w:tcPr>
            <w:tcW w:w="1842" w:type="dxa"/>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154</w:t>
            </w:r>
          </w:p>
        </w:tc>
        <w:tc>
          <w:tcPr>
            <w:tcW w:w="2127" w:type="dxa"/>
            <w:tcBorders>
              <w:top w:val="nil"/>
              <w:left w:val="nil"/>
              <w:bottom w:val="nil"/>
              <w:right w:val="single" w:sz="8" w:space="0" w:color="5B9BD5"/>
            </w:tcBorders>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0</w:t>
            </w:r>
          </w:p>
        </w:tc>
      </w:tr>
      <w:tr w:rsidR="00BF3FCA" w:rsidRPr="002D7FFE" w:rsidTr="009428B1">
        <w:trPr>
          <w:trHeight w:val="454"/>
          <w:jc w:val="center"/>
        </w:trPr>
        <w:tc>
          <w:tcPr>
            <w:tcW w:w="5670"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Sez. del militare e della protezione della popolazione (DI)</w:t>
            </w:r>
          </w:p>
        </w:tc>
        <w:tc>
          <w:tcPr>
            <w:tcW w:w="1842" w:type="dxa"/>
            <w:shd w:val="clear" w:color="auto" w:fill="DBE5F1"/>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8</w:t>
            </w:r>
          </w:p>
        </w:tc>
        <w:tc>
          <w:tcPr>
            <w:tcW w:w="2127" w:type="dxa"/>
            <w:tcBorders>
              <w:top w:val="nil"/>
              <w:left w:val="nil"/>
              <w:bottom w:val="nil"/>
              <w:right w:val="single" w:sz="8" w:space="0" w:color="5B9BD5"/>
            </w:tcBorders>
            <w:shd w:val="clear" w:color="auto" w:fill="DBE5F1"/>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1</w:t>
            </w:r>
          </w:p>
        </w:tc>
      </w:tr>
      <w:tr w:rsidR="00BF3FCA" w:rsidRPr="002D7FFE" w:rsidTr="009428B1">
        <w:trPr>
          <w:trHeight w:val="454"/>
          <w:jc w:val="center"/>
        </w:trPr>
        <w:tc>
          <w:tcPr>
            <w:tcW w:w="5670"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Settore gioventù e sport G+S (DECS)</w:t>
            </w:r>
          </w:p>
        </w:tc>
        <w:tc>
          <w:tcPr>
            <w:tcW w:w="1842" w:type="dxa"/>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3</w:t>
            </w:r>
          </w:p>
        </w:tc>
        <w:tc>
          <w:tcPr>
            <w:tcW w:w="2127" w:type="dxa"/>
            <w:tcBorders>
              <w:top w:val="nil"/>
              <w:left w:val="nil"/>
              <w:bottom w:val="nil"/>
              <w:right w:val="single" w:sz="8" w:space="0" w:color="5B9BD5"/>
            </w:tcBorders>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0</w:t>
            </w:r>
          </w:p>
        </w:tc>
      </w:tr>
      <w:tr w:rsidR="00BF3FCA" w:rsidRPr="002D7FFE" w:rsidTr="009428B1">
        <w:trPr>
          <w:trHeight w:val="454"/>
          <w:jc w:val="center"/>
        </w:trPr>
        <w:tc>
          <w:tcPr>
            <w:tcW w:w="5670"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Scorta tattica/operativa</w:t>
            </w:r>
          </w:p>
        </w:tc>
        <w:tc>
          <w:tcPr>
            <w:tcW w:w="1842" w:type="dxa"/>
            <w:shd w:val="clear" w:color="auto" w:fill="DBE5F1"/>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24</w:t>
            </w:r>
          </w:p>
        </w:tc>
        <w:tc>
          <w:tcPr>
            <w:tcW w:w="2127" w:type="dxa"/>
            <w:tcBorders>
              <w:top w:val="nil"/>
              <w:left w:val="nil"/>
              <w:bottom w:val="nil"/>
              <w:right w:val="single" w:sz="8" w:space="0" w:color="5B9BD5"/>
            </w:tcBorders>
            <w:shd w:val="clear" w:color="auto" w:fill="DBE5F1"/>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0</w:t>
            </w:r>
          </w:p>
        </w:tc>
      </w:tr>
      <w:tr w:rsidR="00BF3FCA" w:rsidRPr="002D7FFE" w:rsidTr="009428B1">
        <w:trPr>
          <w:trHeight w:val="454"/>
          <w:jc w:val="center"/>
        </w:trPr>
        <w:tc>
          <w:tcPr>
            <w:tcW w:w="5670" w:type="dxa"/>
            <w:tcBorders>
              <w:top w:val="nil"/>
              <w:left w:val="nil"/>
              <w:bottom w:val="single" w:sz="18" w:space="0" w:color="5B9BD5"/>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Riserva tecnica</w:t>
            </w:r>
          </w:p>
        </w:tc>
        <w:tc>
          <w:tcPr>
            <w:tcW w:w="1842" w:type="dxa"/>
            <w:tcBorders>
              <w:top w:val="nil"/>
              <w:left w:val="nil"/>
              <w:bottom w:val="single" w:sz="18" w:space="0" w:color="5B9BD5"/>
              <w:right w:val="nil"/>
            </w:tcBorders>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44</w:t>
            </w:r>
          </w:p>
        </w:tc>
        <w:tc>
          <w:tcPr>
            <w:tcW w:w="2127" w:type="dxa"/>
            <w:tcBorders>
              <w:top w:val="nil"/>
              <w:left w:val="nil"/>
              <w:bottom w:val="single" w:sz="18" w:space="0" w:color="5B9BD5"/>
              <w:right w:val="single" w:sz="8" w:space="0" w:color="5B9BD5"/>
            </w:tcBorders>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17</w:t>
            </w:r>
          </w:p>
        </w:tc>
      </w:tr>
      <w:tr w:rsidR="00BF3FCA" w:rsidRPr="002D7FFE" w:rsidTr="009428B1">
        <w:trPr>
          <w:trHeight w:val="567"/>
          <w:jc w:val="center"/>
        </w:trPr>
        <w:tc>
          <w:tcPr>
            <w:tcW w:w="5670" w:type="dxa"/>
            <w:tcBorders>
              <w:top w:val="single" w:sz="18" w:space="0" w:color="5B9BD5"/>
              <w:left w:val="nil"/>
              <w:bottom w:val="single" w:sz="8" w:space="0" w:color="5B9BD5"/>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Totale (unità)</w:t>
            </w:r>
          </w:p>
        </w:tc>
        <w:tc>
          <w:tcPr>
            <w:tcW w:w="1842" w:type="dxa"/>
            <w:tcBorders>
              <w:top w:val="single" w:sz="18" w:space="0" w:color="5B9BD5"/>
              <w:left w:val="nil"/>
              <w:bottom w:val="single" w:sz="8" w:space="0" w:color="5B9BD5"/>
              <w:right w:val="nil"/>
            </w:tcBorders>
            <w:shd w:val="clear" w:color="auto" w:fill="DBE5F1"/>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1060</w:t>
            </w:r>
          </w:p>
        </w:tc>
        <w:tc>
          <w:tcPr>
            <w:tcW w:w="2127" w:type="dxa"/>
            <w:tcBorders>
              <w:top w:val="single" w:sz="18" w:space="0" w:color="5B9BD5"/>
              <w:left w:val="nil"/>
              <w:bottom w:val="single" w:sz="8" w:space="0" w:color="5B9BD5"/>
              <w:right w:val="single" w:sz="8" w:space="0" w:color="5B9BD5"/>
            </w:tcBorders>
            <w:shd w:val="clear" w:color="auto" w:fill="DBE5F1"/>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289</w:t>
            </w:r>
          </w:p>
        </w:tc>
      </w:tr>
    </w:tbl>
    <w:p w:rsidR="00BF3FCA" w:rsidRPr="002D7FFE" w:rsidRDefault="00BF3FCA" w:rsidP="00BF3FCA">
      <w:pPr>
        <w:contextualSpacing/>
        <w:rPr>
          <w:rFonts w:cs="Arial"/>
          <w:szCs w:val="24"/>
        </w:rPr>
      </w:pPr>
    </w:p>
    <w:p w:rsidR="00BF3FCA" w:rsidRPr="002D7FFE" w:rsidRDefault="00BF3FCA" w:rsidP="00BF3FCA">
      <w:pPr>
        <w:contextualSpacing/>
        <w:rPr>
          <w:rFonts w:cs="Arial"/>
          <w:szCs w:val="24"/>
        </w:rPr>
      </w:pPr>
    </w:p>
    <w:tbl>
      <w:tblPr>
        <w:tblW w:w="9639" w:type="dxa"/>
        <w:jc w:val="center"/>
        <w:tblCellMar>
          <w:left w:w="0" w:type="dxa"/>
          <w:right w:w="0" w:type="dxa"/>
        </w:tblCellMar>
        <w:tblLook w:val="04A0" w:firstRow="1" w:lastRow="0" w:firstColumn="1" w:lastColumn="0" w:noHBand="0" w:noVBand="1"/>
      </w:tblPr>
      <w:tblGrid>
        <w:gridCol w:w="5529"/>
        <w:gridCol w:w="1984"/>
        <w:gridCol w:w="2126"/>
      </w:tblGrid>
      <w:tr w:rsidR="00BF3FCA" w:rsidRPr="002D7FFE" w:rsidTr="009428B1">
        <w:trPr>
          <w:trHeight w:val="737"/>
          <w:jc w:val="center"/>
        </w:trPr>
        <w:tc>
          <w:tcPr>
            <w:tcW w:w="5529" w:type="dxa"/>
            <w:tcBorders>
              <w:top w:val="nil"/>
              <w:left w:val="nil"/>
              <w:bottom w:val="single" w:sz="24" w:space="0" w:color="5B9BD5"/>
              <w:right w:val="single" w:sz="12" w:space="0" w:color="5B9BD5"/>
            </w:tcBorders>
            <w:shd w:val="clear" w:color="auto" w:fill="FFFFFF"/>
            <w:tcMar>
              <w:top w:w="0" w:type="dxa"/>
              <w:left w:w="108" w:type="dxa"/>
              <w:bottom w:w="0" w:type="dxa"/>
              <w:right w:w="108" w:type="dxa"/>
            </w:tcMar>
          </w:tcPr>
          <w:p w:rsidR="00BF3FCA" w:rsidRPr="002D7FFE" w:rsidRDefault="00BF3FCA" w:rsidP="009428B1">
            <w:pPr>
              <w:contextualSpacing/>
              <w:rPr>
                <w:rFonts w:cs="Arial"/>
                <w:b/>
                <w:bCs/>
                <w:szCs w:val="24"/>
              </w:rPr>
            </w:pPr>
            <w:r w:rsidRPr="002D7FFE">
              <w:rPr>
                <w:rFonts w:cs="Arial"/>
                <w:b/>
                <w:bCs/>
                <w:szCs w:val="24"/>
              </w:rPr>
              <w:t xml:space="preserve">Flotta radio Polycom </w:t>
            </w:r>
            <w:r w:rsidRPr="002D7FFE">
              <w:rPr>
                <w:rFonts w:cs="Arial"/>
                <w:b/>
                <w:bCs/>
                <w:szCs w:val="24"/>
                <w:u w:val="single"/>
              </w:rPr>
              <w:t>Enti Terzi</w:t>
            </w:r>
            <w:r w:rsidRPr="002D7FFE">
              <w:rPr>
                <w:rFonts w:cs="Arial"/>
                <w:b/>
                <w:bCs/>
                <w:szCs w:val="24"/>
              </w:rPr>
              <w:t xml:space="preserve"> </w:t>
            </w:r>
          </w:p>
          <w:p w:rsidR="00BF3FCA" w:rsidRPr="002D7FFE" w:rsidRDefault="00BF3FCA" w:rsidP="009428B1">
            <w:pPr>
              <w:contextualSpacing/>
              <w:rPr>
                <w:rFonts w:cs="Arial"/>
                <w:szCs w:val="24"/>
              </w:rPr>
            </w:pPr>
          </w:p>
          <w:p w:rsidR="00BF3FCA" w:rsidRPr="002D7FFE" w:rsidRDefault="00BF3FCA" w:rsidP="009428B1">
            <w:pPr>
              <w:contextualSpacing/>
              <w:rPr>
                <w:rFonts w:cs="Arial"/>
                <w:b/>
                <w:bCs/>
                <w:szCs w:val="24"/>
              </w:rPr>
            </w:pPr>
            <w:r w:rsidRPr="002D7FFE">
              <w:rPr>
                <w:rFonts w:cs="Arial"/>
                <w:szCs w:val="24"/>
              </w:rPr>
              <w:t>Finanziate dalle singole organizzazioni e gestite dalla Polizia cantonale.</w:t>
            </w:r>
          </w:p>
        </w:tc>
        <w:tc>
          <w:tcPr>
            <w:tcW w:w="1984" w:type="dxa"/>
            <w:tcBorders>
              <w:top w:val="nil"/>
              <w:left w:val="nil"/>
              <w:bottom w:val="single" w:sz="24" w:space="0" w:color="5B9BD5"/>
              <w:right w:val="nil"/>
            </w:tcBorders>
            <w:shd w:val="clear" w:color="auto" w:fill="FFFFFF"/>
            <w:tcMar>
              <w:top w:w="0" w:type="dxa"/>
              <w:left w:w="108" w:type="dxa"/>
              <w:bottom w:w="0" w:type="dxa"/>
              <w:right w:w="108" w:type="dxa"/>
            </w:tcMar>
            <w:hideMark/>
          </w:tcPr>
          <w:p w:rsidR="00BF3FCA" w:rsidRPr="002D7FFE" w:rsidRDefault="00BF3FCA" w:rsidP="009428B1">
            <w:pPr>
              <w:contextualSpacing/>
              <w:rPr>
                <w:rFonts w:cs="Arial"/>
                <w:b/>
                <w:bCs/>
                <w:szCs w:val="24"/>
              </w:rPr>
            </w:pPr>
            <w:r w:rsidRPr="002D7FFE">
              <w:rPr>
                <w:rFonts w:cs="Arial"/>
                <w:b/>
                <w:bCs/>
                <w:szCs w:val="24"/>
              </w:rPr>
              <w:t>TPH-700</w:t>
            </w:r>
          </w:p>
          <w:p w:rsidR="00BF3FCA" w:rsidRPr="002D7FFE" w:rsidRDefault="00BF3FCA" w:rsidP="009428B1">
            <w:pPr>
              <w:contextualSpacing/>
              <w:rPr>
                <w:rFonts w:cs="Arial"/>
                <w:b/>
                <w:bCs/>
                <w:szCs w:val="24"/>
              </w:rPr>
            </w:pPr>
            <w:r w:rsidRPr="002D7FFE">
              <w:rPr>
                <w:rFonts w:cs="Arial"/>
                <w:noProof/>
                <w:szCs w:val="24"/>
                <w:lang w:val="it-CH" w:eastAsia="it-CH"/>
              </w:rPr>
              <w:drawing>
                <wp:inline distT="0" distB="0" distL="0" distR="0" wp14:anchorId="3CA141B9" wp14:editId="11633D16">
                  <wp:extent cx="291465" cy="793750"/>
                  <wp:effectExtent l="228600" t="0" r="241935" b="6350"/>
                  <wp:docPr id="14" name="Immagine 16" descr="TP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TPH7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466910">
                            <a:off x="0" y="0"/>
                            <a:ext cx="291465" cy="793750"/>
                          </a:xfrm>
                          <a:prstGeom prst="rect">
                            <a:avLst/>
                          </a:prstGeom>
                          <a:noFill/>
                        </pic:spPr>
                      </pic:pic>
                    </a:graphicData>
                  </a:graphic>
                </wp:inline>
              </w:drawing>
            </w:r>
          </w:p>
        </w:tc>
        <w:tc>
          <w:tcPr>
            <w:tcW w:w="2126" w:type="dxa"/>
            <w:tcBorders>
              <w:top w:val="nil"/>
              <w:left w:val="nil"/>
              <w:bottom w:val="single" w:sz="24" w:space="0" w:color="5B9BD5"/>
              <w:right w:val="nil"/>
            </w:tcBorders>
            <w:shd w:val="clear" w:color="auto" w:fill="FFFFFF"/>
            <w:tcMar>
              <w:top w:w="0" w:type="dxa"/>
              <w:left w:w="108" w:type="dxa"/>
              <w:bottom w:w="0" w:type="dxa"/>
              <w:right w:w="108" w:type="dxa"/>
            </w:tcMar>
            <w:hideMark/>
          </w:tcPr>
          <w:p w:rsidR="00BF3FCA" w:rsidRPr="002D7FFE" w:rsidRDefault="00BF3FCA" w:rsidP="009428B1">
            <w:pPr>
              <w:contextualSpacing/>
              <w:rPr>
                <w:rFonts w:cs="Arial"/>
                <w:b/>
                <w:bCs/>
                <w:szCs w:val="24"/>
              </w:rPr>
            </w:pPr>
            <w:r w:rsidRPr="002D7FFE">
              <w:rPr>
                <w:rFonts w:cs="Arial"/>
                <w:b/>
                <w:bCs/>
                <w:szCs w:val="24"/>
              </w:rPr>
              <w:t>TPM-700</w:t>
            </w:r>
          </w:p>
          <w:p w:rsidR="00BF3FCA" w:rsidRPr="002D7FFE" w:rsidRDefault="00BF3FCA" w:rsidP="009428B1">
            <w:pPr>
              <w:contextualSpacing/>
              <w:rPr>
                <w:rFonts w:cs="Arial"/>
                <w:b/>
                <w:bCs/>
                <w:szCs w:val="24"/>
              </w:rPr>
            </w:pPr>
            <w:r w:rsidRPr="002D7FFE">
              <w:rPr>
                <w:rFonts w:cs="Arial"/>
                <w:noProof/>
                <w:szCs w:val="24"/>
                <w:lang w:val="it-CH" w:eastAsia="it-CH"/>
              </w:rPr>
              <w:drawing>
                <wp:inline distT="0" distB="0" distL="0" distR="0" wp14:anchorId="272B3788" wp14:editId="3FFE1B45">
                  <wp:extent cx="838200" cy="800100"/>
                  <wp:effectExtent l="0" t="0" r="0" b="0"/>
                  <wp:docPr id="15" name="Immagine 17" descr="TPM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TPM_700"/>
                          <pic:cNvPicPr>
                            <a:picLocks noChangeAspect="1" noChangeArrowheads="1"/>
                          </pic:cNvPicPr>
                        </pic:nvPicPr>
                        <pic:blipFill>
                          <a:blip r:embed="rId12">
                            <a:extLst>
                              <a:ext uri="{28A0092B-C50C-407E-A947-70E740481C1C}">
                                <a14:useLocalDpi xmlns:a14="http://schemas.microsoft.com/office/drawing/2010/main" val="0"/>
                              </a:ext>
                            </a:extLst>
                          </a:blip>
                          <a:srcRect t="15004" b="9933"/>
                          <a:stretch>
                            <a:fillRect/>
                          </a:stretch>
                        </pic:blipFill>
                        <pic:spPr bwMode="auto">
                          <a:xfrm>
                            <a:off x="0" y="0"/>
                            <a:ext cx="838200" cy="800100"/>
                          </a:xfrm>
                          <a:prstGeom prst="rect">
                            <a:avLst/>
                          </a:prstGeom>
                          <a:noFill/>
                          <a:ln>
                            <a:noFill/>
                          </a:ln>
                        </pic:spPr>
                      </pic:pic>
                    </a:graphicData>
                  </a:graphic>
                </wp:inline>
              </w:drawing>
            </w:r>
          </w:p>
        </w:tc>
      </w:tr>
      <w:tr w:rsidR="00BF3FCA" w:rsidRPr="002D7FFE" w:rsidTr="009428B1">
        <w:trPr>
          <w:trHeight w:val="454"/>
          <w:jc w:val="center"/>
        </w:trPr>
        <w:tc>
          <w:tcPr>
            <w:tcW w:w="5529"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 xml:space="preserve">Polizie comunali </w:t>
            </w:r>
          </w:p>
        </w:tc>
        <w:tc>
          <w:tcPr>
            <w:tcW w:w="1984" w:type="dxa"/>
            <w:shd w:val="clear" w:color="auto" w:fill="D6E6F4"/>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520</w:t>
            </w:r>
          </w:p>
        </w:tc>
        <w:tc>
          <w:tcPr>
            <w:tcW w:w="2126" w:type="dxa"/>
            <w:tcBorders>
              <w:top w:val="nil"/>
              <w:left w:val="nil"/>
              <w:bottom w:val="nil"/>
              <w:right w:val="single" w:sz="8" w:space="0" w:color="5B9BD5"/>
            </w:tcBorders>
            <w:shd w:val="clear" w:color="auto" w:fill="D6E6F4"/>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51</w:t>
            </w:r>
          </w:p>
        </w:tc>
      </w:tr>
      <w:tr w:rsidR="00BF3FCA" w:rsidRPr="002D7FFE" w:rsidTr="009428B1">
        <w:trPr>
          <w:trHeight w:val="454"/>
          <w:jc w:val="center"/>
        </w:trPr>
        <w:tc>
          <w:tcPr>
            <w:tcW w:w="5529"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 xml:space="preserve">Regioni di protezione civile </w:t>
            </w:r>
          </w:p>
        </w:tc>
        <w:tc>
          <w:tcPr>
            <w:tcW w:w="1984" w:type="dxa"/>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286</w:t>
            </w:r>
          </w:p>
        </w:tc>
        <w:tc>
          <w:tcPr>
            <w:tcW w:w="2126" w:type="dxa"/>
            <w:tcBorders>
              <w:top w:val="nil"/>
              <w:left w:val="nil"/>
              <w:bottom w:val="nil"/>
              <w:right w:val="single" w:sz="8" w:space="0" w:color="5B9BD5"/>
            </w:tcBorders>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0</w:t>
            </w:r>
          </w:p>
        </w:tc>
      </w:tr>
      <w:tr w:rsidR="00BF3FCA" w:rsidRPr="002D7FFE" w:rsidTr="009428B1">
        <w:trPr>
          <w:trHeight w:val="454"/>
          <w:jc w:val="center"/>
        </w:trPr>
        <w:tc>
          <w:tcPr>
            <w:tcW w:w="5529"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Pompieri</w:t>
            </w:r>
          </w:p>
        </w:tc>
        <w:tc>
          <w:tcPr>
            <w:tcW w:w="1984" w:type="dxa"/>
            <w:shd w:val="clear" w:color="auto" w:fill="D6E6F4"/>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35</w:t>
            </w:r>
          </w:p>
        </w:tc>
        <w:tc>
          <w:tcPr>
            <w:tcW w:w="2126" w:type="dxa"/>
            <w:tcBorders>
              <w:top w:val="nil"/>
              <w:left w:val="nil"/>
              <w:bottom w:val="nil"/>
              <w:right w:val="single" w:sz="8" w:space="0" w:color="5B9BD5"/>
            </w:tcBorders>
            <w:shd w:val="clear" w:color="auto" w:fill="D6E6F4"/>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0</w:t>
            </w:r>
          </w:p>
        </w:tc>
      </w:tr>
      <w:tr w:rsidR="00BF3FCA" w:rsidRPr="002D7FFE" w:rsidTr="009428B1">
        <w:trPr>
          <w:trHeight w:val="454"/>
          <w:jc w:val="center"/>
        </w:trPr>
        <w:tc>
          <w:tcPr>
            <w:tcW w:w="5529" w:type="dxa"/>
            <w:tcBorders>
              <w:top w:val="nil"/>
              <w:left w:val="nil"/>
              <w:bottom w:val="nil"/>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Servizio autoambulanze</w:t>
            </w:r>
          </w:p>
        </w:tc>
        <w:tc>
          <w:tcPr>
            <w:tcW w:w="1984" w:type="dxa"/>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20</w:t>
            </w:r>
          </w:p>
        </w:tc>
        <w:tc>
          <w:tcPr>
            <w:tcW w:w="2126" w:type="dxa"/>
            <w:tcBorders>
              <w:top w:val="nil"/>
              <w:left w:val="nil"/>
              <w:bottom w:val="nil"/>
              <w:right w:val="single" w:sz="8" w:space="0" w:color="5B9BD5"/>
            </w:tcBorders>
            <w:noWrap/>
            <w:tcMar>
              <w:top w:w="0" w:type="dxa"/>
              <w:left w:w="108" w:type="dxa"/>
              <w:bottom w:w="0" w:type="dxa"/>
              <w:right w:w="108" w:type="dxa"/>
            </w:tcMar>
            <w:vAlign w:val="center"/>
            <w:hideMark/>
          </w:tcPr>
          <w:p w:rsidR="00BF3FCA" w:rsidRPr="002D7FFE" w:rsidRDefault="00BF3FCA" w:rsidP="009428B1">
            <w:pPr>
              <w:contextualSpacing/>
              <w:rPr>
                <w:rFonts w:cs="Arial"/>
                <w:bCs/>
                <w:szCs w:val="24"/>
              </w:rPr>
            </w:pPr>
            <w:r w:rsidRPr="002D7FFE">
              <w:rPr>
                <w:rFonts w:cs="Arial"/>
                <w:bCs/>
                <w:szCs w:val="24"/>
              </w:rPr>
              <w:t>0</w:t>
            </w:r>
          </w:p>
        </w:tc>
      </w:tr>
      <w:tr w:rsidR="00BF3FCA" w:rsidRPr="002D7FFE" w:rsidTr="009428B1">
        <w:trPr>
          <w:trHeight w:val="386"/>
          <w:jc w:val="center"/>
        </w:trPr>
        <w:tc>
          <w:tcPr>
            <w:tcW w:w="5529" w:type="dxa"/>
            <w:tcBorders>
              <w:top w:val="single" w:sz="18" w:space="0" w:color="5B9BD5"/>
              <w:left w:val="nil"/>
              <w:bottom w:val="single" w:sz="8" w:space="0" w:color="5B9BD5"/>
              <w:right w:val="single" w:sz="12" w:space="0" w:color="5B9BD5"/>
            </w:tcBorders>
            <w:shd w:val="clear" w:color="auto" w:fill="FFFFFF"/>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 xml:space="preserve">Totale </w:t>
            </w:r>
          </w:p>
        </w:tc>
        <w:tc>
          <w:tcPr>
            <w:tcW w:w="1984" w:type="dxa"/>
            <w:tcBorders>
              <w:top w:val="single" w:sz="18" w:space="0" w:color="5B9BD5"/>
              <w:left w:val="nil"/>
              <w:bottom w:val="single" w:sz="8" w:space="0" w:color="5B9BD5"/>
              <w:right w:val="nil"/>
            </w:tcBorders>
            <w:shd w:val="clear" w:color="auto" w:fill="DBE5F1"/>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861</w:t>
            </w:r>
          </w:p>
        </w:tc>
        <w:tc>
          <w:tcPr>
            <w:tcW w:w="2126" w:type="dxa"/>
            <w:tcBorders>
              <w:top w:val="single" w:sz="18" w:space="0" w:color="5B9BD5"/>
              <w:left w:val="nil"/>
              <w:bottom w:val="single" w:sz="8" w:space="0" w:color="5B9BD5"/>
              <w:right w:val="single" w:sz="8" w:space="0" w:color="5B9BD5"/>
            </w:tcBorders>
            <w:shd w:val="clear" w:color="auto" w:fill="DBE5F1"/>
            <w:noWrap/>
            <w:tcMar>
              <w:top w:w="0" w:type="dxa"/>
              <w:left w:w="108" w:type="dxa"/>
              <w:bottom w:w="0" w:type="dxa"/>
              <w:right w:w="108" w:type="dxa"/>
            </w:tcMar>
            <w:vAlign w:val="center"/>
            <w:hideMark/>
          </w:tcPr>
          <w:p w:rsidR="00BF3FCA" w:rsidRPr="002D7FFE" w:rsidRDefault="00BF3FCA" w:rsidP="009428B1">
            <w:pPr>
              <w:contextualSpacing/>
              <w:rPr>
                <w:rFonts w:cs="Arial"/>
                <w:b/>
                <w:bCs/>
                <w:szCs w:val="24"/>
              </w:rPr>
            </w:pPr>
            <w:r w:rsidRPr="002D7FFE">
              <w:rPr>
                <w:rFonts w:cs="Arial"/>
                <w:b/>
                <w:bCs/>
                <w:szCs w:val="24"/>
              </w:rPr>
              <w:t>51</w:t>
            </w:r>
          </w:p>
        </w:tc>
      </w:tr>
    </w:tbl>
    <w:p w:rsidR="00BF3FCA" w:rsidRPr="002D7FFE" w:rsidRDefault="00BF3FCA" w:rsidP="00BF3FCA">
      <w:pPr>
        <w:contextualSpacing/>
        <w:rPr>
          <w:rFonts w:cs="Arial"/>
          <w:szCs w:val="24"/>
        </w:rPr>
      </w:pPr>
    </w:p>
    <w:p w:rsidR="00BF3FCA" w:rsidRPr="002D7FFE" w:rsidRDefault="00BF3FCA" w:rsidP="00BF3FCA">
      <w:pPr>
        <w:contextualSpacing/>
        <w:rPr>
          <w:rFonts w:cs="Arial"/>
          <w:szCs w:val="24"/>
        </w:rPr>
      </w:pPr>
      <w:r w:rsidRPr="002D7FFE">
        <w:rPr>
          <w:rFonts w:cs="Arial"/>
          <w:szCs w:val="24"/>
        </w:rPr>
        <w:t xml:space="preserve">Gli Enti terzi procedono in maniera autonoma all’approvvigionamento delle proprie radio e accessori, ragione per la quale il presente messaggio non contempla le correlate spese. </w:t>
      </w:r>
    </w:p>
    <w:p w:rsidR="00BF3FCA" w:rsidRDefault="00BF3FCA" w:rsidP="00BF3FCA">
      <w:pPr>
        <w:contextualSpacing/>
        <w:rPr>
          <w:rFonts w:cs="Arial"/>
          <w:szCs w:val="24"/>
        </w:rPr>
      </w:pPr>
    </w:p>
    <w:p w:rsidR="00C94804" w:rsidRPr="002D7FFE" w:rsidRDefault="00C94804" w:rsidP="00BF3FCA">
      <w:pPr>
        <w:contextualSpacing/>
        <w:rPr>
          <w:rFonts w:cs="Arial"/>
          <w:szCs w:val="24"/>
        </w:rPr>
      </w:pPr>
    </w:p>
    <w:p w:rsidR="00BF3FCA" w:rsidRPr="009B7996" w:rsidRDefault="00BF3FCA" w:rsidP="00C94804">
      <w:pPr>
        <w:pStyle w:val="Titolo2"/>
        <w:numPr>
          <w:ilvl w:val="0"/>
          <w:numId w:val="0"/>
        </w:numPr>
        <w:spacing w:before="0" w:after="120"/>
        <w:ind w:left="544" w:hanging="544"/>
      </w:pPr>
      <w:r w:rsidRPr="009B7996">
        <w:t>2.3</w:t>
      </w:r>
      <w:r w:rsidRPr="009B7996">
        <w:tab/>
      </w:r>
      <w:r w:rsidR="00C94804" w:rsidRPr="009B7996">
        <w:t>C</w:t>
      </w:r>
      <w:r w:rsidR="00C94804">
        <w:t>osti di gestione</w:t>
      </w:r>
    </w:p>
    <w:p w:rsidR="00BF3FCA" w:rsidRPr="009B7996" w:rsidRDefault="00BF3FCA" w:rsidP="00BF3FCA">
      <w:pPr>
        <w:contextualSpacing/>
        <w:rPr>
          <w:rFonts w:cs="Arial"/>
          <w:szCs w:val="24"/>
        </w:rPr>
      </w:pPr>
      <w:r w:rsidRPr="009B7996">
        <w:rPr>
          <w:rFonts w:cs="Arial"/>
          <w:szCs w:val="24"/>
        </w:rPr>
        <w:t xml:space="preserve">Il numero di radio Polycom in servizio si è stabilizzato mentre è aumentato il costo di manutenzione e riparazione come si evince dalla tabella esposta nel Messaggio. Le radio e la rete di comunicazione Polycom sono di proprietà intellettuale della ditta Airbus, mentre il rivenditore unico ed esclusivo per l’intera Svizzera è la ditta RUAG SA. Non esistono </w:t>
      </w:r>
      <w:r w:rsidRPr="009B7996">
        <w:rPr>
          <w:rFonts w:cs="Arial"/>
          <w:szCs w:val="24"/>
        </w:rPr>
        <w:lastRenderedPageBreak/>
        <w:t>alternative ai modelli proposti. Per alcuni accessori è invece possibile far capo a fornitori specialistici.</w:t>
      </w:r>
    </w:p>
    <w:p w:rsidR="00BF3FCA" w:rsidRPr="009B7996" w:rsidRDefault="00BF3FCA" w:rsidP="00BF3FCA">
      <w:pPr>
        <w:contextualSpacing/>
        <w:rPr>
          <w:rFonts w:cs="Arial"/>
          <w:szCs w:val="24"/>
        </w:rPr>
      </w:pPr>
    </w:p>
    <w:p w:rsidR="00BF3FCA" w:rsidRDefault="00BF3FCA" w:rsidP="00BF3FCA">
      <w:pPr>
        <w:contextualSpacing/>
        <w:rPr>
          <w:rFonts w:cs="Arial"/>
          <w:szCs w:val="24"/>
        </w:rPr>
      </w:pPr>
      <w:r w:rsidRPr="009B7996">
        <w:rPr>
          <w:rFonts w:cs="Arial"/>
          <w:szCs w:val="24"/>
        </w:rPr>
        <w:t>Considerata la fine del ciclo di vita del modello in uso agli enti cantonali e l’impossibilità di garantirne le riparazioni già ad oggi, si rende necessaria l’acquisizione dei nuovi modelli.</w:t>
      </w:r>
    </w:p>
    <w:p w:rsidR="00C94804" w:rsidRDefault="00C94804" w:rsidP="00BF3FCA">
      <w:pPr>
        <w:contextualSpacing/>
        <w:rPr>
          <w:rFonts w:cs="Arial"/>
          <w:szCs w:val="24"/>
        </w:rPr>
      </w:pPr>
    </w:p>
    <w:p w:rsidR="00C94804" w:rsidRPr="009B7996" w:rsidRDefault="00C94804" w:rsidP="00BF3FCA">
      <w:pPr>
        <w:contextualSpacing/>
        <w:rPr>
          <w:rFonts w:cs="Arial"/>
          <w:szCs w:val="24"/>
        </w:rPr>
      </w:pPr>
    </w:p>
    <w:p w:rsidR="00BF3FCA" w:rsidRPr="009B7996" w:rsidRDefault="00C94804" w:rsidP="00C94804">
      <w:pPr>
        <w:pStyle w:val="Titolo1"/>
        <w:numPr>
          <w:ilvl w:val="0"/>
          <w:numId w:val="0"/>
        </w:numPr>
        <w:tabs>
          <w:tab w:val="left" w:pos="567"/>
        </w:tabs>
        <w:spacing w:before="0"/>
        <w:jc w:val="both"/>
      </w:pPr>
      <w:r>
        <w:t>2.4</w:t>
      </w:r>
      <w:r>
        <w:tab/>
        <w:t>C</w:t>
      </w:r>
      <w:r w:rsidRPr="009B7996">
        <w:t>onseguenze di natura finanziaria</w:t>
      </w:r>
      <w:r>
        <w:t xml:space="preserve"> e di gestione corrente</w:t>
      </w:r>
    </w:p>
    <w:p w:rsidR="00BF3FCA" w:rsidRPr="009B7996" w:rsidRDefault="00BF3FCA" w:rsidP="00BF3FCA">
      <w:pPr>
        <w:pStyle w:val="Paragrafoelenco"/>
        <w:numPr>
          <w:ilvl w:val="0"/>
          <w:numId w:val="21"/>
        </w:numPr>
        <w:spacing w:before="120"/>
        <w:ind w:left="284" w:hanging="284"/>
        <w:contextualSpacing w:val="0"/>
        <w:rPr>
          <w:rFonts w:cs="Arial"/>
          <w:szCs w:val="24"/>
        </w:rPr>
      </w:pPr>
      <w:r w:rsidRPr="009B7996">
        <w:rPr>
          <w:rFonts w:cs="Arial"/>
          <w:iCs/>
          <w:szCs w:val="24"/>
        </w:rPr>
        <w:t xml:space="preserve">Spese di gestione corrente annue, dal 2023 </w:t>
      </w:r>
      <w:r w:rsidRPr="009B7996">
        <w:rPr>
          <w:rFonts w:cs="Arial"/>
          <w:szCs w:val="24"/>
        </w:rPr>
        <w:t>(CRB 190, conto</w:t>
      </w:r>
      <w:r w:rsidRPr="009B7996">
        <w:rPr>
          <w:rFonts w:cs="Arial"/>
          <w:iCs/>
          <w:szCs w:val="24"/>
        </w:rPr>
        <w:t xml:space="preserve"> 31530003 “Manutenzione apparecchi elettronici, radio e telecomunicazioni”</w:t>
      </w:r>
      <w:r w:rsidRPr="009B7996">
        <w:rPr>
          <w:rFonts w:cs="Arial"/>
          <w:szCs w:val="24"/>
        </w:rPr>
        <w:t xml:space="preserve">), </w:t>
      </w:r>
      <w:r w:rsidRPr="009B7996">
        <w:rPr>
          <w:rFonts w:cs="Arial"/>
          <w:iCs/>
          <w:szCs w:val="24"/>
        </w:rPr>
        <w:t>fr</w:t>
      </w:r>
      <w:r w:rsidRPr="009B7996">
        <w:rPr>
          <w:rFonts w:cs="Arial"/>
          <w:szCs w:val="24"/>
        </w:rPr>
        <w:t>. 10'000.-</w:t>
      </w:r>
      <w:r w:rsidR="00C94804">
        <w:rPr>
          <w:rFonts w:cs="Arial"/>
          <w:szCs w:val="24"/>
        </w:rPr>
        <w:t>.</w:t>
      </w:r>
    </w:p>
    <w:p w:rsidR="00BF3FCA" w:rsidRPr="009B7996" w:rsidRDefault="00BF3FCA" w:rsidP="00BF3FCA">
      <w:pPr>
        <w:contextualSpacing/>
        <w:rPr>
          <w:rFonts w:cs="Arial"/>
          <w:szCs w:val="24"/>
        </w:rPr>
      </w:pPr>
    </w:p>
    <w:p w:rsidR="00BF3FCA" w:rsidRPr="009B7996" w:rsidRDefault="00BF3FCA" w:rsidP="00BF3FCA">
      <w:pPr>
        <w:contextualSpacing/>
        <w:rPr>
          <w:rFonts w:cs="Arial"/>
          <w:szCs w:val="24"/>
        </w:rPr>
      </w:pPr>
      <w:r w:rsidRPr="009B7996">
        <w:rPr>
          <w:rFonts w:cs="Arial"/>
          <w:szCs w:val="24"/>
        </w:rPr>
        <w:t>Il costo di investimento è così suddiviso:</w:t>
      </w:r>
    </w:p>
    <w:p w:rsidR="00BF3FCA" w:rsidRPr="00BF7151" w:rsidRDefault="00BF3FCA" w:rsidP="00BF3FCA">
      <w:pPr>
        <w:contextualSpacing/>
        <w:rPr>
          <w:rFonts w:cs="Arial"/>
          <w:szCs w:val="24"/>
        </w:rPr>
      </w:pPr>
    </w:p>
    <w:tbl>
      <w:tblPr>
        <w:tblStyle w:val="Tabellaelenco4-colore11"/>
        <w:tblW w:w="9351" w:type="dxa"/>
        <w:tblInd w:w="0" w:type="dxa"/>
        <w:tblLook w:val="04A0" w:firstRow="1" w:lastRow="0" w:firstColumn="1" w:lastColumn="0" w:noHBand="0" w:noVBand="1"/>
      </w:tblPr>
      <w:tblGrid>
        <w:gridCol w:w="723"/>
        <w:gridCol w:w="4394"/>
        <w:gridCol w:w="1257"/>
        <w:gridCol w:w="1276"/>
        <w:gridCol w:w="1701"/>
      </w:tblGrid>
      <w:tr w:rsidR="00C94804" w:rsidRPr="00BF7151" w:rsidTr="00C9480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3" w:type="dxa"/>
            <w:tcBorders>
              <w:right w:val="nil"/>
            </w:tcBorders>
            <w:noWrap/>
            <w:hideMark/>
          </w:tcPr>
          <w:p w:rsidR="00BF3FCA" w:rsidRPr="00BF7151" w:rsidRDefault="00BF3FCA" w:rsidP="009428B1">
            <w:pPr>
              <w:contextualSpacing/>
              <w:rPr>
                <w:rFonts w:cs="Arial"/>
                <w:color w:val="auto"/>
                <w:szCs w:val="24"/>
              </w:rPr>
            </w:pPr>
            <w:proofErr w:type="spellStart"/>
            <w:r w:rsidRPr="00BF7151">
              <w:rPr>
                <w:rFonts w:cs="Arial"/>
                <w:color w:val="auto"/>
                <w:szCs w:val="24"/>
              </w:rPr>
              <w:t>Pos</w:t>
            </w:r>
            <w:proofErr w:type="spellEnd"/>
            <w:r w:rsidRPr="00BF7151">
              <w:rPr>
                <w:rFonts w:cs="Arial"/>
                <w:color w:val="auto"/>
                <w:szCs w:val="24"/>
              </w:rPr>
              <w:t>.</w:t>
            </w:r>
          </w:p>
        </w:tc>
        <w:tc>
          <w:tcPr>
            <w:tcW w:w="4394" w:type="dxa"/>
            <w:tcBorders>
              <w:left w:val="nil"/>
              <w:right w:val="nil"/>
            </w:tcBorders>
            <w:noWrap/>
            <w:hideMark/>
          </w:tcPr>
          <w:p w:rsidR="00BF3FCA" w:rsidRPr="00BF7151" w:rsidRDefault="00BF3FCA" w:rsidP="009428B1">
            <w:pPr>
              <w:contextualSpacing/>
              <w:cnfStyle w:val="100000000000" w:firstRow="1" w:lastRow="0" w:firstColumn="0" w:lastColumn="0" w:oddVBand="0" w:evenVBand="0" w:oddHBand="0" w:evenHBand="0" w:firstRowFirstColumn="0" w:firstRowLastColumn="0" w:lastRowFirstColumn="0" w:lastRowLastColumn="0"/>
              <w:rPr>
                <w:rFonts w:cs="Arial"/>
                <w:b w:val="0"/>
                <w:color w:val="auto"/>
                <w:szCs w:val="24"/>
              </w:rPr>
            </w:pPr>
            <w:r w:rsidRPr="00BF7151">
              <w:rPr>
                <w:rFonts w:cs="Arial"/>
                <w:color w:val="auto"/>
                <w:szCs w:val="24"/>
              </w:rPr>
              <w:t>Descrizione</w:t>
            </w:r>
          </w:p>
        </w:tc>
        <w:tc>
          <w:tcPr>
            <w:tcW w:w="1257" w:type="dxa"/>
            <w:tcBorders>
              <w:left w:val="nil"/>
              <w:right w:val="nil"/>
            </w:tcBorders>
            <w:hideMark/>
          </w:tcPr>
          <w:p w:rsidR="00BF3FCA" w:rsidRPr="00BF7151" w:rsidRDefault="00BF3FCA" w:rsidP="009428B1">
            <w:pPr>
              <w:contextualSpacing/>
              <w:cnfStyle w:val="100000000000" w:firstRow="1" w:lastRow="0" w:firstColumn="0" w:lastColumn="0" w:oddVBand="0" w:evenVBand="0" w:oddHBand="0" w:evenHBand="0" w:firstRowFirstColumn="0" w:firstRowLastColumn="0" w:lastRowFirstColumn="0" w:lastRowLastColumn="0"/>
              <w:rPr>
                <w:rFonts w:cs="Arial"/>
                <w:b w:val="0"/>
                <w:color w:val="auto"/>
                <w:szCs w:val="24"/>
              </w:rPr>
            </w:pPr>
            <w:r w:rsidRPr="00BF7151">
              <w:rPr>
                <w:rFonts w:cs="Arial"/>
                <w:color w:val="auto"/>
                <w:szCs w:val="24"/>
              </w:rPr>
              <w:t>Costo unitario</w:t>
            </w:r>
          </w:p>
        </w:tc>
        <w:tc>
          <w:tcPr>
            <w:tcW w:w="1276" w:type="dxa"/>
            <w:tcBorders>
              <w:left w:val="nil"/>
              <w:right w:val="nil"/>
            </w:tcBorders>
            <w:hideMark/>
          </w:tcPr>
          <w:p w:rsidR="00BF3FCA" w:rsidRPr="00BF7151" w:rsidRDefault="00BF3FCA" w:rsidP="009428B1">
            <w:pPr>
              <w:contextualSpacing/>
              <w:cnfStyle w:val="100000000000" w:firstRow="1" w:lastRow="0" w:firstColumn="0" w:lastColumn="0" w:oddVBand="0" w:evenVBand="0" w:oddHBand="0" w:evenHBand="0" w:firstRowFirstColumn="0" w:firstRowLastColumn="0" w:lastRowFirstColumn="0" w:lastRowLastColumn="0"/>
              <w:rPr>
                <w:rFonts w:cs="Arial"/>
                <w:b w:val="0"/>
                <w:color w:val="auto"/>
                <w:szCs w:val="24"/>
              </w:rPr>
            </w:pPr>
            <w:r w:rsidRPr="00BF7151">
              <w:rPr>
                <w:rFonts w:cs="Arial"/>
                <w:color w:val="auto"/>
                <w:szCs w:val="24"/>
              </w:rPr>
              <w:t>Quantità</w:t>
            </w:r>
          </w:p>
        </w:tc>
        <w:tc>
          <w:tcPr>
            <w:tcW w:w="1701" w:type="dxa"/>
            <w:tcBorders>
              <w:left w:val="nil"/>
            </w:tcBorders>
            <w:hideMark/>
          </w:tcPr>
          <w:p w:rsidR="00BF3FCA" w:rsidRPr="00BF7151" w:rsidRDefault="00BF3FCA" w:rsidP="009428B1">
            <w:pPr>
              <w:contextualSpacing/>
              <w:cnfStyle w:val="100000000000" w:firstRow="1" w:lastRow="0" w:firstColumn="0" w:lastColumn="0" w:oddVBand="0" w:evenVBand="0" w:oddHBand="0" w:evenHBand="0" w:firstRowFirstColumn="0" w:firstRowLastColumn="0" w:lastRowFirstColumn="0" w:lastRowLastColumn="0"/>
              <w:rPr>
                <w:rFonts w:cs="Arial"/>
                <w:b w:val="0"/>
                <w:color w:val="auto"/>
                <w:szCs w:val="24"/>
              </w:rPr>
            </w:pPr>
            <w:r w:rsidRPr="00BF7151">
              <w:rPr>
                <w:rFonts w:cs="Arial"/>
                <w:color w:val="auto"/>
                <w:szCs w:val="24"/>
              </w:rPr>
              <w:t>Importo totale</w:t>
            </w:r>
          </w:p>
        </w:tc>
      </w:tr>
      <w:tr w:rsidR="00C94804" w:rsidRPr="00BF7151" w:rsidTr="00C948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hideMark/>
          </w:tcPr>
          <w:p w:rsidR="00BF3FCA" w:rsidRPr="00BF7151" w:rsidRDefault="00BF3FCA" w:rsidP="009428B1">
            <w:pPr>
              <w:contextualSpacing/>
              <w:rPr>
                <w:rFonts w:cs="Arial"/>
                <w:szCs w:val="24"/>
              </w:rPr>
            </w:pPr>
            <w:r w:rsidRPr="00BF7151">
              <w:rPr>
                <w:rFonts w:cs="Arial"/>
                <w:szCs w:val="24"/>
              </w:rPr>
              <w:t>1</w:t>
            </w:r>
          </w:p>
        </w:tc>
        <w:tc>
          <w:tcPr>
            <w:tcW w:w="4394"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Radio portatili TPH-900, inclusi gli accessori standard</w:t>
            </w:r>
          </w:p>
        </w:tc>
        <w:tc>
          <w:tcPr>
            <w:tcW w:w="1257"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1’915.-</w:t>
            </w:r>
          </w:p>
        </w:tc>
        <w:tc>
          <w:tcPr>
            <w:tcW w:w="1276"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1060</w:t>
            </w: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bCs/>
                <w:szCs w:val="24"/>
              </w:rPr>
            </w:pPr>
            <w:r w:rsidRPr="00BF7151">
              <w:rPr>
                <w:rFonts w:cs="Arial"/>
                <w:bCs/>
                <w:szCs w:val="24"/>
              </w:rPr>
              <w:t>2'029'900.00</w:t>
            </w:r>
          </w:p>
        </w:tc>
      </w:tr>
      <w:tr w:rsidR="00C94804" w:rsidRPr="00BF7151" w:rsidTr="00C94804">
        <w:trPr>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hideMark/>
          </w:tcPr>
          <w:p w:rsidR="00BF3FCA" w:rsidRPr="00BF7151" w:rsidRDefault="00BF3FCA" w:rsidP="009428B1">
            <w:pPr>
              <w:contextualSpacing/>
              <w:rPr>
                <w:rFonts w:cs="Arial"/>
                <w:szCs w:val="24"/>
              </w:rPr>
            </w:pPr>
            <w:r w:rsidRPr="00BF7151">
              <w:rPr>
                <w:rFonts w:cs="Arial"/>
                <w:szCs w:val="24"/>
              </w:rPr>
              <w:t>1.1</w:t>
            </w:r>
          </w:p>
        </w:tc>
        <w:tc>
          <w:tcPr>
            <w:tcW w:w="4394"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r w:rsidRPr="00BF7151">
              <w:rPr>
                <w:rFonts w:cs="Arial"/>
                <w:szCs w:val="24"/>
              </w:rPr>
              <w:t xml:space="preserve">Guarnizioni radio per gruppi speciali (secondo offerte esplorative) </w:t>
            </w:r>
          </w:p>
        </w:tc>
        <w:tc>
          <w:tcPr>
            <w:tcW w:w="1257"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p>
        </w:tc>
        <w:tc>
          <w:tcPr>
            <w:tcW w:w="1276"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bCs/>
                <w:szCs w:val="24"/>
              </w:rPr>
            </w:pPr>
            <w:r w:rsidRPr="00BF7151">
              <w:rPr>
                <w:rFonts w:cs="Arial"/>
                <w:bCs/>
                <w:szCs w:val="24"/>
              </w:rPr>
              <w:t>212’530.50</w:t>
            </w:r>
          </w:p>
        </w:tc>
      </w:tr>
      <w:tr w:rsidR="00C94804" w:rsidRPr="00BF7151" w:rsidTr="00C948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hideMark/>
          </w:tcPr>
          <w:p w:rsidR="00BF3FCA" w:rsidRPr="00BF7151" w:rsidRDefault="00BF3FCA" w:rsidP="009428B1">
            <w:pPr>
              <w:contextualSpacing/>
              <w:rPr>
                <w:rFonts w:cs="Arial"/>
                <w:szCs w:val="24"/>
              </w:rPr>
            </w:pPr>
            <w:r w:rsidRPr="00BF7151">
              <w:rPr>
                <w:rFonts w:cs="Arial"/>
                <w:szCs w:val="24"/>
              </w:rPr>
              <w:t>1.2</w:t>
            </w:r>
          </w:p>
        </w:tc>
        <w:tc>
          <w:tcPr>
            <w:tcW w:w="4394"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 xml:space="preserve">Riserva accessori e pezzi di ricambio radio portatili </w:t>
            </w:r>
          </w:p>
        </w:tc>
        <w:tc>
          <w:tcPr>
            <w:tcW w:w="1257"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p>
        </w:tc>
        <w:tc>
          <w:tcPr>
            <w:tcW w:w="1276"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5%</w:t>
            </w: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bCs/>
                <w:szCs w:val="24"/>
              </w:rPr>
            </w:pPr>
            <w:r w:rsidRPr="00BF7151">
              <w:rPr>
                <w:rFonts w:cs="Arial"/>
                <w:bCs/>
                <w:szCs w:val="24"/>
              </w:rPr>
              <w:t>101’495.00</w:t>
            </w:r>
          </w:p>
        </w:tc>
      </w:tr>
      <w:tr w:rsidR="00C94804" w:rsidRPr="00BF7151" w:rsidTr="00C94804">
        <w:trPr>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hideMark/>
          </w:tcPr>
          <w:p w:rsidR="00BF3FCA" w:rsidRPr="00BF7151" w:rsidRDefault="00BF3FCA" w:rsidP="009428B1">
            <w:pPr>
              <w:contextualSpacing/>
              <w:rPr>
                <w:rFonts w:cs="Arial"/>
                <w:szCs w:val="24"/>
              </w:rPr>
            </w:pPr>
            <w:r w:rsidRPr="00BF7151">
              <w:rPr>
                <w:rFonts w:cs="Arial"/>
                <w:szCs w:val="24"/>
              </w:rPr>
              <w:t>2</w:t>
            </w:r>
          </w:p>
        </w:tc>
        <w:tc>
          <w:tcPr>
            <w:tcW w:w="4394"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r w:rsidRPr="00BF7151">
              <w:rPr>
                <w:rFonts w:cs="Arial"/>
                <w:szCs w:val="24"/>
              </w:rPr>
              <w:t>Radio veicolari TPM-900</w:t>
            </w:r>
          </w:p>
        </w:tc>
        <w:tc>
          <w:tcPr>
            <w:tcW w:w="1257"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r w:rsidRPr="00BF7151">
              <w:rPr>
                <w:rFonts w:cs="Arial"/>
                <w:szCs w:val="24"/>
              </w:rPr>
              <w:t>3’727.-</w:t>
            </w:r>
          </w:p>
        </w:tc>
        <w:tc>
          <w:tcPr>
            <w:tcW w:w="1276"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r w:rsidRPr="00BF7151">
              <w:rPr>
                <w:rFonts w:cs="Arial"/>
                <w:szCs w:val="24"/>
              </w:rPr>
              <w:t>289</w:t>
            </w: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bCs/>
                <w:szCs w:val="24"/>
              </w:rPr>
            </w:pPr>
            <w:r w:rsidRPr="00BF7151">
              <w:rPr>
                <w:rFonts w:cs="Arial"/>
                <w:bCs/>
                <w:szCs w:val="24"/>
              </w:rPr>
              <w:t>1'077’103.00</w:t>
            </w:r>
          </w:p>
        </w:tc>
      </w:tr>
      <w:tr w:rsidR="00C94804" w:rsidRPr="00BF7151" w:rsidTr="00C948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hideMark/>
          </w:tcPr>
          <w:p w:rsidR="00BF3FCA" w:rsidRPr="00BF7151" w:rsidRDefault="00BF3FCA" w:rsidP="009428B1">
            <w:pPr>
              <w:contextualSpacing/>
              <w:rPr>
                <w:rFonts w:cs="Arial"/>
                <w:szCs w:val="24"/>
              </w:rPr>
            </w:pPr>
            <w:r w:rsidRPr="00BF7151">
              <w:rPr>
                <w:rFonts w:cs="Arial"/>
                <w:szCs w:val="24"/>
              </w:rPr>
              <w:t>2.1</w:t>
            </w:r>
          </w:p>
        </w:tc>
        <w:tc>
          <w:tcPr>
            <w:tcW w:w="4394"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Riserva accessori e pezzi di ricambio radio veicolari</w:t>
            </w:r>
          </w:p>
        </w:tc>
        <w:tc>
          <w:tcPr>
            <w:tcW w:w="1257"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p>
        </w:tc>
        <w:tc>
          <w:tcPr>
            <w:tcW w:w="1276"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2%</w:t>
            </w: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bCs/>
                <w:szCs w:val="24"/>
              </w:rPr>
            </w:pPr>
            <w:r w:rsidRPr="00BF7151">
              <w:rPr>
                <w:rFonts w:cs="Arial"/>
                <w:bCs/>
                <w:szCs w:val="24"/>
              </w:rPr>
              <w:t>21'542.06</w:t>
            </w:r>
          </w:p>
        </w:tc>
      </w:tr>
      <w:tr w:rsidR="00C94804" w:rsidRPr="00BF7151" w:rsidTr="00C94804">
        <w:trPr>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tcPr>
          <w:p w:rsidR="00BF3FCA" w:rsidRPr="00BF7151" w:rsidRDefault="00BF3FCA" w:rsidP="00C94804">
            <w:pPr>
              <w:spacing w:before="60" w:after="60"/>
              <w:rPr>
                <w:rFonts w:cs="Arial"/>
                <w:szCs w:val="24"/>
              </w:rPr>
            </w:pPr>
          </w:p>
        </w:tc>
        <w:tc>
          <w:tcPr>
            <w:tcW w:w="4394" w:type="dxa"/>
            <w:tcBorders>
              <w:top w:val="single" w:sz="4" w:space="0" w:color="95B3D7"/>
              <w:left w:val="nil"/>
              <w:bottom w:val="single" w:sz="4" w:space="0" w:color="95B3D7"/>
              <w:right w:val="nil"/>
            </w:tcBorders>
            <w:noWrap/>
            <w:vAlign w:val="center"/>
            <w:hideMark/>
          </w:tcPr>
          <w:p w:rsidR="00BF3FCA" w:rsidRPr="00C94804" w:rsidRDefault="00C94804" w:rsidP="00C94804">
            <w:pPr>
              <w:spacing w:before="60" w:after="60"/>
              <w:cnfStyle w:val="000000000000" w:firstRow="0" w:lastRow="0" w:firstColumn="0" w:lastColumn="0" w:oddVBand="0" w:evenVBand="0" w:oddHBand="0" w:evenHBand="0" w:firstRowFirstColumn="0" w:firstRowLastColumn="0" w:lastRowFirstColumn="0" w:lastRowLastColumn="0"/>
              <w:rPr>
                <w:rFonts w:cs="Arial"/>
                <w:b/>
                <w:szCs w:val="24"/>
              </w:rPr>
            </w:pPr>
            <w:r w:rsidRPr="00C94804">
              <w:rPr>
                <w:rFonts w:cs="Arial"/>
                <w:b/>
                <w:szCs w:val="24"/>
              </w:rPr>
              <w:t>TOTALE</w:t>
            </w:r>
          </w:p>
        </w:tc>
        <w:tc>
          <w:tcPr>
            <w:tcW w:w="1257" w:type="dxa"/>
            <w:tcBorders>
              <w:top w:val="single" w:sz="4" w:space="0" w:color="95B3D7"/>
              <w:left w:val="nil"/>
              <w:bottom w:val="single" w:sz="4" w:space="0" w:color="95B3D7"/>
              <w:right w:val="nil"/>
            </w:tcBorders>
            <w:noWrap/>
            <w:vAlign w:val="center"/>
          </w:tcPr>
          <w:p w:rsidR="00BF3FCA" w:rsidRPr="00BF7151" w:rsidRDefault="00BF3FCA" w:rsidP="00C94804">
            <w:pPr>
              <w:spacing w:before="60" w:after="60"/>
              <w:cnfStyle w:val="000000000000" w:firstRow="0" w:lastRow="0" w:firstColumn="0" w:lastColumn="0" w:oddVBand="0" w:evenVBand="0" w:oddHBand="0" w:evenHBand="0" w:firstRowFirstColumn="0" w:firstRowLastColumn="0" w:lastRowFirstColumn="0" w:lastRowLastColumn="0"/>
              <w:rPr>
                <w:rFonts w:cs="Arial"/>
                <w:b/>
                <w:szCs w:val="24"/>
              </w:rPr>
            </w:pPr>
          </w:p>
        </w:tc>
        <w:tc>
          <w:tcPr>
            <w:tcW w:w="1276" w:type="dxa"/>
            <w:tcBorders>
              <w:top w:val="single" w:sz="4" w:space="0" w:color="95B3D7"/>
              <w:left w:val="nil"/>
              <w:bottom w:val="single" w:sz="4" w:space="0" w:color="95B3D7"/>
              <w:right w:val="nil"/>
            </w:tcBorders>
            <w:noWrap/>
            <w:vAlign w:val="center"/>
          </w:tcPr>
          <w:p w:rsidR="00BF3FCA" w:rsidRPr="00BF7151" w:rsidRDefault="00BF3FCA" w:rsidP="00C94804">
            <w:pPr>
              <w:spacing w:before="60" w:after="60"/>
              <w:cnfStyle w:val="000000000000" w:firstRow="0" w:lastRow="0" w:firstColumn="0" w:lastColumn="0" w:oddVBand="0" w:evenVBand="0" w:oddHBand="0" w:evenHBand="0" w:firstRowFirstColumn="0" w:firstRowLastColumn="0" w:lastRowFirstColumn="0" w:lastRowLastColumn="0"/>
              <w:rPr>
                <w:rFonts w:cs="Arial"/>
                <w:b/>
                <w:szCs w:val="24"/>
              </w:rPr>
            </w:pP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C94804">
            <w:pPr>
              <w:spacing w:before="60" w:after="60"/>
              <w:cnfStyle w:val="000000000000" w:firstRow="0" w:lastRow="0" w:firstColumn="0" w:lastColumn="0" w:oddVBand="0" w:evenVBand="0" w:oddHBand="0" w:evenHBand="0" w:firstRowFirstColumn="0" w:firstRowLastColumn="0" w:lastRowFirstColumn="0" w:lastRowLastColumn="0"/>
              <w:rPr>
                <w:rFonts w:cs="Arial"/>
                <w:b/>
                <w:bCs/>
                <w:szCs w:val="24"/>
              </w:rPr>
            </w:pPr>
            <w:r w:rsidRPr="00BF7151">
              <w:rPr>
                <w:rFonts w:cs="Arial"/>
                <w:b/>
                <w:bCs/>
                <w:szCs w:val="24"/>
              </w:rPr>
              <w:t>3'442'570.56</w:t>
            </w:r>
          </w:p>
        </w:tc>
      </w:tr>
      <w:tr w:rsidR="00C94804" w:rsidRPr="00BF7151" w:rsidTr="00C948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tcPr>
          <w:p w:rsidR="00BF3FCA" w:rsidRPr="00BF7151" w:rsidRDefault="00BF3FCA" w:rsidP="009428B1">
            <w:pPr>
              <w:contextualSpacing/>
              <w:rPr>
                <w:rFonts w:cs="Arial"/>
                <w:szCs w:val="24"/>
              </w:rPr>
            </w:pPr>
          </w:p>
        </w:tc>
        <w:tc>
          <w:tcPr>
            <w:tcW w:w="4394"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Spese (p.es smaltimento)</w:t>
            </w:r>
          </w:p>
        </w:tc>
        <w:tc>
          <w:tcPr>
            <w:tcW w:w="1257"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50.-</w:t>
            </w:r>
          </w:p>
        </w:tc>
        <w:tc>
          <w:tcPr>
            <w:tcW w:w="1276"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1349</w:t>
            </w: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bCs/>
                <w:szCs w:val="24"/>
              </w:rPr>
            </w:pPr>
            <w:r w:rsidRPr="00BF7151">
              <w:rPr>
                <w:rFonts w:cs="Arial"/>
                <w:bCs/>
                <w:szCs w:val="24"/>
              </w:rPr>
              <w:t>67'450.00</w:t>
            </w:r>
          </w:p>
        </w:tc>
      </w:tr>
      <w:tr w:rsidR="00C94804" w:rsidRPr="00BF7151" w:rsidTr="00C94804">
        <w:trPr>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tcPr>
          <w:p w:rsidR="00BF3FCA" w:rsidRPr="00BF7151" w:rsidRDefault="00BF3FCA" w:rsidP="009428B1">
            <w:pPr>
              <w:contextualSpacing/>
              <w:rPr>
                <w:rFonts w:cs="Arial"/>
                <w:szCs w:val="24"/>
              </w:rPr>
            </w:pPr>
          </w:p>
        </w:tc>
        <w:tc>
          <w:tcPr>
            <w:tcW w:w="4394"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r w:rsidRPr="00BF7151">
              <w:rPr>
                <w:rFonts w:cs="Arial"/>
                <w:szCs w:val="24"/>
              </w:rPr>
              <w:t>TOTALE</w:t>
            </w:r>
          </w:p>
        </w:tc>
        <w:tc>
          <w:tcPr>
            <w:tcW w:w="1257"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p>
        </w:tc>
        <w:tc>
          <w:tcPr>
            <w:tcW w:w="1276"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bCs/>
                <w:szCs w:val="24"/>
              </w:rPr>
            </w:pPr>
            <w:r w:rsidRPr="00BF7151">
              <w:rPr>
                <w:rFonts w:cs="Arial"/>
                <w:bCs/>
                <w:szCs w:val="24"/>
              </w:rPr>
              <w:t>3'510'020.56</w:t>
            </w:r>
          </w:p>
        </w:tc>
      </w:tr>
      <w:tr w:rsidR="00C94804" w:rsidRPr="00BF7151" w:rsidTr="00C948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tcPr>
          <w:p w:rsidR="00BF3FCA" w:rsidRPr="00BF7151" w:rsidRDefault="00BF3FCA" w:rsidP="009428B1">
            <w:pPr>
              <w:contextualSpacing/>
              <w:rPr>
                <w:rFonts w:cs="Arial"/>
                <w:szCs w:val="24"/>
              </w:rPr>
            </w:pPr>
          </w:p>
        </w:tc>
        <w:tc>
          <w:tcPr>
            <w:tcW w:w="4394" w:type="dxa"/>
            <w:tcBorders>
              <w:top w:val="single" w:sz="4" w:space="0" w:color="95B3D7"/>
              <w:left w:val="nil"/>
              <w:bottom w:val="single" w:sz="4" w:space="0" w:color="95B3D7"/>
              <w:right w:val="nil"/>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r w:rsidRPr="00BF7151">
              <w:rPr>
                <w:rFonts w:cs="Arial"/>
                <w:szCs w:val="24"/>
              </w:rPr>
              <w:t>IVA (7.7%)</w:t>
            </w:r>
          </w:p>
        </w:tc>
        <w:tc>
          <w:tcPr>
            <w:tcW w:w="1257"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p>
        </w:tc>
        <w:tc>
          <w:tcPr>
            <w:tcW w:w="1276"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szCs w:val="24"/>
              </w:rPr>
            </w:pP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9428B1">
            <w:pPr>
              <w:contextualSpacing/>
              <w:cnfStyle w:val="000000100000" w:firstRow="0" w:lastRow="0" w:firstColumn="0" w:lastColumn="0" w:oddVBand="0" w:evenVBand="0" w:oddHBand="1" w:evenHBand="0" w:firstRowFirstColumn="0" w:firstRowLastColumn="0" w:lastRowFirstColumn="0" w:lastRowLastColumn="0"/>
              <w:rPr>
                <w:rFonts w:cs="Arial"/>
                <w:bCs/>
                <w:szCs w:val="24"/>
              </w:rPr>
            </w:pPr>
            <w:r w:rsidRPr="00BF7151">
              <w:rPr>
                <w:rFonts w:cs="Arial"/>
                <w:bCs/>
                <w:szCs w:val="24"/>
              </w:rPr>
              <w:t>270'271.58</w:t>
            </w:r>
          </w:p>
        </w:tc>
      </w:tr>
      <w:tr w:rsidR="00C94804" w:rsidRPr="00BF7151" w:rsidTr="00C94804">
        <w:trPr>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tcPr>
          <w:p w:rsidR="00BF3FCA" w:rsidRPr="00BF7151" w:rsidRDefault="00BF3FCA" w:rsidP="009428B1">
            <w:pPr>
              <w:contextualSpacing/>
              <w:rPr>
                <w:rFonts w:cs="Arial"/>
                <w:szCs w:val="24"/>
              </w:rPr>
            </w:pPr>
          </w:p>
        </w:tc>
        <w:tc>
          <w:tcPr>
            <w:tcW w:w="4394"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r w:rsidRPr="00BF7151">
              <w:rPr>
                <w:rFonts w:cs="Arial"/>
                <w:szCs w:val="24"/>
              </w:rPr>
              <w:t>arrotondamento</w:t>
            </w:r>
          </w:p>
        </w:tc>
        <w:tc>
          <w:tcPr>
            <w:tcW w:w="1257"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p>
        </w:tc>
        <w:tc>
          <w:tcPr>
            <w:tcW w:w="1276" w:type="dxa"/>
            <w:tcBorders>
              <w:top w:val="single" w:sz="4" w:space="0" w:color="95B3D7"/>
              <w:left w:val="nil"/>
              <w:bottom w:val="single" w:sz="4" w:space="0" w:color="95B3D7"/>
              <w:right w:val="nil"/>
            </w:tcBorders>
            <w:noWrap/>
            <w:vAlign w:val="center"/>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szCs w:val="24"/>
              </w:rPr>
            </w:pPr>
          </w:p>
        </w:tc>
        <w:tc>
          <w:tcPr>
            <w:tcW w:w="1701" w:type="dxa"/>
            <w:tcBorders>
              <w:top w:val="single" w:sz="4" w:space="0" w:color="95B3D7"/>
              <w:left w:val="nil"/>
              <w:bottom w:val="single" w:sz="4" w:space="0" w:color="95B3D7"/>
              <w:right w:val="single" w:sz="4" w:space="0" w:color="95B3D7"/>
            </w:tcBorders>
            <w:noWrap/>
            <w:vAlign w:val="center"/>
          </w:tcPr>
          <w:p w:rsidR="00BF3FCA" w:rsidRPr="00BF7151" w:rsidRDefault="00BF3FCA" w:rsidP="009428B1">
            <w:pPr>
              <w:contextualSpacing/>
              <w:cnfStyle w:val="000000000000" w:firstRow="0" w:lastRow="0" w:firstColumn="0" w:lastColumn="0" w:oddVBand="0" w:evenVBand="0" w:oddHBand="0" w:evenHBand="0" w:firstRowFirstColumn="0" w:firstRowLastColumn="0" w:lastRowFirstColumn="0" w:lastRowLastColumn="0"/>
              <w:rPr>
                <w:rFonts w:cs="Arial"/>
                <w:bCs/>
                <w:szCs w:val="24"/>
              </w:rPr>
            </w:pPr>
            <w:r w:rsidRPr="00BF7151">
              <w:rPr>
                <w:rFonts w:cs="Arial"/>
                <w:bCs/>
                <w:szCs w:val="24"/>
              </w:rPr>
              <w:t>707.86</w:t>
            </w:r>
          </w:p>
        </w:tc>
      </w:tr>
      <w:tr w:rsidR="00C94804" w:rsidRPr="00BF7151" w:rsidTr="00C948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3" w:type="dxa"/>
            <w:tcBorders>
              <w:top w:val="single" w:sz="4" w:space="0" w:color="95B3D7"/>
              <w:left w:val="single" w:sz="4" w:space="0" w:color="95B3D7"/>
              <w:bottom w:val="single" w:sz="4" w:space="0" w:color="95B3D7"/>
              <w:right w:val="nil"/>
            </w:tcBorders>
            <w:noWrap/>
            <w:vAlign w:val="center"/>
            <w:hideMark/>
          </w:tcPr>
          <w:p w:rsidR="00BF3FCA" w:rsidRPr="00BF7151" w:rsidRDefault="00BF3FCA" w:rsidP="009428B1">
            <w:pPr>
              <w:contextualSpacing/>
              <w:rPr>
                <w:rFonts w:cs="Arial"/>
                <w:szCs w:val="24"/>
              </w:rPr>
            </w:pPr>
          </w:p>
        </w:tc>
        <w:tc>
          <w:tcPr>
            <w:tcW w:w="4394" w:type="dxa"/>
            <w:tcBorders>
              <w:top w:val="single" w:sz="4" w:space="0" w:color="95B3D7"/>
              <w:left w:val="nil"/>
              <w:bottom w:val="single" w:sz="4" w:space="0" w:color="95B3D7"/>
              <w:right w:val="nil"/>
            </w:tcBorders>
            <w:noWrap/>
            <w:vAlign w:val="center"/>
            <w:hideMark/>
          </w:tcPr>
          <w:p w:rsidR="00C94804" w:rsidRPr="00C94804" w:rsidRDefault="00C94804" w:rsidP="00C94804">
            <w:pPr>
              <w:spacing w:before="60"/>
              <w:cnfStyle w:val="000000100000" w:firstRow="0" w:lastRow="0" w:firstColumn="0" w:lastColumn="0" w:oddVBand="0" w:evenVBand="0" w:oddHBand="1" w:evenHBand="0" w:firstRowFirstColumn="0" w:firstRowLastColumn="0" w:lastRowFirstColumn="0" w:lastRowLastColumn="0"/>
              <w:rPr>
                <w:rFonts w:cs="Arial"/>
                <w:b/>
                <w:bCs/>
                <w:szCs w:val="24"/>
              </w:rPr>
            </w:pPr>
            <w:r w:rsidRPr="00C94804">
              <w:rPr>
                <w:rFonts w:cs="Arial"/>
                <w:b/>
                <w:bCs/>
                <w:szCs w:val="24"/>
              </w:rPr>
              <w:t xml:space="preserve">TOTALE ARROTONDATO </w:t>
            </w:r>
          </w:p>
          <w:p w:rsidR="00BF3FCA" w:rsidRPr="00C94804" w:rsidRDefault="00BF3FCA" w:rsidP="00C94804">
            <w:pPr>
              <w:spacing w:after="60"/>
              <w:cnfStyle w:val="000000100000" w:firstRow="0" w:lastRow="0" w:firstColumn="0" w:lastColumn="0" w:oddVBand="0" w:evenVBand="0" w:oddHBand="1" w:evenHBand="0" w:firstRowFirstColumn="0" w:firstRowLastColumn="0" w:lastRowFirstColumn="0" w:lastRowLastColumn="0"/>
              <w:rPr>
                <w:rFonts w:cs="Arial"/>
                <w:b/>
                <w:bCs/>
                <w:szCs w:val="24"/>
              </w:rPr>
            </w:pPr>
            <w:r w:rsidRPr="00C94804">
              <w:rPr>
                <w:rFonts w:cs="Arial"/>
                <w:b/>
                <w:bCs/>
                <w:szCs w:val="24"/>
              </w:rPr>
              <w:t>(IVA 7.7 e spese incluse)</w:t>
            </w:r>
          </w:p>
        </w:tc>
        <w:tc>
          <w:tcPr>
            <w:tcW w:w="1257" w:type="dxa"/>
            <w:tcBorders>
              <w:top w:val="single" w:sz="4" w:space="0" w:color="95B3D7"/>
              <w:left w:val="nil"/>
              <w:bottom w:val="single" w:sz="4" w:space="0" w:color="95B3D7"/>
              <w:right w:val="nil"/>
            </w:tcBorders>
            <w:noWrap/>
            <w:vAlign w:val="center"/>
            <w:hideMark/>
          </w:tcPr>
          <w:p w:rsidR="00BF3FCA" w:rsidRPr="00BF7151" w:rsidRDefault="00BF3FCA" w:rsidP="00C94804">
            <w:pPr>
              <w:spacing w:before="60" w:after="60"/>
              <w:cnfStyle w:val="000000100000" w:firstRow="0" w:lastRow="0" w:firstColumn="0" w:lastColumn="0" w:oddVBand="0" w:evenVBand="0" w:oddHBand="1" w:evenHBand="0" w:firstRowFirstColumn="0" w:firstRowLastColumn="0" w:lastRowFirstColumn="0" w:lastRowLastColumn="0"/>
              <w:rPr>
                <w:rFonts w:cs="Arial"/>
                <w:b/>
                <w:bCs/>
                <w:szCs w:val="24"/>
                <w:u w:val="single"/>
              </w:rPr>
            </w:pPr>
          </w:p>
        </w:tc>
        <w:tc>
          <w:tcPr>
            <w:tcW w:w="1276" w:type="dxa"/>
            <w:tcBorders>
              <w:top w:val="single" w:sz="4" w:space="0" w:color="95B3D7"/>
              <w:left w:val="nil"/>
              <w:bottom w:val="single" w:sz="4" w:space="0" w:color="95B3D7"/>
              <w:right w:val="nil"/>
            </w:tcBorders>
            <w:noWrap/>
            <w:vAlign w:val="center"/>
            <w:hideMark/>
          </w:tcPr>
          <w:p w:rsidR="00BF3FCA" w:rsidRPr="00BF7151" w:rsidRDefault="00BF3FCA" w:rsidP="00C94804">
            <w:pPr>
              <w:spacing w:before="60" w:after="60"/>
              <w:cnfStyle w:val="000000100000" w:firstRow="0" w:lastRow="0" w:firstColumn="0" w:lastColumn="0" w:oddVBand="0" w:evenVBand="0" w:oddHBand="1" w:evenHBand="0" w:firstRowFirstColumn="0" w:firstRowLastColumn="0" w:lastRowFirstColumn="0" w:lastRowLastColumn="0"/>
              <w:rPr>
                <w:rFonts w:cs="Arial"/>
                <w:b/>
                <w:szCs w:val="24"/>
              </w:rPr>
            </w:pPr>
          </w:p>
        </w:tc>
        <w:tc>
          <w:tcPr>
            <w:tcW w:w="1701" w:type="dxa"/>
            <w:tcBorders>
              <w:top w:val="single" w:sz="4" w:space="0" w:color="95B3D7"/>
              <w:left w:val="nil"/>
              <w:bottom w:val="single" w:sz="4" w:space="0" w:color="95B3D7"/>
              <w:right w:val="single" w:sz="4" w:space="0" w:color="95B3D7"/>
            </w:tcBorders>
            <w:noWrap/>
            <w:vAlign w:val="center"/>
            <w:hideMark/>
          </w:tcPr>
          <w:p w:rsidR="00BF3FCA" w:rsidRPr="00BF7151" w:rsidRDefault="00BF3FCA" w:rsidP="00C94804">
            <w:pPr>
              <w:spacing w:before="60" w:after="60"/>
              <w:cnfStyle w:val="000000100000" w:firstRow="0" w:lastRow="0" w:firstColumn="0" w:lastColumn="0" w:oddVBand="0" w:evenVBand="0" w:oddHBand="1" w:evenHBand="0" w:firstRowFirstColumn="0" w:firstRowLastColumn="0" w:lastRowFirstColumn="0" w:lastRowLastColumn="0"/>
              <w:rPr>
                <w:rFonts w:cs="Arial"/>
                <w:b/>
                <w:bCs/>
                <w:szCs w:val="24"/>
              </w:rPr>
            </w:pPr>
            <w:r w:rsidRPr="00BF7151">
              <w:rPr>
                <w:rFonts w:cs="Arial"/>
                <w:b/>
                <w:bCs/>
                <w:szCs w:val="24"/>
              </w:rPr>
              <w:t>3'781’000.00</w:t>
            </w:r>
          </w:p>
        </w:tc>
      </w:tr>
    </w:tbl>
    <w:p w:rsidR="00BF3FCA" w:rsidRPr="00BF7151" w:rsidRDefault="00BF3FCA" w:rsidP="00BF3FCA">
      <w:pPr>
        <w:contextualSpacing/>
        <w:rPr>
          <w:rFonts w:cs="Arial"/>
          <w:szCs w:val="24"/>
        </w:rPr>
      </w:pPr>
    </w:p>
    <w:p w:rsidR="00BF3FCA" w:rsidRPr="00BF7151" w:rsidRDefault="00BF3FCA" w:rsidP="00BF3FCA">
      <w:pPr>
        <w:contextualSpacing/>
        <w:rPr>
          <w:rFonts w:cs="Arial"/>
          <w:szCs w:val="24"/>
        </w:rPr>
      </w:pPr>
      <w:r w:rsidRPr="00BF7151">
        <w:rPr>
          <w:rFonts w:cs="Arial"/>
          <w:szCs w:val="24"/>
        </w:rPr>
        <w:t>L’investimento finanziario si riferisce solo alla flotta delle radio Polycom degli enti cantonali, gestita e finanziata dalla Polizia cantonale.</w:t>
      </w:r>
    </w:p>
    <w:p w:rsidR="00BF3FCA" w:rsidRPr="00BF7151" w:rsidRDefault="00BF3FCA" w:rsidP="00BF3FCA">
      <w:pPr>
        <w:contextualSpacing/>
        <w:rPr>
          <w:rFonts w:cs="Arial"/>
          <w:szCs w:val="24"/>
        </w:rPr>
      </w:pPr>
    </w:p>
    <w:p w:rsidR="00BF3FCA" w:rsidRDefault="00BF3FCA" w:rsidP="00BF3FCA">
      <w:pPr>
        <w:contextualSpacing/>
        <w:rPr>
          <w:rFonts w:cs="Arial"/>
          <w:szCs w:val="24"/>
        </w:rPr>
      </w:pPr>
      <w:r w:rsidRPr="00BF7151">
        <w:rPr>
          <w:rFonts w:cs="Arial"/>
          <w:szCs w:val="24"/>
        </w:rPr>
        <w:t xml:space="preserve">Credito e DL richiedono l’approvazione </w:t>
      </w:r>
      <w:r>
        <w:rPr>
          <w:rFonts w:cs="Arial"/>
          <w:szCs w:val="24"/>
        </w:rPr>
        <w:t>d</w:t>
      </w:r>
      <w:r w:rsidRPr="00BF7151">
        <w:rPr>
          <w:rFonts w:cs="Arial"/>
          <w:szCs w:val="24"/>
        </w:rPr>
        <w:t>a parte della maggioranza assoluta dei membri del Gran Consiglio (cfr. art. 5 cpv. 3 LGF).</w:t>
      </w:r>
    </w:p>
    <w:p w:rsidR="00BF3FCA" w:rsidRPr="005B53A4" w:rsidRDefault="00BF3FCA" w:rsidP="00BF3FCA">
      <w:pPr>
        <w:contextualSpacing/>
        <w:rPr>
          <w:rFonts w:cs="Arial"/>
          <w:szCs w:val="24"/>
        </w:rPr>
      </w:pPr>
    </w:p>
    <w:p w:rsidR="00BF3FCA" w:rsidRPr="005B53A4" w:rsidRDefault="00BF3FCA" w:rsidP="00BF3FCA">
      <w:pPr>
        <w:contextualSpacing/>
        <w:rPr>
          <w:rFonts w:cs="Arial"/>
          <w:szCs w:val="24"/>
        </w:rPr>
      </w:pPr>
      <w:r w:rsidRPr="005B53A4">
        <w:rPr>
          <w:rFonts w:cs="Arial"/>
          <w:szCs w:val="24"/>
        </w:rPr>
        <w:t>Con l’acquisto dei nuovi modelli e la progressiva smobilitazione dei vecchi è prevista una riduzione iniziale dei costi di gestione e manutenzione per effetto dei due anni di garanzia sui nuovi apparecchi e a medio termine un livellamento dei costi di gestione corrente.</w:t>
      </w:r>
    </w:p>
    <w:p w:rsidR="00BF3FCA" w:rsidRPr="005B53A4" w:rsidRDefault="00BF3FCA" w:rsidP="00BF3FCA">
      <w:pPr>
        <w:contextualSpacing/>
        <w:rPr>
          <w:rFonts w:cs="Arial"/>
          <w:szCs w:val="24"/>
        </w:rPr>
      </w:pPr>
    </w:p>
    <w:p w:rsidR="00BF3FCA" w:rsidRPr="005B53A4" w:rsidRDefault="00BF3FCA" w:rsidP="00BF3FCA">
      <w:pPr>
        <w:contextualSpacing/>
        <w:rPr>
          <w:rFonts w:cs="Arial"/>
          <w:szCs w:val="24"/>
        </w:rPr>
      </w:pPr>
      <w:r>
        <w:rPr>
          <w:rFonts w:cs="Arial"/>
          <w:szCs w:val="24"/>
        </w:rPr>
        <w:t xml:space="preserve">Il </w:t>
      </w:r>
      <w:r w:rsidR="00C94804">
        <w:rPr>
          <w:rFonts w:cs="Arial"/>
          <w:szCs w:val="24"/>
        </w:rPr>
        <w:t>m</w:t>
      </w:r>
      <w:r>
        <w:rPr>
          <w:rFonts w:cs="Arial"/>
          <w:szCs w:val="24"/>
        </w:rPr>
        <w:t xml:space="preserve">essaggio indica che non era ritenuto </w:t>
      </w:r>
      <w:r w:rsidRPr="005B53A4">
        <w:rPr>
          <w:rFonts w:cs="Arial"/>
          <w:szCs w:val="24"/>
        </w:rPr>
        <w:t>necessario chiedere del credito straordinario rispetto a quanto già ad oggi messo a preventivo per garantire il servizio della flotta e della loro gestione durante la transizione e il prossimo ciclo di vita.</w:t>
      </w:r>
    </w:p>
    <w:p w:rsidR="00BF3FCA" w:rsidRPr="005B53A4" w:rsidRDefault="00BF3FCA" w:rsidP="00BF3FCA">
      <w:pPr>
        <w:contextualSpacing/>
        <w:rPr>
          <w:rFonts w:cs="Arial"/>
          <w:szCs w:val="24"/>
        </w:rPr>
      </w:pPr>
    </w:p>
    <w:p w:rsidR="00BF3FCA" w:rsidRPr="005B53A4" w:rsidRDefault="00BF3FCA" w:rsidP="00BF3FCA">
      <w:pPr>
        <w:contextualSpacing/>
        <w:rPr>
          <w:rFonts w:cs="Arial"/>
          <w:szCs w:val="24"/>
        </w:rPr>
      </w:pPr>
      <w:r w:rsidRPr="005B53A4">
        <w:rPr>
          <w:rFonts w:cs="Arial"/>
          <w:szCs w:val="24"/>
          <w:lang w:val="it-CH"/>
        </w:rPr>
        <w:lastRenderedPageBreak/>
        <w:t xml:space="preserve">È </w:t>
      </w:r>
      <w:r w:rsidRPr="005B53A4">
        <w:rPr>
          <w:rFonts w:cs="Arial"/>
          <w:szCs w:val="24"/>
        </w:rPr>
        <w:t>previsto di poter effettuare il cambio generazionale in almeno 3 e massimo 5 anni dalla disponibilità del credito.</w:t>
      </w:r>
    </w:p>
    <w:p w:rsidR="00BF3FCA" w:rsidRPr="005B53A4" w:rsidRDefault="00BF3FCA" w:rsidP="00BF3FCA">
      <w:pPr>
        <w:contextualSpacing/>
        <w:rPr>
          <w:rFonts w:cs="Arial"/>
          <w:szCs w:val="24"/>
        </w:rPr>
      </w:pPr>
    </w:p>
    <w:p w:rsidR="00BF3FCA" w:rsidRPr="005B53A4" w:rsidRDefault="00BF3FCA" w:rsidP="00BF3FCA">
      <w:pPr>
        <w:contextualSpacing/>
        <w:rPr>
          <w:rFonts w:cs="Arial"/>
          <w:szCs w:val="24"/>
        </w:rPr>
      </w:pPr>
      <w:r w:rsidRPr="005B53A4">
        <w:rPr>
          <w:rFonts w:cs="Arial"/>
          <w:szCs w:val="24"/>
        </w:rPr>
        <w:t>Non sono previsti potenziamenti o riduzioni d'organico a seguito del cambio delle radio.</w:t>
      </w:r>
    </w:p>
    <w:p w:rsidR="00BF3FCA" w:rsidRPr="005B53A4" w:rsidRDefault="00BF3FCA" w:rsidP="00BF3FCA">
      <w:pPr>
        <w:contextualSpacing/>
        <w:rPr>
          <w:rFonts w:cs="Arial"/>
          <w:szCs w:val="24"/>
        </w:rPr>
      </w:pPr>
    </w:p>
    <w:p w:rsidR="00BF3FCA" w:rsidRPr="005B53A4" w:rsidRDefault="00BF3FCA" w:rsidP="00BF3FCA">
      <w:pPr>
        <w:contextualSpacing/>
        <w:rPr>
          <w:rFonts w:cs="Arial"/>
          <w:szCs w:val="24"/>
        </w:rPr>
      </w:pPr>
      <w:r w:rsidRPr="005B53A4">
        <w:rPr>
          <w:rFonts w:cs="Arial"/>
          <w:szCs w:val="24"/>
        </w:rPr>
        <w:t xml:space="preserve">L'adozione delle nuove radio per gli enti cantonali è tra i progetti prioritari della Polizia cantonale inseriti nel piano finanziario degli investimenti 2023. </w:t>
      </w:r>
    </w:p>
    <w:p w:rsidR="00BF3FCA" w:rsidRPr="005B53A4" w:rsidRDefault="00BF3FCA" w:rsidP="00BF3FCA">
      <w:pPr>
        <w:contextualSpacing/>
        <w:rPr>
          <w:rFonts w:cs="Arial"/>
          <w:szCs w:val="24"/>
        </w:rPr>
      </w:pPr>
    </w:p>
    <w:p w:rsidR="00BF3FCA" w:rsidRPr="005B53A4" w:rsidRDefault="00BF3FCA" w:rsidP="00BF3FCA">
      <w:pPr>
        <w:contextualSpacing/>
        <w:rPr>
          <w:rFonts w:cs="Arial"/>
          <w:szCs w:val="24"/>
        </w:rPr>
      </w:pPr>
      <w:r w:rsidRPr="005B53A4">
        <w:rPr>
          <w:rFonts w:cs="Arial"/>
          <w:iCs/>
          <w:szCs w:val="24"/>
        </w:rPr>
        <w:t>Questa proposta non è contenuta nel Programma di legislatura 2019-2023.</w:t>
      </w:r>
    </w:p>
    <w:p w:rsidR="00BF3FCA" w:rsidRPr="005B53A4" w:rsidRDefault="00BF3FCA" w:rsidP="00BF3FCA">
      <w:pPr>
        <w:contextualSpacing/>
        <w:rPr>
          <w:rFonts w:cs="Arial"/>
          <w:szCs w:val="24"/>
        </w:rPr>
      </w:pPr>
    </w:p>
    <w:p w:rsidR="00BF3FCA" w:rsidRPr="005B53A4" w:rsidRDefault="00BF3FCA" w:rsidP="00BF3FCA">
      <w:pPr>
        <w:contextualSpacing/>
        <w:rPr>
          <w:rFonts w:cs="Arial"/>
          <w:szCs w:val="24"/>
        </w:rPr>
      </w:pPr>
      <w:r w:rsidRPr="005B53A4">
        <w:rPr>
          <w:rFonts w:cs="Arial"/>
          <w:szCs w:val="24"/>
        </w:rPr>
        <w:t>I vecchi apparecchi radio TPH700 saranno destinati allo smaltimento (fr. 50.</w:t>
      </w:r>
      <w:r w:rsidR="00C94804">
        <w:rPr>
          <w:rFonts w:cs="Arial"/>
          <w:szCs w:val="24"/>
        </w:rPr>
        <w:t>-</w:t>
      </w:r>
      <w:r w:rsidRPr="005B53A4">
        <w:rPr>
          <w:rFonts w:cs="Arial"/>
          <w:szCs w:val="24"/>
        </w:rPr>
        <w:t xml:space="preserve">al pezzo) visti i loro limiti di vita tecnica, di costi di riparazione e di cessazione di produzione di pezzi di ricambio. Al limite, e fintanto che sarà possibile, gli stessi potranno essere venduti a prezzo simbolico ad organizzazioni quali ad </w:t>
      </w:r>
      <w:proofErr w:type="spellStart"/>
      <w:r w:rsidRPr="005B53A4">
        <w:rPr>
          <w:rFonts w:cs="Arial"/>
          <w:szCs w:val="24"/>
        </w:rPr>
        <w:t>es</w:t>
      </w:r>
      <w:proofErr w:type="spellEnd"/>
      <w:r w:rsidRPr="005B53A4">
        <w:rPr>
          <w:rFonts w:cs="Arial"/>
          <w:szCs w:val="24"/>
        </w:rPr>
        <w:t>. pompieri o servizio autoambulanze.</w:t>
      </w:r>
    </w:p>
    <w:p w:rsidR="00BF3FCA" w:rsidRPr="005B53A4" w:rsidRDefault="00BF3FCA" w:rsidP="00BF3FCA">
      <w:pPr>
        <w:contextualSpacing/>
        <w:rPr>
          <w:rFonts w:cs="Arial"/>
          <w:szCs w:val="24"/>
        </w:rPr>
      </w:pPr>
    </w:p>
    <w:p w:rsidR="00BF3FCA" w:rsidRPr="005B53A4" w:rsidRDefault="00BF3FCA" w:rsidP="00BF3FCA">
      <w:pPr>
        <w:contextualSpacing/>
        <w:rPr>
          <w:rFonts w:cs="Arial"/>
          <w:szCs w:val="24"/>
        </w:rPr>
      </w:pPr>
    </w:p>
    <w:p w:rsidR="00BF3FCA" w:rsidRDefault="00C94804" w:rsidP="00C94804">
      <w:pPr>
        <w:pStyle w:val="Titolo1"/>
        <w:numPr>
          <w:ilvl w:val="0"/>
          <w:numId w:val="20"/>
        </w:numPr>
        <w:tabs>
          <w:tab w:val="left" w:pos="567"/>
        </w:tabs>
        <w:spacing w:before="0"/>
        <w:ind w:left="0" w:firstLine="0"/>
        <w:jc w:val="both"/>
      </w:pPr>
      <w:r w:rsidRPr="0048549C">
        <w:t xml:space="preserve">DISCUSSIONE COMMISSIONALE </w:t>
      </w:r>
    </w:p>
    <w:p w:rsidR="00BF3FCA" w:rsidRPr="0048549C" w:rsidRDefault="00BF3FCA" w:rsidP="00BF3FCA">
      <w:pPr>
        <w:contextualSpacing/>
        <w:rPr>
          <w:rFonts w:cs="Arial"/>
          <w:szCs w:val="24"/>
        </w:rPr>
      </w:pPr>
      <w:r w:rsidRPr="0048549C">
        <w:rPr>
          <w:rFonts w:cs="Arial"/>
          <w:szCs w:val="24"/>
        </w:rPr>
        <w:t xml:space="preserve">Il </w:t>
      </w:r>
      <w:proofErr w:type="spellStart"/>
      <w:r w:rsidR="00C94804">
        <w:rPr>
          <w:rFonts w:cs="Arial"/>
          <w:szCs w:val="24"/>
        </w:rPr>
        <w:t>m</w:t>
      </w:r>
      <w:r w:rsidRPr="0048549C">
        <w:rPr>
          <w:rFonts w:cs="Arial"/>
          <w:szCs w:val="24"/>
        </w:rPr>
        <w:t>esssaggio</w:t>
      </w:r>
      <w:proofErr w:type="spellEnd"/>
      <w:r w:rsidRPr="0048549C">
        <w:rPr>
          <w:rFonts w:cs="Arial"/>
          <w:szCs w:val="24"/>
        </w:rPr>
        <w:t xml:space="preserve"> conclude ritenendo che “L’aggiornamento dell’attuale flotta radio Polycom in dotazione agli enti di primo intervento dal 2012 rispecchia un normale ciclo di vita. Gli investimenti di tipo finanziario, logistico, amministrativo e organizzativo richiesti sono considerevoli, ma indispensabili per garantire la continuità delle comunicazioni radio per i partner cantonali almeno fino al 2030”.</w:t>
      </w:r>
    </w:p>
    <w:p w:rsidR="00BF3FCA" w:rsidRPr="0048549C" w:rsidRDefault="00BF3FCA" w:rsidP="00BF3FCA">
      <w:pPr>
        <w:contextualSpacing/>
        <w:rPr>
          <w:rFonts w:cs="Arial"/>
          <w:szCs w:val="24"/>
        </w:rPr>
      </w:pPr>
    </w:p>
    <w:p w:rsidR="00BF3FCA" w:rsidRPr="0048549C" w:rsidRDefault="00BF3FCA" w:rsidP="00BF3FCA">
      <w:pPr>
        <w:contextualSpacing/>
        <w:rPr>
          <w:rFonts w:cs="Arial"/>
          <w:szCs w:val="24"/>
          <w:lang w:val="it-CH"/>
        </w:rPr>
      </w:pPr>
      <w:r w:rsidRPr="0048549C">
        <w:rPr>
          <w:rFonts w:cs="Arial"/>
          <w:szCs w:val="24"/>
          <w:lang w:val="it-CH"/>
        </w:rPr>
        <w:t xml:space="preserve">Il 29 settembre 2021, la Commissione ha formulato </w:t>
      </w:r>
      <w:r>
        <w:rPr>
          <w:rFonts w:cs="Arial"/>
          <w:szCs w:val="24"/>
          <w:lang w:val="it-CH"/>
        </w:rPr>
        <w:t>del</w:t>
      </w:r>
      <w:r w:rsidRPr="0048549C">
        <w:rPr>
          <w:rFonts w:cs="Arial"/>
          <w:szCs w:val="24"/>
          <w:lang w:val="it-CH"/>
        </w:rPr>
        <w:t>le domande al Consiglio di Stato</w:t>
      </w:r>
      <w:r>
        <w:rPr>
          <w:rFonts w:cs="Arial"/>
          <w:szCs w:val="24"/>
          <w:lang w:val="it-CH"/>
        </w:rPr>
        <w:t>, il quale vi ha risposto in data 7 dicembre 2021. Qui di seguito lo scambio epistolare:</w:t>
      </w:r>
    </w:p>
    <w:p w:rsidR="00BF3FCA" w:rsidRPr="0048549C" w:rsidRDefault="00BF3FCA" w:rsidP="00BF3FCA">
      <w:pPr>
        <w:contextualSpacing/>
        <w:rPr>
          <w:rFonts w:cs="Arial"/>
          <w:szCs w:val="24"/>
          <w:lang w:val="it-CH"/>
        </w:rPr>
      </w:pPr>
    </w:p>
    <w:p w:rsidR="00BF3FCA" w:rsidRPr="00C94804" w:rsidRDefault="00BF3FCA" w:rsidP="00C94804">
      <w:pPr>
        <w:pStyle w:val="Paragrafoelenco"/>
        <w:numPr>
          <w:ilvl w:val="0"/>
          <w:numId w:val="24"/>
        </w:numPr>
        <w:tabs>
          <w:tab w:val="left" w:pos="426"/>
        </w:tabs>
        <w:spacing w:after="120"/>
        <w:ind w:left="425" w:hanging="425"/>
        <w:contextualSpacing w:val="0"/>
        <w:rPr>
          <w:rFonts w:cs="Arial"/>
          <w:i/>
          <w:iCs/>
          <w:sz w:val="23"/>
          <w:szCs w:val="23"/>
          <w:lang w:val="it-CH"/>
        </w:rPr>
      </w:pPr>
      <w:r w:rsidRPr="00C94804">
        <w:rPr>
          <w:rFonts w:cs="Arial"/>
          <w:i/>
          <w:iCs/>
          <w:sz w:val="23"/>
          <w:szCs w:val="23"/>
          <w:lang w:val="it-CH"/>
        </w:rPr>
        <w:t>Il credito quadro di circa 29 mio, di cui al messaggio</w:t>
      </w:r>
      <w:bookmarkStart w:id="1" w:name="_Hlk90126834"/>
      <w:r w:rsidR="00C94804">
        <w:rPr>
          <w:rFonts w:cs="Arial"/>
          <w:i/>
          <w:iCs/>
          <w:sz w:val="23"/>
          <w:szCs w:val="23"/>
          <w:lang w:val="it-CH"/>
        </w:rPr>
        <w:t xml:space="preserve"> n.</w:t>
      </w:r>
      <w:r w:rsidRPr="00C94804">
        <w:rPr>
          <w:rFonts w:cs="Arial"/>
          <w:i/>
          <w:iCs/>
          <w:sz w:val="23"/>
          <w:szCs w:val="23"/>
          <w:lang w:val="it-CH"/>
        </w:rPr>
        <w:t xml:space="preserve"> 6159</w:t>
      </w:r>
      <w:bookmarkEnd w:id="1"/>
      <w:r w:rsidRPr="00C94804">
        <w:rPr>
          <w:rFonts w:cs="Arial"/>
          <w:i/>
          <w:iCs/>
          <w:sz w:val="23"/>
          <w:szCs w:val="23"/>
          <w:lang w:val="it-CH"/>
        </w:rPr>
        <w:t xml:space="preserve">, è stato speso interamente? Quando è stato esaurito? </w:t>
      </w:r>
    </w:p>
    <w:p w:rsidR="00BF3FCA" w:rsidRPr="00C94804" w:rsidRDefault="00BF3FCA" w:rsidP="00C94804">
      <w:pPr>
        <w:pStyle w:val="Paragrafoelenco"/>
        <w:ind w:left="426"/>
        <w:rPr>
          <w:rFonts w:cs="Arial"/>
          <w:i/>
          <w:iCs/>
          <w:sz w:val="23"/>
          <w:szCs w:val="23"/>
        </w:rPr>
      </w:pPr>
      <w:r w:rsidRPr="00C94804">
        <w:rPr>
          <w:rFonts w:cs="Arial"/>
          <w:i/>
          <w:iCs/>
          <w:sz w:val="23"/>
          <w:szCs w:val="23"/>
        </w:rPr>
        <w:t>No, il credito complessivo non è stato speso interamente. Dei 29.6 milioni di franchi preventivati ne sono stati spesi unicamente 22 milioni ca. La differenza è dovuta a fluttuazioni di costi a beneficio dello Stato e a progetti che sono stati realizzati solo parzialmente o in forma “light”, una volta constatato che era sufficiente per il loro esercizio. Esempi concreti sono alcuni collegamenti basati sulla tecnologia dei ponti radio, risultati irrealizzabili in fase di progettazione e sostituite in corso d’opera con linee in fibra ottica. Altro esempio è quello relativo all’alimentazione elettrica ausiliaria, che garantisce il funzionamento della rete radio Polycom per 72h in assenza di energia elettrica. Soluzione questa realizzata con un accordo di collaborazione con le Regioni della Protezione civile, che risolverebbe l’eventuale problematica con generatori portatili in alternativa ai gruppi di continuità autonomi locali previsti inizialmente.</w:t>
      </w:r>
    </w:p>
    <w:p w:rsidR="00BF3FCA" w:rsidRPr="00C94804" w:rsidRDefault="00BF3FCA" w:rsidP="00C94804">
      <w:pPr>
        <w:pStyle w:val="Paragrafoelenco"/>
        <w:ind w:left="426"/>
        <w:rPr>
          <w:rFonts w:cs="Arial"/>
          <w:i/>
          <w:iCs/>
          <w:sz w:val="23"/>
          <w:szCs w:val="23"/>
        </w:rPr>
      </w:pPr>
    </w:p>
    <w:p w:rsidR="00BF3FCA" w:rsidRPr="00C94804" w:rsidRDefault="00BF3FCA" w:rsidP="00C94804">
      <w:pPr>
        <w:pStyle w:val="Paragrafoelenco"/>
        <w:spacing w:after="60"/>
        <w:ind w:left="425"/>
        <w:contextualSpacing w:val="0"/>
        <w:rPr>
          <w:rFonts w:cs="Arial"/>
          <w:i/>
          <w:iCs/>
          <w:sz w:val="23"/>
          <w:szCs w:val="23"/>
        </w:rPr>
      </w:pPr>
      <w:r w:rsidRPr="00C94804">
        <w:rPr>
          <w:rFonts w:cs="Arial"/>
          <w:i/>
          <w:iCs/>
          <w:sz w:val="23"/>
          <w:szCs w:val="23"/>
        </w:rPr>
        <w:t>La ricapitolazione del credito è così suddivisa.</w:t>
      </w:r>
    </w:p>
    <w:p w:rsidR="00BF3FCA" w:rsidRPr="00C94804" w:rsidRDefault="00BF3FCA" w:rsidP="00C94804">
      <w:pPr>
        <w:pStyle w:val="Paragrafoelenco"/>
        <w:tabs>
          <w:tab w:val="left" w:pos="2127"/>
          <w:tab w:val="right" w:pos="3828"/>
        </w:tabs>
        <w:ind w:left="426"/>
        <w:rPr>
          <w:rFonts w:cs="Arial"/>
          <w:i/>
          <w:iCs/>
          <w:sz w:val="23"/>
          <w:szCs w:val="23"/>
          <w:lang w:val="it-CH"/>
        </w:rPr>
      </w:pPr>
      <w:proofErr w:type="spellStart"/>
      <w:r w:rsidRPr="00C94804">
        <w:rPr>
          <w:rFonts w:cs="Arial"/>
          <w:i/>
          <w:iCs/>
          <w:sz w:val="23"/>
          <w:szCs w:val="23"/>
          <w:lang w:val="it-CH"/>
        </w:rPr>
        <w:t>Inv</w:t>
      </w:r>
      <w:proofErr w:type="spellEnd"/>
      <w:r w:rsidRPr="00C94804">
        <w:rPr>
          <w:rFonts w:cs="Arial"/>
          <w:i/>
          <w:iCs/>
          <w:sz w:val="23"/>
          <w:szCs w:val="23"/>
          <w:lang w:val="it-CH"/>
        </w:rPr>
        <w:t xml:space="preserve">. totale in </w:t>
      </w:r>
      <w:r w:rsidRPr="00C94804">
        <w:rPr>
          <w:rFonts w:cs="Arial"/>
          <w:i/>
          <w:iCs/>
          <w:sz w:val="23"/>
          <w:szCs w:val="23"/>
          <w:lang w:val="it-CH"/>
        </w:rPr>
        <w:tab/>
        <w:t xml:space="preserve">fr. </w:t>
      </w:r>
      <w:r w:rsidR="00C94804" w:rsidRPr="00C94804">
        <w:rPr>
          <w:rFonts w:cs="Arial"/>
          <w:i/>
          <w:iCs/>
          <w:sz w:val="23"/>
          <w:szCs w:val="23"/>
          <w:lang w:val="it-CH"/>
        </w:rPr>
        <w:tab/>
      </w:r>
      <w:r w:rsidRPr="00C94804">
        <w:rPr>
          <w:rFonts w:cs="Arial"/>
          <w:i/>
          <w:iCs/>
          <w:sz w:val="23"/>
          <w:szCs w:val="23"/>
          <w:lang w:val="it-CH"/>
        </w:rPr>
        <w:t>29'667'</w:t>
      </w:r>
      <w:proofErr w:type="gramStart"/>
      <w:r w:rsidRPr="00C94804">
        <w:rPr>
          <w:rFonts w:cs="Arial"/>
          <w:i/>
          <w:iCs/>
          <w:sz w:val="23"/>
          <w:szCs w:val="23"/>
          <w:lang w:val="it-CH"/>
        </w:rPr>
        <w:t>600.-</w:t>
      </w:r>
      <w:proofErr w:type="gramEnd"/>
    </w:p>
    <w:p w:rsidR="00BF3FCA" w:rsidRPr="00C94804" w:rsidRDefault="00BF3FCA" w:rsidP="00C94804">
      <w:pPr>
        <w:pStyle w:val="Paragrafoelenco"/>
        <w:tabs>
          <w:tab w:val="left" w:pos="2127"/>
          <w:tab w:val="right" w:pos="3828"/>
        </w:tabs>
        <w:ind w:left="426"/>
        <w:rPr>
          <w:rFonts w:cs="Arial"/>
          <w:i/>
          <w:iCs/>
          <w:sz w:val="23"/>
          <w:szCs w:val="23"/>
          <w:lang w:val="it-CH"/>
        </w:rPr>
      </w:pPr>
      <w:r w:rsidRPr="00C94804">
        <w:rPr>
          <w:rFonts w:cs="Arial"/>
          <w:i/>
          <w:iCs/>
          <w:sz w:val="23"/>
          <w:szCs w:val="23"/>
          <w:lang w:val="it-CH"/>
        </w:rPr>
        <w:t xml:space="preserve">Utilizzo </w:t>
      </w:r>
      <w:r w:rsidRPr="00C94804">
        <w:rPr>
          <w:rFonts w:cs="Arial"/>
          <w:i/>
          <w:iCs/>
          <w:sz w:val="23"/>
          <w:szCs w:val="23"/>
          <w:lang w:val="it-CH"/>
        </w:rPr>
        <w:tab/>
        <w:t xml:space="preserve">fr. </w:t>
      </w:r>
      <w:r w:rsidR="00C94804" w:rsidRPr="00C94804">
        <w:rPr>
          <w:rFonts w:cs="Arial"/>
          <w:i/>
          <w:iCs/>
          <w:sz w:val="23"/>
          <w:szCs w:val="23"/>
          <w:lang w:val="it-CH"/>
        </w:rPr>
        <w:tab/>
      </w:r>
      <w:r w:rsidRPr="00C94804">
        <w:rPr>
          <w:rFonts w:cs="Arial"/>
          <w:i/>
          <w:iCs/>
          <w:sz w:val="23"/>
          <w:szCs w:val="23"/>
          <w:lang w:val="it-CH"/>
        </w:rPr>
        <w:t>21'650'</w:t>
      </w:r>
      <w:proofErr w:type="gramStart"/>
      <w:r w:rsidRPr="00C94804">
        <w:rPr>
          <w:rFonts w:cs="Arial"/>
          <w:i/>
          <w:iCs/>
          <w:sz w:val="23"/>
          <w:szCs w:val="23"/>
          <w:lang w:val="it-CH"/>
        </w:rPr>
        <w:t>989.-</w:t>
      </w:r>
      <w:proofErr w:type="gramEnd"/>
    </w:p>
    <w:p w:rsidR="00BF3FCA" w:rsidRPr="00C94804" w:rsidRDefault="00BF3FCA" w:rsidP="00C94804">
      <w:pPr>
        <w:pStyle w:val="Paragrafoelenco"/>
        <w:tabs>
          <w:tab w:val="left" w:pos="2127"/>
          <w:tab w:val="right" w:pos="3828"/>
        </w:tabs>
        <w:spacing w:after="60"/>
        <w:ind w:left="425"/>
        <w:contextualSpacing w:val="0"/>
        <w:rPr>
          <w:rFonts w:cs="Arial"/>
          <w:i/>
          <w:iCs/>
          <w:sz w:val="23"/>
          <w:szCs w:val="23"/>
          <w:lang w:val="it-CH"/>
        </w:rPr>
      </w:pPr>
      <w:r w:rsidRPr="00C94804">
        <w:rPr>
          <w:rFonts w:cs="Arial"/>
          <w:i/>
          <w:iCs/>
          <w:sz w:val="23"/>
          <w:szCs w:val="23"/>
          <w:lang w:val="it-CH"/>
        </w:rPr>
        <w:t xml:space="preserve">Impegno </w:t>
      </w:r>
      <w:r w:rsidRPr="00C94804">
        <w:rPr>
          <w:rFonts w:cs="Arial"/>
          <w:i/>
          <w:iCs/>
          <w:sz w:val="23"/>
          <w:szCs w:val="23"/>
          <w:lang w:val="it-CH"/>
        </w:rPr>
        <w:tab/>
        <w:t xml:space="preserve">fr. </w:t>
      </w:r>
      <w:r w:rsidR="00C94804" w:rsidRPr="00C94804">
        <w:rPr>
          <w:rFonts w:cs="Arial"/>
          <w:i/>
          <w:iCs/>
          <w:sz w:val="23"/>
          <w:szCs w:val="23"/>
          <w:lang w:val="it-CH"/>
        </w:rPr>
        <w:tab/>
      </w:r>
      <w:r w:rsidRPr="00C94804">
        <w:rPr>
          <w:rFonts w:cs="Arial"/>
          <w:i/>
          <w:iCs/>
          <w:sz w:val="23"/>
          <w:szCs w:val="23"/>
          <w:lang w:val="it-CH"/>
        </w:rPr>
        <w:t>84'</w:t>
      </w:r>
      <w:proofErr w:type="gramStart"/>
      <w:r w:rsidRPr="00C94804">
        <w:rPr>
          <w:rFonts w:cs="Arial"/>
          <w:i/>
          <w:iCs/>
          <w:sz w:val="23"/>
          <w:szCs w:val="23"/>
          <w:lang w:val="it-CH"/>
        </w:rPr>
        <w:t>105.-</w:t>
      </w:r>
      <w:proofErr w:type="gramEnd"/>
    </w:p>
    <w:p w:rsidR="00BF3FCA" w:rsidRPr="00C94804" w:rsidRDefault="00BF3FCA" w:rsidP="00C94804">
      <w:pPr>
        <w:pStyle w:val="Paragrafoelenco"/>
        <w:tabs>
          <w:tab w:val="left" w:pos="2127"/>
          <w:tab w:val="right" w:pos="3828"/>
        </w:tabs>
        <w:ind w:left="426"/>
        <w:rPr>
          <w:rFonts w:cs="Arial"/>
          <w:b/>
          <w:bCs/>
          <w:i/>
          <w:iCs/>
          <w:sz w:val="23"/>
          <w:szCs w:val="23"/>
          <w:lang w:val="it-CH"/>
        </w:rPr>
      </w:pPr>
      <w:r w:rsidRPr="00C94804">
        <w:rPr>
          <w:rFonts w:cs="Arial"/>
          <w:b/>
          <w:bCs/>
          <w:i/>
          <w:iCs/>
          <w:sz w:val="23"/>
          <w:szCs w:val="23"/>
          <w:lang w:val="it-CH"/>
        </w:rPr>
        <w:t>Residuo</w:t>
      </w:r>
      <w:r w:rsidRPr="00C94804">
        <w:rPr>
          <w:rFonts w:cs="Arial"/>
          <w:b/>
          <w:bCs/>
          <w:i/>
          <w:iCs/>
          <w:sz w:val="23"/>
          <w:szCs w:val="23"/>
          <w:lang w:val="it-CH"/>
        </w:rPr>
        <w:tab/>
      </w:r>
      <w:bookmarkStart w:id="2" w:name="_Hlk90126786"/>
      <w:r w:rsidRPr="00C94804">
        <w:rPr>
          <w:rFonts w:cs="Arial"/>
          <w:b/>
          <w:bCs/>
          <w:i/>
          <w:iCs/>
          <w:sz w:val="23"/>
          <w:szCs w:val="23"/>
          <w:lang w:val="it-CH"/>
        </w:rPr>
        <w:t>fr</w:t>
      </w:r>
      <w:r w:rsidR="00C94804" w:rsidRPr="00C94804">
        <w:rPr>
          <w:rFonts w:cs="Arial"/>
          <w:b/>
          <w:bCs/>
          <w:i/>
          <w:iCs/>
          <w:sz w:val="23"/>
          <w:szCs w:val="23"/>
          <w:lang w:val="it-CH"/>
        </w:rPr>
        <w:tab/>
      </w:r>
      <w:r w:rsidR="00C94804">
        <w:rPr>
          <w:rFonts w:cs="Arial"/>
          <w:b/>
          <w:bCs/>
          <w:i/>
          <w:iCs/>
          <w:sz w:val="23"/>
          <w:szCs w:val="23"/>
          <w:lang w:val="it-CH"/>
        </w:rPr>
        <w:t>7</w:t>
      </w:r>
      <w:r w:rsidRPr="00C94804">
        <w:rPr>
          <w:rFonts w:cs="Arial"/>
          <w:b/>
          <w:bCs/>
          <w:i/>
          <w:iCs/>
          <w:sz w:val="23"/>
          <w:szCs w:val="23"/>
          <w:lang w:val="it-CH"/>
        </w:rPr>
        <w:t>'932'</w:t>
      </w:r>
      <w:proofErr w:type="gramStart"/>
      <w:r w:rsidRPr="00C94804">
        <w:rPr>
          <w:rFonts w:cs="Arial"/>
          <w:b/>
          <w:bCs/>
          <w:i/>
          <w:iCs/>
          <w:sz w:val="23"/>
          <w:szCs w:val="23"/>
          <w:lang w:val="it-CH"/>
        </w:rPr>
        <w:t>506.-</w:t>
      </w:r>
      <w:bookmarkEnd w:id="2"/>
      <w:proofErr w:type="gramEnd"/>
    </w:p>
    <w:p w:rsidR="00BF3FCA" w:rsidRPr="00C94804" w:rsidRDefault="00BF3FCA" w:rsidP="00C94804">
      <w:pPr>
        <w:pStyle w:val="Paragrafoelenco"/>
        <w:ind w:left="426"/>
        <w:rPr>
          <w:rFonts w:cs="Arial"/>
          <w:i/>
          <w:iCs/>
          <w:sz w:val="23"/>
          <w:szCs w:val="23"/>
          <w:lang w:val="it-CH"/>
        </w:rPr>
      </w:pPr>
    </w:p>
    <w:p w:rsidR="00BF3FCA" w:rsidRPr="00C94804" w:rsidRDefault="00BF3FCA" w:rsidP="00C94804">
      <w:pPr>
        <w:pStyle w:val="Paragrafoelenco"/>
        <w:ind w:left="426"/>
        <w:rPr>
          <w:rFonts w:cs="Arial"/>
          <w:i/>
          <w:iCs/>
          <w:sz w:val="23"/>
          <w:szCs w:val="23"/>
          <w:lang w:val="it-CH"/>
        </w:rPr>
      </w:pPr>
      <w:r w:rsidRPr="00C94804">
        <w:rPr>
          <w:rFonts w:cs="Arial"/>
          <w:i/>
          <w:iCs/>
          <w:sz w:val="23"/>
          <w:szCs w:val="23"/>
        </w:rPr>
        <w:t>Il credito residuo potrebbe, con il consenso del parlamento, essere utilizzato per l’acquisto delle nuove radio.</w:t>
      </w:r>
    </w:p>
    <w:p w:rsidR="00BF3FCA" w:rsidRPr="00C94804" w:rsidRDefault="00BF3FCA" w:rsidP="00C94804">
      <w:pPr>
        <w:pStyle w:val="Paragrafoelenco"/>
        <w:numPr>
          <w:ilvl w:val="0"/>
          <w:numId w:val="24"/>
        </w:numPr>
        <w:tabs>
          <w:tab w:val="left" w:pos="426"/>
        </w:tabs>
        <w:spacing w:after="120"/>
        <w:ind w:left="425" w:hanging="425"/>
        <w:contextualSpacing w:val="0"/>
        <w:rPr>
          <w:rFonts w:cs="Arial"/>
          <w:i/>
          <w:iCs/>
          <w:sz w:val="23"/>
          <w:szCs w:val="23"/>
          <w:lang w:val="it-CH"/>
        </w:rPr>
      </w:pPr>
      <w:r w:rsidRPr="00C94804">
        <w:rPr>
          <w:rFonts w:cs="Arial"/>
          <w:i/>
          <w:iCs/>
          <w:sz w:val="23"/>
          <w:szCs w:val="23"/>
          <w:lang w:val="it-CH"/>
        </w:rPr>
        <w:lastRenderedPageBreak/>
        <w:t xml:space="preserve">Il costo delle apparecchiature in uso dal 2012, secondo il messaggio 6159, era di </w:t>
      </w:r>
      <w:r w:rsidR="006A0333">
        <w:rPr>
          <w:rFonts w:cs="Arial"/>
          <w:i/>
          <w:iCs/>
          <w:sz w:val="23"/>
          <w:szCs w:val="23"/>
          <w:lang w:val="it-CH"/>
        </w:rPr>
        <w:br/>
      </w:r>
      <w:r w:rsidRPr="00C94804">
        <w:rPr>
          <w:rFonts w:cs="Arial"/>
          <w:i/>
          <w:iCs/>
          <w:sz w:val="23"/>
          <w:szCs w:val="23"/>
          <w:lang w:val="it-CH"/>
        </w:rPr>
        <w:t>fr. 7'647'</w:t>
      </w:r>
      <w:proofErr w:type="gramStart"/>
      <w:r w:rsidRPr="00C94804">
        <w:rPr>
          <w:rFonts w:cs="Arial"/>
          <w:i/>
          <w:iCs/>
          <w:sz w:val="23"/>
          <w:szCs w:val="23"/>
          <w:lang w:val="it-CH"/>
        </w:rPr>
        <w:t>600.-</w:t>
      </w:r>
      <w:proofErr w:type="gramEnd"/>
      <w:r w:rsidRPr="00C94804">
        <w:rPr>
          <w:rFonts w:cs="Arial"/>
          <w:i/>
          <w:iCs/>
          <w:sz w:val="23"/>
          <w:szCs w:val="23"/>
          <w:lang w:val="it-CH"/>
        </w:rPr>
        <w:t xml:space="preserve"> all'acquisto dei terminali di utente (il fabbisogno è stato quantificato in circa 1150 apparecchi), di cui una parte (1.6 mio) fu sussidiato/compartecipato dalla Confederazione. Per l’acquisto dei nuovi apparecchi sostitutivi ai sensi del messaggio 8045, è stato chiesto un sussidio/una partecipazione alla Confederazione? In caso negativo, su quale base, accordo o altri vincoli legali è escluso? </w:t>
      </w:r>
    </w:p>
    <w:p w:rsidR="00BF3FCA" w:rsidRPr="00C94804" w:rsidRDefault="00C94804" w:rsidP="00C94804">
      <w:pPr>
        <w:pStyle w:val="Paragrafoelenco"/>
        <w:tabs>
          <w:tab w:val="left" w:pos="426"/>
        </w:tabs>
        <w:ind w:left="426" w:hanging="426"/>
        <w:rPr>
          <w:rFonts w:cs="Arial"/>
          <w:i/>
          <w:iCs/>
          <w:sz w:val="23"/>
          <w:szCs w:val="23"/>
        </w:rPr>
      </w:pPr>
      <w:r w:rsidRPr="00C94804">
        <w:rPr>
          <w:rFonts w:cs="Arial"/>
          <w:i/>
          <w:iCs/>
          <w:sz w:val="23"/>
          <w:szCs w:val="23"/>
        </w:rPr>
        <w:tab/>
      </w:r>
      <w:r w:rsidR="00BF3FCA" w:rsidRPr="00C94804">
        <w:rPr>
          <w:rFonts w:cs="Arial"/>
          <w:i/>
          <w:iCs/>
          <w:sz w:val="23"/>
          <w:szCs w:val="23"/>
        </w:rPr>
        <w:t>Il finanziamento delle radio portatili a favore degli enti terzi (nello specifico delle Polizie comunali, delle Regioni di Protezione civile, dei Pompieri e del Servizio autoambulanze) esulano dal Messaggio n. 8045 come descritto nel capitolo 3.1. Tuttavia - e per tramite della commissione cantonale della rete radio Polycom cantonale che rappresenta tutti gli enti partner - è in corso l’accertamento per l’ottenimento di sussidi allo scopo di poter aggiornare le flotte finanziate a suo tempo dall’ufficio federale delle strade (USTRA) e dall’Ufficio federale della protezione della popolazione (UFPP).</w:t>
      </w:r>
    </w:p>
    <w:p w:rsidR="00C94804" w:rsidRPr="00C94804" w:rsidRDefault="00C94804" w:rsidP="00C94804">
      <w:pPr>
        <w:pStyle w:val="Paragrafoelenco"/>
        <w:tabs>
          <w:tab w:val="left" w:pos="426"/>
        </w:tabs>
        <w:ind w:left="426" w:hanging="426"/>
        <w:rPr>
          <w:rFonts w:cs="Arial"/>
          <w:i/>
          <w:iCs/>
          <w:sz w:val="23"/>
          <w:szCs w:val="23"/>
          <w:lang w:val="it-CH"/>
        </w:rPr>
      </w:pPr>
    </w:p>
    <w:p w:rsidR="00BF3FCA" w:rsidRPr="00C94804" w:rsidRDefault="00BF3FCA" w:rsidP="00C94804">
      <w:pPr>
        <w:pStyle w:val="Paragrafoelenco"/>
        <w:numPr>
          <w:ilvl w:val="0"/>
          <w:numId w:val="24"/>
        </w:numPr>
        <w:tabs>
          <w:tab w:val="left" w:pos="426"/>
        </w:tabs>
        <w:spacing w:after="120"/>
        <w:ind w:left="425" w:hanging="425"/>
        <w:contextualSpacing w:val="0"/>
        <w:rPr>
          <w:rFonts w:cs="Arial"/>
          <w:i/>
          <w:iCs/>
          <w:sz w:val="23"/>
          <w:szCs w:val="23"/>
          <w:lang w:val="it-CH"/>
        </w:rPr>
      </w:pPr>
      <w:r w:rsidRPr="00C94804">
        <w:rPr>
          <w:rFonts w:cs="Arial"/>
          <w:i/>
          <w:iCs/>
          <w:sz w:val="23"/>
          <w:szCs w:val="23"/>
          <w:lang w:val="it-CH"/>
        </w:rPr>
        <w:t xml:space="preserve">Si chiede conferma che il ciclo di vita di queste nuove apparecchiature è stimabile in </w:t>
      </w:r>
      <w:r w:rsidR="006A0333">
        <w:rPr>
          <w:rFonts w:cs="Arial"/>
          <w:i/>
          <w:iCs/>
          <w:sz w:val="23"/>
          <w:szCs w:val="23"/>
          <w:lang w:val="it-CH"/>
        </w:rPr>
        <w:br/>
      </w:r>
      <w:r w:rsidRPr="00C94804">
        <w:rPr>
          <w:rFonts w:cs="Arial"/>
          <w:i/>
          <w:iCs/>
          <w:sz w:val="23"/>
          <w:szCs w:val="23"/>
          <w:lang w:val="it-CH"/>
        </w:rPr>
        <w:t xml:space="preserve">15 anni, a differenza degli apparecchi acquistati nel 2012 e rottamati nel 2020? È da attendersi un costo ricorrente di 3.7/4.0 milioni ogni 10/15 anni per il rinnovo delle apparecchiature oltre a futuri ulteriori costi per le manutenzioni delle infrastrutture? </w:t>
      </w:r>
    </w:p>
    <w:p w:rsidR="00BF3FCA" w:rsidRPr="00C94804" w:rsidRDefault="00C94804" w:rsidP="00C94804">
      <w:pPr>
        <w:pStyle w:val="Paragrafoelenco"/>
        <w:tabs>
          <w:tab w:val="left" w:pos="426"/>
        </w:tabs>
        <w:ind w:left="426" w:hanging="426"/>
        <w:rPr>
          <w:rFonts w:cs="Arial"/>
          <w:i/>
          <w:iCs/>
          <w:sz w:val="23"/>
          <w:szCs w:val="23"/>
        </w:rPr>
      </w:pPr>
      <w:r w:rsidRPr="00C94804">
        <w:rPr>
          <w:rFonts w:cs="Arial"/>
          <w:i/>
          <w:iCs/>
          <w:sz w:val="23"/>
          <w:szCs w:val="23"/>
        </w:rPr>
        <w:tab/>
      </w:r>
      <w:r w:rsidR="00BF3FCA" w:rsidRPr="00C94804">
        <w:rPr>
          <w:rFonts w:cs="Arial"/>
          <w:i/>
          <w:iCs/>
          <w:sz w:val="23"/>
          <w:szCs w:val="23"/>
        </w:rPr>
        <w:t xml:space="preserve">La durata di vita di apparecchiature elettroniche può essere stimata solo in base all’esperienza e alle informazioni strategiche rilasciate dalle aziendali produttrici. Ad oggi, non si hanno notizie di progetti evolutivi e questo fa pensare che un nuovo modello non verrà presentato prima di 4-5 anni. Considerato inoltre che anche sui prodotti dichiarati “end of life” deve essere garantita una manutenzione secondo il CO (come è caso del modello in uso in questo momento) ne deriva una stima di almeno 10-15 anni. Infine, va ricordata la decisione del Consiglio federale sul progetto WEP2030 che indica chiaramente di mantenere l’utilizzo della tecnologia Polycom fino al 2035. </w:t>
      </w:r>
    </w:p>
    <w:p w:rsidR="00BF3FCA" w:rsidRPr="00C94804" w:rsidRDefault="00C94804" w:rsidP="00C94804">
      <w:pPr>
        <w:pStyle w:val="Paragrafoelenco"/>
        <w:tabs>
          <w:tab w:val="left" w:pos="426"/>
        </w:tabs>
        <w:ind w:left="426" w:hanging="426"/>
        <w:rPr>
          <w:rFonts w:cs="Arial"/>
          <w:b/>
          <w:bCs/>
          <w:i/>
          <w:iCs/>
          <w:sz w:val="23"/>
          <w:szCs w:val="23"/>
          <w:lang w:val="it-CH"/>
        </w:rPr>
      </w:pPr>
      <w:r w:rsidRPr="00C94804">
        <w:rPr>
          <w:rFonts w:cs="Arial"/>
          <w:i/>
          <w:iCs/>
          <w:sz w:val="23"/>
          <w:szCs w:val="23"/>
        </w:rPr>
        <w:tab/>
      </w:r>
      <w:r w:rsidR="00BF3FCA" w:rsidRPr="00C94804">
        <w:rPr>
          <w:rFonts w:cs="Arial"/>
          <w:i/>
          <w:iCs/>
          <w:sz w:val="23"/>
          <w:szCs w:val="23"/>
        </w:rPr>
        <w:t xml:space="preserve">Confermiamo quindi che </w:t>
      </w:r>
      <w:r w:rsidR="00BF3FCA" w:rsidRPr="00C94804">
        <w:rPr>
          <w:rFonts w:cs="Arial"/>
          <w:b/>
          <w:bCs/>
          <w:i/>
          <w:iCs/>
          <w:sz w:val="23"/>
          <w:szCs w:val="23"/>
        </w:rPr>
        <w:t>un credito analogo debba essere preventivato periodicamente.</w:t>
      </w:r>
    </w:p>
    <w:p w:rsidR="00BF3FCA" w:rsidRDefault="00BF3FCA" w:rsidP="00BF3FCA"/>
    <w:p w:rsidR="00BF3FCA" w:rsidRPr="00BF618D" w:rsidRDefault="00BF3FCA" w:rsidP="00BF3FCA"/>
    <w:p w:rsidR="00BF3FCA" w:rsidRPr="00E23D16" w:rsidRDefault="00EC21AF" w:rsidP="00BF3FCA">
      <w:pPr>
        <w:pStyle w:val="Titolo1"/>
        <w:numPr>
          <w:ilvl w:val="0"/>
          <w:numId w:val="20"/>
        </w:numPr>
        <w:tabs>
          <w:tab w:val="left" w:pos="567"/>
        </w:tabs>
        <w:spacing w:before="0"/>
        <w:ind w:hanging="720"/>
        <w:jc w:val="both"/>
      </w:pPr>
      <w:r>
        <w:t>CONCLUSIONI</w:t>
      </w:r>
    </w:p>
    <w:p w:rsidR="00BF3FCA" w:rsidRPr="00014A01" w:rsidRDefault="00BF3FCA" w:rsidP="00BF3FCA">
      <w:pPr>
        <w:contextualSpacing/>
        <w:rPr>
          <w:rFonts w:cs="Arial"/>
          <w:szCs w:val="24"/>
        </w:rPr>
      </w:pPr>
      <w:r w:rsidRPr="00014A01">
        <w:rPr>
          <w:rFonts w:cs="Arial"/>
          <w:szCs w:val="24"/>
        </w:rPr>
        <w:t>Tenuto conto di quanto esposto nel messaggio e delle puntuali risposte del Governo alla commissione, quest’ultima ritiene giustificato l’investimento.</w:t>
      </w:r>
    </w:p>
    <w:p w:rsidR="00BF3FCA" w:rsidRPr="00014A01" w:rsidRDefault="00BF3FCA" w:rsidP="00BF3FCA">
      <w:pPr>
        <w:contextualSpacing/>
        <w:rPr>
          <w:rFonts w:cs="Arial"/>
          <w:szCs w:val="24"/>
        </w:rPr>
      </w:pPr>
    </w:p>
    <w:p w:rsidR="00BF3FCA" w:rsidRPr="00014A01" w:rsidRDefault="00BF3FCA" w:rsidP="00C94804">
      <w:pPr>
        <w:spacing w:after="120"/>
        <w:rPr>
          <w:rFonts w:cs="Arial"/>
          <w:szCs w:val="24"/>
          <w:lang w:val="it-CH"/>
        </w:rPr>
      </w:pPr>
      <w:r w:rsidRPr="00014A01">
        <w:rPr>
          <w:rFonts w:cs="Arial"/>
          <w:szCs w:val="24"/>
        </w:rPr>
        <w:t xml:space="preserve">Contrariamente a quanto indicato tuttavia nella risposta governativa e dopo accertamenti fatti con il Controllo cantonale delle finanze e i consulenti giuridici del Gran Consiglio è stato possibile stabilire quanto segue: </w:t>
      </w:r>
    </w:p>
    <w:p w:rsidR="00BF3FCA" w:rsidRPr="00C94804" w:rsidRDefault="00BF3FCA" w:rsidP="00C94804">
      <w:pPr>
        <w:spacing w:after="120"/>
        <w:ind w:right="-11"/>
        <w:rPr>
          <w:rFonts w:eastAsia="Calibri" w:cs="Arial"/>
          <w:i/>
          <w:iCs/>
          <w:sz w:val="23"/>
          <w:szCs w:val="23"/>
          <w:lang w:val="it-CH" w:eastAsia="en-US"/>
        </w:rPr>
      </w:pPr>
      <w:r w:rsidRPr="00C94804">
        <w:rPr>
          <w:rFonts w:eastAsia="Calibri" w:cs="Arial"/>
          <w:i/>
          <w:iCs/>
          <w:sz w:val="23"/>
          <w:szCs w:val="23"/>
          <w:lang w:val="it-CH" w:eastAsia="en-US"/>
        </w:rPr>
        <w:t>Di principio il credito complessivo di fr. 29'677'600.- per la realizzazione della nuova rete radio cantonale di sicurezza Polycom stanziato con il Rapporto di maggioranza</w:t>
      </w:r>
      <w:r w:rsidR="006A0333">
        <w:rPr>
          <w:rFonts w:eastAsia="Calibri" w:cs="Arial"/>
          <w:i/>
          <w:iCs/>
          <w:sz w:val="23"/>
          <w:szCs w:val="23"/>
          <w:lang w:val="it-CH" w:eastAsia="en-US"/>
        </w:rPr>
        <w:t xml:space="preserve"> n.</w:t>
      </w:r>
      <w:r w:rsidRPr="00C94804">
        <w:rPr>
          <w:rFonts w:eastAsia="Calibri" w:cs="Arial"/>
          <w:i/>
          <w:iCs/>
          <w:sz w:val="23"/>
          <w:szCs w:val="23"/>
          <w:lang w:val="it-CH" w:eastAsia="en-US"/>
        </w:rPr>
        <w:t xml:space="preserve"> 6159</w:t>
      </w:r>
      <w:r w:rsidR="006A0333">
        <w:rPr>
          <w:rFonts w:eastAsia="Calibri" w:cs="Arial"/>
          <w:i/>
          <w:iCs/>
          <w:sz w:val="23"/>
          <w:szCs w:val="23"/>
          <w:lang w:val="it-CH" w:eastAsia="en-US"/>
        </w:rPr>
        <w:t xml:space="preserve"> </w:t>
      </w:r>
      <w:r w:rsidRPr="00C94804">
        <w:rPr>
          <w:rFonts w:eastAsia="Calibri" w:cs="Arial"/>
          <w:i/>
          <w:iCs/>
          <w:sz w:val="23"/>
          <w:szCs w:val="23"/>
          <w:lang w:val="it-CH" w:eastAsia="en-US"/>
        </w:rPr>
        <w:t xml:space="preserve">R1 del </w:t>
      </w:r>
      <w:r w:rsidR="006A0333">
        <w:rPr>
          <w:rFonts w:eastAsia="Calibri" w:cs="Arial"/>
          <w:i/>
          <w:iCs/>
          <w:sz w:val="23"/>
          <w:szCs w:val="23"/>
          <w:lang w:val="it-CH" w:eastAsia="en-US"/>
        </w:rPr>
        <w:br/>
      </w:r>
      <w:r w:rsidRPr="00C94804">
        <w:rPr>
          <w:rFonts w:eastAsia="Calibri" w:cs="Arial"/>
          <w:i/>
          <w:iCs/>
          <w:sz w:val="23"/>
          <w:szCs w:val="23"/>
          <w:lang w:val="it-CH" w:eastAsia="en-US"/>
        </w:rPr>
        <w:t>17 febbraio 2009, è stato utilizzato nell’ordine di fr. 21'650'</w:t>
      </w:r>
      <w:proofErr w:type="gramStart"/>
      <w:r w:rsidRPr="00C94804">
        <w:rPr>
          <w:rFonts w:eastAsia="Calibri" w:cs="Arial"/>
          <w:i/>
          <w:iCs/>
          <w:sz w:val="23"/>
          <w:szCs w:val="23"/>
          <w:lang w:val="it-CH" w:eastAsia="en-US"/>
        </w:rPr>
        <w:t>989.-</w:t>
      </w:r>
      <w:proofErr w:type="gramEnd"/>
      <w:r w:rsidRPr="00C94804">
        <w:rPr>
          <w:rFonts w:eastAsia="Calibri" w:cs="Arial"/>
          <w:i/>
          <w:iCs/>
          <w:sz w:val="23"/>
          <w:szCs w:val="23"/>
          <w:lang w:val="it-CH" w:eastAsia="en-US"/>
        </w:rPr>
        <w:t xml:space="preserve"> e presenta quindi un saldo di fr. 7'932'506.-. Ora, sebbene il Consiglio di Stato nella sua risposta 7 dicembre 2021 ai quesiti formulati dalla Commissione gestione e finanze il 29 settembre 2021 abbia evocato la possibilità che il “credito residuo potrebbe, con il consenso del parlamento, essere utilizzato per l’acquisto delle nuove radio”, ciò costituirebbe un problema sia dal punto di vista della Legge sulla gestione e sul controllo finanziario dello Stato (LGF, RL 600.100) sia da quello contabile.</w:t>
      </w:r>
    </w:p>
    <w:p w:rsidR="00BF3FCA" w:rsidRPr="00C94804" w:rsidRDefault="00BF3FCA" w:rsidP="00C94804">
      <w:pPr>
        <w:ind w:right="-13"/>
        <w:rPr>
          <w:rFonts w:eastAsia="Calibri" w:cs="Arial"/>
          <w:i/>
          <w:iCs/>
          <w:sz w:val="23"/>
          <w:szCs w:val="23"/>
          <w:lang w:val="it-CH" w:eastAsia="en-US"/>
        </w:rPr>
      </w:pPr>
      <w:r w:rsidRPr="00C94804">
        <w:rPr>
          <w:rFonts w:eastAsia="Calibri" w:cs="Arial"/>
          <w:i/>
          <w:iCs/>
          <w:sz w:val="23"/>
          <w:szCs w:val="23"/>
          <w:lang w:val="it-CH" w:eastAsia="en-US"/>
        </w:rPr>
        <w:t xml:space="preserve">Infatti, il credito votato nel 2009 risulta essere un credito di impegno ovvero quello che “autorizza l’assunzione di impegni finanziari fino all’importo di spesa stabilito e per uno specifico scopo, la cui realizzazione è di durata limitata, e può coprire più di un esercizio </w:t>
      </w:r>
      <w:r w:rsidRPr="00C94804">
        <w:rPr>
          <w:rFonts w:eastAsia="Calibri" w:cs="Arial"/>
          <w:i/>
          <w:iCs/>
          <w:sz w:val="23"/>
          <w:szCs w:val="23"/>
          <w:lang w:val="it-CH" w:eastAsia="en-US"/>
        </w:rPr>
        <w:lastRenderedPageBreak/>
        <w:t>annuale” (art. 22 cpv. 1 LGF) ed il medesimo “viene stralciato se il suo scopo è conseguito o se la realizzazione della relativa opera è abbandonata o ridimensionata” (art. 22 cpv. 6 LGF) oppure “decade automaticamente se la realizzazione dell’opera non è iniziata entro 5 anni dalla sua approvazione” (art. 22 cpv. 7 LGF).</w:t>
      </w:r>
    </w:p>
    <w:p w:rsidR="00BF3FCA" w:rsidRPr="00C94804" w:rsidRDefault="00BF3FCA" w:rsidP="00C94804">
      <w:pPr>
        <w:spacing w:after="120"/>
        <w:ind w:right="-11"/>
        <w:rPr>
          <w:rFonts w:eastAsia="Calibri" w:cs="Arial"/>
          <w:i/>
          <w:iCs/>
          <w:sz w:val="23"/>
          <w:szCs w:val="23"/>
          <w:lang w:val="it-CH" w:eastAsia="en-US"/>
        </w:rPr>
      </w:pPr>
      <w:r w:rsidRPr="00C94804">
        <w:rPr>
          <w:rFonts w:eastAsia="Calibri" w:cs="Arial"/>
          <w:i/>
          <w:iCs/>
          <w:sz w:val="23"/>
          <w:szCs w:val="23"/>
          <w:lang w:val="it-CH" w:eastAsia="en-US"/>
        </w:rPr>
        <w:t>Nel caso concreto il progetto risulta essere sostanzialmente chiuso –</w:t>
      </w:r>
      <w:r w:rsidR="006A0333">
        <w:rPr>
          <w:rFonts w:eastAsia="Calibri" w:cs="Arial"/>
          <w:i/>
          <w:iCs/>
          <w:sz w:val="23"/>
          <w:szCs w:val="23"/>
          <w:lang w:val="it-CH" w:eastAsia="en-US"/>
        </w:rPr>
        <w:t xml:space="preserve"> </w:t>
      </w:r>
      <w:r w:rsidRPr="00C94804">
        <w:rPr>
          <w:rFonts w:eastAsia="Calibri" w:cs="Arial"/>
          <w:i/>
          <w:iCs/>
          <w:sz w:val="23"/>
          <w:szCs w:val="23"/>
          <w:lang w:val="it-CH" w:eastAsia="en-US"/>
        </w:rPr>
        <w:t xml:space="preserve">vi sono ancora delle piccole questioni secondarie da svolgere – perciò l’autorizzazione all’impiego del suddetto credito è da considerarsi decaduta e di conseguenza l’importo residuo non potrebbe più essere utilizzato per la spesa relativa alla sostituzione degli apparecchi radio, tenuto altresì contro, in particolare, che una tale eventualità non è stata espressamente prevista nel </w:t>
      </w:r>
      <w:r w:rsidR="006A0333">
        <w:rPr>
          <w:rFonts w:eastAsia="Calibri" w:cs="Arial"/>
          <w:i/>
          <w:iCs/>
          <w:sz w:val="23"/>
          <w:szCs w:val="23"/>
          <w:lang w:val="it-CH" w:eastAsia="en-US"/>
        </w:rPr>
        <w:t>m</w:t>
      </w:r>
      <w:r w:rsidRPr="00C94804">
        <w:rPr>
          <w:rFonts w:eastAsia="Calibri" w:cs="Arial"/>
          <w:i/>
          <w:iCs/>
          <w:sz w:val="23"/>
          <w:szCs w:val="23"/>
          <w:lang w:val="it-CH" w:eastAsia="en-US"/>
        </w:rPr>
        <w:t xml:space="preserve">essaggio </w:t>
      </w:r>
      <w:r w:rsidR="006A0333">
        <w:rPr>
          <w:rFonts w:eastAsia="Calibri" w:cs="Arial"/>
          <w:i/>
          <w:iCs/>
          <w:sz w:val="23"/>
          <w:szCs w:val="23"/>
          <w:lang w:val="it-CH" w:eastAsia="en-US"/>
        </w:rPr>
        <w:br/>
        <w:t xml:space="preserve">n. </w:t>
      </w:r>
      <w:r w:rsidRPr="00C94804">
        <w:rPr>
          <w:rFonts w:eastAsia="Calibri" w:cs="Arial"/>
          <w:i/>
          <w:iCs/>
          <w:sz w:val="23"/>
          <w:szCs w:val="23"/>
          <w:lang w:val="it-CH" w:eastAsia="en-US"/>
        </w:rPr>
        <w:t>6159 del 16 dicembre 2008.</w:t>
      </w:r>
    </w:p>
    <w:p w:rsidR="00BF3FCA" w:rsidRPr="00C94804" w:rsidRDefault="00BF3FCA" w:rsidP="00C94804">
      <w:pPr>
        <w:spacing w:after="120"/>
        <w:ind w:right="-11"/>
        <w:rPr>
          <w:rFonts w:eastAsia="Calibri" w:cs="Arial"/>
          <w:i/>
          <w:iCs/>
          <w:sz w:val="23"/>
          <w:szCs w:val="23"/>
          <w:lang w:val="it-CH" w:eastAsia="en-US"/>
        </w:rPr>
      </w:pPr>
      <w:r w:rsidRPr="00C94804">
        <w:rPr>
          <w:rFonts w:eastAsia="Calibri" w:cs="Arial"/>
          <w:i/>
          <w:iCs/>
          <w:sz w:val="23"/>
          <w:szCs w:val="23"/>
          <w:lang w:val="it-CH" w:eastAsia="en-US"/>
        </w:rPr>
        <w:t xml:space="preserve">L’utilizzo dell’importo che non è stato speso per il progetto principale sconfesserebbe anche alcuni principi della contabilità pubblica, in particolare quello della specialità qualitativa, quantitativa e temporale (cfr. art. 9 cpv. 4 lett. g) LGF) secondo il quale un credito non può essere utilizzato che per l’obiettivo fissato dal conto di preventivo (specialità qualitativa) e l’utilizzazione del credito è limitata sia all’importo autorizzato dal preventivo (specialità quantitativa) che al periodo di preventivo (specialità temporale). In “parole povere”, quando il progetto è concluso il credito deve decadere. </w:t>
      </w:r>
    </w:p>
    <w:p w:rsidR="00BF3FCA" w:rsidRPr="00014A01" w:rsidRDefault="00BF3FCA" w:rsidP="00C94804">
      <w:pPr>
        <w:ind w:right="566"/>
        <w:contextualSpacing/>
        <w:rPr>
          <w:rFonts w:cs="Arial"/>
          <w:szCs w:val="24"/>
          <w:lang w:val="it-CH"/>
        </w:rPr>
      </w:pPr>
    </w:p>
    <w:p w:rsidR="00BF3FCA" w:rsidRPr="00014A01" w:rsidRDefault="00BF3FCA" w:rsidP="00BF3FCA">
      <w:pPr>
        <w:contextualSpacing/>
        <w:rPr>
          <w:rFonts w:cs="Arial"/>
          <w:szCs w:val="24"/>
          <w:lang w:val="it-CH"/>
        </w:rPr>
      </w:pPr>
      <w:r w:rsidRPr="00014A01">
        <w:rPr>
          <w:rFonts w:cs="Arial"/>
          <w:szCs w:val="24"/>
          <w:lang w:val="it-CH"/>
        </w:rPr>
        <w:t xml:space="preserve">Tenuto conto di questi chiarimenti </w:t>
      </w:r>
      <w:r w:rsidRPr="00014A01">
        <w:rPr>
          <w:rFonts w:cs="Arial"/>
          <w:szCs w:val="24"/>
        </w:rPr>
        <w:t xml:space="preserve">si chiede l’approvazione del </w:t>
      </w:r>
      <w:r w:rsidR="00C94804">
        <w:rPr>
          <w:rFonts w:cs="Arial"/>
          <w:szCs w:val="24"/>
        </w:rPr>
        <w:t>m</w:t>
      </w:r>
      <w:r w:rsidRPr="00014A01">
        <w:rPr>
          <w:rFonts w:cs="Arial"/>
          <w:szCs w:val="24"/>
        </w:rPr>
        <w:t xml:space="preserve">essaggio e del </w:t>
      </w:r>
      <w:r w:rsidR="00C94804">
        <w:rPr>
          <w:rFonts w:cs="Arial"/>
          <w:szCs w:val="24"/>
        </w:rPr>
        <w:t xml:space="preserve">decreto legislativo </w:t>
      </w:r>
      <w:r w:rsidRPr="00014A01">
        <w:rPr>
          <w:rFonts w:cs="Arial"/>
          <w:szCs w:val="24"/>
        </w:rPr>
        <w:t xml:space="preserve">allegato </w:t>
      </w:r>
    </w:p>
    <w:p w:rsidR="00BF3FCA" w:rsidRPr="00014A01" w:rsidRDefault="00BF3FCA" w:rsidP="00BF3FCA">
      <w:pPr>
        <w:contextualSpacing/>
        <w:rPr>
          <w:rFonts w:cs="Arial"/>
          <w:szCs w:val="24"/>
        </w:rPr>
      </w:pPr>
    </w:p>
    <w:p w:rsidR="00BF3FCA" w:rsidRDefault="00BF3FCA" w:rsidP="00BF3FCA">
      <w:pPr>
        <w:spacing w:line="23" w:lineRule="atLeast"/>
        <w:rPr>
          <w:rFonts w:cs="Arial"/>
        </w:rPr>
      </w:pPr>
    </w:p>
    <w:p w:rsidR="00F74F07" w:rsidRPr="00F7138E" w:rsidRDefault="00F74F07" w:rsidP="00F74F07">
      <w:pPr>
        <w:spacing w:after="120"/>
        <w:rPr>
          <w:rFonts w:eastAsia="Calibri" w:cs="Arial"/>
          <w:szCs w:val="24"/>
          <w:lang w:val="it-CH" w:eastAsia="en-US"/>
        </w:rPr>
      </w:pPr>
      <w:r w:rsidRPr="00F7138E">
        <w:rPr>
          <w:rFonts w:eastAsia="Calibri" w:cs="Arial"/>
          <w:szCs w:val="24"/>
          <w:lang w:val="it-CH" w:eastAsia="en-US"/>
        </w:rPr>
        <w:t xml:space="preserve">Per </w:t>
      </w:r>
      <w:smartTag w:uri="urn:schemas-microsoft-com:office:smarttags" w:element="PersonName">
        <w:smartTagPr>
          <w:attr w:name="ProductID" w:val="la Commissione"/>
        </w:smartTagPr>
        <w:r w:rsidRPr="00F7138E">
          <w:rPr>
            <w:rFonts w:eastAsia="Calibri" w:cs="Arial"/>
            <w:szCs w:val="24"/>
            <w:lang w:val="it-CH" w:eastAsia="en-US"/>
          </w:rPr>
          <w:t>la Commissione</w:t>
        </w:r>
      </w:smartTag>
      <w:r w:rsidRPr="00F7138E">
        <w:rPr>
          <w:rFonts w:eastAsia="Calibri" w:cs="Arial"/>
          <w:szCs w:val="24"/>
          <w:lang w:val="it-CH" w:eastAsia="en-US"/>
        </w:rPr>
        <w:t xml:space="preserve"> gestione e finanze:</w:t>
      </w:r>
    </w:p>
    <w:p w:rsidR="00F74F07" w:rsidRPr="00F7138E" w:rsidRDefault="00F74F07" w:rsidP="00F74F07">
      <w:pPr>
        <w:rPr>
          <w:rFonts w:eastAsia="Calibri" w:cs="Arial"/>
          <w:szCs w:val="24"/>
          <w:lang w:val="it-CH" w:eastAsia="en-US"/>
        </w:rPr>
      </w:pPr>
      <w:r>
        <w:rPr>
          <w:rFonts w:eastAsia="Calibri" w:cs="Arial"/>
          <w:szCs w:val="24"/>
          <w:lang w:val="it-CH" w:eastAsia="en-US"/>
        </w:rPr>
        <w:t>Matteo Quadranti</w:t>
      </w:r>
      <w:r w:rsidRPr="00F7138E">
        <w:rPr>
          <w:rFonts w:eastAsia="Calibri" w:cs="Arial"/>
          <w:szCs w:val="24"/>
          <w:lang w:val="it-CH" w:eastAsia="en-US"/>
        </w:rPr>
        <w:t>, relatore</w:t>
      </w:r>
    </w:p>
    <w:p w:rsidR="00F74F07" w:rsidRPr="001E6F88" w:rsidRDefault="00F74F07" w:rsidP="00F74F07">
      <w:pPr>
        <w:rPr>
          <w:rFonts w:cs="Arial"/>
        </w:rPr>
      </w:pPr>
      <w:bookmarkStart w:id="3" w:name="OLE_LINK1"/>
      <w:bookmarkStart w:id="4" w:name="OLE_LINK2"/>
      <w:r w:rsidRPr="001E6F88">
        <w:rPr>
          <w:rFonts w:cs="Arial"/>
        </w:rPr>
        <w:t xml:space="preserve">Agustoni - Balli - Bignasca - Biscossa - </w:t>
      </w:r>
    </w:p>
    <w:p w:rsidR="00F74F07" w:rsidRPr="001E6F88" w:rsidRDefault="00F74F07" w:rsidP="00F74F07">
      <w:pPr>
        <w:rPr>
          <w:rFonts w:cs="Arial"/>
        </w:rPr>
      </w:pPr>
      <w:r w:rsidRPr="001E6F88">
        <w:rPr>
          <w:rFonts w:cs="Arial"/>
        </w:rPr>
        <w:t xml:space="preserve">Bourgoin - Caprara - Dadò - Durisch - </w:t>
      </w:r>
    </w:p>
    <w:p w:rsidR="00F74F07" w:rsidRDefault="00F74F07" w:rsidP="00F74F07">
      <w:pPr>
        <w:rPr>
          <w:rFonts w:cs="Arial"/>
        </w:rPr>
      </w:pPr>
      <w:r w:rsidRPr="001E6F88">
        <w:rPr>
          <w:rFonts w:cs="Arial"/>
        </w:rPr>
        <w:t xml:space="preserve">Ferrara - Forini - Gianella Alessandra </w:t>
      </w:r>
      <w:r>
        <w:rPr>
          <w:rFonts w:cs="Arial"/>
        </w:rPr>
        <w:t>-</w:t>
      </w:r>
      <w:r w:rsidRPr="001E6F88">
        <w:rPr>
          <w:rFonts w:cs="Arial"/>
        </w:rPr>
        <w:t xml:space="preserve"> </w:t>
      </w:r>
    </w:p>
    <w:p w:rsidR="00F74F07" w:rsidRPr="001E6F88" w:rsidRDefault="00F74F07" w:rsidP="00F74F07">
      <w:pPr>
        <w:rPr>
          <w:rFonts w:cs="Arial"/>
        </w:rPr>
      </w:pPr>
      <w:r w:rsidRPr="001E6F88">
        <w:rPr>
          <w:rFonts w:cs="Arial"/>
        </w:rPr>
        <w:t xml:space="preserve">Guerra - Jelmini - Pamini </w:t>
      </w:r>
      <w:bookmarkEnd w:id="3"/>
      <w:bookmarkEnd w:id="4"/>
    </w:p>
    <w:p w:rsidR="00BF3FCA" w:rsidRDefault="00BF3FCA" w:rsidP="00F74F07">
      <w:pPr>
        <w:spacing w:after="120" w:line="0" w:lineRule="atLeast"/>
        <w:rPr>
          <w:rFonts w:cs="Arial"/>
        </w:rPr>
      </w:pPr>
    </w:p>
    <w:sectPr w:rsidR="00BF3FCA"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CA" w:rsidRDefault="00BF3FCA" w:rsidP="00F657BF">
      <w:r>
        <w:separator/>
      </w:r>
    </w:p>
  </w:endnote>
  <w:endnote w:type="continuationSeparator" w:id="0">
    <w:p w:rsidR="00BF3FCA" w:rsidRDefault="00BF3FC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A03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A0333" w:rsidP="00912E34">
          <w:pPr>
            <w:tabs>
              <w:tab w:val="center" w:pos="2382"/>
            </w:tabs>
          </w:pPr>
        </w:p>
      </w:tc>
      <w:tc>
        <w:tcPr>
          <w:tcW w:w="721" w:type="dxa"/>
        </w:tcPr>
        <w:p w:rsidR="00912E34" w:rsidRPr="003D1008" w:rsidRDefault="00C94804"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94804"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A033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A033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CA" w:rsidRDefault="00BF3FCA" w:rsidP="00F657BF">
      <w:r>
        <w:separator/>
      </w:r>
    </w:p>
  </w:footnote>
  <w:footnote w:type="continuationSeparator" w:id="0">
    <w:p w:rsidR="00BF3FCA" w:rsidRDefault="00BF3FC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A03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1A4E1CB-5E10-4F65-85DB-8F48FDF0E41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170A9"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C94804" w:rsidP="00662409">
          <w:pPr>
            <w:pStyle w:val="Page"/>
            <w:jc w:val="right"/>
          </w:pPr>
          <w:r w:rsidRPr="004204CB">
            <w:fldChar w:fldCharType="begin"/>
          </w:r>
          <w:r w:rsidRPr="004204CB">
            <w:instrText xml:space="preserve"> PAGE   \* MERGEFORMAT </w:instrText>
          </w:r>
          <w:r w:rsidRPr="004204CB">
            <w:fldChar w:fldCharType="separate"/>
          </w:r>
          <w:r w:rsidR="006A0333">
            <w:rPr>
              <w:noProof/>
            </w:rPr>
            <w:t>6</w:t>
          </w:r>
          <w:r w:rsidRPr="004204CB">
            <w:fldChar w:fldCharType="end"/>
          </w:r>
          <w:r w:rsidRPr="004204CB">
            <w:t xml:space="preserve"> di </w:t>
          </w:r>
          <w:fldSimple w:instr=" NUMPAGES   \* MERGEFORMAT ">
            <w:r w:rsidR="006A0333">
              <w:rPr>
                <w:noProof/>
              </w:rPr>
              <w:t>7</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1A4E1CB-5E10-4F65-85DB-8F48FDF0E417}"/>
          <w:text w:multiLine="1"/>
        </w:sdtPr>
        <w:sdtEndPr/>
        <w:sdtContent>
          <w:tc>
            <w:tcPr>
              <w:tcW w:w="8383" w:type="dxa"/>
              <w:tcBorders>
                <w:left w:val="single" w:sz="4" w:space="0" w:color="auto"/>
              </w:tcBorders>
              <w:tcMar>
                <w:top w:w="0" w:type="dxa"/>
                <w:left w:w="142" w:type="dxa"/>
              </w:tcMar>
            </w:tcPr>
            <w:p w:rsidR="005012EC" w:rsidRPr="00E8185F" w:rsidRDefault="00B170A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8045 R del 11 gennaio 2022</w:t>
              </w:r>
            </w:p>
          </w:tc>
        </w:sdtContent>
      </w:sdt>
      <w:tc>
        <w:tcPr>
          <w:tcW w:w="1710" w:type="dxa"/>
          <w:tcBorders>
            <w:top w:val="single" w:sz="4" w:space="0" w:color="auto"/>
          </w:tcBorders>
        </w:tcPr>
        <w:p w:rsidR="005012EC" w:rsidRPr="00E043A3" w:rsidRDefault="006A0333" w:rsidP="00662409">
          <w:pPr>
            <w:pStyle w:val="InvisibleLine"/>
            <w:rPr>
              <w:lang w:val="de-DE"/>
            </w:rPr>
          </w:pPr>
        </w:p>
      </w:tc>
    </w:tr>
  </w:tbl>
  <w:p w:rsidR="00F657BF" w:rsidRPr="00980362" w:rsidRDefault="00C9480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1A4E1CB-5E10-4F65-85DB-8F48FDF0E417}"/>
                            <w:text w:multiLine="1"/>
                          </w:sdtPr>
                          <w:sdtEndPr/>
                          <w:sdtContent>
                            <w:p w:rsidR="008065E8" w:rsidRPr="00411371" w:rsidRDefault="00C9480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1A4E1CB-5E10-4F65-85DB-8F48FDF0E417}"/>
                      <w:text w:multiLine="1"/>
                    </w:sdtPr>
                    <w:sdtEndPr/>
                    <w:sdtContent>
                      <w:p w:rsidR="008065E8" w:rsidRPr="00411371" w:rsidRDefault="00C9480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A0333" w:rsidP="00D07D6E">
          <w:pPr>
            <w:pStyle w:val="InvisibleLine"/>
            <w:ind w:left="150"/>
            <w:rPr>
              <w:sz w:val="16"/>
            </w:rPr>
          </w:pPr>
        </w:p>
      </w:tc>
      <w:tc>
        <w:tcPr>
          <w:tcW w:w="373" w:type="pct"/>
          <w:tcBorders>
            <w:top w:val="nil"/>
            <w:bottom w:val="single" w:sz="4" w:space="0" w:color="auto"/>
          </w:tcBorders>
          <w:vAlign w:val="bottom"/>
        </w:tcPr>
        <w:p w:rsidR="00662409" w:rsidRPr="003108C0" w:rsidRDefault="006A0333" w:rsidP="00D07D6E">
          <w:pPr>
            <w:pStyle w:val="Level"/>
            <w:ind w:left="150"/>
            <w:rPr>
              <w:sz w:val="16"/>
            </w:rPr>
          </w:pPr>
        </w:p>
      </w:tc>
      <w:tc>
        <w:tcPr>
          <w:tcW w:w="209" w:type="pct"/>
          <w:tcBorders>
            <w:top w:val="nil"/>
            <w:bottom w:val="single" w:sz="4" w:space="0" w:color="auto"/>
          </w:tcBorders>
        </w:tcPr>
        <w:p w:rsidR="00662409" w:rsidRDefault="00C9480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9480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A033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A0333">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1A4E1CB-5E10-4F65-85DB-8F48FDF0E417}"/>
          <w:text w:multiLine="1"/>
        </w:sdtPr>
        <w:sdtEndPr/>
        <w:sdtContent>
          <w:tc>
            <w:tcPr>
              <w:tcW w:w="5000" w:type="pct"/>
              <w:gridSpan w:val="6"/>
              <w:tcBorders>
                <w:left w:val="nil"/>
                <w:right w:val="nil"/>
              </w:tcBorders>
              <w:noWrap/>
              <w:tcMar>
                <w:top w:w="0" w:type="dxa"/>
              </w:tcMar>
              <w:vAlign w:val="bottom"/>
            </w:tcPr>
            <w:p w:rsidR="00662409" w:rsidRPr="008C03B5" w:rsidRDefault="00B170A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9480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A033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9480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A033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9480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A033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A033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1A4E1CB-5E10-4F65-85DB-8F48FDF0E417}"/>
              <w:text w:multiLine="1"/>
            </w:sdtPr>
            <w:sdtEndPr/>
            <w:sdtContent>
              <w:r w:rsidR="00B170A9">
                <w:rPr>
                  <w:rFonts w:cstheme="minorHAnsi"/>
                  <w:b/>
                  <w:sz w:val="24"/>
                  <w:szCs w:val="24"/>
                </w:rPr>
                <w:t>8045 R</w:t>
              </w:r>
            </w:sdtContent>
          </w:sdt>
        </w:p>
      </w:tc>
      <w:sdt>
        <w:sdtPr>
          <w:alias w:val="DocParam.Date"/>
          <w:id w:val="-464426178"/>
          <w:dataBinding w:xpath="//DateTime[@id='DocParam.Date']" w:storeItemID="{51A4E1CB-5E10-4F65-85DB-8F48FDF0E417}"/>
          <w:date w:fullDate="2022-01-11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B170A9" w:rsidP="00A532F6">
              <w:pPr>
                <w:pStyle w:val="Data"/>
              </w:pPr>
              <w:r>
                <w:t>11 gennaio 2022</w:t>
              </w:r>
            </w:p>
          </w:tc>
        </w:sdtContent>
      </w:sdt>
      <w:tc>
        <w:tcPr>
          <w:tcW w:w="3218" w:type="pct"/>
          <w:gridSpan w:val="4"/>
          <w:tcBorders>
            <w:top w:val="nil"/>
            <w:left w:val="nil"/>
            <w:bottom w:val="nil"/>
            <w:right w:val="nil"/>
          </w:tcBorders>
        </w:tcPr>
        <w:p w:rsidR="008C03B5" w:rsidRPr="00BE22A2" w:rsidRDefault="006A033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1A4E1CB-5E10-4F65-85DB-8F48FDF0E417}"/>
              <w:text w:multiLine="1"/>
            </w:sdtPr>
            <w:sdtEndPr/>
            <w:sdtContent>
              <w:r w:rsidR="00B170A9">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A0333" w:rsidP="00D07D6E">
          <w:pPr>
            <w:pStyle w:val="Level"/>
            <w:ind w:left="150"/>
            <w:rPr>
              <w:rFonts w:ascii="Gill Alt One MT Light" w:hAnsi="Gill Alt One MT Light"/>
              <w:sz w:val="16"/>
              <w:szCs w:val="16"/>
            </w:rPr>
          </w:pPr>
        </w:p>
      </w:tc>
    </w:tr>
  </w:tbl>
  <w:p w:rsidR="00F657BF" w:rsidRPr="00DA2879" w:rsidRDefault="00C9480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1A4E1CB-5E10-4F65-85DB-8F48FDF0E417}"/>
                            <w:text w:multiLine="1"/>
                          </w:sdtPr>
                          <w:sdtEndPr/>
                          <w:sdtContent>
                            <w:p w:rsidR="00E93620" w:rsidRPr="00411371" w:rsidRDefault="00C9480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1A4E1CB-5E10-4F65-85DB-8F48FDF0E417}"/>
                      <w:text w:multiLine="1"/>
                    </w:sdtPr>
                    <w:sdtEndPr/>
                    <w:sdtContent>
                      <w:p w:rsidR="00E93620" w:rsidRPr="00411371" w:rsidRDefault="00C9480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A6830"/>
    <w:multiLevelType w:val="hybridMultilevel"/>
    <w:tmpl w:val="DC041984"/>
    <w:lvl w:ilvl="0" w:tplc="DB22332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A005C20"/>
    <w:multiLevelType w:val="hybridMultilevel"/>
    <w:tmpl w:val="1974FF12"/>
    <w:lvl w:ilvl="0" w:tplc="0810000F">
      <w:start w:val="1"/>
      <w:numFmt w:val="decimal"/>
      <w:lvlText w:val="%1."/>
      <w:lvlJc w:val="left"/>
      <w:pPr>
        <w:ind w:left="1572" w:hanging="360"/>
      </w:pPr>
      <w:rPr>
        <w:rFonts w:hint="default"/>
        <w:i w:val="0"/>
      </w:rPr>
    </w:lvl>
    <w:lvl w:ilvl="1" w:tplc="08100019" w:tentative="1">
      <w:start w:val="1"/>
      <w:numFmt w:val="lowerLetter"/>
      <w:lvlText w:val="%2."/>
      <w:lvlJc w:val="left"/>
      <w:pPr>
        <w:ind w:left="2292" w:hanging="360"/>
      </w:pPr>
    </w:lvl>
    <w:lvl w:ilvl="2" w:tplc="0810001B" w:tentative="1">
      <w:start w:val="1"/>
      <w:numFmt w:val="lowerRoman"/>
      <w:lvlText w:val="%3."/>
      <w:lvlJc w:val="right"/>
      <w:pPr>
        <w:ind w:left="3012" w:hanging="180"/>
      </w:pPr>
    </w:lvl>
    <w:lvl w:ilvl="3" w:tplc="0810000F" w:tentative="1">
      <w:start w:val="1"/>
      <w:numFmt w:val="decimal"/>
      <w:lvlText w:val="%4."/>
      <w:lvlJc w:val="left"/>
      <w:pPr>
        <w:ind w:left="3732" w:hanging="360"/>
      </w:pPr>
    </w:lvl>
    <w:lvl w:ilvl="4" w:tplc="08100019" w:tentative="1">
      <w:start w:val="1"/>
      <w:numFmt w:val="lowerLetter"/>
      <w:lvlText w:val="%5."/>
      <w:lvlJc w:val="left"/>
      <w:pPr>
        <w:ind w:left="4452" w:hanging="360"/>
      </w:pPr>
    </w:lvl>
    <w:lvl w:ilvl="5" w:tplc="0810001B" w:tentative="1">
      <w:start w:val="1"/>
      <w:numFmt w:val="lowerRoman"/>
      <w:lvlText w:val="%6."/>
      <w:lvlJc w:val="right"/>
      <w:pPr>
        <w:ind w:left="5172" w:hanging="180"/>
      </w:pPr>
    </w:lvl>
    <w:lvl w:ilvl="6" w:tplc="0810000F" w:tentative="1">
      <w:start w:val="1"/>
      <w:numFmt w:val="decimal"/>
      <w:lvlText w:val="%7."/>
      <w:lvlJc w:val="left"/>
      <w:pPr>
        <w:ind w:left="5892" w:hanging="360"/>
      </w:pPr>
    </w:lvl>
    <w:lvl w:ilvl="7" w:tplc="08100019" w:tentative="1">
      <w:start w:val="1"/>
      <w:numFmt w:val="lowerLetter"/>
      <w:lvlText w:val="%8."/>
      <w:lvlJc w:val="left"/>
      <w:pPr>
        <w:ind w:left="6612" w:hanging="360"/>
      </w:pPr>
    </w:lvl>
    <w:lvl w:ilvl="8" w:tplc="0810001B" w:tentative="1">
      <w:start w:val="1"/>
      <w:numFmt w:val="lowerRoman"/>
      <w:lvlText w:val="%9."/>
      <w:lvlJc w:val="right"/>
      <w:pPr>
        <w:ind w:left="7332"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06B1243"/>
    <w:multiLevelType w:val="hybridMultilevel"/>
    <w:tmpl w:val="79EA6120"/>
    <w:lvl w:ilvl="0" w:tplc="0810000F">
      <w:start w:val="3"/>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2185E00"/>
    <w:multiLevelType w:val="multilevel"/>
    <w:tmpl w:val="F1921A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865684"/>
    <w:multiLevelType w:val="hybridMultilevel"/>
    <w:tmpl w:val="01E8902A"/>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7865CEF"/>
    <w:multiLevelType w:val="hybridMultilevel"/>
    <w:tmpl w:val="184ECFD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num w:numId="1">
    <w:abstractNumId w:val="16"/>
  </w:num>
  <w:num w:numId="2">
    <w:abstractNumId w:val="23"/>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22"/>
  </w:num>
  <w:num w:numId="5">
    <w:abstractNumId w:val="19"/>
  </w:num>
  <w:num w:numId="6">
    <w:abstractNumId w:val="17"/>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20"/>
  </w:num>
  <w:num w:numId="22">
    <w:abstractNumId w:val="10"/>
  </w:num>
  <w:num w:numId="23">
    <w:abstractNumId w:val="14"/>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CA"/>
    <w:rsid w:val="00144500"/>
    <w:rsid w:val="002B5D9F"/>
    <w:rsid w:val="003B756D"/>
    <w:rsid w:val="00403ADB"/>
    <w:rsid w:val="004B1D31"/>
    <w:rsid w:val="004C064F"/>
    <w:rsid w:val="00572FD3"/>
    <w:rsid w:val="006A0333"/>
    <w:rsid w:val="007E167B"/>
    <w:rsid w:val="008720C4"/>
    <w:rsid w:val="008F52AF"/>
    <w:rsid w:val="009C5E5A"/>
    <w:rsid w:val="00AF0268"/>
    <w:rsid w:val="00B170A9"/>
    <w:rsid w:val="00BF0A1F"/>
    <w:rsid w:val="00BF3FCA"/>
    <w:rsid w:val="00C94804"/>
    <w:rsid w:val="00D047E0"/>
    <w:rsid w:val="00D33940"/>
    <w:rsid w:val="00D600FD"/>
    <w:rsid w:val="00D649A8"/>
    <w:rsid w:val="00EB088A"/>
    <w:rsid w:val="00EC21AF"/>
    <w:rsid w:val="00F657BF"/>
    <w:rsid w:val="00F74F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29431FC9"/>
  <w15:docId w15:val="{6498DE26-A57D-4DD1-BA0C-69B07CC7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3FCA"/>
    <w:pPr>
      <w:spacing w:after="0"/>
      <w:jc w:val="both"/>
    </w:pPr>
    <w:rPr>
      <w:rFonts w:ascii="Arial" w:eastAsia="Times New Roman" w:hAnsi="Arial" w:cs="Times New Roman"/>
      <w:sz w:val="24"/>
      <w:szCs w:val="20"/>
      <w:lang w:val="it-IT" w:eastAsia="it-IT"/>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26"/>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Tabellaelenco4-colore11">
    <w:name w:val="Tabella elenco 4 - colore 11"/>
    <w:basedOn w:val="Tabellanormale"/>
    <w:next w:val="Tabellaelenco4-colore1"/>
    <w:uiPriority w:val="49"/>
    <w:rsid w:val="00BF3FCA"/>
    <w:pPr>
      <w:spacing w:after="0"/>
    </w:pPr>
    <w:rPr>
      <w:rFonts w:ascii="Times New Roman" w:eastAsia="Times New Roman" w:hAnsi="Times New Roman" w:cs="Times New Roman"/>
      <w:sz w:val="20"/>
      <w:szCs w:val="20"/>
      <w:lang w:val="it-CH" w:eastAsia="it-CH"/>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laelenco4-colore1">
    <w:name w:val="List Table 4 Accent 1"/>
    <w:basedOn w:val="Tabellanormale"/>
    <w:uiPriority w:val="49"/>
    <w:rsid w:val="00BF3FC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stofumetto">
    <w:name w:val="Balloon Text"/>
    <w:basedOn w:val="Normale"/>
    <w:link w:val="TestofumettoCarattere"/>
    <w:uiPriority w:val="99"/>
    <w:semiHidden/>
    <w:unhideWhenUsed/>
    <w:rsid w:val="004C06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064F"/>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938c8b9f-eb20-4f54-9ec8-c986e5133b8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4 9 6 f 7 7 7 8 - 5 d 7 0 - 4 0 d e - 8 9 2 d - 0 d 2 d 8 7 7 5 8 f 0 e "   t I d = " a 3 6 2 a 5 d 4 - 9 5 8 9 - 4 1 b f - a 4 e 6 - 4 f 8 7 c 4 e 4 1 2 3 9 "   i n t e r n a l T I d = " 9 0 6 4 c c 7 f - 3 1 6 d - 4 6 b 1 - a 4 a c - 7 4 8 6 0 c 3 f 8 a 5 b "   m t I d = " 2 7 5 a f 3 2 e - b c 4 0 - 4 5 c 2 - 8 5 b 7 - a f b 1 c 0 3 8 2 6 5 3 "   r e v i s i o n = " 0 "   c r e a t e d m a j o r v e r s i o n = " 0 "   c r e a t e d m i n o r v e r s i o n = " 0 "   c r e a t e d = " 2 0 2 2 - 0 1 - 1 1 T 1 0 : 5 2 : 4 2 . 9 6 8 8 5 5 1 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 2 0 2 2 - 0 1 - 1 1 T 0 0 : 0 0 : 0 0 Z < / D a t e T i m e >  
                 < T e x t   i d = " D o c P a r a m . N u m b e r " > < ! [ C D A T A [ 8 0 4 5 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0 4 5   R   d e l   1 1 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84A01491-8259-4D07-B0AA-EC91C3C2A5A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1A4E1CB-5E10-4F65-85DB-8F48FDF0E41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938c8b9f-eb20-4f54-9ec8-c986e5133b81.dotx</Template>
  <TotalTime>20</TotalTime>
  <Pages>7</Pages>
  <Words>2435</Words>
  <Characters>13885</Characters>
  <Application>Microsoft Office Word</Application>
  <DocSecurity>0</DocSecurity>
  <Lines>115</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10</cp:revision>
  <cp:lastPrinted>2022-01-11T16:07:00Z</cp:lastPrinted>
  <dcterms:created xsi:type="dcterms:W3CDTF">2022-01-11T10:53:00Z</dcterms:created>
  <dcterms:modified xsi:type="dcterms:W3CDTF">2022-01-11T16:07:00Z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