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59" w:rsidRPr="008B4137" w:rsidRDefault="00325959" w:rsidP="005C64D6">
      <w:pPr>
        <w:rPr>
          <w:rFonts w:cs="Arial"/>
          <w:b/>
          <w:sz w:val="28"/>
          <w:szCs w:val="28"/>
        </w:rPr>
      </w:pPr>
      <w:r w:rsidRPr="008B4137">
        <w:rPr>
          <w:rFonts w:cs="Arial"/>
          <w:b/>
          <w:sz w:val="28"/>
          <w:szCs w:val="28"/>
        </w:rPr>
        <w:t xml:space="preserve">della Commissione </w:t>
      </w:r>
      <w:r w:rsidRPr="00325959">
        <w:rPr>
          <w:rFonts w:cs="Arial"/>
          <w:b/>
          <w:sz w:val="28"/>
          <w:szCs w:val="28"/>
        </w:rPr>
        <w:t>gestione e finanze</w:t>
      </w:r>
    </w:p>
    <w:p w:rsidR="00325959" w:rsidRDefault="00325959" w:rsidP="005C64D6">
      <w:pPr>
        <w:rPr>
          <w:rFonts w:cs="Arial"/>
          <w:b/>
          <w:sz w:val="28"/>
          <w:szCs w:val="28"/>
        </w:rPr>
      </w:pPr>
      <w:r w:rsidRPr="000D6BD0">
        <w:rPr>
          <w:rFonts w:cs="Arial"/>
          <w:b/>
          <w:sz w:val="28"/>
          <w:szCs w:val="28"/>
        </w:rPr>
        <w:t>sul</w:t>
      </w:r>
      <w:r>
        <w:rPr>
          <w:rFonts w:cs="Arial"/>
          <w:b/>
          <w:sz w:val="28"/>
          <w:szCs w:val="28"/>
        </w:rPr>
        <w:t xml:space="preserve"> messaggio</w:t>
      </w:r>
      <w:r w:rsidRPr="00325959">
        <w:rPr>
          <w:rFonts w:cs="Arial"/>
          <w:b/>
          <w:sz w:val="28"/>
          <w:szCs w:val="28"/>
        </w:rPr>
        <w:t xml:space="preserve"> 25 giugno 2020</w:t>
      </w:r>
      <w:r>
        <w:rPr>
          <w:rFonts w:cs="Arial"/>
          <w:b/>
          <w:sz w:val="28"/>
          <w:szCs w:val="28"/>
        </w:rPr>
        <w:t xml:space="preserve"> concernente la modifica </w:t>
      </w:r>
      <w:r w:rsidRPr="00325959">
        <w:rPr>
          <w:rFonts w:cs="Arial"/>
          <w:b/>
          <w:sz w:val="28"/>
          <w:szCs w:val="28"/>
        </w:rPr>
        <w:t>della Legge sul finanziamento tramite il budget globale e il mandato di prestazione delle unità amministrative autonome (LUAA) del 12 ottobre 2015</w:t>
      </w:r>
    </w:p>
    <w:p w:rsidR="00325959" w:rsidRDefault="00325959" w:rsidP="005C64D6">
      <w:pPr>
        <w:rPr>
          <w:rFonts w:cs="Arial"/>
          <w:b/>
          <w:sz w:val="28"/>
          <w:szCs w:val="28"/>
        </w:rPr>
      </w:pPr>
    </w:p>
    <w:p w:rsidR="00263CDC" w:rsidRDefault="00263CDC" w:rsidP="005C64D6">
      <w:pPr>
        <w:rPr>
          <w:rFonts w:cs="Arial"/>
          <w:b/>
          <w:sz w:val="28"/>
          <w:szCs w:val="28"/>
        </w:rPr>
      </w:pPr>
    </w:p>
    <w:sdt>
      <w:sdtPr>
        <w:rPr>
          <w:rFonts w:ascii="Arial" w:hAnsi="Arial"/>
          <w:b w:val="0"/>
          <w:sz w:val="24"/>
          <w:lang w:val="it-IT"/>
        </w:rPr>
        <w:id w:val="646476565"/>
        <w:docPartObj>
          <w:docPartGallery w:val="Table of Contents"/>
          <w:docPartUnique/>
        </w:docPartObj>
      </w:sdtPr>
      <w:sdtEndPr>
        <w:rPr>
          <w:bCs/>
        </w:rPr>
      </w:sdtEndPr>
      <w:sdtContent>
        <w:p w:rsidR="0092353A" w:rsidRPr="00263CDC" w:rsidRDefault="00263CDC" w:rsidP="005C64D6">
          <w:pPr>
            <w:pStyle w:val="Titolosommario"/>
            <w:spacing w:after="240"/>
            <w:rPr>
              <w:rFonts w:asciiTheme="minorHAnsi" w:hAnsiTheme="minorHAnsi" w:cstheme="minorHAnsi"/>
              <w:sz w:val="22"/>
            </w:rPr>
          </w:pPr>
          <w:r w:rsidRPr="00263CDC">
            <w:rPr>
              <w:rFonts w:ascii="Arial" w:hAnsi="Arial"/>
              <w:sz w:val="24"/>
              <w:lang w:val="it-IT"/>
            </w:rPr>
            <w:t>INDICE</w:t>
          </w:r>
        </w:p>
        <w:p w:rsidR="008F7A1D" w:rsidRDefault="0092353A">
          <w:pPr>
            <w:pStyle w:val="Sommario1"/>
            <w:rPr>
              <w:rFonts w:asciiTheme="minorHAnsi" w:eastAsiaTheme="minorEastAsia" w:hAnsiTheme="minorHAnsi" w:cstheme="minorBidi"/>
              <w:b w:val="0"/>
              <w:noProof/>
              <w:sz w:val="22"/>
              <w:lang w:eastAsia="it-CH"/>
            </w:rPr>
          </w:pPr>
          <w:r w:rsidRPr="0092353A">
            <w:fldChar w:fldCharType="begin"/>
          </w:r>
          <w:r w:rsidRPr="0092353A">
            <w:instrText xml:space="preserve"> TOC \o "1-3" \h \z \u </w:instrText>
          </w:r>
          <w:r w:rsidRPr="0092353A">
            <w:fldChar w:fldCharType="separate"/>
          </w:r>
          <w:hyperlink w:anchor="_Toc95234620" w:history="1">
            <w:r w:rsidR="008F7A1D" w:rsidRPr="00605B50">
              <w:rPr>
                <w:rStyle w:val="Collegamentoipertestuale"/>
                <w:rFonts w:eastAsia="Times New Roman"/>
                <w:noProof/>
                <w:lang w:val="it-IT" w:eastAsia="it-IT"/>
              </w:rPr>
              <w:t>1.</w:t>
            </w:r>
            <w:r w:rsidR="008F7A1D">
              <w:rPr>
                <w:rFonts w:asciiTheme="minorHAnsi" w:eastAsiaTheme="minorEastAsia" w:hAnsiTheme="minorHAnsi" w:cstheme="minorBidi"/>
                <w:b w:val="0"/>
                <w:noProof/>
                <w:sz w:val="22"/>
                <w:lang w:eastAsia="it-CH"/>
              </w:rPr>
              <w:tab/>
            </w:r>
            <w:r w:rsidR="008F7A1D" w:rsidRPr="00605B50">
              <w:rPr>
                <w:rStyle w:val="Collegamentoipertestuale"/>
                <w:rFonts w:eastAsia="Times New Roman"/>
                <w:noProof/>
                <w:lang w:val="it-IT" w:eastAsia="it-IT"/>
              </w:rPr>
              <w:t>PREAMBOLO</w:t>
            </w:r>
            <w:r w:rsidR="008F7A1D">
              <w:rPr>
                <w:noProof/>
                <w:webHidden/>
              </w:rPr>
              <w:tab/>
            </w:r>
            <w:r w:rsidR="008F7A1D">
              <w:rPr>
                <w:noProof/>
                <w:webHidden/>
              </w:rPr>
              <w:fldChar w:fldCharType="begin"/>
            </w:r>
            <w:r w:rsidR="008F7A1D">
              <w:rPr>
                <w:noProof/>
                <w:webHidden/>
              </w:rPr>
              <w:instrText xml:space="preserve"> PAGEREF _Toc95234620 \h </w:instrText>
            </w:r>
            <w:r w:rsidR="008F7A1D">
              <w:rPr>
                <w:noProof/>
                <w:webHidden/>
              </w:rPr>
            </w:r>
            <w:r w:rsidR="008F7A1D">
              <w:rPr>
                <w:noProof/>
                <w:webHidden/>
              </w:rPr>
              <w:fldChar w:fldCharType="separate"/>
            </w:r>
            <w:r w:rsidR="008F7A1D">
              <w:rPr>
                <w:noProof/>
                <w:webHidden/>
              </w:rPr>
              <w:t>2</w:t>
            </w:r>
            <w:r w:rsidR="008F7A1D">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21" w:history="1">
            <w:r w:rsidRPr="00605B50">
              <w:rPr>
                <w:rStyle w:val="Collegamentoipertestuale"/>
                <w:rFonts w:eastAsia="Times New Roman"/>
                <w:noProof/>
                <w:lang w:val="it-IT" w:eastAsia="it-IT"/>
              </w:rPr>
              <w:t>2.</w:t>
            </w:r>
            <w:r>
              <w:rPr>
                <w:rFonts w:asciiTheme="minorHAnsi" w:eastAsiaTheme="minorEastAsia" w:hAnsiTheme="minorHAnsi" w:cstheme="minorBidi"/>
                <w:b w:val="0"/>
                <w:noProof/>
                <w:sz w:val="22"/>
                <w:lang w:eastAsia="it-CH"/>
              </w:rPr>
              <w:tab/>
            </w:r>
            <w:r w:rsidRPr="00605B50">
              <w:rPr>
                <w:rStyle w:val="Collegamentoipertestuale"/>
                <w:rFonts w:eastAsia="Times New Roman"/>
                <w:noProof/>
                <w:lang w:val="it-IT" w:eastAsia="it-IT"/>
              </w:rPr>
              <w:t>INTRODUZIONE</w:t>
            </w:r>
            <w:r>
              <w:rPr>
                <w:noProof/>
                <w:webHidden/>
              </w:rPr>
              <w:tab/>
            </w:r>
            <w:r>
              <w:rPr>
                <w:noProof/>
                <w:webHidden/>
              </w:rPr>
              <w:fldChar w:fldCharType="begin"/>
            </w:r>
            <w:r>
              <w:rPr>
                <w:noProof/>
                <w:webHidden/>
              </w:rPr>
              <w:instrText xml:space="preserve"> PAGEREF _Toc95234621 \h </w:instrText>
            </w:r>
            <w:r>
              <w:rPr>
                <w:noProof/>
                <w:webHidden/>
              </w:rPr>
            </w:r>
            <w:r>
              <w:rPr>
                <w:noProof/>
                <w:webHidden/>
              </w:rPr>
              <w:fldChar w:fldCharType="separate"/>
            </w:r>
            <w:r>
              <w:rPr>
                <w:noProof/>
                <w:webHidden/>
              </w:rPr>
              <w:t>2</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22" w:history="1">
            <w:r w:rsidRPr="00605B50">
              <w:rPr>
                <w:rStyle w:val="Collegamentoipertestuale"/>
                <w:rFonts w:eastAsia="Times New Roman"/>
                <w:noProof/>
                <w:lang w:val="it-IT" w:eastAsia="it-IT"/>
              </w:rPr>
              <w:t>3.</w:t>
            </w:r>
            <w:r>
              <w:rPr>
                <w:rFonts w:asciiTheme="minorHAnsi" w:eastAsiaTheme="minorEastAsia" w:hAnsiTheme="minorHAnsi" w:cstheme="minorBidi"/>
                <w:b w:val="0"/>
                <w:noProof/>
                <w:sz w:val="22"/>
                <w:lang w:eastAsia="it-CH"/>
              </w:rPr>
              <w:tab/>
            </w:r>
            <w:r w:rsidRPr="00605B50">
              <w:rPr>
                <w:rStyle w:val="Collegamentoipertestuale"/>
                <w:rFonts w:eastAsia="Times New Roman"/>
                <w:noProof/>
                <w:lang w:val="it-IT" w:eastAsia="it-IT"/>
              </w:rPr>
              <w:t>BASI LEGALI</w:t>
            </w:r>
            <w:r>
              <w:rPr>
                <w:noProof/>
                <w:webHidden/>
              </w:rPr>
              <w:tab/>
            </w:r>
            <w:r>
              <w:rPr>
                <w:noProof/>
                <w:webHidden/>
              </w:rPr>
              <w:fldChar w:fldCharType="begin"/>
            </w:r>
            <w:r>
              <w:rPr>
                <w:noProof/>
                <w:webHidden/>
              </w:rPr>
              <w:instrText xml:space="preserve"> PAGEREF _Toc95234622 \h </w:instrText>
            </w:r>
            <w:r>
              <w:rPr>
                <w:noProof/>
                <w:webHidden/>
              </w:rPr>
            </w:r>
            <w:r>
              <w:rPr>
                <w:noProof/>
                <w:webHidden/>
              </w:rPr>
              <w:fldChar w:fldCharType="separate"/>
            </w:r>
            <w:r>
              <w:rPr>
                <w:noProof/>
                <w:webHidden/>
              </w:rPr>
              <w:t>3</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23" w:history="1">
            <w:r w:rsidRPr="00605B50">
              <w:rPr>
                <w:rStyle w:val="Collegamentoipertestuale"/>
                <w:noProof/>
                <w:lang w:val="it-IT" w:eastAsia="it-IT"/>
              </w:rPr>
              <w:t>3.1</w:t>
            </w:r>
            <w:r>
              <w:rPr>
                <w:rFonts w:asciiTheme="minorHAnsi" w:eastAsiaTheme="minorEastAsia" w:hAnsiTheme="minorHAnsi" w:cstheme="minorBidi"/>
                <w:noProof/>
                <w:sz w:val="22"/>
                <w:lang w:eastAsia="it-CH"/>
              </w:rPr>
              <w:tab/>
            </w:r>
            <w:r w:rsidRPr="00605B50">
              <w:rPr>
                <w:rStyle w:val="Collegamentoipertestuale"/>
                <w:noProof/>
                <w:lang w:val="it-IT" w:eastAsia="it-IT"/>
              </w:rPr>
              <w:t>Generali</w:t>
            </w:r>
            <w:r>
              <w:rPr>
                <w:noProof/>
                <w:webHidden/>
              </w:rPr>
              <w:tab/>
            </w:r>
            <w:r>
              <w:rPr>
                <w:noProof/>
                <w:webHidden/>
              </w:rPr>
              <w:fldChar w:fldCharType="begin"/>
            </w:r>
            <w:r>
              <w:rPr>
                <w:noProof/>
                <w:webHidden/>
              </w:rPr>
              <w:instrText xml:space="preserve"> PAGEREF _Toc95234623 \h </w:instrText>
            </w:r>
            <w:r>
              <w:rPr>
                <w:noProof/>
                <w:webHidden/>
              </w:rPr>
            </w:r>
            <w:r>
              <w:rPr>
                <w:noProof/>
                <w:webHidden/>
              </w:rPr>
              <w:fldChar w:fldCharType="separate"/>
            </w:r>
            <w:r>
              <w:rPr>
                <w:noProof/>
                <w:webHidden/>
              </w:rPr>
              <w:t>3</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24" w:history="1">
            <w:r w:rsidRPr="00605B50">
              <w:rPr>
                <w:rStyle w:val="Collegamentoipertestuale"/>
                <w:noProof/>
                <w:lang w:val="it-IT" w:eastAsia="it-IT"/>
              </w:rPr>
              <w:t>3.2</w:t>
            </w:r>
            <w:r>
              <w:rPr>
                <w:rFonts w:asciiTheme="minorHAnsi" w:eastAsiaTheme="minorEastAsia" w:hAnsiTheme="minorHAnsi" w:cstheme="minorBidi"/>
                <w:noProof/>
                <w:sz w:val="22"/>
                <w:lang w:eastAsia="it-CH"/>
              </w:rPr>
              <w:tab/>
            </w:r>
            <w:r w:rsidRPr="00605B50">
              <w:rPr>
                <w:rStyle w:val="Collegamentoipertestuale"/>
                <w:noProof/>
                <w:lang w:val="it-IT" w:eastAsia="it-IT"/>
              </w:rPr>
              <w:t>Basi legali specifiche</w:t>
            </w:r>
            <w:r>
              <w:rPr>
                <w:noProof/>
                <w:webHidden/>
              </w:rPr>
              <w:tab/>
            </w:r>
            <w:r>
              <w:rPr>
                <w:noProof/>
                <w:webHidden/>
              </w:rPr>
              <w:fldChar w:fldCharType="begin"/>
            </w:r>
            <w:r>
              <w:rPr>
                <w:noProof/>
                <w:webHidden/>
              </w:rPr>
              <w:instrText xml:space="preserve"> PAGEREF _Toc95234624 \h </w:instrText>
            </w:r>
            <w:r>
              <w:rPr>
                <w:noProof/>
                <w:webHidden/>
              </w:rPr>
            </w:r>
            <w:r>
              <w:rPr>
                <w:noProof/>
                <w:webHidden/>
              </w:rPr>
              <w:fldChar w:fldCharType="separate"/>
            </w:r>
            <w:r>
              <w:rPr>
                <w:noProof/>
                <w:webHidden/>
              </w:rPr>
              <w:t>5</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25" w:history="1">
            <w:r w:rsidRPr="00605B50">
              <w:rPr>
                <w:rStyle w:val="Collegamentoipertestuale"/>
                <w:noProof/>
                <w:lang w:val="it-IT" w:eastAsia="it-IT"/>
              </w:rPr>
              <w:t>3.3</w:t>
            </w:r>
            <w:r>
              <w:rPr>
                <w:rFonts w:asciiTheme="minorHAnsi" w:eastAsiaTheme="minorEastAsia" w:hAnsiTheme="minorHAnsi" w:cstheme="minorBidi"/>
                <w:noProof/>
                <w:sz w:val="22"/>
                <w:lang w:eastAsia="it-CH"/>
              </w:rPr>
              <w:tab/>
            </w:r>
            <w:r w:rsidRPr="00605B50">
              <w:rPr>
                <w:rStyle w:val="Collegamentoipertestuale"/>
                <w:noProof/>
                <w:lang w:val="it-IT" w:eastAsia="it-IT"/>
              </w:rPr>
              <w:t>Modello per i Comuni</w:t>
            </w:r>
            <w:r>
              <w:rPr>
                <w:noProof/>
                <w:webHidden/>
              </w:rPr>
              <w:tab/>
            </w:r>
            <w:r>
              <w:rPr>
                <w:noProof/>
                <w:webHidden/>
              </w:rPr>
              <w:fldChar w:fldCharType="begin"/>
            </w:r>
            <w:r>
              <w:rPr>
                <w:noProof/>
                <w:webHidden/>
              </w:rPr>
              <w:instrText xml:space="preserve"> PAGEREF _Toc95234625 \h </w:instrText>
            </w:r>
            <w:r>
              <w:rPr>
                <w:noProof/>
                <w:webHidden/>
              </w:rPr>
            </w:r>
            <w:r>
              <w:rPr>
                <w:noProof/>
                <w:webHidden/>
              </w:rPr>
              <w:fldChar w:fldCharType="separate"/>
            </w:r>
            <w:r>
              <w:rPr>
                <w:noProof/>
                <w:webHidden/>
              </w:rPr>
              <w:t>6</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26" w:history="1">
            <w:r w:rsidRPr="00605B50">
              <w:rPr>
                <w:rStyle w:val="Collegamentoipertestuale"/>
                <w:rFonts w:eastAsia="Times New Roman"/>
                <w:noProof/>
                <w:lang w:eastAsia="it-IT"/>
              </w:rPr>
              <w:t>3.4</w:t>
            </w:r>
            <w:r>
              <w:rPr>
                <w:rFonts w:asciiTheme="minorHAnsi" w:eastAsiaTheme="minorEastAsia" w:hAnsiTheme="minorHAnsi" w:cstheme="minorBidi"/>
                <w:noProof/>
                <w:sz w:val="22"/>
                <w:lang w:eastAsia="it-CH"/>
              </w:rPr>
              <w:tab/>
            </w:r>
            <w:r w:rsidRPr="00605B50">
              <w:rPr>
                <w:rStyle w:val="Collegamentoipertestuale"/>
                <w:rFonts w:eastAsia="Times New Roman"/>
                <w:noProof/>
                <w:lang w:eastAsia="it-IT"/>
              </w:rPr>
              <w:t>Confederazione</w:t>
            </w:r>
            <w:r>
              <w:rPr>
                <w:noProof/>
                <w:webHidden/>
              </w:rPr>
              <w:tab/>
            </w:r>
            <w:r>
              <w:rPr>
                <w:noProof/>
                <w:webHidden/>
              </w:rPr>
              <w:fldChar w:fldCharType="begin"/>
            </w:r>
            <w:r>
              <w:rPr>
                <w:noProof/>
                <w:webHidden/>
              </w:rPr>
              <w:instrText xml:space="preserve"> PAGEREF _Toc95234626 \h </w:instrText>
            </w:r>
            <w:r>
              <w:rPr>
                <w:noProof/>
                <w:webHidden/>
              </w:rPr>
            </w:r>
            <w:r>
              <w:rPr>
                <w:noProof/>
                <w:webHidden/>
              </w:rPr>
              <w:fldChar w:fldCharType="separate"/>
            </w:r>
            <w:r>
              <w:rPr>
                <w:noProof/>
                <w:webHidden/>
              </w:rPr>
              <w:t>7</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27" w:history="1">
            <w:r w:rsidRPr="00605B50">
              <w:rPr>
                <w:rStyle w:val="Collegamentoipertestuale"/>
                <w:caps/>
                <w:noProof/>
                <w:lang w:val="it-IT" w:eastAsia="it-IT"/>
              </w:rPr>
              <w:t>4.</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Situazione attuale progetto UAA</w:t>
            </w:r>
            <w:r>
              <w:rPr>
                <w:noProof/>
                <w:webHidden/>
              </w:rPr>
              <w:tab/>
            </w:r>
            <w:r>
              <w:rPr>
                <w:noProof/>
                <w:webHidden/>
              </w:rPr>
              <w:fldChar w:fldCharType="begin"/>
            </w:r>
            <w:r>
              <w:rPr>
                <w:noProof/>
                <w:webHidden/>
              </w:rPr>
              <w:instrText xml:space="preserve"> PAGEREF _Toc95234627 \h </w:instrText>
            </w:r>
            <w:r>
              <w:rPr>
                <w:noProof/>
                <w:webHidden/>
              </w:rPr>
            </w:r>
            <w:r>
              <w:rPr>
                <w:noProof/>
                <w:webHidden/>
              </w:rPr>
              <w:fldChar w:fldCharType="separate"/>
            </w:r>
            <w:r>
              <w:rPr>
                <w:noProof/>
                <w:webHidden/>
              </w:rPr>
              <w:t>8</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28" w:history="1">
            <w:r w:rsidRPr="00605B50">
              <w:rPr>
                <w:rStyle w:val="Collegamentoipertestuale"/>
                <w:caps/>
                <w:noProof/>
                <w:lang w:val="it-IT" w:eastAsia="it-IT"/>
              </w:rPr>
              <w:t>5.</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Criticità emerse con gli Uffici UAA</w:t>
            </w:r>
            <w:r>
              <w:rPr>
                <w:noProof/>
                <w:webHidden/>
              </w:rPr>
              <w:tab/>
            </w:r>
            <w:r>
              <w:rPr>
                <w:noProof/>
                <w:webHidden/>
              </w:rPr>
              <w:fldChar w:fldCharType="begin"/>
            </w:r>
            <w:r>
              <w:rPr>
                <w:noProof/>
                <w:webHidden/>
              </w:rPr>
              <w:instrText xml:space="preserve"> PAGEREF _Toc95234628 \h </w:instrText>
            </w:r>
            <w:r>
              <w:rPr>
                <w:noProof/>
                <w:webHidden/>
              </w:rPr>
            </w:r>
            <w:r>
              <w:rPr>
                <w:noProof/>
                <w:webHidden/>
              </w:rPr>
              <w:fldChar w:fldCharType="separate"/>
            </w:r>
            <w:r>
              <w:rPr>
                <w:noProof/>
                <w:webHidden/>
              </w:rPr>
              <w:t>8</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29" w:history="1">
            <w:r w:rsidRPr="00605B50">
              <w:rPr>
                <w:rStyle w:val="Collegamentoipertestuale"/>
                <w:noProof/>
                <w:lang w:val="it-IT" w:eastAsia="it-IT"/>
              </w:rPr>
              <w:t>5.1</w:t>
            </w:r>
            <w:r>
              <w:rPr>
                <w:rFonts w:asciiTheme="minorHAnsi" w:eastAsiaTheme="minorEastAsia" w:hAnsiTheme="minorHAnsi" w:cstheme="minorBidi"/>
                <w:noProof/>
                <w:sz w:val="22"/>
                <w:lang w:eastAsia="it-CH"/>
              </w:rPr>
              <w:tab/>
            </w:r>
            <w:r w:rsidRPr="00605B50">
              <w:rPr>
                <w:rStyle w:val="Collegamentoipertestuale"/>
                <w:noProof/>
                <w:lang w:val="it-IT" w:eastAsia="it-IT"/>
              </w:rPr>
              <w:t>Volontà politica</w:t>
            </w:r>
            <w:r>
              <w:rPr>
                <w:noProof/>
                <w:webHidden/>
              </w:rPr>
              <w:tab/>
            </w:r>
            <w:r>
              <w:rPr>
                <w:noProof/>
                <w:webHidden/>
              </w:rPr>
              <w:fldChar w:fldCharType="begin"/>
            </w:r>
            <w:r>
              <w:rPr>
                <w:noProof/>
                <w:webHidden/>
              </w:rPr>
              <w:instrText xml:space="preserve"> PAGEREF _Toc95234629 \h </w:instrText>
            </w:r>
            <w:r>
              <w:rPr>
                <w:noProof/>
                <w:webHidden/>
              </w:rPr>
            </w:r>
            <w:r>
              <w:rPr>
                <w:noProof/>
                <w:webHidden/>
              </w:rPr>
              <w:fldChar w:fldCharType="separate"/>
            </w:r>
            <w:r>
              <w:rPr>
                <w:noProof/>
                <w:webHidden/>
              </w:rPr>
              <w:t>8</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0" w:history="1">
            <w:r w:rsidRPr="00605B50">
              <w:rPr>
                <w:rStyle w:val="Collegamentoipertestuale"/>
                <w:noProof/>
                <w:lang w:val="it-IT" w:eastAsia="it-IT"/>
              </w:rPr>
              <w:t>5.2</w:t>
            </w:r>
            <w:r>
              <w:rPr>
                <w:rFonts w:asciiTheme="minorHAnsi" w:eastAsiaTheme="minorEastAsia" w:hAnsiTheme="minorHAnsi" w:cstheme="minorBidi"/>
                <w:noProof/>
                <w:sz w:val="22"/>
                <w:lang w:eastAsia="it-CH"/>
              </w:rPr>
              <w:tab/>
            </w:r>
            <w:r w:rsidRPr="00605B50">
              <w:rPr>
                <w:rStyle w:val="Collegamentoipertestuale"/>
                <w:noProof/>
                <w:lang w:val="it-IT" w:eastAsia="it-IT"/>
              </w:rPr>
              <w:t>Funzionari dirigenti</w:t>
            </w:r>
            <w:r>
              <w:rPr>
                <w:noProof/>
                <w:webHidden/>
              </w:rPr>
              <w:tab/>
            </w:r>
            <w:r>
              <w:rPr>
                <w:noProof/>
                <w:webHidden/>
              </w:rPr>
              <w:fldChar w:fldCharType="begin"/>
            </w:r>
            <w:r>
              <w:rPr>
                <w:noProof/>
                <w:webHidden/>
              </w:rPr>
              <w:instrText xml:space="preserve"> PAGEREF _Toc95234630 \h </w:instrText>
            </w:r>
            <w:r>
              <w:rPr>
                <w:noProof/>
                <w:webHidden/>
              </w:rPr>
            </w:r>
            <w:r>
              <w:rPr>
                <w:noProof/>
                <w:webHidden/>
              </w:rPr>
              <w:fldChar w:fldCharType="separate"/>
            </w:r>
            <w:r>
              <w:rPr>
                <w:noProof/>
                <w:webHidden/>
              </w:rPr>
              <w:t>9</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1" w:history="1">
            <w:r w:rsidRPr="00605B50">
              <w:rPr>
                <w:rStyle w:val="Collegamentoipertestuale"/>
                <w:noProof/>
                <w:lang w:val="it-IT" w:eastAsia="it-IT"/>
              </w:rPr>
              <w:t>5.3</w:t>
            </w:r>
            <w:r>
              <w:rPr>
                <w:rFonts w:asciiTheme="minorHAnsi" w:eastAsiaTheme="minorEastAsia" w:hAnsiTheme="minorHAnsi" w:cstheme="minorBidi"/>
                <w:noProof/>
                <w:sz w:val="22"/>
                <w:lang w:eastAsia="it-CH"/>
              </w:rPr>
              <w:tab/>
            </w:r>
            <w:r w:rsidRPr="00605B50">
              <w:rPr>
                <w:rStyle w:val="Collegamentoipertestuale"/>
                <w:noProof/>
                <w:lang w:val="it-IT" w:eastAsia="it-IT"/>
              </w:rPr>
              <w:t>Indicatori</w:t>
            </w:r>
            <w:r>
              <w:rPr>
                <w:noProof/>
                <w:webHidden/>
              </w:rPr>
              <w:tab/>
            </w:r>
            <w:r>
              <w:rPr>
                <w:noProof/>
                <w:webHidden/>
              </w:rPr>
              <w:fldChar w:fldCharType="begin"/>
            </w:r>
            <w:r>
              <w:rPr>
                <w:noProof/>
                <w:webHidden/>
              </w:rPr>
              <w:instrText xml:space="preserve"> PAGEREF _Toc95234631 \h </w:instrText>
            </w:r>
            <w:r>
              <w:rPr>
                <w:noProof/>
                <w:webHidden/>
              </w:rPr>
            </w:r>
            <w:r>
              <w:rPr>
                <w:noProof/>
                <w:webHidden/>
              </w:rPr>
              <w:fldChar w:fldCharType="separate"/>
            </w:r>
            <w:r>
              <w:rPr>
                <w:noProof/>
                <w:webHidden/>
              </w:rPr>
              <w:t>9</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2" w:history="1">
            <w:r w:rsidRPr="00605B50">
              <w:rPr>
                <w:rStyle w:val="Collegamentoipertestuale"/>
                <w:noProof/>
                <w:lang w:val="it-IT" w:eastAsia="it-IT"/>
              </w:rPr>
              <w:t>5.4</w:t>
            </w:r>
            <w:r>
              <w:rPr>
                <w:rFonts w:asciiTheme="minorHAnsi" w:eastAsiaTheme="minorEastAsia" w:hAnsiTheme="minorHAnsi" w:cstheme="minorBidi"/>
                <w:noProof/>
                <w:sz w:val="22"/>
                <w:lang w:eastAsia="it-CH"/>
              </w:rPr>
              <w:tab/>
            </w:r>
            <w:r w:rsidRPr="00605B50">
              <w:rPr>
                <w:rStyle w:val="Collegamentoipertestuale"/>
                <w:noProof/>
                <w:lang w:val="it-IT" w:eastAsia="it-IT"/>
              </w:rPr>
              <w:t>Finanze</w:t>
            </w:r>
            <w:r>
              <w:rPr>
                <w:noProof/>
                <w:webHidden/>
              </w:rPr>
              <w:tab/>
            </w:r>
            <w:r>
              <w:rPr>
                <w:noProof/>
                <w:webHidden/>
              </w:rPr>
              <w:fldChar w:fldCharType="begin"/>
            </w:r>
            <w:r>
              <w:rPr>
                <w:noProof/>
                <w:webHidden/>
              </w:rPr>
              <w:instrText xml:space="preserve"> PAGEREF _Toc95234632 \h </w:instrText>
            </w:r>
            <w:r>
              <w:rPr>
                <w:noProof/>
                <w:webHidden/>
              </w:rPr>
            </w:r>
            <w:r>
              <w:rPr>
                <w:noProof/>
                <w:webHidden/>
              </w:rPr>
              <w:fldChar w:fldCharType="separate"/>
            </w:r>
            <w:r>
              <w:rPr>
                <w:noProof/>
                <w:webHidden/>
              </w:rPr>
              <w:t>9</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3" w:history="1">
            <w:r w:rsidRPr="00605B50">
              <w:rPr>
                <w:rStyle w:val="Collegamentoipertestuale"/>
                <w:rFonts w:eastAsia="Times New Roman"/>
                <w:noProof/>
                <w:lang w:val="it-IT" w:eastAsia="it-IT"/>
              </w:rPr>
              <w:t>5.5</w:t>
            </w:r>
            <w:r>
              <w:rPr>
                <w:rFonts w:asciiTheme="minorHAnsi" w:eastAsiaTheme="minorEastAsia" w:hAnsiTheme="minorHAnsi" w:cstheme="minorBidi"/>
                <w:noProof/>
                <w:sz w:val="22"/>
                <w:lang w:eastAsia="it-CH"/>
              </w:rPr>
              <w:tab/>
            </w:r>
            <w:r w:rsidRPr="00605B50">
              <w:rPr>
                <w:rStyle w:val="Collegamentoipertestuale"/>
                <w:rFonts w:eastAsia="Times New Roman"/>
                <w:noProof/>
                <w:lang w:val="it-IT" w:eastAsia="it-IT"/>
              </w:rPr>
              <w:t>Risorse umane</w:t>
            </w:r>
            <w:r>
              <w:rPr>
                <w:noProof/>
                <w:webHidden/>
              </w:rPr>
              <w:tab/>
            </w:r>
            <w:r>
              <w:rPr>
                <w:noProof/>
                <w:webHidden/>
              </w:rPr>
              <w:fldChar w:fldCharType="begin"/>
            </w:r>
            <w:r>
              <w:rPr>
                <w:noProof/>
                <w:webHidden/>
              </w:rPr>
              <w:instrText xml:space="preserve"> PAGEREF _Toc95234633 \h </w:instrText>
            </w:r>
            <w:r>
              <w:rPr>
                <w:noProof/>
                <w:webHidden/>
              </w:rPr>
            </w:r>
            <w:r>
              <w:rPr>
                <w:noProof/>
                <w:webHidden/>
              </w:rPr>
              <w:fldChar w:fldCharType="separate"/>
            </w:r>
            <w:r>
              <w:rPr>
                <w:noProof/>
                <w:webHidden/>
              </w:rPr>
              <w:t>10</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34" w:history="1">
            <w:r w:rsidRPr="00605B50">
              <w:rPr>
                <w:rStyle w:val="Collegamentoipertestuale"/>
                <w:caps/>
                <w:noProof/>
                <w:lang w:val="it-IT" w:eastAsia="it-IT"/>
              </w:rPr>
              <w:t>6.</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Proposta di adeguamento</w:t>
            </w:r>
            <w:r>
              <w:rPr>
                <w:noProof/>
                <w:webHidden/>
              </w:rPr>
              <w:tab/>
            </w:r>
            <w:r>
              <w:rPr>
                <w:noProof/>
                <w:webHidden/>
              </w:rPr>
              <w:fldChar w:fldCharType="begin"/>
            </w:r>
            <w:r>
              <w:rPr>
                <w:noProof/>
                <w:webHidden/>
              </w:rPr>
              <w:instrText xml:space="preserve"> PAGEREF _Toc95234634 \h </w:instrText>
            </w:r>
            <w:r>
              <w:rPr>
                <w:noProof/>
                <w:webHidden/>
              </w:rPr>
            </w:r>
            <w:r>
              <w:rPr>
                <w:noProof/>
                <w:webHidden/>
              </w:rPr>
              <w:fldChar w:fldCharType="separate"/>
            </w:r>
            <w:r>
              <w:rPr>
                <w:noProof/>
                <w:webHidden/>
              </w:rPr>
              <w:t>10</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5" w:history="1">
            <w:r w:rsidRPr="00605B50">
              <w:rPr>
                <w:rStyle w:val="Collegamentoipertestuale"/>
                <w:noProof/>
                <w:lang w:val="it-IT" w:eastAsia="it-IT"/>
              </w:rPr>
              <w:t>6.1</w:t>
            </w:r>
            <w:r>
              <w:rPr>
                <w:rFonts w:asciiTheme="minorHAnsi" w:eastAsiaTheme="minorEastAsia" w:hAnsiTheme="minorHAnsi" w:cstheme="minorBidi"/>
                <w:noProof/>
                <w:sz w:val="22"/>
                <w:lang w:eastAsia="it-CH"/>
              </w:rPr>
              <w:tab/>
            </w:r>
            <w:r w:rsidRPr="00605B50">
              <w:rPr>
                <w:rStyle w:val="Collegamentoipertestuale"/>
                <w:noProof/>
                <w:lang w:val="it-IT" w:eastAsia="it-IT"/>
              </w:rPr>
              <w:t>Correzioni al modello</w:t>
            </w:r>
            <w:r>
              <w:rPr>
                <w:noProof/>
                <w:webHidden/>
              </w:rPr>
              <w:tab/>
            </w:r>
            <w:r>
              <w:rPr>
                <w:noProof/>
                <w:webHidden/>
              </w:rPr>
              <w:fldChar w:fldCharType="begin"/>
            </w:r>
            <w:r>
              <w:rPr>
                <w:noProof/>
                <w:webHidden/>
              </w:rPr>
              <w:instrText xml:space="preserve"> PAGEREF _Toc95234635 \h </w:instrText>
            </w:r>
            <w:r>
              <w:rPr>
                <w:noProof/>
                <w:webHidden/>
              </w:rPr>
            </w:r>
            <w:r>
              <w:rPr>
                <w:noProof/>
                <w:webHidden/>
              </w:rPr>
              <w:fldChar w:fldCharType="separate"/>
            </w:r>
            <w:r>
              <w:rPr>
                <w:noProof/>
                <w:webHidden/>
              </w:rPr>
              <w:t>10</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6" w:history="1">
            <w:r w:rsidRPr="00605B50">
              <w:rPr>
                <w:rStyle w:val="Collegamentoipertestuale"/>
                <w:noProof/>
                <w:lang w:val="it-IT" w:eastAsia="it-IT"/>
              </w:rPr>
              <w:t>6.2</w:t>
            </w:r>
            <w:r>
              <w:rPr>
                <w:rFonts w:asciiTheme="minorHAnsi" w:eastAsiaTheme="minorEastAsia" w:hAnsiTheme="minorHAnsi" w:cstheme="minorBidi"/>
                <w:noProof/>
                <w:sz w:val="22"/>
                <w:lang w:eastAsia="it-CH"/>
              </w:rPr>
              <w:tab/>
            </w:r>
            <w:r w:rsidRPr="00605B50">
              <w:rPr>
                <w:rStyle w:val="Collegamentoipertestuale"/>
                <w:noProof/>
                <w:lang w:val="it-IT" w:eastAsia="it-IT"/>
              </w:rPr>
              <w:t>Conseguenze finanziarie</w:t>
            </w:r>
            <w:r>
              <w:rPr>
                <w:noProof/>
                <w:webHidden/>
              </w:rPr>
              <w:tab/>
            </w:r>
            <w:r>
              <w:rPr>
                <w:noProof/>
                <w:webHidden/>
              </w:rPr>
              <w:fldChar w:fldCharType="begin"/>
            </w:r>
            <w:r>
              <w:rPr>
                <w:noProof/>
                <w:webHidden/>
              </w:rPr>
              <w:instrText xml:space="preserve"> PAGEREF _Toc95234636 \h </w:instrText>
            </w:r>
            <w:r>
              <w:rPr>
                <w:noProof/>
                <w:webHidden/>
              </w:rPr>
            </w:r>
            <w:r>
              <w:rPr>
                <w:noProof/>
                <w:webHidden/>
              </w:rPr>
              <w:fldChar w:fldCharType="separate"/>
            </w:r>
            <w:r>
              <w:rPr>
                <w:noProof/>
                <w:webHidden/>
              </w:rPr>
              <w:t>11</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37" w:history="1">
            <w:r w:rsidRPr="00605B50">
              <w:rPr>
                <w:rStyle w:val="Collegamentoipertestuale"/>
                <w:caps/>
                <w:noProof/>
                <w:lang w:val="it-IT" w:eastAsia="it-IT"/>
              </w:rPr>
              <w:t>7.</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Modifiche di Legge</w:t>
            </w:r>
            <w:r>
              <w:rPr>
                <w:noProof/>
                <w:webHidden/>
              </w:rPr>
              <w:tab/>
            </w:r>
            <w:r>
              <w:rPr>
                <w:noProof/>
                <w:webHidden/>
              </w:rPr>
              <w:fldChar w:fldCharType="begin"/>
            </w:r>
            <w:r>
              <w:rPr>
                <w:noProof/>
                <w:webHidden/>
              </w:rPr>
              <w:instrText xml:space="preserve"> PAGEREF _Toc95234637 \h </w:instrText>
            </w:r>
            <w:r>
              <w:rPr>
                <w:noProof/>
                <w:webHidden/>
              </w:rPr>
            </w:r>
            <w:r>
              <w:rPr>
                <w:noProof/>
                <w:webHidden/>
              </w:rPr>
              <w:fldChar w:fldCharType="separate"/>
            </w:r>
            <w:r>
              <w:rPr>
                <w:noProof/>
                <w:webHidden/>
              </w:rPr>
              <w:t>11</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38" w:history="1">
            <w:r w:rsidRPr="00605B50">
              <w:rPr>
                <w:rStyle w:val="Collegamentoipertestuale"/>
                <w:noProof/>
                <w:lang w:val="it-IT" w:eastAsia="it-IT"/>
              </w:rPr>
              <w:t>7.1</w:t>
            </w:r>
            <w:r>
              <w:rPr>
                <w:rFonts w:asciiTheme="minorHAnsi" w:eastAsiaTheme="minorEastAsia" w:hAnsiTheme="minorHAnsi" w:cstheme="minorBidi"/>
                <w:noProof/>
                <w:sz w:val="22"/>
                <w:lang w:eastAsia="it-CH"/>
              </w:rPr>
              <w:tab/>
            </w:r>
            <w:r w:rsidRPr="00605B50">
              <w:rPr>
                <w:rStyle w:val="Collegamentoipertestuale"/>
                <w:noProof/>
                <w:lang w:val="it-IT" w:eastAsia="it-IT"/>
              </w:rPr>
              <w:t>Modifiche alla Legge sul finanziamento tramite budget globale e il mandato di prestazione delle Unità amministrative autonome (LUAA)</w:t>
            </w:r>
            <w:r>
              <w:rPr>
                <w:noProof/>
                <w:webHidden/>
              </w:rPr>
              <w:tab/>
            </w:r>
            <w:r>
              <w:rPr>
                <w:noProof/>
                <w:webHidden/>
              </w:rPr>
              <w:fldChar w:fldCharType="begin"/>
            </w:r>
            <w:r>
              <w:rPr>
                <w:noProof/>
                <w:webHidden/>
              </w:rPr>
              <w:instrText xml:space="preserve"> PAGEREF _Toc95234638 \h </w:instrText>
            </w:r>
            <w:r>
              <w:rPr>
                <w:noProof/>
                <w:webHidden/>
              </w:rPr>
            </w:r>
            <w:r>
              <w:rPr>
                <w:noProof/>
                <w:webHidden/>
              </w:rPr>
              <w:fldChar w:fldCharType="separate"/>
            </w:r>
            <w:r>
              <w:rPr>
                <w:noProof/>
                <w:webHidden/>
              </w:rPr>
              <w:t>11</w:t>
            </w:r>
            <w:r>
              <w:rPr>
                <w:noProof/>
                <w:webHidden/>
              </w:rPr>
              <w:fldChar w:fldCharType="end"/>
            </w:r>
          </w:hyperlink>
        </w:p>
        <w:p w:rsidR="008F7A1D" w:rsidRDefault="008F7A1D">
          <w:pPr>
            <w:pStyle w:val="Sommario3"/>
            <w:rPr>
              <w:rFonts w:asciiTheme="minorHAnsi" w:eastAsiaTheme="minorEastAsia" w:hAnsiTheme="minorHAnsi" w:cstheme="minorBidi"/>
              <w:noProof/>
              <w:sz w:val="22"/>
              <w:lang w:eastAsia="it-CH"/>
            </w:rPr>
          </w:pPr>
          <w:hyperlink w:anchor="_Toc95234639" w:history="1">
            <w:r w:rsidRPr="00605B50">
              <w:rPr>
                <w:rStyle w:val="Collegamentoipertestuale"/>
                <w:i/>
                <w:noProof/>
                <w:lang w:val="it-IT" w:eastAsia="it-IT"/>
              </w:rPr>
              <w:t>Art. 7 - Fondo di capitalizzazione</w:t>
            </w:r>
            <w:r>
              <w:rPr>
                <w:noProof/>
                <w:webHidden/>
              </w:rPr>
              <w:tab/>
            </w:r>
            <w:r>
              <w:rPr>
                <w:noProof/>
                <w:webHidden/>
              </w:rPr>
              <w:fldChar w:fldCharType="begin"/>
            </w:r>
            <w:r>
              <w:rPr>
                <w:noProof/>
                <w:webHidden/>
              </w:rPr>
              <w:instrText xml:space="preserve"> PAGEREF _Toc95234639 \h </w:instrText>
            </w:r>
            <w:r>
              <w:rPr>
                <w:noProof/>
                <w:webHidden/>
              </w:rPr>
            </w:r>
            <w:r>
              <w:rPr>
                <w:noProof/>
                <w:webHidden/>
              </w:rPr>
              <w:fldChar w:fldCharType="separate"/>
            </w:r>
            <w:r>
              <w:rPr>
                <w:noProof/>
                <w:webHidden/>
              </w:rPr>
              <w:t>11</w:t>
            </w:r>
            <w:r>
              <w:rPr>
                <w:noProof/>
                <w:webHidden/>
              </w:rPr>
              <w:fldChar w:fldCharType="end"/>
            </w:r>
          </w:hyperlink>
        </w:p>
        <w:p w:rsidR="008F7A1D" w:rsidRDefault="008F7A1D">
          <w:pPr>
            <w:pStyle w:val="Sommario3"/>
            <w:rPr>
              <w:rFonts w:asciiTheme="minorHAnsi" w:eastAsiaTheme="minorEastAsia" w:hAnsiTheme="minorHAnsi" w:cstheme="minorBidi"/>
              <w:noProof/>
              <w:sz w:val="22"/>
              <w:lang w:eastAsia="it-CH"/>
            </w:rPr>
          </w:pPr>
          <w:hyperlink w:anchor="_Toc95234640" w:history="1">
            <w:r w:rsidRPr="00605B50">
              <w:rPr>
                <w:rStyle w:val="Collegamentoipertestuale"/>
                <w:i/>
                <w:noProof/>
                <w:lang w:val="it-IT" w:eastAsia="it-IT"/>
              </w:rPr>
              <w:t>Art. 9 - Mandato di prestazione</w:t>
            </w:r>
            <w:r>
              <w:rPr>
                <w:noProof/>
                <w:webHidden/>
              </w:rPr>
              <w:tab/>
            </w:r>
            <w:r>
              <w:rPr>
                <w:noProof/>
                <w:webHidden/>
              </w:rPr>
              <w:fldChar w:fldCharType="begin"/>
            </w:r>
            <w:r>
              <w:rPr>
                <w:noProof/>
                <w:webHidden/>
              </w:rPr>
              <w:instrText xml:space="preserve"> PAGEREF _Toc95234640 \h </w:instrText>
            </w:r>
            <w:r>
              <w:rPr>
                <w:noProof/>
                <w:webHidden/>
              </w:rPr>
            </w:r>
            <w:r>
              <w:rPr>
                <w:noProof/>
                <w:webHidden/>
              </w:rPr>
              <w:fldChar w:fldCharType="separate"/>
            </w:r>
            <w:r>
              <w:rPr>
                <w:noProof/>
                <w:webHidden/>
              </w:rPr>
              <w:t>11</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41" w:history="1">
            <w:r w:rsidRPr="00605B50">
              <w:rPr>
                <w:rStyle w:val="Collegamentoipertestuale"/>
                <w:noProof/>
                <w:lang w:val="it-IT" w:eastAsia="it-IT"/>
              </w:rPr>
              <w:t>7.2</w:t>
            </w:r>
            <w:r>
              <w:rPr>
                <w:rFonts w:asciiTheme="minorHAnsi" w:eastAsiaTheme="minorEastAsia" w:hAnsiTheme="minorHAnsi" w:cstheme="minorBidi"/>
                <w:noProof/>
                <w:sz w:val="22"/>
                <w:lang w:eastAsia="it-CH"/>
              </w:rPr>
              <w:tab/>
            </w:r>
            <w:r w:rsidRPr="00605B50">
              <w:rPr>
                <w:rStyle w:val="Collegamentoipertestuale"/>
                <w:noProof/>
                <w:lang w:val="it-IT" w:eastAsia="it-IT"/>
              </w:rPr>
              <w:t>Modifiche al Regolamento concernente la Legge sul finanziamento tramite budget globale e il mandato di prestazione delle Unità amministrative autonome (RLUAA del 15.03.2016</w:t>
            </w:r>
            <w:r>
              <w:rPr>
                <w:noProof/>
                <w:webHidden/>
              </w:rPr>
              <w:tab/>
            </w:r>
            <w:r>
              <w:rPr>
                <w:noProof/>
                <w:webHidden/>
              </w:rPr>
              <w:fldChar w:fldCharType="begin"/>
            </w:r>
            <w:r>
              <w:rPr>
                <w:noProof/>
                <w:webHidden/>
              </w:rPr>
              <w:instrText xml:space="preserve"> PAGEREF _Toc95234641 \h </w:instrText>
            </w:r>
            <w:r>
              <w:rPr>
                <w:noProof/>
                <w:webHidden/>
              </w:rPr>
            </w:r>
            <w:r>
              <w:rPr>
                <w:noProof/>
                <w:webHidden/>
              </w:rPr>
              <w:fldChar w:fldCharType="separate"/>
            </w:r>
            <w:r>
              <w:rPr>
                <w:noProof/>
                <w:webHidden/>
              </w:rPr>
              <w:t>12</w:t>
            </w:r>
            <w:r>
              <w:rPr>
                <w:noProof/>
                <w:webHidden/>
              </w:rPr>
              <w:fldChar w:fldCharType="end"/>
            </w:r>
          </w:hyperlink>
        </w:p>
        <w:p w:rsidR="008F7A1D" w:rsidRDefault="008F7A1D">
          <w:pPr>
            <w:pStyle w:val="Sommario3"/>
            <w:rPr>
              <w:rFonts w:asciiTheme="minorHAnsi" w:eastAsiaTheme="minorEastAsia" w:hAnsiTheme="minorHAnsi" w:cstheme="minorBidi"/>
              <w:noProof/>
              <w:sz w:val="22"/>
              <w:lang w:eastAsia="it-CH"/>
            </w:rPr>
          </w:pPr>
          <w:hyperlink w:anchor="_Toc95234642" w:history="1">
            <w:r w:rsidRPr="00605B50">
              <w:rPr>
                <w:rStyle w:val="Collegamentoipertestuale"/>
                <w:i/>
                <w:noProof/>
                <w:lang w:val="it-IT" w:eastAsia="it-IT"/>
              </w:rPr>
              <w:t>Art. 5 - Budget globale</w:t>
            </w:r>
            <w:r>
              <w:rPr>
                <w:noProof/>
                <w:webHidden/>
              </w:rPr>
              <w:tab/>
            </w:r>
            <w:r>
              <w:rPr>
                <w:noProof/>
                <w:webHidden/>
              </w:rPr>
              <w:fldChar w:fldCharType="begin"/>
            </w:r>
            <w:r>
              <w:rPr>
                <w:noProof/>
                <w:webHidden/>
              </w:rPr>
              <w:instrText xml:space="preserve"> PAGEREF _Toc95234642 \h </w:instrText>
            </w:r>
            <w:r>
              <w:rPr>
                <w:noProof/>
                <w:webHidden/>
              </w:rPr>
            </w:r>
            <w:r>
              <w:rPr>
                <w:noProof/>
                <w:webHidden/>
              </w:rPr>
              <w:fldChar w:fldCharType="separate"/>
            </w:r>
            <w:r>
              <w:rPr>
                <w:noProof/>
                <w:webHidden/>
              </w:rPr>
              <w:t>12</w:t>
            </w:r>
            <w:r>
              <w:rPr>
                <w:noProof/>
                <w:webHidden/>
              </w:rPr>
              <w:fldChar w:fldCharType="end"/>
            </w:r>
          </w:hyperlink>
        </w:p>
        <w:p w:rsidR="008F7A1D" w:rsidRDefault="008F7A1D">
          <w:pPr>
            <w:pStyle w:val="Sommario3"/>
            <w:rPr>
              <w:rFonts w:asciiTheme="minorHAnsi" w:eastAsiaTheme="minorEastAsia" w:hAnsiTheme="minorHAnsi" w:cstheme="minorBidi"/>
              <w:noProof/>
              <w:sz w:val="22"/>
              <w:lang w:eastAsia="it-CH"/>
            </w:rPr>
          </w:pPr>
          <w:hyperlink w:anchor="_Toc95234643" w:history="1">
            <w:r w:rsidRPr="00605B50">
              <w:rPr>
                <w:rStyle w:val="Collegamentoipertestuale"/>
                <w:i/>
                <w:noProof/>
                <w:lang w:val="it-IT" w:eastAsia="it-IT"/>
              </w:rPr>
              <w:t>Art. 6 - Riporto del credito sull’anno successivo e sorpasso</w:t>
            </w:r>
            <w:r>
              <w:rPr>
                <w:noProof/>
                <w:webHidden/>
              </w:rPr>
              <w:tab/>
            </w:r>
            <w:r>
              <w:rPr>
                <w:noProof/>
                <w:webHidden/>
              </w:rPr>
              <w:fldChar w:fldCharType="begin"/>
            </w:r>
            <w:r>
              <w:rPr>
                <w:noProof/>
                <w:webHidden/>
              </w:rPr>
              <w:instrText xml:space="preserve"> PAGEREF _Toc95234643 \h </w:instrText>
            </w:r>
            <w:r>
              <w:rPr>
                <w:noProof/>
                <w:webHidden/>
              </w:rPr>
            </w:r>
            <w:r>
              <w:rPr>
                <w:noProof/>
                <w:webHidden/>
              </w:rPr>
              <w:fldChar w:fldCharType="separate"/>
            </w:r>
            <w:r>
              <w:rPr>
                <w:noProof/>
                <w:webHidden/>
              </w:rPr>
              <w:t>12</w:t>
            </w:r>
            <w:r>
              <w:rPr>
                <w:noProof/>
                <w:webHidden/>
              </w:rPr>
              <w:fldChar w:fldCharType="end"/>
            </w:r>
          </w:hyperlink>
        </w:p>
        <w:p w:rsidR="008F7A1D" w:rsidRDefault="008F7A1D">
          <w:pPr>
            <w:pStyle w:val="Sommario3"/>
            <w:rPr>
              <w:rFonts w:asciiTheme="minorHAnsi" w:eastAsiaTheme="minorEastAsia" w:hAnsiTheme="minorHAnsi" w:cstheme="minorBidi"/>
              <w:noProof/>
              <w:sz w:val="22"/>
              <w:lang w:eastAsia="it-CH"/>
            </w:rPr>
          </w:pPr>
          <w:hyperlink w:anchor="_Toc95234644" w:history="1">
            <w:r w:rsidRPr="00605B50">
              <w:rPr>
                <w:rStyle w:val="Collegamentoipertestuale"/>
                <w:i/>
                <w:noProof/>
                <w:lang w:val="it-IT" w:eastAsia="it-IT"/>
              </w:rPr>
              <w:t>Art. 8 - Fondo di capitalizzazione b) utilizzazione</w:t>
            </w:r>
            <w:r>
              <w:rPr>
                <w:noProof/>
                <w:webHidden/>
              </w:rPr>
              <w:tab/>
            </w:r>
            <w:r>
              <w:rPr>
                <w:noProof/>
                <w:webHidden/>
              </w:rPr>
              <w:fldChar w:fldCharType="begin"/>
            </w:r>
            <w:r>
              <w:rPr>
                <w:noProof/>
                <w:webHidden/>
              </w:rPr>
              <w:instrText xml:space="preserve"> PAGEREF _Toc95234644 \h </w:instrText>
            </w:r>
            <w:r>
              <w:rPr>
                <w:noProof/>
                <w:webHidden/>
              </w:rPr>
            </w:r>
            <w:r>
              <w:rPr>
                <w:noProof/>
                <w:webHidden/>
              </w:rPr>
              <w:fldChar w:fldCharType="separate"/>
            </w:r>
            <w:r>
              <w:rPr>
                <w:noProof/>
                <w:webHidden/>
              </w:rPr>
              <w:t>12</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45" w:history="1">
            <w:r w:rsidRPr="00605B50">
              <w:rPr>
                <w:rStyle w:val="Collegamentoipertestuale"/>
                <w:caps/>
                <w:noProof/>
                <w:lang w:val="it-IT" w:eastAsia="it-IT"/>
              </w:rPr>
              <w:t>8.</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Discussioni commissionali</w:t>
            </w:r>
            <w:r>
              <w:rPr>
                <w:noProof/>
                <w:webHidden/>
              </w:rPr>
              <w:tab/>
            </w:r>
            <w:r>
              <w:rPr>
                <w:noProof/>
                <w:webHidden/>
              </w:rPr>
              <w:fldChar w:fldCharType="begin"/>
            </w:r>
            <w:r>
              <w:rPr>
                <w:noProof/>
                <w:webHidden/>
              </w:rPr>
              <w:instrText xml:space="preserve"> PAGEREF _Toc95234645 \h </w:instrText>
            </w:r>
            <w:r>
              <w:rPr>
                <w:noProof/>
                <w:webHidden/>
              </w:rPr>
            </w:r>
            <w:r>
              <w:rPr>
                <w:noProof/>
                <w:webHidden/>
              </w:rPr>
              <w:fldChar w:fldCharType="separate"/>
            </w:r>
            <w:r>
              <w:rPr>
                <w:noProof/>
                <w:webHidden/>
              </w:rPr>
              <w:t>13</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46" w:history="1">
            <w:r w:rsidRPr="00605B50">
              <w:rPr>
                <w:rStyle w:val="Collegamentoipertestuale"/>
                <w:caps/>
                <w:noProof/>
                <w:lang w:val="it-IT" w:eastAsia="it-IT"/>
              </w:rPr>
              <w:t>9.</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Proposte commissionali</w:t>
            </w:r>
            <w:r>
              <w:rPr>
                <w:noProof/>
                <w:webHidden/>
              </w:rPr>
              <w:tab/>
            </w:r>
            <w:r>
              <w:rPr>
                <w:noProof/>
                <w:webHidden/>
              </w:rPr>
              <w:fldChar w:fldCharType="begin"/>
            </w:r>
            <w:r>
              <w:rPr>
                <w:noProof/>
                <w:webHidden/>
              </w:rPr>
              <w:instrText xml:space="preserve"> PAGEREF _Toc95234646 \h </w:instrText>
            </w:r>
            <w:r>
              <w:rPr>
                <w:noProof/>
                <w:webHidden/>
              </w:rPr>
            </w:r>
            <w:r>
              <w:rPr>
                <w:noProof/>
                <w:webHidden/>
              </w:rPr>
              <w:fldChar w:fldCharType="separate"/>
            </w:r>
            <w:r>
              <w:rPr>
                <w:noProof/>
                <w:webHidden/>
              </w:rPr>
              <w:t>13</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47" w:history="1">
            <w:r w:rsidRPr="00605B50">
              <w:rPr>
                <w:rStyle w:val="Collegamentoipertestuale"/>
                <w:rFonts w:eastAsia="Times New Roman"/>
                <w:noProof/>
                <w:lang w:val="it-IT" w:eastAsia="it-IT"/>
              </w:rPr>
              <w:t>9.1</w:t>
            </w:r>
            <w:r>
              <w:rPr>
                <w:rFonts w:asciiTheme="minorHAnsi" w:eastAsiaTheme="minorEastAsia" w:hAnsiTheme="minorHAnsi" w:cstheme="minorBidi"/>
                <w:noProof/>
                <w:sz w:val="22"/>
                <w:lang w:eastAsia="it-CH"/>
              </w:rPr>
              <w:tab/>
            </w:r>
            <w:r w:rsidRPr="00605B50">
              <w:rPr>
                <w:rStyle w:val="Collegamentoipertestuale"/>
                <w:rFonts w:eastAsia="Times New Roman"/>
                <w:noProof/>
                <w:lang w:val="it-IT" w:eastAsia="it-IT"/>
              </w:rPr>
              <w:t>Promozione del modello UAA</w:t>
            </w:r>
            <w:r>
              <w:rPr>
                <w:noProof/>
                <w:webHidden/>
              </w:rPr>
              <w:tab/>
            </w:r>
            <w:r>
              <w:rPr>
                <w:noProof/>
                <w:webHidden/>
              </w:rPr>
              <w:fldChar w:fldCharType="begin"/>
            </w:r>
            <w:r>
              <w:rPr>
                <w:noProof/>
                <w:webHidden/>
              </w:rPr>
              <w:instrText xml:space="preserve"> PAGEREF _Toc95234647 \h </w:instrText>
            </w:r>
            <w:r>
              <w:rPr>
                <w:noProof/>
                <w:webHidden/>
              </w:rPr>
            </w:r>
            <w:r>
              <w:rPr>
                <w:noProof/>
                <w:webHidden/>
              </w:rPr>
              <w:fldChar w:fldCharType="separate"/>
            </w:r>
            <w:r>
              <w:rPr>
                <w:noProof/>
                <w:webHidden/>
              </w:rPr>
              <w:t>13</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48" w:history="1">
            <w:r w:rsidRPr="00605B50">
              <w:rPr>
                <w:rStyle w:val="Collegamentoipertestuale"/>
                <w:rFonts w:eastAsia="Times New Roman"/>
                <w:noProof/>
                <w:lang w:val="it-IT" w:eastAsia="it-IT"/>
              </w:rPr>
              <w:t>9.2</w:t>
            </w:r>
            <w:r>
              <w:rPr>
                <w:rFonts w:asciiTheme="minorHAnsi" w:eastAsiaTheme="minorEastAsia" w:hAnsiTheme="minorHAnsi" w:cstheme="minorBidi"/>
                <w:noProof/>
                <w:sz w:val="22"/>
                <w:lang w:eastAsia="it-CH"/>
              </w:rPr>
              <w:tab/>
            </w:r>
            <w:r w:rsidRPr="00605B50">
              <w:rPr>
                <w:rStyle w:val="Collegamentoipertestuale"/>
                <w:rFonts w:eastAsia="Times New Roman"/>
                <w:noProof/>
                <w:lang w:val="it-IT" w:eastAsia="it-IT"/>
              </w:rPr>
              <w:t>Premi al personale correlati ai risultati</w:t>
            </w:r>
            <w:r>
              <w:rPr>
                <w:noProof/>
                <w:webHidden/>
              </w:rPr>
              <w:tab/>
            </w:r>
            <w:r>
              <w:rPr>
                <w:noProof/>
                <w:webHidden/>
              </w:rPr>
              <w:fldChar w:fldCharType="begin"/>
            </w:r>
            <w:r>
              <w:rPr>
                <w:noProof/>
                <w:webHidden/>
              </w:rPr>
              <w:instrText xml:space="preserve"> PAGEREF _Toc95234648 \h </w:instrText>
            </w:r>
            <w:r>
              <w:rPr>
                <w:noProof/>
                <w:webHidden/>
              </w:rPr>
            </w:r>
            <w:r>
              <w:rPr>
                <w:noProof/>
                <w:webHidden/>
              </w:rPr>
              <w:fldChar w:fldCharType="separate"/>
            </w:r>
            <w:r>
              <w:rPr>
                <w:noProof/>
                <w:webHidden/>
              </w:rPr>
              <w:t>14</w:t>
            </w:r>
            <w:r>
              <w:rPr>
                <w:noProof/>
                <w:webHidden/>
              </w:rPr>
              <w:fldChar w:fldCharType="end"/>
            </w:r>
          </w:hyperlink>
        </w:p>
        <w:p w:rsidR="008F7A1D" w:rsidRDefault="008F7A1D">
          <w:pPr>
            <w:pStyle w:val="Sommario2"/>
            <w:rPr>
              <w:rFonts w:asciiTheme="minorHAnsi" w:eastAsiaTheme="minorEastAsia" w:hAnsiTheme="minorHAnsi" w:cstheme="minorBidi"/>
              <w:noProof/>
              <w:sz w:val="22"/>
              <w:lang w:eastAsia="it-CH"/>
            </w:rPr>
          </w:pPr>
          <w:hyperlink w:anchor="_Toc95234649" w:history="1">
            <w:r w:rsidRPr="00605B50">
              <w:rPr>
                <w:rStyle w:val="Collegamentoipertestuale"/>
                <w:noProof/>
                <w:lang w:val="it-IT" w:eastAsia="it-IT"/>
              </w:rPr>
              <w:t>9.3</w:t>
            </w:r>
            <w:r>
              <w:rPr>
                <w:rFonts w:asciiTheme="minorHAnsi" w:eastAsiaTheme="minorEastAsia" w:hAnsiTheme="minorHAnsi" w:cstheme="minorBidi"/>
                <w:noProof/>
                <w:sz w:val="22"/>
                <w:lang w:eastAsia="it-CH"/>
              </w:rPr>
              <w:tab/>
            </w:r>
            <w:r w:rsidRPr="00605B50">
              <w:rPr>
                <w:rStyle w:val="Collegamentoipertestuale"/>
                <w:noProof/>
                <w:lang w:val="it-IT" w:eastAsia="it-IT"/>
              </w:rPr>
              <w:t>Invito al Consiglio di Stato</w:t>
            </w:r>
            <w:r>
              <w:rPr>
                <w:noProof/>
                <w:webHidden/>
              </w:rPr>
              <w:tab/>
            </w:r>
            <w:r>
              <w:rPr>
                <w:noProof/>
                <w:webHidden/>
              </w:rPr>
              <w:fldChar w:fldCharType="begin"/>
            </w:r>
            <w:r>
              <w:rPr>
                <w:noProof/>
                <w:webHidden/>
              </w:rPr>
              <w:instrText xml:space="preserve"> PAGEREF _Toc95234649 \h </w:instrText>
            </w:r>
            <w:r>
              <w:rPr>
                <w:noProof/>
                <w:webHidden/>
              </w:rPr>
            </w:r>
            <w:r>
              <w:rPr>
                <w:noProof/>
                <w:webHidden/>
              </w:rPr>
              <w:fldChar w:fldCharType="separate"/>
            </w:r>
            <w:r>
              <w:rPr>
                <w:noProof/>
                <w:webHidden/>
              </w:rPr>
              <w:t>14</w:t>
            </w:r>
            <w:r>
              <w:rPr>
                <w:noProof/>
                <w:webHidden/>
              </w:rPr>
              <w:fldChar w:fldCharType="end"/>
            </w:r>
          </w:hyperlink>
        </w:p>
        <w:p w:rsidR="008F7A1D" w:rsidRDefault="008F7A1D">
          <w:pPr>
            <w:pStyle w:val="Sommario1"/>
            <w:rPr>
              <w:rFonts w:asciiTheme="minorHAnsi" w:eastAsiaTheme="minorEastAsia" w:hAnsiTheme="minorHAnsi" w:cstheme="minorBidi"/>
              <w:b w:val="0"/>
              <w:noProof/>
              <w:sz w:val="22"/>
              <w:lang w:eastAsia="it-CH"/>
            </w:rPr>
          </w:pPr>
          <w:hyperlink w:anchor="_Toc95234650" w:history="1">
            <w:r w:rsidRPr="00605B50">
              <w:rPr>
                <w:rStyle w:val="Collegamentoipertestuale"/>
                <w:rFonts w:eastAsia="Times New Roman"/>
                <w:noProof/>
                <w:lang w:val="it-IT" w:eastAsia="it-IT"/>
              </w:rPr>
              <w:t>10.</w:t>
            </w:r>
            <w:r>
              <w:rPr>
                <w:rFonts w:asciiTheme="minorHAnsi" w:eastAsiaTheme="minorEastAsia" w:hAnsiTheme="minorHAnsi" w:cstheme="minorBidi"/>
                <w:b w:val="0"/>
                <w:noProof/>
                <w:sz w:val="22"/>
                <w:lang w:eastAsia="it-CH"/>
              </w:rPr>
              <w:tab/>
            </w:r>
            <w:r w:rsidRPr="00605B50">
              <w:rPr>
                <w:rStyle w:val="Collegamentoipertestuale"/>
                <w:caps/>
                <w:noProof/>
                <w:lang w:val="it-IT" w:eastAsia="it-IT"/>
              </w:rPr>
              <w:t>Conclusione</w:t>
            </w:r>
            <w:r>
              <w:rPr>
                <w:noProof/>
                <w:webHidden/>
              </w:rPr>
              <w:tab/>
            </w:r>
            <w:r>
              <w:rPr>
                <w:noProof/>
                <w:webHidden/>
              </w:rPr>
              <w:fldChar w:fldCharType="begin"/>
            </w:r>
            <w:r>
              <w:rPr>
                <w:noProof/>
                <w:webHidden/>
              </w:rPr>
              <w:instrText xml:space="preserve"> PAGEREF _Toc95234650 \h </w:instrText>
            </w:r>
            <w:r>
              <w:rPr>
                <w:noProof/>
                <w:webHidden/>
              </w:rPr>
            </w:r>
            <w:r>
              <w:rPr>
                <w:noProof/>
                <w:webHidden/>
              </w:rPr>
              <w:fldChar w:fldCharType="separate"/>
            </w:r>
            <w:r>
              <w:rPr>
                <w:noProof/>
                <w:webHidden/>
              </w:rPr>
              <w:t>14</w:t>
            </w:r>
            <w:r>
              <w:rPr>
                <w:noProof/>
                <w:webHidden/>
              </w:rPr>
              <w:fldChar w:fldCharType="end"/>
            </w:r>
          </w:hyperlink>
        </w:p>
        <w:p w:rsidR="00263CDC" w:rsidRDefault="0092353A" w:rsidP="005C64D6">
          <w:pPr>
            <w:rPr>
              <w:b/>
              <w:bCs/>
              <w:sz w:val="22"/>
              <w:lang w:val="it-IT"/>
            </w:rPr>
          </w:pPr>
          <w:r w:rsidRPr="0092353A">
            <w:rPr>
              <w:b/>
              <w:bCs/>
              <w:sz w:val="22"/>
              <w:lang w:val="it-IT"/>
            </w:rPr>
            <w:fldChar w:fldCharType="end"/>
          </w:r>
        </w:p>
        <w:p w:rsidR="0092353A" w:rsidRDefault="008F7A1D" w:rsidP="005C64D6"/>
      </w:sdtContent>
    </w:sdt>
    <w:p w:rsidR="00325959" w:rsidRPr="00325959" w:rsidRDefault="00325959" w:rsidP="005C64D6">
      <w:pPr>
        <w:pStyle w:val="Titolo1"/>
        <w:numPr>
          <w:ilvl w:val="0"/>
          <w:numId w:val="22"/>
        </w:numPr>
        <w:tabs>
          <w:tab w:val="left" w:pos="567"/>
        </w:tabs>
        <w:spacing w:before="0"/>
        <w:ind w:left="567" w:hanging="567"/>
        <w:jc w:val="both"/>
        <w:rPr>
          <w:rFonts w:eastAsia="Times New Roman"/>
          <w:szCs w:val="24"/>
          <w:lang w:val="it-IT" w:eastAsia="it-IT"/>
        </w:rPr>
      </w:pPr>
      <w:bookmarkStart w:id="0" w:name="_Toc95234620"/>
      <w:r w:rsidRPr="00325959">
        <w:rPr>
          <w:rFonts w:eastAsia="Times New Roman"/>
          <w:szCs w:val="24"/>
          <w:lang w:val="it-IT" w:eastAsia="it-IT"/>
        </w:rPr>
        <w:t>PREAMBOLO</w:t>
      </w:r>
      <w:bookmarkEnd w:id="0"/>
    </w:p>
    <w:p w:rsidR="00325959" w:rsidRPr="00325959" w:rsidRDefault="00325959" w:rsidP="005C64D6">
      <w:pPr>
        <w:tabs>
          <w:tab w:val="left" w:pos="567"/>
        </w:tabs>
        <w:contextualSpacing/>
        <w:rPr>
          <w:rFonts w:eastAsia="Times New Roman"/>
          <w:color w:val="000000"/>
          <w:szCs w:val="24"/>
          <w:lang w:val="it-IT" w:eastAsia="it-IT"/>
        </w:rPr>
      </w:pPr>
      <w:r w:rsidRPr="00325959">
        <w:rPr>
          <w:rFonts w:eastAsia="Times New Roman"/>
          <w:color w:val="000000"/>
          <w:szCs w:val="24"/>
          <w:lang w:val="it-IT" w:eastAsia="it-IT"/>
        </w:rPr>
        <w:t xml:space="preserve">La recente presentazione del Preventivo 2022 con il relativo piano finanziario evidenzia come le finanze del Cantone richiedano una decisa correzione affinché si possa tornare a breve e medio termine a una gestione finanziaria in equilibrio. </w:t>
      </w:r>
    </w:p>
    <w:p w:rsidR="00325959" w:rsidRPr="00325959" w:rsidRDefault="00325959" w:rsidP="005C64D6">
      <w:pPr>
        <w:tabs>
          <w:tab w:val="left" w:pos="567"/>
        </w:tabs>
        <w:contextualSpacing/>
        <w:rPr>
          <w:rFonts w:eastAsia="Times New Roman"/>
          <w:color w:val="000000"/>
          <w:szCs w:val="24"/>
          <w:lang w:val="it-IT" w:eastAsia="it-IT"/>
        </w:rPr>
      </w:pPr>
      <w:r w:rsidRPr="00325959">
        <w:rPr>
          <w:rFonts w:eastAsia="Times New Roman"/>
          <w:color w:val="000000"/>
          <w:szCs w:val="24"/>
          <w:lang w:val="it-IT" w:eastAsia="it-IT"/>
        </w:rPr>
        <w:t>In questo contesto evitiamo di addentrarci nell’inevitabile contrapposizione tra il privilegiare la diminuzione delle uscite oppure propendere per un aumento delle entrate. Il messaggio in oggetto desidera dare un contributo e un senso all’auspicio e alla necessità, apparentemente condivisa da tutti, di un miglioramento dell’efficacia e dell’efficienza nella gestione delle risorse del Cantone.</w:t>
      </w:r>
    </w:p>
    <w:p w:rsidR="00325959" w:rsidRPr="00325959" w:rsidRDefault="00325959" w:rsidP="005C64D6">
      <w:pPr>
        <w:tabs>
          <w:tab w:val="left" w:pos="567"/>
        </w:tabs>
        <w:contextualSpacing/>
        <w:rPr>
          <w:rFonts w:eastAsia="Times New Roman"/>
          <w:color w:val="000000"/>
          <w:szCs w:val="24"/>
          <w:lang w:val="it-IT" w:eastAsia="it-IT"/>
        </w:rPr>
      </w:pPr>
      <w:r w:rsidRPr="00325959">
        <w:rPr>
          <w:rFonts w:eastAsia="Times New Roman"/>
          <w:color w:val="000000"/>
          <w:szCs w:val="24"/>
          <w:lang w:val="it-IT" w:eastAsia="it-IT"/>
        </w:rPr>
        <w:t>La promozione di un modello di gestione dei servizi dell’amministrazione cantonale che sappia promuovere al meglio questi principi sembra essere un passo irrinunciabile e indispensabile da effettuare, almeno parallelamente ad altre discussioni volte alla revisione della spesa pubblica.</w:t>
      </w:r>
    </w:p>
    <w:p w:rsidR="00325959" w:rsidRDefault="00325959" w:rsidP="005C64D6">
      <w:pPr>
        <w:tabs>
          <w:tab w:val="left" w:pos="567"/>
        </w:tabs>
        <w:contextualSpacing/>
        <w:rPr>
          <w:rFonts w:eastAsia="Times New Roman"/>
          <w:color w:val="000000"/>
          <w:szCs w:val="24"/>
          <w:lang w:val="it-IT" w:eastAsia="it-IT"/>
        </w:rPr>
      </w:pPr>
    </w:p>
    <w:p w:rsidR="00325959" w:rsidRPr="00325959" w:rsidRDefault="00325959" w:rsidP="005C64D6">
      <w:pPr>
        <w:tabs>
          <w:tab w:val="left" w:pos="567"/>
        </w:tabs>
        <w:contextualSpacing/>
        <w:rPr>
          <w:rFonts w:eastAsia="Times New Roman"/>
          <w:color w:val="000000"/>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rFonts w:eastAsia="Times New Roman"/>
          <w:szCs w:val="24"/>
          <w:lang w:val="it-IT" w:eastAsia="it-IT"/>
        </w:rPr>
      </w:pPr>
      <w:bookmarkStart w:id="1" w:name="_Toc95234621"/>
      <w:r w:rsidRPr="00325959">
        <w:rPr>
          <w:rFonts w:eastAsia="Times New Roman"/>
          <w:szCs w:val="24"/>
          <w:lang w:val="it-IT" w:eastAsia="it-IT"/>
        </w:rPr>
        <w:t>INTRODUZIONE</w:t>
      </w:r>
      <w:bookmarkEnd w:id="1"/>
    </w:p>
    <w:p w:rsidR="00325959" w:rsidRPr="00325959" w:rsidRDefault="00325959" w:rsidP="005C64D6">
      <w:pPr>
        <w:rPr>
          <w:rFonts w:eastAsia="Times New Roman"/>
          <w:szCs w:val="24"/>
          <w:lang w:val="it-IT" w:eastAsia="it-IT"/>
        </w:rPr>
      </w:pPr>
      <w:r w:rsidRPr="00325959">
        <w:rPr>
          <w:rFonts w:eastAsia="Times New Roman"/>
          <w:szCs w:val="24"/>
          <w:lang w:val="it-IT" w:eastAsia="it-IT"/>
        </w:rPr>
        <w:t>Per contestualizzare il discorso relativo alle UAA si invita a riprendere il rapporto del 29 settembre 2015 della Commissione della gestione e delle finanze sul messaggio</w:t>
      </w:r>
      <w:r w:rsidR="008F7A1D">
        <w:rPr>
          <w:rFonts w:eastAsia="Times New Roman"/>
          <w:szCs w:val="24"/>
          <w:lang w:val="it-IT" w:eastAsia="it-IT"/>
        </w:rPr>
        <w:t xml:space="preserve"> n.</w:t>
      </w:r>
      <w:r w:rsidRPr="00325959">
        <w:rPr>
          <w:rFonts w:eastAsia="Times New Roman"/>
          <w:szCs w:val="24"/>
          <w:lang w:val="it-IT" w:eastAsia="it-IT"/>
        </w:rPr>
        <w:t xml:space="preserve"> 6716 del 5 dicembre 2012 concernente l’approvazione delle basi legali specifiche relative al finanziamento tramite il budget globale e il mandato di prestazione delle Unità amministrative autonome (UAA). Il GC approvò il rapporto e relativo messaggio il </w:t>
      </w:r>
      <w:r w:rsidR="008F7A1D">
        <w:rPr>
          <w:rFonts w:eastAsia="Times New Roman"/>
          <w:szCs w:val="24"/>
          <w:lang w:val="it-IT" w:eastAsia="it-IT"/>
        </w:rPr>
        <w:br/>
      </w:r>
      <w:r w:rsidRPr="00325959">
        <w:rPr>
          <w:rFonts w:eastAsia="Times New Roman"/>
          <w:szCs w:val="24"/>
          <w:lang w:val="it-IT" w:eastAsia="it-IT"/>
        </w:rPr>
        <w:t>12 ottobre 2015.</w:t>
      </w:r>
    </w:p>
    <w:p w:rsidR="00325959" w:rsidRPr="00325959" w:rsidRDefault="00325959" w:rsidP="005C64D6">
      <w:pPr>
        <w:rPr>
          <w:rFonts w:eastAsia="Times New Roman"/>
          <w:szCs w:val="24"/>
          <w:lang w:val="it-IT" w:eastAsia="it-IT"/>
        </w:rPr>
      </w:pPr>
    </w:p>
    <w:p w:rsidR="00325959" w:rsidRPr="00325959" w:rsidRDefault="00325959" w:rsidP="005C64D6">
      <w:pPr>
        <w:rPr>
          <w:rFonts w:eastAsia="Times New Roman"/>
          <w:szCs w:val="24"/>
          <w:lang w:val="it-IT" w:eastAsia="it-IT"/>
        </w:rPr>
      </w:pPr>
      <w:r w:rsidRPr="00325959">
        <w:rPr>
          <w:rFonts w:eastAsia="Times New Roman"/>
          <w:szCs w:val="24"/>
          <w:lang w:val="it-IT" w:eastAsia="it-IT"/>
        </w:rPr>
        <w:t>Il progetto UAA ha tre obiettivi principali:</w:t>
      </w:r>
    </w:p>
    <w:p w:rsidR="00325959" w:rsidRPr="00325959" w:rsidRDefault="00325959" w:rsidP="005C64D6">
      <w:pPr>
        <w:numPr>
          <w:ilvl w:val="0"/>
          <w:numId w:val="23"/>
        </w:numPr>
        <w:spacing w:before="120"/>
        <w:ind w:left="284" w:hanging="284"/>
        <w:rPr>
          <w:rFonts w:eastAsia="Times New Roman"/>
          <w:szCs w:val="24"/>
          <w:lang w:val="it-IT" w:eastAsia="it-IT"/>
        </w:rPr>
      </w:pPr>
      <w:r w:rsidRPr="00325959">
        <w:rPr>
          <w:rFonts w:eastAsia="Times New Roman"/>
          <w:szCs w:val="24"/>
          <w:lang w:val="it-IT" w:eastAsia="it-IT"/>
        </w:rPr>
        <w:t xml:space="preserve">la </w:t>
      </w:r>
      <w:r w:rsidRPr="00325959">
        <w:rPr>
          <w:rFonts w:eastAsia="Times New Roman"/>
          <w:b/>
          <w:szCs w:val="24"/>
          <w:lang w:val="it-IT" w:eastAsia="it-IT"/>
        </w:rPr>
        <w:t>separazione della gestione politico-strategica dalla gestione operativa</w:t>
      </w:r>
      <w:r w:rsidRPr="00325959">
        <w:rPr>
          <w:rFonts w:eastAsia="Times New Roman"/>
          <w:szCs w:val="24"/>
          <w:lang w:val="it-IT" w:eastAsia="it-IT"/>
        </w:rPr>
        <w:t xml:space="preserve"> tramite l’uso dei necessari strumenti (mandato di prestazione, budget globale, indicatori di prestazione);</w:t>
      </w:r>
    </w:p>
    <w:p w:rsidR="00325959" w:rsidRPr="00325959" w:rsidRDefault="00325959" w:rsidP="005C64D6">
      <w:pPr>
        <w:numPr>
          <w:ilvl w:val="0"/>
          <w:numId w:val="23"/>
        </w:numPr>
        <w:spacing w:before="120"/>
        <w:ind w:left="284" w:hanging="284"/>
        <w:rPr>
          <w:rFonts w:eastAsia="Times New Roman"/>
          <w:szCs w:val="24"/>
          <w:lang w:val="it-IT" w:eastAsia="it-IT"/>
        </w:rPr>
      </w:pPr>
      <w:r w:rsidRPr="00325959">
        <w:rPr>
          <w:rFonts w:eastAsia="Times New Roman"/>
          <w:szCs w:val="24"/>
          <w:lang w:val="it-IT" w:eastAsia="it-IT"/>
        </w:rPr>
        <w:t xml:space="preserve">il completamento della gestione dell’unità amministrativa secondo le risorse (input) con la </w:t>
      </w:r>
      <w:r w:rsidRPr="00325959">
        <w:rPr>
          <w:rFonts w:eastAsia="Times New Roman"/>
          <w:b/>
          <w:szCs w:val="24"/>
          <w:lang w:val="it-IT" w:eastAsia="it-IT"/>
        </w:rPr>
        <w:t>gestione secondo gli obiettivi e i risultati</w:t>
      </w:r>
      <w:r w:rsidRPr="00325959">
        <w:rPr>
          <w:rFonts w:eastAsia="Times New Roman"/>
          <w:szCs w:val="24"/>
          <w:lang w:val="it-IT" w:eastAsia="it-IT"/>
        </w:rPr>
        <w:t xml:space="preserve"> (output);</w:t>
      </w:r>
    </w:p>
    <w:p w:rsidR="00325959" w:rsidRPr="00325959" w:rsidRDefault="00325959" w:rsidP="005C64D6">
      <w:pPr>
        <w:numPr>
          <w:ilvl w:val="0"/>
          <w:numId w:val="23"/>
        </w:numPr>
        <w:spacing w:before="120"/>
        <w:ind w:left="284" w:hanging="284"/>
        <w:rPr>
          <w:rFonts w:eastAsia="Times New Roman"/>
          <w:szCs w:val="24"/>
          <w:lang w:val="it-IT" w:eastAsia="it-IT"/>
        </w:rPr>
      </w:pPr>
      <w:r w:rsidRPr="00325959">
        <w:rPr>
          <w:rFonts w:eastAsia="Times New Roman"/>
          <w:szCs w:val="24"/>
          <w:lang w:val="it-IT" w:eastAsia="it-IT"/>
        </w:rPr>
        <w:t xml:space="preserve">la concessione di maggior autonomia operativa con la conseguente assunzione di </w:t>
      </w:r>
      <w:r w:rsidRPr="00325959">
        <w:rPr>
          <w:rFonts w:eastAsia="Times New Roman"/>
          <w:b/>
          <w:szCs w:val="24"/>
          <w:lang w:val="it-IT" w:eastAsia="it-IT"/>
        </w:rPr>
        <w:t>maggior responsabilità da parte delle unità amministrative</w:t>
      </w:r>
      <w:r w:rsidRPr="00325959">
        <w:rPr>
          <w:rFonts w:eastAsia="Times New Roman"/>
          <w:szCs w:val="24"/>
          <w:lang w:val="it-IT" w:eastAsia="it-IT"/>
        </w:rPr>
        <w:t xml:space="preserve"> coinvolte.</w:t>
      </w:r>
    </w:p>
    <w:p w:rsidR="00325959" w:rsidRDefault="00325959" w:rsidP="005C64D6">
      <w:pPr>
        <w:rPr>
          <w:rFonts w:eastAsia="Times New Roman"/>
          <w:szCs w:val="24"/>
          <w:lang w:eastAsia="it-IT"/>
        </w:rPr>
      </w:pPr>
    </w:p>
    <w:p w:rsidR="00325959" w:rsidRDefault="00325959" w:rsidP="005C64D6">
      <w:pPr>
        <w:rPr>
          <w:rFonts w:eastAsia="Times New Roman"/>
          <w:szCs w:val="24"/>
          <w:lang w:eastAsia="it-IT"/>
        </w:rPr>
      </w:pPr>
      <w:r w:rsidRPr="00325959">
        <w:rPr>
          <w:rFonts w:eastAsia="Times New Roman"/>
          <w:szCs w:val="24"/>
          <w:lang w:eastAsia="it-IT"/>
        </w:rPr>
        <w:t>Evitiamo di riprendere i contenuti del rapporto citato limitandoci a ribadire l’attualità delle considerazioni introduttive e generali di allora sull’opportunità di consolidare il modello di gestione UAA.</w:t>
      </w:r>
    </w:p>
    <w:p w:rsidR="00325959" w:rsidRPr="00325959" w:rsidRDefault="00325959" w:rsidP="005C64D6">
      <w:pPr>
        <w:rPr>
          <w:rFonts w:eastAsia="Times New Roman"/>
          <w:szCs w:val="24"/>
          <w:lang w:eastAsia="it-IT"/>
        </w:rPr>
      </w:pPr>
    </w:p>
    <w:p w:rsidR="00325959" w:rsidRPr="00325959" w:rsidRDefault="00325959" w:rsidP="005C64D6">
      <w:pPr>
        <w:rPr>
          <w:rFonts w:eastAsia="Times New Roman"/>
          <w:szCs w:val="24"/>
          <w:lang w:eastAsia="it-IT"/>
        </w:rPr>
      </w:pPr>
      <w:r w:rsidRPr="00325959">
        <w:rPr>
          <w:rFonts w:eastAsia="Times New Roman"/>
          <w:szCs w:val="24"/>
          <w:lang w:eastAsia="it-IT"/>
        </w:rPr>
        <w:t xml:space="preserve">A quasi 10 anni dall’introduzione del modello, correva appunto l’anno 2012, la constatazione che questa modalità di gestione sia ancora poco diffusa pone diversi interrogativi che meritano alcuni approfondimenti. </w:t>
      </w:r>
    </w:p>
    <w:p w:rsidR="00325959" w:rsidRPr="00325959" w:rsidRDefault="00325959" w:rsidP="005C64D6">
      <w:pPr>
        <w:pStyle w:val="Titolo1"/>
        <w:numPr>
          <w:ilvl w:val="0"/>
          <w:numId w:val="22"/>
        </w:numPr>
        <w:tabs>
          <w:tab w:val="left" w:pos="567"/>
        </w:tabs>
        <w:spacing w:before="0"/>
        <w:ind w:left="567" w:hanging="567"/>
        <w:jc w:val="both"/>
        <w:rPr>
          <w:rFonts w:eastAsia="Times New Roman"/>
          <w:szCs w:val="24"/>
          <w:lang w:val="it-IT" w:eastAsia="it-IT"/>
        </w:rPr>
      </w:pPr>
      <w:bookmarkStart w:id="2" w:name="_Toc95234622"/>
      <w:r w:rsidRPr="00325959">
        <w:rPr>
          <w:rFonts w:eastAsia="Times New Roman"/>
          <w:szCs w:val="24"/>
          <w:lang w:val="it-IT" w:eastAsia="it-IT"/>
        </w:rPr>
        <w:lastRenderedPageBreak/>
        <w:t>BASI LEGALI</w:t>
      </w:r>
      <w:bookmarkEnd w:id="2"/>
      <w:r w:rsidRPr="00325959">
        <w:rPr>
          <w:rFonts w:eastAsia="Times New Roman"/>
          <w:szCs w:val="24"/>
          <w:lang w:val="it-IT" w:eastAsia="it-IT"/>
        </w:rPr>
        <w:t xml:space="preserve"> </w:t>
      </w:r>
    </w:p>
    <w:p w:rsidR="00325959" w:rsidRPr="00325959" w:rsidRDefault="00E45755" w:rsidP="005C64D6">
      <w:pPr>
        <w:pStyle w:val="Titolo2"/>
        <w:numPr>
          <w:ilvl w:val="0"/>
          <w:numId w:val="0"/>
        </w:numPr>
        <w:tabs>
          <w:tab w:val="left" w:pos="567"/>
        </w:tabs>
        <w:spacing w:before="0" w:after="120"/>
        <w:jc w:val="both"/>
        <w:rPr>
          <w:lang w:val="it-IT" w:eastAsia="it-IT"/>
        </w:rPr>
      </w:pPr>
      <w:bookmarkStart w:id="3" w:name="_Toc95234623"/>
      <w:r>
        <w:rPr>
          <w:lang w:val="it-IT" w:eastAsia="it-IT"/>
        </w:rPr>
        <w:t>3.1</w:t>
      </w:r>
      <w:r>
        <w:rPr>
          <w:lang w:val="it-IT" w:eastAsia="it-IT"/>
        </w:rPr>
        <w:tab/>
      </w:r>
      <w:r w:rsidR="00325959" w:rsidRPr="00325959">
        <w:rPr>
          <w:lang w:val="it-IT" w:eastAsia="it-IT"/>
        </w:rPr>
        <w:t>Generali</w:t>
      </w:r>
      <w:bookmarkEnd w:id="3"/>
    </w:p>
    <w:p w:rsidR="00325959" w:rsidRPr="00325959" w:rsidRDefault="00325959" w:rsidP="005C64D6">
      <w:pPr>
        <w:rPr>
          <w:rFonts w:eastAsia="Times New Roman"/>
          <w:szCs w:val="24"/>
          <w:lang w:val="it-IT" w:eastAsia="it-IT"/>
        </w:rPr>
      </w:pPr>
      <w:r w:rsidRPr="00325959">
        <w:rPr>
          <w:rFonts w:eastAsia="Times New Roman"/>
          <w:szCs w:val="24"/>
          <w:lang w:val="it-IT" w:eastAsia="it-IT"/>
        </w:rPr>
        <w:t xml:space="preserve">La riflessione sulle modalità di gestione della pubblica amministrazione non può prescindere dalle basi costituzionali e legali che gestiscono le nostre istituzioni. La Costituzione cantonale sancisce in modo esplicito i compiti e le competenze del Gran Consiglio e del Consiglio di Stato anche e nello specifico per quanto attiene gli aspetti economici e finanziari. </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L’</w:t>
      </w:r>
      <w:bookmarkStart w:id="4" w:name="_GoBack"/>
      <w:r w:rsidRPr="00325959">
        <w:rPr>
          <w:rFonts w:eastAsia="Times New Roman"/>
          <w:szCs w:val="24"/>
          <w:lang w:val="it-IT" w:eastAsia="it-IT"/>
        </w:rPr>
        <w:t>art</w:t>
      </w:r>
      <w:r w:rsidR="00263CDC">
        <w:rPr>
          <w:rFonts w:eastAsia="Times New Roman"/>
          <w:szCs w:val="24"/>
          <w:lang w:val="it-IT" w:eastAsia="it-IT"/>
        </w:rPr>
        <w:t>.</w:t>
      </w:r>
      <w:r w:rsidRPr="00325959">
        <w:rPr>
          <w:rFonts w:eastAsia="Times New Roman"/>
          <w:szCs w:val="24"/>
          <w:lang w:val="it-IT" w:eastAsia="it-IT"/>
        </w:rPr>
        <w:t xml:space="preserve"> </w:t>
      </w:r>
      <w:bookmarkEnd w:id="4"/>
      <w:r w:rsidRPr="00325959">
        <w:rPr>
          <w:rFonts w:eastAsia="Times New Roman"/>
          <w:szCs w:val="24"/>
          <w:lang w:val="it-IT" w:eastAsia="it-IT"/>
        </w:rPr>
        <w:t>34 bis cita in particolare i principi generali di parsimonia ed economicità.</w:t>
      </w:r>
    </w:p>
    <w:p w:rsidR="00325959" w:rsidRPr="00325959" w:rsidRDefault="00325959" w:rsidP="005C64D6">
      <w:pPr>
        <w:shd w:val="clear" w:color="auto" w:fill="FFFFFF"/>
        <w:rPr>
          <w:rFonts w:eastAsia="Times New Roman" w:cs="Arial"/>
          <w:b/>
          <w:bCs/>
          <w:sz w:val="20"/>
          <w:szCs w:val="20"/>
          <w:lang w:eastAsia="it-CH"/>
        </w:rPr>
      </w:pPr>
    </w:p>
    <w:p w:rsidR="00325959" w:rsidRPr="00325959" w:rsidRDefault="00325959" w:rsidP="005C64D6">
      <w:pPr>
        <w:shd w:val="clear" w:color="auto" w:fill="FFFFFF"/>
        <w:rPr>
          <w:rFonts w:eastAsia="Times New Roman" w:cs="Arial"/>
          <w:b/>
          <w:bCs/>
          <w:sz w:val="22"/>
          <w:lang w:eastAsia="it-CH"/>
        </w:rPr>
      </w:pPr>
      <w:r w:rsidRPr="00325959">
        <w:rPr>
          <w:rFonts w:eastAsia="Times New Roman" w:cs="Arial"/>
          <w:b/>
          <w:bCs/>
          <w:sz w:val="22"/>
          <w:lang w:eastAsia="it-CH"/>
        </w:rPr>
        <w:t>C</w:t>
      </w:r>
      <w:r w:rsidR="00263CDC">
        <w:rPr>
          <w:rFonts w:eastAsia="Times New Roman" w:cs="Arial"/>
          <w:b/>
          <w:bCs/>
          <w:sz w:val="22"/>
          <w:lang w:eastAsia="it-CH"/>
        </w:rPr>
        <w:t>o</w:t>
      </w:r>
      <w:r w:rsidRPr="00325959">
        <w:rPr>
          <w:rFonts w:eastAsia="Times New Roman" w:cs="Arial"/>
          <w:b/>
          <w:bCs/>
          <w:sz w:val="22"/>
          <w:lang w:eastAsia="it-CH"/>
        </w:rPr>
        <w:t>st</w:t>
      </w:r>
      <w:r w:rsidR="00263CDC">
        <w:rPr>
          <w:rFonts w:eastAsia="Times New Roman" w:cs="Arial"/>
          <w:b/>
          <w:bCs/>
          <w:sz w:val="22"/>
          <w:lang w:eastAsia="it-CH"/>
        </w:rPr>
        <w:t>.</w:t>
      </w:r>
      <w:r w:rsidRPr="00325959">
        <w:rPr>
          <w:rFonts w:eastAsia="Times New Roman" w:cs="Arial"/>
          <w:b/>
          <w:bCs/>
          <w:sz w:val="22"/>
          <w:lang w:eastAsia="it-CH"/>
        </w:rPr>
        <w:t xml:space="preserve"> cantonale </w:t>
      </w: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Regime finanziario</w:t>
      </w:r>
    </w:p>
    <w:p w:rsidR="00325959" w:rsidRPr="00325959" w:rsidRDefault="00325959" w:rsidP="005C64D6">
      <w:pPr>
        <w:shd w:val="clear" w:color="auto" w:fill="FFFFFF"/>
        <w:rPr>
          <w:rFonts w:eastAsia="Times New Roman" w:cs="Arial"/>
          <w:sz w:val="22"/>
          <w:lang w:eastAsia="it-CH"/>
        </w:rPr>
      </w:pP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Principi generali</w:t>
      </w:r>
    </w:p>
    <w:p w:rsidR="00263CDC" w:rsidRDefault="00325959" w:rsidP="005C64D6">
      <w:pPr>
        <w:shd w:val="clear" w:color="auto" w:fill="FFFFFF"/>
        <w:spacing w:after="60"/>
        <w:rPr>
          <w:rFonts w:eastAsia="Times New Roman" w:cs="Arial"/>
          <w:b/>
          <w:bCs/>
          <w:sz w:val="22"/>
          <w:lang w:eastAsia="it-CH"/>
        </w:rPr>
      </w:pPr>
      <w:r w:rsidRPr="00325959">
        <w:rPr>
          <w:rFonts w:eastAsia="Times New Roman" w:cs="Arial"/>
          <w:b/>
          <w:bCs/>
          <w:sz w:val="22"/>
          <w:lang w:eastAsia="it-CH"/>
        </w:rPr>
        <w:t>Art. 34bis</w:t>
      </w:r>
      <w:bookmarkStart w:id="5" w:name="_ftnref15"/>
      <w:bookmarkEnd w:id="5"/>
    </w:p>
    <w:p w:rsidR="00325959" w:rsidRPr="00325959" w:rsidRDefault="00325959" w:rsidP="005C64D6">
      <w:pPr>
        <w:shd w:val="clear" w:color="auto" w:fill="FFFFFF"/>
        <w:rPr>
          <w:rFonts w:eastAsia="Times New Roman" w:cs="Arial"/>
          <w:sz w:val="22"/>
          <w:lang w:eastAsia="it-CH"/>
        </w:rPr>
      </w:pPr>
      <w:r w:rsidRPr="00263CDC">
        <w:rPr>
          <w:rFonts w:eastAsia="Times New Roman" w:cs="Arial"/>
          <w:position w:val="4"/>
          <w:sz w:val="22"/>
          <w:vertAlign w:val="superscript"/>
          <w:lang w:eastAsia="it-CH"/>
        </w:rPr>
        <w:t>1</w:t>
      </w:r>
      <w:r w:rsidRPr="00325959">
        <w:rPr>
          <w:rFonts w:eastAsia="Times New Roman" w:cs="Arial"/>
          <w:sz w:val="22"/>
          <w:lang w:eastAsia="it-CH"/>
        </w:rPr>
        <w:t>La gestione finanziaria dello Stato è retta dai principi della legalità, della parsimonia e dell’economicità; le finanze devono essere equilibrate a medio termine, tenuto conto dell’evoluzione economica.</w:t>
      </w:r>
    </w:p>
    <w:p w:rsidR="00325959" w:rsidRPr="00325959" w:rsidRDefault="00325959" w:rsidP="005C64D6">
      <w:pPr>
        <w:rPr>
          <w:rFonts w:eastAsia="Times New Roman"/>
          <w:sz w:val="22"/>
          <w:lang w:val="it-IT" w:eastAsia="it-IT"/>
        </w:rPr>
      </w:pPr>
    </w:p>
    <w:p w:rsidR="00325959" w:rsidRPr="00325959" w:rsidRDefault="00325959" w:rsidP="005C64D6">
      <w:pPr>
        <w:rPr>
          <w:rFonts w:eastAsia="Times New Roman"/>
          <w:szCs w:val="24"/>
          <w:lang w:val="it-IT" w:eastAsia="it-IT"/>
        </w:rPr>
      </w:pPr>
      <w:r w:rsidRPr="00325959">
        <w:rPr>
          <w:rFonts w:eastAsia="Times New Roman"/>
          <w:szCs w:val="24"/>
          <w:lang w:val="it-IT" w:eastAsia="it-IT"/>
        </w:rPr>
        <w:t>Al potere legislativo si attribuisce il compito di alta vigilanza (Cst, art</w:t>
      </w:r>
      <w:r w:rsidR="008F7A1D">
        <w:rPr>
          <w:rFonts w:eastAsia="Times New Roman"/>
          <w:szCs w:val="24"/>
          <w:lang w:val="it-IT" w:eastAsia="it-IT"/>
        </w:rPr>
        <w:t>.</w:t>
      </w:r>
      <w:r w:rsidRPr="00325959">
        <w:rPr>
          <w:rFonts w:eastAsia="Times New Roman"/>
          <w:szCs w:val="24"/>
          <w:lang w:val="it-IT" w:eastAsia="it-IT"/>
        </w:rPr>
        <w:t xml:space="preserve"> 57), di approvazione dei conti previsionali (Cst, art</w:t>
      </w:r>
      <w:r w:rsidR="008F7A1D">
        <w:rPr>
          <w:rFonts w:eastAsia="Times New Roman"/>
          <w:szCs w:val="24"/>
          <w:lang w:val="it-IT" w:eastAsia="it-IT"/>
        </w:rPr>
        <w:t>.</w:t>
      </w:r>
      <w:r w:rsidRPr="00325959">
        <w:rPr>
          <w:rFonts w:eastAsia="Times New Roman"/>
          <w:szCs w:val="24"/>
          <w:lang w:val="it-IT" w:eastAsia="it-IT"/>
        </w:rPr>
        <w:t xml:space="preserve"> 59 lett</w:t>
      </w:r>
      <w:r w:rsidR="008F7A1D">
        <w:rPr>
          <w:rFonts w:eastAsia="Times New Roman"/>
          <w:szCs w:val="24"/>
          <w:lang w:val="it-IT" w:eastAsia="it-IT"/>
        </w:rPr>
        <w:t>.</w:t>
      </w:r>
      <w:r w:rsidRPr="00325959">
        <w:rPr>
          <w:rFonts w:eastAsia="Times New Roman"/>
          <w:szCs w:val="24"/>
          <w:lang w:val="it-IT" w:eastAsia="it-IT"/>
        </w:rPr>
        <w:t xml:space="preserve"> f) e di verifica a consuntivo (Cst, art</w:t>
      </w:r>
      <w:r w:rsidR="008F7A1D">
        <w:rPr>
          <w:rFonts w:eastAsia="Times New Roman"/>
          <w:szCs w:val="24"/>
          <w:lang w:val="it-IT" w:eastAsia="it-IT"/>
        </w:rPr>
        <w:t>.</w:t>
      </w:r>
      <w:r w:rsidRPr="00325959">
        <w:rPr>
          <w:rFonts w:eastAsia="Times New Roman"/>
          <w:szCs w:val="24"/>
          <w:lang w:val="it-IT" w:eastAsia="it-IT"/>
        </w:rPr>
        <w:t xml:space="preserve"> 59 lett g).</w:t>
      </w:r>
    </w:p>
    <w:p w:rsidR="00325959" w:rsidRPr="00325959" w:rsidRDefault="00325959" w:rsidP="005C64D6">
      <w:pPr>
        <w:shd w:val="clear" w:color="auto" w:fill="FFFFFF"/>
        <w:jc w:val="left"/>
        <w:rPr>
          <w:rFonts w:eastAsia="Times New Roman" w:cs="Arial"/>
          <w:b/>
          <w:bCs/>
          <w:sz w:val="22"/>
          <w:lang w:eastAsia="it-CH"/>
        </w:rPr>
      </w:pPr>
      <w:r w:rsidRPr="00325959">
        <w:rPr>
          <w:rFonts w:eastAsia="Times New Roman" w:cs="Arial"/>
          <w:b/>
          <w:bCs/>
          <w:sz w:val="22"/>
          <w:lang w:eastAsia="it-CH"/>
        </w:rPr>
        <w:t>…</w:t>
      </w:r>
    </w:p>
    <w:p w:rsidR="00325959" w:rsidRPr="00263CDC" w:rsidRDefault="00325959" w:rsidP="005C64D6">
      <w:pPr>
        <w:shd w:val="clear" w:color="auto" w:fill="FFFFFF"/>
        <w:jc w:val="left"/>
        <w:rPr>
          <w:rFonts w:eastAsia="Times New Roman" w:cs="Arial"/>
          <w:bCs/>
          <w:sz w:val="22"/>
          <w:lang w:eastAsia="it-CH"/>
        </w:rPr>
      </w:pPr>
    </w:p>
    <w:p w:rsidR="00325959" w:rsidRPr="00325959" w:rsidRDefault="00325959" w:rsidP="005C64D6">
      <w:pPr>
        <w:jc w:val="left"/>
        <w:rPr>
          <w:rFonts w:eastAsia="Times New Roman" w:cs="Arial"/>
          <w:sz w:val="22"/>
          <w:lang w:eastAsia="it-CH"/>
        </w:rPr>
      </w:pPr>
      <w:r w:rsidRPr="00325959">
        <w:rPr>
          <w:rFonts w:eastAsia="Times New Roman" w:cs="Arial"/>
          <w:b/>
          <w:bCs/>
          <w:sz w:val="22"/>
          <w:lang w:eastAsia="it-CH"/>
        </w:rPr>
        <w:t>B. Potere legislativo</w:t>
      </w:r>
    </w:p>
    <w:p w:rsidR="00325959" w:rsidRPr="00325959" w:rsidRDefault="00325959" w:rsidP="005C64D6">
      <w:pPr>
        <w:rPr>
          <w:rFonts w:eastAsia="Times New Roman" w:cs="Arial"/>
          <w:sz w:val="22"/>
          <w:lang w:eastAsia="it-CH"/>
        </w:rPr>
      </w:pPr>
    </w:p>
    <w:p w:rsidR="00325959" w:rsidRPr="00325959" w:rsidRDefault="00325959" w:rsidP="005C64D6">
      <w:pPr>
        <w:rPr>
          <w:rFonts w:eastAsia="Times New Roman" w:cs="Arial"/>
          <w:sz w:val="22"/>
          <w:lang w:eastAsia="it-CH"/>
        </w:rPr>
      </w:pPr>
      <w:r w:rsidRPr="00325959">
        <w:rPr>
          <w:rFonts w:eastAsia="Times New Roman" w:cs="Arial"/>
          <w:b/>
          <w:bCs/>
          <w:sz w:val="22"/>
          <w:lang w:eastAsia="it-CH"/>
        </w:rPr>
        <w:t>Gran Consiglio</w:t>
      </w:r>
    </w:p>
    <w:p w:rsidR="00263CDC" w:rsidRDefault="00325959" w:rsidP="005C64D6">
      <w:pPr>
        <w:spacing w:after="60"/>
        <w:rPr>
          <w:rFonts w:eastAsia="Times New Roman" w:cs="Arial"/>
          <w:b/>
          <w:bCs/>
          <w:sz w:val="22"/>
          <w:lang w:eastAsia="it-CH"/>
        </w:rPr>
      </w:pPr>
      <w:r w:rsidRPr="00325959">
        <w:rPr>
          <w:rFonts w:eastAsia="Times New Roman" w:cs="Arial"/>
          <w:b/>
          <w:bCs/>
          <w:sz w:val="22"/>
          <w:lang w:eastAsia="it-CH"/>
        </w:rPr>
        <w:t>Art. 57</w:t>
      </w:r>
    </w:p>
    <w:p w:rsidR="00325959" w:rsidRPr="00325959" w:rsidRDefault="00325959" w:rsidP="005C64D6">
      <w:pPr>
        <w:rPr>
          <w:rFonts w:eastAsia="Times New Roman" w:cs="Arial"/>
          <w:sz w:val="22"/>
          <w:lang w:eastAsia="it-CH"/>
        </w:rPr>
      </w:pPr>
      <w:r w:rsidRPr="00325959">
        <w:rPr>
          <w:rFonts w:eastAsia="Times New Roman" w:cs="Arial"/>
          <w:position w:val="4"/>
          <w:sz w:val="22"/>
          <w:vertAlign w:val="superscript"/>
          <w:lang w:eastAsia="it-CH"/>
        </w:rPr>
        <w:t>1</w:t>
      </w:r>
      <w:r w:rsidRPr="00325959">
        <w:rPr>
          <w:rFonts w:eastAsia="Times New Roman" w:cs="Arial"/>
          <w:sz w:val="22"/>
          <w:lang w:eastAsia="it-CH"/>
        </w:rPr>
        <w:t>Il Gran Consiglio di novanta membri è l’autorità legislativa del Cantone.</w:t>
      </w:r>
    </w:p>
    <w:p w:rsidR="00325959" w:rsidRPr="00325959" w:rsidRDefault="00325959" w:rsidP="005C64D6">
      <w:pPr>
        <w:rPr>
          <w:rFonts w:eastAsia="Times New Roman" w:cs="Arial"/>
          <w:sz w:val="22"/>
          <w:lang w:eastAsia="it-CH"/>
        </w:rPr>
      </w:pPr>
      <w:r w:rsidRPr="00325959">
        <w:rPr>
          <w:rFonts w:eastAsia="Times New Roman" w:cs="Arial"/>
          <w:position w:val="4"/>
          <w:sz w:val="22"/>
          <w:vertAlign w:val="superscript"/>
          <w:lang w:eastAsia="it-CH"/>
        </w:rPr>
        <w:t>2</w:t>
      </w:r>
      <w:r w:rsidRPr="00325959">
        <w:rPr>
          <w:rFonts w:eastAsia="Times New Roman" w:cs="Arial"/>
          <w:sz w:val="22"/>
          <w:lang w:eastAsia="it-CH"/>
        </w:rPr>
        <w:t>Esso esercita l’alta vigilanza sul Consiglio di Stato</w:t>
      </w:r>
    </w:p>
    <w:p w:rsidR="00325959" w:rsidRPr="00263CDC" w:rsidRDefault="00325959" w:rsidP="005C64D6">
      <w:pPr>
        <w:rPr>
          <w:rFonts w:eastAsia="Times New Roman" w:cs="Arial"/>
          <w:bCs/>
          <w:sz w:val="22"/>
          <w:lang w:eastAsia="it-CH"/>
        </w:rPr>
      </w:pPr>
    </w:p>
    <w:p w:rsidR="00325959" w:rsidRPr="00325959" w:rsidRDefault="00325959" w:rsidP="005C64D6">
      <w:pPr>
        <w:rPr>
          <w:rFonts w:eastAsia="Times New Roman" w:cs="Arial"/>
          <w:sz w:val="22"/>
          <w:lang w:eastAsia="it-CH"/>
        </w:rPr>
      </w:pPr>
      <w:r w:rsidRPr="00325959">
        <w:rPr>
          <w:rFonts w:eastAsia="Times New Roman" w:cs="Arial"/>
          <w:b/>
          <w:bCs/>
          <w:sz w:val="22"/>
          <w:lang w:eastAsia="it-CH"/>
        </w:rPr>
        <w:t>Competenze</w:t>
      </w:r>
    </w:p>
    <w:p w:rsidR="00263CDC" w:rsidRDefault="00325959" w:rsidP="005C64D6">
      <w:pPr>
        <w:spacing w:after="60"/>
        <w:rPr>
          <w:rFonts w:eastAsia="Times New Roman" w:cs="Arial"/>
          <w:b/>
          <w:bCs/>
          <w:sz w:val="22"/>
          <w:lang w:eastAsia="it-CH"/>
        </w:rPr>
      </w:pPr>
      <w:r w:rsidRPr="00325959">
        <w:rPr>
          <w:rFonts w:eastAsia="Times New Roman" w:cs="Arial"/>
          <w:b/>
          <w:bCs/>
          <w:sz w:val="22"/>
          <w:lang w:eastAsia="it-CH"/>
        </w:rPr>
        <w:t>Art. 59</w:t>
      </w:r>
      <w:bookmarkStart w:id="6" w:name="_ftnref33"/>
      <w:bookmarkEnd w:id="6"/>
    </w:p>
    <w:p w:rsidR="00325959" w:rsidRPr="00325959" w:rsidRDefault="00325959" w:rsidP="005C64D6">
      <w:pPr>
        <w:rPr>
          <w:rFonts w:eastAsia="Times New Roman" w:cs="Arial"/>
          <w:sz w:val="22"/>
          <w:lang w:eastAsia="it-CH"/>
        </w:rPr>
      </w:pPr>
      <w:r w:rsidRPr="00325959">
        <w:rPr>
          <w:rFonts w:eastAsia="Times New Roman" w:cs="Arial"/>
          <w:position w:val="4"/>
          <w:sz w:val="22"/>
          <w:vertAlign w:val="superscript"/>
          <w:lang w:eastAsia="it-CH"/>
        </w:rPr>
        <w:t>1</w:t>
      </w:r>
      <w:r w:rsidRPr="00325959">
        <w:rPr>
          <w:rFonts w:eastAsia="Times New Roman" w:cs="Arial"/>
          <w:sz w:val="22"/>
          <w:lang w:eastAsia="it-CH"/>
        </w:rPr>
        <w:t>Il Gran Consiglio:</w:t>
      </w:r>
    </w:p>
    <w:p w:rsidR="00325959" w:rsidRPr="00325959" w:rsidRDefault="00325959" w:rsidP="005C64D6">
      <w:pPr>
        <w:rPr>
          <w:rFonts w:eastAsia="Times New Roman" w:cs="Arial"/>
          <w:sz w:val="22"/>
          <w:lang w:eastAsia="it-CH"/>
        </w:rPr>
      </w:pPr>
      <w:r w:rsidRPr="00325959">
        <w:rPr>
          <w:rFonts w:eastAsia="Times New Roman" w:cs="Arial"/>
          <w:sz w:val="22"/>
          <w:lang w:eastAsia="it-CH"/>
        </w:rPr>
        <w:t>…</w:t>
      </w:r>
    </w:p>
    <w:p w:rsidR="00325959" w:rsidRPr="00E45755" w:rsidRDefault="00325959" w:rsidP="005C64D6">
      <w:pPr>
        <w:pStyle w:val="Paragrafoelenco"/>
        <w:tabs>
          <w:tab w:val="left" w:pos="284"/>
        </w:tabs>
        <w:ind w:left="284" w:hanging="284"/>
        <w:rPr>
          <w:rFonts w:eastAsia="Times New Roman" w:cs="Arial"/>
          <w:sz w:val="22"/>
          <w:lang w:eastAsia="it-CH"/>
        </w:rPr>
      </w:pPr>
      <w:r w:rsidRPr="00E45755">
        <w:rPr>
          <w:rFonts w:eastAsia="Times New Roman" w:cs="Arial"/>
          <w:sz w:val="22"/>
          <w:lang w:eastAsia="it-CH"/>
        </w:rPr>
        <w:t xml:space="preserve">f) </w:t>
      </w:r>
      <w:r w:rsidR="00263CDC">
        <w:rPr>
          <w:rFonts w:eastAsia="Times New Roman" w:cs="Arial"/>
          <w:sz w:val="22"/>
          <w:lang w:eastAsia="it-CH"/>
        </w:rPr>
        <w:tab/>
      </w:r>
      <w:r w:rsidRPr="00E45755">
        <w:rPr>
          <w:rFonts w:eastAsia="Times New Roman" w:cs="Arial"/>
          <w:sz w:val="22"/>
          <w:lang w:eastAsia="it-CH"/>
        </w:rPr>
        <w:t>stabilisce, su proposta del Consiglio di Stato, il bilancio preventivo delle entrate e delle spese del Cantone;</w:t>
      </w:r>
    </w:p>
    <w:p w:rsidR="00325959" w:rsidRPr="00E45755" w:rsidRDefault="00325959" w:rsidP="005C64D6">
      <w:pPr>
        <w:pStyle w:val="Paragrafoelenco"/>
        <w:tabs>
          <w:tab w:val="left" w:pos="284"/>
        </w:tabs>
        <w:ind w:left="284" w:hanging="284"/>
        <w:rPr>
          <w:rFonts w:eastAsia="Times New Roman" w:cs="Arial"/>
          <w:sz w:val="22"/>
          <w:lang w:eastAsia="it-CH"/>
        </w:rPr>
      </w:pPr>
      <w:r w:rsidRPr="00E45755">
        <w:rPr>
          <w:rFonts w:eastAsia="Times New Roman" w:cs="Arial"/>
          <w:sz w:val="22"/>
          <w:lang w:eastAsia="it-CH"/>
        </w:rPr>
        <w:t xml:space="preserve">g) </w:t>
      </w:r>
      <w:r w:rsidR="00263CDC">
        <w:rPr>
          <w:rFonts w:eastAsia="Times New Roman" w:cs="Arial"/>
          <w:sz w:val="22"/>
          <w:lang w:eastAsia="it-CH"/>
        </w:rPr>
        <w:tab/>
      </w:r>
      <w:r w:rsidRPr="00E45755">
        <w:rPr>
          <w:rFonts w:eastAsia="Times New Roman" w:cs="Arial"/>
          <w:sz w:val="22"/>
          <w:lang w:eastAsia="it-CH"/>
        </w:rPr>
        <w:t>esamina ogni anno l’amministrazione e i conti del Cantone su rapporto del Consiglio di Stato e li approva;</w:t>
      </w:r>
    </w:p>
    <w:p w:rsidR="00325959" w:rsidRPr="00325959" w:rsidRDefault="00325959" w:rsidP="005C64D6">
      <w:pPr>
        <w:shd w:val="clear" w:color="auto" w:fill="FFFFFF"/>
        <w:jc w:val="left"/>
        <w:rPr>
          <w:rFonts w:eastAsia="Times New Roman"/>
          <w:sz w:val="22"/>
          <w:lang w:val="it-IT" w:eastAsia="it-IT"/>
        </w:rPr>
      </w:pPr>
    </w:p>
    <w:p w:rsidR="00325959" w:rsidRPr="00325959" w:rsidRDefault="00325959" w:rsidP="005C64D6">
      <w:pPr>
        <w:shd w:val="clear" w:color="auto" w:fill="FFFFFF"/>
        <w:rPr>
          <w:rFonts w:eastAsia="Times New Roman"/>
          <w:szCs w:val="24"/>
          <w:lang w:val="it-IT" w:eastAsia="it-IT"/>
        </w:rPr>
      </w:pPr>
      <w:r w:rsidRPr="00325959">
        <w:rPr>
          <w:rFonts w:eastAsia="Times New Roman"/>
          <w:szCs w:val="24"/>
          <w:lang w:val="it-IT" w:eastAsia="it-IT"/>
        </w:rPr>
        <w:t>Infine al Consiglio di Stato, organo esecutivo, sono attribuiti i compiti di direzione, pianificazione e amministrazione delle attività dello Stato nel contesto delle basi legali vigenti.</w:t>
      </w:r>
    </w:p>
    <w:p w:rsidR="00325959" w:rsidRPr="00325959" w:rsidRDefault="00325959" w:rsidP="005C64D6">
      <w:pPr>
        <w:shd w:val="clear" w:color="auto" w:fill="FFFFFF"/>
        <w:jc w:val="left"/>
        <w:rPr>
          <w:rFonts w:eastAsia="Times New Roman"/>
          <w:sz w:val="22"/>
          <w:lang w:val="it-IT" w:eastAsia="it-IT"/>
        </w:rPr>
      </w:pPr>
    </w:p>
    <w:p w:rsidR="00325959" w:rsidRPr="00325959" w:rsidRDefault="00325959" w:rsidP="005C64D6">
      <w:pPr>
        <w:jc w:val="left"/>
        <w:rPr>
          <w:rFonts w:eastAsia="Times New Roman" w:cs="Arial"/>
          <w:sz w:val="22"/>
          <w:lang w:eastAsia="it-CH"/>
        </w:rPr>
      </w:pPr>
      <w:r w:rsidRPr="00325959">
        <w:rPr>
          <w:rFonts w:eastAsia="Times New Roman" w:cs="Arial"/>
          <w:b/>
          <w:bCs/>
          <w:sz w:val="22"/>
          <w:lang w:eastAsia="it-CH"/>
        </w:rPr>
        <w:t>C. Potere esecutivo</w:t>
      </w:r>
    </w:p>
    <w:p w:rsidR="00325959" w:rsidRPr="00325959" w:rsidRDefault="00325959" w:rsidP="005C64D6">
      <w:pPr>
        <w:rPr>
          <w:rFonts w:eastAsia="Times New Roman" w:cs="Arial"/>
          <w:sz w:val="22"/>
          <w:lang w:eastAsia="it-CH"/>
        </w:rPr>
      </w:pPr>
    </w:p>
    <w:p w:rsidR="00325959" w:rsidRPr="00325959" w:rsidRDefault="00325959" w:rsidP="005C64D6">
      <w:pPr>
        <w:rPr>
          <w:rFonts w:eastAsia="Times New Roman" w:cs="Arial"/>
          <w:sz w:val="22"/>
          <w:lang w:eastAsia="it-CH"/>
        </w:rPr>
      </w:pPr>
      <w:r w:rsidRPr="00325959">
        <w:rPr>
          <w:rFonts w:eastAsia="Times New Roman" w:cs="Arial"/>
          <w:b/>
          <w:bCs/>
          <w:sz w:val="22"/>
          <w:lang w:eastAsia="it-CH"/>
        </w:rPr>
        <w:t>Consiglio di Stato</w:t>
      </w:r>
    </w:p>
    <w:p w:rsidR="00263CDC" w:rsidRDefault="00325959" w:rsidP="005C64D6">
      <w:pPr>
        <w:spacing w:after="60"/>
        <w:rPr>
          <w:rFonts w:eastAsia="Times New Roman" w:cs="Arial"/>
          <w:b/>
          <w:bCs/>
          <w:sz w:val="22"/>
          <w:lang w:eastAsia="it-CH"/>
        </w:rPr>
      </w:pPr>
      <w:r w:rsidRPr="00325959">
        <w:rPr>
          <w:rFonts w:eastAsia="Times New Roman" w:cs="Arial"/>
          <w:b/>
          <w:bCs/>
          <w:sz w:val="22"/>
          <w:lang w:eastAsia="it-CH"/>
        </w:rPr>
        <w:t>Art. 65</w:t>
      </w:r>
    </w:p>
    <w:p w:rsidR="00325959" w:rsidRPr="00325959" w:rsidRDefault="00325959" w:rsidP="005C64D6">
      <w:pPr>
        <w:rPr>
          <w:rFonts w:eastAsia="Times New Roman" w:cs="Arial"/>
          <w:sz w:val="22"/>
          <w:lang w:eastAsia="it-CH"/>
        </w:rPr>
      </w:pPr>
      <w:r w:rsidRPr="00325959">
        <w:rPr>
          <w:rFonts w:eastAsia="Times New Roman" w:cs="Arial"/>
          <w:position w:val="4"/>
          <w:sz w:val="22"/>
          <w:vertAlign w:val="superscript"/>
          <w:lang w:eastAsia="it-CH"/>
        </w:rPr>
        <w:t>1</w:t>
      </w:r>
      <w:r w:rsidRPr="00325959">
        <w:rPr>
          <w:rFonts w:eastAsia="Times New Roman" w:cs="Arial"/>
          <w:sz w:val="22"/>
          <w:lang w:eastAsia="it-CH"/>
        </w:rPr>
        <w:t>Il Consiglio di Stato di cinque membri è l’autorità governativa ed esecutiva del Cantone.</w:t>
      </w:r>
    </w:p>
    <w:p w:rsidR="00325959" w:rsidRPr="00325959" w:rsidRDefault="00325959" w:rsidP="005C64D6">
      <w:pPr>
        <w:rPr>
          <w:rFonts w:eastAsia="Times New Roman" w:cs="Arial"/>
          <w:sz w:val="22"/>
          <w:lang w:eastAsia="it-CH"/>
        </w:rPr>
      </w:pPr>
      <w:r w:rsidRPr="00325959">
        <w:rPr>
          <w:rFonts w:eastAsia="Times New Roman" w:cs="Arial"/>
          <w:position w:val="4"/>
          <w:sz w:val="22"/>
          <w:vertAlign w:val="superscript"/>
          <w:lang w:eastAsia="it-CH"/>
        </w:rPr>
        <w:t>2</w:t>
      </w:r>
      <w:r w:rsidRPr="00325959">
        <w:rPr>
          <w:rFonts w:eastAsia="Times New Roman" w:cs="Arial"/>
          <w:sz w:val="22"/>
          <w:lang w:eastAsia="it-CH"/>
        </w:rPr>
        <w:t>Esso dirige collegialmente gli affari cantonali in base alle competenze previste dalla Costituzione e dalle leggi.</w:t>
      </w:r>
    </w:p>
    <w:p w:rsidR="00325959" w:rsidRDefault="00325959" w:rsidP="005C64D6">
      <w:pPr>
        <w:shd w:val="clear" w:color="auto" w:fill="FFFFFF"/>
        <w:jc w:val="left"/>
        <w:rPr>
          <w:rFonts w:eastAsia="Times New Roman" w:cs="Arial"/>
          <w:b/>
          <w:bCs/>
          <w:color w:val="000000"/>
          <w:sz w:val="22"/>
          <w:lang w:eastAsia="it-CH"/>
        </w:rPr>
      </w:pP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b/>
          <w:bCs/>
          <w:color w:val="000000"/>
          <w:sz w:val="22"/>
          <w:lang w:eastAsia="it-CH"/>
        </w:rPr>
        <w:lastRenderedPageBreak/>
        <w:t>Competenze</w:t>
      </w:r>
    </w:p>
    <w:p w:rsidR="00263CDC" w:rsidRDefault="00325959" w:rsidP="005C64D6">
      <w:pPr>
        <w:spacing w:after="60"/>
        <w:rPr>
          <w:rFonts w:eastAsia="Times New Roman" w:cs="Arial"/>
          <w:b/>
          <w:bCs/>
          <w:color w:val="000000"/>
          <w:sz w:val="22"/>
          <w:lang w:eastAsia="it-CH"/>
        </w:rPr>
      </w:pPr>
      <w:r w:rsidRPr="00325959">
        <w:rPr>
          <w:rFonts w:eastAsia="Times New Roman" w:cs="Arial"/>
          <w:b/>
          <w:bCs/>
          <w:color w:val="000000"/>
          <w:sz w:val="22"/>
          <w:lang w:eastAsia="it-CH"/>
        </w:rPr>
        <w:t>Art. 70</w:t>
      </w:r>
    </w:p>
    <w:p w:rsidR="00325959" w:rsidRPr="00325959" w:rsidRDefault="00325959" w:rsidP="005C64D6">
      <w:pPr>
        <w:rPr>
          <w:rFonts w:eastAsia="Times New Roman" w:cs="Arial"/>
          <w:color w:val="000000"/>
          <w:sz w:val="22"/>
          <w:lang w:eastAsia="it-CH"/>
        </w:rPr>
      </w:pPr>
      <w:r w:rsidRPr="00325959">
        <w:rPr>
          <w:rFonts w:eastAsia="Times New Roman" w:cs="Arial"/>
          <w:color w:val="000000"/>
          <w:sz w:val="22"/>
          <w:lang w:eastAsia="it-CH"/>
        </w:rPr>
        <w:t>Il Consiglio di Stato, riservati i diritti del popolo e del Gran Consiglio:</w:t>
      </w:r>
    </w:p>
    <w:p w:rsidR="00325959" w:rsidRPr="00325959" w:rsidRDefault="00325959" w:rsidP="005C64D6">
      <w:pPr>
        <w:tabs>
          <w:tab w:val="left" w:pos="284"/>
        </w:tabs>
        <w:rPr>
          <w:rFonts w:eastAsia="Times New Roman" w:cs="Arial"/>
          <w:color w:val="000000"/>
          <w:sz w:val="22"/>
          <w:lang w:eastAsia="it-CH"/>
        </w:rPr>
      </w:pPr>
      <w:r w:rsidRPr="00325959">
        <w:rPr>
          <w:rFonts w:eastAsia="Times New Roman" w:cs="Arial"/>
          <w:color w:val="000000"/>
          <w:sz w:val="22"/>
          <w:lang w:eastAsia="it-CH"/>
        </w:rPr>
        <w:t xml:space="preserve">a) </w:t>
      </w:r>
      <w:r w:rsidR="00263CDC">
        <w:rPr>
          <w:rFonts w:eastAsia="Times New Roman" w:cs="Arial"/>
          <w:color w:val="000000"/>
          <w:sz w:val="22"/>
          <w:lang w:eastAsia="it-CH"/>
        </w:rPr>
        <w:tab/>
      </w:r>
      <w:r w:rsidRPr="00325959">
        <w:rPr>
          <w:rFonts w:eastAsia="Times New Roman" w:cs="Arial"/>
          <w:color w:val="000000"/>
          <w:sz w:val="22"/>
          <w:lang w:eastAsia="it-CH"/>
        </w:rPr>
        <w:t>pianifica l’attività del Cantone e provvede a realizzarne i programmi;</w:t>
      </w:r>
    </w:p>
    <w:p w:rsidR="00325959" w:rsidRPr="00325959" w:rsidRDefault="00325959" w:rsidP="005C64D6">
      <w:pPr>
        <w:tabs>
          <w:tab w:val="left" w:pos="284"/>
        </w:tabs>
        <w:ind w:left="284" w:hanging="284"/>
        <w:rPr>
          <w:rFonts w:eastAsia="Times New Roman" w:cs="Arial"/>
          <w:color w:val="000000"/>
          <w:sz w:val="22"/>
          <w:lang w:eastAsia="it-CH"/>
        </w:rPr>
      </w:pPr>
      <w:r w:rsidRPr="00325959">
        <w:rPr>
          <w:rFonts w:eastAsia="Times New Roman" w:cs="Arial"/>
          <w:color w:val="000000"/>
          <w:sz w:val="22"/>
          <w:lang w:eastAsia="it-CH"/>
        </w:rPr>
        <w:t xml:space="preserve">b) </w:t>
      </w:r>
      <w:r w:rsidR="00263CDC">
        <w:rPr>
          <w:rFonts w:eastAsia="Times New Roman" w:cs="Arial"/>
          <w:color w:val="000000"/>
          <w:sz w:val="22"/>
          <w:lang w:eastAsia="it-CH"/>
        </w:rPr>
        <w:tab/>
      </w:r>
      <w:r w:rsidRPr="00325959">
        <w:rPr>
          <w:rFonts w:eastAsia="Times New Roman" w:cs="Arial"/>
          <w:color w:val="000000"/>
          <w:sz w:val="22"/>
          <w:lang w:eastAsia="it-CH"/>
        </w:rPr>
        <w:t>cura l’esecuzione delle leggi federali e cantonali e delle decisioni del Gran Consiglio; emana le necessarie norme mediante decreti esecutivi, regolamenti, risoluzioni o altre disposizioni;</w:t>
      </w:r>
    </w:p>
    <w:p w:rsidR="00325959" w:rsidRPr="00325959" w:rsidRDefault="00325959" w:rsidP="005C64D6">
      <w:pPr>
        <w:tabs>
          <w:tab w:val="left" w:pos="284"/>
        </w:tabs>
        <w:ind w:left="284" w:hanging="284"/>
        <w:rPr>
          <w:rFonts w:eastAsia="Times New Roman" w:cs="Arial"/>
          <w:color w:val="000000"/>
          <w:sz w:val="22"/>
          <w:lang w:eastAsia="it-CH"/>
        </w:rPr>
      </w:pPr>
      <w:r w:rsidRPr="00325959">
        <w:rPr>
          <w:rFonts w:eastAsia="Times New Roman" w:cs="Arial"/>
          <w:color w:val="000000"/>
          <w:sz w:val="22"/>
          <w:lang w:eastAsia="it-CH"/>
        </w:rPr>
        <w:t xml:space="preserve">c) </w:t>
      </w:r>
      <w:r w:rsidR="00263CDC">
        <w:rPr>
          <w:rFonts w:eastAsia="Times New Roman" w:cs="Arial"/>
          <w:color w:val="000000"/>
          <w:sz w:val="22"/>
          <w:lang w:eastAsia="it-CH"/>
        </w:rPr>
        <w:tab/>
      </w:r>
      <w:r w:rsidRPr="00325959">
        <w:rPr>
          <w:rFonts w:eastAsia="Times New Roman" w:cs="Arial"/>
          <w:color w:val="000000"/>
          <w:sz w:val="22"/>
          <w:lang w:eastAsia="it-CH"/>
        </w:rPr>
        <w:t>amministra le finanze ed i beni del Cantone e presenta annualmente i conti consuntivi e preventivi;</w:t>
      </w:r>
    </w:p>
    <w:p w:rsidR="00325959" w:rsidRPr="00325959" w:rsidRDefault="00325959" w:rsidP="005C64D6">
      <w:pPr>
        <w:tabs>
          <w:tab w:val="left" w:pos="284"/>
        </w:tabs>
        <w:rPr>
          <w:rFonts w:eastAsia="Times New Roman" w:cs="Arial"/>
          <w:color w:val="000000"/>
          <w:sz w:val="22"/>
          <w:lang w:eastAsia="it-CH"/>
        </w:rPr>
      </w:pPr>
      <w:r w:rsidRPr="00325959">
        <w:rPr>
          <w:rFonts w:eastAsia="Times New Roman" w:cs="Arial"/>
          <w:color w:val="000000"/>
          <w:sz w:val="22"/>
          <w:lang w:eastAsia="it-CH"/>
        </w:rPr>
        <w:t>d) dirige l’amministrazione cantonale e ne fa rapporto ogni anno al Gran Consiglio;</w:t>
      </w:r>
    </w:p>
    <w:p w:rsidR="00325959" w:rsidRPr="00325959" w:rsidRDefault="00325959" w:rsidP="005C64D6">
      <w:pPr>
        <w:rPr>
          <w:rFonts w:eastAsia="Times New Roman"/>
          <w:sz w:val="22"/>
          <w:lang w:eastAsia="it-IT"/>
        </w:rPr>
      </w:pPr>
    </w:p>
    <w:p w:rsidR="00325959" w:rsidRPr="00325959" w:rsidRDefault="00325959" w:rsidP="005C64D6">
      <w:pPr>
        <w:rPr>
          <w:rFonts w:eastAsia="Times New Roman"/>
          <w:szCs w:val="24"/>
          <w:lang w:eastAsia="it-IT"/>
        </w:rPr>
      </w:pPr>
      <w:r w:rsidRPr="00325959">
        <w:rPr>
          <w:rFonts w:eastAsia="Times New Roman"/>
          <w:szCs w:val="24"/>
          <w:lang w:eastAsia="it-IT"/>
        </w:rPr>
        <w:t xml:space="preserve">In aggiunta ai principi costituzionali evocati, la </w:t>
      </w:r>
      <w:r w:rsidRPr="00325959">
        <w:rPr>
          <w:rFonts w:eastAsia="Times New Roman" w:cs="Arial"/>
          <w:b/>
          <w:bCs/>
          <w:szCs w:val="24"/>
          <w:lang w:eastAsia="it-CH"/>
        </w:rPr>
        <w:t>Legge sulla gestione e sul controllo finanziario dello Stato (LGF)</w:t>
      </w:r>
      <w:bookmarkStart w:id="7" w:name="_ftnref1"/>
      <w:bookmarkEnd w:id="7"/>
      <w:r w:rsidRPr="00325959">
        <w:rPr>
          <w:rFonts w:eastAsia="Times New Roman" w:cs="Arial"/>
          <w:szCs w:val="24"/>
          <w:lang w:eastAsia="it-CH"/>
        </w:rPr>
        <w:fldChar w:fldCharType="begin"/>
      </w:r>
      <w:r w:rsidRPr="00325959">
        <w:rPr>
          <w:rFonts w:eastAsia="Times New Roman" w:cs="Arial"/>
          <w:szCs w:val="24"/>
          <w:lang w:eastAsia="it-CH"/>
        </w:rPr>
        <w:instrText xml:space="preserve"> HYPERLINK "https://www3.ti.ch/CAN/RLeggi/public/index.php/raccolta-leggi/legge/num/102/index17/600.100/evidenzia/false/esplodi/false" \l "_ftn1" </w:instrText>
      </w:r>
      <w:r w:rsidRPr="00325959">
        <w:rPr>
          <w:rFonts w:eastAsia="Times New Roman" w:cs="Arial"/>
          <w:szCs w:val="24"/>
          <w:lang w:eastAsia="it-CH"/>
        </w:rPr>
        <w:fldChar w:fldCharType="separate"/>
      </w:r>
      <w:r w:rsidRPr="00325959">
        <w:rPr>
          <w:rFonts w:eastAsia="Times New Roman" w:cs="Arial"/>
          <w:b/>
          <w:bCs/>
          <w:szCs w:val="24"/>
          <w:u w:val="single"/>
          <w:vertAlign w:val="superscript"/>
          <w:lang w:eastAsia="it-CH"/>
        </w:rPr>
        <w:t>[1]</w:t>
      </w:r>
      <w:r w:rsidRPr="00325959">
        <w:rPr>
          <w:rFonts w:eastAsia="Times New Roman" w:cs="Arial"/>
          <w:szCs w:val="24"/>
          <w:lang w:eastAsia="it-CH"/>
        </w:rPr>
        <w:fldChar w:fldCharType="end"/>
      </w:r>
      <w:r w:rsidRPr="00325959">
        <w:rPr>
          <w:rFonts w:eastAsia="Times New Roman" w:cs="Arial"/>
          <w:szCs w:val="24"/>
          <w:lang w:eastAsia="it-CH"/>
        </w:rPr>
        <w:t xml:space="preserve"> (del 20 gennaio 1986)  </w:t>
      </w:r>
      <w:r w:rsidRPr="00325959">
        <w:rPr>
          <w:rFonts w:eastAsia="Times New Roman"/>
          <w:szCs w:val="24"/>
          <w:lang w:eastAsia="it-IT"/>
        </w:rPr>
        <w:t xml:space="preserve">conferma la necessità di consapevolezza per ogni spesa dello Stato con la raccomandazione della </w:t>
      </w:r>
      <w:r w:rsidRPr="00325959">
        <w:rPr>
          <w:rFonts w:eastAsia="Times New Roman"/>
          <w:b/>
          <w:szCs w:val="24"/>
          <w:lang w:eastAsia="it-IT"/>
        </w:rPr>
        <w:t>ricerca della soluzione che consenta di raggiungere gli obiettivi nel modo più economico</w:t>
      </w:r>
      <w:r w:rsidRPr="00325959">
        <w:rPr>
          <w:rFonts w:eastAsia="Times New Roman"/>
          <w:szCs w:val="24"/>
          <w:lang w:eastAsia="it-IT"/>
        </w:rPr>
        <w:t xml:space="preserve">. </w:t>
      </w:r>
    </w:p>
    <w:p w:rsidR="00325959" w:rsidRPr="00325959" w:rsidRDefault="00325959" w:rsidP="005C64D6">
      <w:pPr>
        <w:shd w:val="clear" w:color="auto" w:fill="FFFFFF"/>
        <w:rPr>
          <w:rFonts w:eastAsia="Times New Roman" w:cs="Arial"/>
          <w:b/>
          <w:bCs/>
          <w:sz w:val="22"/>
          <w:lang w:eastAsia="it-CH"/>
        </w:rPr>
      </w:pP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Principio dell’equilibrio finanziario</w:t>
      </w: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Art. 4</w:t>
      </w:r>
      <w:bookmarkStart w:id="8" w:name="_ftnref5"/>
      <w:bookmarkEnd w:id="8"/>
      <w:r w:rsidRPr="00325959">
        <w:rPr>
          <w:rFonts w:eastAsia="Times New Roman" w:cs="Arial"/>
          <w:b/>
          <w:bCs/>
          <w:sz w:val="22"/>
          <w:lang w:eastAsia="it-CH"/>
        </w:rPr>
        <w:t xml:space="preserve"> </w:t>
      </w:r>
      <w:r w:rsidRPr="00325959">
        <w:rPr>
          <w:rFonts w:eastAsia="Times New Roman" w:cs="Arial"/>
          <w:sz w:val="22"/>
          <w:lang w:eastAsia="it-CH"/>
        </w:rPr>
        <w:t>Il conto economico deve essere pareggiato a medio termine.</w:t>
      </w:r>
    </w:p>
    <w:p w:rsidR="00325959" w:rsidRPr="00325959" w:rsidRDefault="00325959" w:rsidP="005C64D6">
      <w:pPr>
        <w:shd w:val="clear" w:color="auto" w:fill="FFFFFF"/>
        <w:rPr>
          <w:rFonts w:eastAsia="Times New Roman" w:cs="Arial"/>
          <w:sz w:val="22"/>
          <w:lang w:eastAsia="it-CH"/>
        </w:rPr>
      </w:pP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Principio della parsimonia</w:t>
      </w:r>
    </w:p>
    <w:p w:rsidR="00263CDC" w:rsidRDefault="00325959" w:rsidP="005C64D6">
      <w:pPr>
        <w:shd w:val="clear" w:color="auto" w:fill="FFFFFF"/>
        <w:spacing w:after="60"/>
        <w:ind w:left="567" w:hanging="567"/>
        <w:rPr>
          <w:rFonts w:eastAsia="Times New Roman" w:cs="Arial"/>
          <w:b/>
          <w:bCs/>
          <w:sz w:val="22"/>
          <w:lang w:eastAsia="it-CH"/>
        </w:rPr>
      </w:pPr>
      <w:r w:rsidRPr="00325959">
        <w:rPr>
          <w:rFonts w:eastAsia="Times New Roman" w:cs="Arial"/>
          <w:b/>
          <w:bCs/>
          <w:sz w:val="22"/>
          <w:lang w:eastAsia="it-CH"/>
        </w:rPr>
        <w:t>Art. 5</w:t>
      </w:r>
      <w:r w:rsidRPr="00325959">
        <w:rPr>
          <w:rFonts w:eastAsia="Times New Roman" w:cs="Arial"/>
          <w:b/>
          <w:bCs/>
          <w:sz w:val="22"/>
          <w:lang w:eastAsia="it-CH"/>
        </w:rPr>
        <w:tab/>
      </w:r>
    </w:p>
    <w:p w:rsidR="00325959" w:rsidRPr="00325959" w:rsidRDefault="00325959" w:rsidP="005C64D6">
      <w:pPr>
        <w:shd w:val="clear" w:color="auto" w:fill="FFFFFF"/>
        <w:rPr>
          <w:rFonts w:eastAsia="Times New Roman" w:cs="Arial"/>
          <w:sz w:val="22"/>
          <w:lang w:eastAsia="it-CH"/>
        </w:rPr>
      </w:pPr>
      <w:r w:rsidRPr="00325959">
        <w:rPr>
          <w:rFonts w:eastAsia="Times New Roman" w:cs="Arial"/>
          <w:position w:val="4"/>
          <w:sz w:val="22"/>
          <w:vertAlign w:val="superscript"/>
          <w:lang w:eastAsia="it-CH"/>
        </w:rPr>
        <w:t>1</w:t>
      </w:r>
      <w:r w:rsidRPr="00325959">
        <w:rPr>
          <w:rFonts w:eastAsia="Times New Roman" w:cs="Arial"/>
          <w:sz w:val="22"/>
          <w:lang w:eastAsia="it-CH"/>
        </w:rPr>
        <w:t>Prima di procedere a una spesa devono essere esaminate la sua necessità e la sopportabilità dei costi diretti e indiretti che ne derivano.</w:t>
      </w:r>
    </w:p>
    <w:p w:rsidR="00325959" w:rsidRPr="00325959" w:rsidRDefault="00325959" w:rsidP="005C64D6">
      <w:pPr>
        <w:shd w:val="clear" w:color="auto" w:fill="FFFFFF"/>
        <w:rPr>
          <w:rFonts w:eastAsia="Times New Roman" w:cs="Arial"/>
          <w:sz w:val="22"/>
          <w:lang w:eastAsia="it-CH"/>
        </w:rPr>
      </w:pPr>
      <w:r w:rsidRPr="00325959">
        <w:rPr>
          <w:rFonts w:eastAsia="Times New Roman" w:cs="Arial"/>
          <w:position w:val="4"/>
          <w:sz w:val="22"/>
          <w:vertAlign w:val="superscript"/>
          <w:lang w:eastAsia="it-CH"/>
        </w:rPr>
        <w:t>2</w:t>
      </w:r>
      <w:r w:rsidRPr="00325959">
        <w:rPr>
          <w:rFonts w:eastAsia="Times New Roman" w:cs="Arial"/>
          <w:sz w:val="22"/>
          <w:lang w:eastAsia="it-CH"/>
        </w:rPr>
        <w:t>Le spese devono essere effettuate nell’ordine dettato dalle priorità definite dalla pianificazione, in particolare dalle linee direttive.</w:t>
      </w:r>
    </w:p>
    <w:p w:rsidR="00325959" w:rsidRPr="00325959" w:rsidRDefault="00325959" w:rsidP="005C64D6">
      <w:pPr>
        <w:shd w:val="clear" w:color="auto" w:fill="FFFFFF"/>
        <w:ind w:left="567" w:hanging="567"/>
        <w:rPr>
          <w:rFonts w:eastAsia="Times New Roman" w:cs="Arial"/>
          <w:sz w:val="22"/>
          <w:lang w:eastAsia="it-CH"/>
        </w:rPr>
      </w:pPr>
      <w:r w:rsidRPr="00325959">
        <w:rPr>
          <w:rFonts w:eastAsia="Times New Roman" w:cs="Arial"/>
          <w:position w:val="4"/>
          <w:sz w:val="22"/>
          <w:lang w:eastAsia="it-CH"/>
        </w:rPr>
        <w:t>….</w:t>
      </w:r>
    </w:p>
    <w:p w:rsidR="00325959" w:rsidRPr="00325959" w:rsidRDefault="00325959" w:rsidP="005C64D6">
      <w:pPr>
        <w:shd w:val="clear" w:color="auto" w:fill="FFFFFF"/>
        <w:rPr>
          <w:rFonts w:eastAsia="Times New Roman" w:cs="Arial"/>
          <w:sz w:val="22"/>
          <w:lang w:eastAsia="it-CH"/>
        </w:rPr>
      </w:pPr>
    </w:p>
    <w:p w:rsidR="00325959" w:rsidRPr="00325959" w:rsidRDefault="00325959" w:rsidP="005C64D6">
      <w:pPr>
        <w:shd w:val="clear" w:color="auto" w:fill="FFFFFF"/>
        <w:rPr>
          <w:rFonts w:eastAsia="Times New Roman" w:cs="Arial"/>
          <w:sz w:val="22"/>
          <w:lang w:eastAsia="it-CH"/>
        </w:rPr>
      </w:pPr>
      <w:r w:rsidRPr="00325959">
        <w:rPr>
          <w:rFonts w:eastAsia="Times New Roman" w:cs="Arial"/>
          <w:b/>
          <w:bCs/>
          <w:sz w:val="22"/>
          <w:lang w:eastAsia="it-CH"/>
        </w:rPr>
        <w:t>Principio dell’economicità</w:t>
      </w:r>
    </w:p>
    <w:p w:rsidR="00263CDC" w:rsidRDefault="00325959" w:rsidP="005C64D6">
      <w:pPr>
        <w:shd w:val="clear" w:color="auto" w:fill="FFFFFF"/>
        <w:spacing w:after="60"/>
        <w:ind w:left="567" w:hanging="567"/>
        <w:rPr>
          <w:rFonts w:eastAsia="Times New Roman" w:cs="Arial"/>
          <w:b/>
          <w:bCs/>
          <w:sz w:val="22"/>
          <w:lang w:eastAsia="it-CH"/>
        </w:rPr>
      </w:pPr>
      <w:r w:rsidRPr="00325959">
        <w:rPr>
          <w:rFonts w:eastAsia="Times New Roman" w:cs="Arial"/>
          <w:b/>
          <w:bCs/>
          <w:sz w:val="22"/>
          <w:lang w:eastAsia="it-CH"/>
        </w:rPr>
        <w:t xml:space="preserve">Art. 6 </w:t>
      </w:r>
    </w:p>
    <w:p w:rsidR="00325959" w:rsidRPr="00325959" w:rsidRDefault="00325959" w:rsidP="005C64D6">
      <w:pPr>
        <w:shd w:val="clear" w:color="auto" w:fill="FFFFFF"/>
        <w:rPr>
          <w:rFonts w:eastAsia="Times New Roman" w:cs="Arial"/>
          <w:sz w:val="22"/>
          <w:lang w:eastAsia="it-CH"/>
        </w:rPr>
      </w:pPr>
      <w:r w:rsidRPr="00325959">
        <w:rPr>
          <w:rFonts w:eastAsia="Times New Roman" w:cs="Arial"/>
          <w:sz w:val="22"/>
          <w:lang w:eastAsia="it-CH"/>
        </w:rPr>
        <w:t>Per ogni decisione deve essere scelta la variante che permetta di raggiungere gli obiettivi prefissati nel modo più economico.</w:t>
      </w:r>
    </w:p>
    <w:p w:rsidR="00325959" w:rsidRPr="00325959" w:rsidRDefault="00325959" w:rsidP="005C64D6">
      <w:pPr>
        <w:rPr>
          <w:rFonts w:eastAsia="Times New Roman"/>
          <w:szCs w:val="20"/>
          <w:lang w:eastAsia="it-IT"/>
        </w:rPr>
      </w:pPr>
    </w:p>
    <w:p w:rsidR="00325959" w:rsidRDefault="00325959" w:rsidP="005C64D6">
      <w:pPr>
        <w:rPr>
          <w:rFonts w:eastAsia="Times New Roman"/>
          <w:szCs w:val="24"/>
          <w:lang w:eastAsia="it-IT"/>
        </w:rPr>
      </w:pPr>
      <w:r w:rsidRPr="00325959">
        <w:rPr>
          <w:rFonts w:eastAsia="Times New Roman"/>
          <w:szCs w:val="24"/>
          <w:lang w:eastAsia="it-IT"/>
        </w:rPr>
        <w:t xml:space="preserve">Questa premessa giuridica consente di ribadire come le nostre istituzioni </w:t>
      </w:r>
      <w:r w:rsidRPr="00325959">
        <w:rPr>
          <w:rFonts w:eastAsia="Times New Roman"/>
          <w:b/>
          <w:szCs w:val="24"/>
          <w:lang w:eastAsia="it-IT"/>
        </w:rPr>
        <w:t>dispongano delle basi normative che ribadiscono la necessità di una gestione efficacie e efficiente delle risorse dello Stato</w:t>
      </w:r>
      <w:r w:rsidRPr="00325959">
        <w:rPr>
          <w:rFonts w:eastAsia="Times New Roman"/>
          <w:szCs w:val="24"/>
          <w:lang w:eastAsia="it-IT"/>
        </w:rPr>
        <w:t xml:space="preserve"> e quindi delle finanze delle cittadine e dei cittadini di questa nostra Repubblica. </w:t>
      </w:r>
    </w:p>
    <w:p w:rsidR="00E45755" w:rsidRPr="00325959" w:rsidRDefault="00E45755" w:rsidP="005C64D6">
      <w:pPr>
        <w:rPr>
          <w:rFonts w:eastAsia="Times New Roman"/>
          <w:szCs w:val="24"/>
          <w:lang w:eastAsia="it-IT"/>
        </w:rPr>
      </w:pPr>
    </w:p>
    <w:p w:rsidR="00325959" w:rsidRPr="00325959" w:rsidRDefault="00325959" w:rsidP="005C64D6">
      <w:pPr>
        <w:rPr>
          <w:rFonts w:eastAsia="Times New Roman"/>
          <w:szCs w:val="24"/>
          <w:lang w:eastAsia="it-IT"/>
        </w:rPr>
      </w:pPr>
      <w:r w:rsidRPr="00325959">
        <w:rPr>
          <w:rFonts w:eastAsia="Times New Roman"/>
          <w:szCs w:val="24"/>
          <w:lang w:eastAsia="it-IT"/>
        </w:rPr>
        <w:t xml:space="preserve">Al Parlamento è altrettanto utile ricordare che la conduzione dell’Amministrazione cantonale è compito precipuo del Consiglio di Stato mentre al Gran Consiglio spetta il compito di stabilire, e semmai adeguare, le basi legali affinché si possa favorire il miglior rispetto possibile dei principi costituzionali che confermano, come abbiamo visto, l’importanza della </w:t>
      </w:r>
      <w:r w:rsidRPr="00325959">
        <w:rPr>
          <w:rFonts w:eastAsia="Times New Roman"/>
          <w:b/>
          <w:szCs w:val="24"/>
          <w:lang w:eastAsia="it-IT"/>
        </w:rPr>
        <w:t>parsimonia</w:t>
      </w:r>
      <w:r w:rsidRPr="00325959">
        <w:rPr>
          <w:rFonts w:eastAsia="Times New Roman"/>
          <w:szCs w:val="24"/>
          <w:lang w:eastAsia="it-IT"/>
        </w:rPr>
        <w:t xml:space="preserve"> e dell</w:t>
      </w:r>
      <w:r w:rsidRPr="00325959">
        <w:rPr>
          <w:rFonts w:eastAsia="Times New Roman"/>
          <w:b/>
          <w:szCs w:val="24"/>
          <w:lang w:eastAsia="it-IT"/>
        </w:rPr>
        <w:t>’economicità</w:t>
      </w:r>
      <w:r w:rsidRPr="00325959">
        <w:rPr>
          <w:rFonts w:eastAsia="Times New Roman"/>
          <w:szCs w:val="24"/>
          <w:lang w:eastAsia="it-IT"/>
        </w:rPr>
        <w:t xml:space="preserve"> della gestione dei servizi dello Stato. </w:t>
      </w:r>
    </w:p>
    <w:p w:rsidR="00325959" w:rsidRDefault="00325959" w:rsidP="005C64D6">
      <w:pPr>
        <w:rPr>
          <w:rFonts w:eastAsia="Times New Roman"/>
          <w:szCs w:val="20"/>
          <w:lang w:eastAsia="it-IT"/>
        </w:rPr>
      </w:pPr>
      <w:r w:rsidRPr="00325959">
        <w:rPr>
          <w:rFonts w:eastAsia="Times New Roman"/>
          <w:szCs w:val="20"/>
          <w:lang w:eastAsia="it-IT"/>
        </w:rPr>
        <w:t>Ma quali altre condizioni possano favorire l’attuazione di questo approccio e la concretizzazione di questi auspici?</w:t>
      </w:r>
    </w:p>
    <w:p w:rsidR="00E45755" w:rsidRPr="00325959" w:rsidRDefault="00E45755" w:rsidP="005C64D6">
      <w:pPr>
        <w:rPr>
          <w:rFonts w:eastAsia="Times New Roman"/>
          <w:szCs w:val="20"/>
          <w:lang w:eastAsia="it-IT"/>
        </w:rPr>
      </w:pPr>
    </w:p>
    <w:p w:rsidR="00325959" w:rsidRDefault="00325959" w:rsidP="005C64D6">
      <w:pPr>
        <w:rPr>
          <w:rFonts w:eastAsia="Times New Roman"/>
          <w:szCs w:val="20"/>
          <w:lang w:eastAsia="it-IT"/>
        </w:rPr>
      </w:pPr>
      <w:r w:rsidRPr="00325959">
        <w:rPr>
          <w:rFonts w:eastAsia="Times New Roman"/>
          <w:szCs w:val="20"/>
          <w:lang w:eastAsia="it-IT"/>
        </w:rPr>
        <w:t>L’ingrediente fondamentale e irrinunciabile è favorire una gestione dinamica e flessibile che permetta la crescita di un certo spirito imprenditoriale all’interno dei servizi, una “</w:t>
      </w:r>
      <w:r w:rsidRPr="00325959">
        <w:rPr>
          <w:rFonts w:eastAsia="Times New Roman"/>
          <w:b/>
          <w:szCs w:val="20"/>
          <w:lang w:eastAsia="it-IT"/>
        </w:rPr>
        <w:t>cultura aziendale</w:t>
      </w:r>
      <w:r w:rsidRPr="00325959">
        <w:rPr>
          <w:rFonts w:eastAsia="Times New Roman"/>
          <w:szCs w:val="20"/>
          <w:lang w:eastAsia="it-IT"/>
        </w:rPr>
        <w:t xml:space="preserve">” diversa, che preveda degli incentivi atti a migliorare in modo continuativo i processi produttivi proprio in quell’ottica di gestione parsimoniosa ribadita nella nostra Costituzione e dalla citata LGF. </w:t>
      </w:r>
    </w:p>
    <w:p w:rsidR="00E45755" w:rsidRPr="00325959" w:rsidRDefault="00E45755" w:rsidP="005C64D6">
      <w:pPr>
        <w:rPr>
          <w:rFonts w:eastAsia="Times New Roman"/>
          <w:szCs w:val="20"/>
          <w:lang w:eastAsia="it-IT"/>
        </w:rPr>
      </w:pPr>
    </w:p>
    <w:p w:rsidR="00325959" w:rsidRDefault="00325959" w:rsidP="005C64D6">
      <w:pPr>
        <w:rPr>
          <w:rFonts w:eastAsia="Times New Roman"/>
          <w:szCs w:val="20"/>
          <w:lang w:eastAsia="it-IT"/>
        </w:rPr>
      </w:pPr>
      <w:r w:rsidRPr="00325959">
        <w:rPr>
          <w:rFonts w:eastAsia="Times New Roman"/>
          <w:szCs w:val="24"/>
          <w:lang w:eastAsia="it-IT"/>
        </w:rPr>
        <w:lastRenderedPageBreak/>
        <w:t xml:space="preserve">Già nel </w:t>
      </w:r>
      <w:r w:rsidRPr="00325959">
        <w:rPr>
          <w:rFonts w:eastAsia="Times New Roman"/>
          <w:szCs w:val="24"/>
          <w:u w:val="single"/>
          <w:lang w:val="it-IT" w:eastAsia="it-IT"/>
        </w:rPr>
        <w:t>dicembre 2014</w:t>
      </w:r>
      <w:r w:rsidRPr="00325959">
        <w:rPr>
          <w:rFonts w:eastAsia="Times New Roman"/>
          <w:szCs w:val="24"/>
          <w:lang w:val="it-IT" w:eastAsia="it-IT"/>
        </w:rPr>
        <w:t xml:space="preserve"> intervenendo in GC in merito al modello dello della Unità amministrative autonome, il relatore ricordava che ci si dovrebbe impegnare maggiormente affinché anche in Ticino fosse possibile applicare il principio espresso dal </w:t>
      </w:r>
      <w:r w:rsidR="008F7A1D">
        <w:rPr>
          <w:rFonts w:eastAsia="Times New Roman"/>
          <w:szCs w:val="24"/>
          <w:lang w:val="it-IT" w:eastAsia="it-IT"/>
        </w:rPr>
        <w:t>prof.</w:t>
      </w:r>
      <w:r w:rsidR="00E45755">
        <w:rPr>
          <w:rFonts w:eastAsia="Times New Roman" w:cs="Arial"/>
          <w:szCs w:val="24"/>
          <w:lang w:eastAsia="it-IT"/>
        </w:rPr>
        <w:t xml:space="preserve"> </w:t>
      </w:r>
      <w:r w:rsidR="00263CDC">
        <w:rPr>
          <w:rFonts w:eastAsia="Times New Roman" w:cs="Arial"/>
          <w:szCs w:val="24"/>
          <w:lang w:eastAsia="it-IT"/>
        </w:rPr>
        <w:t>d</w:t>
      </w:r>
      <w:r w:rsidRPr="00325959">
        <w:rPr>
          <w:rFonts w:eastAsia="Times New Roman" w:cs="Arial"/>
          <w:szCs w:val="24"/>
          <w:lang w:eastAsia="it-IT"/>
        </w:rPr>
        <w:t>r.</w:t>
      </w:r>
      <w:r w:rsidR="00E45755">
        <w:rPr>
          <w:rFonts w:eastAsia="Times New Roman" w:cs="Arial"/>
          <w:szCs w:val="24"/>
          <w:lang w:eastAsia="it-IT"/>
        </w:rPr>
        <w:t xml:space="preserve"> </w:t>
      </w:r>
      <w:r w:rsidRPr="00325959">
        <w:rPr>
          <w:rFonts w:eastAsia="Times New Roman" w:cs="Arial"/>
          <w:szCs w:val="24"/>
          <w:lang w:eastAsia="it-IT"/>
        </w:rPr>
        <w:t>P.</w:t>
      </w:r>
      <w:r w:rsidR="00E45755">
        <w:rPr>
          <w:rFonts w:eastAsia="Times New Roman" w:cs="Arial"/>
          <w:szCs w:val="24"/>
          <w:lang w:eastAsia="it-IT"/>
        </w:rPr>
        <w:t xml:space="preserve"> </w:t>
      </w:r>
      <w:r w:rsidRPr="00325959">
        <w:rPr>
          <w:rFonts w:eastAsia="Times New Roman" w:cs="Arial"/>
          <w:szCs w:val="24"/>
          <w:lang w:eastAsia="it-IT"/>
        </w:rPr>
        <w:t xml:space="preserve">Mastronardi nel 1998, quindi oltre 20 anni fa, allorquando in Svizzera di iniziò a riflettere sulla necessità di promuovere nuovi modelli di gestione nel settore pubblico: </w:t>
      </w:r>
      <w:r w:rsidRPr="00325959">
        <w:rPr>
          <w:rFonts w:eastAsia="Times New Roman" w:cs="Arial"/>
          <w:i/>
          <w:iCs/>
          <w:szCs w:val="24"/>
          <w:lang w:eastAsia="it-IT"/>
        </w:rPr>
        <w:t>“Non vi sono settori pubblici in cui possano valere esclusivamente criteri economici, come non ve ne sono in cui non debbano valere i principi di una gestione efficacie, efficiente ed economica”.</w:t>
      </w:r>
      <w:r w:rsidRPr="00325959">
        <w:rPr>
          <w:rFonts w:eastAsia="Times New Roman"/>
          <w:szCs w:val="20"/>
          <w:lang w:eastAsia="it-IT"/>
        </w:rPr>
        <w:t xml:space="preserve"> </w:t>
      </w:r>
    </w:p>
    <w:p w:rsidR="00E45755" w:rsidRPr="00325959" w:rsidRDefault="00E45755" w:rsidP="005C64D6">
      <w:pPr>
        <w:rPr>
          <w:rFonts w:eastAsia="Times New Roman"/>
          <w:szCs w:val="20"/>
          <w:lang w:eastAsia="it-IT"/>
        </w:rPr>
      </w:pPr>
    </w:p>
    <w:p w:rsidR="00325959" w:rsidRDefault="00325959" w:rsidP="005C64D6">
      <w:pPr>
        <w:rPr>
          <w:rFonts w:eastAsia="Times New Roman"/>
          <w:szCs w:val="20"/>
          <w:lang w:eastAsia="it-IT"/>
        </w:rPr>
      </w:pPr>
      <w:r w:rsidRPr="00325959">
        <w:rPr>
          <w:rFonts w:eastAsia="Times New Roman"/>
          <w:szCs w:val="20"/>
          <w:lang w:eastAsia="it-IT"/>
        </w:rPr>
        <w:t>Gli elementi che consentono di raggiungere questo auspicio sono ormai consolidati e applicati da molto tempo in molte amministrazioni pubbliche svizzere e estere. Utile precisare e sottolineare in questo contesto che l’applicazione di questo principio sacrosanto non significa obbligatoriamente privatizzazioni o esternalizzazione di servizi. Basti constatare che in Svizzera non vi sono state privatizzazioni selvagge rispettivamente che l’esternalizzazione di servizi pubblici è stata estremamente prudente e semmai circoscritta ad ambiti precisi e particolari.</w:t>
      </w:r>
    </w:p>
    <w:p w:rsidR="00E45755" w:rsidRPr="00325959" w:rsidRDefault="00E45755" w:rsidP="005C64D6">
      <w:pPr>
        <w:rPr>
          <w:rFonts w:eastAsia="Times New Roman"/>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 xml:space="preserve">Nel caso oggetto del presente messaggio si tratta di permettere all’amministrazione cantonale di evolvere in modo positivo e innovativo verso modelli di gestione virtuosi. </w:t>
      </w:r>
    </w:p>
    <w:p w:rsidR="00325959" w:rsidRDefault="00325959" w:rsidP="005C64D6">
      <w:pPr>
        <w:rPr>
          <w:rFonts w:eastAsia="Times New Roman"/>
          <w:szCs w:val="20"/>
          <w:lang w:eastAsia="it-IT"/>
        </w:rPr>
      </w:pPr>
      <w:r w:rsidRPr="00325959">
        <w:rPr>
          <w:rFonts w:eastAsia="Times New Roman"/>
          <w:szCs w:val="20"/>
          <w:lang w:eastAsia="it-IT"/>
        </w:rPr>
        <w:t xml:space="preserve">La premessa chiave è la definizione in modo esplicito degli </w:t>
      </w:r>
      <w:r w:rsidRPr="00325959">
        <w:rPr>
          <w:rFonts w:eastAsia="Times New Roman"/>
          <w:b/>
          <w:szCs w:val="20"/>
          <w:lang w:eastAsia="it-IT"/>
        </w:rPr>
        <w:t>obiettivi</w:t>
      </w:r>
      <w:r w:rsidRPr="00325959">
        <w:rPr>
          <w:rFonts w:eastAsia="Times New Roman"/>
          <w:szCs w:val="20"/>
          <w:lang w:eastAsia="it-IT"/>
        </w:rPr>
        <w:t xml:space="preserve"> da perseguire. Beninteso innanzitutto a livello governativo e successivamente declinandoli a livello dipartimentale e nelle diverse unità amministrative. Obiettivi che devono essere accompagnati in modo altrettanto esplicito da </w:t>
      </w:r>
      <w:r w:rsidRPr="00325959">
        <w:rPr>
          <w:rFonts w:eastAsia="Times New Roman"/>
          <w:b/>
          <w:szCs w:val="20"/>
          <w:lang w:eastAsia="it-IT"/>
        </w:rPr>
        <w:t>indicatori di carattere qualitativo, quantitativo e finanziario</w:t>
      </w:r>
      <w:r w:rsidRPr="00325959">
        <w:rPr>
          <w:rFonts w:eastAsia="Times New Roman"/>
          <w:szCs w:val="20"/>
          <w:lang w:eastAsia="it-IT"/>
        </w:rPr>
        <w:t xml:space="preserve">. </w:t>
      </w:r>
    </w:p>
    <w:p w:rsidR="00E45755" w:rsidRPr="00325959" w:rsidRDefault="00E45755" w:rsidP="005C64D6">
      <w:pPr>
        <w:rPr>
          <w:rFonts w:eastAsia="Times New Roman"/>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 xml:space="preserve">Il modello di gestione pubblica denominato UAA è sicuramente una possibile risposta a questa sfida ma purtroppo bisogna constatare come finora la sua applicazione nell’Amministrazione cantonale è stata molto limitata e modesta. </w:t>
      </w:r>
    </w:p>
    <w:p w:rsidR="00325959" w:rsidRPr="00325959" w:rsidRDefault="00325959" w:rsidP="005C64D6">
      <w:pPr>
        <w:rPr>
          <w:rFonts w:eastAsia="Times New Roman"/>
          <w:szCs w:val="20"/>
          <w:lang w:eastAsia="it-IT"/>
        </w:rPr>
      </w:pPr>
    </w:p>
    <w:p w:rsidR="00325959" w:rsidRPr="00325959" w:rsidRDefault="00A5182A" w:rsidP="005C64D6">
      <w:pPr>
        <w:pStyle w:val="Titolo2"/>
        <w:numPr>
          <w:ilvl w:val="0"/>
          <w:numId w:val="0"/>
        </w:numPr>
        <w:tabs>
          <w:tab w:val="left" w:pos="567"/>
        </w:tabs>
        <w:spacing w:before="0" w:after="120"/>
        <w:jc w:val="both"/>
        <w:rPr>
          <w:lang w:val="it-IT" w:eastAsia="it-IT"/>
        </w:rPr>
      </w:pPr>
      <w:bookmarkStart w:id="9" w:name="_Toc95234624"/>
      <w:r>
        <w:rPr>
          <w:lang w:val="it-IT" w:eastAsia="it-IT"/>
        </w:rPr>
        <w:t>3.2</w:t>
      </w:r>
      <w:r>
        <w:rPr>
          <w:lang w:val="it-IT" w:eastAsia="it-IT"/>
        </w:rPr>
        <w:tab/>
      </w:r>
      <w:r w:rsidR="00325959" w:rsidRPr="00325959">
        <w:rPr>
          <w:lang w:val="it-IT" w:eastAsia="it-IT"/>
        </w:rPr>
        <w:t>Basi legali specifiche</w:t>
      </w:r>
      <w:bookmarkEnd w:id="9"/>
    </w:p>
    <w:p w:rsidR="00325959" w:rsidRPr="00325959" w:rsidRDefault="00325959" w:rsidP="005C64D6">
      <w:pPr>
        <w:rPr>
          <w:rFonts w:eastAsia="Times New Roman"/>
          <w:szCs w:val="20"/>
          <w:lang w:eastAsia="it-IT"/>
        </w:rPr>
      </w:pPr>
      <w:r w:rsidRPr="00325959">
        <w:rPr>
          <w:rFonts w:eastAsia="Times New Roman"/>
          <w:szCs w:val="20"/>
          <w:lang w:eastAsia="it-IT"/>
        </w:rPr>
        <w:t xml:space="preserve">Abbiamo già citato d’entrata il messaggio </w:t>
      </w:r>
      <w:r w:rsidR="008F7A1D">
        <w:rPr>
          <w:rFonts w:eastAsia="Times New Roman"/>
          <w:szCs w:val="20"/>
          <w:lang w:eastAsia="it-IT"/>
        </w:rPr>
        <w:t xml:space="preserve">n. </w:t>
      </w:r>
      <w:r w:rsidRPr="00325959">
        <w:rPr>
          <w:rFonts w:eastAsia="Times New Roman"/>
          <w:szCs w:val="20"/>
          <w:lang w:eastAsia="it-IT"/>
        </w:rPr>
        <w:t>6716 e relativo rapporto approvato dal Gran Consiglio il 12.10.2015. (Legge sul finanziamento tramite il budget globale e il mandato di prestazione delle unità amministrative autonome, LUAA).</w:t>
      </w:r>
    </w:p>
    <w:p w:rsidR="00325959" w:rsidRPr="00325959" w:rsidRDefault="00325959" w:rsidP="005C64D6">
      <w:pPr>
        <w:rPr>
          <w:rFonts w:eastAsia="Times New Roman"/>
          <w:szCs w:val="20"/>
          <w:lang w:eastAsia="it-IT"/>
        </w:rPr>
      </w:pPr>
      <w:r w:rsidRPr="00325959">
        <w:rPr>
          <w:rFonts w:eastAsia="Times New Roman"/>
          <w:szCs w:val="20"/>
          <w:lang w:eastAsia="it-IT"/>
        </w:rPr>
        <w:t>Il messaggio in essere propone una correzione rispetto alla base legale attuale in particolare ampliando la dimensione massima del fondo di capitalizzazione del budget globale al 20% ritenendo l’attuale limite del 10% eccessivamente ridotto.</w:t>
      </w:r>
    </w:p>
    <w:p w:rsidR="00325959" w:rsidRPr="00325959" w:rsidRDefault="00325959" w:rsidP="005C64D6">
      <w:pPr>
        <w:spacing w:after="120"/>
        <w:rPr>
          <w:rFonts w:eastAsia="Times New Roman"/>
          <w:szCs w:val="20"/>
          <w:lang w:eastAsia="it-IT"/>
        </w:rPr>
      </w:pPr>
      <w:r w:rsidRPr="00325959">
        <w:rPr>
          <w:rFonts w:eastAsia="Times New Roman"/>
          <w:szCs w:val="20"/>
          <w:lang w:eastAsia="it-IT"/>
        </w:rPr>
        <w:t xml:space="preserve">Sul tema è utile riprendere le riflessioni del citato rapporto al messaggio </w:t>
      </w:r>
      <w:r w:rsidR="00A5182A">
        <w:rPr>
          <w:rFonts w:eastAsia="Times New Roman"/>
          <w:szCs w:val="20"/>
          <w:lang w:eastAsia="it-IT"/>
        </w:rPr>
        <w:t xml:space="preserve">n. </w:t>
      </w:r>
      <w:r w:rsidRPr="00325959">
        <w:rPr>
          <w:rFonts w:eastAsia="Times New Roman"/>
          <w:szCs w:val="20"/>
          <w:lang w:eastAsia="it-IT"/>
        </w:rPr>
        <w:t>6716.</w:t>
      </w:r>
    </w:p>
    <w:p w:rsidR="00325959" w:rsidRPr="00325959" w:rsidRDefault="00325959" w:rsidP="005C64D6">
      <w:pPr>
        <w:rPr>
          <w:rFonts w:eastAsia="Times New Roman"/>
          <w:i/>
          <w:sz w:val="22"/>
          <w:szCs w:val="24"/>
          <w:lang w:eastAsia="it-IT"/>
        </w:rPr>
      </w:pPr>
      <w:r w:rsidRPr="00325959">
        <w:rPr>
          <w:rFonts w:eastAsia="Times New Roman"/>
          <w:i/>
          <w:sz w:val="22"/>
          <w:szCs w:val="24"/>
          <w:lang w:eastAsia="it-IT"/>
        </w:rPr>
        <w:t>“La Commissione ritiene il limite fissato al 20% del budget globale per il fondo di capitalizzazione eccessivo e propone un suo dimezzamento al 10%.</w:t>
      </w:r>
    </w:p>
    <w:p w:rsidR="00325959" w:rsidRPr="00325959" w:rsidRDefault="00325959" w:rsidP="005C64D6">
      <w:pPr>
        <w:rPr>
          <w:rFonts w:eastAsia="Times New Roman"/>
          <w:i/>
          <w:sz w:val="22"/>
          <w:szCs w:val="24"/>
          <w:lang w:eastAsia="it-IT"/>
        </w:rPr>
      </w:pPr>
    </w:p>
    <w:p w:rsidR="00325959" w:rsidRPr="00325959" w:rsidRDefault="00325959" w:rsidP="005C64D6">
      <w:pPr>
        <w:rPr>
          <w:rFonts w:eastAsia="Times New Roman"/>
          <w:i/>
          <w:sz w:val="22"/>
          <w:szCs w:val="24"/>
          <w:lang w:eastAsia="it-IT"/>
        </w:rPr>
      </w:pPr>
      <w:r w:rsidRPr="00325959">
        <w:rPr>
          <w:rFonts w:eastAsia="Times New Roman"/>
          <w:i/>
          <w:sz w:val="22"/>
          <w:szCs w:val="24"/>
          <w:lang w:eastAsia="it-IT"/>
        </w:rPr>
        <w:t>I motivi di questa riduzione sono:</w:t>
      </w:r>
    </w:p>
    <w:p w:rsidR="00325959" w:rsidRPr="00325959" w:rsidRDefault="00325959" w:rsidP="005C64D6">
      <w:pPr>
        <w:numPr>
          <w:ilvl w:val="0"/>
          <w:numId w:val="24"/>
        </w:numPr>
        <w:spacing w:before="80"/>
        <w:ind w:left="284" w:hanging="284"/>
        <w:rPr>
          <w:rFonts w:eastAsia="Times New Roman"/>
          <w:i/>
          <w:sz w:val="22"/>
          <w:szCs w:val="24"/>
          <w:lang w:eastAsia="it-IT"/>
        </w:rPr>
      </w:pPr>
      <w:r w:rsidRPr="00325959">
        <w:rPr>
          <w:rFonts w:eastAsia="Times New Roman"/>
          <w:i/>
          <w:sz w:val="22"/>
          <w:szCs w:val="24"/>
          <w:lang w:eastAsia="it-IT"/>
        </w:rPr>
        <w:t>Un servizio può aspirare ad essere UAA se raggiunge determinate dimensioni. Facilmente l’UAA in questione raggiunge quindi un credito globale significativo e l’accumulo di un fondo di capitalizzazione del 20% può diventare addirittura controproducente nella gestione finanziaria del servizio permettendo al Dipartimento in questione, situazioni già successe, di attingere al fondo per operazioni di risparmio. È una situazione che deve essere evitata proprio perché in contrasto con i principi cardini del modello orientati a premiare le unità che raggiungono gli obiettivi e migliorano la propria efficienza.</w:t>
      </w:r>
    </w:p>
    <w:p w:rsidR="00325959" w:rsidRPr="00325959" w:rsidRDefault="00325959" w:rsidP="005C64D6">
      <w:pPr>
        <w:numPr>
          <w:ilvl w:val="0"/>
          <w:numId w:val="24"/>
        </w:numPr>
        <w:spacing w:before="80"/>
        <w:ind w:left="284" w:hanging="284"/>
        <w:rPr>
          <w:rFonts w:eastAsia="Times New Roman"/>
          <w:i/>
          <w:sz w:val="22"/>
          <w:szCs w:val="24"/>
          <w:lang w:eastAsia="it-IT"/>
        </w:rPr>
      </w:pPr>
      <w:r w:rsidRPr="00325959">
        <w:rPr>
          <w:rFonts w:eastAsia="Times New Roman"/>
          <w:i/>
          <w:sz w:val="22"/>
          <w:szCs w:val="24"/>
          <w:lang w:eastAsia="it-IT"/>
        </w:rPr>
        <w:lastRenderedPageBreak/>
        <w:t xml:space="preserve">Il fondo di capitalizzazione non deve diventare un fondo tale da permettere al servizio di assumere nuovi compiti o rischi eccessivi ma rappresentare invece un fondo che possa contribuire al miglioramento del servizio a favore degli utenti. </w:t>
      </w:r>
    </w:p>
    <w:p w:rsidR="00325959" w:rsidRPr="00325959" w:rsidRDefault="00325959" w:rsidP="005C64D6">
      <w:pPr>
        <w:numPr>
          <w:ilvl w:val="0"/>
          <w:numId w:val="24"/>
        </w:numPr>
        <w:spacing w:before="80"/>
        <w:ind w:left="284" w:hanging="284"/>
        <w:rPr>
          <w:rFonts w:eastAsia="Times New Roman"/>
          <w:i/>
          <w:sz w:val="22"/>
          <w:szCs w:val="24"/>
          <w:lang w:eastAsia="it-IT"/>
        </w:rPr>
      </w:pPr>
      <w:r w:rsidRPr="00325959">
        <w:rPr>
          <w:rFonts w:eastAsia="Times New Roman"/>
          <w:i/>
          <w:sz w:val="22"/>
          <w:szCs w:val="24"/>
          <w:lang w:eastAsia="it-IT"/>
        </w:rPr>
        <w:t>Nel caso in cui il servizio UAA ha necessità di nuovi investimenti o di un ampliamento particolarmente significativo della propria attività, ciò che con un fondo del 20% del proprio budget globale diventa manifestamente possibile, allora devono essere percorsi i classici canali istituzionali. “</w:t>
      </w:r>
    </w:p>
    <w:p w:rsidR="00325959" w:rsidRPr="00325959" w:rsidRDefault="00325959" w:rsidP="005C64D6">
      <w:pPr>
        <w:rPr>
          <w:rFonts w:eastAsia="Times New Roman"/>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 xml:space="preserve">Visto che il Consiglio di Stato propone di correggere questo limite e portarlo al 20% significa che l’esperienza di questi anni consiglia questa correzione per favorire un maggior margine di manovra all’Unità amministrativa. </w:t>
      </w:r>
    </w:p>
    <w:p w:rsidR="00325959" w:rsidRPr="00325959" w:rsidRDefault="00325959" w:rsidP="005C64D6">
      <w:pPr>
        <w:rPr>
          <w:rFonts w:eastAsia="Times New Roman"/>
          <w:szCs w:val="20"/>
          <w:lang w:eastAsia="it-IT"/>
        </w:rPr>
      </w:pPr>
      <w:r w:rsidRPr="00325959">
        <w:rPr>
          <w:rFonts w:eastAsia="Times New Roman"/>
          <w:szCs w:val="20"/>
          <w:lang w:eastAsia="it-IT"/>
        </w:rPr>
        <w:t>È stata una richiesta esplicita del gruppo tecnico che accompagna la trasformazione e l’applicazione del modello UAA che tuttavia ha anche espresso l’esplicito auspico che il fondo sia precluso a operazioni finanziarie per eventuali risanamenti delle finanze cantonali.</w:t>
      </w:r>
    </w:p>
    <w:p w:rsidR="00325959" w:rsidRPr="00325959" w:rsidRDefault="00325959" w:rsidP="005C64D6">
      <w:pPr>
        <w:rPr>
          <w:rFonts w:eastAsia="Times New Roman"/>
          <w:szCs w:val="20"/>
          <w:lang w:eastAsia="it-IT"/>
        </w:rPr>
      </w:pPr>
    </w:p>
    <w:p w:rsidR="00325959" w:rsidRPr="00325959" w:rsidRDefault="00A5182A" w:rsidP="005C64D6">
      <w:pPr>
        <w:pStyle w:val="Titolo2"/>
        <w:numPr>
          <w:ilvl w:val="0"/>
          <w:numId w:val="0"/>
        </w:numPr>
        <w:tabs>
          <w:tab w:val="left" w:pos="567"/>
        </w:tabs>
        <w:spacing w:before="0" w:after="120"/>
        <w:jc w:val="both"/>
        <w:rPr>
          <w:lang w:val="it-IT" w:eastAsia="it-IT"/>
        </w:rPr>
      </w:pPr>
      <w:bookmarkStart w:id="10" w:name="_Toc95234625"/>
      <w:r>
        <w:rPr>
          <w:lang w:val="it-IT" w:eastAsia="it-IT"/>
        </w:rPr>
        <w:t>3.</w:t>
      </w:r>
      <w:r w:rsidR="00985A80">
        <w:rPr>
          <w:lang w:val="it-IT" w:eastAsia="it-IT"/>
        </w:rPr>
        <w:t>3</w:t>
      </w:r>
      <w:r>
        <w:rPr>
          <w:lang w:val="it-IT" w:eastAsia="it-IT"/>
        </w:rPr>
        <w:tab/>
      </w:r>
      <w:r w:rsidR="00325959" w:rsidRPr="00325959">
        <w:rPr>
          <w:lang w:val="it-IT" w:eastAsia="it-IT"/>
        </w:rPr>
        <w:t>Modello per i Comuni</w:t>
      </w:r>
      <w:bookmarkEnd w:id="10"/>
    </w:p>
    <w:p w:rsidR="00325959" w:rsidRDefault="00325959" w:rsidP="005C64D6">
      <w:pPr>
        <w:rPr>
          <w:rFonts w:eastAsia="Times New Roman"/>
          <w:szCs w:val="20"/>
          <w:lang w:eastAsia="it-IT"/>
        </w:rPr>
      </w:pPr>
      <w:r w:rsidRPr="00325959">
        <w:rPr>
          <w:rFonts w:eastAsia="Times New Roman"/>
          <w:szCs w:val="20"/>
          <w:lang w:eastAsia="it-IT"/>
        </w:rPr>
        <w:t>È forse utile ricordare che un modello simile esiste anche sul piano comunale per la gestione di servizi comunali. Infatti mutatis mutandis il modello di Ente autonomo di diritto comunale previsto dalla LOC all’art</w:t>
      </w:r>
      <w:r w:rsidR="008F7A1D">
        <w:rPr>
          <w:rFonts w:eastAsia="Times New Roman"/>
          <w:szCs w:val="20"/>
          <w:lang w:eastAsia="it-IT"/>
        </w:rPr>
        <w:t>.</w:t>
      </w:r>
      <w:r w:rsidRPr="00325959">
        <w:rPr>
          <w:rFonts w:eastAsia="Times New Roman"/>
          <w:szCs w:val="20"/>
          <w:lang w:eastAsia="it-IT"/>
        </w:rPr>
        <w:t xml:space="preserve"> 193c e ss favorisce l’applicazione di principi simili, ossia:</w:t>
      </w:r>
    </w:p>
    <w:p w:rsidR="00A5182A" w:rsidRPr="00325959" w:rsidRDefault="00A5182A" w:rsidP="005C64D6">
      <w:pPr>
        <w:rPr>
          <w:rFonts w:eastAsia="Times New Roman"/>
          <w:szCs w:val="20"/>
          <w:lang w:eastAsia="it-IT"/>
        </w:rPr>
      </w:pP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b/>
          <w:bCs/>
          <w:color w:val="000000"/>
          <w:sz w:val="22"/>
          <w:lang w:eastAsia="it-CH"/>
        </w:rPr>
        <w:t>c) mandati di prestazione</w:t>
      </w:r>
    </w:p>
    <w:p w:rsidR="00263CDC" w:rsidRDefault="00325959" w:rsidP="005C64D6">
      <w:pPr>
        <w:shd w:val="clear" w:color="auto" w:fill="FFFFFF"/>
        <w:spacing w:after="60"/>
        <w:ind w:left="1134" w:hanging="1134"/>
        <w:rPr>
          <w:rFonts w:eastAsia="Times New Roman" w:cs="Arial"/>
          <w:b/>
          <w:bCs/>
          <w:color w:val="000000"/>
          <w:sz w:val="22"/>
          <w:lang w:eastAsia="it-CH"/>
        </w:rPr>
      </w:pPr>
      <w:r w:rsidRPr="00325959">
        <w:rPr>
          <w:rFonts w:eastAsia="Times New Roman" w:cs="Arial"/>
          <w:b/>
          <w:bCs/>
          <w:color w:val="000000"/>
          <w:sz w:val="22"/>
          <w:lang w:eastAsia="it-CH"/>
        </w:rPr>
        <w:t>Art. 193b</w:t>
      </w:r>
      <w:bookmarkStart w:id="11" w:name="_ftnref256"/>
      <w:bookmarkEnd w:id="11"/>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1</w:t>
      </w:r>
      <w:r w:rsidRPr="00325959">
        <w:rPr>
          <w:rFonts w:eastAsia="Times New Roman" w:cs="Arial"/>
          <w:color w:val="000000"/>
          <w:sz w:val="22"/>
          <w:lang w:eastAsia="it-CH"/>
        </w:rPr>
        <w:t>Il comune può affidare mandati di prestazione a enti pubblici o privati per l’esecuzione di suoi compiti. Il mandato deve prevedere:</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sz w:val="22"/>
          <w:lang w:eastAsia="it-CH"/>
        </w:rPr>
        <w:t>- la prestazione e le modalità esecutive,</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sz w:val="22"/>
          <w:lang w:eastAsia="it-CH"/>
        </w:rPr>
        <w:t>- i mezzi finanziari,</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sz w:val="22"/>
          <w:lang w:eastAsia="it-CH"/>
        </w:rPr>
        <w:t>- i controlli,</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sz w:val="22"/>
          <w:lang w:eastAsia="it-CH"/>
        </w:rPr>
        <w:t>- diritti e obblighi reciproci,</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sz w:val="22"/>
          <w:lang w:eastAsia="it-CH"/>
        </w:rPr>
        <w:t>- durata, facoltà di revoca.</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2</w:t>
      </w:r>
      <w:r w:rsidRPr="00325959">
        <w:rPr>
          <w:rFonts w:eastAsia="Times New Roman" w:cs="Arial"/>
          <w:color w:val="000000"/>
          <w:sz w:val="22"/>
          <w:lang w:eastAsia="it-CH"/>
        </w:rPr>
        <w:t>Contro le decisioni di carattere amministrativo del soggetto esterno è dato ricorso ai sensi degli art. 208 e seguenti.</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3</w:t>
      </w:r>
      <w:r w:rsidRPr="00325959">
        <w:rPr>
          <w:rFonts w:eastAsia="Times New Roman" w:cs="Arial"/>
          <w:color w:val="000000"/>
          <w:sz w:val="22"/>
          <w:lang w:eastAsia="it-CH"/>
        </w:rPr>
        <w:t>Il mandato deve essere adottato dall’assemblea o dal consiglio comunale secondo le modalità previste per il regolamento comunale.</w:t>
      </w:r>
    </w:p>
    <w:p w:rsidR="00325959" w:rsidRPr="00325959" w:rsidRDefault="00325959" w:rsidP="005C64D6">
      <w:pPr>
        <w:shd w:val="clear" w:color="auto" w:fill="FFFFFF"/>
        <w:rPr>
          <w:rFonts w:eastAsia="Times New Roman" w:cs="Arial"/>
          <w:b/>
          <w:bCs/>
          <w:color w:val="000000"/>
          <w:sz w:val="22"/>
          <w:lang w:eastAsia="it-CH"/>
        </w:rPr>
      </w:pPr>
      <w:r w:rsidRPr="00325959">
        <w:rPr>
          <w:rFonts w:eastAsia="Times New Roman" w:cs="Arial"/>
          <w:b/>
          <w:bCs/>
          <w:color w:val="000000"/>
          <w:sz w:val="22"/>
          <w:lang w:eastAsia="it-CH"/>
        </w:rPr>
        <w:t>…</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b/>
          <w:bCs/>
          <w:color w:val="000000"/>
          <w:sz w:val="22"/>
          <w:lang w:eastAsia="it-CH"/>
        </w:rPr>
        <w:t>d) ente autonomo di diritto comunale</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b/>
          <w:bCs/>
          <w:color w:val="000000"/>
          <w:sz w:val="22"/>
          <w:lang w:eastAsia="it-CH"/>
        </w:rPr>
        <w:t>Principio</w:t>
      </w:r>
    </w:p>
    <w:p w:rsidR="00263CDC" w:rsidRDefault="00325959" w:rsidP="005C64D6">
      <w:pPr>
        <w:shd w:val="clear" w:color="auto" w:fill="FFFFFF"/>
        <w:spacing w:after="60"/>
        <w:ind w:left="1134" w:hanging="1134"/>
        <w:rPr>
          <w:rFonts w:eastAsia="Times New Roman" w:cs="Arial"/>
          <w:b/>
          <w:bCs/>
          <w:color w:val="000000"/>
          <w:sz w:val="22"/>
          <w:lang w:eastAsia="it-CH"/>
        </w:rPr>
      </w:pPr>
      <w:r w:rsidRPr="00325959">
        <w:rPr>
          <w:rFonts w:eastAsia="Times New Roman" w:cs="Arial"/>
          <w:b/>
          <w:bCs/>
          <w:color w:val="000000"/>
          <w:sz w:val="22"/>
          <w:lang w:eastAsia="it-CH"/>
        </w:rPr>
        <w:t>Art. 193c</w:t>
      </w:r>
      <w:bookmarkStart w:id="12" w:name="_ftnref257"/>
      <w:bookmarkEnd w:id="12"/>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1</w:t>
      </w:r>
      <w:r w:rsidRPr="00325959">
        <w:rPr>
          <w:rFonts w:eastAsia="Times New Roman" w:cs="Arial"/>
          <w:color w:val="000000"/>
          <w:sz w:val="22"/>
          <w:lang w:eastAsia="it-CH"/>
        </w:rPr>
        <w:t>Il comune può costituire enti di diritto pubblico con propria personalità giuridica, anche con la collaborazione di altri enti pubblici e di privati.</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2</w:t>
      </w:r>
      <w:r w:rsidRPr="00325959">
        <w:rPr>
          <w:rFonts w:eastAsia="Times New Roman" w:cs="Arial"/>
          <w:color w:val="000000"/>
          <w:sz w:val="22"/>
          <w:lang w:eastAsia="it-CH"/>
        </w:rPr>
        <w:t>L’assemblea o il consiglio comunale adottano lo statuto dell’ente, secondo le modalità previste per il regolamento comunale.</w:t>
      </w:r>
    </w:p>
    <w:p w:rsidR="00325959" w:rsidRPr="00325959" w:rsidRDefault="00325959" w:rsidP="005C64D6">
      <w:pPr>
        <w:shd w:val="clear" w:color="auto" w:fill="FFFFFF"/>
        <w:rPr>
          <w:rFonts w:eastAsia="Times New Roman" w:cs="Arial"/>
          <w:color w:val="000000"/>
          <w:sz w:val="22"/>
          <w:lang w:eastAsia="it-CH"/>
        </w:rPr>
      </w:pPr>
      <w:r w:rsidRPr="00325959">
        <w:rPr>
          <w:rFonts w:eastAsia="Times New Roman" w:cs="Arial"/>
          <w:color w:val="000000"/>
          <w:position w:val="4"/>
          <w:sz w:val="22"/>
          <w:vertAlign w:val="superscript"/>
          <w:lang w:eastAsia="it-CH"/>
        </w:rPr>
        <w:t>3</w:t>
      </w:r>
      <w:r w:rsidRPr="00325959">
        <w:rPr>
          <w:rFonts w:eastAsia="Times New Roman" w:cs="Arial"/>
          <w:color w:val="000000"/>
          <w:sz w:val="22"/>
          <w:lang w:eastAsia="it-CH"/>
        </w:rPr>
        <w:t>Il comune può attribuire il compito all’ente mediante mandato di prestazione. È applicabile l’art. 193b.</w:t>
      </w:r>
    </w:p>
    <w:p w:rsidR="00325959" w:rsidRPr="00325959" w:rsidRDefault="00325959" w:rsidP="005C64D6">
      <w:pPr>
        <w:rPr>
          <w:rFonts w:eastAsia="Times New Roman"/>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 xml:space="preserve">Infatti in questi anni abbiamo potuto constare come molti comuni si sono dotati di enti comunali per la gestione di servizi quali ad esempio per le case anziani, il servizio cura a domicilio oppure ancora per la gestione di impianti sportivi comunali. </w:t>
      </w:r>
    </w:p>
    <w:p w:rsidR="00325959" w:rsidRDefault="00325959" w:rsidP="005C64D6">
      <w:pPr>
        <w:rPr>
          <w:rFonts w:eastAsia="Times New Roman"/>
          <w:szCs w:val="20"/>
          <w:lang w:eastAsia="it-IT"/>
        </w:rPr>
      </w:pPr>
      <w:r w:rsidRPr="00325959">
        <w:rPr>
          <w:rFonts w:eastAsia="Times New Roman"/>
          <w:szCs w:val="20"/>
          <w:lang w:eastAsia="it-IT"/>
        </w:rPr>
        <w:lastRenderedPageBreak/>
        <w:t>Sembrerebbe perlomeno sospetto che lo Stato che promuove modalità di gestione virtuose sul piano comunale non affronti con lo stesso slancio la gestione di propri servizi dell’</w:t>
      </w:r>
      <w:r w:rsidR="008F7A1D">
        <w:rPr>
          <w:rFonts w:eastAsia="Times New Roman"/>
          <w:szCs w:val="20"/>
          <w:lang w:eastAsia="it-IT"/>
        </w:rPr>
        <w:t>A</w:t>
      </w:r>
      <w:r w:rsidRPr="00325959">
        <w:rPr>
          <w:rFonts w:eastAsia="Times New Roman"/>
          <w:szCs w:val="20"/>
          <w:lang w:eastAsia="it-IT"/>
        </w:rPr>
        <w:t xml:space="preserve">mministrazione cantonale. </w:t>
      </w:r>
    </w:p>
    <w:p w:rsidR="00A5182A" w:rsidRPr="00325959" w:rsidRDefault="00A5182A" w:rsidP="005C64D6">
      <w:pPr>
        <w:rPr>
          <w:rFonts w:eastAsia="Times New Roman"/>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La stessa riflessione potrebbe estendersi alla constatazione che lo Stato contribuisce e sussidia la gestione di molti servizi gestiti da enti terzi sulla base di mandati di prestazioni e crediti globali. È una voce di spesa in continua crescita ma che paradossalmente viene sovente gestita da servizi che non sono gestiti con le stesse modalità. Nasce spontanea la riflessione di come sia possibile che uffici cantonali gestiscano mandati di prestazioni di terzi quando loro stessi rimangono gestiti con modalità tradizionali ossia con crediti di gestione corrente e senza obiettivi e indicatori di prestazione che permettono la valutazione dell’efficacia e efficienza del loro operato.</w:t>
      </w:r>
    </w:p>
    <w:p w:rsidR="00325959" w:rsidRPr="00325959" w:rsidRDefault="00325959" w:rsidP="005C64D6">
      <w:pPr>
        <w:rPr>
          <w:rFonts w:eastAsia="Times New Roman"/>
          <w:szCs w:val="20"/>
          <w:lang w:eastAsia="it-IT"/>
        </w:rPr>
      </w:pPr>
    </w:p>
    <w:p w:rsidR="00325959" w:rsidRPr="00325959" w:rsidRDefault="00A5182A" w:rsidP="005C64D6">
      <w:pPr>
        <w:pStyle w:val="Titolo2"/>
        <w:numPr>
          <w:ilvl w:val="0"/>
          <w:numId w:val="0"/>
        </w:numPr>
        <w:tabs>
          <w:tab w:val="left" w:pos="567"/>
        </w:tabs>
        <w:spacing w:before="0" w:after="120"/>
        <w:jc w:val="both"/>
        <w:rPr>
          <w:rFonts w:eastAsia="Times New Roman"/>
          <w:color w:val="000000"/>
          <w:szCs w:val="20"/>
          <w:lang w:eastAsia="it-IT"/>
        </w:rPr>
      </w:pPr>
      <w:bookmarkStart w:id="13" w:name="_Toc95234626"/>
      <w:r>
        <w:rPr>
          <w:rFonts w:eastAsia="Times New Roman"/>
          <w:color w:val="000000"/>
          <w:szCs w:val="20"/>
          <w:lang w:eastAsia="it-IT"/>
        </w:rPr>
        <w:t>3.</w:t>
      </w:r>
      <w:r w:rsidR="00985A80">
        <w:rPr>
          <w:rFonts w:eastAsia="Times New Roman"/>
          <w:color w:val="000000"/>
          <w:szCs w:val="20"/>
          <w:lang w:eastAsia="it-IT"/>
        </w:rPr>
        <w:t>4</w:t>
      </w:r>
      <w:r>
        <w:rPr>
          <w:rFonts w:eastAsia="Times New Roman"/>
          <w:color w:val="000000"/>
          <w:szCs w:val="20"/>
          <w:lang w:eastAsia="it-IT"/>
        </w:rPr>
        <w:tab/>
      </w:r>
      <w:r w:rsidR="00325959" w:rsidRPr="00325959">
        <w:rPr>
          <w:rFonts w:eastAsia="Times New Roman"/>
          <w:color w:val="000000"/>
          <w:szCs w:val="20"/>
          <w:lang w:eastAsia="it-IT"/>
        </w:rPr>
        <w:t>Confederazione</w:t>
      </w:r>
      <w:bookmarkEnd w:id="13"/>
      <w:r w:rsidR="00325959" w:rsidRPr="00325959">
        <w:rPr>
          <w:rFonts w:eastAsia="Times New Roman"/>
          <w:color w:val="000000"/>
          <w:szCs w:val="20"/>
          <w:lang w:eastAsia="it-IT"/>
        </w:rPr>
        <w:t xml:space="preserve"> </w:t>
      </w:r>
    </w:p>
    <w:p w:rsidR="00325959" w:rsidRPr="00325959" w:rsidRDefault="00325959" w:rsidP="005C64D6">
      <w:pPr>
        <w:spacing w:after="120"/>
        <w:rPr>
          <w:rFonts w:eastAsia="Times New Roman"/>
          <w:color w:val="000000"/>
          <w:szCs w:val="20"/>
          <w:lang w:eastAsia="it-IT"/>
        </w:rPr>
      </w:pPr>
      <w:r w:rsidRPr="00325959">
        <w:rPr>
          <w:rFonts w:eastAsia="Times New Roman"/>
          <w:color w:val="000000"/>
          <w:szCs w:val="20"/>
          <w:lang w:eastAsia="it-IT"/>
        </w:rPr>
        <w:t>La Commissione ha preso atto anche del rapporto di valutazione del 20 gennaio 2021 sull’applicazione del Nuovo modello di gestione dell’amministrazione federale (</w:t>
      </w:r>
      <w:hyperlink r:id="rId12" w:history="1">
        <w:r w:rsidR="00985A80" w:rsidRPr="00792614">
          <w:rPr>
            <w:rStyle w:val="Collegamentoipertestuale"/>
            <w:rFonts w:eastAsia="Times New Roman"/>
            <w:sz w:val="22"/>
            <w:szCs w:val="20"/>
            <w:lang w:eastAsia="it-IT"/>
          </w:rPr>
          <w:t>www.admin.ch/gov/it/pagina-iniziale/documentazione/comunicati-stampa.msg-id-86074.html</w:t>
        </w:r>
      </w:hyperlink>
      <w:r w:rsidRPr="00325959">
        <w:rPr>
          <w:rFonts w:eastAsia="Times New Roman"/>
          <w:color w:val="000000"/>
          <w:sz w:val="22"/>
          <w:szCs w:val="20"/>
          <w:lang w:eastAsia="it-IT"/>
        </w:rPr>
        <w:t xml:space="preserve">) e </w:t>
      </w:r>
      <w:r w:rsidR="00A5182A">
        <w:rPr>
          <w:rFonts w:eastAsia="Times New Roman"/>
          <w:color w:val="000000"/>
          <w:szCs w:val="20"/>
          <w:lang w:eastAsia="it-IT"/>
        </w:rPr>
        <w:t>citiamo:</w:t>
      </w:r>
    </w:p>
    <w:p w:rsidR="00325959" w:rsidRPr="00325959" w:rsidRDefault="00325959" w:rsidP="005C64D6">
      <w:pPr>
        <w:shd w:val="clear" w:color="auto" w:fill="FFFFFF"/>
        <w:spacing w:after="120"/>
        <w:rPr>
          <w:rFonts w:eastAsia="Times New Roman" w:cs="Arial"/>
          <w:i/>
          <w:color w:val="000000"/>
          <w:sz w:val="22"/>
          <w:lang w:eastAsia="it-CH"/>
        </w:rPr>
      </w:pPr>
      <w:r w:rsidRPr="00325959">
        <w:rPr>
          <w:rFonts w:eastAsia="Times New Roman" w:cs="Arial"/>
          <w:bCs/>
          <w:i/>
          <w:color w:val="000000"/>
          <w:sz w:val="22"/>
          <w:lang w:eastAsia="it-CH"/>
        </w:rPr>
        <w:t xml:space="preserve">“Nella seduta del 24 novembre 2021 il Consiglio federale ha adottato il rapporto di valutazione sul Nuovo modello di gestione dell’Amministrazione federale (NMG). Introdotto quattro anni fa, il NMG dimostra nel complesso la propria </w:t>
      </w:r>
      <w:r w:rsidRPr="00325959">
        <w:rPr>
          <w:rFonts w:eastAsia="Times New Roman" w:cs="Arial"/>
          <w:b/>
          <w:bCs/>
          <w:i/>
          <w:color w:val="000000"/>
          <w:sz w:val="22"/>
          <w:lang w:eastAsia="it-CH"/>
        </w:rPr>
        <w:t>efficacia</w:t>
      </w:r>
      <w:r w:rsidRPr="00325959">
        <w:rPr>
          <w:rFonts w:eastAsia="Times New Roman" w:cs="Arial"/>
          <w:bCs/>
          <w:i/>
          <w:color w:val="000000"/>
          <w:sz w:val="22"/>
          <w:lang w:eastAsia="it-CH"/>
        </w:rPr>
        <w:t>. Con l’ottimizzazione mirata di due strumenti, è possibile migliorare ulteriormente le condizioni quadro per il Parlamento e l’amministrazione. Sulla base della discussione relativa al rapporto in seno alle commissioni parlamentari, l’Esecutivo deciderà le tappe successive.</w:t>
      </w:r>
    </w:p>
    <w:p w:rsidR="00325959" w:rsidRPr="00325959" w:rsidRDefault="00325959" w:rsidP="005C64D6">
      <w:pPr>
        <w:shd w:val="clear" w:color="auto" w:fill="FFFFFF"/>
        <w:rPr>
          <w:rFonts w:eastAsia="Times New Roman" w:cs="Arial"/>
          <w:i/>
          <w:color w:val="000000"/>
          <w:sz w:val="22"/>
          <w:lang w:eastAsia="it-CH"/>
        </w:rPr>
      </w:pPr>
      <w:r w:rsidRPr="00325959">
        <w:rPr>
          <w:rFonts w:eastAsia="Times New Roman" w:cs="Arial"/>
          <w:i/>
          <w:color w:val="000000"/>
          <w:sz w:val="22"/>
          <w:lang w:eastAsia="it-CH"/>
        </w:rPr>
        <w:t>Il NMG è stato introdotto il 1° gennaio 2017. L’accento è stato posto sui seguenti obiettivi:</w:t>
      </w:r>
    </w:p>
    <w:p w:rsidR="00325959" w:rsidRPr="00325959" w:rsidRDefault="00325959" w:rsidP="005C64D6">
      <w:pPr>
        <w:numPr>
          <w:ilvl w:val="0"/>
          <w:numId w:val="25"/>
        </w:numPr>
        <w:shd w:val="clear" w:color="auto" w:fill="FFFFFF"/>
        <w:spacing w:before="60"/>
        <w:ind w:left="284" w:hanging="284"/>
        <w:rPr>
          <w:rFonts w:eastAsia="Times New Roman" w:cs="Arial"/>
          <w:i/>
          <w:color w:val="000000"/>
          <w:sz w:val="22"/>
          <w:lang w:eastAsia="it-CH"/>
        </w:rPr>
      </w:pPr>
      <w:r w:rsidRPr="00325959">
        <w:rPr>
          <w:rFonts w:eastAsia="Times New Roman" w:cs="Arial"/>
          <w:i/>
          <w:color w:val="000000"/>
          <w:sz w:val="22"/>
          <w:lang w:eastAsia="it-CH"/>
        </w:rPr>
        <w:t xml:space="preserve">migliorare la </w:t>
      </w:r>
      <w:r w:rsidRPr="00325959">
        <w:rPr>
          <w:rFonts w:eastAsia="Times New Roman" w:cs="Arial"/>
          <w:b/>
          <w:i/>
          <w:color w:val="000000"/>
          <w:sz w:val="22"/>
          <w:lang w:eastAsia="it-CH"/>
        </w:rPr>
        <w:t>pianificazione, la gestione e l’esecuzione</w:t>
      </w:r>
      <w:r w:rsidRPr="00325959">
        <w:rPr>
          <w:rFonts w:eastAsia="Times New Roman" w:cs="Arial"/>
          <w:i/>
          <w:color w:val="000000"/>
          <w:sz w:val="22"/>
          <w:lang w:eastAsia="it-CH"/>
        </w:rPr>
        <w:t xml:space="preserve"> del bilancio federale tramite </w:t>
      </w:r>
      <w:r w:rsidRPr="00325959">
        <w:rPr>
          <w:rFonts w:eastAsia="Times New Roman" w:cs="Arial"/>
          <w:b/>
          <w:i/>
          <w:color w:val="000000"/>
          <w:sz w:val="22"/>
          <w:lang w:eastAsia="it-CH"/>
        </w:rPr>
        <w:t xml:space="preserve">un preventivo con piano integrato dei compiti e delle finanze </w:t>
      </w:r>
      <w:r w:rsidRPr="00325959">
        <w:rPr>
          <w:rFonts w:eastAsia="Times New Roman" w:cs="Arial"/>
          <w:i/>
          <w:color w:val="000000"/>
          <w:sz w:val="22"/>
          <w:lang w:eastAsia="it-CH"/>
        </w:rPr>
        <w:t>(PICF);</w:t>
      </w:r>
    </w:p>
    <w:p w:rsidR="00325959" w:rsidRPr="00325959" w:rsidRDefault="00325959" w:rsidP="005C64D6">
      <w:pPr>
        <w:numPr>
          <w:ilvl w:val="0"/>
          <w:numId w:val="25"/>
        </w:numPr>
        <w:shd w:val="clear" w:color="auto" w:fill="FFFFFF"/>
        <w:spacing w:before="60"/>
        <w:ind w:left="284" w:hanging="284"/>
        <w:rPr>
          <w:rFonts w:eastAsia="Times New Roman" w:cs="Arial"/>
          <w:i/>
          <w:color w:val="000000"/>
          <w:sz w:val="22"/>
          <w:lang w:eastAsia="it-CH"/>
        </w:rPr>
      </w:pPr>
      <w:r w:rsidRPr="00325959">
        <w:rPr>
          <w:rFonts w:eastAsia="Times New Roman" w:cs="Arial"/>
          <w:b/>
          <w:i/>
          <w:color w:val="000000"/>
          <w:sz w:val="22"/>
          <w:lang w:eastAsia="it-CH"/>
        </w:rPr>
        <w:t>sviluppare</w:t>
      </w:r>
      <w:r w:rsidRPr="00325959">
        <w:rPr>
          <w:rFonts w:eastAsia="Times New Roman" w:cs="Arial"/>
          <w:i/>
          <w:color w:val="000000"/>
          <w:sz w:val="22"/>
          <w:lang w:eastAsia="it-CH"/>
        </w:rPr>
        <w:t xml:space="preserve"> ulteriormente </w:t>
      </w:r>
      <w:r w:rsidRPr="00325959">
        <w:rPr>
          <w:rFonts w:eastAsia="Times New Roman" w:cs="Arial"/>
          <w:b/>
          <w:i/>
          <w:color w:val="000000"/>
          <w:sz w:val="22"/>
          <w:lang w:eastAsia="it-CH"/>
        </w:rPr>
        <w:t>la gestione e la cultura</w:t>
      </w:r>
      <w:r w:rsidRPr="00325959">
        <w:rPr>
          <w:rFonts w:eastAsia="Times New Roman" w:cs="Arial"/>
          <w:i/>
          <w:color w:val="000000"/>
          <w:sz w:val="22"/>
          <w:lang w:eastAsia="it-CH"/>
        </w:rPr>
        <w:t xml:space="preserve"> dell’amministrazione attraverso le convenzioni sulle prestazioni e la contabilità analitica;</w:t>
      </w:r>
    </w:p>
    <w:p w:rsidR="00325959" w:rsidRPr="00325959" w:rsidRDefault="00325959" w:rsidP="005C64D6">
      <w:pPr>
        <w:numPr>
          <w:ilvl w:val="0"/>
          <w:numId w:val="25"/>
        </w:numPr>
        <w:shd w:val="clear" w:color="auto" w:fill="FFFFFF"/>
        <w:spacing w:before="60" w:after="120"/>
        <w:ind w:left="284" w:hanging="284"/>
        <w:rPr>
          <w:rFonts w:eastAsia="Times New Roman" w:cs="Arial"/>
          <w:i/>
          <w:color w:val="000000"/>
          <w:sz w:val="22"/>
          <w:lang w:eastAsia="it-CH"/>
        </w:rPr>
      </w:pPr>
      <w:r w:rsidRPr="00325959">
        <w:rPr>
          <w:rFonts w:eastAsia="Times New Roman" w:cs="Arial"/>
          <w:b/>
          <w:i/>
          <w:color w:val="000000"/>
          <w:sz w:val="22"/>
          <w:lang w:eastAsia="it-CH"/>
        </w:rPr>
        <w:t>migliorare l’economicità e l’efficienza</w:t>
      </w:r>
      <w:r w:rsidRPr="00325959">
        <w:rPr>
          <w:rFonts w:eastAsia="Times New Roman" w:cs="Arial"/>
          <w:i/>
          <w:color w:val="000000"/>
          <w:sz w:val="22"/>
          <w:lang w:eastAsia="it-CH"/>
        </w:rPr>
        <w:t xml:space="preserve"> dell’Amministrazione federale mediante preventivi globali nel settore proprio e margini di manovra operativi più ampi.</w:t>
      </w:r>
    </w:p>
    <w:p w:rsidR="00325959" w:rsidRPr="00325959" w:rsidRDefault="00325959" w:rsidP="005C64D6">
      <w:pPr>
        <w:shd w:val="clear" w:color="auto" w:fill="FFFFFF"/>
        <w:rPr>
          <w:rFonts w:eastAsia="Times New Roman" w:cs="Arial"/>
          <w:bCs/>
          <w:i/>
          <w:color w:val="000000"/>
          <w:sz w:val="22"/>
          <w:lang w:eastAsia="it-CH"/>
        </w:rPr>
      </w:pPr>
      <w:r w:rsidRPr="00325959">
        <w:rPr>
          <w:rFonts w:eastAsia="Times New Roman" w:cs="Arial"/>
          <w:i/>
          <w:color w:val="000000"/>
          <w:sz w:val="22"/>
          <w:lang w:eastAsia="it-CH"/>
        </w:rPr>
        <w:t xml:space="preserve">Questi tre obiettivi principali sono stati ampiamente raggiunti nei primi quattro anni d’esercizio, ossia nel periodo 2017–2020. Gli strumenti per migliorare l’economicità e l’efficienza, in particolare i preventivi globali nel settore proprio o la costituzione e lo scioglimento di riserve, sono considerati utili. Essi hanno </w:t>
      </w:r>
      <w:r w:rsidRPr="00325959">
        <w:rPr>
          <w:rFonts w:eastAsia="Times New Roman" w:cs="Arial"/>
          <w:i/>
          <w:color w:val="000000"/>
          <w:sz w:val="22"/>
          <w:u w:val="single"/>
          <w:lang w:eastAsia="it-CH"/>
        </w:rPr>
        <w:t>aumentato la flessibilità e i margini di manovra dell’amministrazione, senza che il Parlamento perda la sua competenza in materia di gestione</w:t>
      </w:r>
      <w:r w:rsidRPr="00325959">
        <w:rPr>
          <w:rFonts w:eastAsia="Times New Roman" w:cs="Arial"/>
          <w:i/>
          <w:color w:val="000000"/>
          <w:sz w:val="22"/>
          <w:lang w:eastAsia="it-CH"/>
        </w:rPr>
        <w:t xml:space="preserve">. Il mondo politico e l’amministrazione considerano il preventivo con </w:t>
      </w:r>
      <w:r w:rsidRPr="00325959">
        <w:rPr>
          <w:rFonts w:eastAsia="Times New Roman" w:cs="Arial"/>
          <w:bCs/>
          <w:i/>
          <w:color w:val="000000"/>
          <w:sz w:val="22"/>
          <w:lang w:eastAsia="it-CH"/>
        </w:rPr>
        <w:t>PICF utile e appropriato. La trasparenza delle prestazioni si è consolidata. Questo permette al Parlamento di ottenere un quadro generale dei circa 130 gruppi di prestazioni dell’amministrazione e di gestirli in modo mirato e oculato attraverso singoli obiettivi, parametri e valori di riferimento.”</w:t>
      </w:r>
    </w:p>
    <w:p w:rsidR="00325959" w:rsidRPr="00325959" w:rsidRDefault="00325959" w:rsidP="005C64D6">
      <w:pPr>
        <w:rPr>
          <w:rFonts w:eastAsia="Times New Roman"/>
          <w:i/>
          <w:color w:val="000000"/>
          <w:sz w:val="22"/>
          <w:szCs w:val="20"/>
          <w:lang w:eastAsia="it-IT"/>
        </w:rPr>
      </w:pPr>
    </w:p>
    <w:p w:rsidR="00325959" w:rsidRPr="00325959" w:rsidRDefault="00A5182A" w:rsidP="005C64D6">
      <w:pPr>
        <w:rPr>
          <w:rFonts w:eastAsia="Times New Roman"/>
          <w:color w:val="000000"/>
          <w:szCs w:val="20"/>
          <w:lang w:eastAsia="it-IT"/>
        </w:rPr>
      </w:pPr>
      <w:r>
        <w:rPr>
          <w:rFonts w:eastAsia="Times New Roman"/>
          <w:color w:val="000000"/>
          <w:szCs w:val="20"/>
          <w:lang w:eastAsia="it-IT"/>
        </w:rPr>
        <w:t>L’esempio dell’A</w:t>
      </w:r>
      <w:r w:rsidR="00325959" w:rsidRPr="00325959">
        <w:rPr>
          <w:rFonts w:eastAsia="Times New Roman"/>
          <w:color w:val="000000"/>
          <w:szCs w:val="20"/>
          <w:lang w:eastAsia="it-IT"/>
        </w:rPr>
        <w:t xml:space="preserve">mministrazione federale, con otre 36'000 collaboratrici e collaboratori, pur considerando alcune criticità e le migliorie proposte nel rapporto citato, dimostra che il modello è applicabile anche in un contesto certamente più complesso e articolato dell’amministrazione cantonale e dovrebbe essere da sprone per una diffusione più ampia del modello sul piano cantonale. </w:t>
      </w:r>
    </w:p>
    <w:p w:rsidR="00325959" w:rsidRPr="00325959" w:rsidRDefault="00325959" w:rsidP="005C64D6">
      <w:pPr>
        <w:jc w:val="left"/>
        <w:rPr>
          <w:rFonts w:eastAsia="Times New Roman"/>
          <w:szCs w:val="20"/>
          <w:lang w:eastAsia="it-IT"/>
        </w:rPr>
      </w:pPr>
    </w:p>
    <w:p w:rsidR="00325959" w:rsidRPr="00325959" w:rsidRDefault="00325959" w:rsidP="005C64D6">
      <w:pPr>
        <w:jc w:val="left"/>
        <w:rPr>
          <w:rFonts w:eastAsia="Times New Roman"/>
          <w:szCs w:val="20"/>
          <w:lang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14" w:name="_Toc95234627"/>
      <w:r w:rsidRPr="00325959">
        <w:rPr>
          <w:caps/>
          <w:szCs w:val="24"/>
          <w:lang w:val="it-IT" w:eastAsia="it-IT"/>
        </w:rPr>
        <w:lastRenderedPageBreak/>
        <w:t>Situazione attuale progetto UAA</w:t>
      </w:r>
      <w:bookmarkEnd w:id="14"/>
    </w:p>
    <w:p w:rsidR="00325959" w:rsidRPr="00325959" w:rsidRDefault="00325959" w:rsidP="005C64D6">
      <w:pPr>
        <w:rPr>
          <w:rFonts w:eastAsia="Times New Roman"/>
          <w:szCs w:val="20"/>
          <w:lang w:eastAsia="it-IT"/>
        </w:rPr>
      </w:pPr>
      <w:r w:rsidRPr="00325959">
        <w:rPr>
          <w:rFonts w:eastAsia="Times New Roman"/>
          <w:szCs w:val="20"/>
          <w:lang w:eastAsia="it-IT"/>
        </w:rPr>
        <w:t>L’impatto del modello UAA all’interno dell’AC rimane piuttosto limitato per non dire scarso. Le due unità amministrative maggiori sono certamente l’Organizzazione sociopsichiatrica cantonale con un budget di oltre 76 mio e il CSI con un budget di oltre 50 mio.</w:t>
      </w:r>
    </w:p>
    <w:p w:rsidR="00325959" w:rsidRPr="00325959" w:rsidRDefault="00325959" w:rsidP="005C64D6">
      <w:pPr>
        <w:spacing w:before="120" w:after="240"/>
        <w:rPr>
          <w:rFonts w:eastAsia="Times New Roman" w:cs="Arial"/>
          <w:szCs w:val="24"/>
          <w:lang w:val="it-IT" w:eastAsia="it-IT"/>
        </w:rPr>
      </w:pPr>
      <w:r w:rsidRPr="00325959">
        <w:rPr>
          <w:rFonts w:eastAsia="Times New Roman" w:cs="Arial"/>
          <w:szCs w:val="24"/>
          <w:lang w:val="it-IT" w:eastAsia="it-IT"/>
        </w:rPr>
        <w:t xml:space="preserve">Al 31 dicembre 2019, sono 8 i servizi gestiti in regime di UAA in seno all’AC: </w:t>
      </w:r>
    </w:p>
    <w:tbl>
      <w:tblPr>
        <w:tblStyle w:val="Grigliatabella1"/>
        <w:tblW w:w="0" w:type="auto"/>
        <w:tblInd w:w="-5" w:type="dxa"/>
        <w:tblLook w:val="04A0" w:firstRow="1" w:lastRow="0" w:firstColumn="1" w:lastColumn="0" w:noHBand="0" w:noVBand="1"/>
      </w:tblPr>
      <w:tblGrid>
        <w:gridCol w:w="6735"/>
        <w:gridCol w:w="2745"/>
      </w:tblGrid>
      <w:tr w:rsidR="00325959" w:rsidRPr="00325959" w:rsidTr="001F6B2A">
        <w:tc>
          <w:tcPr>
            <w:tcW w:w="6735" w:type="dxa"/>
          </w:tcPr>
          <w:p w:rsidR="00325959" w:rsidRPr="00325959" w:rsidRDefault="00325959" w:rsidP="005C64D6">
            <w:pPr>
              <w:spacing w:before="80"/>
              <w:jc w:val="left"/>
              <w:rPr>
                <w:rFonts w:cs="Arial"/>
                <w:b/>
                <w:sz w:val="22"/>
                <w:lang w:val="it-IT" w:eastAsia="it-IT"/>
              </w:rPr>
            </w:pPr>
            <w:r w:rsidRPr="00325959">
              <w:rPr>
                <w:rFonts w:cs="Arial"/>
                <w:b/>
                <w:sz w:val="22"/>
                <w:lang w:val="it-IT" w:eastAsia="it-IT"/>
              </w:rPr>
              <w:t>Unità amministrativa</w:t>
            </w:r>
          </w:p>
        </w:tc>
        <w:tc>
          <w:tcPr>
            <w:tcW w:w="2745" w:type="dxa"/>
          </w:tcPr>
          <w:p w:rsidR="00325959" w:rsidRPr="00325959" w:rsidRDefault="00325959" w:rsidP="005C64D6">
            <w:pPr>
              <w:spacing w:before="80"/>
              <w:jc w:val="left"/>
              <w:rPr>
                <w:rFonts w:cs="Arial"/>
                <w:b/>
                <w:sz w:val="22"/>
                <w:lang w:val="it-IT" w:eastAsia="it-IT"/>
              </w:rPr>
            </w:pPr>
            <w:r w:rsidRPr="00325959">
              <w:rPr>
                <w:rFonts w:cs="Arial"/>
                <w:b/>
                <w:sz w:val="22"/>
                <w:lang w:val="it-IT" w:eastAsia="it-IT"/>
              </w:rPr>
              <w:t>Budget (P2021)</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Controllo cantonale delle finanze (CRB 90)</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2'543’000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Organizzazione sociopsichiatrica cantonale (CRB 245-249/251/256-259/261-263)</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 xml:space="preserve">CHF 76’580’700 </w:t>
            </w:r>
          </w:p>
          <w:p w:rsidR="00325959" w:rsidRPr="00325959" w:rsidRDefault="00325959" w:rsidP="005C64D6">
            <w:pPr>
              <w:spacing w:before="80"/>
              <w:jc w:val="left"/>
              <w:rPr>
                <w:rFonts w:cs="Arial"/>
                <w:sz w:val="22"/>
                <w:lang w:val="it-IT" w:eastAsia="it-IT"/>
              </w:rPr>
            </w:pP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Centro di risorse didattiche e digitali (CRB 432)</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3'470’900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Archivio di Stato (CRB 664)</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2'905’300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Biblioteca cantonale di Bellinzona (CRB 672)</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2'168’000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Scuola superiore alberghiera e del turismo (CRB 598)</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5'190’500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Museo cantonale di storia naturale (CRB 722)</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CHF  2'864’000</w:t>
            </w:r>
          </w:p>
        </w:tc>
      </w:tr>
      <w:tr w:rsidR="00325959" w:rsidRPr="00325959" w:rsidTr="001F6B2A">
        <w:tc>
          <w:tcPr>
            <w:tcW w:w="6735" w:type="dxa"/>
          </w:tcPr>
          <w:p w:rsidR="00325959" w:rsidRPr="00325959" w:rsidRDefault="00325959" w:rsidP="005C64D6">
            <w:pPr>
              <w:numPr>
                <w:ilvl w:val="0"/>
                <w:numId w:val="20"/>
              </w:numPr>
              <w:spacing w:before="80"/>
              <w:ind w:left="284" w:hanging="284"/>
              <w:jc w:val="left"/>
              <w:rPr>
                <w:rFonts w:cs="Arial"/>
                <w:sz w:val="22"/>
                <w:lang w:val="it-IT" w:eastAsia="it-IT"/>
              </w:rPr>
            </w:pPr>
            <w:r w:rsidRPr="00325959">
              <w:rPr>
                <w:rFonts w:cs="Arial"/>
                <w:sz w:val="22"/>
                <w:lang w:val="it-IT" w:eastAsia="it-IT"/>
              </w:rPr>
              <w:t>Centro dei sistemi informativi (CRB 951 e 952)</w:t>
            </w:r>
          </w:p>
        </w:tc>
        <w:tc>
          <w:tcPr>
            <w:tcW w:w="2745" w:type="dxa"/>
          </w:tcPr>
          <w:p w:rsidR="00325959" w:rsidRPr="00325959" w:rsidRDefault="00325959" w:rsidP="005C64D6">
            <w:pPr>
              <w:spacing w:before="80"/>
              <w:jc w:val="left"/>
              <w:rPr>
                <w:rFonts w:cs="Arial"/>
                <w:sz w:val="22"/>
                <w:lang w:val="it-IT" w:eastAsia="it-IT"/>
              </w:rPr>
            </w:pPr>
            <w:r w:rsidRPr="00325959">
              <w:rPr>
                <w:rFonts w:cs="Arial"/>
                <w:sz w:val="22"/>
                <w:lang w:val="it-IT" w:eastAsia="it-IT"/>
              </w:rPr>
              <w:t xml:space="preserve">CHF  50’977’300 </w:t>
            </w:r>
          </w:p>
          <w:p w:rsidR="00325959" w:rsidRPr="00325959" w:rsidRDefault="00325959" w:rsidP="005C64D6">
            <w:pPr>
              <w:spacing w:before="80"/>
              <w:jc w:val="left"/>
              <w:rPr>
                <w:rFonts w:cs="Arial"/>
                <w:sz w:val="22"/>
                <w:lang w:val="it-IT" w:eastAsia="it-IT"/>
              </w:rPr>
            </w:pPr>
          </w:p>
        </w:tc>
      </w:tr>
      <w:tr w:rsidR="00325959" w:rsidRPr="00325959" w:rsidTr="001F6B2A">
        <w:tc>
          <w:tcPr>
            <w:tcW w:w="6735" w:type="dxa"/>
          </w:tcPr>
          <w:p w:rsidR="00325959" w:rsidRPr="00325959" w:rsidRDefault="00325959" w:rsidP="005C64D6">
            <w:pPr>
              <w:spacing w:before="80"/>
              <w:jc w:val="left"/>
              <w:rPr>
                <w:rFonts w:cs="Arial"/>
                <w:b/>
                <w:sz w:val="22"/>
                <w:lang w:val="it-IT" w:eastAsia="it-IT"/>
              </w:rPr>
            </w:pPr>
            <w:r w:rsidRPr="00325959">
              <w:rPr>
                <w:rFonts w:cs="Arial"/>
                <w:b/>
                <w:sz w:val="22"/>
                <w:lang w:val="it-IT" w:eastAsia="it-IT"/>
              </w:rPr>
              <w:t xml:space="preserve">Totale </w:t>
            </w:r>
          </w:p>
        </w:tc>
        <w:tc>
          <w:tcPr>
            <w:tcW w:w="2745" w:type="dxa"/>
          </w:tcPr>
          <w:p w:rsidR="00325959" w:rsidRPr="00325959" w:rsidRDefault="00325959" w:rsidP="005C64D6">
            <w:pPr>
              <w:spacing w:before="80"/>
              <w:jc w:val="left"/>
              <w:rPr>
                <w:rFonts w:cs="Arial"/>
                <w:b/>
                <w:sz w:val="22"/>
                <w:lang w:val="it-IT" w:eastAsia="it-IT"/>
              </w:rPr>
            </w:pPr>
            <w:r w:rsidRPr="00325959">
              <w:rPr>
                <w:rFonts w:cs="Arial"/>
                <w:b/>
                <w:sz w:val="22"/>
                <w:lang w:val="it-IT" w:eastAsia="it-IT"/>
              </w:rPr>
              <w:t xml:space="preserve">CHF       146’699’700 </w:t>
            </w:r>
          </w:p>
        </w:tc>
      </w:tr>
    </w:tbl>
    <w:p w:rsidR="00325959" w:rsidRPr="00325959" w:rsidRDefault="00325959" w:rsidP="005C64D6">
      <w:pPr>
        <w:rPr>
          <w:rFonts w:eastAsia="Times New Roman"/>
          <w:szCs w:val="20"/>
          <w:lang w:val="it-IT"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La cifra complessiva delle uscite delle attuali otto UAA è di CHF 146'699'700.-. In relazione al totale delle uscite correnti a Preventivo 2021 dello Stato di CHF 3’491’241’000.- rappresenta un modesto 4%.</w:t>
      </w:r>
    </w:p>
    <w:p w:rsidR="00325959" w:rsidRPr="00325959" w:rsidRDefault="00325959" w:rsidP="005C64D6">
      <w:pPr>
        <w:rPr>
          <w:rFonts w:eastAsia="Times New Roman"/>
          <w:szCs w:val="20"/>
          <w:lang w:val="it-IT" w:eastAsia="it-IT"/>
        </w:rPr>
      </w:pPr>
    </w:p>
    <w:p w:rsidR="00325959" w:rsidRPr="00325959" w:rsidRDefault="00325959" w:rsidP="005C64D6">
      <w:pPr>
        <w:rPr>
          <w:rFonts w:eastAsia="Times New Roman"/>
          <w:szCs w:val="20"/>
          <w:lang w:val="it-IT" w:eastAsia="it-IT"/>
        </w:rPr>
      </w:pPr>
      <w:r w:rsidRPr="00325959">
        <w:rPr>
          <w:rFonts w:eastAsia="Times New Roman"/>
          <w:szCs w:val="20"/>
          <w:lang w:val="it-IT" w:eastAsia="it-IT"/>
        </w:rPr>
        <w:t xml:space="preserve">Ma cosa sono queste UAA Unità amministrative autonome? </w:t>
      </w:r>
    </w:p>
    <w:p w:rsidR="00325959" w:rsidRPr="00325959" w:rsidRDefault="00325959" w:rsidP="005C64D6">
      <w:pPr>
        <w:rPr>
          <w:rFonts w:eastAsia="Times New Roman"/>
          <w:szCs w:val="20"/>
          <w:lang w:val="it-IT" w:eastAsia="it-IT"/>
        </w:rPr>
      </w:pPr>
      <w:r w:rsidRPr="00325959">
        <w:rPr>
          <w:rFonts w:eastAsia="Times New Roman"/>
          <w:szCs w:val="20"/>
          <w:lang w:val="it-IT" w:eastAsia="it-IT"/>
        </w:rPr>
        <w:t>Non sono altro che servizi amministrativi dell’amministrazione cantonale per i quali sono definiti obiettivi di gestione, indicatori di prestazione in cambio di un minimo di autonomia finanziaria. Insomma si tratta di funzionari dirigenti che più di altri si espongono e sono chiamati a presentare in modo esplicito e trasparente i risultati raggiunti. Proprio quanto servirebbe al Consiglio di Stato e al Parlamento nella sua funzione di controllo per capire se i principi di gestione efficace e efficiente vengano messi in atto e siano rispettati.</w:t>
      </w:r>
    </w:p>
    <w:p w:rsidR="00325959" w:rsidRPr="00325959" w:rsidRDefault="00325959" w:rsidP="005C64D6">
      <w:pPr>
        <w:jc w:val="left"/>
        <w:rPr>
          <w:rFonts w:eastAsia="Times New Roman"/>
          <w:szCs w:val="20"/>
          <w:lang w:val="it-IT" w:eastAsia="it-IT"/>
        </w:rPr>
      </w:pPr>
    </w:p>
    <w:p w:rsidR="00325959" w:rsidRPr="00325959" w:rsidRDefault="00325959" w:rsidP="005C64D6">
      <w:pPr>
        <w:jc w:val="left"/>
        <w:rPr>
          <w:rFonts w:eastAsia="Times New Roman"/>
          <w:szCs w:val="20"/>
          <w:lang w:val="it-IT"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15" w:name="_Toc95234628"/>
      <w:r w:rsidRPr="00325959">
        <w:rPr>
          <w:caps/>
          <w:szCs w:val="24"/>
          <w:lang w:val="it-IT" w:eastAsia="it-IT"/>
        </w:rPr>
        <w:t>Criticità emerse con gli Uffici UAA</w:t>
      </w:r>
      <w:bookmarkEnd w:id="15"/>
    </w:p>
    <w:p w:rsidR="00325959" w:rsidRPr="00325959" w:rsidRDefault="00325959" w:rsidP="005C64D6">
      <w:pPr>
        <w:rPr>
          <w:rFonts w:eastAsia="Times New Roman"/>
          <w:szCs w:val="24"/>
          <w:lang w:val="it-IT" w:eastAsia="it-IT"/>
        </w:rPr>
      </w:pPr>
      <w:r w:rsidRPr="00325959">
        <w:rPr>
          <w:rFonts w:eastAsia="Times New Roman"/>
          <w:szCs w:val="24"/>
          <w:lang w:val="it-IT" w:eastAsia="it-IT"/>
        </w:rPr>
        <w:t>Il relatore ha preso contatto con i responsabili di alcune delle unità UAA e raccolto le loro impressioni che riassumiamo in alcune tematiche principali.</w:t>
      </w:r>
    </w:p>
    <w:p w:rsidR="00325959" w:rsidRPr="00325959" w:rsidRDefault="00325959" w:rsidP="005C64D6">
      <w:pPr>
        <w:rPr>
          <w:rFonts w:eastAsia="Times New Roman"/>
          <w:szCs w:val="24"/>
          <w:lang w:val="it-IT" w:eastAsia="it-IT"/>
        </w:rPr>
      </w:pPr>
    </w:p>
    <w:p w:rsidR="00325959" w:rsidRPr="00325959" w:rsidRDefault="001F6B2A" w:rsidP="005C64D6">
      <w:pPr>
        <w:pStyle w:val="Titolo2"/>
        <w:numPr>
          <w:ilvl w:val="0"/>
          <w:numId w:val="0"/>
        </w:numPr>
        <w:tabs>
          <w:tab w:val="left" w:pos="567"/>
        </w:tabs>
        <w:spacing w:before="0" w:after="120"/>
        <w:jc w:val="both"/>
        <w:rPr>
          <w:lang w:val="it-IT" w:eastAsia="it-IT"/>
        </w:rPr>
      </w:pPr>
      <w:bookmarkStart w:id="16" w:name="_Toc95234629"/>
      <w:r>
        <w:rPr>
          <w:lang w:val="it-IT" w:eastAsia="it-IT"/>
        </w:rPr>
        <w:t>5.1</w:t>
      </w:r>
      <w:r>
        <w:rPr>
          <w:lang w:val="it-IT" w:eastAsia="it-IT"/>
        </w:rPr>
        <w:tab/>
      </w:r>
      <w:r w:rsidR="00325959" w:rsidRPr="00325959">
        <w:rPr>
          <w:lang w:val="it-IT" w:eastAsia="it-IT"/>
        </w:rPr>
        <w:t>Volontà politica</w:t>
      </w:r>
      <w:bookmarkEnd w:id="16"/>
    </w:p>
    <w:p w:rsidR="00325959" w:rsidRPr="00325959" w:rsidRDefault="00325959" w:rsidP="005C64D6">
      <w:pPr>
        <w:contextualSpacing/>
        <w:rPr>
          <w:rFonts w:eastAsia="Times New Roman"/>
          <w:szCs w:val="24"/>
          <w:lang w:val="it-IT" w:eastAsia="it-IT"/>
        </w:rPr>
      </w:pPr>
      <w:r w:rsidRPr="00325959">
        <w:rPr>
          <w:rFonts w:eastAsia="Times New Roman"/>
          <w:szCs w:val="24"/>
          <w:lang w:val="it-IT" w:eastAsia="it-IT"/>
        </w:rPr>
        <w:t>L’impressione generale è che non vi sia una chiara volontà del Consiglio di Stato di promuovere attivamente e con determinazione il modello UAA. Vi è la sensazione che se qualcuno lo vuole fare va bene ma non vi è un chiaro obiettivo in tale senso. Sembrerebbe sussistere il malcelato sospetto che una maggior autonomia dei servizi possa coincidere con la perdita di un certo potere di intervento da parte del Governo. Questo dubbio, abbinato a una certa perplessità di fondo del Consiglio di Stato nelle capacità gestionali e di conduzione di taluni funzionari dirigenti, non sono certamente le premesse migliori per una promozione del modello.</w:t>
      </w:r>
    </w:p>
    <w:p w:rsidR="00325959" w:rsidRPr="00325959" w:rsidRDefault="001F6B2A" w:rsidP="005C64D6">
      <w:pPr>
        <w:pStyle w:val="Titolo2"/>
        <w:numPr>
          <w:ilvl w:val="0"/>
          <w:numId w:val="0"/>
        </w:numPr>
        <w:tabs>
          <w:tab w:val="left" w:pos="567"/>
        </w:tabs>
        <w:spacing w:before="0" w:after="120"/>
        <w:jc w:val="both"/>
        <w:rPr>
          <w:lang w:val="it-IT" w:eastAsia="it-IT"/>
        </w:rPr>
      </w:pPr>
      <w:bookmarkStart w:id="17" w:name="_Toc95234630"/>
      <w:r>
        <w:rPr>
          <w:lang w:val="it-IT" w:eastAsia="it-IT"/>
        </w:rPr>
        <w:lastRenderedPageBreak/>
        <w:t>5.2</w:t>
      </w:r>
      <w:r>
        <w:rPr>
          <w:lang w:val="it-IT" w:eastAsia="it-IT"/>
        </w:rPr>
        <w:tab/>
      </w:r>
      <w:r w:rsidR="00325959" w:rsidRPr="00325959">
        <w:rPr>
          <w:lang w:val="it-IT" w:eastAsia="it-IT"/>
        </w:rPr>
        <w:t>Funzionari dirigenti</w:t>
      </w:r>
      <w:bookmarkEnd w:id="17"/>
    </w:p>
    <w:p w:rsidR="00325959" w:rsidRPr="00325959" w:rsidRDefault="00325959" w:rsidP="005C64D6">
      <w:pPr>
        <w:contextualSpacing/>
        <w:rPr>
          <w:rFonts w:eastAsia="Times New Roman"/>
          <w:szCs w:val="24"/>
          <w:lang w:val="it-IT" w:eastAsia="it-IT"/>
        </w:rPr>
      </w:pPr>
      <w:r w:rsidRPr="00325959">
        <w:rPr>
          <w:rFonts w:eastAsia="Times New Roman"/>
          <w:szCs w:val="24"/>
          <w:lang w:val="it-IT" w:eastAsia="it-IT"/>
        </w:rPr>
        <w:t>Da parte dei funzionari dirigenti incontrati dal relatore sono emerse le osservazioni seguenti:</w:t>
      </w:r>
    </w:p>
    <w:p w:rsidR="00325959" w:rsidRPr="00325959" w:rsidRDefault="00325959" w:rsidP="005C64D6">
      <w:pPr>
        <w:numPr>
          <w:ilvl w:val="0"/>
          <w:numId w:val="20"/>
        </w:numPr>
        <w:spacing w:before="60"/>
        <w:ind w:left="357"/>
        <w:rPr>
          <w:rFonts w:eastAsia="Times New Roman"/>
          <w:szCs w:val="24"/>
          <w:lang w:val="it-IT" w:eastAsia="it-IT"/>
        </w:rPr>
      </w:pPr>
      <w:r w:rsidRPr="00325959">
        <w:rPr>
          <w:rFonts w:eastAsia="Times New Roman"/>
          <w:szCs w:val="24"/>
          <w:lang w:val="it-IT" w:eastAsia="it-IT"/>
        </w:rPr>
        <w:t xml:space="preserve">I funzionari dirigenti percepiscono il modello come un ulteriore carico di lavoro, perlomeno dal punto di vista amministrativo, senza che sussista un beneficio perlomeno di pari entità. </w:t>
      </w:r>
    </w:p>
    <w:p w:rsidR="00325959" w:rsidRPr="00325959" w:rsidRDefault="00325959" w:rsidP="005C64D6">
      <w:pPr>
        <w:numPr>
          <w:ilvl w:val="0"/>
          <w:numId w:val="20"/>
        </w:numPr>
        <w:spacing w:before="60"/>
        <w:ind w:left="357"/>
        <w:rPr>
          <w:rFonts w:eastAsia="Times New Roman"/>
          <w:szCs w:val="24"/>
          <w:lang w:val="it-IT" w:eastAsia="it-IT"/>
        </w:rPr>
      </w:pPr>
      <w:r w:rsidRPr="00325959">
        <w:rPr>
          <w:rFonts w:eastAsia="Times New Roman"/>
          <w:szCs w:val="24"/>
          <w:lang w:val="it-IT" w:eastAsia="it-IT"/>
        </w:rPr>
        <w:t xml:space="preserve">Il sostegno loro dato nel processo di trasformazione rimane piuttosto limitato per non dire nullo, vi sono lacune </w:t>
      </w:r>
      <w:r w:rsidRPr="00325959">
        <w:rPr>
          <w:rFonts w:eastAsia="Times New Roman"/>
          <w:szCs w:val="20"/>
          <w:lang w:val="it-IT" w:eastAsia="it-IT"/>
        </w:rPr>
        <w:t xml:space="preserve">di informazione, nella formazione, nella consulenza e nell’accompagnamento del processo di cambiamento. </w:t>
      </w:r>
    </w:p>
    <w:p w:rsidR="00325959" w:rsidRPr="00325959" w:rsidRDefault="00325959" w:rsidP="005C64D6">
      <w:pPr>
        <w:spacing w:before="60"/>
        <w:ind w:left="357"/>
        <w:rPr>
          <w:rFonts w:eastAsia="Times New Roman"/>
          <w:szCs w:val="24"/>
          <w:lang w:val="it-IT" w:eastAsia="it-IT"/>
        </w:rPr>
      </w:pPr>
      <w:r w:rsidRPr="00325959">
        <w:rPr>
          <w:rFonts w:eastAsia="Times New Roman"/>
          <w:szCs w:val="20"/>
          <w:lang w:val="it-IT" w:eastAsia="it-IT"/>
        </w:rPr>
        <w:t>Potrebbe ad esempio essere interessante creare dei momenti di confronto fra dirigenti che applicano il modello con i servizi centrali dell’AC, con particolare riferimento a Finanze e Risorse umane, e i membri del gruppo tecnico UAA per condividere difficoltà e potenzialità del modello. In questa sede potrebbero essere coinvolti eventuali dirigenti di future unità amministrative interessate.</w:t>
      </w:r>
    </w:p>
    <w:p w:rsidR="00325959" w:rsidRPr="00325959" w:rsidRDefault="00325959" w:rsidP="005C64D6">
      <w:pPr>
        <w:numPr>
          <w:ilvl w:val="0"/>
          <w:numId w:val="20"/>
        </w:numPr>
        <w:spacing w:before="60"/>
        <w:ind w:left="357"/>
        <w:rPr>
          <w:rFonts w:eastAsia="Times New Roman"/>
          <w:szCs w:val="24"/>
          <w:lang w:val="it-IT" w:eastAsia="it-IT"/>
        </w:rPr>
      </w:pPr>
      <w:r w:rsidRPr="00325959">
        <w:rPr>
          <w:rFonts w:eastAsia="Times New Roman"/>
          <w:szCs w:val="24"/>
          <w:lang w:val="it-IT" w:eastAsia="it-IT"/>
        </w:rPr>
        <w:t>Il beneficio in termini di flessibilità finanziaria è certamente interessante ma sussiste il forte dubbio e la preoccupazione che esigenze di bilancio, in particolare nei momenti di difficoltà come è il caso oggi, possano portare facilmente il Consiglio di Stato a decidere dei prelievi straordinari dal fondo di capitalizzazione accumulato.</w:t>
      </w:r>
    </w:p>
    <w:p w:rsidR="00325959" w:rsidRPr="00325959" w:rsidRDefault="00325959" w:rsidP="005C64D6">
      <w:pPr>
        <w:numPr>
          <w:ilvl w:val="0"/>
          <w:numId w:val="20"/>
        </w:numPr>
        <w:spacing w:before="60"/>
        <w:ind w:left="357"/>
        <w:rPr>
          <w:rFonts w:eastAsia="Times New Roman"/>
          <w:szCs w:val="24"/>
          <w:lang w:val="it-IT" w:eastAsia="it-IT"/>
        </w:rPr>
      </w:pPr>
      <w:r w:rsidRPr="00325959">
        <w:rPr>
          <w:rFonts w:eastAsia="Times New Roman"/>
          <w:szCs w:val="24"/>
          <w:lang w:val="it-IT" w:eastAsia="it-IT"/>
        </w:rPr>
        <w:t>Il modello permette una gestione delle risorse umane maggiormente flessibile per la gestione di progetti finanziabili da parte del fondo. Rimane invece rigida, e per tutti troppo rigida, ingabbiata secondo la LStip per quanto riguarda la gestione dei PPA.</w:t>
      </w:r>
    </w:p>
    <w:p w:rsidR="00325959" w:rsidRPr="00985A80" w:rsidRDefault="00325959" w:rsidP="005C64D6">
      <w:pPr>
        <w:jc w:val="left"/>
        <w:rPr>
          <w:rFonts w:eastAsia="Times New Roman"/>
          <w:szCs w:val="24"/>
          <w:lang w:val="it-IT" w:eastAsia="it-IT"/>
        </w:rPr>
      </w:pPr>
    </w:p>
    <w:p w:rsidR="00325959" w:rsidRPr="00325959" w:rsidRDefault="00E06164" w:rsidP="005C64D6">
      <w:pPr>
        <w:pStyle w:val="Titolo2"/>
        <w:numPr>
          <w:ilvl w:val="0"/>
          <w:numId w:val="0"/>
        </w:numPr>
        <w:tabs>
          <w:tab w:val="left" w:pos="567"/>
        </w:tabs>
        <w:spacing w:before="0" w:after="120"/>
        <w:jc w:val="both"/>
        <w:rPr>
          <w:lang w:val="it-IT" w:eastAsia="it-IT"/>
        </w:rPr>
      </w:pPr>
      <w:bookmarkStart w:id="18" w:name="_Toc95234631"/>
      <w:r>
        <w:rPr>
          <w:lang w:val="it-IT" w:eastAsia="it-IT"/>
        </w:rPr>
        <w:t>5.3</w:t>
      </w:r>
      <w:r>
        <w:rPr>
          <w:lang w:val="it-IT" w:eastAsia="it-IT"/>
        </w:rPr>
        <w:tab/>
      </w:r>
      <w:r w:rsidR="00325959" w:rsidRPr="00325959">
        <w:rPr>
          <w:lang w:val="it-IT" w:eastAsia="it-IT"/>
        </w:rPr>
        <w:t>Indicatori</w:t>
      </w:r>
      <w:bookmarkEnd w:id="18"/>
    </w:p>
    <w:p w:rsidR="00325959" w:rsidRPr="00325959" w:rsidRDefault="00325959" w:rsidP="005C64D6">
      <w:pPr>
        <w:rPr>
          <w:rFonts w:eastAsia="Times New Roman"/>
          <w:szCs w:val="24"/>
          <w:lang w:val="it-IT" w:eastAsia="it-IT"/>
        </w:rPr>
      </w:pPr>
      <w:r w:rsidRPr="00325959">
        <w:rPr>
          <w:rFonts w:eastAsia="Times New Roman"/>
          <w:szCs w:val="24"/>
          <w:lang w:val="it-IT" w:eastAsia="it-IT"/>
        </w:rPr>
        <w:t xml:space="preserve">La definizione di </w:t>
      </w:r>
      <w:r w:rsidRPr="00325959">
        <w:rPr>
          <w:rFonts w:eastAsia="Times New Roman"/>
          <w:b/>
          <w:szCs w:val="24"/>
          <w:lang w:val="it-IT" w:eastAsia="it-IT"/>
        </w:rPr>
        <w:t>indicatori quantitativi e finanziari</w:t>
      </w:r>
      <w:r w:rsidRPr="00325959">
        <w:rPr>
          <w:rFonts w:eastAsia="Times New Roman"/>
          <w:szCs w:val="24"/>
          <w:lang w:val="it-IT" w:eastAsia="it-IT"/>
        </w:rPr>
        <w:t xml:space="preserve"> presuppone da parte dell’unità amministrativa un’analisi delle proprie prestazioni e dei processi produttivi con la relativa allocazione delle risorse. Si tratta di una premessa indispensabile per poter affrontare il tema di una miglior efficacia e efficienza del servizio.</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 xml:space="preserve">Più difficile rimane la definizione di </w:t>
      </w:r>
      <w:r w:rsidRPr="00325959">
        <w:rPr>
          <w:rFonts w:eastAsia="Times New Roman"/>
          <w:b/>
          <w:szCs w:val="24"/>
          <w:lang w:val="it-IT" w:eastAsia="it-IT"/>
        </w:rPr>
        <w:t>indicatori qualitativi</w:t>
      </w:r>
      <w:r w:rsidRPr="00325959">
        <w:rPr>
          <w:rFonts w:eastAsia="Times New Roman"/>
          <w:szCs w:val="24"/>
          <w:lang w:val="it-IT" w:eastAsia="it-IT"/>
        </w:rPr>
        <w:t xml:space="preserve"> che a dipendenza del settore richiedono la predisposizione di strumenti diversi come la raccolta sistematica e regolare della valutazione del servizio da parte degli utenti. È un passaggio che richiede un certo cambio di mentalità, torniamo al discorso di cambiamento della “cultura aziendale”. Un approccio verosimilmente non così diffuso all’interno dell’AC.</w:t>
      </w:r>
    </w:p>
    <w:p w:rsidR="00325959" w:rsidRPr="00325959" w:rsidRDefault="00325959" w:rsidP="005C64D6">
      <w:pPr>
        <w:rPr>
          <w:rFonts w:eastAsia="Times New Roman"/>
          <w:szCs w:val="24"/>
          <w:lang w:val="it-IT" w:eastAsia="it-IT"/>
        </w:rPr>
      </w:pPr>
    </w:p>
    <w:p w:rsidR="00325959" w:rsidRPr="00325959" w:rsidRDefault="00E06164" w:rsidP="005C64D6">
      <w:pPr>
        <w:pStyle w:val="Titolo2"/>
        <w:numPr>
          <w:ilvl w:val="0"/>
          <w:numId w:val="0"/>
        </w:numPr>
        <w:tabs>
          <w:tab w:val="left" w:pos="567"/>
        </w:tabs>
        <w:spacing w:before="0" w:after="120"/>
        <w:jc w:val="both"/>
        <w:rPr>
          <w:lang w:val="it-IT" w:eastAsia="it-IT"/>
        </w:rPr>
      </w:pPr>
      <w:bookmarkStart w:id="19" w:name="_Toc95234632"/>
      <w:r>
        <w:rPr>
          <w:lang w:val="it-IT" w:eastAsia="it-IT"/>
        </w:rPr>
        <w:t>5.4</w:t>
      </w:r>
      <w:r>
        <w:rPr>
          <w:lang w:val="it-IT" w:eastAsia="it-IT"/>
        </w:rPr>
        <w:tab/>
      </w:r>
      <w:r w:rsidR="00325959" w:rsidRPr="00325959">
        <w:rPr>
          <w:lang w:val="it-IT" w:eastAsia="it-IT"/>
        </w:rPr>
        <w:t>Finanze</w:t>
      </w:r>
      <w:bookmarkEnd w:id="19"/>
    </w:p>
    <w:p w:rsidR="00325959" w:rsidRPr="00325959" w:rsidRDefault="00325959" w:rsidP="005C64D6">
      <w:pPr>
        <w:rPr>
          <w:rFonts w:eastAsia="Times New Roman"/>
          <w:szCs w:val="24"/>
          <w:lang w:val="it-IT" w:eastAsia="it-IT"/>
        </w:rPr>
      </w:pPr>
      <w:r w:rsidRPr="00325959">
        <w:rPr>
          <w:rFonts w:eastAsia="Times New Roman"/>
          <w:szCs w:val="24"/>
          <w:lang w:val="it-IT" w:eastAsia="it-IT"/>
        </w:rPr>
        <w:t xml:space="preserve">La maggior flessibilità nella gestione delle risorse è certamente valutata positivamente; ciò vale per l’assunzione di risorse a tempo determinato e per le deroghe alle norme della Legge sulla gestione e sul controllo finanziario dello Stato. Sono aspetti che permettono un </w:t>
      </w:r>
      <w:r w:rsidRPr="00325959">
        <w:rPr>
          <w:rFonts w:eastAsia="Times New Roman"/>
          <w:b/>
          <w:szCs w:val="24"/>
          <w:lang w:val="it-IT" w:eastAsia="it-IT"/>
        </w:rPr>
        <w:t>utilizzo più flessibile e efficiente delle risorse finanziarie</w:t>
      </w:r>
      <w:r w:rsidRPr="00325959">
        <w:rPr>
          <w:rFonts w:eastAsia="Times New Roman"/>
          <w:szCs w:val="24"/>
          <w:lang w:val="it-IT" w:eastAsia="it-IT"/>
        </w:rPr>
        <w:t xml:space="preserve"> disponibili.</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Poi però l’entusiasmo è relativizzato dalla rigidità nella gestione delle risorse umane (PPA e posizioni a tempo indeterminato) che comunque rappresenta sovente la voce di spesa principale.</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Il modello UAA deve trovare un nuovo punto di equilibrio tra la logica della classica gestione dei crediti a livello di preventivo dello Stato e la gestione del credito globale che è la somma dei crediti tradizionali connesso agli obiettivi del mandato di prestazione rispettivamente ai risultati raggiunti. Il raggiungimento di obiettivi migliori dal punto di vista quantitativo non può prescindere dal rispettare perlomeno lo stesso saldo preventivato a livello di budget globale quale differenza tra entrate e uscite dell’unità amministrativa.</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lastRenderedPageBreak/>
        <w:t xml:space="preserve">La possibilità di accumulare un </w:t>
      </w:r>
      <w:r w:rsidRPr="00325959">
        <w:rPr>
          <w:rFonts w:eastAsia="Times New Roman"/>
          <w:b/>
          <w:szCs w:val="24"/>
          <w:lang w:val="it-IT" w:eastAsia="it-IT"/>
        </w:rPr>
        <w:t>fondo di capitalizzazione</w:t>
      </w:r>
      <w:r w:rsidRPr="00325959">
        <w:rPr>
          <w:rFonts w:eastAsia="Times New Roman"/>
          <w:szCs w:val="24"/>
          <w:lang w:val="it-IT" w:eastAsia="it-IT"/>
        </w:rPr>
        <w:t>, ricordiamo che il messaggio propone di portare al 20% del budget annuo disponibile, è certamente visto con favore. L’importante però sarebbe avere la certezza che il Consiglio di Stato non lo veda come un fondo da cui poter prelevare in caso di necessità. A tal proposito sembra preferibile la soluzione adottata in passato da altri cantoni con la possibilità di versare al fondo una parte del miglior risultato ottenuto rispetto al budget (almeno il 50% o il 75% a dipendenza della situazione delle finanze del Cantone) ma poi garantendo l’impossibilità di successivi prelievi per esigenze di bilancio dello Stato.</w:t>
      </w:r>
    </w:p>
    <w:p w:rsidR="00325959" w:rsidRPr="00325959" w:rsidRDefault="00325959" w:rsidP="005C64D6">
      <w:pPr>
        <w:rPr>
          <w:rFonts w:eastAsia="Times New Roman"/>
          <w:szCs w:val="24"/>
          <w:lang w:val="it-IT" w:eastAsia="it-IT"/>
        </w:rPr>
      </w:pPr>
    </w:p>
    <w:p w:rsidR="00325959" w:rsidRPr="00325959" w:rsidRDefault="00E06164" w:rsidP="005C64D6">
      <w:pPr>
        <w:pStyle w:val="Titolo2"/>
        <w:numPr>
          <w:ilvl w:val="0"/>
          <w:numId w:val="0"/>
        </w:numPr>
        <w:tabs>
          <w:tab w:val="left" w:pos="567"/>
        </w:tabs>
        <w:spacing w:before="0" w:after="120"/>
        <w:jc w:val="both"/>
        <w:rPr>
          <w:rFonts w:eastAsia="Times New Roman"/>
          <w:szCs w:val="24"/>
          <w:lang w:val="it-IT" w:eastAsia="it-IT"/>
        </w:rPr>
      </w:pPr>
      <w:bookmarkStart w:id="20" w:name="_Toc95234633"/>
      <w:r>
        <w:rPr>
          <w:rFonts w:eastAsia="Times New Roman"/>
          <w:szCs w:val="24"/>
          <w:lang w:val="it-IT" w:eastAsia="it-IT"/>
        </w:rPr>
        <w:t>5.5</w:t>
      </w:r>
      <w:r>
        <w:rPr>
          <w:rFonts w:eastAsia="Times New Roman"/>
          <w:szCs w:val="24"/>
          <w:lang w:val="it-IT" w:eastAsia="it-IT"/>
        </w:rPr>
        <w:tab/>
      </w:r>
      <w:r w:rsidR="00325959" w:rsidRPr="00325959">
        <w:rPr>
          <w:rFonts w:eastAsia="Times New Roman"/>
          <w:szCs w:val="24"/>
          <w:lang w:val="it-IT" w:eastAsia="it-IT"/>
        </w:rPr>
        <w:t>Risorse umane</w:t>
      </w:r>
      <w:bookmarkEnd w:id="20"/>
    </w:p>
    <w:p w:rsidR="00325959" w:rsidRPr="00325959" w:rsidRDefault="00325959" w:rsidP="005C64D6">
      <w:pPr>
        <w:rPr>
          <w:rFonts w:eastAsia="Times New Roman"/>
          <w:szCs w:val="24"/>
          <w:lang w:val="it-IT" w:eastAsia="it-IT"/>
        </w:rPr>
      </w:pPr>
      <w:r w:rsidRPr="00325959">
        <w:rPr>
          <w:rFonts w:eastAsia="Times New Roman"/>
          <w:szCs w:val="24"/>
          <w:lang w:val="it-IT" w:eastAsia="it-IT"/>
        </w:rPr>
        <w:t>Il modello UAA è un’opportunità per la promozione di un percorso formativo interno e potrebbe facilitare una nuova cultura aziendale dell’unità amministrativa rispettivamente nell’AC. Purtroppo la rigidità interna di molti processi decisionali, uno su tutti le conseguenze della legge sulle commesse pubbliche, smorza parecchio la volontà di intraprendenza e dinamicità dei servizi disposti all’innovazione e gestiti con spirito imprenditoriale.</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Un aspetto indiscutibilmente positivo, come già detto, è la possibilità grazie al fondo di capitalizzazione di assunzioni a tempo determinato per lo sviluppo di nuovi progetti che consentono al servizio di portare innovazione e un miglioramento delle proprie prestazioni. Giusto sottolineare che si tratta di un’opportunità di difficile attuazione per i servizi che hanno poche possibilità di lavorare su progetti e che auspicherebbero soluzioni alternative per aumentare la flessibilità dell’unità amministrativa.</w:t>
      </w:r>
    </w:p>
    <w:p w:rsidR="00325959" w:rsidRPr="00325959" w:rsidRDefault="00325959" w:rsidP="005C64D6">
      <w:pPr>
        <w:rPr>
          <w:rFonts w:eastAsia="Times New Roman"/>
          <w:szCs w:val="24"/>
          <w:lang w:val="it-IT" w:eastAsia="it-IT"/>
        </w:rPr>
      </w:pPr>
      <w:r w:rsidRPr="00325959">
        <w:rPr>
          <w:rFonts w:eastAsia="Times New Roman"/>
          <w:szCs w:val="24"/>
          <w:lang w:val="it-IT" w:eastAsia="it-IT"/>
        </w:rPr>
        <w:t xml:space="preserve">Così come è altrettanto importante sottolineare che qualora da progetto l’attività dovesse divenire compito permanente, il personale poi deve essere integrato nell’organico. </w:t>
      </w:r>
    </w:p>
    <w:p w:rsidR="00325959" w:rsidRDefault="00325959" w:rsidP="005C64D6">
      <w:pPr>
        <w:rPr>
          <w:rFonts w:eastAsia="Times New Roman"/>
          <w:szCs w:val="24"/>
          <w:lang w:val="it-IT" w:eastAsia="it-IT"/>
        </w:rPr>
      </w:pPr>
    </w:p>
    <w:p w:rsidR="00E06164" w:rsidRPr="00325959" w:rsidRDefault="00E06164" w:rsidP="005C64D6">
      <w:pPr>
        <w:rPr>
          <w:rFonts w:eastAsia="Times New Roman"/>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21" w:name="_Toc95234634"/>
      <w:r w:rsidRPr="00325959">
        <w:rPr>
          <w:caps/>
          <w:szCs w:val="24"/>
          <w:lang w:val="it-IT" w:eastAsia="it-IT"/>
        </w:rPr>
        <w:t>Proposta di adeguamento</w:t>
      </w:r>
      <w:bookmarkEnd w:id="21"/>
    </w:p>
    <w:p w:rsidR="00325959" w:rsidRPr="00325959" w:rsidRDefault="00325959" w:rsidP="005C64D6">
      <w:pPr>
        <w:rPr>
          <w:rFonts w:eastAsia="Times New Roman"/>
          <w:szCs w:val="24"/>
          <w:lang w:val="it-IT" w:eastAsia="it-IT"/>
        </w:rPr>
      </w:pPr>
      <w:r w:rsidRPr="00325959">
        <w:rPr>
          <w:rFonts w:eastAsia="Times New Roman"/>
          <w:szCs w:val="24"/>
          <w:lang w:val="it-IT" w:eastAsia="it-IT"/>
        </w:rPr>
        <w:t>Il Consiglio di Stato nel messaggio condivide le diverse criticità emerse e al capitolo 4 e propone dei cambiamenti puntuali per rilanciare il modello di UAA.</w:t>
      </w:r>
    </w:p>
    <w:p w:rsidR="00325959" w:rsidRPr="00325959" w:rsidRDefault="00325959" w:rsidP="005C64D6">
      <w:pPr>
        <w:rPr>
          <w:rFonts w:eastAsia="Times New Roman"/>
          <w:szCs w:val="24"/>
          <w:lang w:val="it-IT" w:eastAsia="it-IT"/>
        </w:rPr>
      </w:pPr>
    </w:p>
    <w:p w:rsidR="00325959" w:rsidRPr="00325959" w:rsidRDefault="00E06164" w:rsidP="005C64D6">
      <w:pPr>
        <w:pStyle w:val="Titolo2"/>
        <w:numPr>
          <w:ilvl w:val="0"/>
          <w:numId w:val="0"/>
        </w:numPr>
        <w:tabs>
          <w:tab w:val="left" w:pos="567"/>
        </w:tabs>
        <w:spacing w:before="0" w:after="120"/>
        <w:jc w:val="both"/>
        <w:rPr>
          <w:lang w:val="it-IT" w:eastAsia="it-IT"/>
        </w:rPr>
      </w:pPr>
      <w:bookmarkStart w:id="22" w:name="_Toc95234635"/>
      <w:r>
        <w:rPr>
          <w:lang w:val="it-IT" w:eastAsia="it-IT"/>
        </w:rPr>
        <w:t>6.1</w:t>
      </w:r>
      <w:r>
        <w:rPr>
          <w:lang w:val="it-IT" w:eastAsia="it-IT"/>
        </w:rPr>
        <w:tab/>
      </w:r>
      <w:r w:rsidR="00325959" w:rsidRPr="00325959">
        <w:rPr>
          <w:lang w:val="it-IT" w:eastAsia="it-IT"/>
        </w:rPr>
        <w:t>Correzioni al modello</w:t>
      </w:r>
      <w:bookmarkEnd w:id="22"/>
    </w:p>
    <w:p w:rsidR="00325959" w:rsidRPr="00325959" w:rsidRDefault="00325959" w:rsidP="005C64D6">
      <w:pPr>
        <w:rPr>
          <w:rFonts w:eastAsia="Times New Roman"/>
          <w:szCs w:val="20"/>
          <w:lang w:val="it-IT" w:eastAsia="it-IT"/>
        </w:rPr>
      </w:pPr>
      <w:r w:rsidRPr="00325959">
        <w:rPr>
          <w:rFonts w:eastAsia="Times New Roman"/>
          <w:szCs w:val="20"/>
          <w:lang w:val="it-IT" w:eastAsia="it-IT"/>
        </w:rPr>
        <w:t>In sintesi, il Consiglio di Stato propone una strategia di rilancio e alcuni correttivi che potrebbero incentivare e facilitare il passaggio a UAA:</w:t>
      </w:r>
    </w:p>
    <w:p w:rsidR="00325959" w:rsidRPr="00325959" w:rsidRDefault="00325959" w:rsidP="005C64D6">
      <w:pPr>
        <w:numPr>
          <w:ilvl w:val="0"/>
          <w:numId w:val="19"/>
        </w:numPr>
        <w:spacing w:before="80"/>
        <w:ind w:left="284" w:hanging="284"/>
        <w:rPr>
          <w:rFonts w:eastAsia="Times New Roman" w:cs="Arial"/>
          <w:szCs w:val="24"/>
          <w:lang w:val="it-IT" w:eastAsia="it-IT"/>
        </w:rPr>
      </w:pPr>
      <w:r w:rsidRPr="00325959">
        <w:rPr>
          <w:rFonts w:eastAsia="Times New Roman" w:cs="Arial"/>
          <w:b/>
          <w:szCs w:val="24"/>
          <w:lang w:val="it-IT" w:eastAsia="it-IT"/>
        </w:rPr>
        <w:t>raddoppiare l’ammontare del fondo di capitalizzazione</w:t>
      </w:r>
      <w:r w:rsidRPr="00325959">
        <w:rPr>
          <w:rFonts w:eastAsia="Times New Roman" w:cs="Arial"/>
          <w:szCs w:val="24"/>
          <w:lang w:val="it-IT" w:eastAsia="it-IT"/>
        </w:rPr>
        <w:t xml:space="preserve">, 20% dell’ultimo budget globale, rispetto all’attuale 10%, </w:t>
      </w:r>
      <w:r w:rsidRPr="00325959">
        <w:rPr>
          <w:rFonts w:eastAsia="Times New Roman" w:cs="Arial"/>
          <w:szCs w:val="24"/>
          <w:u w:val="single"/>
          <w:lang w:val="it-IT" w:eastAsia="it-IT"/>
        </w:rPr>
        <w:t>modifica della LUAA oggetto del presente messaggio</w:t>
      </w:r>
      <w:r w:rsidRPr="00325959">
        <w:rPr>
          <w:rFonts w:eastAsia="Times New Roman" w:cs="Arial"/>
          <w:szCs w:val="24"/>
          <w:lang w:val="it-IT" w:eastAsia="it-IT"/>
        </w:rPr>
        <w:t>;</w:t>
      </w:r>
    </w:p>
    <w:p w:rsidR="00325959" w:rsidRPr="00325959" w:rsidRDefault="00325959" w:rsidP="005C64D6">
      <w:pPr>
        <w:numPr>
          <w:ilvl w:val="0"/>
          <w:numId w:val="19"/>
        </w:numPr>
        <w:spacing w:before="80"/>
        <w:ind w:left="284" w:hanging="284"/>
        <w:rPr>
          <w:rFonts w:eastAsia="Times New Roman" w:cs="Arial"/>
          <w:szCs w:val="24"/>
          <w:lang w:val="it-IT" w:eastAsia="it-IT"/>
        </w:rPr>
      </w:pPr>
      <w:r w:rsidRPr="00325959">
        <w:rPr>
          <w:rFonts w:eastAsia="Times New Roman" w:cs="Arial"/>
          <w:b/>
          <w:szCs w:val="24"/>
          <w:lang w:val="it-IT" w:eastAsia="it-IT"/>
        </w:rPr>
        <w:t>raddoppiare le aliquote relative al riporto annuale</w:t>
      </w:r>
      <w:r w:rsidRPr="00325959">
        <w:rPr>
          <w:rFonts w:eastAsia="Times New Roman" w:cs="Arial"/>
          <w:szCs w:val="24"/>
          <w:lang w:val="it-IT" w:eastAsia="it-IT"/>
        </w:rPr>
        <w:t xml:space="preserve"> sul fondo di capitalizzazione al 10% del budget globale dell’anno, rispetto all’attuale 5% (modifica del Regolamento);</w:t>
      </w:r>
    </w:p>
    <w:p w:rsidR="00325959" w:rsidRPr="00325959" w:rsidRDefault="00325959" w:rsidP="005C64D6">
      <w:pPr>
        <w:numPr>
          <w:ilvl w:val="0"/>
          <w:numId w:val="19"/>
        </w:numPr>
        <w:spacing w:before="80"/>
        <w:ind w:left="284" w:hanging="284"/>
        <w:rPr>
          <w:rFonts w:eastAsia="Times New Roman" w:cs="Arial"/>
          <w:szCs w:val="24"/>
          <w:lang w:val="it-IT" w:eastAsia="it-IT"/>
        </w:rPr>
      </w:pPr>
      <w:r w:rsidRPr="00325959">
        <w:rPr>
          <w:rFonts w:eastAsia="Times New Roman" w:cs="Arial"/>
          <w:szCs w:val="24"/>
          <w:lang w:val="it-IT" w:eastAsia="it-IT"/>
        </w:rPr>
        <w:t xml:space="preserve">rafforzare il principio della </w:t>
      </w:r>
      <w:r w:rsidRPr="00325959">
        <w:rPr>
          <w:rFonts w:eastAsia="Times New Roman" w:cs="Arial"/>
          <w:b/>
          <w:szCs w:val="24"/>
          <w:lang w:val="it-IT" w:eastAsia="it-IT"/>
        </w:rPr>
        <w:t>negoziazione del budget globale</w:t>
      </w:r>
      <w:r w:rsidRPr="00325959">
        <w:rPr>
          <w:rFonts w:eastAsia="Times New Roman" w:cs="Arial"/>
          <w:szCs w:val="24"/>
          <w:lang w:val="it-IT" w:eastAsia="it-IT"/>
        </w:rPr>
        <w:t xml:space="preserve"> nell’ambito dell’allestimento del preventivo, evitando, nel limite del possibile, limature al budget una volta definito lo stesso;</w:t>
      </w:r>
    </w:p>
    <w:p w:rsidR="00325959" w:rsidRPr="00325959" w:rsidRDefault="00325959" w:rsidP="005C64D6">
      <w:pPr>
        <w:numPr>
          <w:ilvl w:val="0"/>
          <w:numId w:val="19"/>
        </w:numPr>
        <w:spacing w:before="80"/>
        <w:ind w:left="284" w:hanging="284"/>
        <w:rPr>
          <w:rFonts w:eastAsia="Times New Roman" w:cs="Arial"/>
          <w:szCs w:val="24"/>
          <w:lang w:val="it-IT" w:eastAsia="it-IT"/>
        </w:rPr>
      </w:pPr>
      <w:r w:rsidRPr="00325959">
        <w:rPr>
          <w:rFonts w:eastAsia="Times New Roman" w:cs="Arial"/>
          <w:szCs w:val="24"/>
          <w:lang w:val="it-IT" w:eastAsia="it-IT"/>
        </w:rPr>
        <w:t xml:space="preserve">dare </w:t>
      </w:r>
      <w:r w:rsidRPr="00325959">
        <w:rPr>
          <w:rFonts w:eastAsia="Times New Roman" w:cs="Arial"/>
          <w:b/>
          <w:szCs w:val="24"/>
          <w:lang w:val="it-IT" w:eastAsia="it-IT"/>
        </w:rPr>
        <w:t>maggiore flessibilità</w:t>
      </w:r>
      <w:r w:rsidRPr="00325959">
        <w:rPr>
          <w:rFonts w:eastAsia="Times New Roman" w:cs="Arial"/>
          <w:szCs w:val="24"/>
          <w:lang w:val="it-IT" w:eastAsia="it-IT"/>
        </w:rPr>
        <w:t xml:space="preserve"> al sistema, assicurando ad esempio la possibilità di diventare UAA anche a servizi che non rientrano tra quelli ai quali il modello è applicabile (modifica del Regolamento);</w:t>
      </w:r>
    </w:p>
    <w:p w:rsidR="00325959" w:rsidRPr="00325959" w:rsidRDefault="00325959" w:rsidP="005C64D6">
      <w:pPr>
        <w:numPr>
          <w:ilvl w:val="0"/>
          <w:numId w:val="19"/>
        </w:numPr>
        <w:spacing w:before="80"/>
        <w:ind w:left="284" w:hanging="284"/>
        <w:rPr>
          <w:rFonts w:eastAsia="Times New Roman" w:cs="Arial"/>
          <w:szCs w:val="24"/>
          <w:lang w:val="it-IT" w:eastAsia="it-IT"/>
        </w:rPr>
      </w:pPr>
      <w:r w:rsidRPr="00325959">
        <w:rPr>
          <w:rFonts w:eastAsia="Times New Roman" w:cs="Arial"/>
          <w:szCs w:val="24"/>
          <w:lang w:val="it-IT" w:eastAsia="it-IT"/>
        </w:rPr>
        <w:t xml:space="preserve">assicurare un </w:t>
      </w:r>
      <w:r w:rsidRPr="00325959">
        <w:rPr>
          <w:rFonts w:eastAsia="Times New Roman" w:cs="Arial"/>
          <w:b/>
          <w:szCs w:val="24"/>
          <w:lang w:val="it-IT" w:eastAsia="it-IT"/>
        </w:rPr>
        <w:t>supporto accresciuto</w:t>
      </w:r>
      <w:r w:rsidRPr="00325959">
        <w:rPr>
          <w:rFonts w:eastAsia="Times New Roman" w:cs="Arial"/>
          <w:szCs w:val="24"/>
          <w:lang w:val="it-IT" w:eastAsia="it-IT"/>
        </w:rPr>
        <w:t xml:space="preserve"> ai servizi nella fase di avvicinamento alla trasformazione e dopo il passaggio a UAA, tramite i servizi centrali. A tale scopo, </w:t>
      </w:r>
      <w:r w:rsidR="00985A80">
        <w:rPr>
          <w:rFonts w:eastAsia="Times New Roman" w:cs="Arial"/>
          <w:szCs w:val="24"/>
          <w:lang w:val="it-IT" w:eastAsia="it-IT"/>
        </w:rPr>
        <w:br/>
      </w:r>
      <w:r w:rsidRPr="00325959">
        <w:rPr>
          <w:rFonts w:eastAsia="Times New Roman" w:cs="Arial"/>
          <w:szCs w:val="24"/>
          <w:lang w:val="it-IT" w:eastAsia="it-IT"/>
        </w:rPr>
        <w:lastRenderedPageBreak/>
        <w:t>la Sezione delle finanze potrà essere potenziata con 0.5 unità nel caso in cui il modello UAA dovesse estendersi in modo importante (aspetto organizzativo);</w:t>
      </w:r>
    </w:p>
    <w:p w:rsidR="00325959" w:rsidRPr="00325959" w:rsidRDefault="00325959" w:rsidP="005C64D6">
      <w:pPr>
        <w:numPr>
          <w:ilvl w:val="0"/>
          <w:numId w:val="19"/>
        </w:numPr>
        <w:spacing w:before="80"/>
        <w:ind w:left="284" w:hanging="284"/>
        <w:rPr>
          <w:rFonts w:eastAsia="Times New Roman" w:cs="Arial"/>
          <w:strike/>
          <w:szCs w:val="24"/>
          <w:lang w:val="it-IT" w:eastAsia="it-IT"/>
        </w:rPr>
      </w:pPr>
      <w:r w:rsidRPr="00325959">
        <w:rPr>
          <w:rFonts w:eastAsia="Times New Roman" w:cs="Arial"/>
          <w:b/>
          <w:szCs w:val="24"/>
          <w:lang w:val="it-IT" w:eastAsia="it-IT"/>
        </w:rPr>
        <w:t>semplificare il conto prestazioni e la contabilità analitica</w:t>
      </w:r>
      <w:r w:rsidRPr="00325959">
        <w:rPr>
          <w:rFonts w:eastAsia="Times New Roman" w:cs="Arial"/>
          <w:szCs w:val="24"/>
          <w:lang w:val="it-IT" w:eastAsia="it-IT"/>
        </w:rPr>
        <w:t xml:space="preserve"> e la procedura di passaggio a UAA eliminando il pre-studio di fattibilità (aspetto procedurale e organizzativo);</w:t>
      </w:r>
      <w:r w:rsidRPr="00325959">
        <w:rPr>
          <w:rFonts w:eastAsia="Times New Roman" w:cs="Arial"/>
          <w:strike/>
          <w:szCs w:val="24"/>
          <w:lang w:val="it-IT" w:eastAsia="it-IT"/>
        </w:rPr>
        <w:t xml:space="preserve"> </w:t>
      </w:r>
    </w:p>
    <w:p w:rsidR="00325959" w:rsidRPr="00985A80" w:rsidRDefault="00325959" w:rsidP="005C64D6">
      <w:pPr>
        <w:jc w:val="left"/>
        <w:rPr>
          <w:rFonts w:eastAsia="Times New Roman"/>
          <w:szCs w:val="24"/>
          <w:lang w:val="it-IT" w:eastAsia="it-IT"/>
        </w:rPr>
      </w:pPr>
    </w:p>
    <w:p w:rsidR="00325959" w:rsidRPr="00325959" w:rsidRDefault="00E06164" w:rsidP="005C64D6">
      <w:pPr>
        <w:pStyle w:val="Titolo2"/>
        <w:numPr>
          <w:ilvl w:val="0"/>
          <w:numId w:val="0"/>
        </w:numPr>
        <w:tabs>
          <w:tab w:val="left" w:pos="567"/>
        </w:tabs>
        <w:spacing w:before="0" w:after="120"/>
        <w:jc w:val="both"/>
        <w:rPr>
          <w:lang w:val="it-IT" w:eastAsia="it-IT"/>
        </w:rPr>
      </w:pPr>
      <w:bookmarkStart w:id="23" w:name="_Toc95234636"/>
      <w:r>
        <w:rPr>
          <w:lang w:val="it-IT" w:eastAsia="it-IT"/>
        </w:rPr>
        <w:t>6.2</w:t>
      </w:r>
      <w:r>
        <w:rPr>
          <w:lang w:val="it-IT" w:eastAsia="it-IT"/>
        </w:rPr>
        <w:tab/>
      </w:r>
      <w:r w:rsidR="00325959" w:rsidRPr="00325959">
        <w:rPr>
          <w:lang w:val="it-IT" w:eastAsia="it-IT"/>
        </w:rPr>
        <w:t>Conseguenze finanziarie</w:t>
      </w:r>
      <w:bookmarkEnd w:id="23"/>
    </w:p>
    <w:p w:rsidR="00325959" w:rsidRPr="00325959" w:rsidRDefault="00325959" w:rsidP="005C64D6">
      <w:pPr>
        <w:rPr>
          <w:szCs w:val="20"/>
          <w:lang w:val="it-IT" w:eastAsia="it-IT"/>
        </w:rPr>
      </w:pPr>
      <w:r w:rsidRPr="00325959">
        <w:rPr>
          <w:szCs w:val="20"/>
          <w:lang w:val="it-IT" w:eastAsia="it-IT"/>
        </w:rPr>
        <w:t>In considerazione del raddoppio delle aliquote massime a favore del fondo di capitalizzazione e del possibile ammontare massimo dello stesso, è stato stimato un importo totale massimo di 1.5 mio annui su 5 o 6 anni (inclusa l’eventuale risorsa supplementare di mezza unità alle Sezione delle finanze).</w:t>
      </w:r>
    </w:p>
    <w:p w:rsidR="00325959" w:rsidRPr="00325959" w:rsidRDefault="00325959" w:rsidP="005C64D6">
      <w:pPr>
        <w:rPr>
          <w:szCs w:val="20"/>
          <w:lang w:val="it-IT" w:eastAsia="it-IT"/>
        </w:rPr>
      </w:pPr>
      <w:r w:rsidRPr="00325959">
        <w:rPr>
          <w:szCs w:val="20"/>
          <w:lang w:val="it-IT" w:eastAsia="it-IT"/>
        </w:rPr>
        <w:t>Beninteso si tratta di un’uscita puramente contabile trattandosi del trasferimento di una quota del budget globale in un conto di bilancio.</w:t>
      </w:r>
    </w:p>
    <w:p w:rsidR="00325959" w:rsidRDefault="00325959" w:rsidP="005C64D6">
      <w:pPr>
        <w:rPr>
          <w:rFonts w:eastAsia="Times New Roman"/>
          <w:szCs w:val="24"/>
          <w:lang w:val="it-IT" w:eastAsia="it-IT"/>
        </w:rPr>
      </w:pPr>
    </w:p>
    <w:p w:rsidR="00E06164" w:rsidRPr="00325959" w:rsidRDefault="00E06164" w:rsidP="005C64D6">
      <w:pPr>
        <w:rPr>
          <w:rFonts w:eastAsia="Times New Roman"/>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24" w:name="_Toc95234637"/>
      <w:r w:rsidRPr="00325959">
        <w:rPr>
          <w:caps/>
          <w:szCs w:val="24"/>
          <w:lang w:val="it-IT" w:eastAsia="it-IT"/>
        </w:rPr>
        <w:t>Modifiche di Legge</w:t>
      </w:r>
      <w:bookmarkEnd w:id="24"/>
    </w:p>
    <w:p w:rsidR="00325959" w:rsidRPr="00325959" w:rsidRDefault="00985A80" w:rsidP="005C64D6">
      <w:pPr>
        <w:pStyle w:val="Titolo2"/>
        <w:numPr>
          <w:ilvl w:val="0"/>
          <w:numId w:val="0"/>
        </w:numPr>
        <w:tabs>
          <w:tab w:val="left" w:pos="567"/>
        </w:tabs>
        <w:spacing w:before="0" w:after="120"/>
        <w:ind w:left="567" w:hanging="567"/>
        <w:jc w:val="both"/>
        <w:rPr>
          <w:lang w:val="it-IT" w:eastAsia="it-IT"/>
        </w:rPr>
      </w:pPr>
      <w:bookmarkStart w:id="25" w:name="_Toc14799725"/>
      <w:bookmarkStart w:id="26" w:name="_Toc95234638"/>
      <w:r>
        <w:rPr>
          <w:lang w:val="it-IT" w:eastAsia="it-IT"/>
        </w:rPr>
        <w:t>7.1</w:t>
      </w:r>
      <w:r>
        <w:rPr>
          <w:lang w:val="it-IT" w:eastAsia="it-IT"/>
        </w:rPr>
        <w:tab/>
      </w:r>
      <w:r w:rsidR="00325959" w:rsidRPr="00325959">
        <w:rPr>
          <w:lang w:val="it-IT" w:eastAsia="it-IT"/>
        </w:rPr>
        <w:t>Modifiche alla Legge sul finanziamento tramite budget globale e il mandato di prestazione delle Unità amministrative autonome (LUAA)</w:t>
      </w:r>
      <w:bookmarkEnd w:id="26"/>
    </w:p>
    <w:p w:rsidR="00325959" w:rsidRPr="00325959" w:rsidRDefault="00325959" w:rsidP="005C64D6">
      <w:pPr>
        <w:pStyle w:val="Titolo3"/>
        <w:numPr>
          <w:ilvl w:val="0"/>
          <w:numId w:val="0"/>
        </w:numPr>
        <w:tabs>
          <w:tab w:val="left" w:pos="709"/>
        </w:tabs>
        <w:spacing w:after="120"/>
        <w:jc w:val="both"/>
        <w:rPr>
          <w:i/>
          <w:sz w:val="23"/>
          <w:szCs w:val="23"/>
          <w:lang w:val="it-IT" w:eastAsia="it-IT"/>
        </w:rPr>
      </w:pPr>
      <w:bookmarkStart w:id="27" w:name="_Toc95228599"/>
      <w:bookmarkStart w:id="28" w:name="_Toc95229074"/>
      <w:bookmarkStart w:id="29" w:name="_Toc95234639"/>
      <w:r w:rsidRPr="00325959">
        <w:rPr>
          <w:i/>
          <w:sz w:val="23"/>
          <w:szCs w:val="23"/>
          <w:lang w:val="it-IT" w:eastAsia="it-IT"/>
        </w:rPr>
        <w:t xml:space="preserve">Art. 7 </w:t>
      </w:r>
      <w:r w:rsidR="00937A65">
        <w:rPr>
          <w:i/>
          <w:sz w:val="23"/>
          <w:szCs w:val="23"/>
          <w:lang w:val="it-IT" w:eastAsia="it-IT"/>
        </w:rPr>
        <w:t>-</w:t>
      </w:r>
      <w:r w:rsidRPr="00325959">
        <w:rPr>
          <w:i/>
          <w:sz w:val="23"/>
          <w:szCs w:val="23"/>
          <w:lang w:val="it-IT" w:eastAsia="it-IT"/>
        </w:rPr>
        <w:t xml:space="preserve"> Fondo di capitalizzazione</w:t>
      </w:r>
      <w:bookmarkEnd w:id="27"/>
      <w:bookmarkEnd w:id="28"/>
      <w:bookmarkEnd w:id="29"/>
    </w:p>
    <w:p w:rsidR="00325959" w:rsidRPr="00325959" w:rsidRDefault="00325959" w:rsidP="005C64D6">
      <w:pPr>
        <w:tabs>
          <w:tab w:val="left" w:pos="426"/>
        </w:tabs>
        <w:rPr>
          <w:rFonts w:eastAsia="Times New Roman"/>
          <w:i/>
          <w:sz w:val="23"/>
          <w:szCs w:val="23"/>
          <w:lang w:val="it-IT" w:eastAsia="it-IT"/>
        </w:rPr>
      </w:pPr>
      <w:r w:rsidRPr="00325959">
        <w:rPr>
          <w:rFonts w:eastAsia="Times New Roman"/>
          <w:i/>
          <w:sz w:val="23"/>
          <w:szCs w:val="23"/>
          <w:vertAlign w:val="superscript"/>
          <w:lang w:val="it-IT" w:eastAsia="it-IT"/>
        </w:rPr>
        <w:t>2</w:t>
      </w:r>
      <w:r w:rsidRPr="00325959">
        <w:rPr>
          <w:rFonts w:eastAsia="Times New Roman" w:cs="Arial"/>
          <w:i/>
          <w:sz w:val="23"/>
          <w:szCs w:val="23"/>
          <w:lang w:val="it-IT" w:eastAsia="it-IT"/>
        </w:rPr>
        <w:t xml:space="preserve">Il fondo di capitalizzazione non può superare il </w:t>
      </w:r>
      <w:r w:rsidRPr="00325959">
        <w:rPr>
          <w:rFonts w:eastAsia="Times New Roman" w:cs="Arial"/>
          <w:b/>
          <w:i/>
          <w:sz w:val="23"/>
          <w:szCs w:val="23"/>
          <w:lang w:val="it-IT" w:eastAsia="it-IT"/>
        </w:rPr>
        <w:t>20</w:t>
      </w:r>
      <w:r w:rsidRPr="00325959">
        <w:rPr>
          <w:rFonts w:eastAsia="Times New Roman" w:cs="Arial"/>
          <w:i/>
          <w:sz w:val="23"/>
          <w:szCs w:val="23"/>
          <w:lang w:val="it-IT" w:eastAsia="it-IT"/>
        </w:rPr>
        <w:t>% dell’ultimo budget globale stabilito in sede di preventivo e dal mandato di prestazione annuale</w:t>
      </w:r>
      <w:r w:rsidRPr="00325959">
        <w:rPr>
          <w:rFonts w:eastAsia="Times New Roman"/>
          <w:i/>
          <w:sz w:val="23"/>
          <w:szCs w:val="23"/>
          <w:lang w:val="it-IT" w:eastAsia="it-IT"/>
        </w:rPr>
        <w:t>.</w:t>
      </w:r>
    </w:p>
    <w:p w:rsidR="00325959" w:rsidRPr="00325959" w:rsidRDefault="00325959" w:rsidP="005C64D6">
      <w:pPr>
        <w:rPr>
          <w:rFonts w:eastAsia="Times New Roman"/>
          <w:sz w:val="20"/>
          <w:szCs w:val="20"/>
          <w:lang w:val="it-IT" w:eastAsia="it-IT"/>
        </w:rPr>
      </w:pPr>
    </w:p>
    <w:p w:rsidR="00325959" w:rsidRPr="00325959" w:rsidRDefault="00325959" w:rsidP="005C64D6">
      <w:pPr>
        <w:rPr>
          <w:rFonts w:eastAsia="Times New Roman"/>
          <w:szCs w:val="20"/>
          <w:lang w:val="it-IT" w:eastAsia="it-IT"/>
        </w:rPr>
      </w:pPr>
      <w:r w:rsidRPr="00325959">
        <w:rPr>
          <w:rFonts w:eastAsia="Times New Roman"/>
          <w:szCs w:val="20"/>
          <w:lang w:val="it-IT" w:eastAsia="it-IT"/>
        </w:rPr>
        <w:t>La modifica proposta comporta il raddoppio del volume del fondo di capitalizzazione, dall’attuale 10% al 20%, in considerazione del fatto che il principale freno allo sviluppo del modello UAA è senz’altro da attribuire alla limitata possibilità di riporto sul fondo di capitalizzazione e alla dimensione, o al volume stesso del fondo di capitalizzazione. Viene così proposto il raddoppio delle aliquote relative alla dimensione del fondo (art</w:t>
      </w:r>
      <w:r w:rsidR="008F7A1D">
        <w:rPr>
          <w:rFonts w:eastAsia="Times New Roman"/>
          <w:szCs w:val="20"/>
          <w:lang w:val="it-IT" w:eastAsia="it-IT"/>
        </w:rPr>
        <w:t>.</w:t>
      </w:r>
      <w:r w:rsidRPr="00325959">
        <w:rPr>
          <w:rFonts w:eastAsia="Times New Roman"/>
          <w:szCs w:val="20"/>
          <w:lang w:val="it-IT" w:eastAsia="it-IT"/>
        </w:rPr>
        <w:t xml:space="preserve"> 7 LUAA) accompagnato a quello del riporto massimo sul fondo (art</w:t>
      </w:r>
      <w:r w:rsidR="008F7A1D">
        <w:rPr>
          <w:rFonts w:eastAsia="Times New Roman"/>
          <w:szCs w:val="20"/>
          <w:lang w:val="it-IT" w:eastAsia="it-IT"/>
        </w:rPr>
        <w:t>.</w:t>
      </w:r>
      <w:r w:rsidRPr="00325959">
        <w:rPr>
          <w:rFonts w:eastAsia="Times New Roman"/>
          <w:szCs w:val="20"/>
          <w:lang w:val="it-IT" w:eastAsia="it-IT"/>
        </w:rPr>
        <w:t xml:space="preserve"> 5 RLUAA, vedi capitolo 6), ferma restando la negoziazione di fine anno intesa a verificare la natura delle eccedenze e permettere il riporto unicamente di quelle relative a una gestione oculata delle risorse finanziarie a disposizione del servizio.</w:t>
      </w:r>
    </w:p>
    <w:p w:rsidR="00325959" w:rsidRPr="00325959" w:rsidRDefault="00325959" w:rsidP="005C64D6">
      <w:pPr>
        <w:rPr>
          <w:rFonts w:eastAsia="Times New Roman"/>
          <w:szCs w:val="20"/>
          <w:lang w:val="it-IT" w:eastAsia="it-IT"/>
        </w:rPr>
      </w:pPr>
    </w:p>
    <w:p w:rsidR="00325959" w:rsidRPr="00325959" w:rsidRDefault="00937A65" w:rsidP="005C64D6">
      <w:pPr>
        <w:pStyle w:val="Titolo3"/>
        <w:numPr>
          <w:ilvl w:val="0"/>
          <w:numId w:val="0"/>
        </w:numPr>
        <w:tabs>
          <w:tab w:val="left" w:pos="709"/>
        </w:tabs>
        <w:spacing w:before="0" w:after="120"/>
        <w:jc w:val="both"/>
        <w:rPr>
          <w:i/>
          <w:sz w:val="23"/>
          <w:szCs w:val="23"/>
          <w:lang w:val="it-IT" w:eastAsia="it-IT"/>
        </w:rPr>
      </w:pPr>
      <w:bookmarkStart w:id="30" w:name="_Toc95228600"/>
      <w:bookmarkStart w:id="31" w:name="_Toc95229075"/>
      <w:bookmarkStart w:id="32" w:name="_Toc95234640"/>
      <w:r>
        <w:rPr>
          <w:i/>
          <w:sz w:val="23"/>
          <w:szCs w:val="23"/>
          <w:lang w:val="it-IT" w:eastAsia="it-IT"/>
        </w:rPr>
        <w:t>Art. 9 -</w:t>
      </w:r>
      <w:r w:rsidR="00325959" w:rsidRPr="00325959">
        <w:rPr>
          <w:i/>
          <w:sz w:val="23"/>
          <w:szCs w:val="23"/>
          <w:lang w:val="it-IT" w:eastAsia="it-IT"/>
        </w:rPr>
        <w:t xml:space="preserve"> Mandato di prestazione</w:t>
      </w:r>
      <w:bookmarkEnd w:id="30"/>
      <w:bookmarkEnd w:id="31"/>
      <w:bookmarkEnd w:id="32"/>
    </w:p>
    <w:p w:rsidR="00325959" w:rsidRDefault="00325959" w:rsidP="005C64D6">
      <w:pPr>
        <w:rPr>
          <w:rFonts w:eastAsia="Times New Roman"/>
          <w:szCs w:val="20"/>
          <w:lang w:val="it-IT" w:eastAsia="it-IT"/>
        </w:rPr>
      </w:pPr>
      <w:r w:rsidRPr="00325959">
        <w:rPr>
          <w:rFonts w:eastAsia="Times New Roman"/>
          <w:szCs w:val="20"/>
          <w:lang w:val="it-IT" w:eastAsia="it-IT"/>
        </w:rPr>
        <w:t>Si approfitta della revisione della LUAA per apportare una modifica di forma all’art</w:t>
      </w:r>
      <w:r w:rsidR="008F7A1D">
        <w:rPr>
          <w:rFonts w:eastAsia="Times New Roman"/>
          <w:szCs w:val="20"/>
          <w:lang w:val="it-IT" w:eastAsia="it-IT"/>
        </w:rPr>
        <w:t>.</w:t>
      </w:r>
      <w:r w:rsidRPr="00325959">
        <w:rPr>
          <w:rFonts w:eastAsia="Times New Roman"/>
          <w:szCs w:val="20"/>
          <w:lang w:val="it-IT" w:eastAsia="it-IT"/>
        </w:rPr>
        <w:t xml:space="preserve"> 9 (cpv. 2 e 3) relativo al mandato di prestazione (il cpv. 1 rimane invariato), in quanto di difficile comprensione e interpretazione dei due capoversi.</w:t>
      </w:r>
    </w:p>
    <w:p w:rsidR="009F3F70" w:rsidRPr="00325959" w:rsidRDefault="009F3F70" w:rsidP="005C64D6">
      <w:pPr>
        <w:rPr>
          <w:rFonts w:eastAsia="Times New Roman"/>
          <w:szCs w:val="20"/>
          <w:lang w:val="it-IT" w:eastAsia="it-IT"/>
        </w:rPr>
      </w:pPr>
    </w:p>
    <w:p w:rsidR="00325959" w:rsidRPr="00325959" w:rsidRDefault="00325959" w:rsidP="005C64D6">
      <w:pPr>
        <w:tabs>
          <w:tab w:val="left" w:pos="426"/>
        </w:tabs>
        <w:spacing w:after="80"/>
        <w:rPr>
          <w:rFonts w:cs="Arial"/>
          <w:sz w:val="23"/>
          <w:szCs w:val="23"/>
        </w:rPr>
      </w:pPr>
      <w:r w:rsidRPr="00325959">
        <w:rPr>
          <w:rFonts w:cs="Arial"/>
          <w:i/>
          <w:sz w:val="23"/>
          <w:szCs w:val="23"/>
          <w:vertAlign w:val="superscript"/>
        </w:rPr>
        <w:t>2</w:t>
      </w:r>
      <w:r w:rsidRPr="00325959">
        <w:rPr>
          <w:rFonts w:cs="Arial"/>
          <w:i/>
          <w:sz w:val="23"/>
          <w:szCs w:val="23"/>
        </w:rPr>
        <w:t>Il mandato di prestazione annuale, elaborato sulla base del conto prestazioni, indica le prestazioni fornite dall’UAA, gli obiettivi quantitativi e qualitativi, il relativo monitoraggio e viene approvato dal Dipartimento competente</w:t>
      </w:r>
      <w:r w:rsidRPr="00325959">
        <w:rPr>
          <w:rFonts w:cs="Arial"/>
          <w:sz w:val="23"/>
          <w:szCs w:val="23"/>
        </w:rPr>
        <w:t>.</w:t>
      </w:r>
    </w:p>
    <w:p w:rsidR="00325959" w:rsidRPr="00325959" w:rsidRDefault="00325959" w:rsidP="005C64D6">
      <w:pPr>
        <w:tabs>
          <w:tab w:val="left" w:pos="426"/>
        </w:tabs>
        <w:rPr>
          <w:rFonts w:eastAsia="Times New Roman"/>
          <w:i/>
          <w:sz w:val="23"/>
          <w:szCs w:val="23"/>
          <w:lang w:val="it-IT" w:eastAsia="it-IT"/>
        </w:rPr>
      </w:pPr>
      <w:r w:rsidRPr="00325959">
        <w:rPr>
          <w:rFonts w:cs="Arial"/>
          <w:i/>
          <w:sz w:val="23"/>
          <w:szCs w:val="23"/>
          <w:vertAlign w:val="superscript"/>
        </w:rPr>
        <w:t>3</w:t>
      </w:r>
      <w:r w:rsidRPr="00325959">
        <w:rPr>
          <w:rFonts w:cs="Arial"/>
          <w:i/>
          <w:sz w:val="23"/>
          <w:szCs w:val="23"/>
        </w:rPr>
        <w:t>Abrogato</w:t>
      </w:r>
      <w:r w:rsidRPr="00325959">
        <w:rPr>
          <w:rFonts w:cs="Arial"/>
          <w:sz w:val="23"/>
          <w:szCs w:val="23"/>
        </w:rPr>
        <w:t>.</w:t>
      </w:r>
    </w:p>
    <w:p w:rsidR="00325959" w:rsidRPr="00325959" w:rsidRDefault="00325959" w:rsidP="005C64D6">
      <w:pPr>
        <w:rPr>
          <w:rFonts w:eastAsia="Times New Roman"/>
          <w:sz w:val="20"/>
          <w:szCs w:val="20"/>
          <w:lang w:val="it-IT" w:eastAsia="it-IT"/>
        </w:rPr>
      </w:pPr>
    </w:p>
    <w:p w:rsidR="00325959" w:rsidRPr="00325959" w:rsidRDefault="00325959" w:rsidP="005C64D6">
      <w:pPr>
        <w:rPr>
          <w:rFonts w:eastAsia="Times New Roman"/>
          <w:szCs w:val="20"/>
          <w:lang w:val="it-IT" w:eastAsia="it-IT"/>
        </w:rPr>
      </w:pPr>
      <w:r w:rsidRPr="00325959">
        <w:rPr>
          <w:rFonts w:eastAsia="Times New Roman"/>
          <w:szCs w:val="20"/>
          <w:lang w:val="it-IT" w:eastAsia="it-IT"/>
        </w:rPr>
        <w:t>Il cpv. 2 dell’art</w:t>
      </w:r>
      <w:r w:rsidR="008F7A1D">
        <w:rPr>
          <w:rFonts w:eastAsia="Times New Roman"/>
          <w:szCs w:val="20"/>
          <w:lang w:val="it-IT" w:eastAsia="it-IT"/>
        </w:rPr>
        <w:t>.</w:t>
      </w:r>
      <w:r w:rsidRPr="00325959">
        <w:rPr>
          <w:rFonts w:eastAsia="Times New Roman"/>
          <w:szCs w:val="20"/>
          <w:lang w:val="it-IT" w:eastAsia="it-IT"/>
        </w:rPr>
        <w:t xml:space="preserve"> 9 è stato riformulato in quanto la formulazione precedente era poco chiara e di difficile comprensione; il nuovo cpv. esprime in modo diretto la competenza del Dipartimento nell’approvare il mandato di prestazione annuale sulla base del conto prestazioni.</w:t>
      </w:r>
    </w:p>
    <w:p w:rsidR="00325959" w:rsidRPr="00325959" w:rsidRDefault="00325959" w:rsidP="005C64D6">
      <w:pPr>
        <w:rPr>
          <w:rFonts w:eastAsia="Times New Roman"/>
          <w:szCs w:val="20"/>
          <w:lang w:val="it-IT" w:eastAsia="it-IT"/>
        </w:rPr>
      </w:pPr>
      <w:r w:rsidRPr="00325959">
        <w:rPr>
          <w:rFonts w:eastAsia="Times New Roman"/>
          <w:szCs w:val="20"/>
          <w:lang w:val="it-IT" w:eastAsia="it-IT"/>
        </w:rPr>
        <w:lastRenderedPageBreak/>
        <w:t>Il cpv. 3 dell’art</w:t>
      </w:r>
      <w:r w:rsidR="008F7A1D">
        <w:rPr>
          <w:rFonts w:eastAsia="Times New Roman"/>
          <w:szCs w:val="20"/>
          <w:lang w:val="it-IT" w:eastAsia="it-IT"/>
        </w:rPr>
        <w:t>.</w:t>
      </w:r>
      <w:r w:rsidRPr="00325959">
        <w:rPr>
          <w:rFonts w:eastAsia="Times New Roman"/>
          <w:szCs w:val="20"/>
          <w:lang w:val="it-IT" w:eastAsia="it-IT"/>
        </w:rPr>
        <w:t xml:space="preserve"> 9 viene invece abrogato in quanto l’approvazione da parte del Dipartimento delle finanze e dell’economia (DFE) avviene implicitamente in sede di CT UAA, al momento dell’approvazione del primo mandato di prestazione quadriennale e annuale per il servizio che richiede la trasformazione in UAA. Non è pertanto necessario, e nemmeno operativamente significativo, chiedere al DFE l’approvazione del primo mandato; da qui la proposta di abrogazione del citato capoverso.</w:t>
      </w:r>
    </w:p>
    <w:p w:rsidR="00325959" w:rsidRPr="00325959" w:rsidRDefault="00325959" w:rsidP="005C64D6">
      <w:pPr>
        <w:rPr>
          <w:rFonts w:eastAsia="Times New Roman"/>
          <w:szCs w:val="20"/>
          <w:lang w:val="it-IT" w:eastAsia="it-IT"/>
        </w:rPr>
      </w:pPr>
    </w:p>
    <w:p w:rsidR="00325959" w:rsidRPr="00325959" w:rsidRDefault="00985A80" w:rsidP="005C64D6">
      <w:pPr>
        <w:pStyle w:val="Titolo2"/>
        <w:numPr>
          <w:ilvl w:val="0"/>
          <w:numId w:val="0"/>
        </w:numPr>
        <w:tabs>
          <w:tab w:val="left" w:pos="567"/>
        </w:tabs>
        <w:spacing w:before="0" w:after="120"/>
        <w:ind w:left="567" w:hanging="567"/>
        <w:jc w:val="both"/>
        <w:rPr>
          <w:lang w:val="it-IT" w:eastAsia="it-IT"/>
        </w:rPr>
      </w:pPr>
      <w:bookmarkStart w:id="33" w:name="_Toc95234641"/>
      <w:r>
        <w:rPr>
          <w:lang w:val="it-IT" w:eastAsia="it-IT"/>
        </w:rPr>
        <w:t>7.2</w:t>
      </w:r>
      <w:r>
        <w:rPr>
          <w:lang w:val="it-IT" w:eastAsia="it-IT"/>
        </w:rPr>
        <w:tab/>
      </w:r>
      <w:r w:rsidR="00325959" w:rsidRPr="00325959">
        <w:rPr>
          <w:lang w:val="it-IT" w:eastAsia="it-IT"/>
        </w:rPr>
        <w:t>Modifiche al Regolamento concernente la Legge sul finanziamento tramite budget globale e il mandato di prestazione delle Unità amministrative autonome (RLUAA del 15.03.2016</w:t>
      </w:r>
      <w:bookmarkEnd w:id="33"/>
    </w:p>
    <w:p w:rsidR="00325959" w:rsidRDefault="00325959" w:rsidP="005C64D6">
      <w:pPr>
        <w:rPr>
          <w:rFonts w:eastAsia="Times New Roman"/>
          <w:szCs w:val="24"/>
          <w:lang w:eastAsia="it-IT"/>
        </w:rPr>
      </w:pPr>
      <w:r w:rsidRPr="00325959">
        <w:rPr>
          <w:rFonts w:eastAsia="Times New Roman"/>
          <w:szCs w:val="20"/>
          <w:lang w:eastAsia="it-IT"/>
        </w:rPr>
        <w:t xml:space="preserve">A titolo informativo e per trasparenza, si segnala che saranno modificati anche i seguenti articoli del Regolamento concernente la </w:t>
      </w:r>
      <w:r w:rsidRPr="00325959">
        <w:rPr>
          <w:rFonts w:eastAsia="Times New Roman" w:cs="Arial"/>
          <w:szCs w:val="20"/>
          <w:lang w:val="it-IT" w:eastAsia="it-IT"/>
        </w:rPr>
        <w:t xml:space="preserve">Legge </w:t>
      </w:r>
      <w:r w:rsidRPr="00325959">
        <w:rPr>
          <w:rFonts w:eastAsia="Times New Roman"/>
          <w:szCs w:val="24"/>
          <w:lang w:eastAsia="it-IT"/>
        </w:rPr>
        <w:t>sul finanziamento tramite il budget globale e il mandato di prestazione delle unità amministrative autonome (RLUAA) del 15 marzo 2016.</w:t>
      </w:r>
    </w:p>
    <w:p w:rsidR="009F3F70" w:rsidRPr="00325959" w:rsidRDefault="009F3F70" w:rsidP="005C64D6">
      <w:pPr>
        <w:rPr>
          <w:rFonts w:eastAsia="Times New Roman"/>
          <w:szCs w:val="24"/>
          <w:lang w:eastAsia="it-IT"/>
        </w:rPr>
      </w:pPr>
    </w:p>
    <w:p w:rsidR="00325959" w:rsidRPr="00325959" w:rsidRDefault="009F3F70" w:rsidP="005C64D6">
      <w:pPr>
        <w:pStyle w:val="Titolo3"/>
        <w:numPr>
          <w:ilvl w:val="0"/>
          <w:numId w:val="0"/>
        </w:numPr>
        <w:tabs>
          <w:tab w:val="left" w:pos="709"/>
        </w:tabs>
        <w:spacing w:before="0" w:after="120"/>
        <w:jc w:val="both"/>
        <w:rPr>
          <w:i/>
          <w:sz w:val="23"/>
          <w:szCs w:val="23"/>
          <w:lang w:val="it-IT" w:eastAsia="it-IT"/>
        </w:rPr>
      </w:pPr>
      <w:bookmarkStart w:id="34" w:name="_Toc95228602"/>
      <w:bookmarkStart w:id="35" w:name="_Toc95229077"/>
      <w:bookmarkStart w:id="36" w:name="_Toc95234642"/>
      <w:r>
        <w:rPr>
          <w:i/>
          <w:sz w:val="23"/>
          <w:szCs w:val="23"/>
          <w:lang w:val="it-IT" w:eastAsia="it-IT"/>
        </w:rPr>
        <w:t>Art. 5 -</w:t>
      </w:r>
      <w:r w:rsidR="00325959" w:rsidRPr="00325959">
        <w:rPr>
          <w:i/>
          <w:sz w:val="23"/>
          <w:szCs w:val="23"/>
          <w:lang w:val="it-IT" w:eastAsia="it-IT"/>
        </w:rPr>
        <w:t xml:space="preserve"> Budget globale</w:t>
      </w:r>
      <w:bookmarkEnd w:id="34"/>
      <w:bookmarkEnd w:id="35"/>
      <w:bookmarkEnd w:id="36"/>
    </w:p>
    <w:p w:rsidR="00325959" w:rsidRPr="00325959" w:rsidRDefault="00325959" w:rsidP="005C64D6">
      <w:pPr>
        <w:rPr>
          <w:rFonts w:eastAsia="Times New Roman" w:cs="Arial"/>
          <w:i/>
          <w:sz w:val="23"/>
          <w:szCs w:val="23"/>
          <w:lang w:val="it-IT" w:eastAsia="it-IT"/>
        </w:rPr>
      </w:pPr>
      <w:r w:rsidRPr="00325959">
        <w:rPr>
          <w:rFonts w:eastAsia="Times New Roman" w:cs="Arial"/>
          <w:i/>
          <w:sz w:val="23"/>
          <w:szCs w:val="23"/>
          <w:vertAlign w:val="superscript"/>
          <w:lang w:val="it-IT" w:eastAsia="it-IT"/>
        </w:rPr>
        <w:t>1</w:t>
      </w:r>
      <w:r w:rsidRPr="00325959">
        <w:rPr>
          <w:rFonts w:eastAsia="Times New Roman" w:cs="Arial"/>
          <w:i/>
          <w:sz w:val="23"/>
          <w:szCs w:val="23"/>
          <w:lang w:val="it-IT" w:eastAsia="it-IT"/>
        </w:rPr>
        <w:t xml:space="preserve">Le spese considerate comprendono </w:t>
      </w:r>
      <w:r w:rsidRPr="00325959">
        <w:rPr>
          <w:rFonts w:eastAsia="Times New Roman" w:cs="Arial"/>
          <w:b/>
          <w:i/>
          <w:sz w:val="23"/>
          <w:szCs w:val="23"/>
          <w:lang w:val="it-IT" w:eastAsia="it-IT"/>
        </w:rPr>
        <w:t>unicamente le uscite</w:t>
      </w:r>
      <w:r w:rsidRPr="00325959">
        <w:rPr>
          <w:rFonts w:eastAsia="Times New Roman" w:cs="Arial"/>
          <w:i/>
          <w:sz w:val="23"/>
          <w:szCs w:val="23"/>
          <w:lang w:val="it-IT" w:eastAsia="it-IT"/>
        </w:rPr>
        <w:t xml:space="preserve"> di conto economico legate allo svolgimento dell’attività delle UAA. </w:t>
      </w:r>
    </w:p>
    <w:p w:rsidR="00325959" w:rsidRPr="00325959" w:rsidRDefault="00325959" w:rsidP="005C64D6">
      <w:pPr>
        <w:rPr>
          <w:rFonts w:eastAsia="Times New Roman" w:cs="Arial"/>
          <w:sz w:val="20"/>
          <w:szCs w:val="20"/>
          <w:lang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 xml:space="preserve">La versione precedente dell’art. 5 prevede “la totalità delle uscite”, con la modifica proposta di fatto vengono riportate unicamente le voci di funzionamento del servizio (in principio le voci di spesa dei gruppi 30, spese del personale, e 31 spese per beni e servizi), direttamente influenzabili dal servizio, mentre sarebbero escluse altre tipologie di voci di spesa, quali ad esempio il gruppo 36 spese di trasferimento, che per contro non sono direttamente influenzabili dal servizio ma sono inerenti e in funzione di fattori esogeni all’attività dell’AC, quali ad esempio la variazione del numero di disoccupati, piuttosto che di richiedenti di prestazioni assistenziali ecc.). In questo modo viene allargato lo spettro di servizi che potenzialmente può richiedere la trasformazione in UAA. </w:t>
      </w:r>
    </w:p>
    <w:p w:rsidR="00325959" w:rsidRPr="00325959" w:rsidRDefault="00325959" w:rsidP="005C64D6">
      <w:pPr>
        <w:rPr>
          <w:rFonts w:eastAsia="Times New Roman"/>
          <w:szCs w:val="20"/>
          <w:lang w:eastAsia="it-IT"/>
        </w:rPr>
      </w:pPr>
    </w:p>
    <w:p w:rsidR="00325959" w:rsidRPr="00325959" w:rsidRDefault="009F3F70" w:rsidP="005C64D6">
      <w:pPr>
        <w:pStyle w:val="Titolo3"/>
        <w:numPr>
          <w:ilvl w:val="0"/>
          <w:numId w:val="0"/>
        </w:numPr>
        <w:tabs>
          <w:tab w:val="left" w:pos="709"/>
        </w:tabs>
        <w:spacing w:before="0" w:after="120"/>
        <w:jc w:val="both"/>
        <w:rPr>
          <w:i/>
          <w:sz w:val="23"/>
          <w:szCs w:val="23"/>
          <w:lang w:val="it-IT" w:eastAsia="it-IT"/>
        </w:rPr>
      </w:pPr>
      <w:bookmarkStart w:id="37" w:name="_Toc95228603"/>
      <w:bookmarkStart w:id="38" w:name="_Toc95229078"/>
      <w:bookmarkStart w:id="39" w:name="_Toc95234643"/>
      <w:r>
        <w:rPr>
          <w:i/>
          <w:sz w:val="23"/>
          <w:szCs w:val="23"/>
          <w:lang w:val="it-IT" w:eastAsia="it-IT"/>
        </w:rPr>
        <w:t>Art. 6 -</w:t>
      </w:r>
      <w:r w:rsidR="00325959" w:rsidRPr="00325959">
        <w:rPr>
          <w:i/>
          <w:sz w:val="23"/>
          <w:szCs w:val="23"/>
          <w:lang w:val="it-IT" w:eastAsia="it-IT"/>
        </w:rPr>
        <w:t xml:space="preserve"> Riporto del credito sull’anno successivo e sorpasso</w:t>
      </w:r>
      <w:bookmarkEnd w:id="37"/>
      <w:bookmarkEnd w:id="38"/>
      <w:bookmarkEnd w:id="39"/>
    </w:p>
    <w:p w:rsidR="00325959" w:rsidRPr="00325959" w:rsidRDefault="00325959" w:rsidP="005C64D6">
      <w:pPr>
        <w:rPr>
          <w:rFonts w:eastAsia="Times New Roman" w:cs="Arial"/>
          <w:i/>
          <w:sz w:val="23"/>
          <w:szCs w:val="23"/>
          <w:lang w:eastAsia="it-IT"/>
        </w:rPr>
      </w:pPr>
      <w:r w:rsidRPr="00325959">
        <w:rPr>
          <w:rFonts w:eastAsia="Times New Roman" w:cs="Arial"/>
          <w:i/>
          <w:sz w:val="23"/>
          <w:szCs w:val="23"/>
          <w:vertAlign w:val="superscript"/>
          <w:lang w:val="it-IT" w:eastAsia="it-IT"/>
        </w:rPr>
        <w:t>3</w:t>
      </w:r>
      <w:r w:rsidRPr="00325959">
        <w:rPr>
          <w:rFonts w:eastAsia="Times New Roman" w:cs="Arial"/>
          <w:i/>
          <w:sz w:val="23"/>
          <w:szCs w:val="23"/>
          <w:lang w:val="it-IT" w:eastAsia="it-IT"/>
        </w:rPr>
        <w:t xml:space="preserve">Il riporto massimo annuale ammonta di regola al </w:t>
      </w:r>
      <w:r w:rsidRPr="00325959">
        <w:rPr>
          <w:rFonts w:eastAsia="Times New Roman" w:cs="Arial"/>
          <w:b/>
          <w:i/>
          <w:sz w:val="23"/>
          <w:szCs w:val="23"/>
          <w:lang w:val="it-IT" w:eastAsia="it-IT"/>
        </w:rPr>
        <w:t>10</w:t>
      </w:r>
      <w:r w:rsidRPr="00325959">
        <w:rPr>
          <w:rFonts w:eastAsia="Times New Roman" w:cs="Arial"/>
          <w:i/>
          <w:sz w:val="23"/>
          <w:szCs w:val="23"/>
          <w:lang w:val="it-IT" w:eastAsia="it-IT"/>
        </w:rPr>
        <w:t xml:space="preserve">%. Se vi sono i motivi, il Dipartimento, sentita la Sezione delle finanze, può decidere di derogare al tasso del </w:t>
      </w:r>
      <w:r w:rsidRPr="00325959">
        <w:rPr>
          <w:rFonts w:eastAsia="Times New Roman" w:cs="Arial"/>
          <w:b/>
          <w:i/>
          <w:sz w:val="23"/>
          <w:szCs w:val="23"/>
          <w:lang w:val="it-IT" w:eastAsia="it-IT"/>
        </w:rPr>
        <w:t>10</w:t>
      </w:r>
      <w:r w:rsidRPr="00325959">
        <w:rPr>
          <w:rFonts w:eastAsia="Times New Roman" w:cs="Arial"/>
          <w:i/>
          <w:sz w:val="23"/>
          <w:szCs w:val="23"/>
          <w:lang w:val="it-IT" w:eastAsia="it-IT"/>
        </w:rPr>
        <w:t>%.</w:t>
      </w:r>
    </w:p>
    <w:p w:rsidR="00325959" w:rsidRPr="00325959" w:rsidRDefault="00325959" w:rsidP="005C64D6">
      <w:pPr>
        <w:rPr>
          <w:rFonts w:eastAsia="Times New Roman"/>
          <w:szCs w:val="20"/>
          <w:lang w:val="it-IT" w:eastAsia="it-IT"/>
        </w:rPr>
      </w:pPr>
    </w:p>
    <w:p w:rsidR="00325959" w:rsidRPr="00325959" w:rsidRDefault="00325959" w:rsidP="005C64D6">
      <w:pPr>
        <w:rPr>
          <w:rFonts w:eastAsia="Times New Roman"/>
          <w:szCs w:val="20"/>
          <w:lang w:eastAsia="it-IT"/>
        </w:rPr>
      </w:pPr>
      <w:r w:rsidRPr="00325959">
        <w:rPr>
          <w:rFonts w:eastAsia="Times New Roman"/>
          <w:szCs w:val="20"/>
          <w:lang w:eastAsia="it-IT"/>
        </w:rPr>
        <w:t>Il raddoppio dell’aliquota massima di riporto dal 5% al 10% potrebbe fungere da stimolo finanziario a richiedere la trasformazione di un servizio in UAA (vedi anche capitolo 5).</w:t>
      </w:r>
    </w:p>
    <w:p w:rsidR="00325959" w:rsidRPr="00325959" w:rsidRDefault="00325959" w:rsidP="005C64D6">
      <w:pPr>
        <w:rPr>
          <w:rFonts w:eastAsia="Times New Roman" w:cs="Arial"/>
          <w:szCs w:val="24"/>
          <w:lang w:val="it-IT" w:eastAsia="it-IT"/>
        </w:rPr>
      </w:pPr>
    </w:p>
    <w:p w:rsidR="00325959" w:rsidRPr="00325959" w:rsidRDefault="00CA628B" w:rsidP="005C64D6">
      <w:pPr>
        <w:pStyle w:val="Titolo3"/>
        <w:numPr>
          <w:ilvl w:val="0"/>
          <w:numId w:val="0"/>
        </w:numPr>
        <w:tabs>
          <w:tab w:val="left" w:pos="709"/>
        </w:tabs>
        <w:spacing w:before="0" w:after="120"/>
        <w:jc w:val="both"/>
        <w:rPr>
          <w:i/>
          <w:sz w:val="23"/>
          <w:szCs w:val="23"/>
          <w:lang w:val="it-IT" w:eastAsia="it-IT"/>
        </w:rPr>
      </w:pPr>
      <w:bookmarkStart w:id="40" w:name="_Toc95228604"/>
      <w:bookmarkStart w:id="41" w:name="_Toc95229079"/>
      <w:bookmarkStart w:id="42" w:name="_Toc95234644"/>
      <w:r>
        <w:rPr>
          <w:i/>
          <w:sz w:val="23"/>
          <w:szCs w:val="23"/>
          <w:lang w:val="it-IT" w:eastAsia="it-IT"/>
        </w:rPr>
        <w:t>Art. 8 -</w:t>
      </w:r>
      <w:r w:rsidR="00325959" w:rsidRPr="00325959">
        <w:rPr>
          <w:i/>
          <w:sz w:val="23"/>
          <w:szCs w:val="23"/>
          <w:lang w:val="it-IT" w:eastAsia="it-IT"/>
        </w:rPr>
        <w:t xml:space="preserve"> Fondo di capitalizzazione b) utilizzazione</w:t>
      </w:r>
      <w:bookmarkEnd w:id="40"/>
      <w:bookmarkEnd w:id="41"/>
      <w:bookmarkEnd w:id="42"/>
    </w:p>
    <w:p w:rsidR="00325959" w:rsidRPr="00325959" w:rsidRDefault="00325959" w:rsidP="005C64D6">
      <w:pPr>
        <w:rPr>
          <w:rFonts w:eastAsia="Times New Roman" w:cs="Arial"/>
          <w:i/>
          <w:sz w:val="23"/>
          <w:szCs w:val="23"/>
          <w:lang w:val="it-IT" w:eastAsia="it-IT"/>
        </w:rPr>
      </w:pPr>
      <w:r w:rsidRPr="00325959">
        <w:rPr>
          <w:rFonts w:eastAsia="Times New Roman" w:cs="Arial"/>
          <w:i/>
          <w:sz w:val="23"/>
          <w:szCs w:val="23"/>
          <w:lang w:val="it-IT" w:eastAsia="it-IT"/>
        </w:rPr>
        <w:t xml:space="preserve">Il fondo di capitalizzazione può essere utilizzato nel limite dei compiti definiti nel mandato di prestazione e </w:t>
      </w:r>
      <w:r w:rsidRPr="00325959">
        <w:rPr>
          <w:rFonts w:eastAsia="Times New Roman" w:cs="Arial"/>
          <w:b/>
          <w:i/>
          <w:sz w:val="23"/>
          <w:szCs w:val="23"/>
          <w:lang w:val="it-IT" w:eastAsia="it-IT"/>
        </w:rPr>
        <w:t>di regola</w:t>
      </w:r>
      <w:r w:rsidRPr="00325959">
        <w:rPr>
          <w:rFonts w:eastAsia="Times New Roman" w:cs="Arial"/>
          <w:i/>
          <w:sz w:val="23"/>
          <w:szCs w:val="23"/>
          <w:lang w:val="it-IT" w:eastAsia="it-IT"/>
        </w:rPr>
        <w:t xml:space="preserve"> </w:t>
      </w:r>
      <w:r w:rsidRPr="00325959">
        <w:rPr>
          <w:rFonts w:eastAsia="Times New Roman" w:cs="Arial"/>
          <w:b/>
          <w:i/>
          <w:sz w:val="23"/>
          <w:szCs w:val="23"/>
          <w:lang w:val="it-IT" w:eastAsia="it-IT"/>
        </w:rPr>
        <w:t>non è oggetto di misure di risanamento strutturali o puntuali</w:t>
      </w:r>
      <w:r w:rsidRPr="00325959">
        <w:rPr>
          <w:rFonts w:eastAsia="Times New Roman" w:cs="Arial"/>
          <w:i/>
          <w:sz w:val="23"/>
          <w:szCs w:val="23"/>
          <w:lang w:val="it-IT" w:eastAsia="it-IT"/>
        </w:rPr>
        <w:t>.</w:t>
      </w:r>
    </w:p>
    <w:p w:rsidR="00325959" w:rsidRPr="00325959" w:rsidRDefault="00325959" w:rsidP="005C64D6">
      <w:pPr>
        <w:rPr>
          <w:rFonts w:eastAsia="Times New Roman"/>
          <w:sz w:val="20"/>
          <w:szCs w:val="20"/>
          <w:lang w:val="it-IT" w:eastAsia="it-IT"/>
        </w:rPr>
      </w:pPr>
    </w:p>
    <w:p w:rsidR="00325959" w:rsidRPr="00325959" w:rsidRDefault="00325959" w:rsidP="005C64D6">
      <w:pPr>
        <w:rPr>
          <w:rFonts w:eastAsia="Times New Roman"/>
          <w:szCs w:val="20"/>
          <w:lang w:val="it-IT" w:eastAsia="it-IT"/>
        </w:rPr>
      </w:pPr>
      <w:r w:rsidRPr="00325959">
        <w:rPr>
          <w:rFonts w:eastAsia="Times New Roman"/>
          <w:szCs w:val="20"/>
          <w:lang w:val="it-IT" w:eastAsia="it-IT"/>
        </w:rPr>
        <w:t>Una preoccupazione espressa dalle UAA è la possibilità, in caso di misure di risanamento in sede di preventivo, di fare capo a un prelievo “forzato” dal fondo di capitalizzazione, come avvenuto in passato, vanificando quindi le misure intraprese dal servizio per capitalizzare il risparmio di budget globale.</w:t>
      </w:r>
    </w:p>
    <w:p w:rsidR="00325959" w:rsidRDefault="00325959" w:rsidP="005C64D6">
      <w:pPr>
        <w:rPr>
          <w:rFonts w:eastAsia="Times New Roman"/>
          <w:szCs w:val="20"/>
          <w:lang w:val="it-IT" w:eastAsia="it-IT"/>
        </w:rPr>
      </w:pPr>
      <w:r w:rsidRPr="00325959">
        <w:rPr>
          <w:rFonts w:eastAsia="Times New Roman"/>
          <w:szCs w:val="20"/>
          <w:lang w:val="it-IT" w:eastAsia="it-IT"/>
        </w:rPr>
        <w:t>Viene in questo modo assicurato che il fondo di capitalizzazione non faccia oggetto di misure di risanamento in sede di definizione del preventivo.</w:t>
      </w:r>
      <w:bookmarkEnd w:id="25"/>
    </w:p>
    <w:p w:rsidR="00985A80" w:rsidRPr="008F7A1D" w:rsidRDefault="00985A80" w:rsidP="005C64D6">
      <w:pPr>
        <w:rPr>
          <w:rFonts w:eastAsia="Times New Roman"/>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43" w:name="_Toc95234645"/>
      <w:r w:rsidRPr="00325959">
        <w:rPr>
          <w:caps/>
          <w:szCs w:val="24"/>
          <w:lang w:val="it-IT" w:eastAsia="it-IT"/>
        </w:rPr>
        <w:lastRenderedPageBreak/>
        <w:t>Discussioni commissionali</w:t>
      </w:r>
      <w:bookmarkEnd w:id="43"/>
    </w:p>
    <w:p w:rsidR="00325959" w:rsidRPr="00325959" w:rsidRDefault="00325959" w:rsidP="005C64D6">
      <w:pPr>
        <w:rPr>
          <w:rFonts w:eastAsia="Times New Roman"/>
          <w:color w:val="000000"/>
          <w:szCs w:val="24"/>
          <w:lang w:val="it-IT" w:eastAsia="it-IT"/>
        </w:rPr>
      </w:pPr>
      <w:r w:rsidRPr="00325959">
        <w:rPr>
          <w:rFonts w:eastAsia="Times New Roman"/>
          <w:color w:val="000000"/>
          <w:szCs w:val="24"/>
          <w:lang w:val="it-IT" w:eastAsia="it-IT"/>
        </w:rPr>
        <w:t>La Commissione ha preso atto del messaggio e delle proposte di modifica del modello UAA presentate dal Consiglio di Stato e ne sostiene le finalità. Al proposito formula le seguenti considerazioni e proposte:</w:t>
      </w:r>
    </w:p>
    <w:p w:rsidR="00325959" w:rsidRPr="00325959" w:rsidRDefault="00325959" w:rsidP="005C64D6">
      <w:pPr>
        <w:numPr>
          <w:ilvl w:val="0"/>
          <w:numId w:val="19"/>
        </w:numPr>
        <w:spacing w:before="120"/>
        <w:ind w:left="284" w:hanging="287"/>
        <w:rPr>
          <w:rFonts w:eastAsia="Times New Roman"/>
          <w:color w:val="000000"/>
          <w:szCs w:val="24"/>
          <w:lang w:val="it-IT" w:eastAsia="it-IT"/>
        </w:rPr>
      </w:pPr>
      <w:r w:rsidRPr="00325959">
        <w:rPr>
          <w:rFonts w:eastAsia="Times New Roman"/>
          <w:color w:val="000000"/>
          <w:szCs w:val="24"/>
          <w:lang w:val="it-IT" w:eastAsia="it-IT"/>
        </w:rPr>
        <w:t xml:space="preserve">Il modello UAA favorisce il miglioramento di efficacia e efficienza nei servizi coinvolti esplicitando il rapporto tra obiettivi fissati e risultati ottenuti (efficacia) e migliorando la trasparenza nei costi di gestione (efficienza). Condividendo questo aspetto centrale si invita il Consiglio di Stato ad elaborare una strategia per una </w:t>
      </w:r>
      <w:r w:rsidRPr="00325959">
        <w:rPr>
          <w:rFonts w:eastAsia="Times New Roman"/>
          <w:b/>
          <w:color w:val="000000"/>
          <w:szCs w:val="24"/>
          <w:lang w:val="it-IT" w:eastAsia="it-IT"/>
        </w:rPr>
        <w:t>maggior diffusione del modello</w:t>
      </w:r>
      <w:r w:rsidRPr="00325959">
        <w:rPr>
          <w:rFonts w:eastAsia="Times New Roman"/>
          <w:color w:val="000000"/>
          <w:szCs w:val="24"/>
          <w:lang w:val="it-IT" w:eastAsia="it-IT"/>
        </w:rPr>
        <w:t xml:space="preserve">. Si propone che il Consiglio di Stato fissi per ogni Dipartimento un </w:t>
      </w:r>
      <w:r w:rsidRPr="00325959">
        <w:rPr>
          <w:rFonts w:eastAsia="Times New Roman"/>
          <w:b/>
          <w:color w:val="000000"/>
          <w:szCs w:val="24"/>
          <w:lang w:val="it-IT" w:eastAsia="it-IT"/>
        </w:rPr>
        <w:t>obiettivo quantitativo</w:t>
      </w:r>
      <w:r w:rsidRPr="00325959">
        <w:rPr>
          <w:rFonts w:eastAsia="Times New Roman"/>
          <w:color w:val="000000"/>
          <w:szCs w:val="24"/>
          <w:lang w:val="it-IT" w:eastAsia="it-IT"/>
        </w:rPr>
        <w:t xml:space="preserve"> in merito all’ampliamento del modello UAA così da promuovere il modello con maggior slancio. Ad esempio in ogni Dipartimento ogni anno si analizzi a fondo la possibilità di trasformare almeno un nuovo Ufficio o Sezione in UAA. La Commissione è consapevole che non necessariamente ogni attività dell’Amministrazione cantonale presenta le giuste caratteristiche per l’applicazione del modello ma è altrettanto palese che siamo ben lungi dall’aver applicato il modello ogni volta che invece le premesse sono date.</w:t>
      </w:r>
    </w:p>
    <w:p w:rsidR="00325959" w:rsidRPr="00325959" w:rsidRDefault="00325959" w:rsidP="005C64D6">
      <w:pPr>
        <w:numPr>
          <w:ilvl w:val="0"/>
          <w:numId w:val="19"/>
        </w:numPr>
        <w:spacing w:before="120"/>
        <w:ind w:left="284" w:hanging="287"/>
        <w:rPr>
          <w:rFonts w:eastAsia="Times New Roman"/>
          <w:color w:val="000000"/>
          <w:szCs w:val="24"/>
          <w:lang w:val="it-IT" w:eastAsia="it-IT"/>
        </w:rPr>
      </w:pPr>
      <w:r w:rsidRPr="00325959">
        <w:rPr>
          <w:rFonts w:eastAsia="Times New Roman"/>
          <w:color w:val="000000"/>
          <w:szCs w:val="24"/>
          <w:lang w:val="it-IT" w:eastAsia="it-IT"/>
        </w:rPr>
        <w:t>Un esempio scolastico potrebbe essere il progetto pilota di Centro polivalente di Camorino, messaggio</w:t>
      </w:r>
      <w:r w:rsidR="008F7A1D">
        <w:rPr>
          <w:rFonts w:eastAsia="Times New Roman"/>
          <w:color w:val="000000"/>
          <w:szCs w:val="24"/>
          <w:lang w:val="it-IT" w:eastAsia="it-IT"/>
        </w:rPr>
        <w:t xml:space="preserve"> n.</w:t>
      </w:r>
      <w:r w:rsidRPr="00325959">
        <w:rPr>
          <w:rFonts w:eastAsia="Times New Roman"/>
          <w:color w:val="000000"/>
          <w:szCs w:val="24"/>
          <w:lang w:val="it-IT" w:eastAsia="it-IT"/>
        </w:rPr>
        <w:t xml:space="preserve"> 7898, per il quale si proponeva una gestione pilota per poter valutare l’efficacia di una gestione in proprio da parte del Cantone. In situazioni simili il modello UAA presenta vantaggi evidenti.</w:t>
      </w:r>
    </w:p>
    <w:p w:rsidR="00325959" w:rsidRPr="00325959" w:rsidRDefault="00325959" w:rsidP="005C64D6">
      <w:pPr>
        <w:numPr>
          <w:ilvl w:val="0"/>
          <w:numId w:val="19"/>
        </w:numPr>
        <w:spacing w:before="120"/>
        <w:ind w:left="284" w:hanging="287"/>
        <w:rPr>
          <w:rFonts w:eastAsia="Times New Roman"/>
          <w:color w:val="000000"/>
          <w:szCs w:val="24"/>
          <w:lang w:val="it-IT" w:eastAsia="it-IT"/>
        </w:rPr>
      </w:pPr>
      <w:r w:rsidRPr="00325959">
        <w:rPr>
          <w:rFonts w:eastAsia="Times New Roman"/>
          <w:color w:val="000000"/>
          <w:szCs w:val="24"/>
          <w:lang w:val="it-IT" w:eastAsia="it-IT"/>
        </w:rPr>
        <w:t xml:space="preserve">Si invita il Consiglio di Stato a proporre un </w:t>
      </w:r>
      <w:r w:rsidRPr="00325959">
        <w:rPr>
          <w:rFonts w:eastAsia="Times New Roman"/>
          <w:b/>
          <w:color w:val="000000"/>
          <w:szCs w:val="24"/>
          <w:lang w:val="it-IT" w:eastAsia="it-IT"/>
        </w:rPr>
        <w:t>apposito credito di investimento</w:t>
      </w:r>
      <w:r w:rsidRPr="00325959">
        <w:rPr>
          <w:rFonts w:eastAsia="Times New Roman"/>
          <w:color w:val="000000"/>
          <w:szCs w:val="24"/>
          <w:lang w:val="it-IT" w:eastAsia="it-IT"/>
        </w:rPr>
        <w:t xml:space="preserve"> per sostenere con maggior decisione la trasformazione dell’amministrazione cantonale così da appoggiare in modo adeguato i funzionari dirigenti. </w:t>
      </w:r>
    </w:p>
    <w:p w:rsidR="00597603" w:rsidRDefault="00325959" w:rsidP="005C64D6">
      <w:pPr>
        <w:numPr>
          <w:ilvl w:val="0"/>
          <w:numId w:val="19"/>
        </w:numPr>
        <w:spacing w:before="120"/>
        <w:ind w:left="283" w:hanging="289"/>
        <w:rPr>
          <w:rFonts w:eastAsia="Times New Roman"/>
          <w:color w:val="000000"/>
          <w:szCs w:val="24"/>
          <w:lang w:val="it-IT" w:eastAsia="it-IT"/>
        </w:rPr>
      </w:pPr>
      <w:r w:rsidRPr="00325959">
        <w:rPr>
          <w:rFonts w:eastAsia="Times New Roman"/>
          <w:color w:val="000000"/>
          <w:szCs w:val="24"/>
          <w:lang w:val="it-IT" w:eastAsia="it-IT"/>
        </w:rPr>
        <w:t xml:space="preserve">La Commissione propone che l’eventuale beneficio finanziario raggiunto dal servizio in termine di maggiori entrate, minor costo o relativo miglioramento del risultato a saldo, sia contabilizzato nel fondo di capitalizzazione già al netto di un eventuale versamento nei conti generali dello Stato evitando la possibilità di successive manovre di recupero che snaturano lo scopo stesso del fondo. </w:t>
      </w:r>
    </w:p>
    <w:p w:rsidR="00325959" w:rsidRPr="00325959" w:rsidRDefault="00325959" w:rsidP="005C64D6">
      <w:pPr>
        <w:ind w:left="284"/>
        <w:rPr>
          <w:rFonts w:eastAsia="Times New Roman"/>
          <w:color w:val="000000"/>
          <w:szCs w:val="24"/>
          <w:lang w:val="it-IT" w:eastAsia="it-IT"/>
        </w:rPr>
      </w:pPr>
      <w:r w:rsidRPr="00325959">
        <w:rPr>
          <w:rFonts w:eastAsia="Times New Roman"/>
          <w:color w:val="000000"/>
          <w:szCs w:val="24"/>
          <w:lang w:val="it-IT" w:eastAsia="it-IT"/>
        </w:rPr>
        <w:t>Per questo motivo</w:t>
      </w:r>
      <w:r w:rsidRPr="00325959">
        <w:rPr>
          <w:rFonts w:eastAsia="Times New Roman"/>
          <w:b/>
          <w:color w:val="000000"/>
          <w:szCs w:val="24"/>
          <w:lang w:val="it-IT" w:eastAsia="it-IT"/>
        </w:rPr>
        <w:t xml:space="preserve"> si propone di fissare l’aliquota a favore dei conti cantonali al 50% fino al raggiungimento del pareggio nei conti dello Stato, successivamente al 25%, </w:t>
      </w:r>
      <w:r w:rsidRPr="00325959">
        <w:rPr>
          <w:rFonts w:eastAsia="Times New Roman"/>
          <w:color w:val="000000"/>
          <w:szCs w:val="24"/>
          <w:lang w:val="it-IT" w:eastAsia="it-IT"/>
        </w:rPr>
        <w:t>sempre nel rispetto del limite massimo fissato del conto di capitalizzazione</w:t>
      </w:r>
      <w:r w:rsidRPr="00325959">
        <w:rPr>
          <w:rFonts w:eastAsia="Times New Roman"/>
          <w:b/>
          <w:color w:val="000000"/>
          <w:szCs w:val="24"/>
          <w:lang w:val="it-IT" w:eastAsia="it-IT"/>
        </w:rPr>
        <w:t>.</w:t>
      </w:r>
    </w:p>
    <w:p w:rsidR="00325959" w:rsidRDefault="00325959" w:rsidP="005C64D6">
      <w:pPr>
        <w:numPr>
          <w:ilvl w:val="0"/>
          <w:numId w:val="19"/>
        </w:numPr>
        <w:spacing w:before="120"/>
        <w:ind w:left="283" w:hanging="289"/>
        <w:rPr>
          <w:rFonts w:eastAsia="Times New Roman"/>
          <w:color w:val="000000"/>
          <w:szCs w:val="24"/>
          <w:lang w:val="it-IT" w:eastAsia="it-IT"/>
        </w:rPr>
      </w:pPr>
      <w:r w:rsidRPr="00325959">
        <w:rPr>
          <w:rFonts w:eastAsia="Times New Roman"/>
          <w:color w:val="000000"/>
          <w:szCs w:val="24"/>
          <w:lang w:val="it-IT" w:eastAsia="it-IT"/>
        </w:rPr>
        <w:t xml:space="preserve">Accanto ad indicatori quantitativi e finanziari è fondamentale riflettere su </w:t>
      </w:r>
      <w:r w:rsidRPr="00325959">
        <w:rPr>
          <w:rFonts w:eastAsia="Times New Roman"/>
          <w:b/>
          <w:color w:val="000000"/>
          <w:szCs w:val="24"/>
          <w:lang w:val="it-IT" w:eastAsia="it-IT"/>
        </w:rPr>
        <w:t>aspetti qualitativi</w:t>
      </w:r>
      <w:r w:rsidRPr="00325959">
        <w:rPr>
          <w:rFonts w:eastAsia="Times New Roman"/>
          <w:color w:val="000000"/>
          <w:szCs w:val="24"/>
          <w:lang w:val="it-IT" w:eastAsia="it-IT"/>
        </w:rPr>
        <w:t xml:space="preserve"> delle prestazioni erogate. In particolare il servizio coinvolto dovrebbe eseguire a scadenza regolare un sondaggio all’interno della propria clientela o utenza, interna e esterna all’AC per poter valutare il grado di soddisfazione suscitato.</w:t>
      </w:r>
    </w:p>
    <w:p w:rsidR="00577125" w:rsidRDefault="00577125" w:rsidP="005C64D6">
      <w:pPr>
        <w:rPr>
          <w:rFonts w:eastAsia="Times New Roman"/>
          <w:color w:val="000000"/>
          <w:szCs w:val="24"/>
          <w:lang w:val="it-IT" w:eastAsia="it-IT"/>
        </w:rPr>
      </w:pPr>
    </w:p>
    <w:p w:rsidR="00577125" w:rsidRPr="00325959" w:rsidRDefault="00577125" w:rsidP="005C64D6">
      <w:pPr>
        <w:rPr>
          <w:rFonts w:eastAsia="Times New Roman"/>
          <w:color w:val="000000"/>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caps/>
          <w:szCs w:val="24"/>
          <w:lang w:val="it-IT" w:eastAsia="it-IT"/>
        </w:rPr>
      </w:pPr>
      <w:bookmarkStart w:id="44" w:name="_Toc95234646"/>
      <w:r w:rsidRPr="00325959">
        <w:rPr>
          <w:caps/>
          <w:szCs w:val="24"/>
          <w:lang w:val="it-IT" w:eastAsia="it-IT"/>
        </w:rPr>
        <w:t>Proposte commissionali</w:t>
      </w:r>
      <w:bookmarkEnd w:id="44"/>
    </w:p>
    <w:p w:rsidR="00325959" w:rsidRPr="00325959" w:rsidRDefault="00325959" w:rsidP="005C64D6">
      <w:pPr>
        <w:rPr>
          <w:rFonts w:eastAsia="Times New Roman"/>
          <w:color w:val="000000"/>
          <w:szCs w:val="24"/>
          <w:lang w:val="it-IT" w:eastAsia="it-IT"/>
        </w:rPr>
      </w:pPr>
      <w:r w:rsidRPr="00325959">
        <w:rPr>
          <w:rFonts w:eastAsia="Times New Roman"/>
          <w:color w:val="000000"/>
          <w:szCs w:val="24"/>
          <w:lang w:val="it-IT" w:eastAsia="it-IT"/>
        </w:rPr>
        <w:t xml:space="preserve">La Commissione in base alle considerazioni espresse propone pertanto alcuni </w:t>
      </w:r>
      <w:r w:rsidRPr="00325959">
        <w:rPr>
          <w:rFonts w:eastAsia="Times New Roman"/>
          <w:b/>
          <w:color w:val="000000"/>
          <w:szCs w:val="24"/>
          <w:lang w:val="it-IT" w:eastAsia="it-IT"/>
        </w:rPr>
        <w:t>emendamenti</w:t>
      </w:r>
      <w:r w:rsidRPr="00325959">
        <w:rPr>
          <w:rFonts w:eastAsia="Times New Roman"/>
          <w:color w:val="000000"/>
          <w:szCs w:val="24"/>
          <w:lang w:val="it-IT" w:eastAsia="it-IT"/>
        </w:rPr>
        <w:t xml:space="preserve"> ai decreti legislativi presentati dal </w:t>
      </w:r>
      <w:r w:rsidR="008F7A1D">
        <w:rPr>
          <w:rFonts w:eastAsia="Times New Roman"/>
          <w:color w:val="000000"/>
          <w:szCs w:val="24"/>
          <w:lang w:val="it-IT" w:eastAsia="it-IT"/>
        </w:rPr>
        <w:t>G</w:t>
      </w:r>
      <w:r w:rsidRPr="00325959">
        <w:rPr>
          <w:rFonts w:eastAsia="Times New Roman"/>
          <w:color w:val="000000"/>
          <w:szCs w:val="24"/>
          <w:lang w:val="it-IT" w:eastAsia="it-IT"/>
        </w:rPr>
        <w:t>overno.</w:t>
      </w:r>
    </w:p>
    <w:p w:rsidR="00325959" w:rsidRPr="00325959" w:rsidRDefault="00325959" w:rsidP="005C64D6">
      <w:pPr>
        <w:rPr>
          <w:rFonts w:eastAsia="Times New Roman"/>
          <w:color w:val="000000"/>
          <w:szCs w:val="24"/>
          <w:lang w:val="it-IT" w:eastAsia="it-IT"/>
        </w:rPr>
      </w:pPr>
    </w:p>
    <w:p w:rsidR="00325959" w:rsidRPr="00325959" w:rsidRDefault="00323935" w:rsidP="005C64D6">
      <w:pPr>
        <w:pStyle w:val="Titolo2"/>
        <w:numPr>
          <w:ilvl w:val="0"/>
          <w:numId w:val="0"/>
        </w:numPr>
        <w:tabs>
          <w:tab w:val="left" w:pos="567"/>
        </w:tabs>
        <w:spacing w:before="0" w:after="120"/>
        <w:jc w:val="both"/>
        <w:rPr>
          <w:rFonts w:eastAsia="Times New Roman"/>
          <w:color w:val="000000"/>
          <w:szCs w:val="24"/>
          <w:lang w:val="it-IT" w:eastAsia="it-IT"/>
        </w:rPr>
      </w:pPr>
      <w:bookmarkStart w:id="45" w:name="_Toc95234647"/>
      <w:r>
        <w:rPr>
          <w:rFonts w:eastAsia="Times New Roman"/>
          <w:color w:val="000000"/>
          <w:szCs w:val="24"/>
          <w:lang w:val="it-IT" w:eastAsia="it-IT"/>
        </w:rPr>
        <w:t>9.1</w:t>
      </w:r>
      <w:r>
        <w:rPr>
          <w:rFonts w:eastAsia="Times New Roman"/>
          <w:color w:val="000000"/>
          <w:szCs w:val="24"/>
          <w:lang w:val="it-IT" w:eastAsia="it-IT"/>
        </w:rPr>
        <w:tab/>
      </w:r>
      <w:r w:rsidR="00325959" w:rsidRPr="00325959">
        <w:rPr>
          <w:rFonts w:eastAsia="Times New Roman"/>
          <w:color w:val="000000"/>
          <w:szCs w:val="24"/>
          <w:lang w:val="it-IT" w:eastAsia="it-IT"/>
        </w:rPr>
        <w:t>Promozione del modello UAA</w:t>
      </w:r>
      <w:bookmarkEnd w:id="45"/>
    </w:p>
    <w:p w:rsidR="00325959" w:rsidRPr="00325959" w:rsidRDefault="00325959" w:rsidP="005C64D6">
      <w:pPr>
        <w:rPr>
          <w:rFonts w:eastAsia="Times New Roman"/>
          <w:color w:val="000000"/>
          <w:szCs w:val="24"/>
          <w:lang w:val="it-IT" w:eastAsia="it-IT"/>
        </w:rPr>
      </w:pPr>
      <w:r w:rsidRPr="00325959">
        <w:rPr>
          <w:rFonts w:eastAsia="Times New Roman"/>
          <w:color w:val="000000"/>
          <w:szCs w:val="24"/>
          <w:lang w:val="it-IT" w:eastAsia="it-IT"/>
        </w:rPr>
        <w:t>All’art</w:t>
      </w:r>
      <w:r w:rsidR="008F7A1D">
        <w:rPr>
          <w:rFonts w:eastAsia="Times New Roman"/>
          <w:color w:val="000000"/>
          <w:szCs w:val="24"/>
          <w:lang w:val="it-IT" w:eastAsia="it-IT"/>
        </w:rPr>
        <w:t>.</w:t>
      </w:r>
      <w:r w:rsidRPr="00325959">
        <w:rPr>
          <w:rFonts w:eastAsia="Times New Roman"/>
          <w:color w:val="000000"/>
          <w:szCs w:val="24"/>
          <w:lang w:val="it-IT" w:eastAsia="it-IT"/>
        </w:rPr>
        <w:t xml:space="preserve"> 1 è opportuno esplicitare un obiettivo quantitativo nella Legge affinché il modello venga diffuso con maggior determinazione.</w:t>
      </w:r>
    </w:p>
    <w:p w:rsidR="00323935" w:rsidRDefault="00323935" w:rsidP="005C64D6">
      <w:pPr>
        <w:shd w:val="clear" w:color="auto" w:fill="FFFFFF"/>
        <w:rPr>
          <w:rFonts w:eastAsia="Times New Roman" w:cs="Arial"/>
          <w:b/>
          <w:bCs/>
          <w:color w:val="000000"/>
          <w:sz w:val="20"/>
          <w:szCs w:val="20"/>
          <w:lang w:eastAsia="it-CH"/>
        </w:rPr>
      </w:pPr>
    </w:p>
    <w:p w:rsidR="00985A80" w:rsidRDefault="00985A80" w:rsidP="005C64D6">
      <w:pPr>
        <w:shd w:val="clear" w:color="auto" w:fill="FFFFFF"/>
        <w:rPr>
          <w:rFonts w:eastAsia="Times New Roman" w:cs="Arial"/>
          <w:b/>
          <w:bCs/>
          <w:color w:val="000000"/>
          <w:sz w:val="20"/>
          <w:szCs w:val="20"/>
          <w:lang w:eastAsia="it-CH"/>
        </w:rPr>
      </w:pPr>
    </w:p>
    <w:p w:rsidR="00325959" w:rsidRPr="00325959" w:rsidRDefault="00325959" w:rsidP="005C64D6">
      <w:pPr>
        <w:shd w:val="clear" w:color="auto" w:fill="FFFFFF"/>
        <w:spacing w:after="60"/>
        <w:rPr>
          <w:rFonts w:eastAsia="Times New Roman" w:cs="Arial"/>
          <w:b/>
          <w:bCs/>
          <w:color w:val="000000"/>
          <w:sz w:val="23"/>
          <w:szCs w:val="23"/>
          <w:lang w:eastAsia="it-CH"/>
        </w:rPr>
      </w:pPr>
      <w:r w:rsidRPr="00325959">
        <w:rPr>
          <w:rFonts w:eastAsia="Times New Roman" w:cs="Arial"/>
          <w:b/>
          <w:bCs/>
          <w:color w:val="000000"/>
          <w:sz w:val="23"/>
          <w:szCs w:val="23"/>
          <w:lang w:eastAsia="it-CH"/>
        </w:rPr>
        <w:lastRenderedPageBreak/>
        <w:t>Art. 1</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b/>
          <w:bCs/>
          <w:color w:val="000000"/>
          <w:sz w:val="23"/>
          <w:szCs w:val="23"/>
          <w:vertAlign w:val="superscript"/>
          <w:lang w:eastAsia="it-CH"/>
        </w:rPr>
        <w:t>1</w:t>
      </w:r>
      <w:r w:rsidRPr="00325959">
        <w:rPr>
          <w:rFonts w:eastAsia="Times New Roman" w:cs="Arial"/>
          <w:color w:val="000000"/>
          <w:sz w:val="23"/>
          <w:szCs w:val="23"/>
          <w:lang w:eastAsia="it-CH"/>
        </w:rPr>
        <w:t>La presente legge disciplina il funzionamento delle Unità amministrative autonome (in seguito UAA) tramite il budget globale e il mandato di prestazione.</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bCs/>
          <w:color w:val="000000"/>
          <w:sz w:val="23"/>
          <w:szCs w:val="23"/>
          <w:vertAlign w:val="superscript"/>
          <w:lang w:eastAsia="it-CH"/>
        </w:rPr>
        <w:t>2</w:t>
      </w:r>
      <w:r w:rsidRPr="00325959">
        <w:rPr>
          <w:rFonts w:eastAsia="Times New Roman" w:cs="Arial"/>
          <w:bCs/>
          <w:color w:val="000000"/>
          <w:sz w:val="23"/>
          <w:szCs w:val="23"/>
          <w:lang w:eastAsia="it-CH"/>
        </w:rPr>
        <w:t xml:space="preserve">Il numero di UAA è esteso in modo progressivo. Il Consiglio di Stato analizza annualmente la fattibilità dell’applicazione del modello </w:t>
      </w:r>
      <w:r w:rsidRPr="00325959">
        <w:rPr>
          <w:rFonts w:eastAsia="Times New Roman" w:cs="Arial"/>
          <w:b/>
          <w:bCs/>
          <w:color w:val="000000"/>
          <w:sz w:val="23"/>
          <w:szCs w:val="23"/>
          <w:lang w:eastAsia="it-CH"/>
        </w:rPr>
        <w:t xml:space="preserve">di regola </w:t>
      </w:r>
      <w:r w:rsidRPr="00325959">
        <w:rPr>
          <w:rFonts w:eastAsia="Times New Roman" w:cs="Arial"/>
          <w:b/>
          <w:bCs/>
          <w:color w:val="000000"/>
          <w:sz w:val="23"/>
          <w:szCs w:val="23"/>
          <w:u w:val="single"/>
          <w:lang w:eastAsia="it-CH"/>
        </w:rPr>
        <w:t>di almeno</w:t>
      </w:r>
      <w:r w:rsidRPr="00325959">
        <w:rPr>
          <w:rFonts w:eastAsia="Times New Roman" w:cs="Arial"/>
          <w:bCs/>
          <w:color w:val="000000"/>
          <w:sz w:val="23"/>
          <w:szCs w:val="23"/>
          <w:lang w:eastAsia="it-CH"/>
        </w:rPr>
        <w:t xml:space="preserve"> una nuova unità per ogni Dipartimento. </w:t>
      </w:r>
    </w:p>
    <w:p w:rsidR="00325959" w:rsidRPr="00325959" w:rsidRDefault="00325959" w:rsidP="005C64D6">
      <w:pPr>
        <w:rPr>
          <w:rFonts w:eastAsia="Times New Roman"/>
          <w:color w:val="000000"/>
          <w:szCs w:val="24"/>
          <w:lang w:eastAsia="it-IT"/>
        </w:rPr>
      </w:pPr>
    </w:p>
    <w:p w:rsidR="00325959" w:rsidRPr="00325959" w:rsidRDefault="00FC0C83" w:rsidP="005C64D6">
      <w:pPr>
        <w:pStyle w:val="Titolo2"/>
        <w:numPr>
          <w:ilvl w:val="0"/>
          <w:numId w:val="0"/>
        </w:numPr>
        <w:tabs>
          <w:tab w:val="left" w:pos="567"/>
        </w:tabs>
        <w:spacing w:before="0" w:after="120"/>
        <w:jc w:val="both"/>
        <w:rPr>
          <w:rFonts w:eastAsia="Times New Roman"/>
          <w:szCs w:val="24"/>
          <w:lang w:val="it-IT" w:eastAsia="it-IT"/>
        </w:rPr>
      </w:pPr>
      <w:bookmarkStart w:id="46" w:name="_Toc95234648"/>
      <w:r>
        <w:rPr>
          <w:rFonts w:eastAsia="Times New Roman"/>
          <w:szCs w:val="24"/>
          <w:lang w:val="it-IT" w:eastAsia="it-IT"/>
        </w:rPr>
        <w:t>9.2</w:t>
      </w:r>
      <w:r w:rsidR="00323935">
        <w:rPr>
          <w:rFonts w:eastAsia="Times New Roman"/>
          <w:szCs w:val="24"/>
          <w:lang w:val="it-IT" w:eastAsia="it-IT"/>
        </w:rPr>
        <w:tab/>
      </w:r>
      <w:r w:rsidR="00325959" w:rsidRPr="00325959">
        <w:rPr>
          <w:rFonts w:eastAsia="Times New Roman"/>
          <w:szCs w:val="24"/>
          <w:lang w:val="it-IT" w:eastAsia="it-IT"/>
        </w:rPr>
        <w:t>Premi al personale correlati ai risultati</w:t>
      </w:r>
      <w:bookmarkEnd w:id="46"/>
    </w:p>
    <w:p w:rsidR="00325959" w:rsidRDefault="00325959" w:rsidP="005C64D6">
      <w:pPr>
        <w:rPr>
          <w:rFonts w:eastAsia="Times New Roman"/>
          <w:color w:val="000000"/>
          <w:szCs w:val="24"/>
          <w:lang w:eastAsia="it-IT"/>
        </w:rPr>
      </w:pPr>
      <w:r w:rsidRPr="00325959">
        <w:rPr>
          <w:rFonts w:eastAsia="Times New Roman"/>
          <w:color w:val="000000"/>
          <w:szCs w:val="24"/>
          <w:lang w:eastAsia="it-IT"/>
        </w:rPr>
        <w:t>Il Regolamento dei dipendenti dello stato stabilisce all’</w:t>
      </w:r>
      <w:r w:rsidR="00985A80">
        <w:rPr>
          <w:rFonts w:eastAsia="Times New Roman"/>
          <w:color w:val="000000"/>
          <w:szCs w:val="24"/>
          <w:lang w:eastAsia="it-IT"/>
        </w:rPr>
        <w:t>a</w:t>
      </w:r>
      <w:r w:rsidRPr="00325959">
        <w:rPr>
          <w:rFonts w:eastAsia="Times New Roman"/>
          <w:color w:val="000000"/>
          <w:szCs w:val="24"/>
          <w:lang w:eastAsia="it-IT"/>
        </w:rPr>
        <w:t>rt</w:t>
      </w:r>
      <w:r w:rsidR="00985A80">
        <w:rPr>
          <w:rFonts w:eastAsia="Times New Roman"/>
          <w:color w:val="000000"/>
          <w:szCs w:val="24"/>
          <w:lang w:eastAsia="it-IT"/>
        </w:rPr>
        <w:t>.</w:t>
      </w:r>
      <w:r w:rsidRPr="00325959">
        <w:rPr>
          <w:rFonts w:eastAsia="Times New Roman"/>
          <w:color w:val="000000"/>
          <w:szCs w:val="24"/>
          <w:lang w:eastAsia="it-IT"/>
        </w:rPr>
        <w:t xml:space="preserve"> 56 la possibilità data al Consiglio di Stato di attribuire dei premi per prestazioni eccezionali. Anche in questo caso sembra essere opportuno che l’attribuzione di eventuali premi, da intendere in modo collettivo o individuale, debba essere correlato al superamento degli obiettivi fissati nel mandato di prestazione e quindi essere finanziati dal miglioramento del risultato finanziario dell’UAA. </w:t>
      </w:r>
    </w:p>
    <w:p w:rsidR="00323935" w:rsidRPr="00325959" w:rsidRDefault="00323935" w:rsidP="005C64D6">
      <w:pPr>
        <w:rPr>
          <w:rFonts w:eastAsia="Times New Roman"/>
          <w:color w:val="000000"/>
          <w:szCs w:val="24"/>
          <w:lang w:eastAsia="it-IT"/>
        </w:rPr>
      </w:pP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b/>
          <w:bCs/>
          <w:color w:val="000000"/>
          <w:sz w:val="23"/>
          <w:szCs w:val="23"/>
          <w:lang w:eastAsia="it-CH"/>
        </w:rPr>
        <w:t>Gestione del personale</w:t>
      </w:r>
    </w:p>
    <w:p w:rsidR="00985A80" w:rsidRDefault="00325959" w:rsidP="005C64D6">
      <w:pPr>
        <w:shd w:val="clear" w:color="auto" w:fill="FFFFFF"/>
        <w:spacing w:after="60"/>
        <w:rPr>
          <w:rFonts w:eastAsia="Times New Roman" w:cs="Arial"/>
          <w:b/>
          <w:bCs/>
          <w:color w:val="000000"/>
          <w:sz w:val="23"/>
          <w:szCs w:val="23"/>
          <w:lang w:eastAsia="it-CH"/>
        </w:rPr>
      </w:pPr>
      <w:r w:rsidRPr="00325959">
        <w:rPr>
          <w:rFonts w:eastAsia="Times New Roman" w:cs="Arial"/>
          <w:b/>
          <w:bCs/>
          <w:color w:val="000000"/>
          <w:sz w:val="23"/>
          <w:szCs w:val="23"/>
          <w:lang w:eastAsia="it-CH"/>
        </w:rPr>
        <w:t>Art. 4</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color w:val="000000"/>
          <w:position w:val="4"/>
          <w:sz w:val="23"/>
          <w:szCs w:val="23"/>
          <w:vertAlign w:val="superscript"/>
          <w:lang w:eastAsia="it-CH"/>
        </w:rPr>
        <w:t>1</w:t>
      </w:r>
      <w:r w:rsidRPr="00325959">
        <w:rPr>
          <w:rFonts w:eastAsia="Times New Roman" w:cs="Arial"/>
          <w:color w:val="000000"/>
          <w:sz w:val="23"/>
          <w:szCs w:val="23"/>
          <w:lang w:eastAsia="it-CH"/>
        </w:rPr>
        <w:t>Le UAA, per la gestione del personale, sottostanno alle disposizioni legali previste dall’ordinamento dei dipendenti dello Stato.</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color w:val="000000"/>
          <w:position w:val="4"/>
          <w:sz w:val="23"/>
          <w:szCs w:val="23"/>
          <w:vertAlign w:val="superscript"/>
          <w:lang w:eastAsia="it-CH"/>
        </w:rPr>
        <w:t>2</w:t>
      </w:r>
      <w:r w:rsidRPr="00325959">
        <w:rPr>
          <w:rFonts w:eastAsia="Times New Roman" w:cs="Arial"/>
          <w:color w:val="000000"/>
          <w:sz w:val="23"/>
          <w:szCs w:val="23"/>
          <w:lang w:eastAsia="it-CH"/>
        </w:rPr>
        <w:t>Le assunzioni a tempo determinato possono avvenire nella forma dell’incarico (art. 15 della legge sull’ordinamento dei dipendenti dello Stato e dei docenti del 15 marzo 1995) o di personale ausiliario. Il regolamento definisce la procedura.</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color w:val="000000"/>
          <w:position w:val="4"/>
          <w:sz w:val="23"/>
          <w:szCs w:val="23"/>
          <w:vertAlign w:val="superscript"/>
          <w:lang w:eastAsia="it-CH"/>
        </w:rPr>
        <w:t>3</w:t>
      </w:r>
      <w:r w:rsidRPr="00325959">
        <w:rPr>
          <w:rFonts w:eastAsia="Times New Roman" w:cs="Arial"/>
          <w:color w:val="000000"/>
          <w:sz w:val="23"/>
          <w:szCs w:val="23"/>
          <w:lang w:eastAsia="it-CH"/>
        </w:rPr>
        <w:t>Le assunzioni a tempo indeterminato sono autorizzate dal Consiglio di Stato.</w:t>
      </w:r>
    </w:p>
    <w:p w:rsidR="00325959" w:rsidRPr="00325959" w:rsidRDefault="00325959" w:rsidP="005C64D6">
      <w:pPr>
        <w:shd w:val="clear" w:color="auto" w:fill="FFFFFF"/>
        <w:rPr>
          <w:rFonts w:eastAsia="Times New Roman" w:cs="Arial"/>
          <w:color w:val="000000"/>
          <w:sz w:val="23"/>
          <w:szCs w:val="23"/>
          <w:lang w:eastAsia="it-CH"/>
        </w:rPr>
      </w:pPr>
      <w:r w:rsidRPr="00325959">
        <w:rPr>
          <w:rFonts w:eastAsia="Times New Roman" w:cs="Arial"/>
          <w:color w:val="000000"/>
          <w:sz w:val="23"/>
          <w:szCs w:val="23"/>
          <w:vertAlign w:val="superscript"/>
          <w:lang w:eastAsia="it-CH"/>
        </w:rPr>
        <w:t>4</w:t>
      </w:r>
      <w:r w:rsidRPr="00325959">
        <w:rPr>
          <w:rFonts w:eastAsia="Times New Roman" w:cs="Arial"/>
          <w:color w:val="000000"/>
          <w:sz w:val="23"/>
          <w:szCs w:val="23"/>
          <w:lang w:eastAsia="it-CH"/>
        </w:rPr>
        <w:t>L’attribuzione di premi collettivi o individuali all’interno delle UAA è correlata ai risultati raggiunti.</w:t>
      </w:r>
    </w:p>
    <w:p w:rsidR="00325959" w:rsidRPr="00325959" w:rsidRDefault="00325959" w:rsidP="005C64D6">
      <w:pPr>
        <w:rPr>
          <w:rFonts w:eastAsia="Times New Roman"/>
          <w:szCs w:val="24"/>
          <w:lang w:eastAsia="it-IT"/>
        </w:rPr>
      </w:pPr>
    </w:p>
    <w:p w:rsidR="00325959" w:rsidRPr="00325959" w:rsidRDefault="00FC0C83" w:rsidP="005C64D6">
      <w:pPr>
        <w:pStyle w:val="Titolo2"/>
        <w:numPr>
          <w:ilvl w:val="0"/>
          <w:numId w:val="0"/>
        </w:numPr>
        <w:tabs>
          <w:tab w:val="left" w:pos="567"/>
        </w:tabs>
        <w:spacing w:before="0" w:after="120"/>
        <w:jc w:val="both"/>
        <w:rPr>
          <w:lang w:val="it-IT" w:eastAsia="it-IT"/>
        </w:rPr>
      </w:pPr>
      <w:bookmarkStart w:id="47" w:name="_Toc95234649"/>
      <w:r>
        <w:rPr>
          <w:lang w:val="it-IT" w:eastAsia="it-IT"/>
        </w:rPr>
        <w:t>9.3</w:t>
      </w:r>
      <w:r w:rsidR="00323935">
        <w:rPr>
          <w:lang w:val="it-IT" w:eastAsia="it-IT"/>
        </w:rPr>
        <w:tab/>
      </w:r>
      <w:r w:rsidR="00325959" w:rsidRPr="00325959">
        <w:rPr>
          <w:lang w:val="it-IT" w:eastAsia="it-IT"/>
        </w:rPr>
        <w:t>Invito al Consiglio di Stato</w:t>
      </w:r>
      <w:bookmarkEnd w:id="47"/>
    </w:p>
    <w:p w:rsidR="00325959" w:rsidRPr="00325959" w:rsidRDefault="00325959" w:rsidP="005C64D6">
      <w:pPr>
        <w:rPr>
          <w:rFonts w:eastAsia="Times New Roman"/>
          <w:color w:val="000000"/>
          <w:szCs w:val="24"/>
          <w:lang w:eastAsia="it-IT"/>
        </w:rPr>
      </w:pPr>
      <w:r w:rsidRPr="00325959">
        <w:rPr>
          <w:rFonts w:eastAsia="Times New Roman"/>
          <w:color w:val="000000"/>
          <w:szCs w:val="24"/>
          <w:lang w:eastAsia="it-IT"/>
        </w:rPr>
        <w:t>Come ribadito all’inizio di questo rapporto, la responsabilità della conduzione dell’Amministrazione cantonale è di competenza del Consiglio di Stato e in questo senso la Commissione non può che invitare il Governo a una maggior determinazione per promuovere l’innovazione anche nei processi amministrativi. Per questo motivo l’auspicio commissionale è di mettere disposizione specifiche risorse per investire in questo processo di trasformazione con maggiore determinazione e quindi è un invito al Governo ad elaborare un apposito messaggio. La quantificazione delle risorse da investire potrebbe essere messe in relazione all’ammontare del riversamento delle stesse UAA nei conti dello Stato.</w:t>
      </w:r>
    </w:p>
    <w:p w:rsidR="00325959" w:rsidRPr="00325959" w:rsidRDefault="00325959" w:rsidP="005C64D6">
      <w:pPr>
        <w:rPr>
          <w:rFonts w:eastAsia="Times New Roman"/>
          <w:color w:val="000000"/>
          <w:szCs w:val="24"/>
          <w:lang w:eastAsia="it-IT"/>
        </w:rPr>
      </w:pPr>
      <w:r w:rsidRPr="00325959">
        <w:rPr>
          <w:rFonts w:eastAsia="Times New Roman"/>
          <w:color w:val="000000"/>
          <w:szCs w:val="24"/>
          <w:lang w:eastAsia="it-IT"/>
        </w:rPr>
        <w:t xml:space="preserve">La definizione invece dell’ammontare dell’aliquota da destinare ai conti dello Stato, con un </w:t>
      </w:r>
      <w:r w:rsidRPr="00325959">
        <w:rPr>
          <w:rFonts w:eastAsia="Times New Roman"/>
          <w:b/>
          <w:color w:val="000000"/>
          <w:szCs w:val="24"/>
          <w:lang w:eastAsia="it-IT"/>
        </w:rPr>
        <w:t>importo massimo del 50% fino all’ottenimento del pareggio di bilancio e la successiva riduzione al 25%</w:t>
      </w:r>
      <w:r w:rsidRPr="00325959">
        <w:rPr>
          <w:rFonts w:eastAsia="Times New Roman"/>
          <w:color w:val="000000"/>
          <w:szCs w:val="24"/>
          <w:lang w:eastAsia="it-IT"/>
        </w:rPr>
        <w:t xml:space="preserve">, rientra nell’apposito Regolamento di competenza del Governo che definisce i dettagli del funzionamento delle UAA. </w:t>
      </w:r>
    </w:p>
    <w:p w:rsidR="00325959" w:rsidRPr="00985A80" w:rsidRDefault="00325959" w:rsidP="005C64D6">
      <w:pPr>
        <w:jc w:val="left"/>
        <w:rPr>
          <w:rFonts w:eastAsia="Times New Roman"/>
          <w:szCs w:val="24"/>
          <w:lang w:val="it-IT" w:eastAsia="it-IT"/>
        </w:rPr>
      </w:pPr>
    </w:p>
    <w:p w:rsidR="00323935" w:rsidRPr="00985A80" w:rsidRDefault="00323935" w:rsidP="005C64D6">
      <w:pPr>
        <w:jc w:val="left"/>
        <w:rPr>
          <w:rFonts w:eastAsia="Times New Roman"/>
          <w:szCs w:val="24"/>
          <w:lang w:val="it-IT" w:eastAsia="it-IT"/>
        </w:rPr>
      </w:pPr>
    </w:p>
    <w:p w:rsidR="00325959" w:rsidRPr="00325959" w:rsidRDefault="00325959" w:rsidP="005C64D6">
      <w:pPr>
        <w:pStyle w:val="Titolo1"/>
        <w:numPr>
          <w:ilvl w:val="0"/>
          <w:numId w:val="22"/>
        </w:numPr>
        <w:tabs>
          <w:tab w:val="left" w:pos="567"/>
        </w:tabs>
        <w:spacing w:before="0"/>
        <w:ind w:left="567" w:hanging="567"/>
        <w:jc w:val="both"/>
        <w:rPr>
          <w:rFonts w:eastAsia="Times New Roman"/>
          <w:szCs w:val="24"/>
          <w:lang w:val="it-IT" w:eastAsia="it-IT"/>
        </w:rPr>
      </w:pPr>
      <w:bookmarkStart w:id="48" w:name="_Toc95234650"/>
      <w:r w:rsidRPr="00325959">
        <w:rPr>
          <w:caps/>
          <w:szCs w:val="24"/>
          <w:lang w:val="it-IT" w:eastAsia="it-IT"/>
        </w:rPr>
        <w:t>Conclusione</w:t>
      </w:r>
      <w:bookmarkEnd w:id="48"/>
      <w:r w:rsidRPr="00325959">
        <w:rPr>
          <w:caps/>
          <w:szCs w:val="24"/>
          <w:lang w:val="it-IT" w:eastAsia="it-IT"/>
        </w:rPr>
        <w:t xml:space="preserve"> </w:t>
      </w:r>
    </w:p>
    <w:p w:rsidR="00325959" w:rsidRDefault="00325959" w:rsidP="005C64D6">
      <w:pPr>
        <w:rPr>
          <w:rFonts w:eastAsia="Times New Roman"/>
          <w:szCs w:val="24"/>
          <w:lang w:val="it-IT" w:eastAsia="it-IT"/>
        </w:rPr>
      </w:pPr>
      <w:r w:rsidRPr="00325959">
        <w:rPr>
          <w:rFonts w:eastAsia="Times New Roman"/>
          <w:szCs w:val="24"/>
          <w:lang w:val="it-IT" w:eastAsia="it-IT"/>
        </w:rPr>
        <w:t xml:space="preserve">La Commissione della gestione e delle finanze auspica un deciso cambio di passo nell’applicazione del modello UAA all’interno dell’amministrazione cantonale. La Commissione condivide che lo strumento favorisce maggior consapevolezza nel miglioramento di efficacia e efficienza da parte dei servizi coinvolti e migliori la trasparenza nelle valutazioni di preventivo e consuntivo grazie e obiettivi e indicatori espliciti. </w:t>
      </w:r>
    </w:p>
    <w:p w:rsidR="00985A80" w:rsidRPr="00325959" w:rsidRDefault="00985A80" w:rsidP="005C64D6">
      <w:pPr>
        <w:rPr>
          <w:rFonts w:eastAsia="Times New Roman"/>
          <w:szCs w:val="24"/>
          <w:lang w:val="it-IT" w:eastAsia="it-IT"/>
        </w:rPr>
      </w:pPr>
    </w:p>
    <w:p w:rsidR="00325959" w:rsidRPr="00325959" w:rsidRDefault="00325959" w:rsidP="005C64D6">
      <w:pPr>
        <w:rPr>
          <w:rFonts w:eastAsia="Times New Roman"/>
          <w:szCs w:val="24"/>
          <w:lang w:val="it-IT" w:eastAsia="it-IT"/>
        </w:rPr>
      </w:pPr>
      <w:r w:rsidRPr="00325959">
        <w:rPr>
          <w:rFonts w:eastAsia="Times New Roman"/>
          <w:szCs w:val="24"/>
          <w:lang w:val="it-IT" w:eastAsia="it-IT"/>
        </w:rPr>
        <w:lastRenderedPageBreak/>
        <w:t xml:space="preserve">Tenendo conto delle considerazioni e dei suggerimenti espressi, la Commissione propone al plenum del </w:t>
      </w:r>
      <w:r w:rsidR="00985A80">
        <w:rPr>
          <w:rFonts w:eastAsia="Times New Roman"/>
          <w:szCs w:val="24"/>
          <w:lang w:val="it-IT" w:eastAsia="it-IT"/>
        </w:rPr>
        <w:t>P</w:t>
      </w:r>
      <w:r w:rsidRPr="00325959">
        <w:rPr>
          <w:rFonts w:eastAsia="Times New Roman"/>
          <w:szCs w:val="24"/>
          <w:lang w:val="it-IT" w:eastAsia="it-IT"/>
        </w:rPr>
        <w:t xml:space="preserve">arlamento di approvare </w:t>
      </w:r>
      <w:r w:rsidR="00907247">
        <w:rPr>
          <w:rFonts w:eastAsia="Times New Roman"/>
          <w:szCs w:val="24"/>
          <w:lang w:val="it-IT" w:eastAsia="it-IT"/>
        </w:rPr>
        <w:t xml:space="preserve">il disegno di legge </w:t>
      </w:r>
      <w:r w:rsidRPr="00325959">
        <w:rPr>
          <w:rFonts w:eastAsia="Times New Roman"/>
          <w:szCs w:val="24"/>
          <w:lang w:val="it-IT" w:eastAsia="it-IT"/>
        </w:rPr>
        <w:t xml:space="preserve">allegato al rapporto. </w:t>
      </w:r>
    </w:p>
    <w:p w:rsidR="00325959" w:rsidRDefault="00325959" w:rsidP="005C64D6">
      <w:pPr>
        <w:rPr>
          <w:rFonts w:eastAsia="Times New Roman"/>
          <w:szCs w:val="20"/>
          <w:lang w:val="it-IT" w:eastAsia="it-IT"/>
        </w:rPr>
      </w:pPr>
    </w:p>
    <w:p w:rsidR="00CF1648" w:rsidRPr="00325959" w:rsidRDefault="00CF1648" w:rsidP="005C64D6">
      <w:pPr>
        <w:rPr>
          <w:rFonts w:eastAsia="Times New Roman"/>
          <w:szCs w:val="20"/>
          <w:lang w:val="it-IT" w:eastAsia="it-IT"/>
        </w:rPr>
      </w:pPr>
    </w:p>
    <w:p w:rsidR="00CF1648" w:rsidRPr="00076E70" w:rsidRDefault="00CF1648" w:rsidP="005C64D6">
      <w:pPr>
        <w:spacing w:after="120"/>
        <w:rPr>
          <w:rFonts w:cs="Arial"/>
          <w:szCs w:val="24"/>
        </w:rPr>
      </w:pPr>
      <w:r w:rsidRPr="00076E70">
        <w:rPr>
          <w:rFonts w:cs="Arial"/>
          <w:szCs w:val="24"/>
        </w:rPr>
        <w:t xml:space="preserve">Per la </w:t>
      </w:r>
      <w:r w:rsidRPr="00CF1648">
        <w:rPr>
          <w:rFonts w:cs="Arial"/>
          <w:szCs w:val="24"/>
        </w:rPr>
        <w:t>Commissione gestione e finanze:</w:t>
      </w:r>
    </w:p>
    <w:p w:rsidR="00CF1648" w:rsidRPr="00076E70" w:rsidRDefault="00CF1648" w:rsidP="005C64D6">
      <w:pPr>
        <w:rPr>
          <w:rFonts w:cs="Arial"/>
          <w:szCs w:val="24"/>
        </w:rPr>
      </w:pPr>
      <w:r>
        <w:rPr>
          <w:rFonts w:cs="Arial"/>
          <w:szCs w:val="24"/>
        </w:rPr>
        <w:t>Bixio Caprara</w:t>
      </w:r>
      <w:r w:rsidRPr="00076E70">
        <w:rPr>
          <w:rFonts w:cs="Arial"/>
          <w:szCs w:val="24"/>
        </w:rPr>
        <w:t>, relatore</w:t>
      </w:r>
    </w:p>
    <w:p w:rsidR="003A6E24" w:rsidRDefault="00782640" w:rsidP="005C64D6">
      <w:pPr>
        <w:rPr>
          <w:rFonts w:cs="Arial"/>
        </w:rPr>
      </w:pPr>
      <w:bookmarkStart w:id="49" w:name="OLE_LINK1"/>
      <w:bookmarkStart w:id="50" w:name="OLE_LINK2"/>
      <w:r>
        <w:rPr>
          <w:rFonts w:cs="Arial"/>
        </w:rPr>
        <w:t>Agustoni - Balli (con riserva) -</w:t>
      </w:r>
      <w:r w:rsidR="003A6E24">
        <w:rPr>
          <w:rFonts w:cs="Arial"/>
        </w:rPr>
        <w:t xml:space="preserve"> Bignasca (con riserva) -</w:t>
      </w:r>
    </w:p>
    <w:p w:rsidR="00985A80" w:rsidRDefault="003A6E24" w:rsidP="005C64D6">
      <w:pPr>
        <w:rPr>
          <w:rFonts w:cs="Arial"/>
        </w:rPr>
      </w:pPr>
      <w:r>
        <w:rPr>
          <w:rFonts w:cs="Arial"/>
        </w:rPr>
        <w:t xml:space="preserve">Biscossa (con riserva) - </w:t>
      </w:r>
      <w:r w:rsidR="00782640">
        <w:rPr>
          <w:rFonts w:cs="Arial"/>
        </w:rPr>
        <w:t>Bourgoin</w:t>
      </w:r>
      <w:r>
        <w:rPr>
          <w:rFonts w:cs="Arial"/>
        </w:rPr>
        <w:t xml:space="preserve"> (con riserva) </w:t>
      </w:r>
      <w:r w:rsidR="00985A80">
        <w:rPr>
          <w:rFonts w:cs="Arial"/>
        </w:rPr>
        <w:t>-</w:t>
      </w:r>
      <w:r w:rsidR="00782640">
        <w:rPr>
          <w:rFonts w:cs="Arial"/>
        </w:rPr>
        <w:t xml:space="preserve"> </w:t>
      </w:r>
    </w:p>
    <w:p w:rsidR="00985A80" w:rsidRDefault="00782640" w:rsidP="005C64D6">
      <w:pPr>
        <w:rPr>
          <w:rFonts w:cs="Arial"/>
        </w:rPr>
      </w:pPr>
      <w:r w:rsidRPr="002A72FD">
        <w:rPr>
          <w:rFonts w:cs="Arial"/>
        </w:rPr>
        <w:t>Caverzasio</w:t>
      </w:r>
      <w:r>
        <w:rPr>
          <w:rFonts w:cs="Arial"/>
        </w:rPr>
        <w:t xml:space="preserve"> </w:t>
      </w:r>
      <w:r w:rsidR="003A6E24">
        <w:rPr>
          <w:rFonts w:cs="Arial"/>
        </w:rPr>
        <w:t>(con riserva) -</w:t>
      </w:r>
      <w:r w:rsidR="00985A80">
        <w:rPr>
          <w:rFonts w:cs="Arial"/>
        </w:rPr>
        <w:t xml:space="preserve"> </w:t>
      </w:r>
      <w:r>
        <w:rPr>
          <w:rFonts w:cs="Arial"/>
        </w:rPr>
        <w:t xml:space="preserve">Dadò </w:t>
      </w:r>
      <w:r w:rsidR="003A6E24">
        <w:rPr>
          <w:rFonts w:cs="Arial"/>
        </w:rPr>
        <w:t>-</w:t>
      </w:r>
      <w:r>
        <w:rPr>
          <w:rFonts w:cs="Arial"/>
        </w:rPr>
        <w:t xml:space="preserve"> Durisch</w:t>
      </w:r>
      <w:r w:rsidR="003A6E24">
        <w:rPr>
          <w:rFonts w:cs="Arial"/>
        </w:rPr>
        <w:t xml:space="preserve"> (con riserva) </w:t>
      </w:r>
      <w:r w:rsidR="00985A80">
        <w:rPr>
          <w:rFonts w:cs="Arial"/>
        </w:rPr>
        <w:t>-</w:t>
      </w:r>
      <w:r w:rsidR="003A6E24">
        <w:rPr>
          <w:rFonts w:cs="Arial"/>
        </w:rPr>
        <w:t xml:space="preserve"> </w:t>
      </w:r>
    </w:p>
    <w:p w:rsidR="00985A80" w:rsidRDefault="00782640" w:rsidP="005C64D6">
      <w:pPr>
        <w:rPr>
          <w:rFonts w:cs="Arial"/>
        </w:rPr>
      </w:pPr>
      <w:r>
        <w:rPr>
          <w:rFonts w:cs="Arial"/>
        </w:rPr>
        <w:t xml:space="preserve">Ferrara - Gianella Alessandra </w:t>
      </w:r>
      <w:r w:rsidR="003A6E24">
        <w:rPr>
          <w:rFonts w:cs="Arial"/>
        </w:rPr>
        <w:t>-</w:t>
      </w:r>
      <w:r w:rsidR="00985A80">
        <w:rPr>
          <w:rFonts w:cs="Arial"/>
        </w:rPr>
        <w:t xml:space="preserve"> </w:t>
      </w:r>
      <w:r>
        <w:rPr>
          <w:rFonts w:cs="Arial"/>
        </w:rPr>
        <w:t xml:space="preserve">Guerra </w:t>
      </w:r>
      <w:r w:rsidR="003A6E24">
        <w:rPr>
          <w:rFonts w:cs="Arial"/>
        </w:rPr>
        <w:t xml:space="preserve">(con riserva) </w:t>
      </w:r>
      <w:r w:rsidR="00985A80">
        <w:rPr>
          <w:rFonts w:cs="Arial"/>
        </w:rPr>
        <w:t>-</w:t>
      </w:r>
      <w:r w:rsidR="003A6E24">
        <w:rPr>
          <w:rFonts w:cs="Arial"/>
        </w:rPr>
        <w:t xml:space="preserve"> </w:t>
      </w:r>
    </w:p>
    <w:p w:rsidR="00782640" w:rsidRDefault="00782640" w:rsidP="005C64D6">
      <w:pPr>
        <w:rPr>
          <w:rFonts w:cs="Arial"/>
        </w:rPr>
      </w:pPr>
      <w:r>
        <w:rPr>
          <w:rFonts w:cs="Arial"/>
        </w:rPr>
        <w:t xml:space="preserve">Jelmini - Pamini - Quadranti </w:t>
      </w:r>
      <w:bookmarkEnd w:id="49"/>
      <w:bookmarkEnd w:id="50"/>
      <w:r w:rsidR="003A6E24">
        <w:rPr>
          <w:rFonts w:cs="Arial"/>
        </w:rPr>
        <w:t>-</w:t>
      </w:r>
      <w:r>
        <w:rPr>
          <w:rFonts w:cs="Arial"/>
        </w:rPr>
        <w:t xml:space="preserve"> Sirica</w:t>
      </w:r>
      <w:r w:rsidR="003A6E24">
        <w:rPr>
          <w:rFonts w:cs="Arial"/>
        </w:rPr>
        <w:t xml:space="preserve"> (con riserva)</w:t>
      </w:r>
    </w:p>
    <w:p w:rsidR="00D649A8" w:rsidRPr="00325959" w:rsidRDefault="00D649A8" w:rsidP="005C64D6">
      <w:pPr>
        <w:pStyle w:val="StandardRisoluzionedelConsigliodiStato"/>
      </w:pPr>
    </w:p>
    <w:p w:rsidR="00A863D6" w:rsidRDefault="00A863D6" w:rsidP="005C64D6">
      <w:pPr>
        <w:spacing w:after="240"/>
        <w:jc w:val="left"/>
      </w:pPr>
      <w:r>
        <w:br w:type="page"/>
      </w:r>
    </w:p>
    <w:p w:rsidR="00387828" w:rsidRPr="00387828" w:rsidRDefault="00387828" w:rsidP="005C64D6">
      <w:pPr>
        <w:rPr>
          <w:rFonts w:eastAsia="Times New Roman"/>
          <w:szCs w:val="20"/>
          <w:lang w:val="it-IT" w:eastAsia="it-IT"/>
        </w:rPr>
      </w:pPr>
      <w:r w:rsidRPr="00387828">
        <w:rPr>
          <w:rFonts w:eastAsia="Times New Roman"/>
          <w:szCs w:val="24"/>
          <w:lang w:val="it-IT" w:eastAsia="it-IT"/>
        </w:rPr>
        <w:lastRenderedPageBreak/>
        <w:t>Disegno di</w:t>
      </w:r>
    </w:p>
    <w:p w:rsidR="00387828" w:rsidRPr="00387828" w:rsidRDefault="00387828" w:rsidP="005C64D6">
      <w:pPr>
        <w:rPr>
          <w:rFonts w:eastAsia="Times New Roman"/>
          <w:szCs w:val="24"/>
          <w:lang w:val="it-IT" w:eastAsia="it-IT"/>
        </w:rPr>
      </w:pPr>
    </w:p>
    <w:p w:rsidR="00387828" w:rsidRPr="00985A80" w:rsidRDefault="00387828" w:rsidP="005C64D6">
      <w:pPr>
        <w:rPr>
          <w:rFonts w:eastAsia="Times New Roman"/>
          <w:b/>
          <w:szCs w:val="24"/>
          <w:lang w:val="it-IT" w:eastAsia="it-IT"/>
        </w:rPr>
      </w:pPr>
      <w:r w:rsidRPr="00387828">
        <w:rPr>
          <w:rFonts w:eastAsia="Times New Roman"/>
          <w:b/>
          <w:szCs w:val="24"/>
          <w:lang w:val="it-IT" w:eastAsia="it-IT"/>
        </w:rPr>
        <w:t>LEGGE</w:t>
      </w:r>
    </w:p>
    <w:p w:rsidR="00985A80" w:rsidRDefault="00387828" w:rsidP="005C64D6">
      <w:pPr>
        <w:rPr>
          <w:rFonts w:eastAsia="Times New Roman"/>
          <w:b/>
          <w:szCs w:val="24"/>
          <w:lang w:val="it-IT" w:eastAsia="it-IT"/>
        </w:rPr>
      </w:pPr>
      <w:r w:rsidRPr="00387828">
        <w:rPr>
          <w:rFonts w:eastAsia="Times New Roman"/>
          <w:b/>
          <w:szCs w:val="24"/>
          <w:lang w:val="it-IT" w:eastAsia="it-IT"/>
        </w:rPr>
        <w:t>sul finanziamento tramite il budget globale e il mandato di prestazione delle unità amministrative autonome del 21 ottobre 2015 (LUAA)</w:t>
      </w:r>
    </w:p>
    <w:p w:rsidR="00387828" w:rsidRPr="00387828" w:rsidRDefault="00387828" w:rsidP="005C64D6">
      <w:pPr>
        <w:rPr>
          <w:rFonts w:eastAsia="Times New Roman"/>
          <w:b/>
          <w:szCs w:val="24"/>
          <w:lang w:val="it-IT" w:eastAsia="it-IT"/>
        </w:rPr>
      </w:pPr>
      <w:r w:rsidRPr="00387828">
        <w:rPr>
          <w:rFonts w:eastAsia="Times New Roman"/>
          <w:b/>
          <w:szCs w:val="24"/>
          <w:lang w:val="it-IT" w:eastAsia="it-IT"/>
        </w:rPr>
        <w:t>modifica</w:t>
      </w:r>
      <w:r w:rsidR="00985A80">
        <w:rPr>
          <w:rFonts w:eastAsia="Times New Roman"/>
          <w:b/>
          <w:szCs w:val="24"/>
          <w:lang w:val="it-IT" w:eastAsia="it-IT"/>
        </w:rPr>
        <w:t xml:space="preserve"> del …</w:t>
      </w:r>
    </w:p>
    <w:p w:rsidR="00387828" w:rsidRDefault="00387828" w:rsidP="005C64D6">
      <w:pPr>
        <w:rPr>
          <w:rFonts w:eastAsia="Times New Roman"/>
          <w:szCs w:val="24"/>
          <w:lang w:val="it-IT" w:eastAsia="it-IT"/>
        </w:rPr>
      </w:pPr>
    </w:p>
    <w:p w:rsidR="00985A80" w:rsidRPr="00387828" w:rsidRDefault="00985A80" w:rsidP="005C64D6">
      <w:pPr>
        <w:rPr>
          <w:rFonts w:eastAsia="Times New Roman"/>
          <w:szCs w:val="24"/>
          <w:lang w:val="it-IT" w:eastAsia="it-IT"/>
        </w:rPr>
      </w:pPr>
    </w:p>
    <w:p w:rsidR="00387828" w:rsidRPr="00387828" w:rsidRDefault="00387828" w:rsidP="005C64D6">
      <w:pPr>
        <w:rPr>
          <w:rFonts w:eastAsia="Times New Roman"/>
          <w:szCs w:val="24"/>
          <w:lang w:val="it-IT" w:eastAsia="it-IT"/>
        </w:rPr>
      </w:pPr>
      <w:r w:rsidRPr="00387828">
        <w:rPr>
          <w:rFonts w:eastAsia="Times New Roman"/>
          <w:szCs w:val="24"/>
          <w:lang w:val="it-IT" w:eastAsia="it-IT"/>
        </w:rPr>
        <w:t>IL GRAN CONSIGLIO</w:t>
      </w:r>
    </w:p>
    <w:p w:rsidR="00387828" w:rsidRPr="00387828" w:rsidRDefault="00387828" w:rsidP="005C64D6">
      <w:pPr>
        <w:rPr>
          <w:rFonts w:eastAsia="Times New Roman"/>
          <w:szCs w:val="24"/>
          <w:lang w:val="it-IT" w:eastAsia="it-IT"/>
        </w:rPr>
      </w:pPr>
      <w:r w:rsidRPr="00387828">
        <w:rPr>
          <w:rFonts w:eastAsia="Times New Roman"/>
          <w:szCs w:val="24"/>
          <w:lang w:val="it-IT" w:eastAsia="it-IT"/>
        </w:rPr>
        <w:t>DELLA REPUBBLICA E CANTONE TICINO</w:t>
      </w:r>
    </w:p>
    <w:p w:rsidR="00387828" w:rsidRPr="00387828" w:rsidRDefault="00387828" w:rsidP="005C64D6">
      <w:pPr>
        <w:shd w:val="clear" w:color="auto" w:fill="FFFFFF"/>
        <w:rPr>
          <w:rFonts w:eastAsia="Times New Roman" w:cs="Arial"/>
          <w:color w:val="000000"/>
          <w:szCs w:val="24"/>
          <w:lang w:eastAsia="it-CH"/>
        </w:rPr>
      </w:pPr>
    </w:p>
    <w:p w:rsidR="00387828" w:rsidRPr="00387828" w:rsidRDefault="00387828" w:rsidP="005C64D6">
      <w:pPr>
        <w:shd w:val="clear" w:color="auto" w:fill="FFFFFF"/>
        <w:tabs>
          <w:tab w:val="left" w:pos="284"/>
        </w:tabs>
        <w:ind w:left="284" w:hanging="284"/>
        <w:rPr>
          <w:rFonts w:eastAsia="Times New Roman" w:cs="Arial"/>
          <w:color w:val="000000"/>
          <w:szCs w:val="24"/>
          <w:lang w:eastAsia="it-CH"/>
        </w:rPr>
      </w:pPr>
      <w:r>
        <w:rPr>
          <w:rFonts w:eastAsia="Times New Roman" w:cs="Arial"/>
          <w:color w:val="000000"/>
          <w:szCs w:val="24"/>
          <w:lang w:eastAsia="it-CH"/>
        </w:rPr>
        <w:t xml:space="preserve">- </w:t>
      </w:r>
      <w:r w:rsidR="00985A80">
        <w:rPr>
          <w:rFonts w:eastAsia="Times New Roman" w:cs="Arial"/>
          <w:color w:val="000000"/>
          <w:szCs w:val="24"/>
          <w:lang w:eastAsia="it-CH"/>
        </w:rPr>
        <w:tab/>
      </w:r>
      <w:r w:rsidRPr="00387828">
        <w:rPr>
          <w:rFonts w:eastAsia="Times New Roman" w:cs="Arial"/>
          <w:color w:val="000000"/>
          <w:szCs w:val="24"/>
          <w:lang w:eastAsia="it-CH"/>
        </w:rPr>
        <w:t xml:space="preserve">visto il messaggio </w:t>
      </w:r>
      <w:r w:rsidR="005C64D6">
        <w:rPr>
          <w:rFonts w:eastAsia="Times New Roman" w:cs="Arial"/>
          <w:color w:val="000000"/>
          <w:szCs w:val="24"/>
          <w:lang w:eastAsia="it-CH"/>
        </w:rPr>
        <w:t xml:space="preserve">24 giugno </w:t>
      </w:r>
      <w:r w:rsidRPr="00387828">
        <w:rPr>
          <w:rFonts w:eastAsia="Times New Roman" w:cs="Arial"/>
          <w:color w:val="000000"/>
          <w:szCs w:val="24"/>
          <w:lang w:eastAsia="it-CH"/>
        </w:rPr>
        <w:t>202</w:t>
      </w:r>
      <w:r w:rsidR="005C64D6">
        <w:rPr>
          <w:rFonts w:eastAsia="Times New Roman" w:cs="Arial"/>
          <w:color w:val="000000"/>
          <w:szCs w:val="24"/>
          <w:lang w:eastAsia="it-CH"/>
        </w:rPr>
        <w:t>0</w:t>
      </w:r>
      <w:r w:rsidRPr="00387828">
        <w:rPr>
          <w:rFonts w:eastAsia="Times New Roman" w:cs="Arial"/>
          <w:color w:val="000000"/>
          <w:szCs w:val="24"/>
          <w:lang w:eastAsia="it-CH"/>
        </w:rPr>
        <w:t xml:space="preserve"> n. </w:t>
      </w:r>
      <w:r w:rsidR="005C64D6">
        <w:rPr>
          <w:rFonts w:eastAsia="Times New Roman" w:cs="Arial"/>
          <w:color w:val="000000"/>
          <w:szCs w:val="24"/>
          <w:lang w:eastAsia="it-CH"/>
        </w:rPr>
        <w:t>7836</w:t>
      </w:r>
      <w:r w:rsidRPr="00387828">
        <w:rPr>
          <w:rFonts w:eastAsia="Times New Roman" w:cs="Arial"/>
          <w:color w:val="000000"/>
          <w:szCs w:val="24"/>
          <w:lang w:eastAsia="it-CH"/>
        </w:rPr>
        <w:t xml:space="preserve"> del Consiglio di Stato;</w:t>
      </w:r>
    </w:p>
    <w:p w:rsidR="00387828" w:rsidRDefault="00387828" w:rsidP="005C64D6">
      <w:pPr>
        <w:shd w:val="clear" w:color="auto" w:fill="FFFFFF"/>
        <w:tabs>
          <w:tab w:val="left" w:pos="284"/>
        </w:tabs>
        <w:ind w:left="284" w:hanging="284"/>
        <w:rPr>
          <w:rFonts w:eastAsia="Times New Roman" w:cs="Arial"/>
          <w:color w:val="000000"/>
          <w:szCs w:val="24"/>
          <w:lang w:eastAsia="it-CH"/>
        </w:rPr>
      </w:pPr>
      <w:r w:rsidRPr="005C64D6">
        <w:rPr>
          <w:rFonts w:eastAsia="Times New Roman" w:cs="Arial"/>
          <w:color w:val="000000"/>
          <w:szCs w:val="24"/>
          <w:lang w:eastAsia="it-CH"/>
        </w:rPr>
        <w:t xml:space="preserve">- </w:t>
      </w:r>
      <w:r w:rsidR="00985A80" w:rsidRPr="005C64D6">
        <w:rPr>
          <w:rFonts w:eastAsia="Times New Roman" w:cs="Arial"/>
          <w:color w:val="000000"/>
          <w:szCs w:val="24"/>
          <w:lang w:eastAsia="it-CH"/>
        </w:rPr>
        <w:tab/>
      </w:r>
      <w:r w:rsidRPr="005C64D6">
        <w:rPr>
          <w:rFonts w:eastAsia="Times New Roman" w:cs="Arial"/>
          <w:color w:val="000000"/>
          <w:szCs w:val="24"/>
          <w:lang w:eastAsia="it-CH"/>
        </w:rPr>
        <w:t xml:space="preserve">visto il rapporto 8 febbraio 2022 n. </w:t>
      </w:r>
      <w:r w:rsidR="00C00A5A" w:rsidRPr="005C64D6">
        <w:rPr>
          <w:rFonts w:eastAsia="Times New Roman" w:cs="Arial"/>
          <w:color w:val="000000"/>
          <w:szCs w:val="24"/>
          <w:lang w:eastAsia="it-CH"/>
        </w:rPr>
        <w:t xml:space="preserve">7836 </w:t>
      </w:r>
      <w:r w:rsidR="005C64D6">
        <w:rPr>
          <w:rFonts w:eastAsia="Times New Roman" w:cs="Arial"/>
          <w:color w:val="000000"/>
          <w:szCs w:val="24"/>
          <w:lang w:eastAsia="it-CH"/>
        </w:rPr>
        <w:t xml:space="preserve">R </w:t>
      </w:r>
      <w:r w:rsidR="00C00A5A" w:rsidRPr="005C64D6">
        <w:rPr>
          <w:rFonts w:eastAsia="Times New Roman" w:cs="Arial"/>
          <w:color w:val="000000"/>
          <w:szCs w:val="24"/>
          <w:lang w:eastAsia="it-CH"/>
        </w:rPr>
        <w:t>della Commissione gestione e finanze</w:t>
      </w:r>
      <w:r w:rsidR="005C64D6">
        <w:rPr>
          <w:rFonts w:eastAsia="Times New Roman" w:cs="Arial"/>
          <w:color w:val="000000"/>
          <w:szCs w:val="24"/>
          <w:lang w:eastAsia="it-CH"/>
        </w:rPr>
        <w:t>,</w:t>
      </w:r>
    </w:p>
    <w:p w:rsidR="00387828" w:rsidRDefault="00387828" w:rsidP="005C64D6">
      <w:pPr>
        <w:shd w:val="clear" w:color="auto" w:fill="FFFFFF"/>
        <w:rPr>
          <w:rFonts w:eastAsia="Times New Roman" w:cs="Arial"/>
          <w:color w:val="000000"/>
          <w:szCs w:val="24"/>
          <w:lang w:eastAsia="it-CH"/>
        </w:rPr>
      </w:pPr>
    </w:p>
    <w:p w:rsidR="00387828" w:rsidRPr="00387828" w:rsidRDefault="00387828" w:rsidP="005C64D6">
      <w:pPr>
        <w:shd w:val="clear" w:color="auto" w:fill="FFFFFF"/>
        <w:rPr>
          <w:rFonts w:eastAsia="Times New Roman" w:cs="Arial"/>
          <w:color w:val="000000"/>
          <w:szCs w:val="24"/>
          <w:lang w:eastAsia="it-CH"/>
        </w:rPr>
      </w:pPr>
      <w:r>
        <w:rPr>
          <w:rFonts w:eastAsia="Times New Roman" w:cs="Arial"/>
          <w:bCs/>
          <w:color w:val="000000"/>
          <w:spacing w:val="30"/>
          <w:szCs w:val="24"/>
          <w:lang w:eastAsia="it-CH"/>
        </w:rPr>
        <w:t>decreta:</w:t>
      </w:r>
    </w:p>
    <w:p w:rsidR="00387828" w:rsidRPr="005C64D6" w:rsidRDefault="00387828" w:rsidP="005C64D6">
      <w:pPr>
        <w:shd w:val="clear" w:color="auto" w:fill="FFFFFF"/>
        <w:rPr>
          <w:rFonts w:eastAsia="Times New Roman" w:cs="Arial"/>
          <w:bCs/>
          <w:color w:val="000000"/>
          <w:szCs w:val="24"/>
          <w:lang w:eastAsia="it-CH"/>
        </w:rPr>
      </w:pPr>
    </w:p>
    <w:p w:rsidR="001F6FE4" w:rsidRDefault="001F6FE4" w:rsidP="005C64D6">
      <w:pPr>
        <w:shd w:val="clear" w:color="auto" w:fill="FFFFFF"/>
        <w:rPr>
          <w:rFonts w:eastAsia="Times New Roman" w:cs="Arial"/>
          <w:b/>
          <w:bCs/>
          <w:color w:val="000000"/>
          <w:szCs w:val="24"/>
          <w:lang w:eastAsia="it-CH"/>
        </w:rPr>
      </w:pPr>
      <w:r>
        <w:rPr>
          <w:rFonts w:eastAsia="Times New Roman" w:cs="Arial"/>
          <w:b/>
          <w:bCs/>
          <w:color w:val="000000"/>
          <w:szCs w:val="24"/>
          <w:lang w:eastAsia="it-CH"/>
        </w:rPr>
        <w:t>I</w:t>
      </w:r>
    </w:p>
    <w:p w:rsidR="001F6FE4" w:rsidRDefault="001F6FE4" w:rsidP="001F6FE4">
      <w:pPr>
        <w:rPr>
          <w:rFonts w:eastAsia="Times New Roman"/>
          <w:b/>
          <w:szCs w:val="24"/>
          <w:lang w:val="it-IT" w:eastAsia="it-IT"/>
        </w:rPr>
      </w:pPr>
      <w:r w:rsidRPr="001F6FE4">
        <w:rPr>
          <w:rFonts w:eastAsia="Times New Roman" w:cs="Arial"/>
          <w:bCs/>
          <w:color w:val="000000"/>
          <w:szCs w:val="24"/>
          <w:lang w:eastAsia="it-CH"/>
        </w:rPr>
        <w:t xml:space="preserve">La legge sul finanziamento tramite </w:t>
      </w:r>
      <w:r>
        <w:rPr>
          <w:rFonts w:eastAsia="Times New Roman" w:cs="Arial"/>
          <w:bCs/>
          <w:color w:val="000000"/>
          <w:szCs w:val="24"/>
          <w:lang w:eastAsia="it-CH"/>
        </w:rPr>
        <w:t xml:space="preserve">il budget globale </w:t>
      </w:r>
      <w:r w:rsidRPr="001F6FE4">
        <w:rPr>
          <w:rFonts w:eastAsia="Times New Roman"/>
          <w:szCs w:val="24"/>
          <w:lang w:val="it-IT" w:eastAsia="it-IT"/>
        </w:rPr>
        <w:t>e il mandato di prestazione delle unità amministrative autonome del 21 ottobre 2015 (LUAA)</w:t>
      </w:r>
      <w:r w:rsidR="007344A9">
        <w:rPr>
          <w:rFonts w:eastAsia="Times New Roman"/>
          <w:szCs w:val="24"/>
          <w:lang w:val="it-IT" w:eastAsia="it-IT"/>
        </w:rPr>
        <w:t xml:space="preserve"> è così modificata:</w:t>
      </w:r>
    </w:p>
    <w:p w:rsidR="001F6FE4" w:rsidRPr="001F6FE4" w:rsidRDefault="001F6FE4" w:rsidP="005C64D6">
      <w:pPr>
        <w:shd w:val="clear" w:color="auto" w:fill="FFFFFF"/>
        <w:rPr>
          <w:rFonts w:eastAsia="Times New Roman" w:cs="Arial"/>
          <w:bCs/>
          <w:color w:val="000000"/>
          <w:szCs w:val="24"/>
          <w:lang w:val="it-IT" w:eastAsia="it-CH"/>
        </w:rPr>
      </w:pP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b/>
          <w:bCs/>
          <w:color w:val="000000"/>
          <w:szCs w:val="24"/>
          <w:lang w:eastAsia="it-CH"/>
        </w:rPr>
        <w:t>Scopo</w:t>
      </w:r>
    </w:p>
    <w:p w:rsidR="00387828" w:rsidRPr="00387828" w:rsidRDefault="00387828" w:rsidP="005C64D6">
      <w:pPr>
        <w:shd w:val="clear" w:color="auto" w:fill="FFFFFF"/>
        <w:rPr>
          <w:rFonts w:eastAsia="Times New Roman" w:cs="Arial"/>
          <w:b/>
          <w:bCs/>
          <w:color w:val="000000"/>
          <w:szCs w:val="24"/>
          <w:lang w:eastAsia="it-CH"/>
        </w:rPr>
      </w:pPr>
      <w:r w:rsidRPr="00387828">
        <w:rPr>
          <w:rFonts w:eastAsia="Times New Roman" w:cs="Arial"/>
          <w:b/>
          <w:bCs/>
          <w:color w:val="000000"/>
          <w:szCs w:val="24"/>
          <w:lang w:eastAsia="it-CH"/>
        </w:rPr>
        <w:t>Art. 1</w:t>
      </w:r>
      <w:r w:rsidR="007344A9">
        <w:rPr>
          <w:rFonts w:eastAsia="Times New Roman" w:cs="Arial"/>
          <w:b/>
          <w:bCs/>
          <w:color w:val="000000"/>
          <w:szCs w:val="24"/>
          <w:lang w:eastAsia="it-CH"/>
        </w:rPr>
        <w:t xml:space="preserve"> cpv. 2 (nuovo)</w:t>
      </w:r>
    </w:p>
    <w:p w:rsidR="00387828" w:rsidRPr="00387828" w:rsidRDefault="00387828" w:rsidP="005C64D6">
      <w:pPr>
        <w:shd w:val="clear" w:color="auto" w:fill="FFFFFF"/>
        <w:rPr>
          <w:rFonts w:eastAsia="Times New Roman" w:cs="Arial"/>
          <w:bCs/>
          <w:color w:val="000000"/>
          <w:szCs w:val="24"/>
          <w:lang w:eastAsia="it-CH"/>
        </w:rPr>
      </w:pPr>
      <w:r w:rsidRPr="00387828">
        <w:rPr>
          <w:rFonts w:eastAsia="Times New Roman" w:cs="Arial"/>
          <w:bCs/>
          <w:color w:val="000000"/>
          <w:szCs w:val="24"/>
          <w:vertAlign w:val="superscript"/>
          <w:lang w:eastAsia="it-CH"/>
        </w:rPr>
        <w:t>2</w:t>
      </w:r>
      <w:r w:rsidRPr="00387828">
        <w:rPr>
          <w:rFonts w:eastAsia="Times New Roman" w:cs="Arial"/>
          <w:bCs/>
          <w:color w:val="000000"/>
          <w:szCs w:val="24"/>
          <w:lang w:eastAsia="it-CH"/>
        </w:rPr>
        <w:t xml:space="preserve">Il numero di UAA è esteso in modo progressivo. Il Consiglio di Stato analizza annualmente la fattibilità dell’applicazione del modello di regola </w:t>
      </w:r>
      <w:r w:rsidRPr="006A3BE0">
        <w:rPr>
          <w:rFonts w:eastAsia="Times New Roman" w:cs="Arial"/>
          <w:bCs/>
          <w:color w:val="000000"/>
          <w:szCs w:val="24"/>
          <w:lang w:eastAsia="it-CH"/>
        </w:rPr>
        <w:t>di almeno</w:t>
      </w:r>
      <w:r w:rsidRPr="00387828">
        <w:rPr>
          <w:rFonts w:eastAsia="Times New Roman" w:cs="Arial"/>
          <w:bCs/>
          <w:color w:val="000000"/>
          <w:szCs w:val="24"/>
          <w:lang w:eastAsia="it-CH"/>
        </w:rPr>
        <w:t xml:space="preserve"> una nuova unità per ogni Dipartimento. </w:t>
      </w:r>
    </w:p>
    <w:p w:rsidR="00387828" w:rsidRPr="00053F74" w:rsidRDefault="00387828" w:rsidP="005C64D6">
      <w:pPr>
        <w:shd w:val="clear" w:color="auto" w:fill="FFFFFF"/>
        <w:rPr>
          <w:rFonts w:eastAsia="Times New Roman" w:cs="Arial"/>
          <w:color w:val="000000"/>
          <w:szCs w:val="24"/>
          <w:lang w:eastAsia="it-CH"/>
        </w:rPr>
      </w:pP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b/>
          <w:bCs/>
          <w:color w:val="000000"/>
          <w:szCs w:val="24"/>
          <w:lang w:eastAsia="it-CH"/>
        </w:rPr>
        <w:t>Gestione del personale</w:t>
      </w:r>
    </w:p>
    <w:p w:rsidR="005C64D6" w:rsidRDefault="00387828" w:rsidP="005C64D6">
      <w:pPr>
        <w:shd w:val="clear" w:color="auto" w:fill="FFFFFF"/>
        <w:rPr>
          <w:rFonts w:eastAsia="Times New Roman" w:cs="Arial"/>
          <w:b/>
          <w:bCs/>
          <w:color w:val="000000"/>
          <w:szCs w:val="24"/>
          <w:lang w:eastAsia="it-CH"/>
        </w:rPr>
      </w:pPr>
      <w:r w:rsidRPr="00387828">
        <w:rPr>
          <w:rFonts w:eastAsia="Times New Roman" w:cs="Arial"/>
          <w:b/>
          <w:bCs/>
          <w:color w:val="000000"/>
          <w:szCs w:val="24"/>
          <w:lang w:eastAsia="it-CH"/>
        </w:rPr>
        <w:t>Art. 4</w:t>
      </w:r>
      <w:r w:rsidR="008F28E7">
        <w:rPr>
          <w:rFonts w:eastAsia="Times New Roman" w:cs="Arial"/>
          <w:b/>
          <w:bCs/>
          <w:color w:val="000000"/>
          <w:szCs w:val="24"/>
          <w:lang w:eastAsia="it-CH"/>
        </w:rPr>
        <w:t xml:space="preserve"> cpv. 4 (nuovo)</w:t>
      </w:r>
    </w:p>
    <w:p w:rsidR="00387828" w:rsidRPr="00387828" w:rsidRDefault="00387828" w:rsidP="005C64D6">
      <w:pPr>
        <w:shd w:val="clear" w:color="auto" w:fill="FFFFFF"/>
        <w:rPr>
          <w:rFonts w:eastAsia="Times New Roman" w:cs="Arial"/>
          <w:color w:val="000000"/>
          <w:szCs w:val="24"/>
          <w:lang w:eastAsia="it-CH"/>
        </w:rPr>
      </w:pPr>
      <w:r w:rsidRPr="008F28E7">
        <w:rPr>
          <w:rFonts w:eastAsia="Times New Roman" w:cs="Arial"/>
          <w:color w:val="000000"/>
          <w:szCs w:val="24"/>
          <w:vertAlign w:val="superscript"/>
          <w:lang w:eastAsia="it-CH"/>
        </w:rPr>
        <w:t>4</w:t>
      </w:r>
      <w:r w:rsidRPr="00387828">
        <w:rPr>
          <w:rFonts w:eastAsia="Times New Roman" w:cs="Arial"/>
          <w:color w:val="000000"/>
          <w:szCs w:val="24"/>
          <w:lang w:eastAsia="it-CH"/>
        </w:rPr>
        <w:t>L’attribuzione di premi collettivi o individuali all’interno delle UAA è correlata ai risultati raggiunti.</w:t>
      </w:r>
    </w:p>
    <w:p w:rsidR="00387828" w:rsidRPr="00387828" w:rsidRDefault="00387828" w:rsidP="005C64D6">
      <w:pPr>
        <w:shd w:val="clear" w:color="auto" w:fill="FFFFFF"/>
        <w:rPr>
          <w:rFonts w:eastAsia="Times New Roman" w:cs="Arial"/>
          <w:color w:val="000000"/>
          <w:szCs w:val="24"/>
          <w:lang w:eastAsia="it-CH"/>
        </w:rPr>
      </w:pPr>
    </w:p>
    <w:p w:rsidR="008F28E7" w:rsidRDefault="00387828" w:rsidP="005C64D6">
      <w:pPr>
        <w:shd w:val="clear" w:color="auto" w:fill="FFFFFF"/>
        <w:rPr>
          <w:rFonts w:eastAsia="Times New Roman" w:cs="Arial"/>
          <w:color w:val="000000"/>
          <w:szCs w:val="24"/>
          <w:lang w:eastAsia="it-CH"/>
        </w:rPr>
      </w:pPr>
      <w:r w:rsidRPr="00387828">
        <w:rPr>
          <w:rFonts w:eastAsia="Times New Roman" w:cs="Arial"/>
          <w:b/>
          <w:bCs/>
          <w:color w:val="000000"/>
          <w:szCs w:val="24"/>
          <w:lang w:eastAsia="it-CH"/>
        </w:rPr>
        <w:t>Fondo di capitalizzazione</w:t>
      </w:r>
    </w:p>
    <w:p w:rsidR="00A62B28" w:rsidRDefault="00387828" w:rsidP="005C64D6">
      <w:pPr>
        <w:shd w:val="clear" w:color="auto" w:fill="FFFFFF"/>
        <w:rPr>
          <w:rFonts w:eastAsia="Times New Roman" w:cs="Arial"/>
          <w:b/>
          <w:bCs/>
          <w:color w:val="000000"/>
          <w:szCs w:val="24"/>
          <w:lang w:eastAsia="it-CH"/>
        </w:rPr>
      </w:pPr>
      <w:r w:rsidRPr="00387828">
        <w:rPr>
          <w:rFonts w:eastAsia="Times New Roman" w:cs="Arial"/>
          <w:b/>
          <w:bCs/>
          <w:color w:val="000000"/>
          <w:szCs w:val="24"/>
          <w:lang w:eastAsia="it-CH"/>
        </w:rPr>
        <w:t>Art. 7</w:t>
      </w:r>
      <w:r w:rsidR="008F28E7">
        <w:rPr>
          <w:rFonts w:eastAsia="Times New Roman" w:cs="Arial"/>
          <w:b/>
          <w:bCs/>
          <w:color w:val="000000"/>
          <w:szCs w:val="24"/>
          <w:lang w:eastAsia="it-CH"/>
        </w:rPr>
        <w:t xml:space="preserve"> </w:t>
      </w:r>
      <w:r w:rsidR="00A62B28">
        <w:rPr>
          <w:rFonts w:eastAsia="Times New Roman" w:cs="Arial"/>
          <w:b/>
          <w:bCs/>
          <w:color w:val="000000"/>
          <w:szCs w:val="24"/>
          <w:lang w:eastAsia="it-CH"/>
        </w:rPr>
        <w:t>cpv. 2</w:t>
      </w: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color w:val="000000"/>
          <w:position w:val="4"/>
          <w:szCs w:val="24"/>
          <w:vertAlign w:val="superscript"/>
          <w:lang w:eastAsia="it-CH"/>
        </w:rPr>
        <w:t>2</w:t>
      </w:r>
      <w:r w:rsidRPr="00387828">
        <w:rPr>
          <w:rFonts w:eastAsia="Times New Roman" w:cs="Arial"/>
          <w:color w:val="000000"/>
          <w:szCs w:val="24"/>
          <w:lang w:eastAsia="it-CH"/>
        </w:rPr>
        <w:t xml:space="preserve">Il fondo di capitalizzazione non può superare il </w:t>
      </w:r>
      <w:r w:rsidRPr="00387828">
        <w:rPr>
          <w:rFonts w:eastAsia="Times New Roman" w:cs="Arial"/>
          <w:bCs/>
          <w:color w:val="000000"/>
          <w:szCs w:val="24"/>
          <w:lang w:eastAsia="it-CH"/>
        </w:rPr>
        <w:t>20%</w:t>
      </w:r>
      <w:r w:rsidRPr="00387828">
        <w:rPr>
          <w:rFonts w:eastAsia="Times New Roman" w:cs="Arial"/>
          <w:color w:val="000000"/>
          <w:szCs w:val="24"/>
          <w:lang w:eastAsia="it-CH"/>
        </w:rPr>
        <w:t xml:space="preserve"> dell’ultimo budget globale stabilito in sede di Preventivo e di definizione del mandato di prestazione annuale.</w:t>
      </w:r>
    </w:p>
    <w:p w:rsidR="00387828" w:rsidRPr="00387828" w:rsidRDefault="00387828" w:rsidP="005C64D6">
      <w:pPr>
        <w:shd w:val="clear" w:color="auto" w:fill="FFFFFF"/>
        <w:rPr>
          <w:rFonts w:eastAsia="Times New Roman" w:cs="Arial"/>
          <w:color w:val="000000"/>
          <w:szCs w:val="24"/>
          <w:lang w:eastAsia="it-CH"/>
        </w:rPr>
      </w:pP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b/>
          <w:bCs/>
          <w:color w:val="000000"/>
          <w:szCs w:val="24"/>
          <w:lang w:eastAsia="it-CH"/>
        </w:rPr>
        <w:t>Mandato di prestazione</w:t>
      </w:r>
    </w:p>
    <w:p w:rsidR="005C64D6" w:rsidRDefault="00387828" w:rsidP="005C64D6">
      <w:pPr>
        <w:shd w:val="clear" w:color="auto" w:fill="FFFFFF"/>
        <w:rPr>
          <w:rFonts w:eastAsia="Times New Roman" w:cs="Arial"/>
          <w:b/>
          <w:bCs/>
          <w:color w:val="000000"/>
          <w:szCs w:val="24"/>
          <w:lang w:eastAsia="it-CH"/>
        </w:rPr>
      </w:pPr>
      <w:r w:rsidRPr="00387828">
        <w:rPr>
          <w:rFonts w:eastAsia="Times New Roman" w:cs="Arial"/>
          <w:b/>
          <w:bCs/>
          <w:color w:val="000000"/>
          <w:szCs w:val="24"/>
          <w:lang w:eastAsia="it-CH"/>
        </w:rPr>
        <w:t>Art. 9</w:t>
      </w:r>
      <w:r w:rsidR="00A62B28">
        <w:rPr>
          <w:rFonts w:eastAsia="Times New Roman" w:cs="Arial"/>
          <w:b/>
          <w:bCs/>
          <w:color w:val="000000"/>
          <w:szCs w:val="24"/>
          <w:lang w:eastAsia="it-CH"/>
        </w:rPr>
        <w:t xml:space="preserve"> cpv. 2 e 3</w:t>
      </w:r>
    </w:p>
    <w:p w:rsidR="00387828" w:rsidRPr="00387828" w:rsidRDefault="00387828" w:rsidP="005C64D6">
      <w:pPr>
        <w:tabs>
          <w:tab w:val="left" w:pos="426"/>
        </w:tabs>
        <w:rPr>
          <w:rFonts w:cs="Arial"/>
          <w:bCs/>
          <w:color w:val="000000"/>
          <w:szCs w:val="24"/>
        </w:rPr>
      </w:pPr>
      <w:r w:rsidRPr="00387828">
        <w:rPr>
          <w:rFonts w:eastAsia="Times New Roman"/>
          <w:bCs/>
          <w:color w:val="000000"/>
          <w:szCs w:val="24"/>
          <w:vertAlign w:val="superscript"/>
          <w:lang w:val="it-IT" w:eastAsia="it-IT"/>
        </w:rPr>
        <w:t>2</w:t>
      </w:r>
      <w:r w:rsidRPr="00387828">
        <w:rPr>
          <w:rFonts w:eastAsia="Times New Roman" w:cs="Arial"/>
          <w:bCs/>
          <w:color w:val="000000"/>
          <w:szCs w:val="24"/>
          <w:lang w:val="it-IT" w:eastAsia="it-IT"/>
        </w:rPr>
        <w:t xml:space="preserve">Il mandato </w:t>
      </w:r>
      <w:r w:rsidRPr="00387828">
        <w:rPr>
          <w:rFonts w:cs="Arial"/>
          <w:bCs/>
          <w:color w:val="000000"/>
          <w:szCs w:val="24"/>
        </w:rPr>
        <w:t>di prestazione annuale, elaborato sulla base del conto prestazioni, indica le prestazioni fornite dall’UAA, gli obiettivi quantitativi e qualitativi, il relativo monitoraggio e viene approvato dal Dipartimento competente.</w:t>
      </w:r>
    </w:p>
    <w:p w:rsidR="00DD09B4" w:rsidRDefault="00DD09B4" w:rsidP="005C64D6">
      <w:pPr>
        <w:shd w:val="clear" w:color="auto" w:fill="FFFFFF"/>
        <w:rPr>
          <w:rFonts w:cs="Arial"/>
          <w:bCs/>
          <w:color w:val="000000"/>
          <w:szCs w:val="24"/>
        </w:rPr>
      </w:pPr>
      <w:r>
        <w:rPr>
          <w:rFonts w:eastAsia="Times New Roman" w:cs="Arial"/>
          <w:b/>
          <w:bCs/>
          <w:color w:val="000000"/>
          <w:szCs w:val="24"/>
          <w:vertAlign w:val="superscript"/>
          <w:lang w:eastAsia="it-CH"/>
        </w:rPr>
        <w:t>3</w:t>
      </w:r>
      <w:r w:rsidRPr="00DD09B4">
        <w:rPr>
          <w:rFonts w:cs="Arial"/>
          <w:bCs/>
          <w:i/>
          <w:color w:val="000000"/>
          <w:szCs w:val="24"/>
        </w:rPr>
        <w:t>Abrogato</w:t>
      </w:r>
    </w:p>
    <w:p w:rsidR="00387828" w:rsidRPr="00053F74" w:rsidRDefault="00387828" w:rsidP="005C64D6">
      <w:pPr>
        <w:shd w:val="clear" w:color="auto" w:fill="FFFFFF"/>
        <w:rPr>
          <w:rFonts w:eastAsia="Times New Roman" w:cs="Arial"/>
          <w:color w:val="000000"/>
          <w:sz w:val="20"/>
          <w:szCs w:val="20"/>
          <w:lang w:eastAsia="it-CH"/>
        </w:rPr>
      </w:pPr>
    </w:p>
    <w:p w:rsidR="00502202" w:rsidRDefault="00502202" w:rsidP="005C64D6">
      <w:pPr>
        <w:shd w:val="clear" w:color="auto" w:fill="FFFFFF"/>
        <w:rPr>
          <w:rFonts w:eastAsia="Times New Roman" w:cs="Arial"/>
          <w:b/>
          <w:bCs/>
          <w:color w:val="000000"/>
          <w:szCs w:val="24"/>
          <w:lang w:eastAsia="it-CH"/>
        </w:rPr>
      </w:pPr>
      <w:r>
        <w:rPr>
          <w:rFonts w:eastAsia="Times New Roman" w:cs="Arial"/>
          <w:b/>
          <w:bCs/>
          <w:color w:val="000000"/>
          <w:szCs w:val="24"/>
          <w:lang w:eastAsia="it-CH"/>
        </w:rPr>
        <w:t>II</w:t>
      </w: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b/>
          <w:bCs/>
          <w:color w:val="000000"/>
          <w:szCs w:val="24"/>
          <w:lang w:eastAsia="it-CH"/>
        </w:rPr>
        <w:t>Entrata in vigore</w:t>
      </w:r>
    </w:p>
    <w:p w:rsidR="00387828" w:rsidRPr="00387828" w:rsidRDefault="00387828" w:rsidP="005C64D6">
      <w:pPr>
        <w:shd w:val="clear" w:color="auto" w:fill="FFFFFF"/>
        <w:rPr>
          <w:rFonts w:eastAsia="Times New Roman" w:cs="Arial"/>
          <w:color w:val="000000"/>
          <w:szCs w:val="24"/>
          <w:lang w:eastAsia="it-CH"/>
        </w:rPr>
      </w:pPr>
      <w:r w:rsidRPr="00387828">
        <w:rPr>
          <w:rFonts w:eastAsia="Times New Roman" w:cs="Arial"/>
          <w:color w:val="000000"/>
          <w:szCs w:val="24"/>
          <w:lang w:eastAsia="it-CH"/>
        </w:rPr>
        <w:t xml:space="preserve">Trascorsi i termini per l’esercizio del diritto di referendum, la presente </w:t>
      </w:r>
      <w:r w:rsidR="00502202">
        <w:rPr>
          <w:rFonts w:eastAsia="Times New Roman" w:cs="Arial"/>
          <w:color w:val="000000"/>
          <w:szCs w:val="24"/>
          <w:lang w:eastAsia="it-CH"/>
        </w:rPr>
        <w:t>modifica di legge è pubblicata ne</w:t>
      </w:r>
      <w:r w:rsidRPr="00387828">
        <w:rPr>
          <w:rFonts w:eastAsia="Times New Roman" w:cs="Arial"/>
          <w:color w:val="000000"/>
          <w:szCs w:val="24"/>
          <w:lang w:eastAsia="it-CH"/>
        </w:rPr>
        <w:t>l Bol</w:t>
      </w:r>
      <w:r w:rsidR="00502202">
        <w:rPr>
          <w:rFonts w:eastAsia="Times New Roman" w:cs="Arial"/>
          <w:color w:val="000000"/>
          <w:szCs w:val="24"/>
          <w:lang w:eastAsia="it-CH"/>
        </w:rPr>
        <w:t>lettino ufficiale delle leggi ed entra immediatamente in vigore.</w:t>
      </w:r>
    </w:p>
    <w:sectPr w:rsidR="00387828" w:rsidRPr="00387828" w:rsidSect="00782640">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28" w:rsidRDefault="00A62B28" w:rsidP="00F657BF">
      <w:r>
        <w:separator/>
      </w:r>
    </w:p>
  </w:endnote>
  <w:endnote w:type="continuationSeparator" w:id="0">
    <w:p w:rsidR="00A62B28" w:rsidRDefault="00A62B2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28" w:rsidRDefault="00A62B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62B28" w:rsidRPr="003D1008" w:rsidTr="00782640">
      <w:trPr>
        <w:trHeight w:hRule="exact" w:val="737"/>
      </w:trPr>
      <w:tc>
        <w:tcPr>
          <w:tcW w:w="4695" w:type="dxa"/>
        </w:tcPr>
        <w:p w:rsidR="00A62B28" w:rsidRPr="003D1008" w:rsidRDefault="00A62B28" w:rsidP="00782640">
          <w:pPr>
            <w:tabs>
              <w:tab w:val="center" w:pos="2382"/>
            </w:tabs>
          </w:pPr>
        </w:p>
      </w:tc>
      <w:tc>
        <w:tcPr>
          <w:tcW w:w="721" w:type="dxa"/>
        </w:tcPr>
        <w:p w:rsidR="00A62B28" w:rsidRPr="003D1008" w:rsidRDefault="00A62B28" w:rsidP="00782640">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A62B28" w:rsidRPr="003D1008" w:rsidRDefault="00A62B28" w:rsidP="00782640">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A62B28" w:rsidRPr="003D1008" w:rsidRDefault="00A62B28" w:rsidP="00782640"/>
      </w:tc>
    </w:tr>
  </w:tbl>
  <w:p w:rsidR="00A62B28" w:rsidRDefault="00A62B28" w:rsidP="00782640">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28" w:rsidRDefault="00A62B28">
    <w:pPr>
      <w:pStyle w:val="Pidipagina"/>
      <w:jc w:val="center"/>
    </w:pPr>
  </w:p>
  <w:p w:rsidR="00A62B28" w:rsidRPr="008C6C46" w:rsidRDefault="00A62B28" w:rsidP="00782640">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28" w:rsidRDefault="00A62B28" w:rsidP="00F657BF">
      <w:r>
        <w:separator/>
      </w:r>
    </w:p>
  </w:footnote>
  <w:footnote w:type="continuationSeparator" w:id="0">
    <w:p w:rsidR="00A62B28" w:rsidRDefault="00A62B2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28" w:rsidRDefault="00A62B2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62B28" w:rsidRPr="002747E7" w:rsidTr="00782640">
      <w:trPr>
        <w:trHeight w:val="562"/>
      </w:trPr>
      <w:sdt>
        <w:sdtPr>
          <w:rPr>
            <w:rFonts w:ascii="Gill Alt One MT Light" w:hAnsi="Gill Alt One MT Light"/>
            <w:sz w:val="16"/>
            <w:szCs w:val="16"/>
          </w:rPr>
          <w:alias w:val="CustomElements.Fields.Dipartimenti"/>
          <w:id w:val="1567676091"/>
          <w:dataBinding w:xpath="//Text[@id='CustomElements.Fields.Dipartimenti']" w:storeItemID="{F3E52F66-8AB0-4AAE-9647-1EAE21C7F5D6}"/>
          <w:text w:multiLine="1"/>
        </w:sdtPr>
        <w:sdtEndPr/>
        <w:sdtContent>
          <w:tc>
            <w:tcPr>
              <w:tcW w:w="8383" w:type="dxa"/>
              <w:tcBorders>
                <w:left w:val="single" w:sz="4" w:space="0" w:color="auto"/>
                <w:bottom w:val="single" w:sz="4" w:space="0" w:color="auto"/>
              </w:tcBorders>
              <w:tcMar>
                <w:left w:w="142" w:type="dxa"/>
              </w:tcMar>
              <w:vAlign w:val="bottom"/>
            </w:tcPr>
            <w:p w:rsidR="00A62B28" w:rsidRPr="00E8185F" w:rsidRDefault="00A62B28" w:rsidP="00782640">
              <w:pPr>
                <w:pStyle w:val="Page"/>
                <w:rPr>
                  <w:rFonts w:ascii="Gill Alt One MT Light" w:hAnsi="Gill Alt One MT Light"/>
                  <w:sz w:val="16"/>
                  <w:szCs w:val="16"/>
                </w:rPr>
              </w:pPr>
              <w:r>
                <w:rPr>
                  <w:rFonts w:ascii="Gill Alt One MT Light" w:hAnsi="Gill Alt One MT Light"/>
                  <w:sz w:val="16"/>
                  <w:szCs w:val="16"/>
                </w:rPr>
                <w:t>Consiglio di Stato</w:t>
              </w:r>
            </w:p>
          </w:tc>
        </w:sdtContent>
      </w:sdt>
      <w:tc>
        <w:tcPr>
          <w:tcW w:w="1710" w:type="dxa"/>
          <w:tcBorders>
            <w:bottom w:val="single" w:sz="4" w:space="0" w:color="auto"/>
          </w:tcBorders>
          <w:vAlign w:val="bottom"/>
        </w:tcPr>
        <w:p w:rsidR="00A62B28" w:rsidRPr="004204CB" w:rsidRDefault="00A62B28" w:rsidP="00782640">
          <w:pPr>
            <w:pStyle w:val="Page"/>
            <w:jc w:val="right"/>
          </w:pPr>
          <w:r w:rsidRPr="004204CB">
            <w:fldChar w:fldCharType="begin"/>
          </w:r>
          <w:r w:rsidRPr="004204CB">
            <w:instrText xml:space="preserve"> PAGE   \* MERGEFORMAT </w:instrText>
          </w:r>
          <w:r w:rsidRPr="004204CB">
            <w:fldChar w:fldCharType="separate"/>
          </w:r>
          <w:r w:rsidR="008F7A1D">
            <w:rPr>
              <w:noProof/>
            </w:rPr>
            <w:t>13</w:t>
          </w:r>
          <w:r w:rsidRPr="004204CB">
            <w:fldChar w:fldCharType="end"/>
          </w:r>
          <w:r w:rsidRPr="004204CB">
            <w:t xml:space="preserve"> di </w:t>
          </w:r>
          <w:r w:rsidR="008F7A1D">
            <w:fldChar w:fldCharType="begin"/>
          </w:r>
          <w:r w:rsidR="008F7A1D">
            <w:instrText xml:space="preserve"> NUMPAGES   \* MERGEFORMAT </w:instrText>
          </w:r>
          <w:r w:rsidR="008F7A1D">
            <w:fldChar w:fldCharType="separate"/>
          </w:r>
          <w:r w:rsidR="008F7A1D">
            <w:rPr>
              <w:noProof/>
            </w:rPr>
            <w:t>16</w:t>
          </w:r>
          <w:r w:rsidR="008F7A1D">
            <w:rPr>
              <w:noProof/>
            </w:rPr>
            <w:fldChar w:fldCharType="end"/>
          </w:r>
        </w:p>
      </w:tc>
    </w:tr>
    <w:tr w:rsidR="00A62B28" w:rsidRPr="009E444B" w:rsidTr="00782640">
      <w:trPr>
        <w:trHeight w:val="334"/>
      </w:trPr>
      <w:sdt>
        <w:sdtPr>
          <w:rPr>
            <w:rFonts w:ascii="Gill Sans Display MT Pro BdCn" w:hAnsi="Gill Sans Display MT Pro BdCn"/>
            <w:sz w:val="18"/>
            <w:szCs w:val="18"/>
          </w:rPr>
          <w:alias w:val="CustomElements.Fields.Titolo2"/>
          <w:id w:val="48588533"/>
          <w:dataBinding w:xpath="//Text[@id='CustomElements.Fields.Titolo2']" w:storeItemID="{F3E52F66-8AB0-4AAE-9647-1EAE21C7F5D6}"/>
          <w:text w:multiLine="1"/>
        </w:sdtPr>
        <w:sdtEndPr/>
        <w:sdtContent>
          <w:tc>
            <w:tcPr>
              <w:tcW w:w="8383" w:type="dxa"/>
              <w:tcBorders>
                <w:left w:val="single" w:sz="4" w:space="0" w:color="auto"/>
              </w:tcBorders>
              <w:tcMar>
                <w:top w:w="0" w:type="dxa"/>
                <w:left w:w="142" w:type="dxa"/>
              </w:tcMar>
            </w:tcPr>
            <w:p w:rsidR="00A62B28" w:rsidRPr="00E8185F" w:rsidRDefault="00A62B28" w:rsidP="00782640">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7836 R del 8 febbraio 2022</w:t>
              </w:r>
            </w:p>
          </w:tc>
        </w:sdtContent>
      </w:sdt>
      <w:tc>
        <w:tcPr>
          <w:tcW w:w="1710" w:type="dxa"/>
          <w:tcBorders>
            <w:top w:val="single" w:sz="4" w:space="0" w:color="auto"/>
          </w:tcBorders>
        </w:tcPr>
        <w:p w:rsidR="00A62B28" w:rsidRPr="00E043A3" w:rsidRDefault="00A62B28" w:rsidP="00782640">
          <w:pPr>
            <w:pStyle w:val="InvisibleLine"/>
            <w:rPr>
              <w:lang w:val="de-DE"/>
            </w:rPr>
          </w:pPr>
        </w:p>
      </w:tc>
    </w:tr>
  </w:tbl>
  <w:p w:rsidR="00A62B28" w:rsidRPr="00980362" w:rsidRDefault="00A62B28" w:rsidP="00782640">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3E52F66-8AB0-4AAE-9647-1EAE21C7F5D6}"/>
                            <w:text w:multiLine="1"/>
                          </w:sdtPr>
                          <w:sdtEndPr/>
                          <w:sdtContent>
                            <w:p w:rsidR="00A62B28" w:rsidRPr="00411371" w:rsidRDefault="00A62B28" w:rsidP="0078264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3E52F66-8AB0-4AAE-9647-1EAE21C7F5D6}"/>
                      <w:text w:multiLine="1"/>
                    </w:sdtPr>
                    <w:sdtContent>
                      <w:p w:rsidR="00782640" w:rsidRPr="00411371" w:rsidRDefault="00782640" w:rsidP="00782640">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62B28" w:rsidRPr="0004624C" w:rsidTr="00782640">
      <w:trPr>
        <w:trHeight w:val="586"/>
      </w:trPr>
      <w:tc>
        <w:tcPr>
          <w:tcW w:w="2440" w:type="pct"/>
          <w:gridSpan w:val="3"/>
          <w:tcBorders>
            <w:top w:val="nil"/>
            <w:left w:val="nil"/>
            <w:bottom w:val="single" w:sz="4" w:space="0" w:color="auto"/>
          </w:tcBorders>
          <w:vAlign w:val="bottom"/>
        </w:tcPr>
        <w:p w:rsidR="00A62B28" w:rsidRPr="003108C0" w:rsidRDefault="00A62B28" w:rsidP="00782640">
          <w:pPr>
            <w:pStyle w:val="InvisibleLine"/>
            <w:ind w:left="150"/>
            <w:rPr>
              <w:sz w:val="16"/>
            </w:rPr>
          </w:pPr>
        </w:p>
      </w:tc>
      <w:tc>
        <w:tcPr>
          <w:tcW w:w="373" w:type="pct"/>
          <w:tcBorders>
            <w:top w:val="nil"/>
            <w:bottom w:val="single" w:sz="4" w:space="0" w:color="auto"/>
          </w:tcBorders>
          <w:vAlign w:val="bottom"/>
        </w:tcPr>
        <w:p w:rsidR="00A62B28" w:rsidRPr="003108C0" w:rsidRDefault="00A62B28" w:rsidP="00782640">
          <w:pPr>
            <w:pStyle w:val="Level"/>
            <w:ind w:left="150"/>
            <w:rPr>
              <w:sz w:val="16"/>
            </w:rPr>
          </w:pPr>
        </w:p>
      </w:tc>
      <w:tc>
        <w:tcPr>
          <w:tcW w:w="209" w:type="pct"/>
          <w:tcBorders>
            <w:top w:val="nil"/>
            <w:bottom w:val="single" w:sz="4" w:space="0" w:color="auto"/>
          </w:tcBorders>
        </w:tcPr>
        <w:p w:rsidR="00A62B28" w:rsidRDefault="00A62B28" w:rsidP="00782640">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A62B28" w:rsidRPr="004204CB" w:rsidRDefault="00A62B28" w:rsidP="00782640">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F7A1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F7A1D">
            <w:rPr>
              <w:rFonts w:asciiTheme="minorHAnsi" w:hAnsiTheme="minorHAnsi" w:cstheme="minorHAnsi"/>
              <w:noProof/>
              <w:sz w:val="24"/>
            </w:rPr>
            <w:t>16</w:t>
          </w:r>
          <w:r w:rsidRPr="004204CB">
            <w:rPr>
              <w:rFonts w:asciiTheme="minorHAnsi" w:hAnsiTheme="minorHAnsi" w:cstheme="minorHAnsi"/>
              <w:noProof/>
              <w:sz w:val="24"/>
            </w:rPr>
            <w:fldChar w:fldCharType="end"/>
          </w:r>
        </w:p>
      </w:tc>
    </w:tr>
    <w:tr w:rsidR="00A62B28" w:rsidRPr="0004624C" w:rsidTr="00782640">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3E52F66-8AB0-4AAE-9647-1EAE21C7F5D6}"/>
          <w:text w:multiLine="1"/>
        </w:sdtPr>
        <w:sdtEndPr/>
        <w:sdtContent>
          <w:tc>
            <w:tcPr>
              <w:tcW w:w="5000" w:type="pct"/>
              <w:gridSpan w:val="6"/>
              <w:tcBorders>
                <w:left w:val="nil"/>
                <w:right w:val="nil"/>
              </w:tcBorders>
              <w:noWrap/>
              <w:tcMar>
                <w:top w:w="0" w:type="dxa"/>
              </w:tcMar>
              <w:vAlign w:val="bottom"/>
            </w:tcPr>
            <w:p w:rsidR="00A62B28" w:rsidRPr="008C03B5" w:rsidRDefault="00A62B28" w:rsidP="0078264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A62B28" w:rsidRPr="0004624C" w:rsidTr="00782640">
      <w:trPr>
        <w:trHeight w:hRule="exact" w:val="306"/>
      </w:trPr>
      <w:tc>
        <w:tcPr>
          <w:tcW w:w="670" w:type="pct"/>
          <w:tcBorders>
            <w:left w:val="nil"/>
            <w:bottom w:val="nil"/>
          </w:tcBorders>
          <w:noWrap/>
          <w:tcMar>
            <w:top w:w="57" w:type="dxa"/>
            <w:left w:w="142" w:type="dxa"/>
          </w:tcMar>
        </w:tcPr>
        <w:p w:rsidR="00A62B28" w:rsidRPr="00C7320A" w:rsidRDefault="00A62B28" w:rsidP="00782640">
          <w:pPr>
            <w:pStyle w:val="Level"/>
            <w:spacing w:before="60"/>
            <w:rPr>
              <w:rFonts w:ascii="Gill Alt One MT Light" w:hAnsi="Gill Alt One MT Light"/>
              <w:sz w:val="16"/>
            </w:rPr>
          </w:pPr>
          <w:r w:rsidRPr="00C7320A">
            <w:rPr>
              <w:rFonts w:ascii="Gill Alt One MT Light" w:hAnsi="Gill Alt One MT Light"/>
              <w:sz w:val="16"/>
            </w:rPr>
            <w:t>numero</w:t>
          </w:r>
        </w:p>
        <w:p w:rsidR="00A62B28" w:rsidRPr="00C7320A" w:rsidRDefault="00A62B28" w:rsidP="00782640">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A62B28" w:rsidRPr="00C7320A" w:rsidRDefault="00A62B28" w:rsidP="00782640">
          <w:pPr>
            <w:pStyle w:val="Level"/>
            <w:spacing w:before="60"/>
            <w:rPr>
              <w:rFonts w:ascii="Gill Alt One MT Light" w:hAnsi="Gill Alt One MT Light"/>
              <w:sz w:val="16"/>
            </w:rPr>
          </w:pPr>
          <w:r w:rsidRPr="00C7320A">
            <w:rPr>
              <w:rFonts w:ascii="Gill Alt One MT Light" w:hAnsi="Gill Alt One MT Light"/>
              <w:sz w:val="16"/>
            </w:rPr>
            <w:t>data</w:t>
          </w:r>
        </w:p>
        <w:p w:rsidR="00A62B28" w:rsidRPr="00C7320A" w:rsidRDefault="00A62B28" w:rsidP="00782640">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A62B28" w:rsidRPr="00C7320A" w:rsidRDefault="00A62B28" w:rsidP="00782640">
          <w:pPr>
            <w:pStyle w:val="Level"/>
            <w:spacing w:before="60"/>
            <w:rPr>
              <w:rFonts w:ascii="Gill Alt One MT Light" w:hAnsi="Gill Alt One MT Light"/>
              <w:sz w:val="16"/>
            </w:rPr>
          </w:pPr>
          <w:r>
            <w:rPr>
              <w:rFonts w:ascii="Gill Alt One MT Light" w:hAnsi="Gill Alt One MT Light"/>
              <w:sz w:val="16"/>
            </w:rPr>
            <w:t>competenza</w:t>
          </w:r>
        </w:p>
        <w:p w:rsidR="00A62B28" w:rsidRPr="008C03B5" w:rsidRDefault="00A62B28" w:rsidP="00782640">
          <w:pPr>
            <w:pStyle w:val="Level"/>
            <w:spacing w:before="60" w:line="240" w:lineRule="auto"/>
            <w:rPr>
              <w:rFonts w:ascii="Gill Alt One MT Light" w:hAnsi="Gill Alt One MT Light"/>
              <w:sz w:val="16"/>
            </w:rPr>
          </w:pPr>
        </w:p>
      </w:tc>
    </w:tr>
    <w:tr w:rsidR="00A62B28" w:rsidRPr="0004624C" w:rsidTr="00782640">
      <w:trPr>
        <w:trHeight w:hRule="exact" w:val="699"/>
      </w:trPr>
      <w:tc>
        <w:tcPr>
          <w:tcW w:w="670" w:type="pct"/>
          <w:tcBorders>
            <w:top w:val="nil"/>
            <w:left w:val="nil"/>
            <w:bottom w:val="single" w:sz="4" w:space="0" w:color="auto"/>
            <w:right w:val="nil"/>
          </w:tcBorders>
          <w:noWrap/>
          <w:tcMar>
            <w:top w:w="0" w:type="dxa"/>
          </w:tcMar>
        </w:tcPr>
        <w:p w:rsidR="00A62B28" w:rsidRPr="00BE22A2" w:rsidRDefault="008F7A1D" w:rsidP="00782640">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3E52F66-8AB0-4AAE-9647-1EAE21C7F5D6}"/>
              <w:text w:multiLine="1"/>
            </w:sdtPr>
            <w:sdtEndPr/>
            <w:sdtContent>
              <w:r w:rsidR="00A62B28">
                <w:rPr>
                  <w:rFonts w:cstheme="minorHAnsi"/>
                  <w:b/>
                  <w:sz w:val="24"/>
                  <w:szCs w:val="24"/>
                </w:rPr>
                <w:t>7836 R</w:t>
              </w:r>
            </w:sdtContent>
          </w:sdt>
        </w:p>
      </w:tc>
      <w:sdt>
        <w:sdtPr>
          <w:alias w:val="DocParam.Date"/>
          <w:id w:val="-464426178"/>
          <w:dataBinding w:xpath="//DateTime[@id='DocParam.Date']" w:storeItemID="{F3E52F66-8AB0-4AAE-9647-1EAE21C7F5D6}"/>
          <w:date w:fullDate="2022-02-08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A62B28" w:rsidRPr="002A0371" w:rsidRDefault="00A62B28" w:rsidP="00782640">
              <w:pPr>
                <w:pStyle w:val="Data"/>
              </w:pPr>
              <w:r>
                <w:t>8 febbraio 2022</w:t>
              </w:r>
            </w:p>
          </w:tc>
        </w:sdtContent>
      </w:sdt>
      <w:tc>
        <w:tcPr>
          <w:tcW w:w="3218" w:type="pct"/>
          <w:gridSpan w:val="4"/>
          <w:tcBorders>
            <w:top w:val="nil"/>
            <w:left w:val="nil"/>
            <w:bottom w:val="nil"/>
            <w:right w:val="nil"/>
          </w:tcBorders>
        </w:tcPr>
        <w:p w:rsidR="00A62B28" w:rsidRPr="00BE22A2" w:rsidRDefault="008F7A1D" w:rsidP="00782640">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3E52F66-8AB0-4AAE-9647-1EAE21C7F5D6}"/>
              <w:text w:multiLine="1"/>
            </w:sdtPr>
            <w:sdtEndPr/>
            <w:sdtContent>
              <w:r w:rsidR="00A62B28">
                <w:rPr>
                  <w:smallCaps/>
                  <w:sz w:val="23"/>
                  <w:szCs w:val="23"/>
                </w:rPr>
                <w:t>Consiglio di Stato</w:t>
              </w:r>
            </w:sdtContent>
          </w:sdt>
        </w:p>
      </w:tc>
    </w:tr>
    <w:tr w:rsidR="00A62B28" w:rsidRPr="00C63927" w:rsidTr="00782640">
      <w:trPr>
        <w:trHeight w:hRule="exact" w:val="198"/>
      </w:trPr>
      <w:tc>
        <w:tcPr>
          <w:tcW w:w="5000" w:type="pct"/>
          <w:gridSpan w:val="6"/>
          <w:tcBorders>
            <w:left w:val="nil"/>
            <w:bottom w:val="nil"/>
            <w:right w:val="nil"/>
          </w:tcBorders>
          <w:noWrap/>
          <w:tcMar>
            <w:top w:w="57" w:type="dxa"/>
            <w:left w:w="85" w:type="dxa"/>
            <w:bottom w:w="170" w:type="dxa"/>
          </w:tcMar>
        </w:tcPr>
        <w:p w:rsidR="00A62B28" w:rsidRPr="00C7320A" w:rsidRDefault="00A62B28" w:rsidP="00782640">
          <w:pPr>
            <w:pStyle w:val="Level"/>
            <w:ind w:left="150"/>
            <w:rPr>
              <w:rFonts w:ascii="Gill Alt One MT Light" w:hAnsi="Gill Alt One MT Light"/>
              <w:sz w:val="16"/>
              <w:szCs w:val="16"/>
            </w:rPr>
          </w:pPr>
        </w:p>
      </w:tc>
    </w:tr>
  </w:tbl>
  <w:p w:rsidR="00A62B28" w:rsidRPr="00DA2879" w:rsidRDefault="00A62B28" w:rsidP="00782640">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3E52F66-8AB0-4AAE-9647-1EAE21C7F5D6}"/>
                            <w:text w:multiLine="1"/>
                          </w:sdtPr>
                          <w:sdtEndPr/>
                          <w:sdtContent>
                            <w:p w:rsidR="00A62B28" w:rsidRPr="00411371" w:rsidRDefault="00A62B28" w:rsidP="0078264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3E52F66-8AB0-4AAE-9647-1EAE21C7F5D6}"/>
                      <w:text w:multiLine="1"/>
                    </w:sdtPr>
                    <w:sdtContent>
                      <w:p w:rsidR="00782640" w:rsidRPr="00411371" w:rsidRDefault="00782640" w:rsidP="00782640">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42C9"/>
    <w:multiLevelType w:val="multilevel"/>
    <w:tmpl w:val="D6B2266E"/>
    <w:lvl w:ilvl="0">
      <w:start w:val="1"/>
      <w:numFmt w:val="bullet"/>
      <w:lvlText w:val=""/>
      <w:lvlJc w:val="left"/>
      <w:pPr>
        <w:tabs>
          <w:tab w:val="num" w:pos="-1488"/>
        </w:tabs>
        <w:ind w:left="-1488" w:hanging="360"/>
      </w:pPr>
      <w:rPr>
        <w:rFonts w:ascii="Wingdings" w:hAnsi="Wingdings" w:hint="default"/>
        <w:sz w:val="20"/>
      </w:rPr>
    </w:lvl>
    <w:lvl w:ilvl="1" w:tentative="1">
      <w:start w:val="1"/>
      <w:numFmt w:val="bullet"/>
      <w:lvlText w:val=""/>
      <w:lvlJc w:val="left"/>
      <w:pPr>
        <w:tabs>
          <w:tab w:val="num" w:pos="-768"/>
        </w:tabs>
        <w:ind w:left="-768" w:hanging="360"/>
      </w:pPr>
      <w:rPr>
        <w:rFonts w:ascii="Wingdings" w:hAnsi="Wingdings" w:hint="default"/>
        <w:sz w:val="20"/>
      </w:rPr>
    </w:lvl>
    <w:lvl w:ilvl="2" w:tentative="1">
      <w:start w:val="1"/>
      <w:numFmt w:val="bullet"/>
      <w:lvlText w:val=""/>
      <w:lvlJc w:val="left"/>
      <w:pPr>
        <w:tabs>
          <w:tab w:val="num" w:pos="-48"/>
        </w:tabs>
        <w:ind w:left="-48" w:hanging="360"/>
      </w:pPr>
      <w:rPr>
        <w:rFonts w:ascii="Wingdings" w:hAnsi="Wingdings" w:hint="default"/>
        <w:sz w:val="20"/>
      </w:rPr>
    </w:lvl>
    <w:lvl w:ilvl="3" w:tentative="1">
      <w:start w:val="1"/>
      <w:numFmt w:val="bullet"/>
      <w:lvlText w:val=""/>
      <w:lvlJc w:val="left"/>
      <w:pPr>
        <w:tabs>
          <w:tab w:val="num" w:pos="672"/>
        </w:tabs>
        <w:ind w:left="672" w:hanging="360"/>
      </w:pPr>
      <w:rPr>
        <w:rFonts w:ascii="Wingdings" w:hAnsi="Wingdings" w:hint="default"/>
        <w:sz w:val="20"/>
      </w:rPr>
    </w:lvl>
    <w:lvl w:ilvl="4" w:tentative="1">
      <w:start w:val="1"/>
      <w:numFmt w:val="bullet"/>
      <w:lvlText w:val=""/>
      <w:lvlJc w:val="left"/>
      <w:pPr>
        <w:tabs>
          <w:tab w:val="num" w:pos="1392"/>
        </w:tabs>
        <w:ind w:left="1392" w:hanging="360"/>
      </w:pPr>
      <w:rPr>
        <w:rFonts w:ascii="Wingdings" w:hAnsi="Wingdings" w:hint="default"/>
        <w:sz w:val="20"/>
      </w:rPr>
    </w:lvl>
    <w:lvl w:ilvl="5" w:tentative="1">
      <w:start w:val="1"/>
      <w:numFmt w:val="bullet"/>
      <w:lvlText w:val=""/>
      <w:lvlJc w:val="left"/>
      <w:pPr>
        <w:tabs>
          <w:tab w:val="num" w:pos="2112"/>
        </w:tabs>
        <w:ind w:left="2112" w:hanging="360"/>
      </w:pPr>
      <w:rPr>
        <w:rFonts w:ascii="Wingdings" w:hAnsi="Wingdings" w:hint="default"/>
        <w:sz w:val="20"/>
      </w:rPr>
    </w:lvl>
    <w:lvl w:ilvl="6" w:tentative="1">
      <w:start w:val="1"/>
      <w:numFmt w:val="bullet"/>
      <w:lvlText w:val=""/>
      <w:lvlJc w:val="left"/>
      <w:pPr>
        <w:tabs>
          <w:tab w:val="num" w:pos="2832"/>
        </w:tabs>
        <w:ind w:left="2832" w:hanging="360"/>
      </w:pPr>
      <w:rPr>
        <w:rFonts w:ascii="Wingdings" w:hAnsi="Wingdings" w:hint="default"/>
        <w:sz w:val="20"/>
      </w:rPr>
    </w:lvl>
    <w:lvl w:ilvl="7" w:tentative="1">
      <w:start w:val="1"/>
      <w:numFmt w:val="bullet"/>
      <w:lvlText w:val=""/>
      <w:lvlJc w:val="left"/>
      <w:pPr>
        <w:tabs>
          <w:tab w:val="num" w:pos="3552"/>
        </w:tabs>
        <w:ind w:left="3552" w:hanging="360"/>
      </w:pPr>
      <w:rPr>
        <w:rFonts w:ascii="Wingdings" w:hAnsi="Wingdings" w:hint="default"/>
        <w:sz w:val="20"/>
      </w:rPr>
    </w:lvl>
    <w:lvl w:ilvl="8" w:tentative="1">
      <w:start w:val="1"/>
      <w:numFmt w:val="bullet"/>
      <w:lvlText w:val=""/>
      <w:lvlJc w:val="left"/>
      <w:pPr>
        <w:tabs>
          <w:tab w:val="num" w:pos="4272"/>
        </w:tabs>
        <w:ind w:left="4272" w:hanging="360"/>
      </w:pPr>
      <w:rPr>
        <w:rFonts w:ascii="Wingdings" w:hAnsi="Wingdings" w:hint="default"/>
        <w:sz w:val="20"/>
      </w:rPr>
    </w:lvl>
  </w:abstractNum>
  <w:abstractNum w:abstractNumId="11" w15:restartNumberingAfterBreak="0">
    <w:nsid w:val="0ADD7924"/>
    <w:multiLevelType w:val="hybridMultilevel"/>
    <w:tmpl w:val="382E9A5E"/>
    <w:lvl w:ilvl="0" w:tplc="89842E70">
      <w:start w:val="1"/>
      <w:numFmt w:val="bullet"/>
      <w:lvlText w:val="-"/>
      <w:lvlJc w:val="left"/>
      <w:pPr>
        <w:ind w:left="360" w:hanging="360"/>
      </w:pPr>
      <w:rPr>
        <w:rFonts w:ascii="Arial" w:hAnsi="Arial" w:hint="default"/>
      </w:rPr>
    </w:lvl>
    <w:lvl w:ilvl="1" w:tplc="08100003">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D3C4674"/>
    <w:multiLevelType w:val="hybridMultilevel"/>
    <w:tmpl w:val="420AF996"/>
    <w:lvl w:ilvl="0" w:tplc="C7A82F6A">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3D3024F"/>
    <w:multiLevelType w:val="multilevel"/>
    <w:tmpl w:val="C94E32F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BE218DB"/>
    <w:multiLevelType w:val="multilevel"/>
    <w:tmpl w:val="08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007E2D"/>
    <w:multiLevelType w:val="hybridMultilevel"/>
    <w:tmpl w:val="B226E4D2"/>
    <w:lvl w:ilvl="0" w:tplc="AC6418BE">
      <w:start w:val="6716"/>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472806BC"/>
    <w:multiLevelType w:val="hybridMultilevel"/>
    <w:tmpl w:val="2C20385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5CF14795"/>
    <w:multiLevelType w:val="hybridMultilevel"/>
    <w:tmpl w:val="ACE410F2"/>
    <w:lvl w:ilvl="0" w:tplc="89842E70">
      <w:start w:val="1"/>
      <w:numFmt w:val="bullet"/>
      <w:lvlText w:val="-"/>
      <w:lvlJc w:val="left"/>
      <w:pPr>
        <w:ind w:left="360" w:hanging="360"/>
      </w:pPr>
      <w:rPr>
        <w:rFonts w:ascii="Arial" w:hAnsi="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5" w15:restartNumberingAfterBreak="0">
    <w:nsid w:val="6C792BBB"/>
    <w:multiLevelType w:val="hybridMultilevel"/>
    <w:tmpl w:val="DEEE0744"/>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4"/>
  </w:num>
  <w:num w:numId="2">
    <w:abstractNumId w:val="23"/>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2"/>
  </w:num>
  <w:num w:numId="5">
    <w:abstractNumId w:val="18"/>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9"/>
  </w:num>
  <w:num w:numId="22">
    <w:abstractNumId w:val="16"/>
  </w:num>
  <w:num w:numId="23">
    <w:abstractNumId w:val="20"/>
  </w:num>
  <w:num w:numId="24">
    <w:abstractNumId w:val="13"/>
  </w:num>
  <w:num w:numId="25">
    <w:abstractNumId w:val="10"/>
  </w:num>
  <w:num w:numId="2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9"/>
    <w:rsid w:val="00053F74"/>
    <w:rsid w:val="000558FC"/>
    <w:rsid w:val="00176278"/>
    <w:rsid w:val="001F6B2A"/>
    <w:rsid w:val="001F6FE4"/>
    <w:rsid w:val="00235722"/>
    <w:rsid w:val="00263CDC"/>
    <w:rsid w:val="002B5D9F"/>
    <w:rsid w:val="00323935"/>
    <w:rsid w:val="00325959"/>
    <w:rsid w:val="0033545C"/>
    <w:rsid w:val="00387828"/>
    <w:rsid w:val="003A6E24"/>
    <w:rsid w:val="003B756D"/>
    <w:rsid w:val="00403ADB"/>
    <w:rsid w:val="004773D3"/>
    <w:rsid w:val="00502202"/>
    <w:rsid w:val="00572FD3"/>
    <w:rsid w:val="00577125"/>
    <w:rsid w:val="00597603"/>
    <w:rsid w:val="005C64D6"/>
    <w:rsid w:val="00632829"/>
    <w:rsid w:val="006A3BE0"/>
    <w:rsid w:val="007344A9"/>
    <w:rsid w:val="00782640"/>
    <w:rsid w:val="008720C4"/>
    <w:rsid w:val="00887DB8"/>
    <w:rsid w:val="008F28E7"/>
    <w:rsid w:val="008F52AF"/>
    <w:rsid w:val="008F7A1D"/>
    <w:rsid w:val="009020A6"/>
    <w:rsid w:val="00907247"/>
    <w:rsid w:val="0092353A"/>
    <w:rsid w:val="00937A65"/>
    <w:rsid w:val="00945025"/>
    <w:rsid w:val="00985A80"/>
    <w:rsid w:val="009B58A1"/>
    <w:rsid w:val="009C5E5A"/>
    <w:rsid w:val="009F198E"/>
    <w:rsid w:val="009F3F70"/>
    <w:rsid w:val="00A5182A"/>
    <w:rsid w:val="00A62B28"/>
    <w:rsid w:val="00A71906"/>
    <w:rsid w:val="00A863D6"/>
    <w:rsid w:val="00AF0268"/>
    <w:rsid w:val="00B86696"/>
    <w:rsid w:val="00BF0A1F"/>
    <w:rsid w:val="00BF6006"/>
    <w:rsid w:val="00C00A5A"/>
    <w:rsid w:val="00C46EB2"/>
    <w:rsid w:val="00C6459D"/>
    <w:rsid w:val="00C71892"/>
    <w:rsid w:val="00C92A0A"/>
    <w:rsid w:val="00CA628B"/>
    <w:rsid w:val="00CF1648"/>
    <w:rsid w:val="00D33940"/>
    <w:rsid w:val="00D600FD"/>
    <w:rsid w:val="00D649A8"/>
    <w:rsid w:val="00DD09B4"/>
    <w:rsid w:val="00E06164"/>
    <w:rsid w:val="00E45755"/>
    <w:rsid w:val="00E547C8"/>
    <w:rsid w:val="00E62297"/>
    <w:rsid w:val="00E713EA"/>
    <w:rsid w:val="00E753A7"/>
    <w:rsid w:val="00EB088A"/>
    <w:rsid w:val="00ED4EE8"/>
    <w:rsid w:val="00F657BF"/>
    <w:rsid w:val="00F75B1C"/>
    <w:rsid w:val="00FC0C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45097"/>
  <w15:docId w15:val="{4E8D2080-FA0D-4B78-AFFB-DA574C2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5959"/>
    <w:pPr>
      <w:spacing w:after="0"/>
      <w:jc w:val="both"/>
    </w:pPr>
    <w:rPr>
      <w:rFonts w:ascii="Arial" w:eastAsia="Calibri" w:hAnsi="Arial" w:cs="Times New Roman"/>
      <w:sz w:val="24"/>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92353A"/>
    <w:pPr>
      <w:tabs>
        <w:tab w:val="left" w:pos="567"/>
        <w:tab w:val="right" w:leader="dot" w:pos="9072"/>
      </w:tabs>
      <w:spacing w:before="40" w:after="4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table" w:customStyle="1" w:styleId="Grigliatabella1">
    <w:name w:val="Griglia tabella1"/>
    <w:basedOn w:val="Tabellanormale"/>
    <w:next w:val="Grigliatabella"/>
    <w:uiPriority w:val="59"/>
    <w:rsid w:val="00325959"/>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259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23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min.ch/gov/it/pagina-iniziale/documentazione/comunicati-stampa.msg-id-86074.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a1bce65c-776d-46ea-99df-f5cdaccb49d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i = " h t t p : / / w w w . w 3 . o r g / 2 0 0 1 / X M L S c h e m a - i n s t a n c e "   x m l n s : x s d = " h t t p : / / w w w . w 3 . o r g / 2 0 0 1 / X M L S c h e m a "   i d = " 7 0 c f 2 a a 4 - 9 9 2 1 - 4 e 2 9 - b 9 5 f - 9 c d e a 4 9 c 3 1 a 1 "   t I d = " a 3 6 2 a 5 d 4 - 9 5 8 9 - 4 1 b f - a 4 e 6 - 4 f 8 7 c 4 e 4 1 2 3 9 "   i n t e r n a l T I d = " 9 0 6 4 c c 7 f - 3 1 6 d - 4 6 b 1 - a 4 a c - 7 4 8 6 0 c 3 f 8 a 5 b "   m t I d = " 2 7 5 a f 3 2 e - b c 4 0 - 4 5 c 2 - 8 5 b 7 - a f b 1 c 0 3 8 2 6 5 3 "   r e v i s i o n = " 0 "   c r e a t e d m a j o r v e r s i o n = " 0 "   c r e a t e d m i n o r v e r s i o n = " 0 "   c r e a t e d = " 2 0 2 2 - 0 2 - 0 8 T 1 4 : 2 7 : 4 0 . 5 2 7 0 0 3 8 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T e x t >  
                 < T e x t   i d = " C u s t o m E l e m e n t s . F i e l d s . T i t o l o 2 "   l a b e l = " C u s t o m E l e m e n t s . F i e l d s . T i t o l o 2 " > < ! [ C D A T A [ R a p p o r t o   n .   7 8 3 6   R   d e l   8   f e b b r a i o   2 0 2 2 ] ] > < / 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 2 0 2 2 - 0 2 - 0 8 T 0 0 : 0 0 : 0 0 Z < / D a t e T i m e >  
                 < T e x t   i d = " D o c P a r a m . N u m b e r " > < ! [ C D A T A [ 7 8 3 6   R ] ] > < / T e x t >  
                 < T e x t   i d = " D o c P a r a m . D o c u m e n t o " > < ! [ C D A T A [ R a p p o r t o ] ] > < / T e x t >  
                 < T e x t   i d = " D o c P a r a m . A g g i u n t a D o c "   t o o l t i p = " ( e s .   b i s ,   a g g i u n t i v o ,   a g g i u n t i v o   b i s ,   1 ,   2   e c c . ) " > < ! [ C D A T A [   ] ] > < / T e x t >  
                 < T e x t   i d = " D o c P a r a m . D i p a r t i m e n t i " > < ! [ C D A T A [ C o n s i g l i o   d i 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A599-87FB-498B-9EBE-50DC2894A28C}">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3E52F66-8AB0-4AAE-9647-1EAE21C7F5D6}">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AEF125B-B85A-4F98-8898-4A5B0848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a1bce65c-776d-46ea-99df-f5cdaccb49d9.dotx</Template>
  <TotalTime>125</TotalTime>
  <Pages>16</Pages>
  <Words>6398</Words>
  <Characters>36473</Characters>
  <Application>Microsoft Office Word</Application>
  <DocSecurity>0</DocSecurity>
  <Lines>303</Lines>
  <Paragraphs>85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46</cp:revision>
  <dcterms:created xsi:type="dcterms:W3CDTF">2022-02-08T14:27:00Z</dcterms:created>
  <dcterms:modified xsi:type="dcterms:W3CDTF">2022-02-08T16:43:00Z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