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E6" w:rsidRDefault="006045E6" w:rsidP="006045E6">
      <w:pPr>
        <w:rPr>
          <w:b/>
          <w:sz w:val="28"/>
          <w:szCs w:val="28"/>
        </w:rPr>
      </w:pPr>
      <w:r>
        <w:rPr>
          <w:b/>
          <w:sz w:val="28"/>
          <w:szCs w:val="28"/>
        </w:rPr>
        <w:t>della Commissione gestione e finanze</w:t>
      </w:r>
    </w:p>
    <w:p w:rsidR="006045E6" w:rsidRPr="002E4B7F" w:rsidRDefault="006045E6" w:rsidP="006045E6">
      <w:pPr>
        <w:rPr>
          <w:b/>
          <w:sz w:val="28"/>
          <w:szCs w:val="28"/>
        </w:rPr>
      </w:pPr>
      <w:r>
        <w:rPr>
          <w:b/>
          <w:sz w:val="28"/>
          <w:szCs w:val="28"/>
        </w:rPr>
        <w:t>sul messaggio 27 gennaio 2022 concernente il r</w:t>
      </w:r>
      <w:r w:rsidRPr="002E4B7F">
        <w:rPr>
          <w:b/>
          <w:sz w:val="28"/>
          <w:szCs w:val="28"/>
        </w:rPr>
        <w:t xml:space="preserve">innovo della prestazione ponte COVID, a complemento del sistema di sicurezza sociale a seguito delle conseguenze della pandemia di </w:t>
      </w:r>
      <w:r>
        <w:rPr>
          <w:b/>
          <w:sz w:val="28"/>
          <w:szCs w:val="28"/>
        </w:rPr>
        <w:t>COVID-19</w:t>
      </w:r>
    </w:p>
    <w:p w:rsidR="00D649A8" w:rsidRPr="006045E6" w:rsidRDefault="00D649A8" w:rsidP="006045E6">
      <w:pPr>
        <w:pStyle w:val="StandardRisoluzionedelConsigliodiStato"/>
        <w:ind w:right="-1"/>
      </w:pPr>
    </w:p>
    <w:p w:rsidR="00D649A8" w:rsidRDefault="00D649A8" w:rsidP="00D33940">
      <w:pPr>
        <w:pStyle w:val="StandardRisoluzionedelConsigliodiStato"/>
        <w:ind w:right="-1"/>
      </w:pPr>
    </w:p>
    <w:p w:rsidR="00B22186" w:rsidRPr="00B22186" w:rsidRDefault="00B22186" w:rsidP="00B22186">
      <w:pPr>
        <w:pStyle w:val="Titolo1"/>
        <w:numPr>
          <w:ilvl w:val="0"/>
          <w:numId w:val="18"/>
        </w:numPr>
        <w:tabs>
          <w:tab w:val="left" w:pos="567"/>
        </w:tabs>
        <w:suppressAutoHyphens w:val="0"/>
        <w:spacing w:before="0"/>
        <w:ind w:left="567" w:hanging="567"/>
        <w:jc w:val="both"/>
        <w:rPr>
          <w:rFonts w:eastAsia="Calibri" w:cs="Times New Roman"/>
          <w:caps/>
          <w:sz w:val="24"/>
          <w:szCs w:val="24"/>
          <w:lang w:val="it-IT" w:eastAsia="it-IT"/>
        </w:rPr>
      </w:pPr>
      <w:r w:rsidRPr="00B22186">
        <w:rPr>
          <w:rFonts w:eastAsia="Calibri" w:cs="Times New Roman"/>
          <w:caps/>
          <w:sz w:val="24"/>
          <w:szCs w:val="24"/>
          <w:lang w:val="it-IT" w:eastAsia="it-IT"/>
        </w:rPr>
        <w:t>Introduzione</w:t>
      </w:r>
    </w:p>
    <w:p w:rsidR="00B22186" w:rsidRDefault="00B22186" w:rsidP="00B22186">
      <w:pPr>
        <w:pStyle w:val="StandardRisoluzionedelConsigliodiStato"/>
      </w:pPr>
      <w:r>
        <w:t>La pandemia di COVID-19 e le misure introdotte per contenerne la diffusione hanno causato importanti difficoltà economiche ad aziende, lavoratori indipendenti e salariati. Per contrastare in modo tempestivo questa problematica la Confederazione, il Cantone, i Comuni e diverse organizzazioni senza scopo di lucro, hanno adeguato le proprie prestazioni sociali ordinarie ed introdotto delle nuove forme d’aiuto.</w:t>
      </w:r>
    </w:p>
    <w:p w:rsidR="00B22186" w:rsidRDefault="00B22186" w:rsidP="00B22186">
      <w:pPr>
        <w:pStyle w:val="StandardRisoluzionedelConsigliodiStato"/>
      </w:pPr>
    </w:p>
    <w:p w:rsidR="00B22186" w:rsidRDefault="00B22186" w:rsidP="00B22186">
      <w:pPr>
        <w:pStyle w:val="StandardRisoluzionedelConsigliodiStato"/>
      </w:pPr>
      <w:r>
        <w:t>Sulla base di questi principi e con l’intento di introdurre un sostegno finanziario complementare e mirato alle persone che non possono beneficiare di altre forme d’aiuto, il 7 ottobre 2020 il Consiglio di Stato ha licenziato il messaggio n.7906, concernente la prestazione ponte COVID, entrata in vigore il 1° marzo 2021 e inizialmente prevista per un periodo di 4 mesi.</w:t>
      </w:r>
    </w:p>
    <w:p w:rsidR="00B22186" w:rsidRDefault="00B22186" w:rsidP="00B22186">
      <w:pPr>
        <w:pStyle w:val="StandardRisoluzionedelConsigliodiStato"/>
      </w:pPr>
    </w:p>
    <w:p w:rsidR="00B22186" w:rsidRDefault="00B22186" w:rsidP="00B22186">
      <w:pPr>
        <w:pStyle w:val="StandardRisoluzionedelConsigliodiStato"/>
      </w:pPr>
      <w:r>
        <w:t>D</w:t>
      </w:r>
      <w:r w:rsidRPr="00355970">
        <w:t>urante i primi mesi d’esercizio un gruppo di lavoro composto da rappresentanti del Cantone e dei Comuni ha proposto una serie di adeguamenti p</w:t>
      </w:r>
      <w:r>
        <w:t>er rendere la prestazione ancor</w:t>
      </w:r>
      <w:r w:rsidRPr="00355970">
        <w:t xml:space="preserve"> più mirata ed efficace</w:t>
      </w:r>
      <w:r>
        <w:t>,</w:t>
      </w:r>
      <w:r w:rsidRPr="00355970">
        <w:t xml:space="preserve"> grazie alla modifica dei criteri di accesso</w:t>
      </w:r>
      <w:r>
        <w:t xml:space="preserve"> e di </w:t>
      </w:r>
      <w:r w:rsidRPr="00355970">
        <w:t>calcolo e al prolungo della validità fino a fine 2021 (messaggio n. 7991 del 5 maggio 2021). Il messaggio è stato approvato dal Parlamento il 31 maggio 2021 e le modifiche sono entrate in vigore retroattivamente</w:t>
      </w:r>
      <w:r>
        <w:t>,</w:t>
      </w:r>
      <w:r w:rsidRPr="00355970">
        <w:t xml:space="preserve"> </w:t>
      </w:r>
      <w:r>
        <w:t>d</w:t>
      </w:r>
      <w:r w:rsidRPr="00355970">
        <w:t>al 1</w:t>
      </w:r>
      <w:r w:rsidR="00472FC9">
        <w:t>°</w:t>
      </w:r>
      <w:r w:rsidRPr="00355970">
        <w:t xml:space="preserve"> marzo 2021 al 31 dicembre 2021.</w:t>
      </w:r>
    </w:p>
    <w:p w:rsidR="00B22186" w:rsidRPr="00355970" w:rsidRDefault="00B22186" w:rsidP="00B22186">
      <w:pPr>
        <w:pStyle w:val="StandardRisoluzionedelConsigliodiStato"/>
      </w:pPr>
    </w:p>
    <w:p w:rsidR="00B22186" w:rsidRDefault="00B22186" w:rsidP="00B22186">
      <w:pPr>
        <w:pStyle w:val="StandardRisoluzionedelConsigliodiStato"/>
      </w:pPr>
      <w:r>
        <w:t>Con</w:t>
      </w:r>
      <w:r w:rsidRPr="00355970">
        <w:t xml:space="preserve"> il </w:t>
      </w:r>
      <w:r>
        <w:t xml:space="preserve">nuovo </w:t>
      </w:r>
      <w:r w:rsidRPr="00355970">
        <w:t>messaggio n. 8103</w:t>
      </w:r>
      <w:r>
        <w:t xml:space="preserve"> del</w:t>
      </w:r>
      <w:r w:rsidRPr="00355970">
        <w:t xml:space="preserve"> 27 gennaio 2022 </w:t>
      </w:r>
      <w:r>
        <w:t>il Consiglio di Stato, considerata l</w:t>
      </w:r>
      <w:r w:rsidRPr="00B35C11">
        <w:t xml:space="preserve">’incertezza sull’evoluzione degli effetti della pandemia e </w:t>
      </w:r>
      <w:r>
        <w:t xml:space="preserve">preso atto dei </w:t>
      </w:r>
      <w:r w:rsidRPr="00B35C11">
        <w:t xml:space="preserve">continui cambiamenti del quadro di riferimento </w:t>
      </w:r>
      <w:r>
        <w:t xml:space="preserve">delle misure di sostegno economico e </w:t>
      </w:r>
      <w:r w:rsidRPr="00B35C11">
        <w:t>delle prestazioni sociali straordinarie</w:t>
      </w:r>
      <w:r>
        <w:t>,</w:t>
      </w:r>
      <w:r w:rsidRPr="00B35C11">
        <w:t xml:space="preserve"> </w:t>
      </w:r>
      <w:r w:rsidRPr="00355970">
        <w:t xml:space="preserve">ha dato seguito agli auspici formulati </w:t>
      </w:r>
      <w:r>
        <w:t>durante l’ultima</w:t>
      </w:r>
      <w:r w:rsidRPr="00355970">
        <w:t xml:space="preserve"> sessione del Gran </w:t>
      </w:r>
      <w:r>
        <w:t xml:space="preserve">Consiglio e concretizzato </w:t>
      </w:r>
      <w:r w:rsidRPr="00355970">
        <w:t>una proposta di rinnovo della prestazione ponte COVID, per una durata di 6 mesi</w:t>
      </w:r>
      <w:r>
        <w:t xml:space="preserve">, </w:t>
      </w:r>
      <w:r w:rsidRPr="00355970">
        <w:t>a partire da gennaio 2022.</w:t>
      </w:r>
    </w:p>
    <w:p w:rsidR="00B22186" w:rsidRDefault="00B22186" w:rsidP="00B22186">
      <w:pPr>
        <w:pStyle w:val="StandardRisoluzionedelConsigliodiStato"/>
      </w:pPr>
    </w:p>
    <w:p w:rsidR="00B22186" w:rsidRDefault="00B22186" w:rsidP="00B22186">
      <w:pPr>
        <w:pStyle w:val="StandardRisoluzionedelConsigliodiStato"/>
      </w:pPr>
      <w:r>
        <w:t>Per</w:t>
      </w:r>
      <w:r w:rsidRPr="00B35C11">
        <w:t xml:space="preserve"> assicurare la continuità </w:t>
      </w:r>
      <w:r>
        <w:t>degli aiuti e intervenire tempestivamente nei confronti di chi</w:t>
      </w:r>
      <w:r w:rsidRPr="00B35C11">
        <w:t xml:space="preserve"> si trov</w:t>
      </w:r>
      <w:r>
        <w:t>a provvisoriamente in difficoltà, il</w:t>
      </w:r>
      <w:r w:rsidRPr="00B35C11">
        <w:t xml:space="preserve"> Consiglio di Stato </w:t>
      </w:r>
      <w:r w:rsidR="00472FC9">
        <w:t>-</w:t>
      </w:r>
      <w:r>
        <w:t xml:space="preserve"> dando seguito all’auspicio della Commissione Gestione e finanze </w:t>
      </w:r>
      <w:r w:rsidR="00472FC9">
        <w:t>-</w:t>
      </w:r>
      <w:r>
        <w:t xml:space="preserve"> intende </w:t>
      </w:r>
      <w:r w:rsidRPr="00B35C11">
        <w:t xml:space="preserve">avviare le procedure </w:t>
      </w:r>
      <w:r>
        <w:t>di</w:t>
      </w:r>
      <w:r w:rsidRPr="00B35C11">
        <w:t xml:space="preserve"> versamento della prestazione subito dopo l’approvazione parlamentare, </w:t>
      </w:r>
      <w:r>
        <w:t xml:space="preserve">dunque </w:t>
      </w:r>
      <w:r w:rsidRPr="00B35C11">
        <w:t xml:space="preserve">prima dell’entrata in vigore formale del decreto legislativo </w:t>
      </w:r>
      <w:r>
        <w:t>che avverrà</w:t>
      </w:r>
      <w:r w:rsidRPr="00A80428">
        <w:t xml:space="preserve"> solo dopo la scadenza del termine referendario di 60 giorni, a partire dalla data di approvazione del Gran Consiglio</w:t>
      </w:r>
      <w:r w:rsidRPr="00B35C11">
        <w:t>.</w:t>
      </w:r>
    </w:p>
    <w:p w:rsidR="00B22186" w:rsidRDefault="00B22186" w:rsidP="00B22186">
      <w:pPr>
        <w:pStyle w:val="StandardRisoluzionedelConsigliodiStato"/>
      </w:pPr>
    </w:p>
    <w:p w:rsidR="00B22186" w:rsidRPr="00355970" w:rsidRDefault="00B22186" w:rsidP="00B22186">
      <w:pPr>
        <w:pStyle w:val="StandardRisoluzionedelConsigliodiStato"/>
      </w:pPr>
      <w:r>
        <w:t>Il Consiglio di Stato propone in primo luogo di rinnovare la prestazione ponte COVID nella forma in vigore fino a fine 2021, per il periodo 1</w:t>
      </w:r>
      <w:r w:rsidR="00472FC9">
        <w:t>°</w:t>
      </w:r>
      <w:r>
        <w:t xml:space="preserve"> gennaio</w:t>
      </w:r>
      <w:r w:rsidR="00472FC9">
        <w:t>-</w:t>
      </w:r>
      <w:r>
        <w:t xml:space="preserve">30 giugno 2022. Il Governo si </w:t>
      </w:r>
      <w:r>
        <w:lastRenderedPageBreak/>
        <w:t xml:space="preserve">riserva inoltre la facoltà di </w:t>
      </w:r>
      <w:r w:rsidRPr="00D85FA4">
        <w:t xml:space="preserve">prorogare la prestazione fino al termine massimo del </w:t>
      </w:r>
      <w:r w:rsidR="00472FC9">
        <w:br/>
      </w:r>
      <w:r w:rsidRPr="00D85FA4">
        <w:t xml:space="preserve">31 dicembre 2023, </w:t>
      </w:r>
      <w:r>
        <w:t>in funzione del</w:t>
      </w:r>
      <w:r w:rsidRPr="00D85FA4">
        <w:t xml:space="preserve">l’evoluzione degli effetti della pandemia e </w:t>
      </w:r>
      <w:r>
        <w:t>di futuri ulteriori</w:t>
      </w:r>
      <w:r w:rsidRPr="00D85FA4">
        <w:t xml:space="preserve"> cambiamenti del quadro </w:t>
      </w:r>
      <w:r>
        <w:t>normativo delle</w:t>
      </w:r>
      <w:r w:rsidRPr="00D85FA4">
        <w:t xml:space="preserve"> prestazioni sociali straordinarie, rispondendo in questo modo anche </w:t>
      </w:r>
      <w:r>
        <w:t>alle preoccupazioni espresse da alcuni parlamentari</w:t>
      </w:r>
      <w:r w:rsidRPr="00D85FA4">
        <w:t>.</w:t>
      </w:r>
    </w:p>
    <w:p w:rsidR="00B22186" w:rsidRDefault="00B22186" w:rsidP="00B22186">
      <w:pPr>
        <w:pStyle w:val="StandardRisoluzionedelConsigliodiStato"/>
        <w:rPr>
          <w:sz w:val="23"/>
          <w:szCs w:val="23"/>
        </w:rPr>
      </w:pPr>
    </w:p>
    <w:p w:rsidR="00B22186" w:rsidRDefault="00B22186" w:rsidP="00B22186">
      <w:pPr>
        <w:pStyle w:val="StandardRisoluzionedelConsigliodiStato"/>
        <w:rPr>
          <w:sz w:val="23"/>
          <w:szCs w:val="23"/>
        </w:rPr>
      </w:pPr>
    </w:p>
    <w:p w:rsidR="00B22186" w:rsidRPr="00B22186" w:rsidRDefault="00B22186" w:rsidP="00B22186">
      <w:pPr>
        <w:pStyle w:val="Titolo1"/>
        <w:numPr>
          <w:ilvl w:val="0"/>
          <w:numId w:val="18"/>
        </w:numPr>
        <w:tabs>
          <w:tab w:val="left" w:pos="567"/>
        </w:tabs>
        <w:suppressAutoHyphens w:val="0"/>
        <w:spacing w:before="0"/>
        <w:ind w:left="567" w:hanging="567"/>
        <w:jc w:val="both"/>
        <w:rPr>
          <w:rFonts w:eastAsia="Calibri" w:cs="Times New Roman"/>
          <w:caps/>
          <w:sz w:val="24"/>
          <w:szCs w:val="24"/>
          <w:lang w:val="it-IT" w:eastAsia="it-IT"/>
        </w:rPr>
      </w:pPr>
      <w:r w:rsidRPr="00B22186">
        <w:rPr>
          <w:rFonts w:eastAsia="Calibri" w:cs="Times New Roman"/>
          <w:caps/>
          <w:sz w:val="24"/>
          <w:szCs w:val="24"/>
          <w:lang w:val="it-IT" w:eastAsia="it-IT"/>
        </w:rPr>
        <w:t>La prestazione ponte COVID</w:t>
      </w:r>
    </w:p>
    <w:p w:rsidR="00B22186" w:rsidRDefault="00B22186" w:rsidP="00B22186">
      <w:pPr>
        <w:pStyle w:val="StandardRisoluzionedelConsigliodiStato"/>
      </w:pPr>
      <w:r>
        <w:t>La prestazione ponte COVID è stata concepita per i lavoratori indipendenti affiliati come tali ad una Cassa di compensazione AVS e per quelli salariati che non possono beneficiare di indennità ai sensi della Legge sull’assicurazione contro la disoccupazione (LADI), che si trovano temporaneamente in difficoltà a causa della pandemia di COVID-19.</w:t>
      </w:r>
    </w:p>
    <w:p w:rsidR="00B22186" w:rsidRDefault="00B22186" w:rsidP="00B22186">
      <w:pPr>
        <w:pStyle w:val="StandardRisoluzionedelConsigliodiStato"/>
      </w:pPr>
    </w:p>
    <w:p w:rsidR="00B22186" w:rsidRDefault="00B22186" w:rsidP="00B22186">
      <w:pPr>
        <w:pStyle w:val="StandardRisoluzionedelConsigliodiStato"/>
      </w:pPr>
      <w:r>
        <w:t>L’aiuto puntuale, mirato e limitato nel tempo, è previsto per coprire il fabbisogno e le necessità contingenti, permettendo di superare una fase di difficoltà, recuperare l’autonomia finanziaria ed evitare l’aumento della morosità e il ricorso alle prestazioni assistenziali.</w:t>
      </w:r>
    </w:p>
    <w:p w:rsidR="00B22186" w:rsidRDefault="00B22186" w:rsidP="00B22186">
      <w:pPr>
        <w:pStyle w:val="StandardRisoluzionedelConsigliodiStato"/>
      </w:pPr>
    </w:p>
    <w:p w:rsidR="00B22186" w:rsidRDefault="00B22186" w:rsidP="00B22186">
      <w:pPr>
        <w:pStyle w:val="StandardRisoluzionedelConsigliodiStato"/>
      </w:pPr>
      <w:r w:rsidRPr="00597546">
        <w:t>Considerato il ruolo di prossimità</w:t>
      </w:r>
      <w:r>
        <w:t xml:space="preserve"> e la conoscenza del</w:t>
      </w:r>
      <w:r w:rsidRPr="00597546">
        <w:t xml:space="preserve"> territorio</w:t>
      </w:r>
      <w:r>
        <w:t>,</w:t>
      </w:r>
      <w:r w:rsidRPr="00597546">
        <w:t xml:space="preserve"> i Comuni </w:t>
      </w:r>
      <w:r>
        <w:t xml:space="preserve">hanno la competenza della </w:t>
      </w:r>
      <w:r w:rsidRPr="00597546">
        <w:t xml:space="preserve">determinazione del diritto alla prestazione </w:t>
      </w:r>
      <w:r>
        <w:t>come pure del</w:t>
      </w:r>
      <w:r w:rsidRPr="00597546">
        <w:t>l’erogazione materiale della stessa</w:t>
      </w:r>
      <w:r>
        <w:t>,</w:t>
      </w:r>
      <w:r w:rsidRPr="00597546">
        <w:t xml:space="preserve"> che viene loro periodicamente rimborsata dal Cantone nella misura del 75%.</w:t>
      </w:r>
    </w:p>
    <w:p w:rsidR="00B22186" w:rsidRDefault="00B22186" w:rsidP="00B22186">
      <w:pPr>
        <w:pStyle w:val="StandardRisoluzionedelConsigliodiStato"/>
      </w:pPr>
    </w:p>
    <w:p w:rsidR="00B22186" w:rsidRDefault="00B22186" w:rsidP="00B22186">
      <w:pPr>
        <w:pStyle w:val="StandardRisoluzionedelConsigliodiStato"/>
      </w:pPr>
      <w:r>
        <w:t>Il sistema di determinazione e calcolo della prestazione</w:t>
      </w:r>
      <w:r w:rsidRPr="00597546">
        <w:t xml:space="preserve"> </w:t>
      </w:r>
      <w:r>
        <w:t xml:space="preserve">si basa sui parametri adottati nell’ambito della Legge sull’armonizzazione e il coordinamento delle prestazioni sociali (LAPS), che i </w:t>
      </w:r>
      <w:r w:rsidRPr="00597546">
        <w:t xml:space="preserve">Comuni </w:t>
      </w:r>
      <w:r>
        <w:t xml:space="preserve">già </w:t>
      </w:r>
      <w:r w:rsidRPr="00597546">
        <w:t xml:space="preserve">conoscono </w:t>
      </w:r>
      <w:r>
        <w:t xml:space="preserve">nell’applicazione di questa normativa. </w:t>
      </w:r>
    </w:p>
    <w:p w:rsidR="00B22186" w:rsidRDefault="00B22186" w:rsidP="00B22186">
      <w:pPr>
        <w:pStyle w:val="StandardRisoluzionedelConsigliodiStato"/>
      </w:pPr>
    </w:p>
    <w:p w:rsidR="00B22186" w:rsidRDefault="00B22186" w:rsidP="00B22186">
      <w:pPr>
        <w:pStyle w:val="StandardRisoluzionedelConsigliodiStato"/>
      </w:pPr>
      <w:r>
        <w:t>Per evitare un eccessivo aggravio amministrativo e a</w:t>
      </w:r>
      <w:r w:rsidRPr="003B2D51">
        <w:t>gevolare l'evasione delle richieste nel minor tempo possibile</w:t>
      </w:r>
      <w:r>
        <w:t>, i servizi cantonali hanno fornito ai Comuni una serie di ausili per la calcolazione e l’erogazione della prestazione e stabilito un metodo di calcolo basato su una versione semplificata dei parametri LAPS.</w:t>
      </w:r>
    </w:p>
    <w:p w:rsidR="00B22186" w:rsidRDefault="00B22186" w:rsidP="00B22186">
      <w:pPr>
        <w:pStyle w:val="StandardRisoluzionedelConsigliodiStato"/>
      </w:pPr>
    </w:p>
    <w:p w:rsidR="00B22186" w:rsidRDefault="00B22186" w:rsidP="00B22186">
      <w:pPr>
        <w:pStyle w:val="StandardRisoluzionedelConsigliodiStato"/>
      </w:pPr>
      <w:r>
        <w:t xml:space="preserve">Durante il 2021, grazie all’attività di erogazione della prestazione ponte COVID, i Comuni hanno fornito </w:t>
      </w:r>
      <w:r w:rsidRPr="00D934BF">
        <w:t xml:space="preserve">consulenza individuale </w:t>
      </w:r>
      <w:r>
        <w:t>ad oltre 160 persone che si sono rivolte ai loro sportelli e, quando necessario, hanno indirizzato i richiedenti</w:t>
      </w:r>
      <w:r w:rsidRPr="00D934BF">
        <w:t xml:space="preserve"> verso altri servizi e/o prestazioni di supporto.</w:t>
      </w:r>
    </w:p>
    <w:p w:rsidR="00B22186" w:rsidRDefault="00B22186" w:rsidP="00B22186">
      <w:pPr>
        <w:pStyle w:val="StandardRisoluzionedelConsigliodiStato"/>
      </w:pPr>
    </w:p>
    <w:p w:rsidR="00B22186" w:rsidRDefault="00B22186" w:rsidP="00B22186">
      <w:pPr>
        <w:pStyle w:val="StandardRisoluzionedelConsigliodiStato"/>
      </w:pPr>
    </w:p>
    <w:p w:rsidR="00B22186" w:rsidRPr="00B22186" w:rsidRDefault="00B22186" w:rsidP="00B22186">
      <w:pPr>
        <w:pStyle w:val="Titolo1"/>
        <w:numPr>
          <w:ilvl w:val="0"/>
          <w:numId w:val="18"/>
        </w:numPr>
        <w:tabs>
          <w:tab w:val="left" w:pos="567"/>
        </w:tabs>
        <w:suppressAutoHyphens w:val="0"/>
        <w:spacing w:before="0"/>
        <w:ind w:left="567" w:hanging="567"/>
        <w:jc w:val="both"/>
        <w:rPr>
          <w:rFonts w:eastAsia="Calibri" w:cs="Times New Roman"/>
          <w:caps/>
          <w:sz w:val="24"/>
          <w:szCs w:val="24"/>
          <w:lang w:val="it-IT" w:eastAsia="it-IT"/>
        </w:rPr>
      </w:pPr>
      <w:r w:rsidRPr="00B22186">
        <w:rPr>
          <w:rFonts w:eastAsia="Calibri" w:cs="Times New Roman"/>
          <w:caps/>
          <w:sz w:val="24"/>
          <w:szCs w:val="24"/>
          <w:lang w:val="it-IT" w:eastAsia="it-IT"/>
        </w:rPr>
        <w:t>Bilancio 2021</w:t>
      </w:r>
    </w:p>
    <w:p w:rsidR="00B22186" w:rsidRDefault="00892BC7" w:rsidP="00B22186">
      <w:pPr>
        <w:pStyle w:val="StandardRisoluzionedelConsigliodiStato"/>
      </w:pPr>
      <w:r>
        <w:t>Nel periodo 1</w:t>
      </w:r>
      <w:r w:rsidR="00472FC9">
        <w:t>°</w:t>
      </w:r>
      <w:r>
        <w:t xml:space="preserve"> marzo-</w:t>
      </w:r>
      <w:r w:rsidR="00B22186">
        <w:t xml:space="preserve">31 dicembre 2021 i Comuni hanno trattato 2’221 domande delle quali 1’457 con esito positivo (66%). </w:t>
      </w:r>
    </w:p>
    <w:p w:rsidR="00B22186" w:rsidRDefault="00B22186" w:rsidP="00B22186">
      <w:pPr>
        <w:pStyle w:val="StandardRisoluzionedelConsigliodiStato"/>
      </w:pPr>
    </w:p>
    <w:p w:rsidR="00B22186" w:rsidRDefault="00B22186" w:rsidP="00B22186">
      <w:pPr>
        <w:pStyle w:val="StandardRisoluzionedelConsigliodiStato"/>
      </w:pPr>
      <w:r>
        <w:t>391 nuclei famigliari, composti perlopiù da persone singole (166) e da due persone (70) hanno beneficiato di un contributo totale di 2'274'461.95 franchi, equivalente ad un importo medio per prestazione erogata di 1'561.06 franchi.</w:t>
      </w:r>
    </w:p>
    <w:p w:rsidR="00B22186" w:rsidRDefault="00B22186" w:rsidP="00B22186">
      <w:pPr>
        <w:pStyle w:val="StandardRisoluzionedelConsigliodiStato"/>
      </w:pPr>
    </w:p>
    <w:p w:rsidR="00B22186" w:rsidRDefault="00B22186" w:rsidP="00B22186">
      <w:pPr>
        <w:pStyle w:val="StandardRisoluzionedelConsigliodiStato"/>
        <w:spacing w:after="120"/>
      </w:pPr>
      <w:r>
        <w:t>Il 28% dei beneficiari ha fatto appello alla prestazione ponte COVID</w:t>
      </w:r>
      <w:r w:rsidRPr="00EC6C4E">
        <w:t xml:space="preserve"> </w:t>
      </w:r>
      <w:r>
        <w:t>per un solo mese, il 20% per due mesi mentre il restante 52% ha ricevuto una prestazione per 3 o più mesi.</w:t>
      </w:r>
    </w:p>
    <w:p w:rsidR="00B22186" w:rsidRDefault="00B22186" w:rsidP="00B22186">
      <w:pPr>
        <w:pStyle w:val="StandardRisoluzionedelConsigliodiStato"/>
      </w:pPr>
      <w:r>
        <w:lastRenderedPageBreak/>
        <w:t>Il 43% delle 764 domande respinte è dovuto al mancato rispetto delle condizioni materiali per avere diritto alla prestazione, segnatamente nel caso di raggiungimento dell’età pensionabile e</w:t>
      </w:r>
      <w:r w:rsidRPr="00EC6C4E">
        <w:t xml:space="preserve"> </w:t>
      </w:r>
      <w:r>
        <w:t>nel caso in cui i membri dell’unità di riferimento</w:t>
      </w:r>
      <w:r w:rsidRPr="00EC6C4E">
        <w:t xml:space="preserve"> del richiedente </w:t>
      </w:r>
      <w:r>
        <w:t>sono risultati</w:t>
      </w:r>
      <w:r w:rsidRPr="00EC6C4E">
        <w:t xml:space="preserve"> a beneficio di altre prestazioni sociali</w:t>
      </w:r>
      <w:r>
        <w:t xml:space="preserve"> (i</w:t>
      </w:r>
      <w:r w:rsidRPr="00EC6C4E">
        <w:t>ndennità straordinarie di disoccu</w:t>
      </w:r>
      <w:r>
        <w:t xml:space="preserve">pazione per gli ex indipendenti, assegni di prima infanzia, </w:t>
      </w:r>
      <w:r w:rsidRPr="00EC6C4E">
        <w:t xml:space="preserve">prestazioni assistenziali, prestazione complementare all’AVS o </w:t>
      </w:r>
      <w:r>
        <w:t>all’AI</w:t>
      </w:r>
      <w:r w:rsidRPr="00EC6C4E">
        <w:t>, altre indennità ai sensi della LADI</w:t>
      </w:r>
      <w:r>
        <w:t>)</w:t>
      </w:r>
      <w:r w:rsidRPr="00EC6C4E">
        <w:t>.</w:t>
      </w:r>
      <w:r>
        <w:t xml:space="preserve"> </w:t>
      </w:r>
      <w:r w:rsidRPr="00EC4C11">
        <w:t xml:space="preserve">Il 57% </w:t>
      </w:r>
      <w:r>
        <w:t xml:space="preserve">delle </w:t>
      </w:r>
      <w:r w:rsidRPr="00EC4C11">
        <w:t>richieste respinte è invece stato rifiutato a causa del mancato raggiungimento dei limiti di calcolo previsti all’art. 4 del decreto legislativo.</w:t>
      </w:r>
    </w:p>
    <w:p w:rsidR="00B22186" w:rsidRDefault="00B22186" w:rsidP="00B22186">
      <w:pPr>
        <w:pStyle w:val="StandardRisoluzionedelConsigliodiStato"/>
      </w:pPr>
    </w:p>
    <w:p w:rsidR="00B22186" w:rsidRDefault="00B22186" w:rsidP="00B22186">
      <w:pPr>
        <w:pStyle w:val="StandardRisoluzionedelConsigliodiStato"/>
      </w:pPr>
      <w:r>
        <w:t>Contemporaneamente</w:t>
      </w:r>
      <w:r w:rsidRPr="00997D78">
        <w:t xml:space="preserve"> alla prestazione ponte COVID il Consiglio di Stato ha </w:t>
      </w:r>
      <w:r>
        <w:t>finanziato la “Misura speciale COVID”, destinata a</w:t>
      </w:r>
      <w:r w:rsidRPr="00997D78">
        <w:t xml:space="preserve"> persone e famiglie </w:t>
      </w:r>
      <w:r>
        <w:t>che vengono escluse dalla</w:t>
      </w:r>
      <w:r w:rsidRPr="00997D78">
        <w:t xml:space="preserve"> prestazione ponte COVID</w:t>
      </w:r>
      <w:r>
        <w:t xml:space="preserve"> e che sono chiamate a far fronte al</w:t>
      </w:r>
      <w:r w:rsidRPr="00997D78">
        <w:t xml:space="preserve"> pagamento di piccole spese </w:t>
      </w:r>
      <w:r>
        <w:t>impreviste</w:t>
      </w:r>
      <w:r w:rsidRPr="00997D78">
        <w:t xml:space="preserve">. </w:t>
      </w:r>
      <w:r>
        <w:t xml:space="preserve">Il credito straordinario, a carico del fondo </w:t>
      </w:r>
      <w:proofErr w:type="spellStart"/>
      <w:r>
        <w:t>Swisslos</w:t>
      </w:r>
      <w:proofErr w:type="spellEnd"/>
      <w:r>
        <w:t>,</w:t>
      </w:r>
      <w:r w:rsidRPr="00997D78">
        <w:t xml:space="preserve"> </w:t>
      </w:r>
      <w:r>
        <w:t xml:space="preserve">è stato attribuito a </w:t>
      </w:r>
      <w:r w:rsidRPr="00997D78">
        <w:t xml:space="preserve">13 enti </w:t>
      </w:r>
      <w:r>
        <w:t xml:space="preserve">no-profit </w:t>
      </w:r>
      <w:r w:rsidRPr="00997D78">
        <w:t>attivi sul territorio</w:t>
      </w:r>
      <w:r>
        <w:t xml:space="preserve"> e che nel 2021 hanno evaso positivamente </w:t>
      </w:r>
      <w:r w:rsidRPr="0059147F">
        <w:t xml:space="preserve">977 richieste (1'821 persone presenti nei rispettivi nuclei familiari) per un totale di circa 360'000 franchi. </w:t>
      </w:r>
    </w:p>
    <w:p w:rsidR="00B22186" w:rsidRDefault="00B22186" w:rsidP="00B22186">
      <w:pPr>
        <w:pStyle w:val="StandardRisoluzionedelConsigliodiStato"/>
      </w:pPr>
    </w:p>
    <w:p w:rsidR="00B22186" w:rsidRDefault="00B22186" w:rsidP="00B22186">
      <w:pPr>
        <w:pStyle w:val="StandardRisoluzionedelConsigliodiStato"/>
      </w:pPr>
    </w:p>
    <w:p w:rsidR="00B22186" w:rsidRPr="00B22186" w:rsidRDefault="00B22186" w:rsidP="00B22186">
      <w:pPr>
        <w:pStyle w:val="Titolo1"/>
        <w:numPr>
          <w:ilvl w:val="0"/>
          <w:numId w:val="18"/>
        </w:numPr>
        <w:tabs>
          <w:tab w:val="left" w:pos="567"/>
        </w:tabs>
        <w:suppressAutoHyphens w:val="0"/>
        <w:spacing w:before="0"/>
        <w:ind w:left="567" w:hanging="567"/>
        <w:jc w:val="both"/>
        <w:rPr>
          <w:rFonts w:eastAsia="Calibri" w:cs="Times New Roman"/>
          <w:caps/>
          <w:sz w:val="24"/>
          <w:szCs w:val="24"/>
          <w:lang w:val="it-IT" w:eastAsia="it-IT"/>
        </w:rPr>
      </w:pPr>
      <w:r w:rsidRPr="00B22186">
        <w:rPr>
          <w:rFonts w:eastAsia="Calibri" w:cs="Times New Roman"/>
          <w:caps/>
          <w:sz w:val="24"/>
          <w:szCs w:val="24"/>
          <w:lang w:val="it-IT" w:eastAsia="it-IT"/>
        </w:rPr>
        <w:t>Impatto finanziario</w:t>
      </w:r>
    </w:p>
    <w:p w:rsidR="00B22186" w:rsidRDefault="00B22186" w:rsidP="00B22186">
      <w:pPr>
        <w:pStyle w:val="StandardRisoluzionedelConsigliodiStato"/>
      </w:pPr>
      <w:r w:rsidRPr="00EC4C11">
        <w:t xml:space="preserve">Il </w:t>
      </w:r>
      <w:r>
        <w:t xml:space="preserve">primo messaggio </w:t>
      </w:r>
      <w:r w:rsidRPr="00EC4C11">
        <w:t>n. 7906 del 7 ottobre 2020</w:t>
      </w:r>
      <w:r>
        <w:t xml:space="preserve">, </w:t>
      </w:r>
      <w:r w:rsidRPr="00EC4C11">
        <w:t xml:space="preserve">stimava un impatto finanziario </w:t>
      </w:r>
      <w:r>
        <w:t xml:space="preserve">lordo </w:t>
      </w:r>
      <w:r w:rsidRPr="00EC4C11">
        <w:t>di circa 7.9 milioni di franchi, ripartito nella misura del 75% e 25% tra Cantone e Comuni.</w:t>
      </w:r>
      <w:r>
        <w:t xml:space="preserve"> La sussidiarietà della prestazione per rapporto ad altre misure di aiuto, in particolare quelle federali, ha permesso di contenerne l’esborso a 2.3 mio di franchi.</w:t>
      </w:r>
    </w:p>
    <w:p w:rsidR="00B22186" w:rsidRDefault="00B22186" w:rsidP="00B22186">
      <w:pPr>
        <w:pStyle w:val="StandardRisoluzionedelConsigliodiStato"/>
      </w:pPr>
    </w:p>
    <w:p w:rsidR="00B22186" w:rsidRDefault="00B22186" w:rsidP="00B22186">
      <w:pPr>
        <w:pStyle w:val="StandardRisoluzionedelConsigliodiStato"/>
      </w:pPr>
      <w:r>
        <w:t>Il</w:t>
      </w:r>
      <w:r w:rsidRPr="000A36B8">
        <w:t xml:space="preserve"> contributo </w:t>
      </w:r>
      <w:r>
        <w:t xml:space="preserve">lordo per il </w:t>
      </w:r>
      <w:r w:rsidRPr="000A36B8">
        <w:t xml:space="preserve">prolungo della prestazione ponte COVID </w:t>
      </w:r>
      <w:r>
        <w:t>di</w:t>
      </w:r>
      <w:r w:rsidRPr="000A36B8">
        <w:t xml:space="preserve"> ulteriori sei mesi </w:t>
      </w:r>
      <w:r w:rsidR="000303A2">
        <w:t>(gennaio -</w:t>
      </w:r>
      <w:r>
        <w:t xml:space="preserve"> giugno 2022) </w:t>
      </w:r>
      <w:r w:rsidRPr="000A36B8">
        <w:t>è stimato in 1'350'0004 franchi (75% Cantone e 25% Comuni)</w:t>
      </w:r>
      <w:r>
        <w:t xml:space="preserve">, mentre quello mensile, nel caso di ulteriori prolunghi </w:t>
      </w:r>
      <w:r w:rsidRPr="000A36B8">
        <w:t>ritenuti necessari a contrastare le conseguenze economiche che la pandemia</w:t>
      </w:r>
      <w:r>
        <w:t xml:space="preserve"> prima di fine 2023,</w:t>
      </w:r>
      <w:r w:rsidRPr="000A36B8">
        <w:t xml:space="preserve"> </w:t>
      </w:r>
      <w:r>
        <w:t>è stimato in franchi 230'000.</w:t>
      </w:r>
    </w:p>
    <w:p w:rsidR="00B22186" w:rsidRPr="000A36B8" w:rsidRDefault="00B22186" w:rsidP="00B22186">
      <w:pPr>
        <w:pStyle w:val="StandardRisoluzionedelConsigliodiStato"/>
      </w:pPr>
    </w:p>
    <w:p w:rsidR="00B22186" w:rsidRDefault="00B22186" w:rsidP="00B22186">
      <w:pPr>
        <w:pStyle w:val="StandardRisoluzionedelConsigliodiStato"/>
      </w:pPr>
      <w:r w:rsidRPr="006B4AD4">
        <w:t xml:space="preserve">L’importo non rientra nel preventivo votato dal </w:t>
      </w:r>
      <w:r>
        <w:t>Gran Consiglio</w:t>
      </w:r>
      <w:r w:rsidRPr="006B4AD4">
        <w:t xml:space="preserve"> duran</w:t>
      </w:r>
      <w:r>
        <w:t>te la prima sessione del</w:t>
      </w:r>
      <w:r w:rsidRPr="006B4AD4">
        <w:t xml:space="preserve"> 2022 e pertanto </w:t>
      </w:r>
      <w:r>
        <w:t xml:space="preserve">comporterà un </w:t>
      </w:r>
      <w:r w:rsidRPr="006B4AD4">
        <w:t>adeguamento dello stesso.</w:t>
      </w:r>
    </w:p>
    <w:p w:rsidR="00B22186" w:rsidRDefault="00B22186" w:rsidP="00B22186">
      <w:pPr>
        <w:pStyle w:val="StandardRisoluzionedelConsigliodiStato"/>
      </w:pPr>
    </w:p>
    <w:p w:rsidR="00B22186" w:rsidRDefault="00B22186" w:rsidP="00B22186">
      <w:pPr>
        <w:pStyle w:val="StandardRisoluzionedelConsigliodiStato"/>
      </w:pPr>
    </w:p>
    <w:p w:rsidR="00B22186" w:rsidRPr="00B22186" w:rsidRDefault="00B22186" w:rsidP="00B22186">
      <w:pPr>
        <w:pStyle w:val="Titolo1"/>
        <w:numPr>
          <w:ilvl w:val="0"/>
          <w:numId w:val="18"/>
        </w:numPr>
        <w:tabs>
          <w:tab w:val="left" w:pos="567"/>
        </w:tabs>
        <w:suppressAutoHyphens w:val="0"/>
        <w:spacing w:before="0"/>
        <w:ind w:left="567" w:hanging="567"/>
        <w:jc w:val="both"/>
        <w:rPr>
          <w:rFonts w:eastAsia="Calibri" w:cs="Times New Roman"/>
          <w:caps/>
          <w:sz w:val="24"/>
          <w:szCs w:val="24"/>
          <w:lang w:val="it-IT" w:eastAsia="it-IT"/>
        </w:rPr>
      </w:pPr>
      <w:r w:rsidRPr="00B22186">
        <w:rPr>
          <w:rFonts w:eastAsia="Calibri" w:cs="Times New Roman"/>
          <w:caps/>
          <w:sz w:val="24"/>
          <w:szCs w:val="24"/>
          <w:lang w:val="it-IT" w:eastAsia="it-IT"/>
        </w:rPr>
        <w:t>Conclusioni</w:t>
      </w:r>
    </w:p>
    <w:p w:rsidR="00B22186" w:rsidRDefault="00B22186" w:rsidP="00B22186">
      <w:pPr>
        <w:pStyle w:val="StandardRisoluzionedelConsigliodiStato"/>
      </w:pPr>
      <w:r w:rsidRPr="00090C9C">
        <w:t>L’esperienza maturata nel periodo marzo</w:t>
      </w:r>
      <w:r w:rsidR="00862B59">
        <w:t>-</w:t>
      </w:r>
      <w:r w:rsidRPr="00090C9C">
        <w:t xml:space="preserve">dicembre 2021 e regolarmente monitorata grazie al coinvolgimento dei Comuni, permette di </w:t>
      </w:r>
      <w:r>
        <w:t>constatare</w:t>
      </w:r>
      <w:r w:rsidRPr="00090C9C">
        <w:t xml:space="preserve"> come la prestazione ponte COVID abbia permesso di sostenere un numero non indifferente di persone escluse da altre prestazioni di aiuto ordinarie e straordinarie</w:t>
      </w:r>
      <w:r>
        <w:t>, nel rispetto del principio di complementarietà e sussidiarietà voluto dal Parlamento.</w:t>
      </w:r>
    </w:p>
    <w:p w:rsidR="00B22186" w:rsidRPr="00090C9C" w:rsidRDefault="00B22186" w:rsidP="00B22186">
      <w:pPr>
        <w:pStyle w:val="StandardRisoluzionedelConsigliodiStato"/>
      </w:pPr>
    </w:p>
    <w:p w:rsidR="00B22186" w:rsidRDefault="00B22186" w:rsidP="00B22186">
      <w:pPr>
        <w:pStyle w:val="StandardRisoluzionedelConsigliodiStato"/>
      </w:pPr>
      <w:r>
        <w:t>Le differenti forme di aiuto messe in campo</w:t>
      </w:r>
      <w:r w:rsidRPr="00ED27CB">
        <w:t xml:space="preserve"> </w:t>
      </w:r>
      <w:r>
        <w:t>da organi istituzionali e privati, insieme alla prestazione ponte COVID, hanno contribuito a stabilizzare il numero di beneficiari delle prestazioni di aiuto sociale (assistenza), che</w:t>
      </w:r>
      <w:r w:rsidRPr="00ED27CB">
        <w:t xml:space="preserve"> </w:t>
      </w:r>
      <w:r>
        <w:t>contrariamente a quanto osservato negli ultimi anni, ha registrato</w:t>
      </w:r>
      <w:r w:rsidRPr="00ED27CB">
        <w:t xml:space="preserve"> una leggera riduzione</w:t>
      </w:r>
      <w:r>
        <w:t xml:space="preserve"> quantitativa.</w:t>
      </w:r>
    </w:p>
    <w:p w:rsidR="00B22186" w:rsidRDefault="00B22186" w:rsidP="00B22186">
      <w:pPr>
        <w:pStyle w:val="StandardRisoluzionedelConsigliodiStato"/>
      </w:pPr>
    </w:p>
    <w:p w:rsidR="00B22186" w:rsidRDefault="00B22186" w:rsidP="00B22186">
      <w:pPr>
        <w:pStyle w:val="StandardRisoluzionedelConsigliodiStato"/>
      </w:pPr>
      <w:r w:rsidRPr="00B22186">
        <w:t xml:space="preserve">Il prolungo di questa prestazione, per un periodo di sei mesi è dunque da valutare positivamente. Per quanto attiene la proroga di questa misura oltre i sei mesi nel caso di ulteriori imprevisti aggravamenti degli effetti economici causati dalla pandemia, la </w:t>
      </w:r>
      <w:r w:rsidR="00DE3BEF">
        <w:lastRenderedPageBreak/>
        <w:t>maggioranza della Commissione g</w:t>
      </w:r>
      <w:r w:rsidRPr="00B22186">
        <w:t>estione e finanze ritiene eccessiva la proposta del messaggio di portarla a fine 2023 e propone di limitarla al 31.12.2022. In tali circostanze, s’invita comunque il Governo ad aggiornare la Commissione</w:t>
      </w:r>
      <w:r w:rsidR="00472FC9">
        <w:t xml:space="preserve"> g</w:t>
      </w:r>
      <w:r w:rsidRPr="00B22186">
        <w:t>estione e finanze.</w:t>
      </w:r>
    </w:p>
    <w:p w:rsidR="00B22186" w:rsidRDefault="00B22186" w:rsidP="00B22186">
      <w:pPr>
        <w:pStyle w:val="StandardRisoluzionedelConsigliodiStato"/>
      </w:pPr>
    </w:p>
    <w:p w:rsidR="00B22186" w:rsidRPr="00D649A8" w:rsidRDefault="00B22186" w:rsidP="00472FC9">
      <w:pPr>
        <w:pStyle w:val="StandardRisoluzionedelConsigliodiStato"/>
      </w:pPr>
      <w:r w:rsidRPr="00E04B5E">
        <w:t xml:space="preserve">Per tutti questi motivi, </w:t>
      </w:r>
      <w:r w:rsidR="00DE3BEF" w:rsidRPr="00E04B5E">
        <w:t>la Commissione g</w:t>
      </w:r>
      <w:r w:rsidRPr="00E04B5E">
        <w:t>estione e finanze invita il Parlamento a voler accogliere la proposta presentata del Consiglio di Stato con il messaggio n. 8103 e a</w:t>
      </w:r>
      <w:r w:rsidR="00E04B5E" w:rsidRPr="00E04B5E">
        <w:t>d aderire al decreto legislativo annesso al rapporto commissionale.</w:t>
      </w:r>
    </w:p>
    <w:p w:rsidR="00B22186" w:rsidRPr="00B22186" w:rsidRDefault="00B22186" w:rsidP="00B22186"/>
    <w:p w:rsidR="00B22186" w:rsidRDefault="00B22186" w:rsidP="00B22186"/>
    <w:p w:rsidR="00506428" w:rsidRPr="00076E70" w:rsidRDefault="00506428" w:rsidP="00506428">
      <w:pPr>
        <w:spacing w:after="120"/>
      </w:pPr>
      <w:r w:rsidRPr="00076E70">
        <w:t xml:space="preserve">Per la </w:t>
      </w:r>
      <w:r w:rsidRPr="00506428">
        <w:t>Commissione gestione e finanze:</w:t>
      </w:r>
    </w:p>
    <w:p w:rsidR="00506428" w:rsidRPr="00076E70" w:rsidRDefault="00506428" w:rsidP="00506428">
      <w:r>
        <w:t>Lorenzo Jelmini</w:t>
      </w:r>
      <w:r w:rsidRPr="00076E70">
        <w:t>, relatore</w:t>
      </w:r>
    </w:p>
    <w:p w:rsidR="000303A2" w:rsidRDefault="000303A2" w:rsidP="000303A2">
      <w:bookmarkStart w:id="0" w:name="OLE_LINK1"/>
      <w:bookmarkStart w:id="1" w:name="OLE_LINK2"/>
      <w:r>
        <w:t xml:space="preserve">Agustoni - Balli (con riserva) - Bignasca (con riserva) - Biscossa - </w:t>
      </w:r>
    </w:p>
    <w:p w:rsidR="001C79FF" w:rsidRDefault="000303A2" w:rsidP="000303A2">
      <w:r>
        <w:t xml:space="preserve">Bourgoin - Caprara - </w:t>
      </w:r>
      <w:r w:rsidRPr="002A72FD">
        <w:t>Caverzasio</w:t>
      </w:r>
      <w:r>
        <w:t xml:space="preserve"> (con riserva) - Dadò </w:t>
      </w:r>
      <w:r w:rsidR="001C79FF">
        <w:t>-</w:t>
      </w:r>
    </w:p>
    <w:p w:rsidR="001C79FF" w:rsidRDefault="000303A2" w:rsidP="000303A2">
      <w:r>
        <w:t xml:space="preserve">Durisch - Ferrara </w:t>
      </w:r>
      <w:r w:rsidR="001C79FF">
        <w:t xml:space="preserve">- Gianella Alessandra </w:t>
      </w:r>
      <w:r>
        <w:t xml:space="preserve">- Guerra (con riserva) </w:t>
      </w:r>
      <w:r w:rsidR="001C79FF">
        <w:t>-</w:t>
      </w:r>
      <w:r>
        <w:t xml:space="preserve"> </w:t>
      </w:r>
    </w:p>
    <w:p w:rsidR="000303A2" w:rsidRDefault="000303A2" w:rsidP="000303A2">
      <w:r>
        <w:t xml:space="preserve">Pamini (con riserva) - Quadranti </w:t>
      </w:r>
      <w:bookmarkStart w:id="2" w:name="_GoBack"/>
      <w:bookmarkEnd w:id="0"/>
      <w:bookmarkEnd w:id="1"/>
      <w:bookmarkEnd w:id="2"/>
      <w:r w:rsidR="00B71724" w:rsidRPr="00E04B5E">
        <w:t>- Sirica</w:t>
      </w:r>
    </w:p>
    <w:p w:rsidR="000303A2" w:rsidRDefault="000303A2" w:rsidP="000303A2"/>
    <w:p w:rsidR="000303A2" w:rsidRDefault="000303A2" w:rsidP="000303A2"/>
    <w:p w:rsidR="000303A2" w:rsidRDefault="000303A2">
      <w:pPr>
        <w:spacing w:after="240"/>
        <w:jc w:val="left"/>
      </w:pPr>
      <w:r>
        <w:br w:type="page"/>
      </w:r>
    </w:p>
    <w:p w:rsidR="00B22186" w:rsidRPr="00EC1882" w:rsidRDefault="00B22186" w:rsidP="00472FC9">
      <w:r w:rsidRPr="00EC1882">
        <w:lastRenderedPageBreak/>
        <w:t>Disegno di</w:t>
      </w:r>
    </w:p>
    <w:p w:rsidR="00B22186" w:rsidRPr="00EC1882" w:rsidRDefault="00B22186" w:rsidP="00472FC9"/>
    <w:p w:rsidR="00B22186" w:rsidRPr="00EC1882" w:rsidRDefault="00B22186" w:rsidP="00B22186">
      <w:pPr>
        <w:rPr>
          <w:b/>
        </w:rPr>
      </w:pPr>
      <w:r w:rsidRPr="00EC1882">
        <w:rPr>
          <w:b/>
        </w:rPr>
        <w:t>Decreto legislativo</w:t>
      </w:r>
    </w:p>
    <w:p w:rsidR="00B22186" w:rsidRPr="00EC1882" w:rsidRDefault="00B22186" w:rsidP="00B22186">
      <w:pPr>
        <w:rPr>
          <w:b/>
        </w:rPr>
      </w:pPr>
      <w:r w:rsidRPr="00EC1882">
        <w:rPr>
          <w:b/>
        </w:rPr>
        <w:t>concernente il rinnovo della prestazione ponte COVID</w:t>
      </w:r>
    </w:p>
    <w:p w:rsidR="00B22186" w:rsidRPr="00EC1882" w:rsidRDefault="00B22186" w:rsidP="00B22186">
      <w:r w:rsidRPr="00EC1882">
        <w:t>del …</w:t>
      </w:r>
    </w:p>
    <w:p w:rsidR="00B22186" w:rsidRPr="00EC1882" w:rsidRDefault="00B22186" w:rsidP="00B22186"/>
    <w:p w:rsidR="00B22186" w:rsidRPr="00EC1882" w:rsidRDefault="00B22186" w:rsidP="00B22186">
      <w:r w:rsidRPr="00EC1882">
        <w:t>IL GRAN CONSIGLIO</w:t>
      </w:r>
    </w:p>
    <w:p w:rsidR="00B22186" w:rsidRPr="00EC1882" w:rsidRDefault="00B22186" w:rsidP="00B22186">
      <w:r w:rsidRPr="00EC1882">
        <w:t>DELLA REPUBBLICA E CANTONE TICINO</w:t>
      </w:r>
    </w:p>
    <w:p w:rsidR="00B22186" w:rsidRDefault="00B22186" w:rsidP="00B22186"/>
    <w:p w:rsidR="00B22186" w:rsidRPr="00EC1882" w:rsidRDefault="00472FC9" w:rsidP="00B22186">
      <w:r>
        <w:t xml:space="preserve">- </w:t>
      </w:r>
      <w:r w:rsidR="00B22186" w:rsidRPr="00EC1882">
        <w:t>visto il messaggio del Consiglio di St</w:t>
      </w:r>
      <w:r w:rsidR="001B7E2F">
        <w:t>ato n. 8103 del 27 gennaio 2022;</w:t>
      </w:r>
    </w:p>
    <w:p w:rsidR="00506428" w:rsidRDefault="00472FC9" w:rsidP="00B22186">
      <w:r>
        <w:t xml:space="preserve">- </w:t>
      </w:r>
      <w:r w:rsidR="00506428" w:rsidRPr="00472FC9">
        <w:t>visto il rapporto</w:t>
      </w:r>
      <w:r w:rsidR="00F81845" w:rsidRPr="00472FC9">
        <w:t xml:space="preserve"> </w:t>
      </w:r>
      <w:r w:rsidR="001B7E2F" w:rsidRPr="00472FC9">
        <w:t xml:space="preserve">8 febbraio 2022 </w:t>
      </w:r>
      <w:r w:rsidR="00F81845" w:rsidRPr="00472FC9">
        <w:t>n. 8103 R</w:t>
      </w:r>
      <w:r w:rsidR="001B7E2F" w:rsidRPr="00472FC9">
        <w:t xml:space="preserve"> della Commissione gestione e finanze</w:t>
      </w:r>
      <w:r w:rsidR="00F81845" w:rsidRPr="00472FC9">
        <w:t>,</w:t>
      </w:r>
    </w:p>
    <w:p w:rsidR="00506428" w:rsidRPr="001B7E2F" w:rsidRDefault="00506428" w:rsidP="00B22186">
      <w:pPr>
        <w:rPr>
          <w:lang w:val="it-IT"/>
        </w:rPr>
      </w:pPr>
    </w:p>
    <w:p w:rsidR="00B22186" w:rsidRDefault="00B22186" w:rsidP="00B22186">
      <w:r w:rsidRPr="00EC1882">
        <w:t>decreta:</w:t>
      </w:r>
    </w:p>
    <w:p w:rsidR="00506428" w:rsidRPr="00EC1882" w:rsidRDefault="00506428" w:rsidP="00B22186"/>
    <w:p w:rsidR="00B22186" w:rsidRPr="00506428" w:rsidRDefault="00B22186" w:rsidP="00B22186">
      <w:pPr>
        <w:rPr>
          <w:rFonts w:asciiTheme="minorHAnsi" w:hAnsiTheme="minorHAnsi" w:cstheme="minorHAnsi"/>
          <w:b/>
          <w:bCs/>
        </w:rPr>
      </w:pPr>
      <w:r w:rsidRPr="00506428">
        <w:rPr>
          <w:rFonts w:asciiTheme="minorHAnsi" w:hAnsiTheme="minorHAnsi" w:cstheme="minorHAnsi"/>
          <w:b/>
          <w:bCs/>
        </w:rPr>
        <w:t>Scopo e natura della prestazione</w:t>
      </w:r>
    </w:p>
    <w:p w:rsidR="00472FC9" w:rsidRDefault="00B22186" w:rsidP="00B22186">
      <w:pPr>
        <w:tabs>
          <w:tab w:val="left" w:pos="851"/>
        </w:tabs>
        <w:rPr>
          <w:rFonts w:asciiTheme="minorHAnsi" w:hAnsiTheme="minorHAnsi" w:cstheme="minorHAnsi"/>
          <w:vertAlign w:val="superscript"/>
        </w:rPr>
      </w:pPr>
      <w:r w:rsidRPr="00506428">
        <w:rPr>
          <w:rFonts w:asciiTheme="minorHAnsi" w:hAnsiTheme="minorHAnsi" w:cstheme="minorHAnsi"/>
          <w:b/>
          <w:bCs/>
        </w:rPr>
        <w:t>Art. 1</w:t>
      </w:r>
    </w:p>
    <w:p w:rsidR="00B22186" w:rsidRPr="00506428" w:rsidRDefault="00B22186" w:rsidP="00B22186">
      <w:pPr>
        <w:tabs>
          <w:tab w:val="left" w:pos="851"/>
        </w:tabs>
        <w:rPr>
          <w:rFonts w:asciiTheme="minorHAnsi" w:hAnsiTheme="minorHAnsi" w:cstheme="minorHAnsi"/>
        </w:rPr>
      </w:pPr>
      <w:r w:rsidRPr="00506428">
        <w:rPr>
          <w:rFonts w:asciiTheme="minorHAnsi" w:hAnsiTheme="minorHAnsi" w:cstheme="minorHAnsi"/>
          <w:vertAlign w:val="superscript"/>
        </w:rPr>
        <w:t>1</w:t>
      </w:r>
      <w:r w:rsidRPr="00506428">
        <w:rPr>
          <w:rFonts w:asciiTheme="minorHAnsi" w:hAnsiTheme="minorHAnsi" w:cstheme="minorHAnsi"/>
        </w:rPr>
        <w:t>Il presente decreto legislativo disciplina il diritto alla prestazione ponte COVID.</w:t>
      </w:r>
    </w:p>
    <w:p w:rsidR="00B22186" w:rsidRPr="00506428" w:rsidRDefault="00B22186" w:rsidP="00B22186">
      <w:pPr>
        <w:rPr>
          <w:rFonts w:asciiTheme="minorHAnsi" w:hAnsiTheme="minorHAnsi" w:cstheme="minorHAnsi"/>
        </w:rPr>
      </w:pPr>
      <w:r w:rsidRPr="00506428">
        <w:rPr>
          <w:rFonts w:asciiTheme="minorHAnsi" w:hAnsiTheme="minorHAnsi" w:cstheme="minorHAnsi"/>
          <w:vertAlign w:val="superscript"/>
        </w:rPr>
        <w:t>2</w:t>
      </w:r>
      <w:r w:rsidRPr="00506428">
        <w:rPr>
          <w:rFonts w:asciiTheme="minorHAnsi" w:hAnsiTheme="minorHAnsi" w:cstheme="minorHAnsi"/>
        </w:rPr>
        <w:t>La prestazione intende sostenere i lavoratori dipendenti e indipendenti che a seguito delle conseguenze della pandemia di COVID-19 si trovano in difficoltà finanziaria ed evitare il ricorso alle prestazioni assistenziali.</w:t>
      </w:r>
    </w:p>
    <w:p w:rsidR="00B22186" w:rsidRPr="00506428" w:rsidRDefault="00B22186" w:rsidP="00B22186">
      <w:pPr>
        <w:rPr>
          <w:rFonts w:asciiTheme="minorHAnsi" w:hAnsiTheme="minorHAnsi" w:cstheme="minorHAnsi"/>
        </w:rPr>
      </w:pPr>
      <w:r w:rsidRPr="00F81845">
        <w:rPr>
          <w:vertAlign w:val="superscript"/>
        </w:rPr>
        <w:t>3</w:t>
      </w:r>
      <w:r w:rsidRPr="00506428">
        <w:rPr>
          <w:rFonts w:asciiTheme="minorHAnsi" w:hAnsiTheme="minorHAnsi" w:cstheme="minorHAnsi"/>
        </w:rPr>
        <w:t>La prestazione ha carattere straordinario e temporaneo.</w:t>
      </w:r>
    </w:p>
    <w:p w:rsidR="00B22186" w:rsidRPr="00506428" w:rsidRDefault="00B22186" w:rsidP="00B22186">
      <w:pPr>
        <w:rPr>
          <w:rFonts w:asciiTheme="minorHAnsi" w:hAnsiTheme="minorHAnsi" w:cstheme="minorHAnsi"/>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Unità di riferimento</w:t>
      </w:r>
    </w:p>
    <w:p w:rsidR="00472FC9" w:rsidRDefault="00B22186" w:rsidP="00B22186">
      <w:pPr>
        <w:tabs>
          <w:tab w:val="left" w:pos="851"/>
        </w:tabs>
        <w:rPr>
          <w:rFonts w:asciiTheme="minorHAnsi" w:hAnsiTheme="minorHAnsi" w:cstheme="minorHAnsi"/>
          <w:b/>
          <w:bCs/>
        </w:rPr>
      </w:pPr>
      <w:r w:rsidRPr="00506428">
        <w:rPr>
          <w:rFonts w:asciiTheme="minorHAnsi" w:hAnsiTheme="minorHAnsi" w:cstheme="minorHAnsi"/>
          <w:b/>
          <w:bCs/>
        </w:rPr>
        <w:t>Art. 2</w:t>
      </w:r>
    </w:p>
    <w:p w:rsidR="00B22186" w:rsidRPr="00506428" w:rsidRDefault="00B22186" w:rsidP="00B22186">
      <w:pPr>
        <w:tabs>
          <w:tab w:val="left" w:pos="851"/>
        </w:tabs>
        <w:rPr>
          <w:rFonts w:asciiTheme="minorHAnsi" w:hAnsiTheme="minorHAnsi" w:cstheme="minorHAnsi"/>
        </w:rPr>
      </w:pPr>
      <w:r w:rsidRPr="00506428">
        <w:rPr>
          <w:rFonts w:asciiTheme="minorHAnsi" w:hAnsiTheme="minorHAnsi" w:cstheme="minorHAnsi"/>
          <w:vertAlign w:val="superscript"/>
        </w:rPr>
        <w:t>1</w:t>
      </w:r>
      <w:r w:rsidRPr="00506428">
        <w:rPr>
          <w:rFonts w:asciiTheme="minorHAnsi" w:hAnsiTheme="minorHAnsi" w:cstheme="minorHAnsi"/>
        </w:rPr>
        <w:t>L’unità di riferimento è costituita da tutte le persone che compongono l’economia domestica.</w:t>
      </w:r>
    </w:p>
    <w:p w:rsidR="00B22186" w:rsidRPr="00506428" w:rsidRDefault="00B22186" w:rsidP="00B22186">
      <w:pPr>
        <w:rPr>
          <w:rFonts w:asciiTheme="minorHAnsi" w:hAnsiTheme="minorHAnsi" w:cstheme="minorHAnsi"/>
        </w:rPr>
      </w:pPr>
      <w:r w:rsidRPr="00506428">
        <w:rPr>
          <w:rFonts w:asciiTheme="minorHAnsi" w:hAnsiTheme="minorHAnsi" w:cstheme="minorHAnsi"/>
          <w:vertAlign w:val="superscript"/>
        </w:rPr>
        <w:t>2</w:t>
      </w:r>
      <w:r w:rsidRPr="00506428">
        <w:rPr>
          <w:rFonts w:asciiTheme="minorHAnsi" w:eastAsia="Calibri" w:hAnsiTheme="minorHAnsi" w:cstheme="minorHAnsi"/>
          <w:lang w:eastAsia="it-CH"/>
        </w:rPr>
        <w:t xml:space="preserve">Dall’unità di </w:t>
      </w:r>
      <w:r w:rsidRPr="00506428">
        <w:rPr>
          <w:rFonts w:asciiTheme="minorHAnsi" w:hAnsiTheme="minorHAnsi" w:cstheme="minorHAnsi"/>
        </w:rPr>
        <w:t>riferimento</w:t>
      </w:r>
      <w:r w:rsidRPr="00506428">
        <w:rPr>
          <w:rFonts w:asciiTheme="minorHAnsi" w:eastAsia="Calibri" w:hAnsiTheme="minorHAnsi" w:cstheme="minorHAnsi"/>
          <w:lang w:eastAsia="it-CH"/>
        </w:rPr>
        <w:t xml:space="preserve"> del richiedente sono escluse tutte le persone che beneficiano di prestazioni sociali a copertura del fabbisogno nella misura in cui il richiedente è escluso da tale calcolo e se chi ne beneficia non ha un obbligo di mantenimento nei confronti del richiedente.</w:t>
      </w:r>
    </w:p>
    <w:p w:rsidR="00B22186" w:rsidRPr="00506428" w:rsidRDefault="00B22186" w:rsidP="00B22186">
      <w:pPr>
        <w:rPr>
          <w:rFonts w:asciiTheme="minorHAnsi" w:hAnsiTheme="minorHAnsi" w:cstheme="minorHAnsi"/>
        </w:rPr>
      </w:pPr>
    </w:p>
    <w:p w:rsidR="00B22186" w:rsidRPr="00506428" w:rsidRDefault="00B22186" w:rsidP="00B22186">
      <w:pPr>
        <w:rPr>
          <w:rFonts w:asciiTheme="minorHAnsi" w:hAnsiTheme="minorHAnsi" w:cstheme="minorHAnsi"/>
          <w:b/>
          <w:bCs/>
        </w:rPr>
      </w:pPr>
      <w:r w:rsidRPr="00506428">
        <w:rPr>
          <w:rFonts w:asciiTheme="minorHAnsi" w:hAnsiTheme="minorHAnsi" w:cstheme="minorHAnsi"/>
          <w:b/>
          <w:bCs/>
        </w:rPr>
        <w:t>Condizioni materiali</w:t>
      </w:r>
    </w:p>
    <w:p w:rsidR="00472FC9" w:rsidRDefault="00B22186" w:rsidP="00B22186">
      <w:pPr>
        <w:tabs>
          <w:tab w:val="left" w:pos="851"/>
        </w:tabs>
        <w:rPr>
          <w:rFonts w:asciiTheme="minorHAnsi" w:hAnsiTheme="minorHAnsi" w:cstheme="minorHAnsi"/>
          <w:b/>
          <w:bCs/>
        </w:rPr>
      </w:pPr>
      <w:r w:rsidRPr="00506428">
        <w:rPr>
          <w:rFonts w:asciiTheme="minorHAnsi" w:hAnsiTheme="minorHAnsi" w:cstheme="minorHAnsi"/>
          <w:b/>
          <w:bCs/>
        </w:rPr>
        <w:t>Art. 3</w:t>
      </w:r>
    </w:p>
    <w:p w:rsidR="00B22186" w:rsidRPr="00506428" w:rsidRDefault="00B22186" w:rsidP="00B22186">
      <w:pPr>
        <w:tabs>
          <w:tab w:val="left" w:pos="851"/>
        </w:tabs>
        <w:rPr>
          <w:rFonts w:asciiTheme="minorHAnsi" w:hAnsiTheme="minorHAnsi" w:cstheme="minorHAnsi"/>
          <w:bCs/>
        </w:rPr>
      </w:pPr>
      <w:r w:rsidRPr="00506428">
        <w:rPr>
          <w:rFonts w:asciiTheme="minorHAnsi" w:hAnsiTheme="minorHAnsi" w:cstheme="minorHAnsi"/>
          <w:bCs/>
        </w:rPr>
        <w:t>Il diritto è dato se:</w:t>
      </w:r>
    </w:p>
    <w:p w:rsidR="00B22186" w:rsidRPr="00506428" w:rsidRDefault="00B22186" w:rsidP="00B22186">
      <w:pPr>
        <w:pStyle w:val="Lettere"/>
        <w:tabs>
          <w:tab w:val="clear" w:pos="1134"/>
          <w:tab w:val="left" w:pos="426"/>
        </w:tabs>
        <w:ind w:left="426"/>
        <w:rPr>
          <w:rFonts w:asciiTheme="minorHAnsi" w:hAnsiTheme="minorHAnsi" w:cstheme="minorHAnsi"/>
          <w:sz w:val="24"/>
          <w:szCs w:val="24"/>
        </w:rPr>
      </w:pPr>
      <w:r w:rsidRPr="00506428">
        <w:rPr>
          <w:rFonts w:asciiTheme="minorHAnsi" w:hAnsiTheme="minorHAnsi" w:cstheme="minorHAnsi"/>
          <w:bCs/>
          <w:sz w:val="24"/>
          <w:szCs w:val="24"/>
        </w:rPr>
        <w:t>a)</w:t>
      </w:r>
      <w:r w:rsidRPr="00506428">
        <w:rPr>
          <w:rFonts w:asciiTheme="minorHAnsi" w:hAnsiTheme="minorHAnsi" w:cstheme="minorHAnsi"/>
          <w:sz w:val="24"/>
          <w:szCs w:val="24"/>
        </w:rPr>
        <w:tab/>
        <w:t>il richiedente e i membri dell’unità di riferimento sono domiciliati nel Cantone al momento della richiesta;</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b)</w:t>
      </w:r>
      <w:r w:rsidRPr="00506428">
        <w:rPr>
          <w:rFonts w:asciiTheme="minorHAnsi" w:eastAsia="Calibri" w:hAnsiTheme="minorHAnsi" w:cstheme="minorHAnsi"/>
          <w:sz w:val="24"/>
          <w:szCs w:val="24"/>
          <w:lang w:eastAsia="it-CH"/>
        </w:rPr>
        <w:tab/>
        <w:t>il richiedente è domiciliato ed effettivamente dimorante nel Cantone nei tre anni precedenti alla richiesta;</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c)</w:t>
      </w:r>
      <w:r w:rsidRPr="00506428">
        <w:rPr>
          <w:rFonts w:asciiTheme="minorHAnsi" w:eastAsia="Calibri" w:hAnsiTheme="minorHAnsi" w:cstheme="minorHAnsi"/>
          <w:sz w:val="24"/>
          <w:szCs w:val="24"/>
          <w:lang w:eastAsia="it-CH"/>
        </w:rPr>
        <w:tab/>
        <w:t>il richiedente è dipendente oppure indipendente ai sensi della legge federale su l’assicurazione per la vecchiaia e per i superstiti del 20 dicembre 1946 (LAVS);</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d)</w:t>
      </w:r>
      <w:r w:rsidRPr="00506428">
        <w:rPr>
          <w:rFonts w:asciiTheme="minorHAnsi" w:eastAsia="Calibri" w:hAnsiTheme="minorHAnsi" w:cstheme="minorHAnsi"/>
          <w:spacing w:val="-4"/>
          <w:sz w:val="24"/>
          <w:szCs w:val="24"/>
          <w:lang w:eastAsia="it-CH"/>
        </w:rPr>
        <w:tab/>
        <w:t>il richiedente e i membri dell’unità di riferimento non beneficiano di altre prestazioni a copertura del fabbisogno, e meglio indennità straordinarie di disoccupazione, assegno di prima infanzia, prestazione assistenziale e prestazioni complementari all’AVS/AI;</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e)</w:t>
      </w:r>
      <w:r w:rsidRPr="00506428">
        <w:rPr>
          <w:rFonts w:asciiTheme="minorHAnsi" w:eastAsia="Calibri" w:hAnsiTheme="minorHAnsi" w:cstheme="minorHAnsi"/>
          <w:sz w:val="24"/>
          <w:szCs w:val="24"/>
          <w:lang w:eastAsia="it-CH"/>
        </w:rPr>
        <w:tab/>
        <w:t>il richiedente non beneficia di indennità ai sensi della legge sull’assicurazione contro la disoccupazione del 25 giugno 1982 (LADI);</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f)</w:t>
      </w:r>
      <w:r w:rsidRPr="00506428">
        <w:rPr>
          <w:rFonts w:asciiTheme="minorHAnsi" w:eastAsia="Calibri" w:hAnsiTheme="minorHAnsi" w:cstheme="minorHAnsi"/>
          <w:sz w:val="24"/>
          <w:szCs w:val="24"/>
          <w:lang w:eastAsia="it-CH"/>
        </w:rPr>
        <w:tab/>
        <w:t>il richiedente ha subìto una riduzione del reddito o del fatturato a causa della pandemia; per le persone con attività lucrativa indipendente, è determinante l’importo del fatturato;</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lastRenderedPageBreak/>
        <w:t>g)</w:t>
      </w:r>
      <w:r w:rsidRPr="00506428">
        <w:rPr>
          <w:rFonts w:asciiTheme="minorHAnsi" w:eastAsia="Calibri" w:hAnsiTheme="minorHAnsi" w:cstheme="minorHAnsi"/>
          <w:sz w:val="24"/>
          <w:szCs w:val="24"/>
          <w:lang w:eastAsia="it-CH"/>
        </w:rPr>
        <w:tab/>
        <w:t>gli indipendenti devono essere attivi come tali da almeno 3 mesi rispetto alla data della richiesta;</w:t>
      </w:r>
    </w:p>
    <w:p w:rsidR="00B22186"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h)</w:t>
      </w:r>
      <w:r w:rsidRPr="00506428">
        <w:rPr>
          <w:rFonts w:asciiTheme="minorHAnsi" w:eastAsia="Calibri" w:hAnsiTheme="minorHAnsi" w:cstheme="minorHAnsi"/>
          <w:sz w:val="24"/>
          <w:szCs w:val="24"/>
          <w:lang w:eastAsia="it-CH"/>
        </w:rPr>
        <w:tab/>
        <w:t>il richiedente e i membri dell’unità di riferimento hanno un reddito disponibile inferiore ai parametri di cui all’art. 4.</w:t>
      </w:r>
    </w:p>
    <w:p w:rsidR="00472FC9" w:rsidRPr="00472FC9" w:rsidRDefault="00472FC9" w:rsidP="00472FC9">
      <w:pPr>
        <w:pStyle w:val="Art"/>
        <w:ind w:left="0"/>
        <w:rPr>
          <w:rFonts w:eastAsia="Calibri"/>
          <w:lang w:eastAsia="it-CH"/>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Condizioni economiche</w:t>
      </w:r>
    </w:p>
    <w:p w:rsidR="00472FC9" w:rsidRDefault="00B22186" w:rsidP="00B22186">
      <w:pPr>
        <w:tabs>
          <w:tab w:val="left" w:pos="851"/>
        </w:tabs>
        <w:rPr>
          <w:rFonts w:asciiTheme="minorHAnsi" w:hAnsiTheme="minorHAnsi" w:cstheme="minorHAnsi"/>
          <w:b/>
        </w:rPr>
      </w:pPr>
      <w:r w:rsidRPr="00506428">
        <w:rPr>
          <w:rFonts w:asciiTheme="minorHAnsi" w:hAnsiTheme="minorHAnsi" w:cstheme="minorHAnsi"/>
          <w:b/>
        </w:rPr>
        <w:t xml:space="preserve">Art. 4 </w:t>
      </w:r>
    </w:p>
    <w:p w:rsidR="00B22186" w:rsidRPr="00506428" w:rsidRDefault="00B22186" w:rsidP="00B22186">
      <w:pPr>
        <w:tabs>
          <w:tab w:val="left" w:pos="851"/>
        </w:tabs>
        <w:rPr>
          <w:rFonts w:asciiTheme="minorHAnsi" w:hAnsiTheme="minorHAnsi" w:cstheme="minorHAnsi"/>
          <w:bCs/>
        </w:rPr>
      </w:pPr>
      <w:r w:rsidRPr="00506428">
        <w:rPr>
          <w:rFonts w:asciiTheme="minorHAnsi" w:hAnsiTheme="minorHAnsi" w:cstheme="minorHAnsi"/>
          <w:vertAlign w:val="superscript"/>
        </w:rPr>
        <w:t>1</w:t>
      </w:r>
      <w:r w:rsidRPr="00506428">
        <w:rPr>
          <w:rFonts w:asciiTheme="minorHAnsi" w:hAnsiTheme="minorHAnsi" w:cstheme="minorHAnsi"/>
          <w:bCs/>
        </w:rPr>
        <w:t xml:space="preserve">Il diritto è dato se </w:t>
      </w:r>
      <w:r w:rsidRPr="00506428">
        <w:rPr>
          <w:rFonts w:asciiTheme="minorHAnsi" w:eastAsia="Calibri" w:hAnsiTheme="minorHAnsi" w:cstheme="minorHAnsi"/>
          <w:lang w:eastAsia="it-CH"/>
        </w:rPr>
        <w:t>il reddito disponibile del richiedente e dei membri dell’unità di riferimento è inferiore alle soglie stabilite dalla legge sull’armonizzazione e il coordinamento delle prestazioni sociali del 5 giugno 2000 (</w:t>
      </w:r>
      <w:proofErr w:type="spellStart"/>
      <w:r w:rsidRPr="00506428">
        <w:rPr>
          <w:rFonts w:asciiTheme="minorHAnsi" w:eastAsia="Calibri" w:hAnsiTheme="minorHAnsi" w:cstheme="minorHAnsi"/>
          <w:lang w:eastAsia="it-CH"/>
        </w:rPr>
        <w:t>Laps</w:t>
      </w:r>
      <w:proofErr w:type="spellEnd"/>
      <w:r w:rsidRPr="00506428">
        <w:rPr>
          <w:rFonts w:asciiTheme="minorHAnsi" w:eastAsia="Calibri" w:hAnsiTheme="minorHAnsi" w:cstheme="minorHAnsi"/>
          <w:lang w:eastAsia="it-CH"/>
        </w:rPr>
        <w:t>):</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a)</w:t>
      </w:r>
      <w:r w:rsidRPr="00506428">
        <w:rPr>
          <w:rFonts w:asciiTheme="minorHAnsi" w:eastAsia="Calibri" w:hAnsiTheme="minorHAnsi" w:cstheme="minorHAnsi"/>
          <w:sz w:val="24"/>
          <w:szCs w:val="24"/>
          <w:lang w:eastAsia="it-CH"/>
        </w:rPr>
        <w:tab/>
        <w:t>17’739 franchi se l’unità di riferimento è composta da 1 persona;</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b)</w:t>
      </w:r>
      <w:r w:rsidRPr="00506428">
        <w:rPr>
          <w:rFonts w:asciiTheme="minorHAnsi" w:eastAsia="Calibri" w:hAnsiTheme="minorHAnsi" w:cstheme="minorHAnsi"/>
          <w:sz w:val="24"/>
          <w:szCs w:val="24"/>
          <w:lang w:eastAsia="it-CH"/>
        </w:rPr>
        <w:tab/>
        <w:t>26’476 franchi se l’unità di riferimento è composta da 2 persone;</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c)</w:t>
      </w:r>
      <w:r w:rsidRPr="00506428">
        <w:rPr>
          <w:rFonts w:asciiTheme="minorHAnsi" w:eastAsia="Calibri" w:hAnsiTheme="minorHAnsi" w:cstheme="minorHAnsi"/>
          <w:sz w:val="24"/>
          <w:szCs w:val="24"/>
          <w:lang w:eastAsia="it-CH"/>
        </w:rPr>
        <w:tab/>
        <w:t>32’988 franchi se l’unità di riferimento è composta da 3 persone;</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d)</w:t>
      </w:r>
      <w:r w:rsidRPr="00506428">
        <w:rPr>
          <w:rFonts w:asciiTheme="minorHAnsi" w:eastAsia="Calibri" w:hAnsiTheme="minorHAnsi" w:cstheme="minorHAnsi"/>
          <w:sz w:val="24"/>
          <w:szCs w:val="24"/>
          <w:lang w:eastAsia="it-CH"/>
        </w:rPr>
        <w:tab/>
        <w:t>37’967 franchi se l’unità di riferimento è composta da 4 persone;</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e)</w:t>
      </w:r>
      <w:r w:rsidRPr="00506428">
        <w:rPr>
          <w:rFonts w:asciiTheme="minorHAnsi" w:eastAsia="Calibri" w:hAnsiTheme="minorHAnsi" w:cstheme="minorHAnsi"/>
          <w:sz w:val="24"/>
          <w:szCs w:val="24"/>
          <w:lang w:eastAsia="it-CH"/>
        </w:rPr>
        <w:tab/>
        <w:t>42’930 franchi se l’unità di riferimento è composta da 5 persone;</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f)</w:t>
      </w:r>
      <w:r w:rsidRPr="00506428">
        <w:rPr>
          <w:rFonts w:asciiTheme="minorHAnsi" w:eastAsia="Calibri" w:hAnsiTheme="minorHAnsi" w:cstheme="minorHAnsi"/>
          <w:sz w:val="24"/>
          <w:szCs w:val="24"/>
          <w:lang w:eastAsia="it-CH"/>
        </w:rPr>
        <w:tab/>
        <w:t>4’962 franchi per ogni persona supplementare dell’unità di riferimento.</w:t>
      </w:r>
    </w:p>
    <w:p w:rsidR="00B22186" w:rsidRPr="00506428" w:rsidRDefault="00B22186" w:rsidP="00B22186">
      <w:pPr>
        <w:rPr>
          <w:rFonts w:asciiTheme="minorHAnsi" w:eastAsia="Calibri" w:hAnsiTheme="minorHAnsi" w:cstheme="minorHAnsi"/>
          <w:lang w:eastAsia="it-CH"/>
        </w:rPr>
      </w:pPr>
      <w:r w:rsidRPr="00216EDD">
        <w:rPr>
          <w:rStyle w:val="esp"/>
          <w:rFonts w:asciiTheme="minorHAnsi" w:eastAsia="Calibri" w:hAnsiTheme="minorHAnsi" w:cstheme="minorHAnsi"/>
          <w:sz w:val="24"/>
          <w:vertAlign w:val="superscript"/>
        </w:rPr>
        <w:t>2</w:t>
      </w:r>
      <w:r w:rsidRPr="00506428">
        <w:rPr>
          <w:rFonts w:asciiTheme="minorHAnsi" w:eastAsia="Calibri" w:hAnsiTheme="minorHAnsi" w:cstheme="minorHAnsi"/>
          <w:lang w:eastAsia="it-CH"/>
        </w:rPr>
        <w:t xml:space="preserve">Il reddito disponibile risulta dalla somma dei redditi del richiedente e dei membri dell’unità di riferimento (redditi computabili) dedotta la somma delle spese del richiedente e dei membri dell’unità di riferimento (spese riconosciute) al momento della richiesta. </w:t>
      </w:r>
    </w:p>
    <w:p w:rsidR="00B22186" w:rsidRPr="00506428" w:rsidRDefault="00B22186" w:rsidP="00B22186">
      <w:pPr>
        <w:rPr>
          <w:rFonts w:asciiTheme="minorHAnsi" w:hAnsiTheme="minorHAnsi" w:cstheme="minorHAnsi"/>
        </w:rPr>
      </w:pPr>
      <w:r w:rsidRPr="00216EDD">
        <w:rPr>
          <w:rStyle w:val="esp"/>
          <w:rFonts w:asciiTheme="minorHAnsi" w:hAnsiTheme="minorHAnsi" w:cstheme="minorHAnsi"/>
          <w:sz w:val="24"/>
          <w:vertAlign w:val="superscript"/>
        </w:rPr>
        <w:t>3</w:t>
      </w:r>
      <w:r w:rsidRPr="00506428">
        <w:rPr>
          <w:rFonts w:asciiTheme="minorHAnsi" w:hAnsiTheme="minorHAnsi" w:cstheme="minorHAnsi"/>
        </w:rPr>
        <w:t xml:space="preserve">Quali </w:t>
      </w:r>
      <w:r w:rsidRPr="00506428">
        <w:rPr>
          <w:rFonts w:asciiTheme="minorHAnsi" w:eastAsia="Calibri" w:hAnsiTheme="minorHAnsi" w:cstheme="minorHAnsi"/>
          <w:lang w:eastAsia="it-CH"/>
        </w:rPr>
        <w:t>redditi</w:t>
      </w:r>
      <w:r w:rsidRPr="00506428">
        <w:rPr>
          <w:rFonts w:asciiTheme="minorHAnsi" w:hAnsiTheme="minorHAnsi" w:cstheme="minorHAnsi"/>
        </w:rPr>
        <w:t xml:space="preserve"> computabili si considerano:</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a)</w:t>
      </w:r>
      <w:r w:rsidRPr="00506428">
        <w:rPr>
          <w:rFonts w:asciiTheme="minorHAnsi" w:eastAsia="Calibri" w:hAnsiTheme="minorHAnsi" w:cstheme="minorHAnsi"/>
          <w:sz w:val="24"/>
          <w:szCs w:val="24"/>
          <w:lang w:eastAsia="it-CH"/>
        </w:rPr>
        <w:tab/>
        <w:t>il reddito lordo da lavoro;</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b)</w:t>
      </w:r>
      <w:r w:rsidRPr="00506428">
        <w:rPr>
          <w:rFonts w:asciiTheme="minorHAnsi" w:eastAsia="Calibri" w:hAnsiTheme="minorHAnsi" w:cstheme="minorHAnsi"/>
          <w:sz w:val="24"/>
          <w:szCs w:val="24"/>
          <w:lang w:eastAsia="it-CH"/>
        </w:rPr>
        <w:tab/>
        <w:t>ogni altra entrata compresi gli alimenti percepiti, o prestazione sostitutiva di reddito compresi i contributi o gli aiuti erogati da enti, associazioni o fondazioni;</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c)</w:t>
      </w:r>
      <w:r w:rsidRPr="00506428">
        <w:rPr>
          <w:rFonts w:asciiTheme="minorHAnsi" w:eastAsia="Calibri" w:hAnsiTheme="minorHAnsi" w:cstheme="minorHAnsi"/>
          <w:sz w:val="24"/>
          <w:szCs w:val="24"/>
          <w:lang w:eastAsia="it-CH"/>
        </w:rPr>
        <w:tab/>
        <w:t>al reddito è aggiunta la sostanza netta nella misura di 1/15. Da questo importo viene dedotto, a titolo di franchigia, un importo di 10’000 franchi per le unità di riferimento composte da una sola persona e di 15’000 franchi per le unità di riferimento composte da più persone. La sostanza netta viene calcolata sulla base di quella indicata nell’ultima notifica di tassazione cresciuta in giudicato.</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vertAlign w:val="superscript"/>
          <w:lang w:eastAsia="it-CH"/>
        </w:rPr>
        <w:t>4</w:t>
      </w:r>
      <w:r w:rsidRPr="00506428">
        <w:rPr>
          <w:rFonts w:asciiTheme="minorHAnsi" w:eastAsia="Calibri" w:hAnsiTheme="minorHAnsi" w:cstheme="minorHAnsi"/>
          <w:sz w:val="24"/>
          <w:szCs w:val="24"/>
          <w:lang w:eastAsia="it-CH"/>
        </w:rPr>
        <w:t>Sono riconosciute le seguenti spese:</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a)</w:t>
      </w:r>
      <w:r w:rsidRPr="00506428">
        <w:rPr>
          <w:rFonts w:asciiTheme="minorHAnsi" w:eastAsia="Calibri" w:hAnsiTheme="minorHAnsi" w:cstheme="minorHAnsi"/>
          <w:sz w:val="24"/>
          <w:szCs w:val="24"/>
          <w:lang w:eastAsia="it-CH"/>
        </w:rPr>
        <w:tab/>
        <w:t>gli oneri sociali dovuti;</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b)</w:t>
      </w:r>
      <w:r w:rsidRPr="00506428">
        <w:rPr>
          <w:rFonts w:asciiTheme="minorHAnsi" w:eastAsia="Calibri" w:hAnsiTheme="minorHAnsi" w:cstheme="minorHAnsi"/>
          <w:sz w:val="24"/>
          <w:szCs w:val="24"/>
          <w:lang w:eastAsia="it-CH"/>
        </w:rPr>
        <w:tab/>
        <w:t>la spesa per l’alloggio (per gli inquilini la pigione e le spese accessorie mensili; per i proprietari gli interessi ipotecari sull’abitazione primaria);</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c)</w:t>
      </w:r>
      <w:r w:rsidRPr="00506428">
        <w:rPr>
          <w:rFonts w:asciiTheme="minorHAnsi" w:eastAsia="Calibri" w:hAnsiTheme="minorHAnsi" w:cstheme="minorHAnsi"/>
          <w:sz w:val="24"/>
          <w:szCs w:val="24"/>
          <w:lang w:eastAsia="it-CH"/>
        </w:rPr>
        <w:tab/>
        <w:t>i premi per l’assicurazione contro le malattie al netto della riduzione individuale dei premi dell’assicurazione malattie (RIPAM);</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d)</w:t>
      </w:r>
      <w:r w:rsidRPr="00506428">
        <w:rPr>
          <w:rFonts w:asciiTheme="minorHAnsi" w:eastAsia="Calibri" w:hAnsiTheme="minorHAnsi" w:cstheme="minorHAnsi"/>
          <w:sz w:val="24"/>
          <w:szCs w:val="24"/>
          <w:lang w:eastAsia="it-CH"/>
        </w:rPr>
        <w:tab/>
        <w:t>gli alimenti dovuti ed effettivamente pagati.</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Organo di esecuzione e procedura</w:t>
      </w:r>
    </w:p>
    <w:p w:rsidR="00472FC9"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5</w:t>
      </w:r>
      <w:r w:rsidRPr="00506428">
        <w:rPr>
          <w:rFonts w:asciiTheme="minorHAnsi" w:hAnsiTheme="minorHAnsi" w:cstheme="minorHAnsi"/>
          <w:sz w:val="24"/>
          <w:szCs w:val="24"/>
        </w:rPr>
        <w:tab/>
      </w:r>
    </w:p>
    <w:p w:rsidR="00B22186" w:rsidRPr="00506428" w:rsidRDefault="00B22186" w:rsidP="00B22186">
      <w:pPr>
        <w:pStyle w:val="Art"/>
        <w:tabs>
          <w:tab w:val="clear" w:pos="1701"/>
          <w:tab w:val="left" w:pos="851"/>
        </w:tabs>
        <w:ind w:left="0"/>
        <w:rPr>
          <w:rFonts w:asciiTheme="minorHAnsi" w:eastAsia="Calibri" w:hAnsiTheme="minorHAnsi" w:cstheme="minorHAnsi"/>
          <w:sz w:val="24"/>
          <w:szCs w:val="24"/>
          <w:lang w:eastAsia="it-CH"/>
        </w:rPr>
      </w:pPr>
      <w:r w:rsidRPr="00506428">
        <w:rPr>
          <w:rStyle w:val="esp"/>
          <w:rFonts w:asciiTheme="minorHAnsi" w:eastAsia="Calibri" w:hAnsiTheme="minorHAnsi" w:cstheme="minorHAnsi"/>
          <w:sz w:val="24"/>
          <w:szCs w:val="24"/>
          <w:vertAlign w:val="superscript"/>
        </w:rPr>
        <w:t>1</w:t>
      </w:r>
      <w:r w:rsidRPr="00506428">
        <w:rPr>
          <w:rFonts w:asciiTheme="minorHAnsi" w:eastAsia="Calibri" w:hAnsiTheme="minorHAnsi" w:cstheme="minorHAnsi"/>
          <w:sz w:val="24"/>
          <w:szCs w:val="24"/>
          <w:lang w:eastAsia="it-CH"/>
        </w:rPr>
        <w:t>La persona che richiede la prestazione presenta mensilmente una richiesta scritta al suo Comune di domicilio, al più tardi entro il termine perentorio della fine del mese successivo. Il Comune si pronuncia sulla richiesta mediante decisione.</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2</w:t>
      </w:r>
      <w:r w:rsidRPr="00506428">
        <w:rPr>
          <w:rFonts w:asciiTheme="minorHAnsi" w:hAnsiTheme="minorHAnsi" w:cstheme="minorHAnsi"/>
          <w:sz w:val="24"/>
          <w:szCs w:val="24"/>
        </w:rPr>
        <w:t>Il richiedente e i membri dell’unità di riferimento sono tenuti a collaborare all’accertamento della situazione e a fornire la documentazione richiesta.</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3</w:t>
      </w:r>
      <w:r w:rsidRPr="00506428">
        <w:rPr>
          <w:rFonts w:asciiTheme="minorHAnsi" w:hAnsiTheme="minorHAnsi" w:cstheme="minorHAnsi"/>
          <w:sz w:val="24"/>
          <w:szCs w:val="24"/>
        </w:rPr>
        <w:t>La prestazione è versata al richiedente su conto postale o bancario.</w:t>
      </w:r>
    </w:p>
    <w:p w:rsidR="00B22186" w:rsidRDefault="00B22186" w:rsidP="00B22186">
      <w:pPr>
        <w:pStyle w:val="Art"/>
        <w:ind w:left="0"/>
        <w:rPr>
          <w:rFonts w:asciiTheme="minorHAnsi" w:hAnsiTheme="minorHAnsi" w:cstheme="minorHAnsi"/>
          <w:sz w:val="24"/>
          <w:szCs w:val="24"/>
        </w:rPr>
      </w:pPr>
    </w:p>
    <w:p w:rsidR="00472FC9" w:rsidRDefault="00472FC9" w:rsidP="00B22186">
      <w:pPr>
        <w:pStyle w:val="Art"/>
        <w:ind w:left="0"/>
        <w:rPr>
          <w:rFonts w:asciiTheme="minorHAnsi" w:hAnsiTheme="minorHAnsi" w:cstheme="minorHAnsi"/>
          <w:sz w:val="24"/>
          <w:szCs w:val="24"/>
        </w:rPr>
      </w:pPr>
    </w:p>
    <w:p w:rsidR="00472FC9" w:rsidRDefault="00472FC9" w:rsidP="00B22186">
      <w:pPr>
        <w:pStyle w:val="Art"/>
        <w:ind w:left="0"/>
        <w:rPr>
          <w:rFonts w:asciiTheme="minorHAnsi" w:hAnsiTheme="minorHAnsi" w:cstheme="minorHAnsi"/>
          <w:sz w:val="24"/>
          <w:szCs w:val="24"/>
        </w:rPr>
      </w:pPr>
    </w:p>
    <w:p w:rsidR="00472FC9" w:rsidRDefault="00472FC9" w:rsidP="00B22186">
      <w:pPr>
        <w:pStyle w:val="Art"/>
        <w:ind w:left="0"/>
        <w:rPr>
          <w:rFonts w:asciiTheme="minorHAnsi" w:hAnsiTheme="minorHAnsi" w:cstheme="minorHAnsi"/>
          <w:sz w:val="24"/>
          <w:szCs w:val="24"/>
        </w:rPr>
      </w:pPr>
    </w:p>
    <w:p w:rsidR="00472FC9" w:rsidRPr="00506428" w:rsidRDefault="00472FC9" w:rsidP="00B22186">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lastRenderedPageBreak/>
        <w:t>Importo massimo e durata massima</w:t>
      </w:r>
    </w:p>
    <w:p w:rsidR="00472FC9" w:rsidRDefault="00B22186" w:rsidP="00B22186">
      <w:pPr>
        <w:pStyle w:val="Art"/>
        <w:tabs>
          <w:tab w:val="clear" w:pos="1701"/>
          <w:tab w:val="left" w:pos="851"/>
        </w:tabs>
        <w:ind w:left="0"/>
        <w:rPr>
          <w:rFonts w:asciiTheme="minorHAnsi" w:hAnsiTheme="minorHAnsi" w:cstheme="minorHAnsi"/>
          <w:b/>
          <w:sz w:val="24"/>
          <w:szCs w:val="24"/>
        </w:rPr>
      </w:pPr>
      <w:r w:rsidRPr="00506428">
        <w:rPr>
          <w:rFonts w:asciiTheme="minorHAnsi" w:hAnsiTheme="minorHAnsi" w:cstheme="minorHAnsi"/>
          <w:b/>
          <w:sz w:val="24"/>
          <w:szCs w:val="24"/>
        </w:rPr>
        <w:t>Art. 6</w:t>
      </w:r>
    </w:p>
    <w:p w:rsidR="00B22186" w:rsidRPr="00506428" w:rsidRDefault="00B22186" w:rsidP="00B22186">
      <w:pPr>
        <w:pStyle w:val="Art"/>
        <w:tabs>
          <w:tab w:val="clear" w:pos="1701"/>
          <w:tab w:val="left" w:pos="851"/>
        </w:tabs>
        <w:ind w:left="0"/>
        <w:rPr>
          <w:rFonts w:asciiTheme="minorHAnsi" w:eastAsia="Calibri" w:hAnsiTheme="minorHAnsi" w:cstheme="minorHAnsi"/>
          <w:b/>
          <w:sz w:val="24"/>
          <w:szCs w:val="24"/>
          <w:lang w:eastAsia="it-CH"/>
        </w:rPr>
      </w:pPr>
      <w:r w:rsidRPr="00506428">
        <w:rPr>
          <w:rStyle w:val="esp"/>
          <w:rFonts w:asciiTheme="minorHAnsi" w:hAnsiTheme="minorHAnsi" w:cstheme="minorHAnsi"/>
          <w:sz w:val="24"/>
          <w:szCs w:val="24"/>
          <w:vertAlign w:val="superscript"/>
        </w:rPr>
        <w:t>1</w:t>
      </w:r>
      <w:r w:rsidRPr="00506428">
        <w:rPr>
          <w:rFonts w:asciiTheme="minorHAnsi" w:eastAsia="Calibri" w:hAnsiTheme="minorHAnsi" w:cstheme="minorHAnsi"/>
          <w:sz w:val="24"/>
          <w:szCs w:val="24"/>
          <w:lang w:eastAsia="it-CH"/>
        </w:rPr>
        <w:t>L’importo della prestazione corrisponde alla lacuna di reddito annua, convertita in mensilità, ma al massimo a 2’000 franchi al mese per il primo componente dell’unità di riferimento e 800 franchi al mese per ogni ulteriore componente.</w:t>
      </w:r>
    </w:p>
    <w:p w:rsidR="00B22186" w:rsidRPr="00506428" w:rsidRDefault="00B22186" w:rsidP="00B22186">
      <w:pPr>
        <w:pStyle w:val="Art"/>
        <w:ind w:left="0"/>
        <w:rPr>
          <w:rFonts w:asciiTheme="minorHAnsi" w:eastAsia="Calibri" w:hAnsiTheme="minorHAnsi" w:cstheme="minorHAnsi"/>
          <w:sz w:val="24"/>
          <w:szCs w:val="24"/>
          <w:lang w:eastAsia="it-CH"/>
        </w:rPr>
      </w:pPr>
      <w:r w:rsidRPr="00506428">
        <w:rPr>
          <w:rStyle w:val="esp"/>
          <w:rFonts w:asciiTheme="minorHAnsi" w:hAnsiTheme="minorHAnsi" w:cstheme="minorHAnsi"/>
          <w:sz w:val="24"/>
          <w:szCs w:val="24"/>
          <w:vertAlign w:val="superscript"/>
        </w:rPr>
        <w:t>2</w:t>
      </w:r>
      <w:r w:rsidRPr="00506428">
        <w:rPr>
          <w:rFonts w:asciiTheme="minorHAnsi" w:eastAsia="Calibri" w:hAnsiTheme="minorHAnsi" w:cstheme="minorHAnsi"/>
          <w:sz w:val="24"/>
          <w:szCs w:val="24"/>
          <w:lang w:eastAsia="it-CH"/>
        </w:rPr>
        <w:t>La prestazione può essere concessa mensilmente.</w:t>
      </w:r>
    </w:p>
    <w:p w:rsidR="00B22186" w:rsidRPr="00506428" w:rsidRDefault="00B22186" w:rsidP="00B22186">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Imposizione fiscale</w:t>
      </w:r>
    </w:p>
    <w:p w:rsidR="00472FC9" w:rsidRDefault="00B22186" w:rsidP="00B22186">
      <w:pPr>
        <w:pStyle w:val="Art"/>
        <w:tabs>
          <w:tab w:val="clear" w:pos="1701"/>
          <w:tab w:val="left" w:pos="851"/>
        </w:tabs>
        <w:ind w:left="0"/>
        <w:rPr>
          <w:rFonts w:asciiTheme="minorHAnsi" w:hAnsiTheme="minorHAnsi" w:cstheme="minorHAnsi"/>
          <w:b/>
          <w:sz w:val="24"/>
          <w:szCs w:val="24"/>
        </w:rPr>
      </w:pPr>
      <w:r w:rsidRPr="00506428">
        <w:rPr>
          <w:rFonts w:asciiTheme="minorHAnsi" w:hAnsiTheme="minorHAnsi" w:cstheme="minorHAnsi"/>
          <w:b/>
          <w:sz w:val="24"/>
          <w:szCs w:val="24"/>
        </w:rPr>
        <w:t>Art. 7</w:t>
      </w:r>
    </w:p>
    <w:p w:rsidR="00B22186" w:rsidRPr="00506428"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sz w:val="24"/>
          <w:szCs w:val="24"/>
        </w:rPr>
        <w:t>La prestazione di fabbisogno non è soggetta all’imposta sul reddito.</w:t>
      </w:r>
    </w:p>
    <w:p w:rsidR="001B7E2F" w:rsidRPr="00506428" w:rsidRDefault="001B7E2F" w:rsidP="00B22186">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Finanziamento</w:t>
      </w:r>
    </w:p>
    <w:p w:rsidR="00472FC9"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8</w:t>
      </w:r>
    </w:p>
    <w:p w:rsidR="00B22186" w:rsidRPr="00506428" w:rsidRDefault="00B22186" w:rsidP="00B22186">
      <w:pPr>
        <w:pStyle w:val="Art"/>
        <w:tabs>
          <w:tab w:val="clear" w:pos="1701"/>
          <w:tab w:val="left" w:pos="851"/>
        </w:tabs>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1</w:t>
      </w:r>
      <w:r w:rsidRPr="00506428">
        <w:rPr>
          <w:rFonts w:asciiTheme="minorHAnsi" w:hAnsiTheme="minorHAnsi" w:cstheme="minorHAnsi"/>
          <w:sz w:val="24"/>
          <w:szCs w:val="24"/>
        </w:rPr>
        <w:t>La prestazione è finanziata in ragione del 75% dal Cantone e del 25% dal Comune. Eventuali prestazioni supplementari concesse dal Comune sono interamente a suo carico.</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2</w:t>
      </w:r>
      <w:r w:rsidRPr="00506428">
        <w:rPr>
          <w:rFonts w:asciiTheme="minorHAnsi" w:hAnsiTheme="minorHAnsi" w:cstheme="minorHAnsi"/>
          <w:sz w:val="24"/>
          <w:szCs w:val="24"/>
        </w:rPr>
        <w:t>Il Comune anticipa le spese per la prestazione. Il Cantone rimborsa al più tardi trimestralmente l’anticipo effettuato dal Comune.</w:t>
      </w:r>
    </w:p>
    <w:p w:rsidR="00B22186" w:rsidRPr="00506428" w:rsidRDefault="00B22186" w:rsidP="00472FC9">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Vigilanza</w:t>
      </w:r>
    </w:p>
    <w:p w:rsidR="00472FC9"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9</w:t>
      </w:r>
    </w:p>
    <w:p w:rsidR="00B22186" w:rsidRPr="00506428"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sz w:val="24"/>
          <w:szCs w:val="24"/>
        </w:rPr>
        <w:t>I competenti organi comunali vigilano sulla corretta applicazione del presente decreto legislativo.</w:t>
      </w:r>
    </w:p>
    <w:p w:rsidR="00B22186" w:rsidRPr="00506428" w:rsidRDefault="00B22186" w:rsidP="00472FC9">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Restituzione</w:t>
      </w:r>
    </w:p>
    <w:p w:rsidR="00472FC9" w:rsidRDefault="00B22186" w:rsidP="00B22186">
      <w:pPr>
        <w:pStyle w:val="Art"/>
        <w:tabs>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10</w:t>
      </w:r>
    </w:p>
    <w:p w:rsidR="00B22186" w:rsidRPr="00506428" w:rsidRDefault="00B22186" w:rsidP="00B22186">
      <w:pPr>
        <w:pStyle w:val="Art"/>
        <w:tabs>
          <w:tab w:val="left" w:pos="851"/>
        </w:tabs>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1</w:t>
      </w:r>
      <w:r w:rsidRPr="00506428">
        <w:rPr>
          <w:rFonts w:asciiTheme="minorHAnsi" w:hAnsiTheme="minorHAnsi" w:cstheme="minorHAnsi"/>
          <w:sz w:val="24"/>
          <w:szCs w:val="24"/>
        </w:rPr>
        <w:t>La prestazione indebitamente percepita deve essere restituita se il beneficiario:</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a)</w:t>
      </w:r>
      <w:r w:rsidRPr="00506428">
        <w:rPr>
          <w:rFonts w:asciiTheme="minorHAnsi" w:eastAsia="Calibri" w:hAnsiTheme="minorHAnsi" w:cstheme="minorHAnsi"/>
          <w:sz w:val="24"/>
          <w:szCs w:val="24"/>
          <w:lang w:eastAsia="it-CH"/>
        </w:rPr>
        <w:tab/>
        <w:t>ha ottenuto la prestazione fornendo al Comune indicazioni inesatte o incomplete;</w:t>
      </w:r>
    </w:p>
    <w:p w:rsidR="00B22186" w:rsidRPr="00506428" w:rsidRDefault="00B22186" w:rsidP="00B22186">
      <w:pPr>
        <w:pStyle w:val="Lettere"/>
        <w:tabs>
          <w:tab w:val="clear" w:pos="1134"/>
          <w:tab w:val="left" w:pos="426"/>
        </w:tabs>
        <w:ind w:left="426"/>
        <w:rPr>
          <w:rFonts w:asciiTheme="minorHAnsi" w:eastAsia="Calibri" w:hAnsiTheme="minorHAnsi" w:cstheme="minorHAnsi"/>
          <w:sz w:val="24"/>
          <w:szCs w:val="24"/>
          <w:lang w:eastAsia="it-CH"/>
        </w:rPr>
      </w:pPr>
      <w:r w:rsidRPr="00506428">
        <w:rPr>
          <w:rFonts w:asciiTheme="minorHAnsi" w:eastAsia="Calibri" w:hAnsiTheme="minorHAnsi" w:cstheme="minorHAnsi"/>
          <w:sz w:val="24"/>
          <w:szCs w:val="24"/>
          <w:lang w:eastAsia="it-CH"/>
        </w:rPr>
        <w:t>b)</w:t>
      </w:r>
      <w:r w:rsidRPr="00506428">
        <w:rPr>
          <w:rFonts w:asciiTheme="minorHAnsi" w:eastAsia="Calibri" w:hAnsiTheme="minorHAnsi" w:cstheme="minorHAnsi"/>
          <w:sz w:val="24"/>
          <w:szCs w:val="24"/>
          <w:lang w:eastAsia="it-CH"/>
        </w:rPr>
        <w:tab/>
        <w:t>ha indotto in errore il Comune commettendo negligenza grave.</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2</w:t>
      </w:r>
      <w:r w:rsidRPr="00506428">
        <w:rPr>
          <w:rFonts w:asciiTheme="minorHAnsi" w:hAnsiTheme="minorHAnsi" w:cstheme="minorHAnsi"/>
          <w:sz w:val="24"/>
          <w:szCs w:val="24"/>
        </w:rPr>
        <w:t>Il diritto di esigere la restituzione è perento un anno dopo che il Comune ha avuto conoscenza dell’indebito, ma in ogni caso dopo cinque anni dal pagamento della prestazione.</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3</w:t>
      </w:r>
      <w:r w:rsidRPr="00506428">
        <w:rPr>
          <w:rFonts w:asciiTheme="minorHAnsi" w:hAnsiTheme="minorHAnsi" w:cstheme="minorHAnsi"/>
          <w:sz w:val="24"/>
          <w:szCs w:val="24"/>
        </w:rPr>
        <w:t>La restituzione può essere condonata, in tutto o in parte, se il beneficiario ha ottenuto la prestazione in buona fede e se, tenuto conto delle condizioni economiche dell’unità di riferimento al momento della restituzione, il provvedimento costituirebbe un onere troppo gravoso.</w:t>
      </w:r>
    </w:p>
    <w:p w:rsidR="00B22186" w:rsidRPr="00506428" w:rsidRDefault="00B22186" w:rsidP="00472FC9">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Rimedi giuridici</w:t>
      </w:r>
    </w:p>
    <w:p w:rsidR="00472FC9"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11</w:t>
      </w:r>
    </w:p>
    <w:p w:rsidR="00B22186" w:rsidRPr="00506428" w:rsidRDefault="00B22186" w:rsidP="00B22186">
      <w:pPr>
        <w:pStyle w:val="Art"/>
        <w:tabs>
          <w:tab w:val="clear" w:pos="1701"/>
          <w:tab w:val="left" w:pos="851"/>
        </w:tabs>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1</w:t>
      </w:r>
      <w:r w:rsidRPr="00506428">
        <w:rPr>
          <w:rFonts w:asciiTheme="minorHAnsi" w:hAnsiTheme="minorHAnsi" w:cstheme="minorHAnsi"/>
          <w:sz w:val="24"/>
          <w:szCs w:val="24"/>
        </w:rPr>
        <w:t>Il richiedente e ogni membro dell’unità di riferimento possono contestare la decisione resa dal Comune. Il reclamo è da inoltrare entro 30 giorni dall’intimazione al Comune che ha pronunciato la decisione.</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2</w:t>
      </w:r>
      <w:r w:rsidRPr="00506428">
        <w:rPr>
          <w:rFonts w:asciiTheme="minorHAnsi" w:hAnsiTheme="minorHAnsi" w:cstheme="minorHAnsi"/>
          <w:sz w:val="24"/>
          <w:szCs w:val="24"/>
        </w:rPr>
        <w:t>Contro la decisione su reclamo pronunciata dal Comune è data facoltà di ricorso al Tribunale cantonale delle assicurazioni entro il termine di 30 giorni dall’intimazione.</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3</w:t>
      </w:r>
      <w:r w:rsidRPr="00506428">
        <w:rPr>
          <w:rFonts w:asciiTheme="minorHAnsi" w:hAnsiTheme="minorHAnsi" w:cstheme="minorHAnsi"/>
          <w:sz w:val="24"/>
          <w:szCs w:val="24"/>
        </w:rPr>
        <w:t>È applicabile la legge di procedura per le cause davanti al Tribunale cantonale delle assicurazioni del 23 giugno 2008 (Lptca).</w:t>
      </w:r>
    </w:p>
    <w:p w:rsidR="00472FC9" w:rsidRDefault="00472FC9" w:rsidP="00472FC9">
      <w:pPr>
        <w:pStyle w:val="Art"/>
        <w:ind w:left="0"/>
        <w:rPr>
          <w:rFonts w:asciiTheme="minorHAnsi" w:hAnsiTheme="minorHAnsi" w:cstheme="minorHAnsi"/>
          <w:sz w:val="24"/>
          <w:szCs w:val="24"/>
        </w:rPr>
      </w:pPr>
    </w:p>
    <w:p w:rsidR="00472FC9" w:rsidRPr="00506428" w:rsidRDefault="00472FC9" w:rsidP="00472FC9">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lastRenderedPageBreak/>
        <w:t>Diritto suppletorio</w:t>
      </w:r>
    </w:p>
    <w:p w:rsidR="00472FC9"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12</w:t>
      </w:r>
    </w:p>
    <w:p w:rsidR="00B22186" w:rsidRPr="00506428" w:rsidRDefault="00B22186" w:rsidP="00B22186">
      <w:pPr>
        <w:pStyle w:val="Art"/>
        <w:tabs>
          <w:tab w:val="clear" w:pos="1701"/>
          <w:tab w:val="left" w:pos="851"/>
        </w:tabs>
        <w:ind w:left="0"/>
        <w:rPr>
          <w:rFonts w:asciiTheme="minorHAnsi" w:eastAsia="Calibri" w:hAnsiTheme="minorHAnsi" w:cstheme="minorHAnsi"/>
          <w:sz w:val="24"/>
          <w:szCs w:val="24"/>
          <w:shd w:val="clear" w:color="auto" w:fill="FFFFFF"/>
        </w:rPr>
      </w:pPr>
      <w:r w:rsidRPr="00506428">
        <w:rPr>
          <w:rFonts w:asciiTheme="minorHAnsi" w:hAnsiTheme="minorHAnsi" w:cstheme="minorHAnsi"/>
          <w:sz w:val="24"/>
          <w:szCs w:val="24"/>
        </w:rPr>
        <w:t>P</w:t>
      </w:r>
      <w:r w:rsidRPr="00506428">
        <w:rPr>
          <w:rFonts w:asciiTheme="minorHAnsi" w:eastAsia="Calibri" w:hAnsiTheme="minorHAnsi" w:cstheme="minorHAnsi"/>
          <w:sz w:val="24"/>
          <w:szCs w:val="24"/>
          <w:shd w:val="clear" w:color="auto" w:fill="FFFFFF"/>
        </w:rPr>
        <w:t>er quanto non disposto nel presente decreto legislativo, sono applicabili le disposizioni della Laps e del relativo regolamento.</w:t>
      </w:r>
    </w:p>
    <w:p w:rsidR="00B22186" w:rsidRPr="00506428" w:rsidRDefault="00B22186" w:rsidP="00B22186">
      <w:pPr>
        <w:pStyle w:val="Art"/>
        <w:tabs>
          <w:tab w:val="clear" w:pos="1701"/>
          <w:tab w:val="left" w:pos="851"/>
        </w:tabs>
        <w:ind w:left="0"/>
        <w:rPr>
          <w:rFonts w:asciiTheme="minorHAnsi" w:eastAsia="Calibri" w:hAnsiTheme="minorHAnsi" w:cstheme="minorHAnsi"/>
          <w:sz w:val="24"/>
          <w:szCs w:val="24"/>
          <w:shd w:val="clear" w:color="auto" w:fill="FFFFFF"/>
        </w:rPr>
      </w:pPr>
    </w:p>
    <w:p w:rsidR="00B22186" w:rsidRPr="00506428" w:rsidRDefault="00B22186" w:rsidP="00B22186">
      <w:pPr>
        <w:pStyle w:val="Art"/>
        <w:tabs>
          <w:tab w:val="clear" w:pos="1701"/>
          <w:tab w:val="left" w:pos="851"/>
        </w:tabs>
        <w:ind w:left="0"/>
        <w:rPr>
          <w:rFonts w:asciiTheme="minorHAnsi" w:eastAsia="Calibri" w:hAnsiTheme="minorHAnsi" w:cstheme="minorHAnsi"/>
          <w:b/>
          <w:sz w:val="24"/>
          <w:szCs w:val="24"/>
          <w:shd w:val="clear" w:color="auto" w:fill="FFFFFF"/>
        </w:rPr>
      </w:pPr>
      <w:r w:rsidRPr="00506428">
        <w:rPr>
          <w:rFonts w:asciiTheme="minorHAnsi" w:eastAsia="Calibri" w:hAnsiTheme="minorHAnsi" w:cstheme="minorHAnsi"/>
          <w:b/>
          <w:sz w:val="24"/>
          <w:szCs w:val="24"/>
          <w:shd w:val="clear" w:color="auto" w:fill="FFFFFF"/>
        </w:rPr>
        <w:t>Disposizione transitoria</w:t>
      </w:r>
    </w:p>
    <w:p w:rsidR="00472FC9" w:rsidRDefault="00B22186" w:rsidP="00B22186">
      <w:pPr>
        <w:pStyle w:val="Art"/>
        <w:tabs>
          <w:tab w:val="clear" w:pos="1701"/>
          <w:tab w:val="left" w:pos="851"/>
        </w:tabs>
        <w:ind w:left="0"/>
        <w:rPr>
          <w:rFonts w:asciiTheme="minorHAnsi" w:eastAsia="Calibri" w:hAnsiTheme="minorHAnsi" w:cstheme="minorHAnsi"/>
          <w:sz w:val="24"/>
          <w:szCs w:val="24"/>
          <w:shd w:val="clear" w:color="auto" w:fill="FFFFFF"/>
        </w:rPr>
      </w:pPr>
      <w:r w:rsidRPr="00506428">
        <w:rPr>
          <w:rFonts w:asciiTheme="minorHAnsi" w:eastAsia="Calibri" w:hAnsiTheme="minorHAnsi" w:cstheme="minorHAnsi"/>
          <w:b/>
          <w:sz w:val="24"/>
          <w:szCs w:val="24"/>
          <w:shd w:val="clear" w:color="auto" w:fill="FFFFFF"/>
        </w:rPr>
        <w:t>Art. 13</w:t>
      </w:r>
      <w:r w:rsidRPr="00506428">
        <w:rPr>
          <w:rFonts w:asciiTheme="minorHAnsi" w:eastAsia="Calibri" w:hAnsiTheme="minorHAnsi" w:cstheme="minorHAnsi"/>
          <w:sz w:val="24"/>
          <w:szCs w:val="24"/>
          <w:shd w:val="clear" w:color="auto" w:fill="FFFFFF"/>
        </w:rPr>
        <w:t xml:space="preserve"> </w:t>
      </w:r>
    </w:p>
    <w:p w:rsidR="00B22186" w:rsidRPr="00506428" w:rsidRDefault="00B22186" w:rsidP="00B22186">
      <w:pPr>
        <w:pStyle w:val="Art"/>
        <w:tabs>
          <w:tab w:val="clear" w:pos="1701"/>
          <w:tab w:val="left" w:pos="851"/>
        </w:tabs>
        <w:ind w:left="0"/>
        <w:rPr>
          <w:rFonts w:asciiTheme="minorHAnsi" w:eastAsia="Calibri" w:hAnsiTheme="minorHAnsi" w:cstheme="minorHAnsi"/>
          <w:sz w:val="24"/>
          <w:szCs w:val="24"/>
          <w:shd w:val="clear" w:color="auto" w:fill="FFFFFF"/>
        </w:rPr>
      </w:pPr>
      <w:r w:rsidRPr="00506428">
        <w:rPr>
          <w:rFonts w:asciiTheme="minorHAnsi" w:eastAsia="Calibri" w:hAnsiTheme="minorHAnsi" w:cstheme="minorHAnsi"/>
          <w:sz w:val="24"/>
          <w:szCs w:val="24"/>
          <w:shd w:val="clear" w:color="auto" w:fill="FFFFFF"/>
        </w:rPr>
        <w:t>Il presente decreto legislativo, dopo la sua scadenza, continua ad applicarsi alle prestazioni riferite al periodo di validità.</w:t>
      </w:r>
    </w:p>
    <w:p w:rsidR="00B22186" w:rsidRPr="00506428" w:rsidRDefault="00B22186" w:rsidP="00B22186">
      <w:pPr>
        <w:pStyle w:val="Art"/>
        <w:ind w:left="0"/>
        <w:rPr>
          <w:rFonts w:asciiTheme="minorHAnsi" w:hAnsiTheme="minorHAnsi" w:cstheme="minorHAnsi"/>
          <w:sz w:val="24"/>
          <w:szCs w:val="24"/>
        </w:rPr>
      </w:pPr>
    </w:p>
    <w:p w:rsidR="00B22186" w:rsidRPr="00506428" w:rsidRDefault="00B22186" w:rsidP="00B22186">
      <w:pPr>
        <w:rPr>
          <w:rFonts w:asciiTheme="minorHAnsi" w:hAnsiTheme="minorHAnsi" w:cstheme="minorHAnsi"/>
          <w:b/>
        </w:rPr>
      </w:pPr>
      <w:r w:rsidRPr="00506428">
        <w:rPr>
          <w:rFonts w:asciiTheme="minorHAnsi" w:hAnsiTheme="minorHAnsi" w:cstheme="minorHAnsi"/>
          <w:b/>
        </w:rPr>
        <w:t>Entrata in vigore e durata di validità</w:t>
      </w:r>
    </w:p>
    <w:p w:rsidR="00472FC9" w:rsidRDefault="00B22186" w:rsidP="00B22186">
      <w:pPr>
        <w:pStyle w:val="Art"/>
        <w:tabs>
          <w:tab w:val="clear" w:pos="1701"/>
          <w:tab w:val="left" w:pos="851"/>
        </w:tabs>
        <w:ind w:left="0"/>
        <w:rPr>
          <w:rFonts w:asciiTheme="minorHAnsi" w:hAnsiTheme="minorHAnsi" w:cstheme="minorHAnsi"/>
          <w:sz w:val="24"/>
          <w:szCs w:val="24"/>
        </w:rPr>
      </w:pPr>
      <w:r w:rsidRPr="00506428">
        <w:rPr>
          <w:rFonts w:asciiTheme="minorHAnsi" w:hAnsiTheme="minorHAnsi" w:cstheme="minorHAnsi"/>
          <w:b/>
          <w:sz w:val="24"/>
          <w:szCs w:val="24"/>
        </w:rPr>
        <w:t>Art. 14</w:t>
      </w:r>
      <w:r w:rsidRPr="00506428">
        <w:rPr>
          <w:rFonts w:asciiTheme="minorHAnsi" w:hAnsiTheme="minorHAnsi" w:cstheme="minorHAnsi"/>
          <w:sz w:val="24"/>
          <w:szCs w:val="24"/>
        </w:rPr>
        <w:tab/>
      </w:r>
    </w:p>
    <w:p w:rsidR="00B22186" w:rsidRPr="00506428" w:rsidRDefault="00B22186" w:rsidP="00B22186">
      <w:pPr>
        <w:pStyle w:val="Art"/>
        <w:tabs>
          <w:tab w:val="clear" w:pos="1701"/>
          <w:tab w:val="left" w:pos="851"/>
        </w:tabs>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1</w:t>
      </w:r>
      <w:r w:rsidRPr="00506428">
        <w:rPr>
          <w:rFonts w:asciiTheme="minorHAnsi" w:hAnsiTheme="minorHAnsi" w:cstheme="minorHAnsi"/>
          <w:sz w:val="24"/>
          <w:szCs w:val="24"/>
        </w:rPr>
        <w:t>Il presente decreto legislativo sottostà a referendum facoltativo.</w:t>
      </w:r>
    </w:p>
    <w:p w:rsidR="00B22186" w:rsidRPr="00506428" w:rsidRDefault="00B22186" w:rsidP="00B22186">
      <w:pPr>
        <w:pStyle w:val="Art"/>
        <w:ind w:left="0"/>
        <w:rPr>
          <w:rFonts w:asciiTheme="minorHAnsi" w:hAnsiTheme="minorHAnsi" w:cstheme="minorHAnsi"/>
          <w:sz w:val="24"/>
          <w:szCs w:val="24"/>
        </w:rPr>
      </w:pPr>
      <w:r w:rsidRPr="00506428">
        <w:rPr>
          <w:rStyle w:val="esp"/>
          <w:rFonts w:asciiTheme="minorHAnsi" w:hAnsiTheme="minorHAnsi" w:cstheme="minorHAnsi"/>
          <w:sz w:val="24"/>
          <w:szCs w:val="24"/>
          <w:vertAlign w:val="superscript"/>
        </w:rPr>
        <w:t>2</w:t>
      </w:r>
      <w:r w:rsidRPr="00506428">
        <w:rPr>
          <w:rFonts w:asciiTheme="minorHAnsi" w:hAnsiTheme="minorHAnsi" w:cstheme="minorHAnsi"/>
          <w:sz w:val="24"/>
          <w:szCs w:val="24"/>
        </w:rPr>
        <w:t xml:space="preserve">Esso entra in vigore con effetto retroattivo il 1° gennaio 2022 e decade il 30 giugno 2022. </w:t>
      </w:r>
    </w:p>
    <w:p w:rsidR="00B22186" w:rsidRPr="00506428" w:rsidRDefault="00B22186" w:rsidP="00B22186">
      <w:pPr>
        <w:pStyle w:val="Art"/>
        <w:ind w:left="0"/>
        <w:rPr>
          <w:rFonts w:asciiTheme="minorHAnsi" w:hAnsiTheme="minorHAnsi" w:cstheme="minorHAnsi"/>
        </w:rPr>
      </w:pPr>
      <w:r w:rsidRPr="00506428">
        <w:rPr>
          <w:rFonts w:asciiTheme="minorHAnsi" w:hAnsiTheme="minorHAnsi" w:cstheme="minorHAnsi"/>
          <w:sz w:val="24"/>
          <w:szCs w:val="24"/>
          <w:vertAlign w:val="superscript"/>
        </w:rPr>
        <w:t>3</w:t>
      </w:r>
      <w:r w:rsidRPr="00506428">
        <w:rPr>
          <w:rFonts w:asciiTheme="minorHAnsi" w:hAnsiTheme="minorHAnsi" w:cstheme="minorHAnsi"/>
          <w:sz w:val="24"/>
          <w:szCs w:val="24"/>
        </w:rPr>
        <w:t xml:space="preserve">Il Consiglio di Stato può prorogarne la validità fino al </w:t>
      </w:r>
      <w:r w:rsidRPr="00CB18B7">
        <w:rPr>
          <w:rFonts w:asciiTheme="minorHAnsi" w:hAnsiTheme="minorHAnsi" w:cstheme="minorHAnsi"/>
          <w:sz w:val="24"/>
          <w:szCs w:val="24"/>
        </w:rPr>
        <w:t>31 dicembre 2022.</w:t>
      </w:r>
    </w:p>
    <w:p w:rsidR="00B22186" w:rsidRPr="00713C22" w:rsidRDefault="00B22186" w:rsidP="00B22186">
      <w:pPr>
        <w:rPr>
          <w:lang w:val="it-IT"/>
        </w:rPr>
      </w:pPr>
    </w:p>
    <w:sectPr w:rsidR="00B22186" w:rsidRPr="00713C22"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E6" w:rsidRDefault="006045E6" w:rsidP="00F657BF">
      <w:r>
        <w:separator/>
      </w:r>
    </w:p>
  </w:endnote>
  <w:endnote w:type="continuationSeparator" w:id="0">
    <w:p w:rsidR="006045E6" w:rsidRDefault="006045E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C1B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C1B81" w:rsidP="00912E34">
          <w:pPr>
            <w:tabs>
              <w:tab w:val="center" w:pos="2382"/>
            </w:tabs>
          </w:pPr>
        </w:p>
      </w:tc>
      <w:tc>
        <w:tcPr>
          <w:tcW w:w="721" w:type="dxa"/>
        </w:tcPr>
        <w:p w:rsidR="00912E34" w:rsidRPr="003D1008" w:rsidRDefault="0060245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60245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C1B81"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C1B81">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E6" w:rsidRDefault="006045E6" w:rsidP="00F657BF">
      <w:r>
        <w:separator/>
      </w:r>
    </w:p>
  </w:footnote>
  <w:footnote w:type="continuationSeparator" w:id="0">
    <w:p w:rsidR="006045E6" w:rsidRDefault="006045E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C1B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35AE4470-7461-4C69-B646-58DEA55E4B4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E02B8C"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60245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C1B81">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C1B81">
            <w:rPr>
              <w:noProof/>
              <w:sz w:val="24"/>
            </w:rPr>
            <w:t>8</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5AE4470-7461-4C69-B646-58DEA55E4B4A}"/>
          <w:text w:multiLine="1"/>
        </w:sdtPr>
        <w:sdtEndPr/>
        <w:sdtContent>
          <w:tc>
            <w:tcPr>
              <w:tcW w:w="8383" w:type="dxa"/>
              <w:tcBorders>
                <w:left w:val="single" w:sz="4" w:space="0" w:color="auto"/>
              </w:tcBorders>
              <w:tcMar>
                <w:top w:w="0" w:type="dxa"/>
                <w:left w:w="142" w:type="dxa"/>
              </w:tcMar>
            </w:tcPr>
            <w:p w:rsidR="005012EC" w:rsidRPr="00E8185F" w:rsidRDefault="00E02B8C"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n. 8103 R del 8 febbraio 2022</w:t>
              </w:r>
            </w:p>
          </w:tc>
        </w:sdtContent>
      </w:sdt>
      <w:tc>
        <w:tcPr>
          <w:tcW w:w="1710" w:type="dxa"/>
          <w:tcBorders>
            <w:top w:val="single" w:sz="4" w:space="0" w:color="auto"/>
          </w:tcBorders>
        </w:tcPr>
        <w:p w:rsidR="005012EC" w:rsidRPr="00E043A3" w:rsidRDefault="00AC1B81" w:rsidP="00662409">
          <w:pPr>
            <w:pStyle w:val="InvisibleLine"/>
            <w:rPr>
              <w:lang w:val="de-DE"/>
            </w:rPr>
          </w:pPr>
        </w:p>
      </w:tc>
    </w:tr>
  </w:tbl>
  <w:p w:rsidR="00F657BF" w:rsidRPr="00980362" w:rsidRDefault="0060245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5AE4470-7461-4C69-B646-58DEA55E4B4A}"/>
                            <w:text w:multiLine="1"/>
                          </w:sdtPr>
                          <w:sdtEndPr/>
                          <w:sdtContent>
                            <w:p w:rsidR="008065E8" w:rsidRPr="00411371" w:rsidRDefault="0060245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5AE4470-7461-4C69-B646-58DEA55E4B4A}"/>
                      <w:text w:multiLine="1"/>
                    </w:sdtPr>
                    <w:sdtEndPr/>
                    <w:sdtContent>
                      <w:p w:rsidR="008065E8" w:rsidRPr="00411371" w:rsidRDefault="0060245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AC1B81" w:rsidP="00D07D6E">
          <w:pPr>
            <w:pStyle w:val="InvisibleLine"/>
            <w:ind w:left="150"/>
            <w:rPr>
              <w:sz w:val="16"/>
            </w:rPr>
          </w:pPr>
        </w:p>
      </w:tc>
      <w:tc>
        <w:tcPr>
          <w:tcW w:w="373" w:type="pct"/>
          <w:tcBorders>
            <w:top w:val="nil"/>
            <w:bottom w:val="single" w:sz="4" w:space="0" w:color="auto"/>
          </w:tcBorders>
          <w:vAlign w:val="bottom"/>
        </w:tcPr>
        <w:p w:rsidR="00662409" w:rsidRPr="003108C0" w:rsidRDefault="00AC1B81" w:rsidP="00D07D6E">
          <w:pPr>
            <w:pStyle w:val="Level"/>
            <w:ind w:left="150"/>
            <w:rPr>
              <w:sz w:val="16"/>
            </w:rPr>
          </w:pPr>
        </w:p>
      </w:tc>
      <w:tc>
        <w:tcPr>
          <w:tcW w:w="209" w:type="pct"/>
          <w:tcBorders>
            <w:top w:val="nil"/>
            <w:bottom w:val="single" w:sz="4" w:space="0" w:color="auto"/>
          </w:tcBorders>
        </w:tcPr>
        <w:p w:rsidR="00662409" w:rsidRDefault="0060245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60245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3275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32759">
            <w:rPr>
              <w:rFonts w:asciiTheme="minorHAnsi" w:hAnsiTheme="minorHAnsi" w:cstheme="minorHAnsi"/>
              <w:noProof/>
              <w:sz w:val="24"/>
            </w:rPr>
            <w:t>8</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5AE4470-7461-4C69-B646-58DEA55E4B4A}"/>
          <w:text w:multiLine="1"/>
        </w:sdtPr>
        <w:sdtEndPr/>
        <w:sdtContent>
          <w:tc>
            <w:tcPr>
              <w:tcW w:w="5000" w:type="pct"/>
              <w:gridSpan w:val="6"/>
              <w:tcBorders>
                <w:left w:val="nil"/>
                <w:right w:val="nil"/>
              </w:tcBorders>
              <w:noWrap/>
              <w:tcMar>
                <w:top w:w="0" w:type="dxa"/>
              </w:tcMar>
              <w:vAlign w:val="bottom"/>
            </w:tcPr>
            <w:p w:rsidR="00662409" w:rsidRPr="008C03B5" w:rsidRDefault="00E02B8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60245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C1B8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60245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C1B8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60245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C1B81"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C1B8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5AE4470-7461-4C69-B646-58DEA55E4B4A}"/>
              <w:text w:multiLine="1"/>
            </w:sdtPr>
            <w:sdtEndPr/>
            <w:sdtContent>
              <w:r w:rsidR="00E02B8C">
                <w:rPr>
                  <w:rFonts w:cstheme="minorHAnsi"/>
                  <w:b/>
                  <w:sz w:val="24"/>
                  <w:szCs w:val="24"/>
                </w:rPr>
                <w:t>8103 R</w:t>
              </w:r>
            </w:sdtContent>
          </w:sdt>
        </w:p>
      </w:tc>
      <w:sdt>
        <w:sdtPr>
          <w:rPr>
            <w:sz w:val="24"/>
          </w:rPr>
          <w:alias w:val="DocParam.Date"/>
          <w:id w:val="-464426178"/>
          <w:dataBinding w:xpath="//DateTime[@id='DocParam.Date']" w:storeItemID="{35AE4470-7461-4C69-B646-58DEA55E4B4A}"/>
          <w:date w:fullDate="2022-02-0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02B8C" w:rsidP="00A532F6">
              <w:pPr>
                <w:pStyle w:val="Data"/>
              </w:pPr>
              <w:r>
                <w:rPr>
                  <w:sz w:val="24"/>
                </w:rPr>
                <w:t>8 febbraio 2022</w:t>
              </w:r>
            </w:p>
          </w:tc>
        </w:sdtContent>
      </w:sdt>
      <w:tc>
        <w:tcPr>
          <w:tcW w:w="3218" w:type="pct"/>
          <w:gridSpan w:val="4"/>
          <w:tcBorders>
            <w:top w:val="nil"/>
            <w:left w:val="nil"/>
            <w:bottom w:val="nil"/>
            <w:right w:val="nil"/>
          </w:tcBorders>
        </w:tcPr>
        <w:p w:rsidR="008C03B5" w:rsidRPr="00BE22A2" w:rsidRDefault="00AC1B8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5AE4470-7461-4C69-B646-58DEA55E4B4A}"/>
              <w:text w:multiLine="1"/>
            </w:sdtPr>
            <w:sdtEndPr/>
            <w:sdtContent>
              <w:r w:rsidR="00E02B8C">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C1B81" w:rsidP="00D07D6E">
          <w:pPr>
            <w:pStyle w:val="Level"/>
            <w:ind w:left="150"/>
            <w:rPr>
              <w:rFonts w:ascii="Gill Alt One MT Light" w:hAnsi="Gill Alt One MT Light"/>
              <w:sz w:val="16"/>
              <w:szCs w:val="16"/>
            </w:rPr>
          </w:pPr>
        </w:p>
      </w:tc>
    </w:tr>
  </w:tbl>
  <w:p w:rsidR="00F657BF" w:rsidRPr="00DA2879" w:rsidRDefault="0060245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5AE4470-7461-4C69-B646-58DEA55E4B4A}"/>
                            <w:text w:multiLine="1"/>
                          </w:sdtPr>
                          <w:sdtEndPr/>
                          <w:sdtContent>
                            <w:p w:rsidR="00E93620" w:rsidRPr="00411371" w:rsidRDefault="0060245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5AE4470-7461-4C69-B646-58DEA55E4B4A}"/>
                      <w:text w:multiLine="1"/>
                    </w:sdtPr>
                    <w:sdtEndPr/>
                    <w:sdtContent>
                      <w:p w:rsidR="00E93620" w:rsidRPr="00411371" w:rsidRDefault="0060245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78D27AF"/>
    <w:multiLevelType w:val="multilevel"/>
    <w:tmpl w:val="1DB04CAE"/>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E6"/>
    <w:rsid w:val="000303A2"/>
    <w:rsid w:val="00032759"/>
    <w:rsid w:val="00106ECF"/>
    <w:rsid w:val="00166118"/>
    <w:rsid w:val="001B7E2F"/>
    <w:rsid w:val="001C79FF"/>
    <w:rsid w:val="00216EDD"/>
    <w:rsid w:val="002B5D9F"/>
    <w:rsid w:val="002E0CB4"/>
    <w:rsid w:val="003B756D"/>
    <w:rsid w:val="00403ADB"/>
    <w:rsid w:val="00472FC9"/>
    <w:rsid w:val="004D1BCB"/>
    <w:rsid w:val="00506428"/>
    <w:rsid w:val="0053589C"/>
    <w:rsid w:val="00572FD3"/>
    <w:rsid w:val="00602459"/>
    <w:rsid w:val="006045E6"/>
    <w:rsid w:val="00734ADD"/>
    <w:rsid w:val="007F0A33"/>
    <w:rsid w:val="00857334"/>
    <w:rsid w:val="00862B59"/>
    <w:rsid w:val="008720C4"/>
    <w:rsid w:val="00892BC7"/>
    <w:rsid w:val="008F52AF"/>
    <w:rsid w:val="009C5E5A"/>
    <w:rsid w:val="00A66EE7"/>
    <w:rsid w:val="00AC1B81"/>
    <w:rsid w:val="00AF0268"/>
    <w:rsid w:val="00B22186"/>
    <w:rsid w:val="00B71724"/>
    <w:rsid w:val="00BE0AC3"/>
    <w:rsid w:val="00BF0A1F"/>
    <w:rsid w:val="00C86E56"/>
    <w:rsid w:val="00CB18B7"/>
    <w:rsid w:val="00D33940"/>
    <w:rsid w:val="00D600FD"/>
    <w:rsid w:val="00D649A8"/>
    <w:rsid w:val="00DE3BEF"/>
    <w:rsid w:val="00E02B8C"/>
    <w:rsid w:val="00E04B5E"/>
    <w:rsid w:val="00E06678"/>
    <w:rsid w:val="00E15370"/>
    <w:rsid w:val="00EB088A"/>
    <w:rsid w:val="00F657BF"/>
    <w:rsid w:val="00F818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86086"/>
  <w15:docId w15:val="{047B5BE2-7F4B-4060-9C1B-7035069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45E6"/>
    <w:pPr>
      <w:spacing w:after="0"/>
      <w:jc w:val="both"/>
    </w:pPr>
    <w:rPr>
      <w:rFonts w:ascii="Arial" w:eastAsia="Arial" w:hAnsi="Arial" w:cs="Arial"/>
      <w:sz w:val="24"/>
      <w:szCs w:val="24"/>
      <w:lang w:val="it-CH" w:eastAsia="it-IT"/>
    </w:rPr>
  </w:style>
  <w:style w:type="paragraph" w:styleId="Titolo1">
    <w:name w:val="heading 1"/>
    <w:basedOn w:val="Normale"/>
    <w:next w:val="Normale"/>
    <w:link w:val="Titolo1Carattere"/>
    <w:qFormat/>
    <w:rsid w:val="006F0D42"/>
    <w:pPr>
      <w:keepNext/>
      <w:suppressAutoHyphens/>
      <w:spacing w:before="240" w:after="120"/>
      <w:jc w:val="left"/>
      <w:outlineLvl w:val="0"/>
    </w:pPr>
    <w:rPr>
      <w:rFonts w:eastAsiaTheme="minorHAnsi" w:cstheme="minorBidi"/>
      <w:b/>
      <w:sz w:val="22"/>
      <w:szCs w:val="22"/>
      <w:lang w:eastAsia="en-US"/>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uppressAutoHyphens/>
      <w:spacing w:before="40"/>
      <w:outlineLvl w:val="4"/>
    </w:pPr>
    <w:rPr>
      <w:rFonts w:eastAsiaTheme="majorEastAsia" w:cstheme="majorBidi"/>
      <w:b/>
      <w:color w:val="365F91"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6F0D42"/>
    <w:pPr>
      <w:keepNext/>
      <w:keepLines/>
      <w:suppressAutoHyphens/>
      <w:spacing w:before="40"/>
      <w:outlineLvl w:val="5"/>
    </w:pPr>
    <w:rPr>
      <w:rFonts w:eastAsiaTheme="majorEastAsia" w:cstheme="majorBidi"/>
      <w:b/>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6F0D42"/>
    <w:pPr>
      <w:keepNext/>
      <w:keepLines/>
      <w:suppressAutoHyphens/>
      <w:spacing w:before="40"/>
      <w:outlineLvl w:val="6"/>
    </w:pPr>
    <w:rPr>
      <w:rFonts w:eastAsiaTheme="majorEastAsia" w:cstheme="majorBidi"/>
      <w:b/>
      <w:i/>
      <w:iCs/>
      <w:color w:val="243F60"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6F0D42"/>
    <w:pPr>
      <w:keepNext/>
      <w:keepLines/>
      <w:suppressAutoHyphens/>
      <w:spacing w:before="40"/>
      <w:outlineLvl w:val="7"/>
    </w:pPr>
    <w:rPr>
      <w:rFonts w:eastAsiaTheme="majorEastAsia" w:cstheme="majorBidi"/>
      <w:color w:val="272727" w:themeColor="text1" w:themeTint="D8"/>
      <w:sz w:val="22"/>
      <w:szCs w:val="21"/>
      <w:lang w:eastAsia="en-US"/>
    </w:rPr>
  </w:style>
  <w:style w:type="paragraph" w:styleId="Titolo9">
    <w:name w:val="heading 9"/>
    <w:basedOn w:val="Normale"/>
    <w:next w:val="Normale"/>
    <w:link w:val="Titolo9Carattere"/>
    <w:uiPriority w:val="9"/>
    <w:semiHidden/>
    <w:unhideWhenUsed/>
    <w:qFormat/>
    <w:rsid w:val="006F0D42"/>
    <w:pPr>
      <w:keepNext/>
      <w:keepLines/>
      <w:suppressAutoHyphens/>
      <w:spacing w:before="40"/>
      <w:outlineLvl w:val="8"/>
    </w:pPr>
    <w:rPr>
      <w:rFonts w:eastAsiaTheme="majorEastAsia" w:cstheme="majorBidi"/>
      <w:i/>
      <w:iCs/>
      <w:color w:val="272727" w:themeColor="text1" w:themeTint="D8"/>
      <w:sz w:val="22"/>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suppressAutoHyphens/>
      <w:jc w:val="left"/>
    </w:pPr>
    <w:rPr>
      <w:rFonts w:asciiTheme="majorHAnsi" w:eastAsiaTheme="minorHAnsi" w:hAnsiTheme="majorHAnsi" w:cstheme="minorBidi"/>
      <w:b/>
      <w:sz w:val="32"/>
      <w:szCs w:val="22"/>
      <w:lang w:eastAsia="en-US"/>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uppressAutoHyphens/>
      <w:spacing w:after="200"/>
      <w:jc w:val="left"/>
    </w:pPr>
    <w:rPr>
      <w:rFonts w:asciiTheme="majorHAnsi" w:eastAsiaTheme="minorHAnsi" w:hAnsiTheme="majorHAnsi" w:cstheme="minorBidi"/>
      <w:b/>
      <w:sz w:val="22"/>
      <w:szCs w:val="22"/>
      <w:lang w:eastAsia="en-US"/>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suppressAutoHyphens/>
      <w:contextualSpacing/>
    </w:pPr>
    <w:rPr>
      <w:rFonts w:eastAsiaTheme="minorHAnsi" w:cstheme="minorBidi"/>
      <w:sz w:val="22"/>
      <w:szCs w:val="22"/>
      <w:lang w:eastAsia="en-US"/>
    </w:r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suppressAutoHyphens/>
      <w:contextualSpacing/>
    </w:pPr>
    <w:rPr>
      <w:rFonts w:eastAsiaTheme="minorHAnsi" w:cstheme="minorBidi"/>
      <w:sz w:val="22"/>
      <w:szCs w:val="22"/>
      <w:lang w:eastAsia="en-US"/>
    </w:rPr>
  </w:style>
  <w:style w:type="paragraph" w:customStyle="1" w:styleId="ListLine">
    <w:name w:val="ListLine"/>
    <w:basedOn w:val="Normale"/>
    <w:rsid w:val="008C0661"/>
    <w:pPr>
      <w:numPr>
        <w:numId w:val="6"/>
      </w:numPr>
      <w:suppressAutoHyphens/>
      <w:contextualSpacing/>
    </w:pPr>
    <w:rPr>
      <w:rFonts w:eastAsiaTheme="minorHAnsi" w:cstheme="minorBidi"/>
      <w:sz w:val="22"/>
      <w:szCs w:val="22"/>
      <w:lang w:eastAsia="en-US"/>
    </w:rPr>
  </w:style>
  <w:style w:type="paragraph" w:customStyle="1" w:styleId="ListBullet">
    <w:name w:val="ListBullet"/>
    <w:basedOn w:val="Normale"/>
    <w:rsid w:val="008C0661"/>
    <w:pPr>
      <w:numPr>
        <w:numId w:val="5"/>
      </w:numPr>
      <w:suppressAutoHyphens/>
      <w:contextualSpacing/>
    </w:pPr>
    <w:rPr>
      <w:rFonts w:eastAsiaTheme="minorHAnsi" w:cstheme="minorBidi"/>
      <w:sz w:val="22"/>
      <w:szCs w:val="22"/>
      <w:lang w:eastAsia="en-US"/>
    </w:r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uppressAutoHyphens/>
      <w:spacing w:before="240" w:after="120"/>
      <w:ind w:left="567" w:right="567" w:hanging="567"/>
      <w:jc w:val="left"/>
    </w:pPr>
    <w:rPr>
      <w:rFonts w:eastAsiaTheme="minorHAnsi" w:cstheme="minorBidi"/>
      <w:b/>
      <w:sz w:val="22"/>
      <w:szCs w:val="22"/>
      <w:lang w:eastAsia="en-US"/>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suppressAutoHyphens/>
      <w:jc w:val="left"/>
    </w:pPr>
    <w:rPr>
      <w:rFonts w:eastAsiaTheme="minorHAnsi" w:cstheme="minorBidi"/>
      <w:sz w:val="22"/>
      <w:szCs w:val="22"/>
      <w:lang w:eastAsia="en-US"/>
    </w:r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pPr>
      <w:suppressAutoHyphens/>
    </w:pPr>
    <w:rPr>
      <w:rFonts w:eastAsiaTheme="minorHAnsi" w:cstheme="minorBidi"/>
      <w:sz w:val="22"/>
      <w:szCs w:val="22"/>
      <w:lang w:eastAsia="en-US"/>
    </w:rPr>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uppressAutoHyphens/>
      <w:spacing w:line="204" w:lineRule="auto"/>
      <w:jc w:val="right"/>
    </w:pPr>
    <w:rPr>
      <w:rFonts w:ascii="Gill Alt One MT Light" w:eastAsiaTheme="minorHAnsi" w:hAnsi="Gill Alt One MT Light" w:cstheme="minorBidi"/>
      <w:sz w:val="16"/>
      <w:szCs w:val="22"/>
      <w:lang w:eastAsia="en-US"/>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suppressAutoHyphens/>
      <w:jc w:val="left"/>
    </w:pPr>
    <w:rPr>
      <w:rFonts w:eastAsiaTheme="minorHAnsi" w:cstheme="minorBidi"/>
      <w:sz w:val="22"/>
      <w:szCs w:val="22"/>
      <w:lang w:eastAsia="en-US"/>
    </w:r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suppressAutoHyphens/>
      <w:jc w:val="left"/>
    </w:pPr>
    <w:rPr>
      <w:rFonts w:eastAsiaTheme="minorHAnsi" w:cstheme="minorBidi"/>
      <w:sz w:val="22"/>
      <w:szCs w:val="22"/>
      <w:lang w:eastAsia="en-US"/>
    </w:rPr>
  </w:style>
  <w:style w:type="paragraph" w:customStyle="1" w:styleId="StandardRisoluzionedelConsigliodiStato">
    <w:name w:val="StandardRisoluzionedelConsigliodiStato"/>
    <w:basedOn w:val="Normale"/>
    <w:qFormat/>
    <w:rsid w:val="00FA1872"/>
    <w:pPr>
      <w:suppressAutoHyphens/>
    </w:pPr>
    <w:rPr>
      <w:rFonts w:eastAsiaTheme="minorHAnsi" w:cstheme="minorBidi"/>
      <w:szCs w:val="22"/>
      <w:lang w:eastAsia="en-US"/>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Art">
    <w:name w:val="Art"/>
    <w:link w:val="ArtCarattere"/>
    <w:rsid w:val="00B22186"/>
    <w:pPr>
      <w:tabs>
        <w:tab w:val="left" w:pos="1701"/>
      </w:tabs>
      <w:spacing w:after="0"/>
      <w:ind w:left="720" w:right="187"/>
      <w:jc w:val="both"/>
    </w:pPr>
    <w:rPr>
      <w:rFonts w:ascii="Arial" w:eastAsia="Times New Roman" w:hAnsi="Arial" w:cs="Times New Roman"/>
      <w:noProof/>
      <w:sz w:val="20"/>
      <w:szCs w:val="20"/>
      <w:lang w:val="it-IT" w:eastAsia="it-IT"/>
    </w:rPr>
  </w:style>
  <w:style w:type="character" w:customStyle="1" w:styleId="ArtCarattere">
    <w:name w:val="Art Carattere"/>
    <w:basedOn w:val="Carpredefinitoparagrafo"/>
    <w:link w:val="Art"/>
    <w:rsid w:val="00B22186"/>
    <w:rPr>
      <w:rFonts w:ascii="Arial" w:eastAsia="Times New Roman" w:hAnsi="Arial" w:cs="Times New Roman"/>
      <w:noProof/>
      <w:sz w:val="20"/>
      <w:szCs w:val="20"/>
      <w:lang w:val="it-IT" w:eastAsia="it-IT"/>
    </w:rPr>
  </w:style>
  <w:style w:type="character" w:customStyle="1" w:styleId="esp">
    <w:name w:val="esp"/>
    <w:rsid w:val="00B22186"/>
    <w:rPr>
      <w:rFonts w:ascii="Times" w:hAnsi="Times"/>
      <w:spacing w:val="0"/>
      <w:kern w:val="0"/>
      <w:position w:val="4"/>
      <w:sz w:val="10"/>
      <w:vertAlign w:val="baseline"/>
    </w:rPr>
  </w:style>
  <w:style w:type="paragraph" w:customStyle="1" w:styleId="Lettere">
    <w:name w:val="Lettere"/>
    <w:basedOn w:val="Art"/>
    <w:next w:val="Art"/>
    <w:rsid w:val="00B22186"/>
    <w:pPr>
      <w:tabs>
        <w:tab w:val="left" w:pos="1134"/>
      </w:tabs>
      <w:ind w:left="1134" w:hanging="414"/>
    </w:pPr>
  </w:style>
  <w:style w:type="paragraph" w:styleId="NormaleWeb">
    <w:name w:val="Normal (Web)"/>
    <w:basedOn w:val="Normale"/>
    <w:uiPriority w:val="99"/>
    <w:semiHidden/>
    <w:unhideWhenUsed/>
    <w:rsid w:val="000303A2"/>
    <w:pPr>
      <w:jc w:val="left"/>
    </w:pPr>
    <w:rPr>
      <w:rFonts w:ascii="Times New Roman" w:eastAsiaTheme="minorHAnsi" w:hAnsi="Times New Roman" w:cs="Times New Roman"/>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8945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01\AppData\Local\Temp\OneOffixx\generated\61c587d9-a557-4fb1-9b96-eaea563548c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O n e O f f i x x D o c u m e n t P a r t   x m l n s : x s i = " h t t p : / / w w w . w 3 . o r g / 2 0 0 1 / X M L S c h e m a - i n s t a n c e "   x m l n s : x s d = " h t t p : / / w w w . w 3 . o r g / 2 0 0 1 / X M L S c h e m a "   i d = " b 4 e 7 4 a 9 9 - 5 f 5 9 - 4 9 d d - a 2 3 2 - 2 1 c c 7 c f 4 a 1 2 3 "   t I d = " a 3 6 2 a 5 d 4 - 9 5 8 9 - 4 1 b f - a 4 e 6 - 4 f 8 7 c 4 e 4 1 2 3 9 "   i n t e r n a l T I d = " 9 0 6 4 c c 7 f - 3 1 6 d - 4 6 b 1 - a 4 a c - 7 4 8 6 0 c 3 f 8 a 5 b "   m t I d = " 2 7 5 a f 3 2 e - b c 4 0 - 4 5 c 2 - 8 5 b 7 - a f b 1 c 0 3 8 2 6 5 3 "   r e v i s i o n = " 0 "   c r e a t e d m a j o r v e r s i o n = " 0 "   c r e a t e d m i n o r v e r s i o n = " 0 "   c r e a t e d = " 2 0 2 2 - 0 2 - 0 8 T 1 3 : 3 2 : 3 9 . 6 3 5 6 7 2 1 Z "   m o d i f i e d m a j o r v e r s i o n = " 0 "   m o d i f i e d m i n o r v e r s i o n = " 0 "   m o d i f i e d = " 0 0 0 1 - 0 1 - 0 1 T 0 0 : 0 0 : 0 0 "   p r o f i l e = " 1 0 1 4 7 1 e a - 4 e f f - 4 6 5 d - 8 3 0 0 - c 8 e b e 3 3 9 9 b 2 f "   m o d e = " S a v e d D o c u m e n t "   c o l o r m o d e = " C o l o r "   l c i d = " 2 0 6 4 "   x m l n s = " h t t p : / / s c h e m a . o n e o f f i x x . c o m / O n e O f f i x x D o c u m e n t P a r t / 1 " >  
     < C o n t e n t >  
         < D a t a M o d e l   x m l n s = " " >  
             < P r o f i l e >  
                 < T e x t   i d = " P r o f i l e . I d "   l a b e l = " P r o f i l e . I d " > < ! [ C D A T A [ 1 0 1 4 7 1 e a - 4 e f f - 4 6 5 d - 8 3 0 0 - c 8 e b e 3 3 9 9 b 2 f ] ] > < / 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r i s a . m o r a n d i @ t i . c h ] ] > < / T e x t >  
                 < T e x t   i d = " P r o f i l e . U s e r . F i r s t N a m e "   l a b e l = " P r o f i l e . U s e r . F i r s t N a m e " > < ! [ C D A T A [ M a r i s a ] ] > < / T e x t >  
                 < T e x t   i d = " P r o f i l e . U s e r . F u n c t i o n "   l a b e l = " P r o f i l e . U s e r . F u n c t i o n " > < ! [ C D A T A [ S G C ] ] > < / T e x t >  
                 < T e x t   i d = " P r o f i l e . U s e r . L a s t N a m e "   l a b e l = " P r o f i l e . U s e r . L a s t N a m e " > < ! [ C D A T A [ M o r a n d i ] ] > < / T e x t >  
                 < T e x t   i d = " P r o f i l e . U s e r . M o b i l e "   l a b e l = " P r o f i l e . U s e r . M o b i l e " > < ! [ C D A T A [   ] ] > < / T e x t >  
                 < T e x t   i d = " P r o f i l e . U s e r . P h o n e "   l a b e l = " P r o f i l e . U s e r . P h o n e " > < ! [ C D A T A [ + 4 1 9 1 8 1 4 4 3 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r i s a . m o r a n d i @ t i . c h ] ] > < / T e x t >  
                 < T e x t   i d = " A u t h o r . U s e r . F i r s t N a m e "   l a b e l = " A u t h o r . U s e r . F i r s t N a m e " > < ! [ C D A T A [ M a r i s a ] ] > < / T e x t >  
                 < T e x t   i d = " A u t h o r . U s e r . F u n c t i o n "   l a b e l = " A u t h o r . U s e r . F u n c t i o n " > < ! [ C D A T A [ S G C ] ] > < / T e x t >  
                 < T e x t   i d = " A u t h o r . U s e r . L a s t N a m e "   l a b e l = " A u t h o r . U s e r . L a s t N a m e " > < ! [ C D A T A [ M o r a n d i ] ] > < / T e x t >  
                 < T e x t   i d = " A u t h o r . U s e r . M o b i l e "   l a b e l = " A u t h o r . U s e r . M o b i l e " > < ! [ C D A T A [   ] ] > < / T e x t >  
                 < T e x t   i d = " A u t h o r . U s e r . P h o n e "   l a b e l = " A u t h o r . U s e r . P h o n e " > < ! [ C D A T A [ + 4 1 9 1 8 1 4 4 3 2 7 ] ] > < / T e x t >  
                 < T e x t   i d = " A u t h o r . U s e r . S a l u t a t i o n "   l a b e l = " A u t h o r . U s e r . S a l u t a t i o n " > < ! [ C D A T A [   ] ] > < / T e x t >  
                 < T e x t   i d = " A u t h o r . U s e r . T i t l e "   l a b e l = " A u t h o r . U s e r . T i t l e " > < ! [ C D A T A [   ] ] > < / T e x t >  
             < / A u t h o r >  
             < S i g n e r _ 0 >  
                 < T e x t   i d = " S i g n e r _ 0 . I d "   l a b e l = " S i g n e r _ 0 . I d " > < ! [ C D A T A [ 1 0 1 4 7 1 e a - 4 e f f - 4 6 5 d - 8 3 0 0 - c 8 e b e 3 3 9 9 b 2 f ] ] > < / T e x t >  
                 < T e x t   i d = " S i g n e r _ 0 . O r g a n i z a t i o n U n i t I d "   l a b e l = " S i g n e r _ 0 . O r g a n i z a t i o n U n i t I d " > < ! [ C D A T A [ 9 d a a d 4 f f - 6 1 3 7 - 4 d d c - a 8 d 4 - 7 b 3 0 4 6 4 e 8 6 4 a ] ] > < / 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m a r i s a . m o r a n d i @ t i . c h ] ] > < / T e x t >  
                 < T e x t   i d = " S i g n e r _ 0 . U s e r . F i r s t N a m e "   l a b e l = " S i g n e r _ 0 . U s e r . F i r s t N a m e " > < ! [ C D A T A [ M a r i s a ] ] > < / T e x t >  
                 < T e x t   i d = " S i g n e r _ 0 . U s e r . F u n c t i o n "   l a b e l = " S i g n e r _ 0 . U s e r . F u n c t i o n " > < ! [ C D A T A [ S G C ] ] > < / T e x t >  
                 < T e x t   i d = " S i g n e r _ 0 . U s e r . L a s t N a m e "   l a b e l = " S i g n e r _ 0 . U s e r . L a s t N a m e " > < ! [ C D A T A [ M o r a n d i ] ] > < / T e x t >  
                 < T e x t   i d = " S i g n e r _ 0 . U s e r . M o b i l e "   l a b e l = " S i g n e r _ 0 . U s e r . M o b i l e " > < ! [ C D A T A [   ] ] > < / T e x t >  
                 < T e x t   i d = " S i g n e r _ 0 . U s e r . P h o n e "   l a b e l = " S i g n e r _ 0 . U s e r . P h o n e " > < ! [ C D A T A [ + 4 1 9 1 8 1 4 4 3 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 2 0 2 2 - 0 2 - 0 8 T 0 0 : 0 0 : 0 0 Z < / D a t e T i m e >  
                 < T e x t   i d = " D o c P a r a m . N u m b e r " > < ! [ C D A T A [ 8 1 0 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n .   8 1 0 3   R   d e l   8   f e b b r a i 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Props1.xml><?xml version="1.0" encoding="utf-8"?>
<ds:datastoreItem xmlns:ds="http://schemas.openxmlformats.org/officeDocument/2006/customXml" ds:itemID="{35AE4470-7461-4C69-B646-58DEA55E4B4A}">
  <ds:schemaRefs>
    <ds:schemaRef ds:uri="http://www.w3.org/2001/XMLSchema"/>
    <ds:schemaRef ds:uri="http://schema.oneoffixx.com/OneOffixxDocument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4EDE6323-A3C9-4D75-B080-AF218A923C81}">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docProps/app.xml><?xml version="1.0" encoding="utf-8"?>
<Properties xmlns="http://schemas.openxmlformats.org/officeDocument/2006/extended-properties" xmlns:vt="http://schemas.openxmlformats.org/officeDocument/2006/docPropsVTypes">
  <Template>61c587d9-a557-4fb1-9b96-eaea563548c7.dotx</Template>
  <TotalTime>82</TotalTime>
  <Pages>8</Pages>
  <Words>2523</Words>
  <Characters>14383</Characters>
  <Application>Microsoft Office Word</Application>
  <DocSecurity>0</DocSecurity>
  <Lines>119</Lines>
  <Paragraphs>33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Morandi Marisa / kxgc001</dc:creator>
  <cp:lastModifiedBy>Venturi Luca</cp:lastModifiedBy>
  <cp:revision>29</cp:revision>
  <dcterms:created xsi:type="dcterms:W3CDTF">2022-02-08T13:32:00Z</dcterms:created>
  <dcterms:modified xsi:type="dcterms:W3CDTF">2022-02-10T07:35:00Z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