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09F" w:rsidRDefault="00BC709F" w:rsidP="007A3BAC">
      <w:pPr>
        <w:pStyle w:val="StandardRisoluzionedelConsigliodiStato"/>
        <w:ind w:right="-1"/>
        <w:rPr>
          <w:b/>
          <w:sz w:val="28"/>
          <w:szCs w:val="28"/>
        </w:rPr>
      </w:pPr>
      <w:r w:rsidRPr="00BC709F">
        <w:rPr>
          <w:b/>
          <w:sz w:val="28"/>
          <w:szCs w:val="28"/>
        </w:rPr>
        <w:t>della Com</w:t>
      </w:r>
      <w:bookmarkStart w:id="0" w:name="_GoBack"/>
      <w:bookmarkEnd w:id="0"/>
      <w:r w:rsidRPr="00BC709F">
        <w:rPr>
          <w:b/>
          <w:sz w:val="28"/>
          <w:szCs w:val="28"/>
        </w:rPr>
        <w:t>missione gestione e finanze</w:t>
      </w:r>
    </w:p>
    <w:p w:rsidR="00BC709F" w:rsidRDefault="00526CF4" w:rsidP="00930CE2">
      <w:pPr>
        <w:pStyle w:val="Paragrafoelenco"/>
        <w:numPr>
          <w:ilvl w:val="0"/>
          <w:numId w:val="25"/>
        </w:numPr>
        <w:suppressAutoHyphens w:val="0"/>
        <w:spacing w:before="120" w:after="60"/>
        <w:ind w:left="284" w:hanging="284"/>
        <w:contextualSpacing w:val="0"/>
        <w:rPr>
          <w:rFonts w:cs="Arial"/>
          <w:b/>
          <w:sz w:val="28"/>
          <w:szCs w:val="28"/>
        </w:rPr>
      </w:pPr>
      <w:r>
        <w:rPr>
          <w:b/>
          <w:sz w:val="28"/>
          <w:szCs w:val="28"/>
        </w:rPr>
        <w:t xml:space="preserve">sulla </w:t>
      </w:r>
      <w:r w:rsidR="00BC709F">
        <w:rPr>
          <w:b/>
          <w:sz w:val="28"/>
          <w:szCs w:val="28"/>
        </w:rPr>
        <w:t xml:space="preserve">mozione 20 aprile 2020 </w:t>
      </w:r>
      <w:r w:rsidR="00BC709F">
        <w:rPr>
          <w:rFonts w:cs="Arial"/>
          <w:b/>
          <w:sz w:val="28"/>
          <w:szCs w:val="28"/>
        </w:rPr>
        <w:t>presentata da Matteo Quadranti e Paolo Ortelli per il Gruppo PLR “Tassa di collegamento. Le autorità cantonali confermino la rinuncia ad esercitare il diritto di incasso retroattivo e decidano una moratoria per la sua entrata in vigore sino almeno al 01.01.2025 alla luce di eventuali nuove esigenze di mobilità post COVID-19”</w:t>
      </w:r>
    </w:p>
    <w:p w:rsidR="00BC709F" w:rsidRDefault="00BC709F" w:rsidP="007A3BAC">
      <w:pPr>
        <w:pStyle w:val="Paragrafoelenco"/>
        <w:suppressAutoHyphens w:val="0"/>
        <w:spacing w:before="120" w:after="180"/>
        <w:ind w:left="284"/>
        <w:rPr>
          <w:b/>
          <w:sz w:val="26"/>
          <w:szCs w:val="26"/>
        </w:rPr>
      </w:pPr>
      <w:r w:rsidRPr="00BC709F">
        <w:rPr>
          <w:b/>
          <w:sz w:val="26"/>
          <w:szCs w:val="26"/>
        </w:rPr>
        <w:t>(v</w:t>
      </w:r>
      <w:r w:rsidR="00CE1DBA">
        <w:rPr>
          <w:b/>
          <w:sz w:val="26"/>
          <w:szCs w:val="26"/>
        </w:rPr>
        <w:t>edi</w:t>
      </w:r>
      <w:r w:rsidRPr="00BC709F">
        <w:rPr>
          <w:b/>
          <w:sz w:val="26"/>
          <w:szCs w:val="26"/>
        </w:rPr>
        <w:t xml:space="preserve"> messaggio n. 7864 del 19 agosto 2020)</w:t>
      </w:r>
    </w:p>
    <w:p w:rsidR="007A3BAC" w:rsidRPr="00526CF4" w:rsidRDefault="007A3BAC" w:rsidP="007A3BAC">
      <w:pPr>
        <w:pStyle w:val="Paragrafoelenco"/>
        <w:suppressAutoHyphens w:val="0"/>
        <w:spacing w:before="120" w:after="180"/>
        <w:ind w:left="284"/>
        <w:rPr>
          <w:sz w:val="26"/>
          <w:szCs w:val="26"/>
        </w:rPr>
      </w:pPr>
    </w:p>
    <w:p w:rsidR="00BC709F" w:rsidRPr="006213DA" w:rsidRDefault="00526CF4" w:rsidP="007A3BAC">
      <w:pPr>
        <w:pStyle w:val="Paragrafoelenco"/>
        <w:numPr>
          <w:ilvl w:val="0"/>
          <w:numId w:val="25"/>
        </w:numPr>
        <w:suppressAutoHyphens w:val="0"/>
        <w:spacing w:before="120"/>
        <w:ind w:left="284" w:hanging="284"/>
        <w:rPr>
          <w:rFonts w:cs="Arial"/>
          <w:b/>
          <w:sz w:val="28"/>
          <w:szCs w:val="28"/>
        </w:rPr>
      </w:pPr>
      <w:r w:rsidRPr="006213DA">
        <w:rPr>
          <w:rFonts w:cs="Arial"/>
          <w:b/>
          <w:sz w:val="28"/>
          <w:szCs w:val="28"/>
        </w:rPr>
        <w:t xml:space="preserve">sulla </w:t>
      </w:r>
      <w:r w:rsidR="00BC709F" w:rsidRPr="006213DA">
        <w:rPr>
          <w:rFonts w:cs="Arial"/>
          <w:b/>
          <w:sz w:val="28"/>
          <w:szCs w:val="28"/>
        </w:rPr>
        <w:t>mozione 20 aprile 2020 presentata da Maurizio Agustoni e Fiorenzo Dadò per il Gruppo PPD+GG “Tassa di collegamento: congelare l’applicazione”</w:t>
      </w:r>
    </w:p>
    <w:p w:rsidR="00BC709F" w:rsidRDefault="00BC709F" w:rsidP="007A3BAC">
      <w:pPr>
        <w:pStyle w:val="Paragrafoelenco"/>
        <w:suppressAutoHyphens w:val="0"/>
        <w:spacing w:before="120"/>
        <w:ind w:left="284"/>
        <w:rPr>
          <w:b/>
          <w:sz w:val="26"/>
          <w:szCs w:val="26"/>
        </w:rPr>
      </w:pPr>
      <w:r w:rsidRPr="006213DA">
        <w:rPr>
          <w:b/>
          <w:sz w:val="26"/>
          <w:szCs w:val="26"/>
        </w:rPr>
        <w:t>(v</w:t>
      </w:r>
      <w:r w:rsidR="00CE1DBA">
        <w:rPr>
          <w:b/>
          <w:sz w:val="26"/>
          <w:szCs w:val="26"/>
        </w:rPr>
        <w:t xml:space="preserve">edi </w:t>
      </w:r>
      <w:r w:rsidRPr="006213DA">
        <w:rPr>
          <w:b/>
          <w:sz w:val="26"/>
          <w:szCs w:val="26"/>
        </w:rPr>
        <w:t>messaggio n. 7865 del 19 agosto 2020)</w:t>
      </w:r>
    </w:p>
    <w:p w:rsidR="007A3BAC" w:rsidRPr="00526CF4" w:rsidRDefault="007A3BAC" w:rsidP="007A3BAC">
      <w:pPr>
        <w:pStyle w:val="Paragrafoelenco"/>
        <w:suppressAutoHyphens w:val="0"/>
        <w:spacing w:before="120"/>
        <w:ind w:left="284"/>
        <w:rPr>
          <w:sz w:val="26"/>
          <w:szCs w:val="26"/>
        </w:rPr>
      </w:pPr>
    </w:p>
    <w:p w:rsidR="00BC709F" w:rsidRDefault="00526CF4" w:rsidP="00930CE2">
      <w:pPr>
        <w:pStyle w:val="Paragrafoelenco"/>
        <w:numPr>
          <w:ilvl w:val="0"/>
          <w:numId w:val="25"/>
        </w:numPr>
        <w:suppressAutoHyphens w:val="0"/>
        <w:spacing w:before="120" w:after="60"/>
        <w:ind w:left="284" w:hanging="284"/>
        <w:contextualSpacing w:val="0"/>
        <w:rPr>
          <w:rFonts w:cs="Arial"/>
          <w:b/>
          <w:sz w:val="28"/>
          <w:szCs w:val="28"/>
        </w:rPr>
      </w:pPr>
      <w:r>
        <w:rPr>
          <w:rFonts w:cs="Arial"/>
          <w:b/>
          <w:sz w:val="28"/>
          <w:szCs w:val="28"/>
        </w:rPr>
        <w:t>sull'</w:t>
      </w:r>
      <w:r w:rsidR="00BC709F">
        <w:rPr>
          <w:rFonts w:cs="Arial"/>
          <w:b/>
          <w:sz w:val="28"/>
          <w:szCs w:val="28"/>
        </w:rPr>
        <w:t>iniziativa parlamentare 20 aprile 2020 presentata nella forma elaborata da Sergio Morisoli e cofirmatari per la modifica della Legge sui trasporti pubblici (LTPub) del 6 dicembre 1994 (Abolizione della tassa di collegamento)</w:t>
      </w:r>
    </w:p>
    <w:p w:rsidR="00F7068A" w:rsidRDefault="00F7068A" w:rsidP="00526CF4">
      <w:pPr>
        <w:pStyle w:val="Paragrafoelenco"/>
        <w:suppressAutoHyphens w:val="0"/>
        <w:ind w:left="284"/>
        <w:contextualSpacing w:val="0"/>
        <w:rPr>
          <w:b/>
          <w:sz w:val="26"/>
          <w:szCs w:val="26"/>
        </w:rPr>
      </w:pPr>
      <w:r>
        <w:rPr>
          <w:b/>
          <w:sz w:val="26"/>
          <w:szCs w:val="26"/>
        </w:rPr>
        <w:t>(v</w:t>
      </w:r>
      <w:r w:rsidR="00CE1DBA">
        <w:rPr>
          <w:b/>
          <w:sz w:val="26"/>
          <w:szCs w:val="26"/>
        </w:rPr>
        <w:t>edi</w:t>
      </w:r>
      <w:r>
        <w:rPr>
          <w:b/>
          <w:sz w:val="26"/>
          <w:szCs w:val="26"/>
        </w:rPr>
        <w:t xml:space="preserve"> messaggio n. 7866</w:t>
      </w:r>
      <w:r w:rsidR="00BC709F" w:rsidRPr="00BC709F">
        <w:rPr>
          <w:b/>
          <w:sz w:val="26"/>
          <w:szCs w:val="26"/>
        </w:rPr>
        <w:t xml:space="preserve"> del</w:t>
      </w:r>
      <w:r>
        <w:rPr>
          <w:b/>
          <w:sz w:val="26"/>
          <w:szCs w:val="26"/>
        </w:rPr>
        <w:t xml:space="preserve"> </w:t>
      </w:r>
      <w:r w:rsidRPr="00BC709F">
        <w:rPr>
          <w:b/>
          <w:sz w:val="26"/>
          <w:szCs w:val="26"/>
        </w:rPr>
        <w:t>19 agosto 2020</w:t>
      </w:r>
      <w:r w:rsidR="00BC709F" w:rsidRPr="00BC709F">
        <w:rPr>
          <w:b/>
          <w:sz w:val="26"/>
          <w:szCs w:val="26"/>
        </w:rPr>
        <w:t>)</w:t>
      </w:r>
    </w:p>
    <w:p w:rsidR="00526CF4" w:rsidRPr="00526CF4" w:rsidRDefault="00526CF4" w:rsidP="00526CF4">
      <w:pPr>
        <w:suppressAutoHyphens w:val="0"/>
        <w:rPr>
          <w:b/>
          <w:sz w:val="26"/>
          <w:szCs w:val="26"/>
        </w:rPr>
      </w:pPr>
    </w:p>
    <w:p w:rsidR="00F7068A" w:rsidRPr="00F7068A" w:rsidRDefault="00526CF4" w:rsidP="00930CE2">
      <w:pPr>
        <w:pStyle w:val="Paragrafoelenco"/>
        <w:numPr>
          <w:ilvl w:val="0"/>
          <w:numId w:val="23"/>
        </w:numPr>
        <w:spacing w:after="60"/>
        <w:ind w:left="284" w:hanging="284"/>
        <w:contextualSpacing w:val="0"/>
        <w:rPr>
          <w:rFonts w:cs="Arial"/>
          <w:b/>
          <w:bCs/>
          <w:sz w:val="28"/>
          <w:szCs w:val="28"/>
        </w:rPr>
      </w:pPr>
      <w:r>
        <w:rPr>
          <w:rFonts w:cs="Arial"/>
          <w:b/>
          <w:bCs/>
          <w:sz w:val="28"/>
          <w:szCs w:val="28"/>
        </w:rPr>
        <w:t xml:space="preserve">sulla </w:t>
      </w:r>
      <w:r w:rsidR="007A3BAC">
        <w:rPr>
          <w:rFonts w:cs="Arial"/>
          <w:b/>
          <w:bCs/>
          <w:sz w:val="28"/>
          <w:szCs w:val="28"/>
        </w:rPr>
        <w:t>m</w:t>
      </w:r>
      <w:r w:rsidR="00F7068A" w:rsidRPr="00F7068A">
        <w:rPr>
          <w:rFonts w:cs="Arial"/>
          <w:b/>
          <w:bCs/>
          <w:sz w:val="28"/>
          <w:szCs w:val="28"/>
        </w:rPr>
        <w:t>ozione 23 giugno 2020 presentata da Simona Arigoni Zürcher e cofirmatari per MPS-POP-Indipendenti “Ti fregano la tassa di collegamento intascata indebitamente? Arrangiati, al Governo non interessa! Un atteggiamento che non può essere accettato!”</w:t>
      </w:r>
    </w:p>
    <w:p w:rsidR="005F335F" w:rsidRDefault="00F7068A" w:rsidP="007A3BAC">
      <w:pPr>
        <w:pStyle w:val="Paragrafoelenco"/>
        <w:suppressAutoHyphens w:val="0"/>
        <w:spacing w:before="120"/>
        <w:ind w:left="284"/>
        <w:rPr>
          <w:b/>
          <w:sz w:val="26"/>
          <w:szCs w:val="26"/>
        </w:rPr>
      </w:pPr>
      <w:r>
        <w:rPr>
          <w:b/>
          <w:sz w:val="26"/>
          <w:szCs w:val="26"/>
        </w:rPr>
        <w:t>(v</w:t>
      </w:r>
      <w:r w:rsidR="00CE1DBA">
        <w:rPr>
          <w:b/>
          <w:sz w:val="26"/>
          <w:szCs w:val="26"/>
        </w:rPr>
        <w:t>edi</w:t>
      </w:r>
      <w:r>
        <w:rPr>
          <w:b/>
          <w:sz w:val="26"/>
          <w:szCs w:val="26"/>
        </w:rPr>
        <w:t xml:space="preserve"> messaggio n. 7967</w:t>
      </w:r>
      <w:r w:rsidRPr="00BC709F">
        <w:rPr>
          <w:b/>
          <w:sz w:val="26"/>
          <w:szCs w:val="26"/>
        </w:rPr>
        <w:t xml:space="preserve"> del </w:t>
      </w:r>
      <w:r>
        <w:rPr>
          <w:b/>
          <w:sz w:val="26"/>
          <w:szCs w:val="26"/>
        </w:rPr>
        <w:t>24 febbraio 2021</w:t>
      </w:r>
      <w:r w:rsidRPr="00BC709F">
        <w:rPr>
          <w:b/>
          <w:sz w:val="26"/>
          <w:szCs w:val="26"/>
        </w:rPr>
        <w:t>)</w:t>
      </w:r>
    </w:p>
    <w:p w:rsidR="00934F35" w:rsidRPr="00930CE2" w:rsidRDefault="00934F35" w:rsidP="007A3BAC">
      <w:pPr>
        <w:pStyle w:val="Paragrafoelenco"/>
        <w:suppressAutoHyphens w:val="0"/>
        <w:spacing w:before="120"/>
        <w:ind w:left="284"/>
        <w:rPr>
          <w:sz w:val="26"/>
          <w:szCs w:val="26"/>
        </w:rPr>
      </w:pPr>
    </w:p>
    <w:p w:rsidR="00934F35" w:rsidRPr="00930CE2" w:rsidRDefault="00934F35" w:rsidP="007A3BAC">
      <w:pPr>
        <w:pStyle w:val="Paragrafoelenco"/>
        <w:suppressAutoHyphens w:val="0"/>
        <w:spacing w:before="120"/>
        <w:ind w:left="284"/>
        <w:rPr>
          <w:sz w:val="26"/>
          <w:szCs w:val="26"/>
        </w:rPr>
      </w:pPr>
    </w:p>
    <w:p w:rsidR="00934F35" w:rsidRPr="00930CE2" w:rsidRDefault="00934F35" w:rsidP="007A3BAC">
      <w:pPr>
        <w:pStyle w:val="Paragrafoelenco"/>
        <w:suppressAutoHyphens w:val="0"/>
        <w:spacing w:before="120"/>
        <w:ind w:left="284"/>
        <w:rPr>
          <w:sz w:val="26"/>
          <w:szCs w:val="26"/>
        </w:rPr>
      </w:pPr>
    </w:p>
    <w:sdt>
      <w:sdtPr>
        <w:rPr>
          <w:rFonts w:asciiTheme="minorHAnsi" w:eastAsia="Calibri" w:hAnsiTheme="minorHAnsi" w:cstheme="minorHAnsi"/>
          <w:b/>
          <w:sz w:val="24"/>
          <w:szCs w:val="24"/>
          <w:lang w:val="it-IT"/>
        </w:rPr>
        <w:id w:val="1418985536"/>
        <w:docPartObj>
          <w:docPartGallery w:val="Table of Contents"/>
          <w:docPartUnique/>
        </w:docPartObj>
      </w:sdtPr>
      <w:sdtEndPr/>
      <w:sdtContent>
        <w:p w:rsidR="00041446" w:rsidRPr="002B2CAB" w:rsidRDefault="00526CF4" w:rsidP="00934F35">
          <w:pPr>
            <w:keepNext/>
            <w:keepLines/>
            <w:suppressAutoHyphens w:val="0"/>
            <w:rPr>
              <w:rFonts w:asciiTheme="minorHAnsi" w:eastAsia="Times New Roman" w:hAnsiTheme="minorHAnsi" w:cstheme="minorHAnsi"/>
              <w:b/>
              <w:sz w:val="24"/>
              <w:szCs w:val="24"/>
              <w:lang w:eastAsia="it-CH"/>
            </w:rPr>
          </w:pPr>
          <w:r w:rsidRPr="002B2CAB">
            <w:rPr>
              <w:rFonts w:asciiTheme="minorHAnsi" w:eastAsia="Times New Roman" w:hAnsiTheme="minorHAnsi" w:cstheme="minorHAnsi"/>
              <w:b/>
              <w:sz w:val="24"/>
              <w:szCs w:val="24"/>
              <w:lang w:val="it-IT" w:eastAsia="it-CH"/>
            </w:rPr>
            <w:t>SOMMARIO</w:t>
          </w:r>
        </w:p>
        <w:p w:rsidR="00450EB9" w:rsidRDefault="00041446">
          <w:pPr>
            <w:pStyle w:val="Sommario1"/>
            <w:rPr>
              <w:rFonts w:asciiTheme="minorHAnsi" w:eastAsiaTheme="minorEastAsia" w:hAnsiTheme="minorHAnsi"/>
              <w:b w:val="0"/>
              <w:noProof/>
              <w:lang w:eastAsia="it-CH"/>
            </w:rPr>
          </w:pPr>
          <w:r w:rsidRPr="001A156E">
            <w:rPr>
              <w:rFonts w:asciiTheme="minorHAnsi" w:eastAsia="Calibri" w:hAnsiTheme="minorHAnsi" w:cstheme="minorHAnsi"/>
              <w:b w:val="0"/>
              <w:sz w:val="24"/>
              <w:szCs w:val="24"/>
            </w:rPr>
            <w:fldChar w:fldCharType="begin"/>
          </w:r>
          <w:r w:rsidRPr="001A156E">
            <w:rPr>
              <w:rFonts w:asciiTheme="minorHAnsi" w:eastAsia="Calibri" w:hAnsiTheme="minorHAnsi" w:cstheme="minorHAnsi"/>
              <w:b w:val="0"/>
              <w:sz w:val="24"/>
              <w:szCs w:val="24"/>
            </w:rPr>
            <w:instrText xml:space="preserve"> TOC \o "1-3" \h \z \u </w:instrText>
          </w:r>
          <w:r w:rsidRPr="001A156E">
            <w:rPr>
              <w:rFonts w:asciiTheme="minorHAnsi" w:eastAsia="Calibri" w:hAnsiTheme="minorHAnsi" w:cstheme="minorHAnsi"/>
              <w:b w:val="0"/>
              <w:sz w:val="24"/>
              <w:szCs w:val="24"/>
            </w:rPr>
            <w:fldChar w:fldCharType="separate"/>
          </w:r>
          <w:hyperlink w:anchor="_Toc94879939" w:history="1">
            <w:r w:rsidR="00450EB9" w:rsidRPr="00BF333E">
              <w:rPr>
                <w:rStyle w:val="Collegamentoipertestuale"/>
                <w:rFonts w:eastAsia="Calibri" w:cs="Times New Roman"/>
                <w:caps/>
                <w:noProof/>
                <w:lang w:val="it-IT" w:eastAsia="it-IT"/>
              </w:rPr>
              <w:t>1.</w:t>
            </w:r>
            <w:r w:rsidR="00450EB9">
              <w:rPr>
                <w:rFonts w:asciiTheme="minorHAnsi" w:eastAsiaTheme="minorEastAsia" w:hAnsiTheme="minorHAnsi"/>
                <w:b w:val="0"/>
                <w:noProof/>
                <w:lang w:eastAsia="it-CH"/>
              </w:rPr>
              <w:tab/>
            </w:r>
            <w:r w:rsidR="00450EB9" w:rsidRPr="00BF333E">
              <w:rPr>
                <w:rStyle w:val="Collegamentoipertestuale"/>
                <w:rFonts w:eastAsia="Calibri" w:cs="Times New Roman"/>
                <w:caps/>
                <w:noProof/>
                <w:lang w:val="it-IT" w:eastAsia="it-IT"/>
              </w:rPr>
              <w:t>Introduzione</w:t>
            </w:r>
            <w:r w:rsidR="00450EB9">
              <w:rPr>
                <w:noProof/>
                <w:webHidden/>
              </w:rPr>
              <w:tab/>
            </w:r>
            <w:r w:rsidR="00450EB9">
              <w:rPr>
                <w:noProof/>
                <w:webHidden/>
              </w:rPr>
              <w:fldChar w:fldCharType="begin"/>
            </w:r>
            <w:r w:rsidR="00450EB9">
              <w:rPr>
                <w:noProof/>
                <w:webHidden/>
              </w:rPr>
              <w:instrText xml:space="preserve"> PAGEREF _Toc94879939 \h </w:instrText>
            </w:r>
            <w:r w:rsidR="00450EB9">
              <w:rPr>
                <w:noProof/>
                <w:webHidden/>
              </w:rPr>
            </w:r>
            <w:r w:rsidR="00450EB9">
              <w:rPr>
                <w:noProof/>
                <w:webHidden/>
              </w:rPr>
              <w:fldChar w:fldCharType="separate"/>
            </w:r>
            <w:r w:rsidR="00450EB9">
              <w:rPr>
                <w:noProof/>
                <w:webHidden/>
              </w:rPr>
              <w:t>2</w:t>
            </w:r>
            <w:r w:rsidR="00450EB9">
              <w:rPr>
                <w:noProof/>
                <w:webHidden/>
              </w:rPr>
              <w:fldChar w:fldCharType="end"/>
            </w:r>
          </w:hyperlink>
        </w:p>
        <w:p w:rsidR="00450EB9" w:rsidRDefault="00450EB9">
          <w:pPr>
            <w:pStyle w:val="Sommario1"/>
            <w:rPr>
              <w:rFonts w:asciiTheme="minorHAnsi" w:eastAsiaTheme="minorEastAsia" w:hAnsiTheme="minorHAnsi"/>
              <w:b w:val="0"/>
              <w:noProof/>
              <w:lang w:eastAsia="it-CH"/>
            </w:rPr>
          </w:pPr>
          <w:hyperlink w:anchor="_Toc94879940" w:history="1">
            <w:r w:rsidRPr="00BF333E">
              <w:rPr>
                <w:rStyle w:val="Collegamentoipertestuale"/>
                <w:rFonts w:eastAsia="Calibri" w:cs="Times New Roman"/>
                <w:caps/>
                <w:noProof/>
                <w:lang w:val="it-IT" w:eastAsia="it-IT"/>
              </w:rPr>
              <w:t>2.</w:t>
            </w:r>
            <w:r>
              <w:rPr>
                <w:rFonts w:asciiTheme="minorHAnsi" w:eastAsiaTheme="minorEastAsia" w:hAnsiTheme="minorHAnsi"/>
                <w:b w:val="0"/>
                <w:noProof/>
                <w:lang w:eastAsia="it-CH"/>
              </w:rPr>
              <w:tab/>
            </w:r>
            <w:r w:rsidRPr="00BF333E">
              <w:rPr>
                <w:rStyle w:val="Collegamentoipertestuale"/>
                <w:rFonts w:eastAsia="Calibri" w:cs="Times New Roman"/>
                <w:caps/>
                <w:noProof/>
                <w:lang w:val="it-IT" w:eastAsia="it-IT"/>
              </w:rPr>
              <w:t>Breve cronistoria della Tassa di collegamento</w:t>
            </w:r>
            <w:r>
              <w:rPr>
                <w:noProof/>
                <w:webHidden/>
              </w:rPr>
              <w:tab/>
            </w:r>
            <w:r>
              <w:rPr>
                <w:noProof/>
                <w:webHidden/>
              </w:rPr>
              <w:fldChar w:fldCharType="begin"/>
            </w:r>
            <w:r>
              <w:rPr>
                <w:noProof/>
                <w:webHidden/>
              </w:rPr>
              <w:instrText xml:space="preserve"> PAGEREF _Toc94879940 \h </w:instrText>
            </w:r>
            <w:r>
              <w:rPr>
                <w:noProof/>
                <w:webHidden/>
              </w:rPr>
            </w:r>
            <w:r>
              <w:rPr>
                <w:noProof/>
                <w:webHidden/>
              </w:rPr>
              <w:fldChar w:fldCharType="separate"/>
            </w:r>
            <w:r>
              <w:rPr>
                <w:noProof/>
                <w:webHidden/>
              </w:rPr>
              <w:t>3</w:t>
            </w:r>
            <w:r>
              <w:rPr>
                <w:noProof/>
                <w:webHidden/>
              </w:rPr>
              <w:fldChar w:fldCharType="end"/>
            </w:r>
          </w:hyperlink>
        </w:p>
        <w:p w:rsidR="00450EB9" w:rsidRDefault="00450EB9">
          <w:pPr>
            <w:pStyle w:val="Sommario1"/>
            <w:rPr>
              <w:rFonts w:asciiTheme="minorHAnsi" w:eastAsiaTheme="minorEastAsia" w:hAnsiTheme="minorHAnsi"/>
              <w:b w:val="0"/>
              <w:noProof/>
              <w:lang w:eastAsia="it-CH"/>
            </w:rPr>
          </w:pPr>
          <w:hyperlink w:anchor="_Toc94879941" w:history="1">
            <w:r w:rsidRPr="00BF333E">
              <w:rPr>
                <w:rStyle w:val="Collegamentoipertestuale"/>
                <w:rFonts w:eastAsia="Calibri" w:cs="Times New Roman"/>
                <w:caps/>
                <w:noProof/>
                <w:lang w:val="it-IT" w:eastAsia="it-IT"/>
              </w:rPr>
              <w:t>3.</w:t>
            </w:r>
            <w:r>
              <w:rPr>
                <w:rFonts w:asciiTheme="minorHAnsi" w:eastAsiaTheme="minorEastAsia" w:hAnsiTheme="minorHAnsi"/>
                <w:b w:val="0"/>
                <w:noProof/>
                <w:lang w:eastAsia="it-CH"/>
              </w:rPr>
              <w:tab/>
            </w:r>
            <w:r w:rsidRPr="00BF333E">
              <w:rPr>
                <w:rStyle w:val="Collegamentoipertestuale"/>
                <w:rFonts w:eastAsia="Calibri" w:cs="Times New Roman"/>
                <w:caps/>
                <w:noProof/>
                <w:lang w:val="it-IT" w:eastAsia="it-IT"/>
              </w:rPr>
              <w:t>Le discussioni e gli approfondimenti della Commissione gestione e finanze</w:t>
            </w:r>
            <w:r>
              <w:rPr>
                <w:noProof/>
                <w:webHidden/>
              </w:rPr>
              <w:tab/>
            </w:r>
            <w:r>
              <w:rPr>
                <w:noProof/>
                <w:webHidden/>
              </w:rPr>
              <w:fldChar w:fldCharType="begin"/>
            </w:r>
            <w:r>
              <w:rPr>
                <w:noProof/>
                <w:webHidden/>
              </w:rPr>
              <w:instrText xml:space="preserve"> PAGEREF _Toc94879941 \h </w:instrText>
            </w:r>
            <w:r>
              <w:rPr>
                <w:noProof/>
                <w:webHidden/>
              </w:rPr>
            </w:r>
            <w:r>
              <w:rPr>
                <w:noProof/>
                <w:webHidden/>
              </w:rPr>
              <w:fldChar w:fldCharType="separate"/>
            </w:r>
            <w:r>
              <w:rPr>
                <w:noProof/>
                <w:webHidden/>
              </w:rPr>
              <w:t>4</w:t>
            </w:r>
            <w:r>
              <w:rPr>
                <w:noProof/>
                <w:webHidden/>
              </w:rPr>
              <w:fldChar w:fldCharType="end"/>
            </w:r>
          </w:hyperlink>
        </w:p>
        <w:p w:rsidR="00450EB9" w:rsidRDefault="00450EB9">
          <w:pPr>
            <w:pStyle w:val="Sommario1"/>
            <w:rPr>
              <w:rFonts w:asciiTheme="minorHAnsi" w:eastAsiaTheme="minorEastAsia" w:hAnsiTheme="minorHAnsi"/>
              <w:b w:val="0"/>
              <w:noProof/>
              <w:lang w:eastAsia="it-CH"/>
            </w:rPr>
          </w:pPr>
          <w:hyperlink w:anchor="_Toc94879942" w:history="1">
            <w:r w:rsidRPr="00BF333E">
              <w:rPr>
                <w:rStyle w:val="Collegamentoipertestuale"/>
                <w:rFonts w:eastAsia="Calibri" w:cs="Times New Roman"/>
                <w:caps/>
                <w:noProof/>
                <w:lang w:val="it-IT" w:eastAsia="it-IT"/>
              </w:rPr>
              <w:t>4.</w:t>
            </w:r>
            <w:r>
              <w:rPr>
                <w:rFonts w:asciiTheme="minorHAnsi" w:eastAsiaTheme="minorEastAsia" w:hAnsiTheme="minorHAnsi"/>
                <w:b w:val="0"/>
                <w:noProof/>
                <w:lang w:eastAsia="it-CH"/>
              </w:rPr>
              <w:tab/>
            </w:r>
            <w:r w:rsidRPr="00BF333E">
              <w:rPr>
                <w:rStyle w:val="Collegamentoipertestuale"/>
                <w:rFonts w:eastAsia="Calibri" w:cs="Times New Roman"/>
                <w:caps/>
                <w:noProof/>
                <w:lang w:val="it-IT" w:eastAsia="it-IT"/>
              </w:rPr>
              <w:t>Gli atti parlamentari</w:t>
            </w:r>
            <w:r>
              <w:rPr>
                <w:noProof/>
                <w:webHidden/>
              </w:rPr>
              <w:tab/>
            </w:r>
            <w:r>
              <w:rPr>
                <w:noProof/>
                <w:webHidden/>
              </w:rPr>
              <w:fldChar w:fldCharType="begin"/>
            </w:r>
            <w:r>
              <w:rPr>
                <w:noProof/>
                <w:webHidden/>
              </w:rPr>
              <w:instrText xml:space="preserve"> PAGEREF _Toc94879942 \h </w:instrText>
            </w:r>
            <w:r>
              <w:rPr>
                <w:noProof/>
                <w:webHidden/>
              </w:rPr>
            </w:r>
            <w:r>
              <w:rPr>
                <w:noProof/>
                <w:webHidden/>
              </w:rPr>
              <w:fldChar w:fldCharType="separate"/>
            </w:r>
            <w:r>
              <w:rPr>
                <w:noProof/>
                <w:webHidden/>
              </w:rPr>
              <w:t>9</w:t>
            </w:r>
            <w:r>
              <w:rPr>
                <w:noProof/>
                <w:webHidden/>
              </w:rPr>
              <w:fldChar w:fldCharType="end"/>
            </w:r>
          </w:hyperlink>
        </w:p>
        <w:p w:rsidR="00450EB9" w:rsidRDefault="00450EB9">
          <w:pPr>
            <w:pStyle w:val="Sommario1"/>
            <w:rPr>
              <w:rFonts w:asciiTheme="minorHAnsi" w:eastAsiaTheme="minorEastAsia" w:hAnsiTheme="minorHAnsi"/>
              <w:b w:val="0"/>
              <w:noProof/>
              <w:lang w:eastAsia="it-CH"/>
            </w:rPr>
          </w:pPr>
          <w:hyperlink w:anchor="_Toc94879943" w:history="1">
            <w:r w:rsidRPr="00BF333E">
              <w:rPr>
                <w:rStyle w:val="Collegamentoipertestuale"/>
                <w:rFonts w:eastAsia="Calibri" w:cs="Times New Roman"/>
                <w:caps/>
                <w:noProof/>
                <w:lang w:val="it-IT" w:eastAsia="it-IT"/>
              </w:rPr>
              <w:t>5.</w:t>
            </w:r>
            <w:r>
              <w:rPr>
                <w:rFonts w:asciiTheme="minorHAnsi" w:eastAsiaTheme="minorEastAsia" w:hAnsiTheme="minorHAnsi"/>
                <w:b w:val="0"/>
                <w:noProof/>
                <w:lang w:eastAsia="it-CH"/>
              </w:rPr>
              <w:tab/>
            </w:r>
            <w:r w:rsidRPr="00BF333E">
              <w:rPr>
                <w:rStyle w:val="Collegamentoipertestuale"/>
                <w:rFonts w:eastAsia="Calibri" w:cs="Times New Roman"/>
                <w:caps/>
                <w:noProof/>
                <w:lang w:val="it-IT" w:eastAsia="it-IT"/>
              </w:rPr>
              <w:t>Conclusioni</w:t>
            </w:r>
            <w:r>
              <w:rPr>
                <w:noProof/>
                <w:webHidden/>
              </w:rPr>
              <w:tab/>
            </w:r>
            <w:r>
              <w:rPr>
                <w:noProof/>
                <w:webHidden/>
              </w:rPr>
              <w:fldChar w:fldCharType="begin"/>
            </w:r>
            <w:r>
              <w:rPr>
                <w:noProof/>
                <w:webHidden/>
              </w:rPr>
              <w:instrText xml:space="preserve"> PAGEREF _Toc94879943 \h </w:instrText>
            </w:r>
            <w:r>
              <w:rPr>
                <w:noProof/>
                <w:webHidden/>
              </w:rPr>
            </w:r>
            <w:r>
              <w:rPr>
                <w:noProof/>
                <w:webHidden/>
              </w:rPr>
              <w:fldChar w:fldCharType="separate"/>
            </w:r>
            <w:r>
              <w:rPr>
                <w:noProof/>
                <w:webHidden/>
              </w:rPr>
              <w:t>9</w:t>
            </w:r>
            <w:r>
              <w:rPr>
                <w:noProof/>
                <w:webHidden/>
              </w:rPr>
              <w:fldChar w:fldCharType="end"/>
            </w:r>
          </w:hyperlink>
        </w:p>
        <w:p w:rsidR="00041446" w:rsidRPr="00041446" w:rsidRDefault="00041446" w:rsidP="00526CF4">
          <w:pPr>
            <w:pStyle w:val="Sommario1"/>
            <w:rPr>
              <w:rFonts w:asciiTheme="minorHAnsi" w:eastAsia="~FP3EAF" w:hAnsiTheme="minorHAnsi" w:cstheme="minorHAnsi"/>
              <w:color w:val="000000"/>
              <w:sz w:val="24"/>
              <w:szCs w:val="24"/>
            </w:rPr>
          </w:pPr>
          <w:r w:rsidRPr="001A156E">
            <w:rPr>
              <w:rFonts w:asciiTheme="minorHAnsi" w:eastAsia="Calibri" w:hAnsiTheme="minorHAnsi" w:cstheme="minorHAnsi"/>
              <w:b w:val="0"/>
              <w:bCs/>
              <w:sz w:val="24"/>
              <w:szCs w:val="24"/>
              <w:lang w:val="it-IT"/>
            </w:rPr>
            <w:fldChar w:fldCharType="end"/>
          </w:r>
        </w:p>
      </w:sdtContent>
    </w:sdt>
    <w:p w:rsidR="00041446" w:rsidRPr="007A3BAC" w:rsidRDefault="00041446" w:rsidP="007A3BAC">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1" w:name="_Toc94879939"/>
      <w:r w:rsidRPr="00041446">
        <w:rPr>
          <w:rFonts w:eastAsia="Calibri" w:cs="Times New Roman"/>
          <w:caps/>
          <w:sz w:val="24"/>
          <w:szCs w:val="24"/>
          <w:lang w:val="it-IT" w:eastAsia="it-IT"/>
        </w:rPr>
        <w:lastRenderedPageBreak/>
        <w:t>Introduzione</w:t>
      </w:r>
      <w:bookmarkEnd w:id="1"/>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Ricordiamo che la tassa di collegamento è regolata dagli artt. 35-35t della Legge sui trasporti pubblici (LTPub) e dal relativo Regolamento di applicazione (RTColl).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Nel merito sono assoggettati alla tassa i proprietari di fondi o di un insieme di fondi in connessione spaziale o funzionale, sui quali vi sono posteggi per almeno 50 autoveicoli - non si computano i posti auto destinati al servizio di abitazioni - nei Comuni in cui si applica il regolamento cantonale posteggi privati, giusta gli artt. 42 ss. della Legge sullo sviluppo territoriale del 21 giugno 2011 (Lst) [Allegato 1 - Elenco dei Comuni in cui si applica la tassa].</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Anche la Confederazione, il Cantone e i Comuni, nonché gli altri enti di diritto pubblico, sono assoggettati alla tassa analogamente ai privati, ma limitatamente ai posteggi per il personale e per altri utenti che si spostano in modo sistematico.</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Nel nostro Cantone la domanda di mobilità è aumentata in modo esponenziale negli ultimi decenni e ormai da diverso tempo viviamo una situazione di saturazione delle vie di comunicazione, in particolare nel Sottoceneri, nelle ore di punta del mattino e della sera.</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Questo coincide purtroppo con una situazione ambientale che vede queste zone del Ticino primeggiare, a livello nazionale ma non solo, per i valori di alcuni inquinanti atmosferici che sono da decenni e continuano ad essere, anche se con alcuni segnali di miglioramento, superiori ai limiti definiti nell’Ordinanza per l’inquinamento dell’aria.</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Sottoceneri vive quindi una situazione di carico del traffico e ambientale di difficile tollerabilità.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Da almeno 3 decenni l’approccio alla mobilità a livello svizzero si basa su una visione complessiva e organica della tematica con l’attuazione di una politica in cui i diversi vettori di trasporto - trasporto individuale motorizzato, trasporto pubblico, mobilità ciclabile e pedonale, trasporto aziendale, ecc. - giocano un ruolo complementare tra loro in funzione delle loro caratteristiche tecniche, economiche e ambientali.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Laddove però questo approccio complessivo e organico non riesce a indurre i voluti effetti per ragioni diverse, tra cui certamente il numero considerevole di pendolari, residenti o frontalieri che siano, per cercare di contenere il continuo aumento di traffico e soprattutto per garantire alla popolazione una vivibilità ambientale in grado di rispettare i parametri previsti dalle diverse Ordinanze ambientali (sulla qualità dell’aria, sul rumore, ecc.) è opportuno introdurre interventi mirati per permettere una mobilità integrata e soprattutto sostenibile.</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Del resto l’introduzione dell’importante, si può dire rivoluzionario, potenziamento del sistema di trasporto pubblico deciso dal Gran consiglio nel maggio del 2021 rende decisamente più facile oggi l’utilizzo dei trasporti pubblici in tutto il territorio cantonale, fatta eccezione per il Mendrisiotto dove il potenziamento dell’offerta di trasporto pubblico non è andata oltre la conferma dell’esistente con qualche perdita sui collegamenti ferroviari di lunga percorrenza. </w:t>
      </w:r>
    </w:p>
    <w:p w:rsidR="00041446" w:rsidRPr="007A3BAC" w:rsidRDefault="00041446" w:rsidP="007A3BAC">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2" w:name="_Toc94879940"/>
      <w:r w:rsidRPr="00041446">
        <w:rPr>
          <w:rFonts w:eastAsia="Calibri" w:cs="Times New Roman"/>
          <w:caps/>
          <w:sz w:val="24"/>
          <w:szCs w:val="24"/>
          <w:lang w:val="it-IT" w:eastAsia="it-IT"/>
        </w:rPr>
        <w:t>Breve cronistoria della Tassa di collegamento</w:t>
      </w:r>
      <w:bookmarkEnd w:id="2"/>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La storia della Tassa di collegamento (TdC) appare lunga e complessa avendo percorso diversi iter istituzionali sia politici, sia popolari, sia giuridici per ben 6 anni.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u w:val="single"/>
        </w:rPr>
      </w:pPr>
      <w:r w:rsidRPr="00041446">
        <w:rPr>
          <w:rFonts w:asciiTheme="minorHAnsi" w:eastAsia="~FP3EAF" w:hAnsiTheme="minorHAnsi" w:cstheme="minorHAnsi"/>
          <w:color w:val="000000"/>
          <w:sz w:val="24"/>
          <w:szCs w:val="24"/>
        </w:rPr>
        <w:t>In tal senso una breve e riassuntiva cronistoria della Tassa di collegamento e degli atti parlamentari ad essa dedicati si impone.</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Consiglio di Stato il 4 novembre 2015 licenzia il </w:t>
      </w:r>
      <w:r w:rsidR="00930CE2">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essaggio che modifica la Legge sui trasporti pubblici in modo da introdurre la tassa di collegamento. Il provvedimento prevede di far pagare i posteggi ai grandi generatori di traffico per incentivare il carpooling e per sgravare il traffico in particolare nel Sottoceneri.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Gran Consiglio approva il </w:t>
      </w:r>
      <w:r w:rsidR="00930CE2">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essaggio il 14 dicembre 2015 con 64 voti a favore, 6 contrari e 13 astenuti, determinando la sua entrata in vigore, con la promulgazione del relativo Regolamento di applicazione, il 1</w:t>
      </w:r>
      <w:r w:rsidR="00930CE2">
        <w:rPr>
          <w:rFonts w:asciiTheme="minorHAnsi" w:eastAsia="~FP3EAF" w:hAnsiTheme="minorHAnsi" w:cstheme="minorHAnsi"/>
          <w:color w:val="000000"/>
          <w:sz w:val="24"/>
          <w:szCs w:val="24"/>
        </w:rPr>
        <w:t>°</w:t>
      </w:r>
      <w:r w:rsidRPr="00041446">
        <w:rPr>
          <w:rFonts w:asciiTheme="minorHAnsi" w:eastAsia="~FP3EAF" w:hAnsiTheme="minorHAnsi" w:cstheme="minorHAnsi"/>
          <w:color w:val="000000"/>
          <w:sz w:val="24"/>
          <w:szCs w:val="24"/>
        </w:rPr>
        <w:t xml:space="preserve"> agosto 2016.</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Contro la revisione viene lanciato un referendum che raccoglie più di 20 mila firme.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La votazione popolare avviene il 5 giugno 2016 e vede l’accoglimento della proposta da parte del 50,7% dei votanti.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Ma la contrapposizione alla Tassa di collegamento non si ferma e viene inoltrato ricorso al Tribunale federale che concede, nel settembre del 2016, l’effetto sospensivo in base ai </w:t>
      </w:r>
      <w:r w:rsidR="00930CE2">
        <w:rPr>
          <w:rFonts w:asciiTheme="minorHAnsi" w:eastAsia="~FP3EAF" w:hAnsiTheme="minorHAnsi" w:cstheme="minorHAnsi"/>
          <w:color w:val="000000"/>
          <w:sz w:val="24"/>
          <w:szCs w:val="24"/>
        </w:rPr>
        <w:br/>
      </w:r>
      <w:r w:rsidRPr="00041446">
        <w:rPr>
          <w:rFonts w:asciiTheme="minorHAnsi" w:eastAsia="~FP3EAF" w:hAnsiTheme="minorHAnsi" w:cstheme="minorHAnsi"/>
          <w:color w:val="000000"/>
          <w:sz w:val="24"/>
          <w:szCs w:val="24"/>
        </w:rPr>
        <w:t>19 ricorsi inoltrati dai privati contro le modifiche alla Legge sui trasporti pubblici e contro il Regolamento sulla tassa di collegamento.</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Tutto ciò sospende quindi l’applicazione della tassa stessa creando parecchia incertezza, a diversi livelli, soprattutto sull’applicazione anticipata o meno già messa in campo della stessa da parte di alcuni privati e enti.</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934F35"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16 ottobre 2018 </w:t>
      </w:r>
      <w:r w:rsidR="00934F35">
        <w:rPr>
          <w:rFonts w:asciiTheme="minorHAnsi" w:eastAsia="~FP3EAF" w:hAnsiTheme="minorHAnsi" w:cstheme="minorHAnsi"/>
          <w:color w:val="000000"/>
          <w:sz w:val="24"/>
          <w:szCs w:val="24"/>
        </w:rPr>
        <w:t xml:space="preserve">Gabriele </w:t>
      </w:r>
      <w:r w:rsidRPr="00041446">
        <w:rPr>
          <w:rFonts w:asciiTheme="minorHAnsi" w:eastAsia="~FP3EAF" w:hAnsiTheme="minorHAnsi" w:cstheme="minorHAnsi"/>
          <w:color w:val="000000"/>
          <w:sz w:val="24"/>
          <w:szCs w:val="24"/>
        </w:rPr>
        <w:t xml:space="preserve">Pinoja (UDC) e </w:t>
      </w:r>
      <w:r w:rsidR="00934F35">
        <w:rPr>
          <w:rFonts w:asciiTheme="minorHAnsi" w:eastAsia="~FP3EAF" w:hAnsiTheme="minorHAnsi" w:cstheme="minorHAnsi"/>
          <w:color w:val="000000"/>
          <w:sz w:val="24"/>
          <w:szCs w:val="24"/>
        </w:rPr>
        <w:t xml:space="preserve">Cleto </w:t>
      </w:r>
      <w:r w:rsidRPr="00041446">
        <w:rPr>
          <w:rFonts w:asciiTheme="minorHAnsi" w:eastAsia="~FP3EAF" w:hAnsiTheme="minorHAnsi" w:cstheme="minorHAnsi"/>
          <w:color w:val="000000"/>
          <w:sz w:val="24"/>
          <w:szCs w:val="24"/>
        </w:rPr>
        <w:t xml:space="preserve">Ferrari (Indipendente) presentano un’iniziativa parlamentare per abolire la Tassa di collegamento, a cui risponde il Consiglio di Stato il 27 novembre difendendo con convinzione la misura e considerando la stessa «una vera e propria esigenza per il </w:t>
      </w:r>
      <w:r w:rsidR="00934F35">
        <w:rPr>
          <w:rFonts w:asciiTheme="minorHAnsi" w:eastAsia="~FP3EAF" w:hAnsiTheme="minorHAnsi" w:cstheme="minorHAnsi"/>
          <w:color w:val="000000"/>
          <w:sz w:val="24"/>
          <w:szCs w:val="24"/>
        </w:rPr>
        <w:t>C</w:t>
      </w:r>
      <w:r w:rsidRPr="00041446">
        <w:rPr>
          <w:rFonts w:asciiTheme="minorHAnsi" w:eastAsia="~FP3EAF" w:hAnsiTheme="minorHAnsi" w:cstheme="minorHAnsi"/>
          <w:color w:val="000000"/>
          <w:sz w:val="24"/>
          <w:szCs w:val="24"/>
        </w:rPr>
        <w:t xml:space="preserve">antone», respingendo quindi l’iniziativa. </w:t>
      </w:r>
    </w:p>
    <w:p w:rsidR="00041446" w:rsidRPr="00041446" w:rsidRDefault="00930CE2" w:rsidP="007A3BAC">
      <w:pPr>
        <w:suppressAutoHyphens w:val="0"/>
        <w:autoSpaceDE w:val="0"/>
        <w:autoSpaceDN w:val="0"/>
        <w:adjustRightInd w:val="0"/>
        <w:rPr>
          <w:rFonts w:asciiTheme="minorHAnsi" w:eastAsia="~FP3EAF" w:hAnsiTheme="minorHAnsi" w:cstheme="minorHAnsi"/>
          <w:color w:val="000000"/>
          <w:sz w:val="24"/>
          <w:szCs w:val="24"/>
        </w:rPr>
      </w:pPr>
      <w:r>
        <w:rPr>
          <w:rFonts w:asciiTheme="minorHAnsi" w:eastAsia="~FP3EAF" w:hAnsiTheme="minorHAnsi" w:cstheme="minorHAnsi"/>
          <w:color w:val="000000"/>
          <w:sz w:val="24"/>
          <w:szCs w:val="24"/>
        </w:rPr>
        <w:t>Tuttavia, l</w:t>
      </w:r>
      <w:r w:rsidRPr="00041446">
        <w:rPr>
          <w:rFonts w:asciiTheme="minorHAnsi" w:eastAsia="~FP3EAF" w:hAnsiTheme="minorHAnsi" w:cstheme="minorHAnsi"/>
          <w:color w:val="000000"/>
          <w:sz w:val="24"/>
          <w:szCs w:val="24"/>
        </w:rPr>
        <w:t xml:space="preserve">’iniziativa </w:t>
      </w:r>
      <w:r w:rsidR="00041446" w:rsidRPr="00041446">
        <w:rPr>
          <w:rFonts w:asciiTheme="minorHAnsi" w:eastAsia="~FP3EAF" w:hAnsiTheme="minorHAnsi" w:cstheme="minorHAnsi"/>
          <w:color w:val="000000"/>
          <w:sz w:val="24"/>
          <w:szCs w:val="24"/>
        </w:rPr>
        <w:t xml:space="preserve">è </w:t>
      </w:r>
      <w:r w:rsidR="00934F35">
        <w:rPr>
          <w:rFonts w:asciiTheme="minorHAnsi" w:eastAsia="~FP3EAF" w:hAnsiTheme="minorHAnsi" w:cstheme="minorHAnsi"/>
          <w:color w:val="000000"/>
          <w:sz w:val="24"/>
          <w:szCs w:val="24"/>
        </w:rPr>
        <w:t>stata stralciata il 3 giugno 2019</w:t>
      </w:r>
      <w:r w:rsidR="00041446" w:rsidRPr="00041446">
        <w:rPr>
          <w:rFonts w:asciiTheme="minorHAnsi" w:eastAsia="~FP3EAF" w:hAnsiTheme="minorHAnsi" w:cstheme="minorHAnsi"/>
          <w:color w:val="000000"/>
          <w:sz w:val="24"/>
          <w:szCs w:val="24"/>
        </w:rPr>
        <w:t>.</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5 marzo 2020, dopo oltre tre anni e mezzo di attesa, il Tribunale federale dà il via libera alla </w:t>
      </w:r>
      <w:r w:rsidR="00930CE2">
        <w:rPr>
          <w:rFonts w:asciiTheme="minorHAnsi" w:eastAsia="~FP3EAF" w:hAnsiTheme="minorHAnsi" w:cstheme="minorHAnsi"/>
          <w:color w:val="000000"/>
          <w:sz w:val="24"/>
          <w:szCs w:val="24"/>
        </w:rPr>
        <w:t>T</w:t>
      </w:r>
      <w:r w:rsidRPr="00041446">
        <w:rPr>
          <w:rFonts w:asciiTheme="minorHAnsi" w:eastAsia="~FP3EAF" w:hAnsiTheme="minorHAnsi" w:cstheme="minorHAnsi"/>
          <w:color w:val="000000"/>
          <w:sz w:val="24"/>
          <w:szCs w:val="24"/>
        </w:rPr>
        <w:t>assa di collegamento, respingendo i 19 ricorsi pendenti (Allegato 2)</w:t>
      </w:r>
      <w:r w:rsidR="00526CF4">
        <w:rPr>
          <w:rFonts w:asciiTheme="minorHAnsi" w:eastAsia="~FP3EAF" w:hAnsiTheme="minorHAnsi" w:cstheme="minorHAnsi"/>
          <w:color w:val="000000"/>
          <w:sz w:val="24"/>
          <w:szCs w:val="24"/>
        </w:rPr>
        <w:t>.</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A questo si aggiunge la decisione del Governo dell’agosto 2020 di escludere la possibilità di un prelievo retroattivo della tassa, prospettando l’entrata in vigore della tassa per il 2022.</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A tutto questo già ricco dossier si aggiunge, il 2 aprile 2020, un’iniziativa parlamentare elaborata del </w:t>
      </w:r>
      <w:r w:rsidR="00CE1DBA">
        <w:rPr>
          <w:rFonts w:asciiTheme="minorHAnsi" w:eastAsia="~FP3EAF" w:hAnsiTheme="minorHAnsi" w:cstheme="minorHAnsi"/>
          <w:color w:val="000000"/>
          <w:sz w:val="24"/>
          <w:szCs w:val="24"/>
        </w:rPr>
        <w:t>G</w:t>
      </w:r>
      <w:r w:rsidRPr="00041446">
        <w:rPr>
          <w:rFonts w:asciiTheme="minorHAnsi" w:eastAsia="~FP3EAF" w:hAnsiTheme="minorHAnsi" w:cstheme="minorHAnsi"/>
          <w:color w:val="000000"/>
          <w:sz w:val="24"/>
          <w:szCs w:val="24"/>
        </w:rPr>
        <w:t>ruppo UDC in cui si propone l’abrogazione degli articoli della Legge sui trasporti pubblici che introducono e regolano la tassa di collegamento, iniziativa tutt’ora pendente.</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 xml:space="preserve">Il 20 aprile 2020 viene poi depositata la </w:t>
      </w:r>
      <w:r w:rsidR="00526CF4">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ozione “Tassa di collegamento: congelarne l’applicazione” da parte del Gruppo PPD</w:t>
      </w:r>
      <w:r w:rsidR="00526CF4">
        <w:rPr>
          <w:rFonts w:asciiTheme="minorHAnsi" w:eastAsia="~FP3EAF" w:hAnsiTheme="minorHAnsi" w:cstheme="minorHAnsi"/>
          <w:color w:val="000000"/>
          <w:sz w:val="24"/>
          <w:szCs w:val="24"/>
        </w:rPr>
        <w:t>+GG</w:t>
      </w:r>
      <w:r w:rsidRPr="00041446">
        <w:rPr>
          <w:rFonts w:asciiTheme="minorHAnsi" w:eastAsia="~FP3EAF" w:hAnsiTheme="minorHAnsi" w:cstheme="minorHAnsi"/>
          <w:color w:val="000000"/>
          <w:sz w:val="24"/>
          <w:szCs w:val="24"/>
        </w:rPr>
        <w:t xml:space="preserve"> a firma </w:t>
      </w:r>
      <w:r w:rsidR="00526CF4">
        <w:rPr>
          <w:rFonts w:asciiTheme="minorHAnsi" w:eastAsia="~FP3EAF" w:hAnsiTheme="minorHAnsi" w:cstheme="minorHAnsi"/>
          <w:color w:val="000000"/>
          <w:sz w:val="24"/>
          <w:szCs w:val="24"/>
        </w:rPr>
        <w:t xml:space="preserve">Maurizio </w:t>
      </w:r>
      <w:r w:rsidRPr="00041446">
        <w:rPr>
          <w:rFonts w:asciiTheme="minorHAnsi" w:eastAsia="~FP3EAF" w:hAnsiTheme="minorHAnsi" w:cstheme="minorHAnsi"/>
          <w:color w:val="000000"/>
          <w:sz w:val="24"/>
          <w:szCs w:val="24"/>
        </w:rPr>
        <w:t xml:space="preserve">Agustoni e </w:t>
      </w:r>
      <w:r w:rsidR="00526CF4">
        <w:rPr>
          <w:rFonts w:asciiTheme="minorHAnsi" w:eastAsia="~FP3EAF" w:hAnsiTheme="minorHAnsi" w:cstheme="minorHAnsi"/>
          <w:color w:val="000000"/>
          <w:sz w:val="24"/>
          <w:szCs w:val="24"/>
        </w:rPr>
        <w:t xml:space="preserve">Fiorenzo </w:t>
      </w:r>
      <w:r w:rsidRPr="00041446">
        <w:rPr>
          <w:rFonts w:asciiTheme="minorHAnsi" w:eastAsia="~FP3EAF" w:hAnsiTheme="minorHAnsi" w:cstheme="minorHAnsi"/>
          <w:color w:val="000000"/>
          <w:sz w:val="24"/>
          <w:szCs w:val="24"/>
        </w:rPr>
        <w:t>Dadò.</w:t>
      </w:r>
    </w:p>
    <w:p w:rsidR="00041446" w:rsidRDefault="00041446" w:rsidP="00CE1DBA">
      <w:pPr>
        <w:suppressAutoHyphens w:val="0"/>
        <w:rPr>
          <w:rFonts w:asciiTheme="minorHAnsi" w:eastAsia="Times New Roman" w:hAnsiTheme="minorHAnsi" w:cstheme="minorHAnsi"/>
          <w:sz w:val="24"/>
          <w:szCs w:val="24"/>
          <w:lang w:eastAsia="it-CH"/>
        </w:rPr>
      </w:pPr>
      <w:r w:rsidRPr="00041446">
        <w:rPr>
          <w:rFonts w:asciiTheme="minorHAnsi" w:eastAsia="~FP3EAF" w:hAnsiTheme="minorHAnsi" w:cstheme="minorHAnsi"/>
          <w:color w:val="000000"/>
          <w:sz w:val="24"/>
          <w:szCs w:val="24"/>
        </w:rPr>
        <w:t xml:space="preserve">Sempre il 20 aprile viene depositata la </w:t>
      </w:r>
      <w:r w:rsidR="00526CF4">
        <w:rPr>
          <w:rFonts w:asciiTheme="minorHAnsi" w:eastAsia="~FP3EAF" w:hAnsiTheme="minorHAnsi" w:cstheme="minorHAnsi"/>
          <w:color w:val="000000"/>
          <w:sz w:val="24"/>
          <w:szCs w:val="24"/>
        </w:rPr>
        <w:t>m</w:t>
      </w:r>
      <w:r w:rsidRPr="00041446">
        <w:rPr>
          <w:rFonts w:asciiTheme="minorHAnsi" w:eastAsia="~FP3EAF" w:hAnsiTheme="minorHAnsi" w:cstheme="minorHAnsi"/>
          <w:color w:val="000000"/>
          <w:sz w:val="24"/>
          <w:szCs w:val="24"/>
        </w:rPr>
        <w:t>ozione “</w:t>
      </w:r>
      <w:r w:rsidRPr="00041446">
        <w:rPr>
          <w:rFonts w:asciiTheme="minorHAnsi" w:eastAsia="Times New Roman" w:hAnsiTheme="minorHAnsi" w:cstheme="minorHAnsi"/>
          <w:sz w:val="24"/>
          <w:szCs w:val="24"/>
          <w:lang w:eastAsia="it-CH"/>
        </w:rPr>
        <w:t xml:space="preserve">Tassa di collegamento. Le autorità cantonali confermino la rinuncia ad esercitare il diritto di incasso retroattivo e decidano una moratoria per la sua entrata in vigore sino almeno al </w:t>
      </w:r>
      <w:r w:rsidR="00526CF4">
        <w:rPr>
          <w:rFonts w:asciiTheme="minorHAnsi" w:eastAsia="Times New Roman" w:hAnsiTheme="minorHAnsi" w:cstheme="minorHAnsi"/>
          <w:sz w:val="24"/>
          <w:szCs w:val="24"/>
          <w:lang w:eastAsia="it-CH"/>
        </w:rPr>
        <w:t>0</w:t>
      </w:r>
      <w:r w:rsidRPr="00041446">
        <w:rPr>
          <w:rFonts w:asciiTheme="minorHAnsi" w:eastAsia="Times New Roman" w:hAnsiTheme="minorHAnsi" w:cstheme="minorHAnsi"/>
          <w:sz w:val="24"/>
          <w:szCs w:val="24"/>
          <w:lang w:eastAsia="it-CH"/>
        </w:rPr>
        <w:t>1.</w:t>
      </w:r>
      <w:r w:rsidR="00526CF4">
        <w:rPr>
          <w:rFonts w:asciiTheme="minorHAnsi" w:eastAsia="Times New Roman" w:hAnsiTheme="minorHAnsi" w:cstheme="minorHAnsi"/>
          <w:sz w:val="24"/>
          <w:szCs w:val="24"/>
          <w:lang w:eastAsia="it-CH"/>
        </w:rPr>
        <w:t>0</w:t>
      </w:r>
      <w:r w:rsidRPr="00041446">
        <w:rPr>
          <w:rFonts w:asciiTheme="minorHAnsi" w:eastAsia="Times New Roman" w:hAnsiTheme="minorHAnsi" w:cstheme="minorHAnsi"/>
          <w:sz w:val="24"/>
          <w:szCs w:val="24"/>
          <w:lang w:eastAsia="it-CH"/>
        </w:rPr>
        <w:t xml:space="preserve">1.2025 alla luce di eventuali nuove esigenze di mobilità post COVID-19” da parte del Gruppo PLR a firma </w:t>
      </w:r>
      <w:r w:rsidR="00526CF4">
        <w:rPr>
          <w:rFonts w:asciiTheme="minorHAnsi" w:eastAsia="Times New Roman" w:hAnsiTheme="minorHAnsi" w:cstheme="minorHAnsi"/>
          <w:sz w:val="24"/>
          <w:szCs w:val="24"/>
          <w:lang w:eastAsia="it-CH"/>
        </w:rPr>
        <w:t xml:space="preserve">Matteo </w:t>
      </w:r>
      <w:r w:rsidRPr="00041446">
        <w:rPr>
          <w:rFonts w:asciiTheme="minorHAnsi" w:eastAsia="Times New Roman" w:hAnsiTheme="minorHAnsi" w:cstheme="minorHAnsi"/>
          <w:sz w:val="24"/>
          <w:szCs w:val="24"/>
          <w:lang w:eastAsia="it-CH"/>
        </w:rPr>
        <w:t xml:space="preserve">Quadranti e </w:t>
      </w:r>
      <w:r w:rsidR="00526CF4">
        <w:rPr>
          <w:rFonts w:asciiTheme="minorHAnsi" w:eastAsia="Times New Roman" w:hAnsiTheme="minorHAnsi" w:cstheme="minorHAnsi"/>
          <w:sz w:val="24"/>
          <w:szCs w:val="24"/>
          <w:lang w:eastAsia="it-CH"/>
        </w:rPr>
        <w:t xml:space="preserve">Paolo </w:t>
      </w:r>
      <w:r w:rsidRPr="00041446">
        <w:rPr>
          <w:rFonts w:asciiTheme="minorHAnsi" w:eastAsia="Times New Roman" w:hAnsiTheme="minorHAnsi" w:cstheme="minorHAnsi"/>
          <w:sz w:val="24"/>
          <w:szCs w:val="24"/>
          <w:lang w:eastAsia="it-CH"/>
        </w:rPr>
        <w:t>Ortelli.</w:t>
      </w:r>
    </w:p>
    <w:p w:rsidR="00CE1DBA" w:rsidRPr="00041446" w:rsidRDefault="00CE1DBA" w:rsidP="00CE1DBA">
      <w:pPr>
        <w:suppressAutoHyphens w:val="0"/>
        <w:rPr>
          <w:rFonts w:asciiTheme="minorHAnsi" w:eastAsia="Times New Roman" w:hAnsiTheme="minorHAnsi" w:cstheme="minorHAnsi"/>
          <w:sz w:val="24"/>
          <w:szCs w:val="24"/>
          <w:lang w:eastAsia="it-CH"/>
        </w:rPr>
      </w:pPr>
    </w:p>
    <w:p w:rsidR="00041446" w:rsidRPr="00041446" w:rsidRDefault="00041446" w:rsidP="00526CF4">
      <w:pPr>
        <w:suppressAutoHyphens w:val="0"/>
        <w:rPr>
          <w:rFonts w:asciiTheme="minorHAnsi" w:eastAsia="Times New Roman" w:hAnsiTheme="minorHAnsi" w:cstheme="minorHAnsi"/>
          <w:sz w:val="24"/>
          <w:szCs w:val="24"/>
          <w:lang w:eastAsia="it-CH"/>
        </w:rPr>
      </w:pPr>
      <w:r w:rsidRPr="00041446">
        <w:rPr>
          <w:rFonts w:asciiTheme="minorHAnsi" w:eastAsia="Times New Roman" w:hAnsiTheme="minorHAnsi" w:cstheme="minorHAnsi"/>
          <w:sz w:val="24"/>
          <w:szCs w:val="24"/>
          <w:lang w:eastAsia="it-CH"/>
        </w:rPr>
        <w:t xml:space="preserve">Il 23 giugno 2020 infine l’MPS presenta la </w:t>
      </w:r>
      <w:r w:rsidR="00526CF4">
        <w:rPr>
          <w:rFonts w:asciiTheme="minorHAnsi" w:eastAsia="Times New Roman" w:hAnsiTheme="minorHAnsi" w:cstheme="minorHAnsi"/>
          <w:sz w:val="24"/>
          <w:szCs w:val="24"/>
          <w:lang w:eastAsia="it-CH"/>
        </w:rPr>
        <w:t>m</w:t>
      </w:r>
      <w:r w:rsidRPr="00041446">
        <w:rPr>
          <w:rFonts w:asciiTheme="minorHAnsi" w:eastAsia="Times New Roman" w:hAnsiTheme="minorHAnsi" w:cstheme="minorHAnsi"/>
          <w:sz w:val="24"/>
          <w:szCs w:val="24"/>
          <w:lang w:eastAsia="it-CH"/>
        </w:rPr>
        <w:t>ozione “Ti fregano la tassa di collegamento intascata indebitamente? Arrangiati, al Governo non interessa! Un atteggiamento che non può essere accettato!” a firma Simona Arigoni Zürcher.</w:t>
      </w:r>
    </w:p>
    <w:p w:rsidR="00041446" w:rsidRDefault="00041446" w:rsidP="00526CF4">
      <w:pPr>
        <w:suppressAutoHyphens w:val="0"/>
        <w:rPr>
          <w:rFonts w:asciiTheme="minorHAnsi" w:eastAsia="Times New Roman" w:hAnsiTheme="minorHAnsi" w:cstheme="minorHAnsi"/>
          <w:sz w:val="24"/>
          <w:szCs w:val="24"/>
          <w:lang w:eastAsia="it-CH"/>
        </w:rPr>
      </w:pPr>
    </w:p>
    <w:p w:rsidR="00526CF4" w:rsidRPr="00041446" w:rsidRDefault="00526CF4" w:rsidP="00526CF4">
      <w:pPr>
        <w:suppressAutoHyphens w:val="0"/>
        <w:rPr>
          <w:rFonts w:asciiTheme="minorHAnsi" w:eastAsia="Times New Roman" w:hAnsiTheme="minorHAnsi" w:cstheme="minorHAnsi"/>
          <w:sz w:val="24"/>
          <w:szCs w:val="24"/>
          <w:lang w:eastAsia="it-CH"/>
        </w:rPr>
      </w:pPr>
    </w:p>
    <w:p w:rsidR="00041446" w:rsidRPr="007A3BAC" w:rsidRDefault="00041446" w:rsidP="007A3BAC">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3" w:name="_Toc94879941"/>
      <w:r w:rsidRPr="00041446">
        <w:rPr>
          <w:rFonts w:eastAsia="Calibri" w:cs="Times New Roman"/>
          <w:caps/>
          <w:sz w:val="24"/>
          <w:szCs w:val="24"/>
          <w:lang w:val="it-IT" w:eastAsia="it-IT"/>
        </w:rPr>
        <w:t>Le discussioni e gli approfondimenti della Commissione gestione e finanze</w:t>
      </w:r>
      <w:bookmarkEnd w:id="3"/>
      <w:r w:rsidRPr="00041446">
        <w:rPr>
          <w:rFonts w:eastAsia="Calibri" w:cs="Times New Roman"/>
          <w:caps/>
          <w:sz w:val="24"/>
          <w:szCs w:val="24"/>
          <w:lang w:val="it-IT" w:eastAsia="it-IT"/>
        </w:rPr>
        <w:t xml:space="preserve"> </w:t>
      </w:r>
    </w:p>
    <w:p w:rsidR="00041446" w:rsidRPr="00041446" w:rsidRDefault="00041446" w:rsidP="007A3BAC">
      <w:pPr>
        <w:suppressAutoHyphens w:val="0"/>
        <w:autoSpaceDE w:val="0"/>
        <w:autoSpaceDN w:val="0"/>
        <w:adjustRightInd w:val="0"/>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La Commissione gestione e finanze, tenendo conto del fatto che la proposta di introduzione della Tassa di collegamento è già passata al vaglio sia del Gran consiglio, sia del popolo, sia del tribunale federale, ha sondato se esistessero i margini per poter raccogliere il consenso della maggioranza della Commissione, ritenuto soprattutto </w:t>
      </w:r>
      <w:r w:rsidR="00CE1DBA">
        <w:rPr>
          <w:rFonts w:asciiTheme="minorHAnsi" w:eastAsia="Calibri" w:hAnsiTheme="minorHAnsi" w:cstheme="minorHAnsi"/>
          <w:sz w:val="24"/>
          <w:szCs w:val="24"/>
        </w:rPr>
        <w:t>-</w:t>
      </w:r>
      <w:r w:rsidRPr="00041446">
        <w:rPr>
          <w:rFonts w:asciiTheme="minorHAnsi" w:eastAsia="Calibri" w:hAnsiTheme="minorHAnsi" w:cstheme="minorHAnsi"/>
          <w:sz w:val="24"/>
          <w:szCs w:val="24"/>
        </w:rPr>
        <w:t xml:space="preserve"> va ribadito - il fatto che la misura è stata sottoposta al popolo raccogliendo il sostegno della maggioranza dello stesso.</w:t>
      </w:r>
    </w:p>
    <w:p w:rsidR="00041446" w:rsidRPr="00041446" w:rsidRDefault="00041446" w:rsidP="007A3BAC">
      <w:pPr>
        <w:suppressAutoHyphens w:val="0"/>
        <w:autoSpaceDE w:val="0"/>
        <w:autoSpaceDN w:val="0"/>
        <w:adjustRightInd w:val="0"/>
        <w:rPr>
          <w:rFonts w:asciiTheme="minorHAnsi" w:eastAsia="Calibri" w:hAnsiTheme="minorHAnsi" w:cstheme="minorHAnsi"/>
          <w:sz w:val="24"/>
          <w:szCs w:val="24"/>
        </w:rPr>
      </w:pPr>
    </w:p>
    <w:p w:rsidR="00041446" w:rsidRPr="00041446" w:rsidRDefault="00041446" w:rsidP="007A3BAC">
      <w:pPr>
        <w:suppressAutoHyphens w:val="0"/>
        <w:autoSpaceDE w:val="0"/>
        <w:autoSpaceDN w:val="0"/>
        <w:adjustRightInd w:val="0"/>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Nel merito si è quindi proceduto con alcuni approfondimenti richiesti dai diversi gruppi al Consiglio di Stato, approfondimenti che si sono arricchiti nelle ultime settimane di alcuni ulteriori contributi. </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u w:val="single"/>
        </w:rPr>
      </w:pP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r w:rsidRPr="00041446">
        <w:rPr>
          <w:rFonts w:asciiTheme="minorHAnsi" w:eastAsia="~FP3EAF" w:hAnsiTheme="minorHAnsi" w:cstheme="minorHAnsi"/>
          <w:color w:val="000000"/>
          <w:sz w:val="24"/>
          <w:szCs w:val="24"/>
        </w:rPr>
        <w:t>Di seguito indichiamo quanto scaturito dalle discussioni fin qui fatte in Commissione, a seguito delle domande formulate al Consigli di Stato e delle risposte ricevute dallo stesso.</w:t>
      </w:r>
    </w:p>
    <w:p w:rsidR="00041446" w:rsidRPr="00041446" w:rsidRDefault="00041446" w:rsidP="007A3BAC">
      <w:pPr>
        <w:suppressAutoHyphens w:val="0"/>
        <w:autoSpaceDE w:val="0"/>
        <w:autoSpaceDN w:val="0"/>
        <w:adjustRightInd w:val="0"/>
        <w:rPr>
          <w:rFonts w:asciiTheme="minorHAnsi" w:eastAsia="~FP3EAF" w:hAnsiTheme="minorHAnsi" w:cstheme="minorHAnsi"/>
          <w:color w:val="000000"/>
          <w:sz w:val="24"/>
          <w:szCs w:val="24"/>
        </w:rPr>
      </w:pPr>
    </w:p>
    <w:p w:rsidR="00041446" w:rsidRPr="00041446" w:rsidRDefault="00041446" w:rsidP="007A3BAC">
      <w:pPr>
        <w:numPr>
          <w:ilvl w:val="0"/>
          <w:numId w:val="27"/>
        </w:numPr>
        <w:suppressAutoHyphens w:val="0"/>
        <w:autoSpaceDE w:val="0"/>
        <w:autoSpaceDN w:val="0"/>
        <w:adjustRightInd w:val="0"/>
        <w:spacing w:after="160"/>
        <w:ind w:left="284" w:hanging="284"/>
        <w:contextualSpacing/>
        <w:rPr>
          <w:rFonts w:asciiTheme="minorHAnsi" w:eastAsia="Calibri" w:hAnsiTheme="minorHAnsi" w:cstheme="minorHAnsi"/>
          <w:sz w:val="24"/>
          <w:szCs w:val="24"/>
        </w:rPr>
      </w:pPr>
      <w:r w:rsidRPr="00041446">
        <w:rPr>
          <w:rFonts w:asciiTheme="minorHAnsi" w:eastAsia="Calibri" w:hAnsiTheme="minorHAnsi" w:cstheme="minorHAnsi"/>
          <w:b/>
          <w:bCs/>
          <w:sz w:val="24"/>
          <w:szCs w:val="24"/>
        </w:rPr>
        <w:t xml:space="preserve">Dal profilo giuridico l’ipotesi di una eventuale restituzione della tassa </w:t>
      </w:r>
      <w:r w:rsidRPr="00041446">
        <w:rPr>
          <w:rFonts w:asciiTheme="minorHAnsi" w:eastAsia="Calibri" w:hAnsiTheme="minorHAnsi" w:cstheme="minorHAnsi"/>
          <w:sz w:val="24"/>
          <w:szCs w:val="24"/>
        </w:rPr>
        <w:t xml:space="preserve">pagata nel caso in cui, dopo il periodo di prova previsto dalla Legge, la </w:t>
      </w:r>
      <w:r w:rsidR="00236B79">
        <w:rPr>
          <w:rFonts w:asciiTheme="minorHAnsi" w:eastAsia="Calibri" w:hAnsiTheme="minorHAnsi" w:cstheme="minorHAnsi"/>
          <w:sz w:val="24"/>
          <w:szCs w:val="24"/>
        </w:rPr>
        <w:t>T</w:t>
      </w:r>
      <w:r w:rsidRPr="00041446">
        <w:rPr>
          <w:rFonts w:asciiTheme="minorHAnsi" w:eastAsia="Calibri" w:hAnsiTheme="minorHAnsi" w:cstheme="minorHAnsi"/>
          <w:sz w:val="24"/>
          <w:szCs w:val="24"/>
        </w:rPr>
        <w:t>assa non confermasse la sua incisività e quindi decadesse, non viene confermata. Nel merito l’Ufficio giuridico del Dipartimento del territorio ha concluso che un eventuale esito negativo del periodo di prova non possa comportare un automatismo che implichi la restituzione della tassa di collegamento (Allegato 3)</w:t>
      </w:r>
      <w:r w:rsidR="00CE1DBA">
        <w:rPr>
          <w:rFonts w:asciiTheme="minorHAnsi" w:eastAsia="Calibri" w:hAnsiTheme="minorHAnsi" w:cstheme="minorHAnsi"/>
          <w:sz w:val="24"/>
          <w:szCs w:val="24"/>
        </w:rPr>
        <w:t>.</w:t>
      </w:r>
    </w:p>
    <w:p w:rsidR="00041446" w:rsidRPr="00041446" w:rsidRDefault="00041446" w:rsidP="00930CE2">
      <w:pPr>
        <w:suppressAutoHyphens w:val="0"/>
        <w:autoSpaceDE w:val="0"/>
        <w:autoSpaceDN w:val="0"/>
        <w:adjustRightInd w:val="0"/>
        <w:contextualSpacing/>
        <w:rPr>
          <w:rFonts w:asciiTheme="minorHAnsi" w:eastAsia="Calibri" w:hAnsiTheme="minorHAnsi" w:cstheme="minorHAnsi"/>
          <w:sz w:val="24"/>
          <w:szCs w:val="24"/>
        </w:rPr>
      </w:pPr>
    </w:p>
    <w:p w:rsidR="00041446" w:rsidRPr="00041446" w:rsidRDefault="00041446" w:rsidP="00930CE2">
      <w:pPr>
        <w:numPr>
          <w:ilvl w:val="0"/>
          <w:numId w:val="27"/>
        </w:num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b/>
          <w:bCs/>
          <w:color w:val="000000"/>
          <w:sz w:val="24"/>
          <w:szCs w:val="24"/>
        </w:rPr>
        <w:t xml:space="preserve">Gli effetti scaturiti dall’applicazione della modifica legislativa potranno essere monitorati correttamente solo a partire del momento dell’entrata in vigore della tassa stessa </w:t>
      </w:r>
      <w:r w:rsidRPr="00041446">
        <w:rPr>
          <w:rFonts w:asciiTheme="minorHAnsi" w:eastAsia="Calibri" w:hAnsiTheme="minorHAnsi" w:cstheme="minorHAnsi"/>
          <w:color w:val="000000"/>
          <w:sz w:val="24"/>
          <w:szCs w:val="24"/>
        </w:rPr>
        <w:t>in modo tale da poter distinguere, per tutto quanto possibile, gli effetti della tassa dagli effetti riconducibili ai molti altri fattori intervenuti in questi anni. L’</w:t>
      </w:r>
      <w:r w:rsidR="00CE1DBA">
        <w:rPr>
          <w:rFonts w:asciiTheme="minorHAnsi" w:eastAsia="Calibri" w:hAnsiTheme="minorHAnsi" w:cstheme="minorHAnsi"/>
          <w:color w:val="000000"/>
          <w:sz w:val="24"/>
          <w:szCs w:val="24"/>
        </w:rPr>
        <w:t>a</w:t>
      </w:r>
      <w:r w:rsidRPr="00041446">
        <w:rPr>
          <w:rFonts w:asciiTheme="minorHAnsi" w:eastAsia="Calibri" w:hAnsiTheme="minorHAnsi" w:cstheme="minorHAnsi"/>
          <w:color w:val="000000"/>
          <w:sz w:val="24"/>
          <w:szCs w:val="24"/>
        </w:rPr>
        <w:t xml:space="preserve">rt. 35t della LTPub assoggetta infatti la tassa di collegamento a un periodo </w:t>
      </w:r>
      <w:r w:rsidRPr="00041446">
        <w:rPr>
          <w:rFonts w:asciiTheme="minorHAnsi" w:eastAsia="Calibri" w:hAnsiTheme="minorHAnsi" w:cstheme="minorHAnsi"/>
          <w:sz w:val="24"/>
          <w:szCs w:val="24"/>
        </w:rPr>
        <w:t>di prova della durata di 3 anni dalla sua entrata in vigore. Il compito del monitoraggio è stato affidato alla Sezione della mobilità che è incaricata della preparazione e dell'attuazione della Tassa di collegamento quale autorit</w:t>
      </w:r>
      <w:r w:rsidR="00CE1DBA">
        <w:rPr>
          <w:rFonts w:asciiTheme="minorHAnsi" w:eastAsia="Calibri" w:hAnsiTheme="minorHAnsi" w:cstheme="minorHAnsi"/>
          <w:sz w:val="24"/>
          <w:szCs w:val="24"/>
        </w:rPr>
        <w:t>à</w:t>
      </w:r>
      <w:r w:rsidRPr="00041446">
        <w:rPr>
          <w:rFonts w:asciiTheme="minorHAnsi" w:eastAsia="Calibri" w:hAnsiTheme="minorHAnsi" w:cstheme="minorHAnsi"/>
          <w:sz w:val="24"/>
          <w:szCs w:val="24"/>
        </w:rPr>
        <w:t xml:space="preserve"> competente designata per il monitoraggio dei suoi effetti. </w:t>
      </w:r>
    </w:p>
    <w:p w:rsidR="00041446" w:rsidRDefault="007A3BAC" w:rsidP="00930CE2">
      <w:pPr>
        <w:suppressAutoHyphens w:val="0"/>
        <w:spacing w:before="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 xml:space="preserve">Per definire il concetto di monitoraggio degli effetti della tassa di collegamento è stato affidato un mandato, con risoluzione governativa n. 4871 del 23 settembre 2020, alla Rapp Trans AG di Zurigo, azienda specializzata in mobilità, traffico e trasporti. </w:t>
      </w:r>
    </w:p>
    <w:p w:rsidR="00930CE2" w:rsidRPr="00041446" w:rsidRDefault="00930CE2" w:rsidP="00930CE2">
      <w:pPr>
        <w:suppressAutoHyphens w:val="0"/>
        <w:spacing w:before="160"/>
        <w:ind w:left="284" w:hanging="284"/>
        <w:rPr>
          <w:rFonts w:asciiTheme="minorHAnsi" w:eastAsia="Times New Roman" w:hAnsiTheme="minorHAnsi" w:cstheme="minorHAnsi"/>
          <w:sz w:val="24"/>
          <w:szCs w:val="24"/>
          <w:lang w:eastAsia="it-IT"/>
        </w:rPr>
      </w:pPr>
    </w:p>
    <w:p w:rsidR="00041446" w:rsidRPr="00041446" w:rsidRDefault="007A3BAC" w:rsidP="00930CE2">
      <w:pPr>
        <w:suppressAutoHyphens w:val="0"/>
        <w:spacing w:after="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526CF4">
        <w:rPr>
          <w:rFonts w:asciiTheme="minorHAnsi" w:eastAsia="Times New Roman" w:hAnsiTheme="minorHAnsi" w:cstheme="minorHAnsi"/>
          <w:sz w:val="24"/>
          <w:szCs w:val="24"/>
          <w:lang w:eastAsia="it-IT"/>
        </w:rPr>
        <w:t xml:space="preserve">È </w:t>
      </w:r>
      <w:r w:rsidR="00041446" w:rsidRPr="00041446">
        <w:rPr>
          <w:rFonts w:asciiTheme="minorHAnsi" w:eastAsia="Times New Roman" w:hAnsiTheme="minorHAnsi" w:cstheme="minorHAnsi"/>
          <w:sz w:val="24"/>
          <w:szCs w:val="24"/>
          <w:lang w:eastAsia="it-IT"/>
        </w:rPr>
        <w:t xml:space="preserve">stata scelta questa azienda perché, oltre ad </w:t>
      </w:r>
      <w:r w:rsidR="00723EA3">
        <w:rPr>
          <w:rFonts w:asciiTheme="minorHAnsi" w:eastAsia="Times New Roman" w:hAnsiTheme="minorHAnsi" w:cstheme="minorHAnsi"/>
          <w:sz w:val="24"/>
          <w:szCs w:val="24"/>
          <w:lang w:eastAsia="it-IT"/>
        </w:rPr>
        <w:t>attività</w:t>
      </w:r>
      <w:r w:rsidR="00723EA3" w:rsidRPr="00041446">
        <w:rPr>
          <w:rFonts w:asciiTheme="minorHAnsi" w:eastAsia="Times New Roman" w:hAnsiTheme="minorHAnsi" w:cstheme="minorHAnsi"/>
          <w:sz w:val="24"/>
          <w:szCs w:val="24"/>
          <w:lang w:eastAsia="it-IT"/>
        </w:rPr>
        <w:t xml:space="preserve"> </w:t>
      </w:r>
      <w:r w:rsidR="00041446" w:rsidRPr="00041446">
        <w:rPr>
          <w:rFonts w:asciiTheme="minorHAnsi" w:eastAsia="Times New Roman" w:hAnsiTheme="minorHAnsi" w:cstheme="minorHAnsi"/>
          <w:sz w:val="24"/>
          <w:szCs w:val="24"/>
          <w:lang w:eastAsia="it-IT"/>
        </w:rPr>
        <w:t>legate alla pianificazione del trasporto pubblico, la Rapp Trans AG ha collaborato con la Sezione della mobilità (SM) per il monitoraggio degli effetti di traffico della galleria Vedeggio-Cassarate e del Piano della viabilit</w:t>
      </w:r>
      <w:r w:rsidR="00526CF4">
        <w:rPr>
          <w:rFonts w:asciiTheme="minorHAnsi" w:eastAsia="Times New Roman" w:hAnsiTheme="minorHAnsi" w:cstheme="minorHAnsi"/>
          <w:sz w:val="24"/>
          <w:szCs w:val="24"/>
          <w:lang w:eastAsia="it-IT"/>
        </w:rPr>
        <w:t>à</w:t>
      </w:r>
      <w:r w:rsidR="00041446" w:rsidRPr="00041446">
        <w:rPr>
          <w:rFonts w:asciiTheme="minorHAnsi" w:eastAsia="Times New Roman" w:hAnsiTheme="minorHAnsi" w:cstheme="minorHAnsi"/>
          <w:sz w:val="24"/>
          <w:szCs w:val="24"/>
          <w:lang w:eastAsia="it-IT"/>
        </w:rPr>
        <w:t xml:space="preserve"> del Polo. Sotto la conduzione della Sezione della Mobilità Rapp Trans AG ha allestito il concetto, condotto i rilevamenti e i sondaggi necessari e redatto il rapporto di analisi. Le buone passate collaborazioni, l’appurata competenza e la conoscenza del territorio e del tessuto economico cantonale, assicurata da un team di progetto di origine ticinese, sono state decisive per affidare il mandato a questa azienda. </w:t>
      </w:r>
    </w:p>
    <w:p w:rsidR="00041446" w:rsidRPr="00041446" w:rsidRDefault="007A3BAC" w:rsidP="00930CE2">
      <w:pPr>
        <w:suppressAutoHyphens w:val="0"/>
        <w:spacing w:after="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La scelta è stata dettata anche dalla volont</w:t>
      </w:r>
      <w:r w:rsidR="00526CF4">
        <w:rPr>
          <w:rFonts w:asciiTheme="minorHAnsi" w:eastAsia="Times New Roman" w:hAnsiTheme="minorHAnsi" w:cstheme="minorHAnsi"/>
          <w:sz w:val="24"/>
          <w:szCs w:val="24"/>
          <w:lang w:eastAsia="it-IT"/>
        </w:rPr>
        <w:t>à</w:t>
      </w:r>
      <w:r w:rsidR="00041446" w:rsidRPr="00041446">
        <w:rPr>
          <w:rFonts w:asciiTheme="minorHAnsi" w:eastAsia="Times New Roman" w:hAnsiTheme="minorHAnsi" w:cstheme="minorHAnsi"/>
          <w:sz w:val="24"/>
          <w:szCs w:val="24"/>
          <w:lang w:eastAsia="it-IT"/>
        </w:rPr>
        <w:t xml:space="preserve"> di affidarsi a una ditta fuori Cantone per garantire maggiore indipendenza. </w:t>
      </w:r>
    </w:p>
    <w:p w:rsidR="00041446" w:rsidRPr="00041446" w:rsidRDefault="007A3BAC" w:rsidP="00930CE2">
      <w:pPr>
        <w:suppressAutoHyphens w:val="0"/>
        <w:spacing w:after="160"/>
        <w:ind w:left="284" w:hanging="284"/>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I contenuti del mandato sono descritti nel capitolato allegato (Allegato 4), mentre un sunto degli esiti ottenuti da tale mandato sono presenti nell’Allegato 5 senza che sia indicata la tempistica di rilevamento dei dati comparativi necessari per la valutazione dell’efficacia della T</w:t>
      </w:r>
      <w:r w:rsidR="00236B79">
        <w:rPr>
          <w:rFonts w:asciiTheme="minorHAnsi" w:eastAsia="Times New Roman" w:hAnsiTheme="minorHAnsi" w:cstheme="minorHAnsi"/>
          <w:sz w:val="24"/>
          <w:szCs w:val="24"/>
          <w:lang w:eastAsia="it-IT"/>
        </w:rPr>
        <w:t>d</w:t>
      </w:r>
      <w:r w:rsidR="00041446" w:rsidRPr="00041446">
        <w:rPr>
          <w:rFonts w:asciiTheme="minorHAnsi" w:eastAsia="Times New Roman" w:hAnsiTheme="minorHAnsi" w:cstheme="minorHAnsi"/>
          <w:sz w:val="24"/>
          <w:szCs w:val="24"/>
          <w:lang w:eastAsia="it-IT"/>
        </w:rPr>
        <w:t>C nel raggiungimento degli obiettivi definiti dalla Legge.</w:t>
      </w:r>
    </w:p>
    <w:p w:rsidR="00041446" w:rsidRPr="00041446" w:rsidRDefault="007A3BAC" w:rsidP="00526CF4">
      <w:pPr>
        <w:suppressAutoHyphens w:val="0"/>
        <w:spacing w:after="240"/>
        <w:ind w:left="284" w:hanging="284"/>
        <w:rPr>
          <w:rFonts w:asciiTheme="minorHAnsi" w:eastAsia="Times New Roman" w:hAnsiTheme="minorHAnsi" w:cstheme="minorHAnsi"/>
          <w:b/>
          <w:sz w:val="24"/>
          <w:szCs w:val="24"/>
          <w:lang w:eastAsia="it-IT"/>
        </w:rPr>
      </w:pPr>
      <w:r>
        <w:rPr>
          <w:rFonts w:asciiTheme="minorHAnsi" w:eastAsia="Times New Roman" w:hAnsiTheme="minorHAnsi" w:cstheme="minorHAnsi"/>
          <w:b/>
          <w:sz w:val="24"/>
          <w:szCs w:val="24"/>
          <w:lang w:eastAsia="it-IT"/>
        </w:rPr>
        <w:tab/>
      </w:r>
      <w:r w:rsidR="00041446" w:rsidRPr="00041446">
        <w:rPr>
          <w:rFonts w:asciiTheme="minorHAnsi" w:eastAsia="Times New Roman" w:hAnsiTheme="minorHAnsi" w:cstheme="minorHAnsi"/>
          <w:b/>
          <w:sz w:val="24"/>
          <w:szCs w:val="24"/>
          <w:lang w:eastAsia="it-IT"/>
        </w:rPr>
        <w:t>In tal senso si incarica il Consiglio di Stato di stabilire e rendere noti almeno 6 mesi prima dell’entrata in vigore effettiva della Tassa stessa gli obiettivi qualitativi e quantitativi da raggiungere alla fine dei tre anni di monitoraggio</w:t>
      </w:r>
      <w:r>
        <w:rPr>
          <w:rFonts w:asciiTheme="minorHAnsi" w:eastAsia="Times New Roman" w:hAnsiTheme="minorHAnsi" w:cstheme="minorHAnsi"/>
          <w:b/>
          <w:sz w:val="24"/>
          <w:szCs w:val="24"/>
          <w:lang w:eastAsia="it-IT"/>
        </w:rPr>
        <w:t xml:space="preserve">, definendo nel contempo anche </w:t>
      </w:r>
      <w:r w:rsidR="00041446" w:rsidRPr="00041446">
        <w:rPr>
          <w:rFonts w:asciiTheme="minorHAnsi" w:eastAsia="Times New Roman" w:hAnsiTheme="minorHAnsi" w:cstheme="minorHAnsi"/>
          <w:b/>
          <w:sz w:val="24"/>
          <w:szCs w:val="24"/>
          <w:lang w:eastAsia="it-IT"/>
        </w:rPr>
        <w:t xml:space="preserve">gli obiettivi parziali intermedi da raggiungere. </w:t>
      </w:r>
    </w:p>
    <w:p w:rsidR="00041446" w:rsidRPr="00041446" w:rsidRDefault="00041446" w:rsidP="007A3BAC">
      <w:pPr>
        <w:numPr>
          <w:ilvl w:val="0"/>
          <w:numId w:val="27"/>
        </w:numPr>
        <w:suppressAutoHyphens w:val="0"/>
        <w:autoSpaceDE w:val="0"/>
        <w:autoSpaceDN w:val="0"/>
        <w:adjustRightInd w:val="0"/>
        <w:spacing w:after="160"/>
        <w:ind w:left="284" w:hanging="284"/>
        <w:contextualSpacing/>
        <w:rPr>
          <w:rFonts w:asciiTheme="minorHAnsi" w:eastAsia="Calibri" w:hAnsiTheme="minorHAnsi" w:cstheme="minorHAnsi"/>
          <w:sz w:val="24"/>
          <w:szCs w:val="24"/>
        </w:rPr>
      </w:pPr>
      <w:r w:rsidRPr="00041446">
        <w:rPr>
          <w:rFonts w:asciiTheme="minorHAnsi" w:eastAsia="Calibri" w:hAnsiTheme="minorHAnsi" w:cstheme="minorHAnsi"/>
          <w:b/>
          <w:bCs/>
          <w:sz w:val="24"/>
          <w:szCs w:val="24"/>
        </w:rPr>
        <w:t>A più riprese è stato confermato come non siano disponibili oggi dati né sufficienti, né probatori per valutare l’effetto della misura applicata fin qui in diverse realtà sia pubbliche che private che l’hanno introdotta a titolo provvisorio.</w:t>
      </w:r>
      <w:r w:rsidRPr="00041446">
        <w:rPr>
          <w:rFonts w:asciiTheme="minorHAnsi" w:eastAsia="Calibri" w:hAnsiTheme="minorHAnsi" w:cstheme="minorHAnsi"/>
          <w:sz w:val="24"/>
          <w:szCs w:val="24"/>
        </w:rPr>
        <w:t xml:space="preserve">  </w:t>
      </w:r>
    </w:p>
    <w:p w:rsidR="00041446" w:rsidRPr="00041446" w:rsidRDefault="007A3BAC" w:rsidP="007A3BAC">
      <w:pPr>
        <w:suppressAutoHyphens w:val="0"/>
        <w:autoSpaceDE w:val="0"/>
        <w:autoSpaceDN w:val="0"/>
        <w:adjustRightInd w:val="0"/>
        <w:ind w:left="284" w:hanging="284"/>
        <w:contextualSpacing/>
        <w:rPr>
          <w:rFonts w:asciiTheme="minorHAnsi" w:eastAsia="Calibri" w:hAnsiTheme="minorHAnsi" w:cstheme="minorHAnsi"/>
          <w:sz w:val="24"/>
          <w:szCs w:val="24"/>
        </w:rPr>
      </w:pPr>
      <w:r>
        <w:rPr>
          <w:rFonts w:asciiTheme="minorHAnsi" w:eastAsia="Calibri" w:hAnsiTheme="minorHAnsi" w:cstheme="minorHAnsi"/>
          <w:sz w:val="24"/>
          <w:szCs w:val="24"/>
        </w:rPr>
        <w:tab/>
      </w:r>
      <w:r w:rsidR="00041446" w:rsidRPr="00041446">
        <w:rPr>
          <w:rFonts w:asciiTheme="minorHAnsi" w:eastAsia="Calibri" w:hAnsiTheme="minorHAnsi" w:cstheme="minorHAnsi"/>
          <w:sz w:val="24"/>
          <w:szCs w:val="24"/>
        </w:rPr>
        <w:t xml:space="preserve">Il CdS ha confermato a due riprese, il 9-4-21 e il 25-1-20, di non avere a disposizione dati per poter offrire anche solo un quadro parziale dei risultati ottenuti dall’applicazione frammentaria e parziale della tassa stessa. Lo stesso DT ribadisce che non vi è la possibilità di acquisire dati presso terzi relativi a contratti di diritto privato stipulati tra proprietari e affittuari di posteggi. </w:t>
      </w:r>
    </w:p>
    <w:p w:rsidR="00041446" w:rsidRPr="00041446" w:rsidRDefault="007A3BAC" w:rsidP="007A3BAC">
      <w:pPr>
        <w:suppressAutoHyphens w:val="0"/>
        <w:autoSpaceDE w:val="0"/>
        <w:autoSpaceDN w:val="0"/>
        <w:adjustRightInd w:val="0"/>
        <w:ind w:left="284" w:hanging="284"/>
        <w:contextualSpacing/>
        <w:rPr>
          <w:rFonts w:asciiTheme="minorHAnsi" w:eastAsia="Calibri" w:hAnsiTheme="minorHAnsi" w:cstheme="minorHAnsi"/>
          <w:i/>
          <w:iCs/>
          <w:sz w:val="24"/>
          <w:szCs w:val="24"/>
        </w:rPr>
      </w:pPr>
      <w:r>
        <w:rPr>
          <w:rFonts w:asciiTheme="minorHAnsi" w:eastAsia="Calibri" w:hAnsiTheme="minorHAnsi" w:cstheme="minorHAnsi"/>
          <w:sz w:val="24"/>
          <w:szCs w:val="24"/>
        </w:rPr>
        <w:tab/>
      </w:r>
      <w:r w:rsidR="00041446" w:rsidRPr="00041446">
        <w:rPr>
          <w:rFonts w:asciiTheme="minorHAnsi" w:eastAsia="Calibri" w:hAnsiTheme="minorHAnsi" w:cstheme="minorHAnsi"/>
          <w:sz w:val="24"/>
          <w:szCs w:val="24"/>
        </w:rPr>
        <w:t>Il DT ritiene inoltre che “</w:t>
      </w:r>
      <w:r w:rsidR="00041446" w:rsidRPr="00041446">
        <w:rPr>
          <w:rFonts w:asciiTheme="minorHAnsi" w:eastAsia="Calibri" w:hAnsiTheme="minorHAnsi" w:cstheme="minorHAnsi"/>
          <w:i/>
          <w:iCs/>
          <w:sz w:val="24"/>
          <w:szCs w:val="24"/>
        </w:rPr>
        <w:t>ipotesi o elementi conoscitivi frammentari e privi di verifica porterebbero a interpretazioni non oggettive che contribuirebbero a creare confusione”.</w:t>
      </w:r>
    </w:p>
    <w:p w:rsidR="00041446" w:rsidRPr="00041446" w:rsidRDefault="00041446" w:rsidP="00526CF4">
      <w:pPr>
        <w:suppressAutoHyphens w:val="0"/>
        <w:autoSpaceDE w:val="0"/>
        <w:autoSpaceDN w:val="0"/>
        <w:adjustRightInd w:val="0"/>
        <w:contextualSpacing/>
        <w:rPr>
          <w:rFonts w:asciiTheme="minorHAnsi" w:eastAsia="Calibri" w:hAnsiTheme="minorHAnsi" w:cstheme="minorHAnsi"/>
          <w:i/>
          <w:iCs/>
          <w:sz w:val="24"/>
          <w:szCs w:val="24"/>
        </w:rPr>
      </w:pPr>
    </w:p>
    <w:p w:rsidR="00041446" w:rsidRPr="00041446" w:rsidRDefault="00041446" w:rsidP="007A3BAC">
      <w:pPr>
        <w:numPr>
          <w:ilvl w:val="0"/>
          <w:numId w:val="27"/>
        </w:numPr>
        <w:suppressAutoHyphens w:val="0"/>
        <w:spacing w:before="100" w:beforeAutospacing="1" w:after="100" w:afterAutospacing="1"/>
        <w:ind w:left="284" w:hanging="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bCs/>
          <w:sz w:val="24"/>
          <w:szCs w:val="24"/>
          <w:lang w:eastAsia="it-IT"/>
        </w:rPr>
        <w:t xml:space="preserve">Per quanto riguarda i rilevamenti della </w:t>
      </w:r>
      <w:r w:rsidRPr="00041446">
        <w:rPr>
          <w:rFonts w:asciiTheme="minorHAnsi" w:eastAsia="Times New Roman" w:hAnsiTheme="minorHAnsi" w:cstheme="minorHAnsi"/>
          <w:b/>
          <w:bCs/>
          <w:sz w:val="24"/>
          <w:szCs w:val="24"/>
          <w:lang w:eastAsia="it-IT"/>
        </w:rPr>
        <w:t>banca dati sull’evoluzione dei posteggi dal 2014 ad ogg</w:t>
      </w:r>
      <w:r w:rsidRPr="00041446">
        <w:rPr>
          <w:rFonts w:asciiTheme="minorHAnsi" w:eastAsia="Times New Roman" w:hAnsiTheme="minorHAnsi" w:cstheme="minorHAnsi"/>
          <w:bCs/>
          <w:sz w:val="24"/>
          <w:szCs w:val="24"/>
          <w:lang w:eastAsia="it-IT"/>
        </w:rPr>
        <w:t>i viene prima di tutto sottolineato come l</w:t>
      </w:r>
      <w:r w:rsidRPr="00041446">
        <w:rPr>
          <w:rFonts w:asciiTheme="minorHAnsi" w:eastAsia="Times New Roman" w:hAnsiTheme="minorHAnsi" w:cstheme="minorHAnsi"/>
          <w:sz w:val="24"/>
          <w:szCs w:val="24"/>
          <w:lang w:eastAsia="it-IT"/>
        </w:rPr>
        <w:t>a banca dati sui posteggi attualmente a disposizione del DT non verr</w:t>
      </w:r>
      <w:r w:rsidR="00526CF4">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in nessun caso utilizzata ai fini della tassazione. Essa è stata creata al fine di stimare i posteggi assoggettabili e disporre di dati per controlli incrociati con le dichiarazioni che verranno inoltrate dai proprietari dei fondi. </w:t>
      </w:r>
    </w:p>
    <w:p w:rsidR="00041446" w:rsidRPr="00041446" w:rsidRDefault="007A3BAC" w:rsidP="007A3BAC">
      <w:pPr>
        <w:suppressAutoHyphens w:val="0"/>
        <w:spacing w:before="100" w:beforeAutospacing="1" w:after="100" w:afterAutospacing="1"/>
        <w:ind w:left="284" w:hanging="284"/>
        <w:contextualSpacing/>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Quindi, ai fini del monitoraggio, i dati statistici non saranno estratti dalla banca dati attuale, ma dalla banca dati che verr</w:t>
      </w:r>
      <w:r w:rsidR="00526CF4">
        <w:rPr>
          <w:rFonts w:asciiTheme="minorHAnsi" w:eastAsia="Times New Roman" w:hAnsiTheme="minorHAnsi" w:cstheme="minorHAnsi"/>
          <w:sz w:val="24"/>
          <w:szCs w:val="24"/>
          <w:lang w:eastAsia="it-IT"/>
        </w:rPr>
        <w:t>à</w:t>
      </w:r>
      <w:r w:rsidR="00041446" w:rsidRPr="00041446">
        <w:rPr>
          <w:rFonts w:asciiTheme="minorHAnsi" w:eastAsia="Times New Roman" w:hAnsiTheme="minorHAnsi" w:cstheme="minorHAnsi"/>
          <w:sz w:val="24"/>
          <w:szCs w:val="24"/>
          <w:lang w:eastAsia="it-IT"/>
        </w:rPr>
        <w:t xml:space="preserve"> creata sulla base delle dichiarazioni ricevute.</w:t>
      </w:r>
    </w:p>
    <w:p w:rsidR="00041446" w:rsidRPr="00041446" w:rsidRDefault="007A3BAC" w:rsidP="007A3BAC">
      <w:pPr>
        <w:suppressAutoHyphens w:val="0"/>
        <w:spacing w:before="100" w:beforeAutospacing="1" w:after="100" w:afterAutospacing="1"/>
        <w:ind w:left="284" w:hanging="284"/>
        <w:contextualSpacing/>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b/>
      </w:r>
      <w:r w:rsidR="00041446" w:rsidRPr="00041446">
        <w:rPr>
          <w:rFonts w:asciiTheme="minorHAnsi" w:eastAsia="Times New Roman" w:hAnsiTheme="minorHAnsi" w:cstheme="minorHAnsi"/>
          <w:sz w:val="24"/>
          <w:szCs w:val="24"/>
          <w:lang w:eastAsia="it-IT"/>
        </w:rPr>
        <w:t xml:space="preserve">Di seguito troviamo l’estratto del numero di posteggi potenzialmente soggetti a tassa secondo il tipo di utilizzo e il metodo di rilevamento (stato della banca dati 19.07.2021). </w:t>
      </w:r>
    </w:p>
    <w:p w:rsidR="00041446" w:rsidRPr="00526CF4" w:rsidRDefault="00041446" w:rsidP="007A3BAC">
      <w:pPr>
        <w:suppressAutoHyphens w:val="0"/>
        <w:autoSpaceDE w:val="0"/>
        <w:autoSpaceDN w:val="0"/>
        <w:adjustRightInd w:val="0"/>
        <w:ind w:left="454"/>
        <w:contextualSpacing/>
        <w:jc w:val="left"/>
        <w:rPr>
          <w:rFonts w:asciiTheme="minorHAnsi" w:eastAsia="Calibri" w:hAnsiTheme="minorHAnsi" w:cstheme="minorHAnsi"/>
          <w:sz w:val="24"/>
          <w:szCs w:val="24"/>
        </w:rPr>
      </w:pPr>
      <w:r w:rsidRPr="00041446">
        <w:rPr>
          <w:rFonts w:asciiTheme="minorHAnsi" w:eastAsia="Calibri" w:hAnsiTheme="minorHAnsi" w:cstheme="minorHAnsi"/>
          <w:noProof/>
          <w:color w:val="FF0000"/>
          <w:sz w:val="24"/>
          <w:szCs w:val="24"/>
          <w:lang w:eastAsia="it-CH"/>
        </w:rPr>
        <w:drawing>
          <wp:inline distT="0" distB="0" distL="0" distR="0" wp14:anchorId="6A3A391C" wp14:editId="3C215B22">
            <wp:extent cx="6115050" cy="2362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inline>
        </w:drawing>
      </w:r>
    </w:p>
    <w:p w:rsidR="00041446" w:rsidRPr="00CE1DBA" w:rsidRDefault="00041446" w:rsidP="00CE1DBA">
      <w:pPr>
        <w:suppressAutoHyphens w:val="0"/>
        <w:spacing w:after="60"/>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Rispetto alla lettura e all’utilizzo dei dati vanno osservate le seguenti avvertenze: </w:t>
      </w:r>
    </w:p>
    <w:p w:rsidR="00041446" w:rsidRPr="00CE1DBA" w:rsidRDefault="00041446" w:rsidP="007A3BAC">
      <w:pPr>
        <w:numPr>
          <w:ilvl w:val="1"/>
          <w:numId w:val="28"/>
        </w:numPr>
        <w:tabs>
          <w:tab w:val="left" w:pos="284"/>
        </w:tabs>
        <w:suppressAutoHyphens w:val="0"/>
        <w:spacing w:after="160"/>
        <w:ind w:left="0" w:firstLine="0"/>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La banca dati non ha la pretesa di essere completa; </w:t>
      </w:r>
    </w:p>
    <w:p w:rsidR="00041446" w:rsidRPr="00CE1DBA" w:rsidRDefault="00041446" w:rsidP="007A3BAC">
      <w:pPr>
        <w:numPr>
          <w:ilvl w:val="1"/>
          <w:numId w:val="28"/>
        </w:numPr>
        <w:tabs>
          <w:tab w:val="left" w:pos="284"/>
        </w:tabs>
        <w:suppressAutoHyphens w:val="0"/>
        <w:spacing w:after="160"/>
        <w:ind w:left="0" w:firstLine="0"/>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Non è dato sapere se i posteggi in banca dati siano in esercizio o meno;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Non è dato sapere se i posteggi inseriti in banca dati sulla base delle domande di costruzione siano effettivamente stati realizzati;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Il sopralluogo effettuato nel 2015 potrebbe non aver rilevato posteggi inseriti successivamente in banca dati sulla base delle domande di costruzione;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Considerato che i dati riportati nella tabella sono aggregati, per un’eventuale stima degli introiti non è possibile applicare le riduzioni della tassa secondo art. 35e cpv. 3 LTPub;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Non è dato sapere se e quante dismissioni di posteggi saranno inoltrate. Non si conosce quindi il numero di posteggi effettivamente assoggettabili. Per un’eventuale stima degli introiti non è dunque possibile applicare le riduzioni della tassa secondo art. 35f LTPub; </w:t>
      </w:r>
    </w:p>
    <w:p w:rsidR="00041446"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È ipotizzabile che per le aree di posteggio che attualmente dispongono di poco pi</w:t>
      </w:r>
      <w:r w:rsidR="00CE1DBA">
        <w:rPr>
          <w:rFonts w:asciiTheme="minorHAnsi" w:eastAsia="Times New Roman" w:hAnsiTheme="minorHAnsi" w:cstheme="minorHAnsi"/>
          <w:sz w:val="19"/>
          <w:szCs w:val="19"/>
          <w:lang w:eastAsia="it-IT"/>
        </w:rPr>
        <w:t>ù</w:t>
      </w:r>
      <w:r w:rsidRPr="00CE1DBA">
        <w:rPr>
          <w:rFonts w:asciiTheme="minorHAnsi" w:eastAsia="Times New Roman" w:hAnsiTheme="minorHAnsi" w:cstheme="minorHAnsi"/>
          <w:sz w:val="19"/>
          <w:szCs w:val="19"/>
          <w:lang w:eastAsia="it-IT"/>
        </w:rPr>
        <w:t xml:space="preserve"> di 50 posteggi, alcuni stalli vengano dismessi al fine di scendere sotto la soglia ed evitare l’assoggettamento alla tassa; </w:t>
      </w:r>
    </w:p>
    <w:p w:rsidR="007A3BAC" w:rsidRPr="00CE1DBA" w:rsidRDefault="00041446" w:rsidP="007A3BAC">
      <w:pPr>
        <w:numPr>
          <w:ilvl w:val="1"/>
          <w:numId w:val="28"/>
        </w:numPr>
        <w:tabs>
          <w:tab w:val="left" w:pos="284"/>
        </w:tabs>
        <w:suppressAutoHyphens w:val="0"/>
        <w:spacing w:after="160"/>
        <w:ind w:left="284" w:hanging="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 xml:space="preserve">Il numero dei posteggi dei commerci e delle aziende comprende anche quello dei posteggi per gli impiegati e i visitatori. Di conseguenza un’eventuale stima degli introiti sulla base di questi numeri non sarebbe corretta. </w:t>
      </w:r>
    </w:p>
    <w:p w:rsidR="00041446" w:rsidRPr="00CE1DBA" w:rsidRDefault="00041446" w:rsidP="007A3BAC">
      <w:pPr>
        <w:tabs>
          <w:tab w:val="left" w:pos="284"/>
        </w:tabs>
        <w:suppressAutoHyphens w:val="0"/>
        <w:spacing w:after="160"/>
        <w:ind w:left="284"/>
        <w:contextualSpacing/>
        <w:rPr>
          <w:rFonts w:asciiTheme="minorHAnsi" w:eastAsia="Times New Roman" w:hAnsiTheme="minorHAnsi" w:cstheme="minorHAnsi"/>
          <w:sz w:val="19"/>
          <w:szCs w:val="19"/>
          <w:lang w:eastAsia="it-IT"/>
        </w:rPr>
      </w:pPr>
      <w:r w:rsidRPr="00CE1DBA">
        <w:rPr>
          <w:rFonts w:asciiTheme="minorHAnsi" w:eastAsia="Times New Roman" w:hAnsiTheme="minorHAnsi" w:cstheme="minorHAnsi"/>
          <w:sz w:val="19"/>
          <w:szCs w:val="19"/>
          <w:lang w:eastAsia="it-IT"/>
        </w:rPr>
        <w:t>Va anche ricordato come non sia possibile fornire l’evoluzione dei posteggi a causa della non esaustivit</w:t>
      </w:r>
      <w:r w:rsidR="00CE1DBA">
        <w:rPr>
          <w:rFonts w:asciiTheme="minorHAnsi" w:eastAsia="Times New Roman" w:hAnsiTheme="minorHAnsi" w:cstheme="minorHAnsi"/>
          <w:sz w:val="19"/>
          <w:szCs w:val="19"/>
          <w:lang w:eastAsia="it-IT"/>
        </w:rPr>
        <w:t>à</w:t>
      </w:r>
      <w:r w:rsidRPr="00CE1DBA">
        <w:rPr>
          <w:rFonts w:asciiTheme="minorHAnsi" w:eastAsia="Times New Roman" w:hAnsiTheme="minorHAnsi" w:cstheme="minorHAnsi"/>
          <w:sz w:val="19"/>
          <w:szCs w:val="19"/>
          <w:lang w:eastAsia="it-IT"/>
        </w:rPr>
        <w:t xml:space="preserve"> dei rilevamenti effettuati nel 2014-2015. Molti dati inseriti dopo quella data si riferiscono a posteggi gi</w:t>
      </w:r>
      <w:r w:rsidR="00CE1DBA">
        <w:rPr>
          <w:rFonts w:asciiTheme="minorHAnsi" w:eastAsia="Times New Roman" w:hAnsiTheme="minorHAnsi" w:cstheme="minorHAnsi"/>
          <w:sz w:val="19"/>
          <w:szCs w:val="19"/>
          <w:lang w:eastAsia="it-IT"/>
        </w:rPr>
        <w:t>à</w:t>
      </w:r>
      <w:r w:rsidRPr="00CE1DBA">
        <w:rPr>
          <w:rFonts w:asciiTheme="minorHAnsi" w:eastAsia="Times New Roman" w:hAnsiTheme="minorHAnsi" w:cstheme="minorHAnsi"/>
          <w:sz w:val="19"/>
          <w:szCs w:val="19"/>
          <w:lang w:eastAsia="it-IT"/>
        </w:rPr>
        <w:t xml:space="preserve"> esistenti. </w:t>
      </w:r>
    </w:p>
    <w:p w:rsidR="007A3BAC" w:rsidRPr="00041446" w:rsidRDefault="007A3BAC" w:rsidP="007A3BAC">
      <w:pPr>
        <w:tabs>
          <w:tab w:val="left" w:pos="284"/>
        </w:tabs>
        <w:suppressAutoHyphens w:val="0"/>
        <w:spacing w:after="160"/>
        <w:ind w:left="284"/>
        <w:contextualSpacing/>
        <w:rPr>
          <w:rFonts w:asciiTheme="minorHAnsi" w:eastAsia="Times New Roman" w:hAnsiTheme="minorHAnsi" w:cstheme="minorHAnsi"/>
          <w:sz w:val="24"/>
          <w:szCs w:val="24"/>
          <w:lang w:eastAsia="it-IT"/>
        </w:rPr>
      </w:pPr>
    </w:p>
    <w:p w:rsidR="00041446" w:rsidRDefault="00041446" w:rsidP="00FC50C6">
      <w:pPr>
        <w:numPr>
          <w:ilvl w:val="0"/>
          <w:numId w:val="27"/>
        </w:numPr>
        <w:suppressAutoHyphens w:val="0"/>
        <w:spacing w:before="100" w:beforeAutospacing="1" w:after="12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Le </w:t>
      </w:r>
      <w:r w:rsidR="004903FE">
        <w:rPr>
          <w:rFonts w:asciiTheme="minorHAnsi" w:eastAsia="Calibri" w:hAnsiTheme="minorHAnsi" w:cstheme="minorHAnsi"/>
          <w:sz w:val="24"/>
          <w:szCs w:val="24"/>
        </w:rPr>
        <w:t>attività</w:t>
      </w:r>
      <w:r w:rsidRPr="00041446">
        <w:rPr>
          <w:rFonts w:asciiTheme="minorHAnsi" w:eastAsia="Calibri" w:hAnsiTheme="minorHAnsi" w:cstheme="minorHAnsi"/>
          <w:sz w:val="24"/>
          <w:szCs w:val="24"/>
        </w:rPr>
        <w:t xml:space="preserve"> di monitoraggio degli effetti della tassa di collegamento saranno svolte da una ditta esterna mentre la gestione e la conduzione di questo mandato saranno effettuate dal </w:t>
      </w:r>
      <w:r w:rsidRPr="00041446">
        <w:rPr>
          <w:rFonts w:asciiTheme="minorHAnsi" w:eastAsia="Calibri" w:hAnsiTheme="minorHAnsi" w:cstheme="minorHAnsi"/>
          <w:b/>
          <w:bCs/>
          <w:sz w:val="24"/>
          <w:szCs w:val="24"/>
        </w:rPr>
        <w:t>Settore dello stazionamento e del monitoraggio del traffico</w:t>
      </w:r>
      <w:r w:rsidRPr="00041446">
        <w:rPr>
          <w:rFonts w:asciiTheme="minorHAnsi" w:eastAsia="Calibri" w:hAnsiTheme="minorHAnsi" w:cstheme="minorHAnsi"/>
          <w:bCs/>
          <w:sz w:val="24"/>
          <w:szCs w:val="24"/>
        </w:rPr>
        <w:t xml:space="preserve"> che </w:t>
      </w:r>
      <w:r w:rsidRPr="00041446">
        <w:rPr>
          <w:rFonts w:asciiTheme="minorHAnsi" w:eastAsia="Calibri" w:hAnsiTheme="minorHAnsi" w:cstheme="minorHAnsi"/>
          <w:sz w:val="24"/>
          <w:szCs w:val="24"/>
        </w:rPr>
        <w:t xml:space="preserve">è stato istituito all’interno della Sezione della Mobilità (SM) e che si occupa di due </w:t>
      </w:r>
      <w:r w:rsidR="004903FE">
        <w:rPr>
          <w:rFonts w:asciiTheme="minorHAnsi" w:eastAsia="Calibri" w:hAnsiTheme="minorHAnsi" w:cstheme="minorHAnsi"/>
          <w:sz w:val="24"/>
          <w:szCs w:val="24"/>
        </w:rPr>
        <w:t>attività</w:t>
      </w:r>
      <w:r w:rsidRPr="00041446">
        <w:rPr>
          <w:rFonts w:asciiTheme="minorHAnsi" w:eastAsia="Calibri" w:hAnsiTheme="minorHAnsi" w:cstheme="minorHAnsi"/>
          <w:sz w:val="24"/>
          <w:szCs w:val="24"/>
        </w:rPr>
        <w:t xml:space="preserve"> principali, coordinate da un Capo Settore:</w:t>
      </w:r>
    </w:p>
    <w:p w:rsidR="00041446" w:rsidRPr="00041446" w:rsidRDefault="00041446" w:rsidP="00FC50C6">
      <w:pPr>
        <w:numPr>
          <w:ilvl w:val="0"/>
          <w:numId w:val="29"/>
        </w:numPr>
        <w:tabs>
          <w:tab w:val="left" w:pos="567"/>
          <w:tab w:val="num" w:pos="1416"/>
        </w:tabs>
        <w:suppressAutoHyphens w:val="0"/>
        <w:spacing w:after="120"/>
        <w:ind w:left="1412" w:hanging="1128"/>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u w:val="single"/>
          <w:lang w:eastAsia="it-IT"/>
        </w:rPr>
        <w:t>Monitoraggio del traffico</w:t>
      </w:r>
    </w:p>
    <w:p w:rsidR="00041446" w:rsidRDefault="004903FE" w:rsidP="00B024FA">
      <w:pPr>
        <w:suppressAutoHyphens w:val="0"/>
        <w:ind w:left="567"/>
        <w:rPr>
          <w:rFonts w:asciiTheme="minorHAnsi" w:eastAsia="Times New Roman" w:hAnsiTheme="minorHAnsi" w:cstheme="minorHAnsi"/>
          <w:sz w:val="24"/>
          <w:szCs w:val="24"/>
          <w:lang w:eastAsia="it-IT"/>
        </w:rPr>
      </w:pPr>
      <w:r>
        <w:rPr>
          <w:rFonts w:asciiTheme="minorHAnsi" w:eastAsia="Times New Roman" w:hAnsiTheme="minorHAnsi" w:cstheme="minorHAnsi"/>
          <w:sz w:val="24"/>
          <w:szCs w:val="24"/>
          <w:lang w:eastAsia="it-IT"/>
        </w:rPr>
        <w:t>Attività</w:t>
      </w:r>
      <w:r w:rsidR="00041446" w:rsidRPr="00041446">
        <w:rPr>
          <w:rFonts w:asciiTheme="minorHAnsi" w:eastAsia="Times New Roman" w:hAnsiTheme="minorHAnsi" w:cstheme="minorHAnsi"/>
          <w:sz w:val="24"/>
          <w:szCs w:val="24"/>
          <w:lang w:eastAsia="it-IT"/>
        </w:rPr>
        <w:t xml:space="preserve"> </w:t>
      </w:r>
      <w:r w:rsidR="00B024FA" w:rsidRPr="00041446">
        <w:rPr>
          <w:rFonts w:asciiTheme="minorHAnsi" w:eastAsia="Times New Roman" w:hAnsiTheme="minorHAnsi" w:cstheme="minorHAnsi"/>
          <w:sz w:val="24"/>
          <w:szCs w:val="24"/>
          <w:lang w:eastAsia="it-IT"/>
        </w:rPr>
        <w:t>g</w:t>
      </w:r>
      <w:r>
        <w:rPr>
          <w:rFonts w:asciiTheme="minorHAnsi" w:eastAsia="Times New Roman" w:hAnsiTheme="minorHAnsi" w:cstheme="minorHAnsi"/>
          <w:sz w:val="24"/>
          <w:szCs w:val="24"/>
          <w:lang w:eastAsia="it-IT"/>
        </w:rPr>
        <w:t>ià</w:t>
      </w:r>
      <w:r w:rsidR="00041446" w:rsidRPr="00041446">
        <w:rPr>
          <w:rFonts w:asciiTheme="minorHAnsi" w:eastAsia="Times New Roman" w:hAnsiTheme="minorHAnsi" w:cstheme="minorHAnsi"/>
          <w:sz w:val="24"/>
          <w:szCs w:val="24"/>
          <w:lang w:eastAsia="it-IT"/>
        </w:rPr>
        <w:t xml:space="preserve"> svolta dalla SM e ora gestita dal Settore. I compiti legati a quest’</w:t>
      </w:r>
      <w:r w:rsidR="00B024FA" w:rsidRPr="00041446">
        <w:rPr>
          <w:rFonts w:asciiTheme="minorHAnsi" w:eastAsia="Times New Roman" w:hAnsiTheme="minorHAnsi" w:cstheme="minorHAnsi"/>
          <w:sz w:val="24"/>
          <w:szCs w:val="24"/>
          <w:lang w:eastAsia="it-IT"/>
        </w:rPr>
        <w:t>attivi</w:t>
      </w:r>
      <w:r>
        <w:rPr>
          <w:rFonts w:asciiTheme="minorHAnsi" w:eastAsia="Times New Roman" w:hAnsiTheme="minorHAnsi" w:cstheme="minorHAnsi"/>
          <w:sz w:val="24"/>
          <w:szCs w:val="24"/>
          <w:lang w:eastAsia="it-IT"/>
        </w:rPr>
        <w:t>tà</w:t>
      </w:r>
      <w:r w:rsidR="00041446" w:rsidRPr="00041446">
        <w:rPr>
          <w:rFonts w:asciiTheme="minorHAnsi" w:eastAsia="Times New Roman" w:hAnsiTheme="minorHAnsi" w:cstheme="minorHAnsi"/>
          <w:sz w:val="24"/>
          <w:szCs w:val="24"/>
          <w:lang w:eastAsia="it-IT"/>
        </w:rPr>
        <w:t xml:space="preserve"> sono rimasti invariati</w:t>
      </w:r>
      <w:r w:rsidR="00236B79">
        <w:rPr>
          <w:rFonts w:asciiTheme="minorHAnsi" w:eastAsia="Times New Roman" w:hAnsiTheme="minorHAnsi" w:cstheme="minorHAnsi"/>
          <w:sz w:val="24"/>
          <w:szCs w:val="24"/>
          <w:lang w:eastAsia="it-IT"/>
        </w:rPr>
        <w:t xml:space="preserve"> e sono svolti dalle unità già</w:t>
      </w:r>
      <w:r w:rsidR="00041446" w:rsidRPr="00041446">
        <w:rPr>
          <w:rFonts w:asciiTheme="minorHAnsi" w:eastAsia="Times New Roman" w:hAnsiTheme="minorHAnsi" w:cstheme="minorHAnsi"/>
          <w:sz w:val="24"/>
          <w:szCs w:val="24"/>
          <w:lang w:eastAsia="it-IT"/>
        </w:rPr>
        <w:t xml:space="preserve"> presenti nell’organico della SM. Essi riguardano la raccolta, l’elaborazione, l’analisi e la divulgazione di dati di mobilità (traffico stradale, utenti del trasporto pubblico, flussi sulle vie ciclabili) sia a fini statistici che per bisogni di pianificazione e progettazione di misure. </w:t>
      </w:r>
    </w:p>
    <w:p w:rsidR="00E71C83" w:rsidRPr="00041446" w:rsidRDefault="00E71C83" w:rsidP="00B024FA">
      <w:pPr>
        <w:suppressAutoHyphens w:val="0"/>
        <w:ind w:left="567"/>
        <w:rPr>
          <w:rFonts w:asciiTheme="minorHAnsi" w:eastAsia="Times New Roman" w:hAnsiTheme="minorHAnsi" w:cstheme="minorHAnsi"/>
          <w:sz w:val="24"/>
          <w:szCs w:val="24"/>
          <w:lang w:eastAsia="it-IT"/>
        </w:rPr>
      </w:pPr>
    </w:p>
    <w:p w:rsidR="00041446" w:rsidRPr="00041446" w:rsidRDefault="00041446" w:rsidP="00FC50C6">
      <w:pPr>
        <w:numPr>
          <w:ilvl w:val="0"/>
          <w:numId w:val="29"/>
        </w:numPr>
        <w:tabs>
          <w:tab w:val="left" w:pos="567"/>
          <w:tab w:val="num" w:pos="1416"/>
        </w:tabs>
        <w:suppressAutoHyphens w:val="0"/>
        <w:spacing w:after="120"/>
        <w:ind w:left="1412" w:hanging="1128"/>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u w:val="single"/>
          <w:lang w:eastAsia="it-IT"/>
        </w:rPr>
        <w:t>Stazionamento</w:t>
      </w:r>
    </w:p>
    <w:p w:rsidR="00041446" w:rsidRPr="00041446" w:rsidRDefault="00041446" w:rsidP="00B024FA">
      <w:pPr>
        <w:suppressAutoHyphens w:val="0"/>
        <w:ind w:left="567"/>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L’applicazione della strategia cantonale dello stazionamento e del regolamento sui posteggi privati erano compiti svolti dalla SM gi</w:t>
      </w:r>
      <w:r w:rsidR="00236B79">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in precedenza. Al settore è stata ora affidata l’attuazione della Tassa di collegamento per la quale in una prima fase è necessario definire i processi di lavoro e preparare gli strumenti necessari alla loro applicazione. </w:t>
      </w:r>
    </w:p>
    <w:p w:rsidR="00041446" w:rsidRDefault="00041446" w:rsidP="00CE1DBA">
      <w:pPr>
        <w:tabs>
          <w:tab w:val="left" w:pos="709"/>
        </w:tabs>
        <w:suppressAutoHyphens w:val="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Per queste </w:t>
      </w:r>
      <w:r w:rsidR="00723EA3">
        <w:rPr>
          <w:rFonts w:asciiTheme="minorHAnsi" w:eastAsia="Times New Roman" w:hAnsiTheme="minorHAnsi" w:cstheme="minorHAnsi"/>
          <w:sz w:val="24"/>
          <w:szCs w:val="24"/>
          <w:lang w:eastAsia="it-IT"/>
        </w:rPr>
        <w:t>attività</w:t>
      </w:r>
      <w:r w:rsidR="00723EA3" w:rsidRPr="00041446">
        <w:rPr>
          <w:rFonts w:asciiTheme="minorHAnsi" w:eastAsia="Times New Roman" w:hAnsiTheme="minorHAnsi" w:cstheme="minorHAnsi"/>
          <w:sz w:val="24"/>
          <w:szCs w:val="24"/>
          <w:lang w:eastAsia="it-IT"/>
        </w:rPr>
        <w:t xml:space="preserve"> </w:t>
      </w:r>
      <w:r w:rsidRPr="00041446">
        <w:rPr>
          <w:rFonts w:asciiTheme="minorHAnsi" w:eastAsia="Times New Roman" w:hAnsiTheme="minorHAnsi" w:cstheme="minorHAnsi"/>
          <w:sz w:val="24"/>
          <w:szCs w:val="24"/>
          <w:lang w:eastAsia="it-IT"/>
        </w:rPr>
        <w:t>e quelle di coordinamento del settore è gi</w:t>
      </w:r>
      <w:r w:rsidR="00CE1DBA">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operativo il Capo Settore. Quando sarà decisa in via definitiva la data di entrata in vigore della Tassa di collegamento saranno assunte due nuove unità che si occuperanno dell’evasione delle richieste d’informazione ai proprietari di posteggi, della verifica e dell’accertamento del loro numero, delle decisioni di tassazione e della trattazione dei reclami ad esse correlate. </w:t>
      </w:r>
    </w:p>
    <w:p w:rsidR="00CE1DBA" w:rsidRPr="00041446" w:rsidRDefault="00CE1DBA" w:rsidP="00CE1DBA">
      <w:pPr>
        <w:tabs>
          <w:tab w:val="left" w:pos="709"/>
        </w:tabs>
        <w:suppressAutoHyphens w:val="0"/>
        <w:ind w:left="284"/>
        <w:rPr>
          <w:rFonts w:asciiTheme="minorHAnsi" w:eastAsia="Times New Roman" w:hAnsiTheme="minorHAnsi" w:cstheme="minorHAnsi"/>
          <w:sz w:val="24"/>
          <w:szCs w:val="24"/>
          <w:lang w:eastAsia="it-IT"/>
        </w:rPr>
      </w:pPr>
    </w:p>
    <w:p w:rsidR="00041446" w:rsidRDefault="00041446" w:rsidP="00CE1DBA">
      <w:pPr>
        <w:tabs>
          <w:tab w:val="left" w:pos="709"/>
        </w:tabs>
        <w:suppressAutoHyphens w:val="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Come già ricordato le </w:t>
      </w:r>
      <w:r w:rsidR="00723EA3">
        <w:rPr>
          <w:rFonts w:asciiTheme="minorHAnsi" w:eastAsia="Times New Roman" w:hAnsiTheme="minorHAnsi" w:cstheme="minorHAnsi"/>
          <w:sz w:val="24"/>
          <w:szCs w:val="24"/>
          <w:lang w:eastAsia="it-IT"/>
        </w:rPr>
        <w:t>attività</w:t>
      </w:r>
      <w:r w:rsidRPr="00041446">
        <w:rPr>
          <w:rFonts w:asciiTheme="minorHAnsi" w:eastAsia="Times New Roman" w:hAnsiTheme="minorHAnsi" w:cstheme="minorHAnsi"/>
          <w:sz w:val="24"/>
          <w:szCs w:val="24"/>
          <w:lang w:eastAsia="it-IT"/>
        </w:rPr>
        <w:t xml:space="preserve"> di monitoraggio degli effetti della Tassa di collegamento saranno svolte da una ditta esterna mentre la gestione e la conduzione di questo mandato saranno svolte dal Capo Settore </w:t>
      </w:r>
      <w:r w:rsidRPr="00041446">
        <w:rPr>
          <w:rFonts w:asciiTheme="minorHAnsi" w:eastAsia="Times New Roman" w:hAnsiTheme="minorHAnsi" w:cstheme="minorHAnsi"/>
          <w:bCs/>
          <w:sz w:val="24"/>
          <w:szCs w:val="24"/>
          <w:lang w:eastAsia="it-IT"/>
        </w:rPr>
        <w:t xml:space="preserve">dello stazionamento e del monitoraggio del traffico </w:t>
      </w:r>
      <w:r w:rsidRPr="00041446">
        <w:rPr>
          <w:rFonts w:asciiTheme="minorHAnsi" w:eastAsia="Times New Roman" w:hAnsiTheme="minorHAnsi" w:cstheme="minorHAnsi"/>
          <w:sz w:val="24"/>
          <w:szCs w:val="24"/>
          <w:lang w:eastAsia="it-IT"/>
        </w:rPr>
        <w:t xml:space="preserve">con il supporto delle unità assegnate al monitoraggio del traffico. </w:t>
      </w:r>
    </w:p>
    <w:p w:rsidR="00CE1DBA" w:rsidRPr="00041446" w:rsidRDefault="00CE1DBA" w:rsidP="00CE1DBA">
      <w:pPr>
        <w:tabs>
          <w:tab w:val="left" w:pos="709"/>
        </w:tabs>
        <w:suppressAutoHyphens w:val="0"/>
        <w:ind w:left="284"/>
        <w:rPr>
          <w:rFonts w:asciiTheme="minorHAnsi" w:eastAsia="Times New Roman" w:hAnsiTheme="minorHAnsi" w:cstheme="minorHAnsi"/>
          <w:sz w:val="24"/>
          <w:szCs w:val="24"/>
          <w:lang w:eastAsia="it-IT"/>
        </w:rPr>
      </w:pPr>
    </w:p>
    <w:p w:rsidR="00041446" w:rsidRDefault="00041446" w:rsidP="00CE1DBA">
      <w:pPr>
        <w:tabs>
          <w:tab w:val="left" w:pos="709"/>
        </w:tabs>
        <w:suppressAutoHyphens w:val="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Il Settore è stato istituito per disporre di una vista d’insieme sulla politica dello stazionamento cantonale, oltre che sull’evoluzione delle abitudini di mobilità in generale. Questo permetter</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trovare e sfruttare le sinergie tra le diverse misure di gestione dello stazionamento (tra cui la Tassa di collegamento), individuare e attuare nuove politiche e misure necessarie (che possono anche scaturire dall’applicazione della Tassa), favorire il dialogo e l’applicazione delle misure presso diversi attori coinvolti a tutti i livelli istituzionali e privati, attraverso una comunicazione coordinata. </w:t>
      </w:r>
    </w:p>
    <w:p w:rsidR="00CE1DBA" w:rsidRPr="00041446" w:rsidRDefault="00CE1DBA" w:rsidP="00CE1DBA">
      <w:pPr>
        <w:tabs>
          <w:tab w:val="left" w:pos="709"/>
        </w:tabs>
        <w:suppressAutoHyphens w:val="0"/>
        <w:ind w:left="284"/>
        <w:rPr>
          <w:rFonts w:asciiTheme="minorHAnsi" w:eastAsia="Times New Roman" w:hAnsiTheme="minorHAnsi" w:cstheme="minorHAnsi"/>
          <w:sz w:val="24"/>
          <w:szCs w:val="24"/>
          <w:lang w:eastAsia="it-IT"/>
        </w:rPr>
      </w:pPr>
    </w:p>
    <w:p w:rsidR="00041446" w:rsidRPr="00041446" w:rsidRDefault="00041446" w:rsidP="00CE1DBA">
      <w:pPr>
        <w:tabs>
          <w:tab w:val="left" w:pos="709"/>
        </w:tabs>
        <w:suppressAutoHyphens w:val="0"/>
        <w:spacing w:after="120"/>
        <w:ind w:left="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Nell’ambito dell’applicazione della Tassa di collegamento, le principali collaborazioni con gli altri servizi dell’Amministrazione saranno le seguenti: </w:t>
      </w:r>
    </w:p>
    <w:p w:rsidR="00041446" w:rsidRPr="00041446" w:rsidRDefault="00041446" w:rsidP="00934F35">
      <w:pPr>
        <w:numPr>
          <w:ilvl w:val="0"/>
          <w:numId w:val="39"/>
        </w:numPr>
        <w:tabs>
          <w:tab w:val="clear" w:pos="720"/>
          <w:tab w:val="left" w:pos="567"/>
          <w:tab w:val="num" w:pos="851"/>
        </w:tabs>
        <w:suppressAutoHyphens w:val="0"/>
        <w:spacing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Centro sistemi informativi (DFE): definizione, allestimento e messa a disposizione degli strumenti informatici necessari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giuridico (DT): consulenza giuridica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della geomatica (DT): elaborazioni GIS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delle domande di costruzione (DT): dati posteggi da domande di costruzione/ dati sui posteggi abusivi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del registro fondiario (DI): individuazione contribuenti e dati sui fondi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Divisione delle contribuzioni (DFE): incasso della tassa e degli interessi di ritardo; dati sui contribuenti dello Stato ai fini di assoggettamento e fatturazione; registrazione di eventuali nuovi contribuenti dello Stato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Ufficio esazione e condoni (DFE): fatturazione multe e relativi incassi </w:t>
      </w:r>
    </w:p>
    <w:p w:rsidR="00041446" w:rsidRPr="00041446" w:rsidRDefault="00041446" w:rsidP="00934F35">
      <w:pPr>
        <w:numPr>
          <w:ilvl w:val="0"/>
          <w:numId w:val="39"/>
        </w:numPr>
        <w:tabs>
          <w:tab w:val="clear" w:pos="720"/>
          <w:tab w:val="left" w:pos="567"/>
          <w:tab w:val="num" w:pos="851"/>
        </w:tabs>
        <w:suppressAutoHyphens w:val="0"/>
        <w:spacing w:before="100" w:beforeAutospacing="1" w:after="100" w:afterAutospacing="1"/>
        <w:ind w:left="567" w:hanging="283"/>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Ufficio di statistica (DFE): fornitura di dati statistici ai fini del monitoraggio.</w:t>
      </w:r>
    </w:p>
    <w:p w:rsidR="00041446" w:rsidRPr="00041446" w:rsidRDefault="00041446" w:rsidP="00FC50C6">
      <w:pPr>
        <w:numPr>
          <w:ilvl w:val="0"/>
          <w:numId w:val="27"/>
        </w:numPr>
        <w:tabs>
          <w:tab w:val="left" w:pos="709"/>
        </w:tabs>
        <w:suppressAutoHyphens w:val="0"/>
        <w:spacing w:after="120"/>
        <w:ind w:left="284" w:firstLine="0"/>
        <w:rPr>
          <w:rFonts w:asciiTheme="minorHAnsi" w:eastAsia="Times New Roman" w:hAnsiTheme="minorHAnsi" w:cstheme="minorHAnsi"/>
          <w:sz w:val="24"/>
          <w:szCs w:val="24"/>
          <w:lang w:eastAsia="it-IT"/>
        </w:rPr>
      </w:pPr>
      <w:r w:rsidRPr="00041446">
        <w:rPr>
          <w:rFonts w:asciiTheme="minorHAnsi" w:eastAsia="Calibri" w:hAnsiTheme="minorHAnsi" w:cstheme="minorHAnsi"/>
          <w:b/>
          <w:bCs/>
          <w:sz w:val="24"/>
          <w:szCs w:val="24"/>
        </w:rPr>
        <w:t>Obiettivi della tassa di collegamento</w:t>
      </w:r>
    </w:p>
    <w:p w:rsidR="00041446" w:rsidRPr="00041446" w:rsidRDefault="00041446" w:rsidP="00FC50C6">
      <w:pPr>
        <w:tabs>
          <w:tab w:val="left" w:pos="709"/>
        </w:tabs>
        <w:suppressAutoHyphens w:val="0"/>
        <w:autoSpaceDE w:val="0"/>
        <w:autoSpaceDN w:val="0"/>
        <w:adjustRightInd w:val="0"/>
        <w:spacing w:after="120"/>
        <w:ind w:left="284"/>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Gli obiettivi perseguiti con l'applicazione della tassa sono e restano quelli definiti nel messaggio </w:t>
      </w:r>
      <w:r w:rsidR="00FC50C6">
        <w:rPr>
          <w:rFonts w:asciiTheme="minorHAnsi" w:eastAsia="Calibri" w:hAnsiTheme="minorHAnsi" w:cstheme="minorHAnsi"/>
          <w:sz w:val="24"/>
          <w:szCs w:val="24"/>
        </w:rPr>
        <w:t xml:space="preserve">n. </w:t>
      </w:r>
      <w:r w:rsidRPr="00041446">
        <w:rPr>
          <w:rFonts w:asciiTheme="minorHAnsi" w:eastAsia="Calibri" w:hAnsiTheme="minorHAnsi" w:cstheme="minorHAnsi"/>
          <w:sz w:val="24"/>
          <w:szCs w:val="24"/>
        </w:rPr>
        <w:t>7139 e cioè:</w:t>
      </w:r>
    </w:p>
    <w:p w:rsidR="00041446" w:rsidRPr="00041446" w:rsidRDefault="00041446" w:rsidP="00FC50C6">
      <w:pPr>
        <w:numPr>
          <w:ilvl w:val="1"/>
          <w:numId w:val="30"/>
        </w:numPr>
        <w:tabs>
          <w:tab w:val="left" w:pos="709"/>
          <w:tab w:val="left" w:pos="851"/>
        </w:tabs>
        <w:suppressAutoHyphens w:val="0"/>
        <w:autoSpaceDE w:val="0"/>
        <w:autoSpaceDN w:val="0"/>
        <w:adjustRightInd w:val="0"/>
        <w:spacing w:after="120"/>
        <w:ind w:left="709" w:hanging="425"/>
        <w:rPr>
          <w:rFonts w:asciiTheme="minorHAnsi" w:eastAsia="Calibri" w:hAnsiTheme="minorHAnsi" w:cstheme="minorHAnsi"/>
          <w:b/>
          <w:bCs/>
          <w:sz w:val="24"/>
          <w:szCs w:val="24"/>
        </w:rPr>
      </w:pPr>
      <w:r w:rsidRPr="00041446">
        <w:rPr>
          <w:rFonts w:asciiTheme="minorHAnsi" w:eastAsia="Calibri" w:hAnsiTheme="minorHAnsi" w:cstheme="minorHAnsi"/>
          <w:b/>
          <w:bCs/>
          <w:sz w:val="24"/>
          <w:szCs w:val="24"/>
        </w:rPr>
        <w:t xml:space="preserve">orientare la domanda di mobilità </w:t>
      </w:r>
      <w:r w:rsidRPr="00041446">
        <w:rPr>
          <w:rFonts w:asciiTheme="minorHAnsi" w:eastAsia="Calibri" w:hAnsiTheme="minorHAnsi" w:cstheme="minorHAnsi"/>
          <w:sz w:val="24"/>
          <w:szCs w:val="24"/>
        </w:rPr>
        <w:t>a favore del</w:t>
      </w:r>
      <w:r w:rsidRPr="00041446">
        <w:rPr>
          <w:rFonts w:asciiTheme="minorHAnsi" w:eastAsia="Calibri" w:hAnsiTheme="minorHAnsi" w:cstheme="minorHAnsi"/>
          <w:b/>
          <w:bCs/>
          <w:sz w:val="24"/>
          <w:szCs w:val="24"/>
        </w:rPr>
        <w:t xml:space="preserve"> </w:t>
      </w:r>
      <w:r w:rsidRPr="00041446">
        <w:rPr>
          <w:rFonts w:asciiTheme="minorHAnsi" w:eastAsia="Calibri" w:hAnsiTheme="minorHAnsi" w:cstheme="minorHAnsi"/>
          <w:sz w:val="24"/>
          <w:szCs w:val="24"/>
        </w:rPr>
        <w:t>car pooling, dell'uso del trasporto pubblico, della mobilità aziendale o della mobilità lenta</w:t>
      </w:r>
      <w:r w:rsidRPr="00041446">
        <w:rPr>
          <w:rFonts w:asciiTheme="minorHAnsi" w:eastAsia="Calibri" w:hAnsiTheme="minorHAnsi" w:cstheme="minorHAnsi"/>
          <w:b/>
          <w:bCs/>
          <w:sz w:val="24"/>
          <w:szCs w:val="24"/>
        </w:rPr>
        <w:t>;</w:t>
      </w:r>
    </w:p>
    <w:p w:rsidR="00041446" w:rsidRPr="00041446" w:rsidRDefault="00041446" w:rsidP="00FC50C6">
      <w:pPr>
        <w:numPr>
          <w:ilvl w:val="1"/>
          <w:numId w:val="30"/>
        </w:numPr>
        <w:tabs>
          <w:tab w:val="left" w:pos="709"/>
          <w:tab w:val="left" w:pos="851"/>
        </w:tabs>
        <w:suppressAutoHyphens w:val="0"/>
        <w:autoSpaceDE w:val="0"/>
        <w:autoSpaceDN w:val="0"/>
        <w:adjustRightInd w:val="0"/>
        <w:spacing w:after="160"/>
        <w:ind w:left="709" w:hanging="425"/>
        <w:rPr>
          <w:rFonts w:asciiTheme="minorHAnsi" w:eastAsia="Calibri" w:hAnsiTheme="minorHAnsi" w:cstheme="minorHAnsi"/>
          <w:b/>
          <w:bCs/>
          <w:color w:val="000000"/>
          <w:sz w:val="24"/>
          <w:szCs w:val="24"/>
        </w:rPr>
      </w:pPr>
      <w:r w:rsidRPr="00041446">
        <w:rPr>
          <w:rFonts w:asciiTheme="minorHAnsi" w:eastAsia="Calibri" w:hAnsiTheme="minorHAnsi" w:cstheme="minorHAnsi"/>
          <w:b/>
          <w:bCs/>
          <w:sz w:val="24"/>
          <w:szCs w:val="24"/>
        </w:rPr>
        <w:t xml:space="preserve">generare risorse finanziarie per sostenere lo sviluppo delle prestazioni dei trasporti pubblici, </w:t>
      </w:r>
      <w:r w:rsidRPr="00041446">
        <w:rPr>
          <w:rFonts w:asciiTheme="minorHAnsi" w:eastAsia="Calibri" w:hAnsiTheme="minorHAnsi" w:cstheme="minorHAnsi"/>
          <w:sz w:val="24"/>
          <w:szCs w:val="24"/>
        </w:rPr>
        <w:t>tenendo conto che, per quel che concerne</w:t>
      </w:r>
      <w:r w:rsidRPr="00041446">
        <w:rPr>
          <w:rFonts w:asciiTheme="minorHAnsi" w:eastAsia="Calibri" w:hAnsiTheme="minorHAnsi" w:cstheme="minorHAnsi"/>
          <w:b/>
          <w:bCs/>
          <w:sz w:val="24"/>
          <w:szCs w:val="24"/>
        </w:rPr>
        <w:t xml:space="preserve"> </w:t>
      </w:r>
      <w:r w:rsidRPr="00041446">
        <w:rPr>
          <w:rFonts w:asciiTheme="minorHAnsi" w:eastAsia="Calibri" w:hAnsiTheme="minorHAnsi" w:cstheme="minorHAnsi"/>
          <w:sz w:val="24"/>
          <w:szCs w:val="24"/>
        </w:rPr>
        <w:t>le entrate previste, le stime fatte sui dati rilevati nel 2014 e 2015 prevedevano entrate</w:t>
      </w:r>
      <w:r w:rsidRPr="00041446">
        <w:rPr>
          <w:rFonts w:asciiTheme="minorHAnsi" w:eastAsia="Calibri" w:hAnsiTheme="minorHAnsi" w:cstheme="minorHAnsi"/>
          <w:color w:val="000000"/>
          <w:sz w:val="24"/>
          <w:szCs w:val="24"/>
        </w:rPr>
        <w:t xml:space="preserve"> per circa 20 mio CHF.</w:t>
      </w:r>
    </w:p>
    <w:p w:rsidR="00041446" w:rsidRPr="00041446" w:rsidRDefault="00041446" w:rsidP="00FC50C6">
      <w:pPr>
        <w:tabs>
          <w:tab w:val="left" w:pos="709"/>
          <w:tab w:val="left" w:pos="851"/>
        </w:tabs>
        <w:suppressAutoHyphens w:val="0"/>
        <w:autoSpaceDE w:val="0"/>
        <w:autoSpaceDN w:val="0"/>
        <w:adjustRightInd w:val="0"/>
        <w:ind w:left="284"/>
        <w:rPr>
          <w:rFonts w:asciiTheme="minorHAnsi" w:eastAsia="Calibri" w:hAnsiTheme="minorHAnsi" w:cstheme="minorHAnsi"/>
          <w:color w:val="000000"/>
          <w:sz w:val="24"/>
          <w:szCs w:val="24"/>
        </w:rPr>
      </w:pPr>
      <w:r w:rsidRPr="00041446">
        <w:rPr>
          <w:rFonts w:asciiTheme="minorHAnsi" w:eastAsia="Calibri" w:hAnsiTheme="minorHAnsi" w:cstheme="minorHAnsi"/>
          <w:sz w:val="24"/>
          <w:szCs w:val="24"/>
        </w:rPr>
        <w:t xml:space="preserve">Resta chiaro come le modifiche nel comportamento, cioè l’obiettivo 1, siano influenzate da numerosi fattori che concorrono a influenzare lo stesso come il costo dei posteggi, l’offerta di trasporto pubblico disponibile e la politica tariffaria dello stesso, le misure </w:t>
      </w:r>
      <w:r w:rsidR="00CE1DBA">
        <w:rPr>
          <w:rFonts w:asciiTheme="minorHAnsi" w:eastAsia="Calibri" w:hAnsiTheme="minorHAnsi" w:cstheme="minorHAnsi"/>
          <w:sz w:val="24"/>
          <w:szCs w:val="24"/>
        </w:rPr>
        <w:br/>
      </w:r>
      <w:r w:rsidRPr="00041446">
        <w:rPr>
          <w:rFonts w:asciiTheme="minorHAnsi" w:eastAsia="Calibri" w:hAnsiTheme="minorHAnsi" w:cstheme="minorHAnsi"/>
          <w:sz w:val="24"/>
          <w:szCs w:val="24"/>
        </w:rPr>
        <w:t xml:space="preserve">di mobilità aziendale offerte, la disponibilità di percorsi alternativi sicuri e completi per la mobilità lenta, la disponibilità di punti di interscambio e la facilità nell’interscambio stesso sui diversi vettori </w:t>
      </w:r>
      <w:r w:rsidRPr="00041446">
        <w:rPr>
          <w:rFonts w:asciiTheme="minorHAnsi" w:eastAsia="Calibri" w:hAnsiTheme="minorHAnsi" w:cstheme="minorHAnsi"/>
          <w:color w:val="000000"/>
          <w:sz w:val="24"/>
          <w:szCs w:val="24"/>
        </w:rPr>
        <w:t>di trasporto, ecc.</w:t>
      </w:r>
    </w:p>
    <w:p w:rsidR="00041446" w:rsidRPr="00041446" w:rsidRDefault="00041446" w:rsidP="00FC50C6">
      <w:pPr>
        <w:tabs>
          <w:tab w:val="left" w:pos="851"/>
        </w:tabs>
        <w:suppressAutoHyphens w:val="0"/>
        <w:autoSpaceDE w:val="0"/>
        <w:autoSpaceDN w:val="0"/>
        <w:adjustRightInd w:val="0"/>
        <w:ind w:left="284"/>
        <w:rPr>
          <w:rFonts w:asciiTheme="minorHAnsi" w:eastAsia="Calibri" w:hAnsiTheme="minorHAnsi" w:cstheme="minorHAnsi"/>
          <w:color w:val="000000"/>
          <w:sz w:val="24"/>
          <w:szCs w:val="24"/>
        </w:rPr>
      </w:pPr>
      <w:r w:rsidRPr="00041446">
        <w:rPr>
          <w:rFonts w:asciiTheme="minorHAnsi" w:eastAsia="Calibri" w:hAnsiTheme="minorHAnsi" w:cstheme="minorHAnsi"/>
          <w:color w:val="000000"/>
          <w:sz w:val="24"/>
          <w:szCs w:val="24"/>
        </w:rPr>
        <w:t xml:space="preserve">Oltre a criteri quantitativi sarà quindi necessaria l’introduzione anche di criteri qualitativi sugli gli effetti prodotti dal momento dell’entrata in vigore della Tassa stessa. </w:t>
      </w:r>
    </w:p>
    <w:p w:rsidR="00041446" w:rsidRPr="00041446" w:rsidRDefault="00041446" w:rsidP="007A3BAC">
      <w:pPr>
        <w:suppressAutoHyphens w:val="0"/>
        <w:autoSpaceDE w:val="0"/>
        <w:autoSpaceDN w:val="0"/>
        <w:adjustRightInd w:val="0"/>
        <w:rPr>
          <w:rFonts w:asciiTheme="minorHAnsi" w:eastAsia="Calibri" w:hAnsiTheme="minorHAnsi" w:cstheme="minorHAnsi"/>
          <w:color w:val="000000"/>
          <w:sz w:val="24"/>
          <w:szCs w:val="24"/>
        </w:rPr>
      </w:pPr>
    </w:p>
    <w:p w:rsidR="00041446" w:rsidRPr="00041446" w:rsidRDefault="00041446" w:rsidP="00FC50C6">
      <w:pPr>
        <w:numPr>
          <w:ilvl w:val="0"/>
          <w:numId w:val="27"/>
        </w:numPr>
        <w:suppressAutoHyphens w:val="0"/>
        <w:spacing w:after="120"/>
        <w:ind w:left="284" w:hanging="284"/>
        <w:rPr>
          <w:rFonts w:asciiTheme="minorHAnsi" w:eastAsia="Times New Roman" w:hAnsiTheme="minorHAnsi" w:cstheme="minorHAnsi"/>
          <w:sz w:val="24"/>
          <w:szCs w:val="24"/>
          <w:lang w:eastAsia="it-IT"/>
        </w:rPr>
      </w:pPr>
      <w:r w:rsidRPr="00041446">
        <w:rPr>
          <w:rFonts w:asciiTheme="minorHAnsi" w:eastAsia="Times New Roman" w:hAnsiTheme="minorHAnsi" w:cstheme="minorHAnsi"/>
          <w:b/>
          <w:sz w:val="24"/>
          <w:szCs w:val="24"/>
          <w:lang w:eastAsia="it-IT"/>
        </w:rPr>
        <w:t>La Tassa di collegamento e le misure di contenimento del traffico messe in campo a livello federale</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La Tassa di collegamento si inserisce in un pacchetto di misure messe in atto dal Dipartimento del territorio con lo scopo di arginare l'aumento del traffico veicolare, rispettivamente di ridurlo.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In particolare, il potenziamento del trasporto pubblico interno e transfrontaliero in vigore dal 2021, con il notevole aumento delle frequenze del servizio, offre oggi una valida alternativa all’uso dell’automobile privata nelle ore di punta.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Per altro le strategie sulla disponibilit</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posteggi e mobilità combinata, il potenziamento delle infrastrutture ciclabili, ancora da completare ma già in opera, le misure di mobilità aziendale e la promozione di modi di spostamento alternativi all'automobile fanno parte, assieme appunto alla Tassa di collegamento, della strategia del DT a favore di una mobilità pi</w:t>
      </w:r>
      <w:r w:rsidR="00FC50C6">
        <w:rPr>
          <w:rFonts w:asciiTheme="minorHAnsi" w:eastAsia="Times New Roman" w:hAnsiTheme="minorHAnsi" w:cstheme="minorHAnsi"/>
          <w:sz w:val="24"/>
          <w:szCs w:val="24"/>
          <w:lang w:eastAsia="it-IT"/>
        </w:rPr>
        <w:t>ù</w:t>
      </w:r>
      <w:r w:rsidRPr="00041446">
        <w:rPr>
          <w:rFonts w:asciiTheme="minorHAnsi" w:eastAsia="Times New Roman" w:hAnsiTheme="minorHAnsi" w:cstheme="minorHAnsi"/>
          <w:sz w:val="24"/>
          <w:szCs w:val="24"/>
          <w:lang w:eastAsia="it-IT"/>
        </w:rPr>
        <w:t xml:space="preserve"> sostenibile.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A quanto precede vanno poi aggiunti gli orari di lavoro flessibili, il lavoro da casa, gli spazi di lavoro condivisi e il car pooling gi</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oggi promossi dal DT attraverso i provvedimenti di mobilità aziendale (cfr. messaggio n. 7106 dell’8 luglio 2015 e messaggio n. 7953 del 20 gennaio 2021 al vaglio del Gran Consiglio).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La valutazione dell’adeguamento degli orari scolastici e di apertura di negozi è invece tutt’ora in corso.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Questo si traduce nel fatto che quanto sopra ricordato si integra bene con la volont</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della Confederazione di passare gradualmente a un sistema di mobility pricing e quindi a un principio “pay as you use”. Infatti, in particolare per quanto concerne il peso finanziario sull’utilizzatore finale, la Confederazione ha esplicitato a pi</w:t>
      </w:r>
      <w:r w:rsidR="00FC50C6">
        <w:rPr>
          <w:rFonts w:asciiTheme="minorHAnsi" w:eastAsia="Times New Roman" w:hAnsiTheme="minorHAnsi" w:cstheme="minorHAnsi"/>
          <w:sz w:val="24"/>
          <w:szCs w:val="24"/>
          <w:lang w:eastAsia="it-IT"/>
        </w:rPr>
        <w:t>ù</w:t>
      </w:r>
      <w:r w:rsidRPr="00041446">
        <w:rPr>
          <w:rFonts w:asciiTheme="minorHAnsi" w:eastAsia="Times New Roman" w:hAnsiTheme="minorHAnsi" w:cstheme="minorHAnsi"/>
          <w:sz w:val="24"/>
          <w:szCs w:val="24"/>
          <w:lang w:eastAsia="it-IT"/>
        </w:rPr>
        <w:t xml:space="preserve"> riprese la volont</w:t>
      </w:r>
      <w:r w:rsidR="00CE1DBA">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introdurre il mobility pricing in sostituzione di tasse indirette, come ad esempio la tassa sugli olii minerali o la tassa di circolazione, anche se una simile scelta meriterebbe maggiori approfondimenti dal profilo ambientale. </w:t>
      </w:r>
    </w:p>
    <w:p w:rsidR="00041446" w:rsidRP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 xml:space="preserve">La consultazione sulla Legge federale sui progetti pilota di mobility pricing si è appena conclusa. </w:t>
      </w:r>
    </w:p>
    <w:p w:rsidR="00041446" w:rsidRDefault="00041446" w:rsidP="00FC50C6">
      <w:pPr>
        <w:suppressAutoHyphens w:val="0"/>
        <w:spacing w:before="100" w:beforeAutospacing="1" w:after="100" w:afterAutospacing="1"/>
        <w:ind w:left="284"/>
        <w:contextualSpacing/>
        <w:rPr>
          <w:rFonts w:asciiTheme="minorHAnsi" w:eastAsia="Times New Roman" w:hAnsiTheme="minorHAnsi" w:cstheme="minorHAnsi"/>
          <w:sz w:val="24"/>
          <w:szCs w:val="24"/>
          <w:lang w:eastAsia="it-IT"/>
        </w:rPr>
      </w:pPr>
      <w:r w:rsidRPr="00041446">
        <w:rPr>
          <w:rFonts w:asciiTheme="minorHAnsi" w:eastAsia="Times New Roman" w:hAnsiTheme="minorHAnsi" w:cstheme="minorHAnsi"/>
          <w:sz w:val="24"/>
          <w:szCs w:val="24"/>
          <w:lang w:eastAsia="it-IT"/>
        </w:rPr>
        <w:t>Nel merito va ricordato che, nella sua presa di posizione del 5 maggio 2021, il Consiglio di Stato considera positiva la possibilit</w:t>
      </w:r>
      <w:r w:rsidR="00FC50C6">
        <w:rPr>
          <w:rFonts w:asciiTheme="minorHAnsi" w:eastAsia="Times New Roman" w:hAnsiTheme="minorHAnsi" w:cstheme="minorHAnsi"/>
          <w:sz w:val="24"/>
          <w:szCs w:val="24"/>
          <w:lang w:eastAsia="it-IT"/>
        </w:rPr>
        <w:t>à</w:t>
      </w:r>
      <w:r w:rsidRPr="00041446">
        <w:rPr>
          <w:rFonts w:asciiTheme="minorHAnsi" w:eastAsia="Times New Roman" w:hAnsiTheme="minorHAnsi" w:cstheme="minorHAnsi"/>
          <w:sz w:val="24"/>
          <w:szCs w:val="24"/>
          <w:lang w:eastAsia="it-IT"/>
        </w:rPr>
        <w:t xml:space="preserve"> di implementare progetti pilota anche sul solo traffico stradale, in quanto si ritiene che in Ticino misure di mobility pricing sul trasporto pubblico possano frenare i cambiamenti di abitudini che sono attualmente in atto dopo il recente potenziamento e che quindi il momento non sia ancora propizio per misure di mobility pricing sui trasporti pubblici. </w:t>
      </w:r>
    </w:p>
    <w:p w:rsidR="00E71C83" w:rsidRDefault="00E71C83" w:rsidP="00E71C83">
      <w:pPr>
        <w:suppressAutoHyphens w:val="0"/>
        <w:spacing w:before="100" w:beforeAutospacing="1" w:after="100" w:afterAutospacing="1"/>
        <w:contextualSpacing/>
        <w:rPr>
          <w:rFonts w:asciiTheme="minorHAnsi" w:eastAsia="Times New Roman" w:hAnsiTheme="minorHAnsi" w:cstheme="minorHAnsi"/>
          <w:sz w:val="24"/>
          <w:szCs w:val="24"/>
          <w:lang w:eastAsia="it-IT"/>
        </w:rPr>
      </w:pPr>
    </w:p>
    <w:p w:rsidR="00041446" w:rsidRPr="00041446" w:rsidRDefault="00041446" w:rsidP="00FC50C6">
      <w:pPr>
        <w:numPr>
          <w:ilvl w:val="0"/>
          <w:numId w:val="27"/>
        </w:numPr>
        <w:suppressAutoHyphens w:val="0"/>
        <w:spacing w:after="120"/>
        <w:ind w:left="284" w:hanging="284"/>
        <w:rPr>
          <w:rFonts w:asciiTheme="minorHAnsi" w:eastAsia="Calibri" w:hAnsiTheme="minorHAnsi" w:cstheme="minorHAnsi"/>
          <w:b/>
          <w:sz w:val="24"/>
          <w:szCs w:val="24"/>
        </w:rPr>
      </w:pPr>
      <w:r w:rsidRPr="00041446">
        <w:rPr>
          <w:rFonts w:asciiTheme="minorHAnsi" w:eastAsia="Times New Roman" w:hAnsiTheme="minorHAnsi" w:cstheme="minorHAnsi"/>
          <w:b/>
          <w:sz w:val="24"/>
          <w:szCs w:val="24"/>
          <w:lang w:eastAsia="it-IT"/>
        </w:rPr>
        <w:t xml:space="preserve">Esonero di alcune categorie di utenti </w:t>
      </w:r>
    </w:p>
    <w:p w:rsidR="00CE1DBA" w:rsidRDefault="00041446" w:rsidP="00FC50C6">
      <w:pPr>
        <w:suppressAutoHyphens w:val="0"/>
        <w:spacing w:after="160"/>
        <w:ind w:left="284"/>
        <w:contextualSpacing/>
        <w:rPr>
          <w:rFonts w:asciiTheme="minorHAnsi" w:eastAsia="Calibri" w:hAnsiTheme="minorHAnsi" w:cstheme="minorHAnsi"/>
          <w:sz w:val="24"/>
          <w:szCs w:val="24"/>
        </w:rPr>
      </w:pPr>
      <w:r w:rsidRPr="00041446">
        <w:rPr>
          <w:rFonts w:asciiTheme="minorHAnsi" w:eastAsia="Times New Roman" w:hAnsiTheme="minorHAnsi" w:cstheme="minorHAnsi"/>
          <w:sz w:val="24"/>
          <w:szCs w:val="24"/>
          <w:lang w:eastAsia="it-IT"/>
        </w:rPr>
        <w:t>Pur coscienti che s</w:t>
      </w:r>
      <w:r w:rsidRPr="00041446">
        <w:rPr>
          <w:rFonts w:asciiTheme="minorHAnsi" w:eastAsia="Calibri" w:hAnsiTheme="minorHAnsi" w:cstheme="minorHAnsi"/>
          <w:sz w:val="24"/>
          <w:szCs w:val="24"/>
        </w:rPr>
        <w:t xml:space="preserve">ono assoggettati alla tassa i proprietari di fondi o di un insieme di fondi in connessione spaziale o funzionale e quindi non gli utenti dei posteggi stessi, la Commissione Gestione esprime la sua preoccupazione per le ricadute della Tassa di collegamento su alcune particolari categorie di utenti che o </w:t>
      </w:r>
      <w:r w:rsidR="00FC50C6">
        <w:rPr>
          <w:rFonts w:asciiTheme="minorHAnsi" w:eastAsia="Calibri" w:hAnsiTheme="minorHAnsi" w:cstheme="minorHAnsi"/>
          <w:sz w:val="24"/>
          <w:szCs w:val="24"/>
        </w:rPr>
        <w:t xml:space="preserve">perché </w:t>
      </w:r>
      <w:r w:rsidRPr="00041446">
        <w:rPr>
          <w:rFonts w:asciiTheme="minorHAnsi" w:eastAsia="Calibri" w:hAnsiTheme="minorHAnsi" w:cstheme="minorHAnsi"/>
          <w:sz w:val="24"/>
          <w:szCs w:val="24"/>
        </w:rPr>
        <w:t>particolarmente fragili a livello finanziario (persone in assi</w:t>
      </w:r>
      <w:r w:rsidR="00FC50C6">
        <w:rPr>
          <w:rFonts w:asciiTheme="minorHAnsi" w:eastAsia="Calibri" w:hAnsiTheme="minorHAnsi" w:cstheme="minorHAnsi"/>
          <w:sz w:val="24"/>
          <w:szCs w:val="24"/>
        </w:rPr>
        <w:t>s</w:t>
      </w:r>
      <w:r w:rsidRPr="00041446">
        <w:rPr>
          <w:rFonts w:asciiTheme="minorHAnsi" w:eastAsia="Calibri" w:hAnsiTheme="minorHAnsi" w:cstheme="minorHAnsi"/>
          <w:sz w:val="24"/>
          <w:szCs w:val="24"/>
        </w:rPr>
        <w:t xml:space="preserve">tenza che seguono un percorso di reinserimento lavorativo) o perché lavorando di notte o in orari particolari (lavoratori a turno) di fatto non possono beneficiare dei trasporti pubblici e quindi sono obbligati ad utilizzare il mezzo privato in quanto lo stesso è l’unico disponibile. </w:t>
      </w:r>
    </w:p>
    <w:p w:rsidR="00041446" w:rsidRDefault="00041446" w:rsidP="00FC50C6">
      <w:pPr>
        <w:suppressAutoHyphens w:val="0"/>
        <w:spacing w:after="160"/>
        <w:ind w:left="284"/>
        <w:contextualSpacing/>
        <w:rPr>
          <w:rFonts w:asciiTheme="minorHAnsi" w:eastAsia="Calibri" w:hAnsiTheme="minorHAnsi" w:cstheme="minorHAnsi"/>
          <w:sz w:val="24"/>
          <w:szCs w:val="24"/>
        </w:rPr>
      </w:pPr>
      <w:r w:rsidRPr="00041446">
        <w:rPr>
          <w:rFonts w:asciiTheme="minorHAnsi" w:eastAsia="Times New Roman" w:hAnsiTheme="minorHAnsi" w:cstheme="minorHAnsi"/>
          <w:sz w:val="24"/>
          <w:szCs w:val="24"/>
          <w:lang w:eastAsia="it-IT"/>
        </w:rPr>
        <w:t xml:space="preserve">Nel merito si chiede quindi al </w:t>
      </w:r>
      <w:r w:rsidRPr="00041446">
        <w:rPr>
          <w:rFonts w:asciiTheme="minorHAnsi" w:eastAsia="Calibri" w:hAnsiTheme="minorHAnsi" w:cstheme="minorHAnsi"/>
          <w:sz w:val="24"/>
          <w:szCs w:val="24"/>
        </w:rPr>
        <w:t>Consiglio di Stato di inserire, nell’ambito della redazione del Regolamento di applicazione della Legge stessa, le indicazioni necessarie, per quanto possibile, per chiedere ai proprietari dei posteggi</w:t>
      </w:r>
      <w:r w:rsidR="00FC50C6">
        <w:rPr>
          <w:rFonts w:asciiTheme="minorHAnsi" w:eastAsia="Calibri" w:hAnsiTheme="minorHAnsi" w:cstheme="minorHAnsi"/>
          <w:sz w:val="24"/>
          <w:szCs w:val="24"/>
        </w:rPr>
        <w:t xml:space="preserve"> </w:t>
      </w:r>
      <w:r w:rsidRPr="00041446">
        <w:rPr>
          <w:rFonts w:asciiTheme="minorHAnsi" w:eastAsia="Calibri" w:hAnsiTheme="minorHAnsi" w:cstheme="minorHAnsi"/>
          <w:sz w:val="24"/>
          <w:szCs w:val="24"/>
        </w:rPr>
        <w:t xml:space="preserve">di esonerare queste particolari categorie di utenti dal riversamento agli stessi dei costi generati dalla Tassa di collegamento </w:t>
      </w:r>
    </w:p>
    <w:p w:rsidR="00FC50C6" w:rsidRDefault="00FC50C6" w:rsidP="00FC50C6">
      <w:pPr>
        <w:suppressAutoHyphens w:val="0"/>
        <w:spacing w:after="160"/>
        <w:ind w:left="284"/>
        <w:contextualSpacing/>
        <w:rPr>
          <w:rFonts w:asciiTheme="minorHAnsi" w:eastAsia="Calibri" w:hAnsiTheme="minorHAnsi" w:cstheme="minorHAnsi"/>
          <w:sz w:val="24"/>
          <w:szCs w:val="24"/>
        </w:rPr>
      </w:pPr>
    </w:p>
    <w:p w:rsidR="00FC50C6" w:rsidRPr="00041446" w:rsidRDefault="00FC50C6" w:rsidP="00934F35">
      <w:pPr>
        <w:suppressAutoHyphens w:val="0"/>
        <w:ind w:left="284"/>
        <w:rPr>
          <w:rFonts w:asciiTheme="minorHAnsi" w:eastAsia="Calibri" w:hAnsiTheme="minorHAnsi" w:cstheme="minorHAnsi"/>
          <w:sz w:val="24"/>
          <w:szCs w:val="24"/>
        </w:rPr>
      </w:pPr>
    </w:p>
    <w:p w:rsidR="00041446" w:rsidRPr="00982750" w:rsidRDefault="00041446" w:rsidP="00982750">
      <w:pPr>
        <w:pStyle w:val="Titolo1"/>
        <w:numPr>
          <w:ilvl w:val="0"/>
          <w:numId w:val="26"/>
        </w:numPr>
        <w:tabs>
          <w:tab w:val="left" w:pos="567"/>
        </w:tabs>
        <w:suppressAutoHyphens w:val="0"/>
        <w:spacing w:before="0"/>
        <w:ind w:left="567" w:hanging="567"/>
        <w:jc w:val="both"/>
        <w:rPr>
          <w:rFonts w:eastAsia="Calibri" w:cs="Times New Roman"/>
          <w:caps/>
          <w:sz w:val="24"/>
          <w:szCs w:val="24"/>
          <w:lang w:val="it-IT" w:eastAsia="it-IT"/>
        </w:rPr>
      </w:pPr>
      <w:bookmarkStart w:id="4" w:name="_Toc94879942"/>
      <w:r w:rsidRPr="00041446">
        <w:rPr>
          <w:rFonts w:eastAsia="Calibri" w:cs="Times New Roman"/>
          <w:caps/>
          <w:sz w:val="24"/>
          <w:szCs w:val="24"/>
          <w:lang w:val="it-IT" w:eastAsia="it-IT"/>
        </w:rPr>
        <w:t>Gli atti parlamentari</w:t>
      </w:r>
      <w:bookmarkEnd w:id="4"/>
    </w:p>
    <w:p w:rsidR="00041446" w:rsidRPr="00041446" w:rsidRDefault="00041446" w:rsidP="00FC50C6">
      <w:pPr>
        <w:suppressAutoHyphens w:val="0"/>
        <w:autoSpaceDE w:val="0"/>
        <w:autoSpaceDN w:val="0"/>
        <w:adjustRightInd w:val="0"/>
        <w:spacing w:after="160"/>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Tenuto conto degli approfondimenti sopra ricordati, si propone, alla luce di quanto precede, di dichiarare: </w:t>
      </w: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Pr>
          <w:rFonts w:asciiTheme="minorHAnsi" w:eastAsia="~FP3EAF" w:hAnsiTheme="minorHAnsi" w:cstheme="minorHAnsi"/>
          <w:color w:val="000000"/>
          <w:sz w:val="24"/>
          <w:szCs w:val="24"/>
        </w:rPr>
        <w:t>r</w:t>
      </w:r>
      <w:r w:rsidR="00041446" w:rsidRPr="00041446">
        <w:rPr>
          <w:rFonts w:asciiTheme="minorHAnsi" w:eastAsia="~FP3EAF" w:hAnsiTheme="minorHAnsi" w:cstheme="minorHAnsi"/>
          <w:color w:val="000000"/>
          <w:sz w:val="24"/>
          <w:szCs w:val="24"/>
        </w:rPr>
        <w:t xml:space="preserve">espinta l’iniziativa parlamentare elaborata del </w:t>
      </w:r>
      <w:r w:rsidR="00934F35">
        <w:rPr>
          <w:rFonts w:asciiTheme="minorHAnsi" w:eastAsia="~FP3EAF" w:hAnsiTheme="minorHAnsi" w:cstheme="minorHAnsi"/>
          <w:color w:val="000000"/>
          <w:sz w:val="24"/>
          <w:szCs w:val="24"/>
        </w:rPr>
        <w:t>G</w:t>
      </w:r>
      <w:r w:rsidR="00041446" w:rsidRPr="00041446">
        <w:rPr>
          <w:rFonts w:asciiTheme="minorHAnsi" w:eastAsia="~FP3EAF" w:hAnsiTheme="minorHAnsi" w:cstheme="minorHAnsi"/>
          <w:color w:val="000000"/>
          <w:sz w:val="24"/>
          <w:szCs w:val="24"/>
        </w:rPr>
        <w:t>ruppo UDC del 2 aprile 2020, in cui si propone l’abrogazione degli articoli della Legge sui trasporti pubblici che introducono e regolano la tassa di collegamento;</w:t>
      </w:r>
    </w:p>
    <w:p w:rsidR="00041446" w:rsidRPr="00041446" w:rsidRDefault="00041446" w:rsidP="00982750">
      <w:pPr>
        <w:suppressAutoHyphens w:val="0"/>
        <w:spacing w:after="160"/>
        <w:ind w:left="284" w:hanging="284"/>
        <w:contextualSpacing/>
        <w:rPr>
          <w:rFonts w:asciiTheme="minorHAnsi" w:eastAsia="~FP3EAF" w:hAnsiTheme="minorHAnsi" w:cstheme="minorHAnsi"/>
          <w:color w:val="000000"/>
          <w:sz w:val="24"/>
          <w:szCs w:val="24"/>
        </w:rPr>
      </w:pP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sz w:val="24"/>
          <w:szCs w:val="24"/>
        </w:rPr>
      </w:pPr>
      <w:r>
        <w:rPr>
          <w:rFonts w:asciiTheme="minorHAnsi" w:eastAsia="~FP3EAF" w:hAnsiTheme="minorHAnsi" w:cstheme="minorHAnsi"/>
          <w:sz w:val="24"/>
          <w:szCs w:val="24"/>
        </w:rPr>
        <w:t>a</w:t>
      </w:r>
      <w:r w:rsidR="00041446" w:rsidRPr="00041446">
        <w:rPr>
          <w:rFonts w:asciiTheme="minorHAnsi" w:eastAsia="~FP3EAF" w:hAnsiTheme="minorHAnsi" w:cstheme="minorHAnsi"/>
          <w:sz w:val="24"/>
          <w:szCs w:val="24"/>
        </w:rPr>
        <w:t xml:space="preserve">ccolto il controprogetto proposto dalla Commissione il quale prevede la modifica della Legge sui trasporti pubblici del 6 dicembre 1994 </w:t>
      </w:r>
      <w:r w:rsidR="00041446" w:rsidRPr="00041446">
        <w:rPr>
          <w:rFonts w:asciiTheme="minorHAnsi" w:eastAsia="Calibri" w:hAnsiTheme="minorHAnsi" w:cstheme="minorHAnsi"/>
          <w:sz w:val="24"/>
          <w:szCs w:val="24"/>
        </w:rPr>
        <w:t>e fissa l’entrata in vigore della tassa di collegamento al 1</w:t>
      </w:r>
      <w:r w:rsidR="00934F35">
        <w:rPr>
          <w:rFonts w:asciiTheme="minorHAnsi" w:eastAsia="Calibri" w:hAnsiTheme="minorHAnsi" w:cstheme="minorHAnsi"/>
          <w:sz w:val="24"/>
          <w:szCs w:val="24"/>
        </w:rPr>
        <w:t>°</w:t>
      </w:r>
      <w:r w:rsidR="00041446" w:rsidRPr="00041446">
        <w:rPr>
          <w:rFonts w:asciiTheme="minorHAnsi" w:eastAsia="Calibri" w:hAnsiTheme="minorHAnsi" w:cstheme="minorHAnsi"/>
          <w:sz w:val="24"/>
          <w:szCs w:val="24"/>
        </w:rPr>
        <w:t xml:space="preserve"> gennaio 2025</w:t>
      </w:r>
      <w:r w:rsidR="00041446" w:rsidRPr="00041446">
        <w:rPr>
          <w:rFonts w:asciiTheme="minorHAnsi" w:eastAsia="~FP3EAF" w:hAnsiTheme="minorHAnsi" w:cstheme="minorHAnsi"/>
          <w:sz w:val="24"/>
          <w:szCs w:val="24"/>
        </w:rPr>
        <w:t>;</w:t>
      </w:r>
    </w:p>
    <w:p w:rsidR="00041446" w:rsidRPr="00041446" w:rsidRDefault="00041446" w:rsidP="00982750">
      <w:pPr>
        <w:suppressAutoHyphens w:val="0"/>
        <w:autoSpaceDE w:val="0"/>
        <w:autoSpaceDN w:val="0"/>
        <w:adjustRightInd w:val="0"/>
        <w:ind w:left="284" w:hanging="284"/>
        <w:rPr>
          <w:rFonts w:asciiTheme="minorHAnsi" w:eastAsia="~FP3EAF" w:hAnsiTheme="minorHAnsi" w:cstheme="minorHAnsi"/>
          <w:color w:val="000000"/>
          <w:sz w:val="24"/>
          <w:szCs w:val="24"/>
        </w:rPr>
      </w:pPr>
    </w:p>
    <w:p w:rsidR="00041446" w:rsidRPr="002B2CAB"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sidRPr="002B2CAB">
        <w:rPr>
          <w:rFonts w:asciiTheme="minorHAnsi" w:eastAsia="~FP3EAF" w:hAnsiTheme="minorHAnsi" w:cstheme="minorHAnsi"/>
          <w:color w:val="000000"/>
          <w:sz w:val="24"/>
          <w:szCs w:val="24"/>
        </w:rPr>
        <w:t>s</w:t>
      </w:r>
      <w:r w:rsidR="00041446" w:rsidRPr="002B2CAB">
        <w:rPr>
          <w:rFonts w:asciiTheme="minorHAnsi" w:eastAsia="~FP3EAF" w:hAnsiTheme="minorHAnsi" w:cstheme="minorHAnsi"/>
          <w:color w:val="000000"/>
          <w:sz w:val="24"/>
          <w:szCs w:val="24"/>
        </w:rPr>
        <w:t xml:space="preserve">uperata la </w:t>
      </w:r>
      <w:r w:rsidRPr="002B2CAB">
        <w:rPr>
          <w:rFonts w:asciiTheme="minorHAnsi" w:eastAsia="~FP3EAF" w:hAnsiTheme="minorHAnsi" w:cstheme="minorHAnsi"/>
          <w:color w:val="000000"/>
          <w:sz w:val="24"/>
          <w:szCs w:val="24"/>
        </w:rPr>
        <w:t>m</w:t>
      </w:r>
      <w:r w:rsidR="00041446" w:rsidRPr="002B2CAB">
        <w:rPr>
          <w:rFonts w:asciiTheme="minorHAnsi" w:eastAsia="~FP3EAF" w:hAnsiTheme="minorHAnsi" w:cstheme="minorHAnsi"/>
          <w:color w:val="000000"/>
          <w:sz w:val="24"/>
          <w:szCs w:val="24"/>
        </w:rPr>
        <w:t>ozione del 20 aprile 2020 “Tassa di collegamento: congelarne l’applicazione” da parte del Gruppo PPD</w:t>
      </w:r>
      <w:r w:rsidRPr="002B2CAB">
        <w:rPr>
          <w:rFonts w:asciiTheme="minorHAnsi" w:eastAsia="~FP3EAF" w:hAnsiTheme="minorHAnsi" w:cstheme="minorHAnsi"/>
          <w:color w:val="000000"/>
          <w:sz w:val="24"/>
          <w:szCs w:val="24"/>
        </w:rPr>
        <w:t>+GG</w:t>
      </w:r>
      <w:r w:rsidR="00041446" w:rsidRPr="002B2CAB">
        <w:rPr>
          <w:rFonts w:asciiTheme="minorHAnsi" w:eastAsia="~FP3EAF" w:hAnsiTheme="minorHAnsi" w:cstheme="minorHAnsi"/>
          <w:color w:val="000000"/>
          <w:sz w:val="24"/>
          <w:szCs w:val="24"/>
        </w:rPr>
        <w:t xml:space="preserve"> a firma </w:t>
      </w:r>
      <w:r w:rsidRPr="002B2CAB">
        <w:rPr>
          <w:rFonts w:asciiTheme="minorHAnsi" w:eastAsia="~FP3EAF" w:hAnsiTheme="minorHAnsi" w:cstheme="minorHAnsi"/>
          <w:color w:val="000000"/>
          <w:sz w:val="24"/>
          <w:szCs w:val="24"/>
        </w:rPr>
        <w:t xml:space="preserve">Maurizio </w:t>
      </w:r>
      <w:r w:rsidR="00041446" w:rsidRPr="002B2CAB">
        <w:rPr>
          <w:rFonts w:asciiTheme="minorHAnsi" w:eastAsia="~FP3EAF" w:hAnsiTheme="minorHAnsi" w:cstheme="minorHAnsi"/>
          <w:color w:val="000000"/>
          <w:sz w:val="24"/>
          <w:szCs w:val="24"/>
        </w:rPr>
        <w:t xml:space="preserve">Agustoni e </w:t>
      </w:r>
      <w:r w:rsidRPr="002B2CAB">
        <w:rPr>
          <w:rFonts w:asciiTheme="minorHAnsi" w:eastAsia="~FP3EAF" w:hAnsiTheme="minorHAnsi" w:cstheme="minorHAnsi"/>
          <w:color w:val="000000"/>
          <w:sz w:val="24"/>
          <w:szCs w:val="24"/>
        </w:rPr>
        <w:t xml:space="preserve">Fiorenzo </w:t>
      </w:r>
      <w:r w:rsidR="00041446" w:rsidRPr="002B2CAB">
        <w:rPr>
          <w:rFonts w:asciiTheme="minorHAnsi" w:eastAsia="~FP3EAF" w:hAnsiTheme="minorHAnsi" w:cstheme="minorHAnsi"/>
          <w:color w:val="000000"/>
          <w:sz w:val="24"/>
          <w:szCs w:val="24"/>
        </w:rPr>
        <w:t>Dadò;</w:t>
      </w:r>
    </w:p>
    <w:p w:rsidR="00041446" w:rsidRPr="00041446" w:rsidRDefault="00041446" w:rsidP="00982750">
      <w:pPr>
        <w:suppressAutoHyphens w:val="0"/>
        <w:autoSpaceDE w:val="0"/>
        <w:autoSpaceDN w:val="0"/>
        <w:adjustRightInd w:val="0"/>
        <w:ind w:left="284" w:hanging="284"/>
        <w:rPr>
          <w:rFonts w:asciiTheme="minorHAnsi" w:eastAsia="~FP3EAF" w:hAnsiTheme="minorHAnsi" w:cstheme="minorHAnsi"/>
          <w:color w:val="000000"/>
          <w:sz w:val="24"/>
          <w:szCs w:val="24"/>
        </w:rPr>
      </w:pP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Pr>
          <w:rFonts w:asciiTheme="minorHAnsi" w:eastAsia="~FP3EAF" w:hAnsiTheme="minorHAnsi" w:cstheme="minorHAnsi"/>
          <w:sz w:val="24"/>
          <w:szCs w:val="24"/>
        </w:rPr>
        <w:t>e</w:t>
      </w:r>
      <w:r w:rsidR="00041446" w:rsidRPr="00041446">
        <w:rPr>
          <w:rFonts w:asciiTheme="minorHAnsi" w:eastAsia="~FP3EAF" w:hAnsiTheme="minorHAnsi" w:cstheme="minorHAnsi"/>
          <w:sz w:val="24"/>
          <w:szCs w:val="24"/>
        </w:rPr>
        <w:t xml:space="preserve">vasa nel senso dei considerandi </w:t>
      </w:r>
      <w:r w:rsidR="002B2CAB">
        <w:rPr>
          <w:rFonts w:asciiTheme="minorHAnsi" w:eastAsia="~FP3EAF" w:hAnsiTheme="minorHAnsi" w:cstheme="minorHAnsi"/>
          <w:color w:val="000000"/>
          <w:sz w:val="24"/>
          <w:szCs w:val="24"/>
        </w:rPr>
        <w:t>la m</w:t>
      </w:r>
      <w:r w:rsidR="00041446" w:rsidRPr="00041446">
        <w:rPr>
          <w:rFonts w:asciiTheme="minorHAnsi" w:eastAsia="~FP3EAF" w:hAnsiTheme="minorHAnsi" w:cstheme="minorHAnsi"/>
          <w:color w:val="000000"/>
          <w:sz w:val="24"/>
          <w:szCs w:val="24"/>
        </w:rPr>
        <w:t>ozione “</w:t>
      </w:r>
      <w:r w:rsidR="00041446" w:rsidRPr="00041446">
        <w:rPr>
          <w:rFonts w:asciiTheme="minorHAnsi" w:eastAsia="Times New Roman" w:hAnsiTheme="minorHAnsi" w:cstheme="minorHAnsi"/>
          <w:sz w:val="24"/>
          <w:szCs w:val="24"/>
          <w:lang w:eastAsia="it-CH"/>
        </w:rPr>
        <w:t>Tassa di collegamento:</w:t>
      </w:r>
      <w:r w:rsidR="00041446" w:rsidRPr="00041446">
        <w:rPr>
          <w:rFonts w:asciiTheme="minorHAnsi" w:eastAsia="~FP3EAF" w:hAnsiTheme="minorHAnsi" w:cstheme="minorHAnsi"/>
          <w:color w:val="000000"/>
          <w:sz w:val="24"/>
          <w:szCs w:val="24"/>
        </w:rPr>
        <w:t xml:space="preserve"> </w:t>
      </w:r>
      <w:r w:rsidR="00041446" w:rsidRPr="00041446">
        <w:rPr>
          <w:rFonts w:asciiTheme="minorHAnsi" w:eastAsia="Times New Roman" w:hAnsiTheme="minorHAnsi" w:cstheme="minorHAnsi"/>
          <w:sz w:val="24"/>
          <w:szCs w:val="24"/>
          <w:lang w:eastAsia="it-CH"/>
        </w:rPr>
        <w:t xml:space="preserve">le autorità cantonali confermino la rinuncia ad esercitare il diritto di incasso retroattivo e decidano una moratoria per la sua entrata in vigore sino almeno al </w:t>
      </w:r>
      <w:r w:rsidR="00CE1DBA">
        <w:rPr>
          <w:rFonts w:asciiTheme="minorHAnsi" w:eastAsia="Times New Roman" w:hAnsiTheme="minorHAnsi" w:cstheme="minorHAnsi"/>
          <w:sz w:val="24"/>
          <w:szCs w:val="24"/>
          <w:lang w:eastAsia="it-CH"/>
        </w:rPr>
        <w:t>0</w:t>
      </w:r>
      <w:r w:rsidR="00041446" w:rsidRPr="00041446">
        <w:rPr>
          <w:rFonts w:asciiTheme="minorHAnsi" w:eastAsia="Times New Roman" w:hAnsiTheme="minorHAnsi" w:cstheme="minorHAnsi"/>
          <w:sz w:val="24"/>
          <w:szCs w:val="24"/>
          <w:lang w:eastAsia="it-CH"/>
        </w:rPr>
        <w:t>1.</w:t>
      </w:r>
      <w:r w:rsidR="00CE1DBA">
        <w:rPr>
          <w:rFonts w:asciiTheme="minorHAnsi" w:eastAsia="Times New Roman" w:hAnsiTheme="minorHAnsi" w:cstheme="minorHAnsi"/>
          <w:sz w:val="24"/>
          <w:szCs w:val="24"/>
          <w:lang w:eastAsia="it-CH"/>
        </w:rPr>
        <w:t>0</w:t>
      </w:r>
      <w:r w:rsidR="00041446" w:rsidRPr="00041446">
        <w:rPr>
          <w:rFonts w:asciiTheme="minorHAnsi" w:eastAsia="Times New Roman" w:hAnsiTheme="minorHAnsi" w:cstheme="minorHAnsi"/>
          <w:sz w:val="24"/>
          <w:szCs w:val="24"/>
          <w:lang w:eastAsia="it-CH"/>
        </w:rPr>
        <w:t>1.2025 alla luce di eventuali nuove esigenze di mobilità post COVID-19” de</w:t>
      </w:r>
      <w:r w:rsidR="00041446" w:rsidRPr="00041446">
        <w:rPr>
          <w:rFonts w:asciiTheme="minorHAnsi" w:eastAsia="~FP3EAF" w:hAnsiTheme="minorHAnsi" w:cstheme="minorHAnsi"/>
          <w:color w:val="000000"/>
          <w:sz w:val="24"/>
          <w:szCs w:val="24"/>
        </w:rPr>
        <w:t xml:space="preserve">l 20 aprile </w:t>
      </w:r>
      <w:r w:rsidR="00041446" w:rsidRPr="00041446">
        <w:rPr>
          <w:rFonts w:asciiTheme="minorHAnsi" w:eastAsia="Times New Roman" w:hAnsiTheme="minorHAnsi" w:cstheme="minorHAnsi"/>
          <w:sz w:val="24"/>
          <w:szCs w:val="24"/>
          <w:lang w:eastAsia="it-CH"/>
        </w:rPr>
        <w:t>da parte del Gruppo PLR</w:t>
      </w:r>
      <w:r w:rsidR="00934F35">
        <w:rPr>
          <w:rFonts w:asciiTheme="minorHAnsi" w:eastAsia="Times New Roman" w:hAnsiTheme="minorHAnsi" w:cstheme="minorHAnsi"/>
          <w:sz w:val="24"/>
          <w:szCs w:val="24"/>
          <w:lang w:eastAsia="it-CH"/>
        </w:rPr>
        <w:t>T a firma Matteo Quadranti e Paolo Ortelli;</w:t>
      </w:r>
    </w:p>
    <w:p w:rsidR="00041446" w:rsidRPr="00041446" w:rsidRDefault="00041446" w:rsidP="00982750">
      <w:pPr>
        <w:suppressAutoHyphens w:val="0"/>
        <w:autoSpaceDE w:val="0"/>
        <w:autoSpaceDN w:val="0"/>
        <w:adjustRightInd w:val="0"/>
        <w:ind w:left="284" w:hanging="284"/>
        <w:rPr>
          <w:rFonts w:asciiTheme="minorHAnsi" w:eastAsia="~FP3EAF" w:hAnsiTheme="minorHAnsi" w:cstheme="minorHAnsi"/>
          <w:color w:val="000000"/>
          <w:sz w:val="24"/>
          <w:szCs w:val="24"/>
        </w:rPr>
      </w:pPr>
    </w:p>
    <w:p w:rsidR="00041446" w:rsidRPr="00041446" w:rsidRDefault="00FC50C6" w:rsidP="00982750">
      <w:pPr>
        <w:numPr>
          <w:ilvl w:val="0"/>
          <w:numId w:val="31"/>
        </w:numPr>
        <w:suppressAutoHyphens w:val="0"/>
        <w:autoSpaceDE w:val="0"/>
        <w:autoSpaceDN w:val="0"/>
        <w:adjustRightInd w:val="0"/>
        <w:spacing w:after="160"/>
        <w:ind w:left="284" w:hanging="284"/>
        <w:contextualSpacing/>
        <w:rPr>
          <w:rFonts w:asciiTheme="minorHAnsi" w:eastAsia="~FP3EAF" w:hAnsiTheme="minorHAnsi" w:cstheme="minorHAnsi"/>
          <w:color w:val="000000"/>
          <w:sz w:val="24"/>
          <w:szCs w:val="24"/>
        </w:rPr>
      </w:pPr>
      <w:r>
        <w:rPr>
          <w:rFonts w:asciiTheme="minorHAnsi" w:eastAsia="Times New Roman" w:hAnsiTheme="minorHAnsi" w:cstheme="minorHAnsi"/>
          <w:color w:val="000000"/>
          <w:sz w:val="24"/>
          <w:szCs w:val="24"/>
          <w:lang w:eastAsia="it-CH"/>
        </w:rPr>
        <w:t>r</w:t>
      </w:r>
      <w:r w:rsidR="00041446" w:rsidRPr="00041446">
        <w:rPr>
          <w:rFonts w:asciiTheme="minorHAnsi" w:eastAsia="Times New Roman" w:hAnsiTheme="minorHAnsi" w:cstheme="minorHAnsi"/>
          <w:color w:val="000000"/>
          <w:sz w:val="24"/>
          <w:szCs w:val="24"/>
          <w:lang w:eastAsia="it-CH"/>
        </w:rPr>
        <w:t xml:space="preserve">espinta la </w:t>
      </w:r>
      <w:r>
        <w:rPr>
          <w:rFonts w:asciiTheme="minorHAnsi" w:eastAsia="Times New Roman" w:hAnsiTheme="minorHAnsi" w:cstheme="minorHAnsi"/>
          <w:color w:val="000000"/>
          <w:sz w:val="24"/>
          <w:szCs w:val="24"/>
          <w:lang w:eastAsia="it-CH"/>
        </w:rPr>
        <w:t>m</w:t>
      </w:r>
      <w:r w:rsidR="00041446" w:rsidRPr="00041446">
        <w:rPr>
          <w:rFonts w:asciiTheme="minorHAnsi" w:eastAsia="Times New Roman" w:hAnsiTheme="minorHAnsi" w:cstheme="minorHAnsi"/>
          <w:color w:val="000000"/>
          <w:sz w:val="24"/>
          <w:szCs w:val="24"/>
          <w:lang w:eastAsia="it-CH"/>
        </w:rPr>
        <w:t>ozione “Ti fregano la tassa di collegamento intascata indebitamente? Arrangiati, al Governo non interessa! Un atteggiamento che non può essere accettato!” del 23 giugno 2020 dell’MPS a firma Simona Arigoni Zürcher</w:t>
      </w:r>
      <w:r w:rsidR="00CE1DBA">
        <w:rPr>
          <w:rFonts w:asciiTheme="minorHAnsi" w:eastAsia="Times New Roman" w:hAnsiTheme="minorHAnsi" w:cstheme="minorHAnsi"/>
          <w:color w:val="000000"/>
          <w:sz w:val="24"/>
          <w:szCs w:val="24"/>
          <w:lang w:eastAsia="it-CH"/>
        </w:rPr>
        <w:t>.</w:t>
      </w:r>
    </w:p>
    <w:p w:rsidR="00041446" w:rsidRDefault="00041446" w:rsidP="00982750">
      <w:pPr>
        <w:suppressAutoHyphens w:val="0"/>
        <w:autoSpaceDE w:val="0"/>
        <w:autoSpaceDN w:val="0"/>
        <w:adjustRightInd w:val="0"/>
        <w:ind w:left="284" w:hanging="284"/>
        <w:rPr>
          <w:rFonts w:asciiTheme="minorHAnsi" w:eastAsia="Calibri" w:hAnsiTheme="minorHAnsi" w:cstheme="minorHAnsi"/>
          <w:color w:val="000000"/>
          <w:sz w:val="24"/>
          <w:szCs w:val="24"/>
        </w:rPr>
      </w:pPr>
    </w:p>
    <w:p w:rsidR="00FC50C6" w:rsidRPr="00041446" w:rsidRDefault="00FC50C6" w:rsidP="00982750">
      <w:pPr>
        <w:suppressAutoHyphens w:val="0"/>
        <w:autoSpaceDE w:val="0"/>
        <w:autoSpaceDN w:val="0"/>
        <w:adjustRightInd w:val="0"/>
        <w:ind w:left="284" w:hanging="284"/>
        <w:rPr>
          <w:rFonts w:asciiTheme="minorHAnsi" w:eastAsia="Calibri" w:hAnsiTheme="minorHAnsi" w:cstheme="minorHAnsi"/>
          <w:color w:val="000000"/>
          <w:sz w:val="24"/>
          <w:szCs w:val="24"/>
        </w:rPr>
      </w:pPr>
    </w:p>
    <w:p w:rsidR="00041446" w:rsidRPr="00041446" w:rsidRDefault="00041446" w:rsidP="00FC50C6">
      <w:pPr>
        <w:keepNext/>
        <w:keepLines/>
        <w:numPr>
          <w:ilvl w:val="0"/>
          <w:numId w:val="26"/>
        </w:numPr>
        <w:suppressAutoHyphens w:val="0"/>
        <w:spacing w:after="120"/>
        <w:ind w:left="284" w:hanging="284"/>
        <w:outlineLvl w:val="0"/>
        <w:rPr>
          <w:rFonts w:eastAsia="Calibri" w:cs="Times New Roman"/>
          <w:b/>
          <w:caps/>
          <w:sz w:val="24"/>
          <w:szCs w:val="24"/>
          <w:lang w:val="it-IT" w:eastAsia="it-IT"/>
        </w:rPr>
      </w:pPr>
      <w:bookmarkStart w:id="5" w:name="_Toc94879943"/>
      <w:r w:rsidRPr="00041446">
        <w:rPr>
          <w:rFonts w:eastAsia="Calibri" w:cs="Times New Roman"/>
          <w:b/>
          <w:caps/>
          <w:sz w:val="24"/>
          <w:szCs w:val="24"/>
          <w:lang w:val="it-IT" w:eastAsia="it-IT"/>
        </w:rPr>
        <w:t>Conclusioni</w:t>
      </w:r>
      <w:bookmarkEnd w:id="5"/>
    </w:p>
    <w:p w:rsidR="00041446" w:rsidRPr="00041446" w:rsidRDefault="00041446" w:rsidP="00930CE2">
      <w:p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Alla luce di tutto quanto precede, tenuto conto:</w:t>
      </w:r>
    </w:p>
    <w:p w:rsidR="00041446" w:rsidRPr="00041446" w:rsidRDefault="00041446" w:rsidP="00930CE2">
      <w:pPr>
        <w:numPr>
          <w:ilvl w:val="0"/>
          <w:numId w:val="31"/>
        </w:num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che le difficoltà economiche generate dalla crisi COVID stanno dimostrando di avere impatti più lunghi di quanto si potesse immaginare all’inizio della crisi stessa;</w:t>
      </w:r>
    </w:p>
    <w:p w:rsidR="00041446" w:rsidRPr="00041446" w:rsidRDefault="00041446" w:rsidP="00930CE2">
      <w:pPr>
        <w:numPr>
          <w:ilvl w:val="0"/>
          <w:numId w:val="31"/>
        </w:numPr>
        <w:suppressAutoHyphens w:val="0"/>
        <w:autoSpaceDE w:val="0"/>
        <w:autoSpaceDN w:val="0"/>
        <w:adjustRightInd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che non è più in discussione la retro</w:t>
      </w:r>
      <w:r w:rsidR="00723EA3">
        <w:rPr>
          <w:rFonts w:asciiTheme="minorHAnsi" w:eastAsia="Times New Roman" w:hAnsiTheme="minorHAnsi" w:cstheme="minorHAnsi"/>
          <w:sz w:val="24"/>
          <w:szCs w:val="24"/>
          <w:lang w:eastAsia="it-IT"/>
        </w:rPr>
        <w:t>attività</w:t>
      </w:r>
      <w:r w:rsidRPr="00041446">
        <w:rPr>
          <w:rFonts w:asciiTheme="minorHAnsi" w:eastAsia="Calibri" w:hAnsiTheme="minorHAnsi" w:cstheme="minorHAnsi"/>
          <w:sz w:val="24"/>
          <w:szCs w:val="24"/>
        </w:rPr>
        <w:t xml:space="preserve"> della TdC in base alla decisione del Consiglio di Stato (e relativo comunicato stampa) del 19 agosto 2020 che stabilisce che l'entrata in vigore della tassa di collegamento non avverrà prima del 1</w:t>
      </w:r>
      <w:r w:rsidR="00934F35">
        <w:rPr>
          <w:rFonts w:asciiTheme="minorHAnsi" w:eastAsia="Calibri" w:hAnsiTheme="minorHAnsi" w:cstheme="minorHAnsi"/>
          <w:sz w:val="24"/>
          <w:szCs w:val="24"/>
        </w:rPr>
        <w:t>°</w:t>
      </w:r>
      <w:r w:rsidRPr="00041446">
        <w:rPr>
          <w:rFonts w:asciiTheme="minorHAnsi" w:eastAsia="Calibri" w:hAnsiTheme="minorHAnsi" w:cstheme="minorHAnsi"/>
          <w:sz w:val="24"/>
          <w:szCs w:val="24"/>
        </w:rPr>
        <w:t xml:space="preserve"> gennaio 2022 e che la tassa stessa non avrà effetto retroattivo;</w:t>
      </w:r>
    </w:p>
    <w:p w:rsidR="00041446" w:rsidRPr="00041446" w:rsidRDefault="00041446" w:rsidP="00930CE2">
      <w:pPr>
        <w:numPr>
          <w:ilvl w:val="0"/>
          <w:numId w:val="31"/>
        </w:numPr>
        <w:suppressAutoHyphens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che nel caso in cui la TdC non raggiungesse gli obiettivi indicati e quindi decadesse nella sua applicazione dopo il periodo di prova di tre anni non può essere previsto un meccanismo che stabilisca la restituzione automatica di quanto raccolto con la TdC (vedi allegato 3);</w:t>
      </w:r>
    </w:p>
    <w:p w:rsidR="00041446" w:rsidRPr="00041446" w:rsidRDefault="00041446" w:rsidP="00930CE2">
      <w:pPr>
        <w:numPr>
          <w:ilvl w:val="0"/>
          <w:numId w:val="31"/>
        </w:numPr>
        <w:suppressAutoHyphens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che il Consiglio di Stato ha attribuito un mandato esterno per la creazione di un sistema di monitoraggio e valutazione sui risultati ottenuti, sia a livello qualitativo che quantitativo, ad una Azienda con comprovata esperienza in simili compiti;</w:t>
      </w:r>
    </w:p>
    <w:p w:rsidR="00041446" w:rsidRPr="00041446" w:rsidRDefault="00041446" w:rsidP="00930CE2">
      <w:pPr>
        <w:numPr>
          <w:ilvl w:val="0"/>
          <w:numId w:val="31"/>
        </w:numPr>
        <w:suppressAutoHyphens w:val="0"/>
        <w:spacing w:after="160"/>
        <w:ind w:left="284" w:hanging="284"/>
        <w:rPr>
          <w:rFonts w:asciiTheme="minorHAnsi" w:eastAsia="Calibri" w:hAnsiTheme="minorHAnsi" w:cstheme="minorHAnsi"/>
          <w:sz w:val="24"/>
          <w:szCs w:val="24"/>
        </w:rPr>
      </w:pPr>
      <w:r w:rsidRPr="00041446">
        <w:rPr>
          <w:rFonts w:asciiTheme="minorHAnsi" w:eastAsia="Calibri" w:hAnsiTheme="minorHAnsi" w:cstheme="minorHAnsi"/>
          <w:sz w:val="24"/>
          <w:szCs w:val="24"/>
        </w:rPr>
        <w:t xml:space="preserve">degli approfondimenti forniti dal DT nel definire compiti e procedure affidati al </w:t>
      </w:r>
      <w:r w:rsidRPr="00041446">
        <w:rPr>
          <w:rFonts w:asciiTheme="minorHAnsi" w:eastAsia="Calibri" w:hAnsiTheme="minorHAnsi" w:cstheme="minorHAnsi"/>
          <w:bCs/>
          <w:sz w:val="24"/>
          <w:szCs w:val="24"/>
        </w:rPr>
        <w:t xml:space="preserve">Settore dello stazionamento e del monitoraggio del traffico </w:t>
      </w:r>
      <w:r w:rsidRPr="00041446">
        <w:rPr>
          <w:rFonts w:asciiTheme="minorHAnsi" w:eastAsia="Calibri" w:hAnsiTheme="minorHAnsi" w:cstheme="minorHAnsi"/>
          <w:sz w:val="24"/>
          <w:szCs w:val="24"/>
        </w:rPr>
        <w:t xml:space="preserve">nell'attuazione della Tassa di collegamento, nella gestione delle procedure di tassazione e nel relativo monitoraggio, nonché nella definizione di dettaglio di modalità e procedure per l'introduzione della Tassa e delle collaborazioni con gli </w:t>
      </w:r>
      <w:r w:rsidRPr="00041446">
        <w:rPr>
          <w:rFonts w:asciiTheme="minorHAnsi" w:eastAsia="Calibri" w:hAnsiTheme="minorHAnsi" w:cstheme="minorHAnsi"/>
          <w:iCs/>
          <w:sz w:val="24"/>
          <w:szCs w:val="24"/>
        </w:rPr>
        <w:t>altri servizi dell'Amministrazione cantonale;</w:t>
      </w:r>
    </w:p>
    <w:p w:rsidR="00041446" w:rsidRPr="00041446" w:rsidRDefault="00041446" w:rsidP="00982750">
      <w:pPr>
        <w:numPr>
          <w:ilvl w:val="0"/>
          <w:numId w:val="31"/>
        </w:numPr>
        <w:suppressAutoHyphens w:val="0"/>
        <w:autoSpaceDE w:val="0"/>
        <w:autoSpaceDN w:val="0"/>
        <w:adjustRightInd w:val="0"/>
        <w:spacing w:after="160"/>
        <w:ind w:left="284" w:hanging="284"/>
        <w:contextualSpacing/>
        <w:rPr>
          <w:rFonts w:asciiTheme="minorHAnsi" w:eastAsia="Calibri" w:hAnsiTheme="minorHAnsi" w:cstheme="minorHAnsi"/>
          <w:sz w:val="24"/>
          <w:szCs w:val="24"/>
        </w:rPr>
      </w:pPr>
      <w:bookmarkStart w:id="6" w:name="_Toc81215535"/>
      <w:r w:rsidRPr="00041446">
        <w:rPr>
          <w:rFonts w:asciiTheme="minorHAnsi" w:eastAsia="Calibri" w:hAnsiTheme="minorHAnsi" w:cstheme="minorHAnsi"/>
          <w:sz w:val="24"/>
          <w:szCs w:val="24"/>
        </w:rPr>
        <w:t>che per quel che concerne le proposte avanzate a livello federale per ridurre e influenzare i flussi di traffico negli orari di punta mediante una serie di misure tra cui spicca la differenziazione dei prezzi prevista dal mobility pricing, il Consiglio di Stato ricorda come non ci siano contraddizioni tra le misure già messe in atto in Ticino, la Tassa di collegamento e le proposte federali e come le stesse si integrino tra loro. L’unica specificità proposta a livello cantonale è di rimandare l’introduzione del mobility pricing nel trasporto pubblico visto che il recente potenziamento del trasporto pubblico nel nostro Cantone ha bisogno di tempo per entrare in modo stabile nelle abitudini dei cittadini.</w:t>
      </w:r>
      <w:bookmarkEnd w:id="6"/>
    </w:p>
    <w:p w:rsidR="00041446" w:rsidRPr="00041446" w:rsidRDefault="00041446" w:rsidP="00982750">
      <w:pPr>
        <w:suppressAutoHyphens w:val="0"/>
        <w:autoSpaceDE w:val="0"/>
        <w:autoSpaceDN w:val="0"/>
        <w:adjustRightInd w:val="0"/>
        <w:ind w:left="284" w:hanging="284"/>
        <w:contextualSpacing/>
        <w:rPr>
          <w:rFonts w:asciiTheme="minorHAnsi" w:eastAsia="Calibri" w:hAnsiTheme="minorHAnsi" w:cstheme="minorHAnsi"/>
          <w:sz w:val="24"/>
          <w:szCs w:val="24"/>
        </w:rPr>
      </w:pPr>
    </w:p>
    <w:p w:rsidR="00CA4B94" w:rsidRPr="00CA4B94" w:rsidRDefault="00CA4B94" w:rsidP="00CA4B94">
      <w:pPr>
        <w:suppressAutoHyphens w:val="0"/>
        <w:autoSpaceDE w:val="0"/>
        <w:autoSpaceDN w:val="0"/>
        <w:adjustRightInd w:val="0"/>
        <w:contextualSpacing/>
        <w:rPr>
          <w:rFonts w:eastAsia="Calibri" w:cs="Arial"/>
          <w:color w:val="000000"/>
          <w:sz w:val="24"/>
          <w:szCs w:val="24"/>
        </w:rPr>
      </w:pPr>
      <w:r w:rsidRPr="00934F35">
        <w:rPr>
          <w:rFonts w:eastAsia="Calibri" w:cs="Arial"/>
          <w:color w:val="000000"/>
          <w:sz w:val="24"/>
          <w:szCs w:val="24"/>
        </w:rPr>
        <w:t xml:space="preserve">Tenuto conto di tutto quanto precede e del </w:t>
      </w:r>
      <w:r w:rsidR="00934F35" w:rsidRPr="00934F35">
        <w:rPr>
          <w:rFonts w:eastAsia="Calibri" w:cs="Arial"/>
          <w:color w:val="000000"/>
          <w:sz w:val="24"/>
          <w:szCs w:val="24"/>
        </w:rPr>
        <w:t>m</w:t>
      </w:r>
      <w:r w:rsidRPr="00934F35">
        <w:rPr>
          <w:rFonts w:eastAsia="Calibri" w:cs="Arial"/>
          <w:color w:val="000000"/>
          <w:sz w:val="24"/>
          <w:szCs w:val="24"/>
        </w:rPr>
        <w:t>essaggio del Consiglio di Stato, si invita il Gran Consiglio a respingere l’iniziativa parlamentare</w:t>
      </w:r>
      <w:r w:rsidR="00934F35" w:rsidRPr="00934F35">
        <w:rPr>
          <w:rFonts w:eastAsia="Calibri" w:cs="Arial"/>
          <w:color w:val="000000"/>
          <w:sz w:val="24"/>
          <w:szCs w:val="24"/>
        </w:rPr>
        <w:t xml:space="preserve"> 2 aprile 2020</w:t>
      </w:r>
      <w:r w:rsidRPr="00934F35">
        <w:rPr>
          <w:rFonts w:eastAsia="Calibri" w:cs="Arial"/>
          <w:color w:val="000000"/>
          <w:sz w:val="24"/>
          <w:szCs w:val="24"/>
        </w:rPr>
        <w:t xml:space="preserve"> presentata nella forma elaborata da Sergio Morisoli e cofirmatari per la modifica della Legge sui trasporti pubblici (LTPub) del 6 dicembre 1994 (Abolizione della tassa di collegamento) e si chiede di approvare l’allegato decreto con il quale viene aggiunta una norma alla Legge sui trasporti pubblici del 6 dicembre 1994 e viene fissata l’entrata in vigore della tassa di collegamento al 1</w:t>
      </w:r>
      <w:r w:rsidR="00934F35" w:rsidRPr="00934F35">
        <w:rPr>
          <w:rFonts w:eastAsia="Calibri" w:cs="Arial"/>
          <w:color w:val="000000"/>
          <w:sz w:val="24"/>
          <w:szCs w:val="24"/>
        </w:rPr>
        <w:t>°</w:t>
      </w:r>
      <w:r w:rsidRPr="00934F35">
        <w:rPr>
          <w:rFonts w:eastAsia="Calibri" w:cs="Arial"/>
          <w:color w:val="000000"/>
          <w:sz w:val="24"/>
          <w:szCs w:val="24"/>
        </w:rPr>
        <w:t xml:space="preserve"> gennaio 2015.</w:t>
      </w:r>
    </w:p>
    <w:p w:rsidR="00041446" w:rsidRPr="00934F35" w:rsidRDefault="00041446" w:rsidP="00982750">
      <w:pPr>
        <w:suppressAutoHyphens w:val="0"/>
        <w:autoSpaceDE w:val="0"/>
        <w:autoSpaceDN w:val="0"/>
        <w:adjustRightInd w:val="0"/>
        <w:ind w:left="284" w:hanging="284"/>
        <w:contextualSpacing/>
        <w:rPr>
          <w:rFonts w:asciiTheme="minorHAnsi" w:eastAsia="Calibri" w:hAnsiTheme="minorHAnsi" w:cstheme="minorHAnsi"/>
          <w:sz w:val="24"/>
          <w:szCs w:val="24"/>
        </w:rPr>
      </w:pPr>
    </w:p>
    <w:p w:rsidR="00041446" w:rsidRPr="00934F35" w:rsidRDefault="00041446" w:rsidP="00CA4B94">
      <w:pPr>
        <w:suppressAutoHyphens w:val="0"/>
        <w:autoSpaceDE w:val="0"/>
        <w:autoSpaceDN w:val="0"/>
        <w:adjustRightInd w:val="0"/>
        <w:contextualSpacing/>
        <w:rPr>
          <w:rFonts w:asciiTheme="minorHAnsi" w:eastAsia="Calibri" w:hAnsiTheme="minorHAnsi" w:cstheme="minorHAnsi"/>
          <w:sz w:val="24"/>
          <w:szCs w:val="24"/>
        </w:rPr>
      </w:pPr>
      <w:r w:rsidRPr="00934F35">
        <w:rPr>
          <w:rFonts w:asciiTheme="minorHAnsi" w:eastAsia="Calibri" w:hAnsiTheme="minorHAnsi" w:cstheme="minorHAnsi"/>
          <w:sz w:val="24"/>
          <w:szCs w:val="24"/>
        </w:rPr>
        <w:t>Inoltre, si invita il Gran Consiglio a deliberare sugli atti parlamentari nel senso indicato al punto 4 del presente rapporto.</w:t>
      </w:r>
    </w:p>
    <w:p w:rsidR="00041446" w:rsidRPr="00041446" w:rsidRDefault="00041446" w:rsidP="007A3BAC">
      <w:pPr>
        <w:suppressAutoHyphens w:val="0"/>
        <w:autoSpaceDE w:val="0"/>
        <w:autoSpaceDN w:val="0"/>
        <w:adjustRightInd w:val="0"/>
        <w:contextualSpacing/>
        <w:rPr>
          <w:rFonts w:asciiTheme="minorHAnsi" w:eastAsia="Calibri" w:hAnsiTheme="minorHAnsi" w:cstheme="minorHAnsi"/>
          <w:sz w:val="24"/>
          <w:szCs w:val="24"/>
        </w:rPr>
      </w:pPr>
    </w:p>
    <w:p w:rsidR="00CA4B94" w:rsidRDefault="00CA4B94" w:rsidP="007A3BAC">
      <w:pPr>
        <w:suppressAutoHyphens w:val="0"/>
        <w:rPr>
          <w:rFonts w:asciiTheme="minorHAnsi" w:eastAsia="Calibri" w:hAnsiTheme="minorHAnsi" w:cstheme="minorHAnsi"/>
          <w:sz w:val="24"/>
          <w:szCs w:val="24"/>
        </w:rPr>
      </w:pPr>
      <w:bookmarkStart w:id="7" w:name="_Toc81215537"/>
    </w:p>
    <w:bookmarkEnd w:id="7"/>
    <w:p w:rsidR="007F70C8" w:rsidRDefault="007F70C8" w:rsidP="007F70C8">
      <w:pPr>
        <w:suppressAutoHyphens w:val="0"/>
        <w:spacing w:after="120"/>
        <w:rPr>
          <w:rFonts w:eastAsia="Calibri" w:cs="Arial"/>
          <w:sz w:val="24"/>
          <w:szCs w:val="24"/>
        </w:rPr>
      </w:pPr>
      <w:r w:rsidRPr="007F70C8">
        <w:rPr>
          <w:rFonts w:eastAsia="Calibri" w:cs="Arial"/>
          <w:sz w:val="24"/>
          <w:szCs w:val="24"/>
        </w:rPr>
        <w:t>Per la Commissione gestione e finanze</w:t>
      </w:r>
      <w:r w:rsidR="00CE1DBA">
        <w:rPr>
          <w:rFonts w:eastAsia="Calibri" w:cs="Arial"/>
          <w:sz w:val="24"/>
          <w:szCs w:val="24"/>
        </w:rPr>
        <w:t>:</w:t>
      </w:r>
    </w:p>
    <w:p w:rsidR="007F70C8" w:rsidRDefault="007F70C8" w:rsidP="00934F35">
      <w:pPr>
        <w:suppressAutoHyphens w:val="0"/>
        <w:rPr>
          <w:rFonts w:eastAsia="Calibri" w:cs="Arial"/>
          <w:sz w:val="24"/>
          <w:szCs w:val="24"/>
        </w:rPr>
      </w:pPr>
      <w:r>
        <w:rPr>
          <w:rFonts w:eastAsia="Calibri" w:cs="Arial"/>
          <w:sz w:val="24"/>
          <w:szCs w:val="24"/>
        </w:rPr>
        <w:t>Anna Biscossa, relatrice</w:t>
      </w:r>
    </w:p>
    <w:p w:rsidR="00934F35" w:rsidRDefault="003F15EC" w:rsidP="003F15EC">
      <w:pPr>
        <w:rPr>
          <w:rFonts w:cs="Arial"/>
          <w:sz w:val="24"/>
          <w:szCs w:val="24"/>
        </w:rPr>
      </w:pPr>
      <w:bookmarkStart w:id="8" w:name="OLE_LINK1"/>
      <w:bookmarkStart w:id="9" w:name="OLE_LINK2"/>
      <w:r w:rsidRPr="003F15EC">
        <w:rPr>
          <w:rFonts w:cs="Arial"/>
          <w:sz w:val="24"/>
          <w:szCs w:val="24"/>
        </w:rPr>
        <w:t xml:space="preserve">Agustoni </w:t>
      </w:r>
      <w:r>
        <w:rPr>
          <w:rFonts w:cs="Arial"/>
          <w:sz w:val="24"/>
          <w:szCs w:val="24"/>
        </w:rPr>
        <w:t xml:space="preserve">(con riserva) </w:t>
      </w:r>
      <w:r w:rsidRPr="003F15EC">
        <w:rPr>
          <w:rFonts w:cs="Arial"/>
          <w:sz w:val="24"/>
          <w:szCs w:val="24"/>
        </w:rPr>
        <w:t xml:space="preserve">- Balli </w:t>
      </w:r>
      <w:r>
        <w:rPr>
          <w:rFonts w:cs="Arial"/>
          <w:sz w:val="24"/>
          <w:szCs w:val="24"/>
        </w:rPr>
        <w:t xml:space="preserve">(con riserva) </w:t>
      </w:r>
      <w:r w:rsidR="00934F35">
        <w:rPr>
          <w:rFonts w:cs="Arial"/>
          <w:sz w:val="24"/>
          <w:szCs w:val="24"/>
        </w:rPr>
        <w:t>-</w:t>
      </w:r>
      <w:r w:rsidRPr="003F15EC">
        <w:rPr>
          <w:rFonts w:cs="Arial"/>
          <w:sz w:val="24"/>
          <w:szCs w:val="24"/>
        </w:rPr>
        <w:t xml:space="preserve"> Bignasca </w:t>
      </w:r>
      <w:r>
        <w:rPr>
          <w:rFonts w:cs="Arial"/>
          <w:sz w:val="24"/>
          <w:szCs w:val="24"/>
        </w:rPr>
        <w:t>(con riserva)</w:t>
      </w:r>
      <w:r w:rsidRPr="003F15EC">
        <w:rPr>
          <w:rFonts w:cs="Arial"/>
          <w:sz w:val="24"/>
          <w:szCs w:val="24"/>
        </w:rPr>
        <w:t xml:space="preserve"> </w:t>
      </w:r>
      <w:r w:rsidR="00934F35">
        <w:rPr>
          <w:rFonts w:cs="Arial"/>
          <w:sz w:val="24"/>
          <w:szCs w:val="24"/>
        </w:rPr>
        <w:t xml:space="preserve">- </w:t>
      </w:r>
    </w:p>
    <w:p w:rsidR="00934F35" w:rsidRDefault="003F15EC" w:rsidP="003F15EC">
      <w:pPr>
        <w:rPr>
          <w:rFonts w:cs="Arial"/>
          <w:sz w:val="24"/>
          <w:szCs w:val="24"/>
        </w:rPr>
      </w:pPr>
      <w:r w:rsidRPr="003F15EC">
        <w:rPr>
          <w:rFonts w:cs="Arial"/>
          <w:sz w:val="24"/>
          <w:szCs w:val="24"/>
        </w:rPr>
        <w:t xml:space="preserve">Bourgoin - Caprara </w:t>
      </w:r>
      <w:r w:rsidR="00934F35">
        <w:rPr>
          <w:rFonts w:cs="Arial"/>
          <w:sz w:val="24"/>
          <w:szCs w:val="24"/>
        </w:rPr>
        <w:t>-</w:t>
      </w:r>
      <w:r w:rsidRPr="003F15EC">
        <w:rPr>
          <w:rFonts w:cs="Arial"/>
          <w:sz w:val="24"/>
          <w:szCs w:val="24"/>
        </w:rPr>
        <w:t xml:space="preserve"> Dadò </w:t>
      </w:r>
      <w:r>
        <w:rPr>
          <w:rFonts w:cs="Arial"/>
          <w:sz w:val="24"/>
          <w:szCs w:val="24"/>
        </w:rPr>
        <w:t>(con riserva) -</w:t>
      </w:r>
      <w:r w:rsidRPr="003F15EC">
        <w:rPr>
          <w:rFonts w:cs="Arial"/>
          <w:sz w:val="24"/>
          <w:szCs w:val="24"/>
        </w:rPr>
        <w:t xml:space="preserve"> Durisch - Ferrara - Forini </w:t>
      </w:r>
      <w:r w:rsidR="00934F35">
        <w:rPr>
          <w:rFonts w:cs="Arial"/>
          <w:sz w:val="24"/>
          <w:szCs w:val="24"/>
        </w:rPr>
        <w:t>-</w:t>
      </w:r>
      <w:r w:rsidRPr="003F15EC">
        <w:rPr>
          <w:rFonts w:cs="Arial"/>
          <w:sz w:val="24"/>
          <w:szCs w:val="24"/>
        </w:rPr>
        <w:t xml:space="preserve"> </w:t>
      </w:r>
    </w:p>
    <w:p w:rsidR="003F15EC" w:rsidRPr="003F15EC" w:rsidRDefault="003F15EC" w:rsidP="003F15EC">
      <w:pPr>
        <w:rPr>
          <w:rFonts w:cs="Arial"/>
          <w:sz w:val="24"/>
          <w:szCs w:val="24"/>
        </w:rPr>
      </w:pPr>
      <w:r w:rsidRPr="003F15EC">
        <w:rPr>
          <w:rFonts w:cs="Arial"/>
          <w:sz w:val="24"/>
          <w:szCs w:val="24"/>
        </w:rPr>
        <w:t xml:space="preserve">Gianella Alessandra </w:t>
      </w:r>
      <w:r>
        <w:rPr>
          <w:rFonts w:cs="Arial"/>
          <w:sz w:val="24"/>
          <w:szCs w:val="24"/>
        </w:rPr>
        <w:t>-</w:t>
      </w:r>
      <w:r w:rsidRPr="003F15EC">
        <w:rPr>
          <w:rFonts w:cs="Arial"/>
          <w:sz w:val="24"/>
          <w:szCs w:val="24"/>
        </w:rPr>
        <w:t xml:space="preserve"> Guerra </w:t>
      </w:r>
      <w:r>
        <w:rPr>
          <w:rFonts w:cs="Arial"/>
          <w:sz w:val="24"/>
          <w:szCs w:val="24"/>
        </w:rPr>
        <w:t xml:space="preserve">(con riserva) </w:t>
      </w:r>
      <w:r w:rsidR="00934F35">
        <w:rPr>
          <w:rFonts w:cs="Arial"/>
          <w:sz w:val="24"/>
          <w:szCs w:val="24"/>
        </w:rPr>
        <w:t>-</w:t>
      </w:r>
      <w:r w:rsidRPr="003F15EC">
        <w:rPr>
          <w:rFonts w:cs="Arial"/>
          <w:sz w:val="24"/>
          <w:szCs w:val="24"/>
        </w:rPr>
        <w:t xml:space="preserve"> Quadranti </w:t>
      </w:r>
      <w:bookmarkEnd w:id="8"/>
      <w:bookmarkEnd w:id="9"/>
    </w:p>
    <w:p w:rsidR="00982750" w:rsidRDefault="00982750" w:rsidP="00930CE2">
      <w:pPr>
        <w:suppressAutoHyphens w:val="0"/>
        <w:rPr>
          <w:rFonts w:asciiTheme="minorHAnsi" w:eastAsia="Calibri" w:hAnsiTheme="minorHAnsi" w:cstheme="minorHAnsi"/>
          <w:sz w:val="24"/>
          <w:szCs w:val="24"/>
        </w:rPr>
      </w:pPr>
    </w:p>
    <w:p w:rsidR="00982750" w:rsidRDefault="00982750" w:rsidP="00930CE2">
      <w:pPr>
        <w:suppressAutoHyphens w:val="0"/>
        <w:rPr>
          <w:rFonts w:asciiTheme="minorHAnsi" w:eastAsia="Calibri" w:hAnsiTheme="minorHAnsi" w:cstheme="minorHAnsi"/>
          <w:sz w:val="24"/>
          <w:szCs w:val="24"/>
        </w:rPr>
      </w:pPr>
    </w:p>
    <w:p w:rsidR="00930CE2" w:rsidRDefault="00930CE2" w:rsidP="00930CE2">
      <w:pPr>
        <w:suppressAutoHyphens w:val="0"/>
        <w:rPr>
          <w:rFonts w:asciiTheme="minorHAnsi" w:eastAsia="Calibri" w:hAnsiTheme="minorHAnsi" w:cstheme="minorHAnsi"/>
          <w:sz w:val="24"/>
          <w:szCs w:val="24"/>
        </w:rPr>
      </w:pPr>
    </w:p>
    <w:p w:rsidR="00041446" w:rsidRPr="00236B79" w:rsidRDefault="00041446" w:rsidP="00930CE2">
      <w:pPr>
        <w:suppressAutoHyphens w:val="0"/>
        <w:spacing w:after="60"/>
        <w:rPr>
          <w:rFonts w:asciiTheme="minorHAnsi" w:eastAsia="Calibri" w:hAnsiTheme="minorHAnsi" w:cstheme="minorHAnsi"/>
          <w:b/>
          <w:sz w:val="24"/>
          <w:szCs w:val="24"/>
        </w:rPr>
      </w:pPr>
      <w:r w:rsidRPr="00236B79">
        <w:rPr>
          <w:rFonts w:asciiTheme="minorHAnsi" w:eastAsia="Calibri" w:hAnsiTheme="minorHAnsi" w:cstheme="minorHAnsi"/>
          <w:b/>
          <w:sz w:val="24"/>
          <w:szCs w:val="24"/>
        </w:rPr>
        <w:t>Allegati:</w:t>
      </w:r>
    </w:p>
    <w:p w:rsidR="00930CE2" w:rsidRPr="00930CE2" w:rsidRDefault="00041446" w:rsidP="00930CE2">
      <w:pPr>
        <w:tabs>
          <w:tab w:val="left" w:pos="1701"/>
        </w:tabs>
        <w:suppressAutoHyphens w:val="0"/>
        <w:ind w:left="1701" w:hanging="1701"/>
        <w:rPr>
          <w:rFonts w:asciiTheme="minorHAnsi" w:eastAsia="~FP3EAF" w:hAnsiTheme="minorHAnsi" w:cstheme="minorHAnsi"/>
          <w:color w:val="000000"/>
          <w:sz w:val="23"/>
          <w:szCs w:val="23"/>
          <w:lang w:eastAsia="it-IT"/>
        </w:rPr>
      </w:pPr>
      <w:r w:rsidRPr="00930CE2">
        <w:rPr>
          <w:rFonts w:asciiTheme="minorHAnsi" w:eastAsia="Times New Roman" w:hAnsiTheme="minorHAnsi" w:cstheme="minorHAnsi"/>
          <w:sz w:val="23"/>
          <w:szCs w:val="23"/>
          <w:lang w:eastAsia="it-IT"/>
        </w:rPr>
        <w:t xml:space="preserve">ALLEGATO 1 </w:t>
      </w:r>
      <w:r w:rsidR="00930CE2" w:rsidRPr="00930CE2">
        <w:rPr>
          <w:rFonts w:asciiTheme="minorHAnsi" w:eastAsia="Times New Roman" w:hAnsiTheme="minorHAnsi" w:cstheme="minorHAnsi"/>
          <w:sz w:val="23"/>
          <w:szCs w:val="23"/>
          <w:lang w:eastAsia="it-IT"/>
        </w:rPr>
        <w:tab/>
      </w:r>
      <w:r w:rsidRPr="00930CE2">
        <w:rPr>
          <w:rFonts w:asciiTheme="minorHAnsi" w:eastAsia="~FP3EAF" w:hAnsiTheme="minorHAnsi" w:cstheme="minorHAnsi"/>
          <w:color w:val="000000"/>
          <w:sz w:val="23"/>
          <w:szCs w:val="23"/>
          <w:lang w:eastAsia="it-IT"/>
        </w:rPr>
        <w:t>Elenco dei comuni in cui si applica il Regolamento cantonale posteggi privati</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FP3EAF" w:hAnsiTheme="minorHAnsi" w:cstheme="minorHAnsi"/>
          <w:color w:val="000000"/>
          <w:sz w:val="23"/>
          <w:szCs w:val="23"/>
          <w:lang w:eastAsia="it-IT"/>
        </w:rPr>
        <w:t>ALL</w:t>
      </w:r>
      <w:r w:rsidRPr="00930CE2">
        <w:rPr>
          <w:rFonts w:asciiTheme="minorHAnsi" w:eastAsia="Times New Roman" w:hAnsiTheme="minorHAnsi" w:cstheme="minorHAnsi"/>
          <w:sz w:val="23"/>
          <w:szCs w:val="23"/>
          <w:lang w:eastAsia="it-IT"/>
        </w:rPr>
        <w:t>EGATO 2</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 xml:space="preserve">Sentenza </w:t>
      </w:r>
      <w:r w:rsidR="00930CE2" w:rsidRPr="00930CE2">
        <w:rPr>
          <w:rFonts w:asciiTheme="minorHAnsi" w:eastAsia="Times New Roman" w:hAnsiTheme="minorHAnsi" w:cstheme="minorHAnsi"/>
          <w:sz w:val="23"/>
          <w:szCs w:val="23"/>
          <w:lang w:eastAsia="it-IT"/>
        </w:rPr>
        <w:t>del Tribunale f</w:t>
      </w:r>
      <w:r w:rsidRPr="00930CE2">
        <w:rPr>
          <w:rFonts w:asciiTheme="minorHAnsi" w:eastAsia="Times New Roman" w:hAnsiTheme="minorHAnsi" w:cstheme="minorHAnsi"/>
          <w:sz w:val="23"/>
          <w:szCs w:val="23"/>
          <w:lang w:eastAsia="it-IT"/>
        </w:rPr>
        <w:t>ederale</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Times New Roman" w:hAnsiTheme="minorHAnsi" w:cstheme="minorHAnsi"/>
          <w:sz w:val="23"/>
          <w:szCs w:val="23"/>
          <w:lang w:eastAsia="it-IT"/>
        </w:rPr>
        <w:t>ALLEGATO 3</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Parere dell’ufficio Giuridico del DT</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Times New Roman" w:hAnsiTheme="minorHAnsi" w:cstheme="minorHAnsi"/>
          <w:sz w:val="23"/>
          <w:szCs w:val="23"/>
          <w:lang w:eastAsia="it-IT"/>
        </w:rPr>
        <w:t xml:space="preserve">ALLEGATO 4 </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Mandato per il monitoraggio alla RAPP TRANS AG di ZURIGO</w:t>
      </w:r>
    </w:p>
    <w:p w:rsidR="00041446" w:rsidRPr="00930CE2" w:rsidRDefault="00041446" w:rsidP="00930CE2">
      <w:pPr>
        <w:tabs>
          <w:tab w:val="left" w:pos="1701"/>
        </w:tabs>
        <w:suppressAutoHyphens w:val="0"/>
        <w:ind w:left="1701" w:hanging="1701"/>
        <w:rPr>
          <w:rFonts w:asciiTheme="minorHAnsi" w:eastAsia="Times New Roman" w:hAnsiTheme="minorHAnsi" w:cstheme="minorHAnsi"/>
          <w:sz w:val="23"/>
          <w:szCs w:val="23"/>
          <w:lang w:eastAsia="it-IT"/>
        </w:rPr>
      </w:pPr>
      <w:r w:rsidRPr="00930CE2">
        <w:rPr>
          <w:rFonts w:asciiTheme="minorHAnsi" w:eastAsia="Times New Roman" w:hAnsiTheme="minorHAnsi" w:cstheme="minorHAnsi"/>
          <w:sz w:val="23"/>
          <w:szCs w:val="23"/>
          <w:lang w:eastAsia="it-IT"/>
        </w:rPr>
        <w:t xml:space="preserve">ALLEGATO 5 </w:t>
      </w:r>
      <w:r w:rsidR="00930CE2" w:rsidRPr="00930CE2">
        <w:rPr>
          <w:rFonts w:asciiTheme="minorHAnsi" w:eastAsia="Times New Roman" w:hAnsiTheme="minorHAnsi" w:cstheme="minorHAnsi"/>
          <w:sz w:val="23"/>
          <w:szCs w:val="23"/>
          <w:lang w:eastAsia="it-IT"/>
        </w:rPr>
        <w:tab/>
      </w:r>
      <w:r w:rsidRPr="00930CE2">
        <w:rPr>
          <w:rFonts w:asciiTheme="minorHAnsi" w:eastAsia="Times New Roman" w:hAnsiTheme="minorHAnsi" w:cstheme="minorHAnsi"/>
          <w:sz w:val="23"/>
          <w:szCs w:val="23"/>
          <w:lang w:eastAsia="it-IT"/>
        </w:rPr>
        <w:t>Elementi essenziali del concetto di monitoraggio</w:t>
      </w:r>
    </w:p>
    <w:p w:rsidR="00041446" w:rsidRPr="00041446" w:rsidRDefault="00041446" w:rsidP="007A3BAC">
      <w:pPr>
        <w:suppressAutoHyphens w:val="0"/>
        <w:spacing w:after="160"/>
        <w:rPr>
          <w:rFonts w:asciiTheme="minorHAnsi" w:eastAsia="Calibri" w:hAnsiTheme="minorHAnsi" w:cstheme="minorHAnsi"/>
          <w:sz w:val="24"/>
          <w:szCs w:val="24"/>
        </w:rPr>
      </w:pPr>
      <w:r w:rsidRPr="00041446">
        <w:rPr>
          <w:rFonts w:asciiTheme="minorHAnsi" w:eastAsia="Calibri" w:hAnsiTheme="minorHAnsi" w:cstheme="minorHAnsi"/>
          <w:sz w:val="24"/>
          <w:szCs w:val="24"/>
        </w:rPr>
        <w:br w:type="page"/>
      </w:r>
    </w:p>
    <w:p w:rsidR="00041446" w:rsidRPr="00041446" w:rsidRDefault="00041446" w:rsidP="007A3BAC">
      <w:pPr>
        <w:suppressAutoHyphens w:val="0"/>
        <w:rPr>
          <w:rFonts w:asciiTheme="minorHAnsi" w:eastAsia="Calibri" w:hAnsiTheme="minorHAnsi" w:cstheme="minorHAnsi"/>
          <w:sz w:val="24"/>
          <w:szCs w:val="24"/>
        </w:rPr>
      </w:pPr>
      <w:r w:rsidRPr="00041446">
        <w:rPr>
          <w:rFonts w:asciiTheme="minorHAnsi" w:eastAsia="Calibri" w:hAnsiTheme="minorHAnsi" w:cstheme="minorHAnsi"/>
          <w:sz w:val="24"/>
          <w:szCs w:val="24"/>
        </w:rPr>
        <w:t>Disegno di legge</w:t>
      </w:r>
    </w:p>
    <w:p w:rsidR="00041446" w:rsidRPr="00041446" w:rsidRDefault="00041446" w:rsidP="007A3BAC">
      <w:pPr>
        <w:suppressAutoHyphens w:val="0"/>
        <w:rPr>
          <w:rFonts w:asciiTheme="minorHAnsi" w:eastAsia="Calibri" w:hAnsiTheme="minorHAnsi" w:cstheme="minorHAnsi"/>
          <w:b/>
          <w:sz w:val="24"/>
          <w:szCs w:val="24"/>
        </w:rPr>
      </w:pPr>
      <w:r w:rsidRPr="00041446">
        <w:rPr>
          <w:rFonts w:asciiTheme="minorHAnsi" w:eastAsia="Calibri" w:hAnsiTheme="minorHAnsi" w:cstheme="minorHAnsi"/>
          <w:b/>
          <w:sz w:val="24"/>
          <w:szCs w:val="24"/>
        </w:rPr>
        <w:t>Legge</w:t>
      </w:r>
    </w:p>
    <w:p w:rsidR="00041446" w:rsidRPr="00041446" w:rsidRDefault="00041446" w:rsidP="007A3BAC">
      <w:pPr>
        <w:suppressAutoHyphens w:val="0"/>
        <w:rPr>
          <w:rFonts w:asciiTheme="minorHAnsi" w:eastAsia="Calibri" w:hAnsiTheme="minorHAnsi" w:cstheme="minorHAnsi"/>
          <w:b/>
          <w:sz w:val="24"/>
          <w:szCs w:val="24"/>
        </w:rPr>
      </w:pPr>
      <w:r w:rsidRPr="00041446">
        <w:rPr>
          <w:rFonts w:asciiTheme="minorHAnsi" w:eastAsia="Calibri" w:hAnsiTheme="minorHAnsi" w:cstheme="minorHAnsi"/>
          <w:b/>
          <w:sz w:val="24"/>
          <w:szCs w:val="24"/>
        </w:rPr>
        <w:t>sui trasporti pubblici</w:t>
      </w:r>
    </w:p>
    <w:p w:rsidR="00041446" w:rsidRPr="00041446" w:rsidRDefault="00041446" w:rsidP="007A3BAC">
      <w:pPr>
        <w:suppressAutoHyphens w:val="0"/>
        <w:rPr>
          <w:rFonts w:asciiTheme="minorHAnsi" w:eastAsia="Calibri" w:hAnsiTheme="minorHAnsi" w:cstheme="minorHAnsi"/>
          <w:b/>
          <w:sz w:val="24"/>
          <w:szCs w:val="24"/>
        </w:rPr>
      </w:pPr>
      <w:r w:rsidRPr="00041446">
        <w:rPr>
          <w:rFonts w:asciiTheme="minorHAnsi" w:eastAsia="Calibri" w:hAnsiTheme="minorHAnsi" w:cstheme="minorHAnsi"/>
          <w:b/>
          <w:sz w:val="24"/>
          <w:szCs w:val="24"/>
        </w:rPr>
        <w:t>(LTPub)</w:t>
      </w:r>
    </w:p>
    <w:p w:rsidR="00930CE2" w:rsidRDefault="00930CE2" w:rsidP="007A3BAC">
      <w:pPr>
        <w:suppressAutoHyphens w:val="0"/>
        <w:rPr>
          <w:rFonts w:asciiTheme="minorHAnsi" w:eastAsia="Calibri" w:hAnsiTheme="minorHAnsi" w:cstheme="minorHAnsi"/>
          <w:sz w:val="24"/>
          <w:szCs w:val="24"/>
        </w:rPr>
      </w:pPr>
    </w:p>
    <w:p w:rsidR="00041446" w:rsidRPr="00041446" w:rsidRDefault="00041446" w:rsidP="007A3BAC">
      <w:pPr>
        <w:suppressAutoHyphens w:val="0"/>
        <w:rPr>
          <w:rFonts w:asciiTheme="minorHAnsi" w:eastAsia="Calibri" w:hAnsiTheme="minorHAnsi" w:cstheme="minorHAnsi"/>
          <w:sz w:val="24"/>
          <w:szCs w:val="24"/>
        </w:rPr>
      </w:pPr>
      <w:r w:rsidRPr="00041446">
        <w:rPr>
          <w:rFonts w:asciiTheme="minorHAnsi" w:eastAsia="Calibri" w:hAnsiTheme="minorHAnsi" w:cstheme="minorHAnsi"/>
          <w:sz w:val="24"/>
          <w:szCs w:val="24"/>
        </w:rPr>
        <w:t>Modifica del ….</w:t>
      </w:r>
    </w:p>
    <w:p w:rsidR="00041446" w:rsidRDefault="00041446" w:rsidP="00930CE2">
      <w:pPr>
        <w:suppressAutoHyphens w:val="0"/>
        <w:rPr>
          <w:rFonts w:asciiTheme="minorHAnsi" w:eastAsia="Calibri" w:hAnsiTheme="minorHAnsi" w:cstheme="minorHAnsi"/>
          <w:caps/>
          <w:sz w:val="24"/>
          <w:szCs w:val="24"/>
        </w:rPr>
      </w:pPr>
    </w:p>
    <w:p w:rsidR="00930CE2" w:rsidRPr="00041446" w:rsidRDefault="00930CE2" w:rsidP="00930CE2">
      <w:pPr>
        <w:suppressAutoHyphens w:val="0"/>
        <w:rPr>
          <w:rFonts w:asciiTheme="minorHAnsi" w:eastAsia="Calibri" w:hAnsiTheme="minorHAnsi" w:cstheme="minorHAnsi"/>
          <w:caps/>
          <w:sz w:val="24"/>
          <w:szCs w:val="24"/>
        </w:rPr>
      </w:pPr>
    </w:p>
    <w:p w:rsidR="00041446" w:rsidRPr="00041446" w:rsidRDefault="00041446" w:rsidP="007A3BAC">
      <w:pPr>
        <w:suppressAutoHyphens w:val="0"/>
        <w:rPr>
          <w:rFonts w:asciiTheme="minorHAnsi" w:eastAsia="Calibri" w:hAnsiTheme="minorHAnsi" w:cstheme="minorHAnsi"/>
          <w:caps/>
          <w:sz w:val="24"/>
          <w:szCs w:val="24"/>
        </w:rPr>
      </w:pPr>
      <w:r w:rsidRPr="00041446">
        <w:rPr>
          <w:rFonts w:asciiTheme="minorHAnsi" w:eastAsia="Calibri" w:hAnsiTheme="minorHAnsi" w:cstheme="minorHAnsi"/>
          <w:caps/>
          <w:sz w:val="24"/>
          <w:szCs w:val="24"/>
        </w:rPr>
        <w:t>Il Gran Consiglio</w:t>
      </w:r>
    </w:p>
    <w:p w:rsidR="00041446" w:rsidRPr="00041446" w:rsidRDefault="00041446" w:rsidP="007A3BAC">
      <w:pPr>
        <w:suppressAutoHyphens w:val="0"/>
        <w:rPr>
          <w:rFonts w:asciiTheme="minorHAnsi" w:eastAsia="Calibri" w:hAnsiTheme="minorHAnsi" w:cstheme="minorHAnsi"/>
          <w:caps/>
          <w:sz w:val="24"/>
          <w:szCs w:val="24"/>
        </w:rPr>
      </w:pPr>
      <w:r w:rsidRPr="00041446">
        <w:rPr>
          <w:rFonts w:asciiTheme="minorHAnsi" w:eastAsia="Calibri" w:hAnsiTheme="minorHAnsi" w:cstheme="minorHAnsi"/>
          <w:caps/>
          <w:sz w:val="24"/>
          <w:szCs w:val="24"/>
        </w:rPr>
        <w:t>della Repubblica e Cantone del Ticino</w:t>
      </w:r>
    </w:p>
    <w:p w:rsidR="00041446" w:rsidRPr="00041446" w:rsidRDefault="00041446" w:rsidP="007A3BAC">
      <w:pPr>
        <w:suppressAutoHyphens w:val="0"/>
        <w:rPr>
          <w:rFonts w:asciiTheme="minorHAnsi" w:eastAsia="Calibri" w:hAnsiTheme="minorHAnsi" w:cstheme="minorHAnsi"/>
          <w:sz w:val="24"/>
          <w:szCs w:val="24"/>
        </w:rPr>
      </w:pPr>
    </w:p>
    <w:p w:rsidR="00041446" w:rsidRDefault="00930CE2" w:rsidP="00236B79">
      <w:pPr>
        <w:suppressAutoHyphens w:val="0"/>
        <w:rPr>
          <w:rFonts w:asciiTheme="minorHAnsi" w:eastAsia="Calibri" w:hAnsiTheme="minorHAnsi" w:cstheme="minorHAnsi"/>
          <w:sz w:val="24"/>
          <w:szCs w:val="24"/>
        </w:rPr>
      </w:pPr>
      <w:r>
        <w:rPr>
          <w:rFonts w:asciiTheme="minorHAnsi" w:eastAsia="Calibri" w:hAnsiTheme="minorHAnsi" w:cstheme="minorHAnsi"/>
          <w:sz w:val="24"/>
          <w:szCs w:val="24"/>
        </w:rPr>
        <w:t>d</w:t>
      </w:r>
      <w:r w:rsidR="00041446" w:rsidRPr="00041446">
        <w:rPr>
          <w:rFonts w:asciiTheme="minorHAnsi" w:eastAsia="Calibri" w:hAnsiTheme="minorHAnsi" w:cstheme="minorHAnsi"/>
          <w:sz w:val="24"/>
          <w:szCs w:val="24"/>
        </w:rPr>
        <w:t>ecreta:</w:t>
      </w:r>
    </w:p>
    <w:p w:rsidR="00236B79" w:rsidRPr="00041446" w:rsidRDefault="00236B79" w:rsidP="00236B79">
      <w:pPr>
        <w:suppressAutoHyphens w:val="0"/>
        <w:rPr>
          <w:rFonts w:asciiTheme="minorHAnsi" w:eastAsia="Calibri" w:hAnsiTheme="minorHAnsi" w:cstheme="minorHAnsi"/>
          <w:sz w:val="24"/>
          <w:szCs w:val="24"/>
        </w:rPr>
      </w:pPr>
    </w:p>
    <w:p w:rsidR="00041446" w:rsidRPr="00041446" w:rsidRDefault="004A1E3C" w:rsidP="007A3BAC">
      <w:pPr>
        <w:suppressAutoHyphens w:val="0"/>
        <w:spacing w:after="120"/>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I</w:t>
      </w:r>
    </w:p>
    <w:p w:rsidR="00041446" w:rsidRPr="00041446" w:rsidRDefault="00041446" w:rsidP="007A3BAC">
      <w:pPr>
        <w:suppressAutoHyphens w:val="0"/>
        <w:spacing w:after="160"/>
        <w:rPr>
          <w:rFonts w:asciiTheme="minorHAnsi" w:eastAsia="Calibri" w:hAnsiTheme="minorHAnsi" w:cstheme="minorHAnsi"/>
          <w:color w:val="000000"/>
          <w:sz w:val="24"/>
          <w:szCs w:val="24"/>
        </w:rPr>
      </w:pPr>
      <w:r w:rsidRPr="00041446">
        <w:rPr>
          <w:rFonts w:asciiTheme="minorHAnsi" w:eastAsia="Calibri" w:hAnsiTheme="minorHAnsi" w:cstheme="minorHAnsi"/>
          <w:color w:val="000000"/>
          <w:sz w:val="24"/>
          <w:szCs w:val="24"/>
        </w:rPr>
        <w:t>La legge sui trasporti pubblici del 6 dicembre 1994 (LTPub) è modificata come segue:</w:t>
      </w:r>
    </w:p>
    <w:p w:rsidR="00930CE2" w:rsidRPr="00041446" w:rsidRDefault="00041446" w:rsidP="00930CE2">
      <w:pPr>
        <w:suppressAutoHyphens w:val="0"/>
        <w:rPr>
          <w:rFonts w:asciiTheme="minorHAnsi" w:eastAsia="Times New Roman" w:hAnsiTheme="minorHAnsi" w:cstheme="minorHAnsi"/>
          <w:b/>
          <w:bCs/>
          <w:sz w:val="24"/>
          <w:szCs w:val="24"/>
          <w:lang w:val="it-IT"/>
        </w:rPr>
      </w:pPr>
      <w:r w:rsidRPr="00041446">
        <w:rPr>
          <w:rFonts w:asciiTheme="minorHAnsi" w:eastAsia="Times New Roman" w:hAnsiTheme="minorHAnsi" w:cstheme="minorHAnsi"/>
          <w:b/>
          <w:bCs/>
          <w:sz w:val="24"/>
          <w:szCs w:val="24"/>
          <w:lang w:val="it-IT"/>
        </w:rPr>
        <w:t>Art. 35u</w:t>
      </w:r>
      <w:r w:rsidR="00930CE2">
        <w:rPr>
          <w:rFonts w:asciiTheme="minorHAnsi" w:eastAsia="Times New Roman" w:hAnsiTheme="minorHAnsi" w:cstheme="minorHAnsi"/>
          <w:b/>
          <w:bCs/>
          <w:sz w:val="24"/>
          <w:szCs w:val="24"/>
          <w:lang w:val="it-IT"/>
        </w:rPr>
        <w:t xml:space="preserve"> - </w:t>
      </w:r>
      <w:r w:rsidR="00930CE2" w:rsidRPr="00041446">
        <w:rPr>
          <w:rFonts w:asciiTheme="minorHAnsi" w:eastAsia="Times New Roman" w:hAnsiTheme="minorHAnsi" w:cstheme="minorHAnsi"/>
          <w:b/>
          <w:bCs/>
          <w:sz w:val="24"/>
          <w:szCs w:val="24"/>
          <w:lang w:val="it-IT"/>
        </w:rPr>
        <w:t>Definizione degli obiettivi da raggiungere durante il periodo di prova</w:t>
      </w:r>
    </w:p>
    <w:p w:rsidR="00041446" w:rsidRPr="00041446" w:rsidRDefault="00041446" w:rsidP="007A3BAC">
      <w:pPr>
        <w:suppressAutoHyphens w:val="0"/>
        <w:rPr>
          <w:rFonts w:asciiTheme="minorHAnsi" w:eastAsia="Times New Roman" w:hAnsiTheme="minorHAnsi" w:cstheme="minorHAnsi"/>
          <w:sz w:val="24"/>
          <w:szCs w:val="24"/>
          <w:lang w:val="it-IT"/>
        </w:rPr>
      </w:pPr>
      <w:r w:rsidRPr="00041446">
        <w:rPr>
          <w:rFonts w:asciiTheme="minorHAnsi" w:eastAsia="Times New Roman" w:hAnsiTheme="minorHAnsi" w:cstheme="minorHAnsi"/>
          <w:sz w:val="24"/>
          <w:szCs w:val="24"/>
          <w:lang w:val="it-IT"/>
        </w:rPr>
        <w:t>Il Consiglio di Stato stabilisce e rende noti almeno 6 mesi prima dell’entrata in vigore della tassa di collegamento gli obiettivi che si intendono raggiungere alla fine dei tre anni di monitoraggio.</w:t>
      </w:r>
    </w:p>
    <w:p w:rsidR="00041446" w:rsidRPr="00041446" w:rsidRDefault="00041446" w:rsidP="00930CE2">
      <w:pPr>
        <w:suppressAutoHyphens w:val="0"/>
        <w:rPr>
          <w:rFonts w:asciiTheme="minorHAnsi" w:eastAsia="Calibri" w:hAnsiTheme="minorHAnsi" w:cstheme="minorHAnsi"/>
          <w:color w:val="000000"/>
          <w:sz w:val="24"/>
          <w:szCs w:val="24"/>
        </w:rPr>
      </w:pPr>
    </w:p>
    <w:p w:rsidR="00041446" w:rsidRPr="00041446" w:rsidRDefault="004A1E3C" w:rsidP="007A3BAC">
      <w:pPr>
        <w:suppressAutoHyphens w:val="0"/>
        <w:spacing w:after="120"/>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II</w:t>
      </w:r>
    </w:p>
    <w:p w:rsidR="00041446" w:rsidRPr="00041446" w:rsidRDefault="00041446" w:rsidP="007A3BAC">
      <w:pPr>
        <w:suppressAutoHyphens w:val="0"/>
        <w:spacing w:after="160"/>
        <w:rPr>
          <w:rFonts w:asciiTheme="minorHAnsi" w:eastAsia="Calibri" w:hAnsiTheme="minorHAnsi" w:cstheme="minorHAnsi"/>
          <w:sz w:val="24"/>
          <w:szCs w:val="24"/>
          <w:lang w:val="it-IT"/>
        </w:rPr>
      </w:pPr>
      <w:r w:rsidRPr="00041446">
        <w:rPr>
          <w:rFonts w:asciiTheme="minorHAnsi" w:eastAsia="Calibri" w:hAnsiTheme="minorHAnsi" w:cstheme="minorHAnsi"/>
          <w:sz w:val="24"/>
          <w:szCs w:val="24"/>
          <w:vertAlign w:val="superscript"/>
          <w:lang w:val="it-IT"/>
        </w:rPr>
        <w:t>1</w:t>
      </w:r>
      <w:r w:rsidRPr="00041446">
        <w:rPr>
          <w:rFonts w:asciiTheme="minorHAnsi" w:eastAsia="Calibri" w:hAnsiTheme="minorHAnsi" w:cstheme="minorHAnsi"/>
          <w:sz w:val="24"/>
          <w:szCs w:val="24"/>
          <w:lang w:val="it-IT"/>
        </w:rPr>
        <w:t>La presente legge sottostà a referendum facoltativo.</w:t>
      </w:r>
    </w:p>
    <w:p w:rsidR="00041446" w:rsidRPr="00041446" w:rsidRDefault="00041446" w:rsidP="00930CE2">
      <w:pPr>
        <w:suppressAutoHyphens w:val="0"/>
        <w:rPr>
          <w:rFonts w:asciiTheme="minorHAnsi" w:eastAsia="Calibri" w:hAnsiTheme="minorHAnsi" w:cstheme="minorHAnsi"/>
          <w:sz w:val="24"/>
          <w:szCs w:val="24"/>
          <w:lang w:val="it-IT"/>
        </w:rPr>
      </w:pPr>
      <w:r w:rsidRPr="00041446">
        <w:rPr>
          <w:rFonts w:asciiTheme="minorHAnsi" w:eastAsia="Calibri" w:hAnsiTheme="minorHAnsi" w:cstheme="minorHAnsi"/>
          <w:sz w:val="24"/>
          <w:szCs w:val="24"/>
          <w:vertAlign w:val="superscript"/>
          <w:lang w:val="it-IT"/>
        </w:rPr>
        <w:t>2</w:t>
      </w:r>
      <w:r w:rsidRPr="00041446">
        <w:rPr>
          <w:rFonts w:asciiTheme="minorHAnsi" w:eastAsia="Calibri" w:hAnsiTheme="minorHAnsi" w:cstheme="minorHAnsi"/>
          <w:sz w:val="24"/>
          <w:szCs w:val="24"/>
          <w:lang w:val="it-IT"/>
        </w:rPr>
        <w:t xml:space="preserve">Essa entra in vigore il 1° gennaio 2025 unitamente </w:t>
      </w:r>
      <w:r w:rsidRPr="00041446">
        <w:rPr>
          <w:rFonts w:asciiTheme="minorHAnsi" w:eastAsia="Calibri" w:hAnsiTheme="minorHAnsi" w:cstheme="minorHAnsi"/>
          <w:sz w:val="24"/>
          <w:szCs w:val="24"/>
        </w:rPr>
        <w:t xml:space="preserve">agli articoli 11 capoverso 1, </w:t>
      </w:r>
      <w:r w:rsidR="00930CE2">
        <w:rPr>
          <w:rFonts w:asciiTheme="minorHAnsi" w:eastAsia="Calibri" w:hAnsiTheme="minorHAnsi" w:cstheme="minorHAnsi"/>
          <w:sz w:val="24"/>
          <w:szCs w:val="24"/>
        </w:rPr>
        <w:br/>
      </w:r>
      <w:r w:rsidRPr="00041446">
        <w:rPr>
          <w:rFonts w:asciiTheme="minorHAnsi" w:eastAsia="Calibri" w:hAnsiTheme="minorHAnsi" w:cstheme="minorHAnsi"/>
          <w:sz w:val="24"/>
          <w:szCs w:val="24"/>
        </w:rPr>
        <w:t>30 capoversi 3 e 4, 35a-35t</w:t>
      </w:r>
      <w:r w:rsidRPr="00041446">
        <w:rPr>
          <w:rFonts w:asciiTheme="minorHAnsi" w:eastAsia="Calibri" w:hAnsiTheme="minorHAnsi" w:cstheme="minorHAnsi"/>
          <w:sz w:val="24"/>
          <w:szCs w:val="24"/>
          <w:lang w:val="it-IT"/>
        </w:rPr>
        <w:t xml:space="preserve"> la cui entrata in vigore è stata sospesa dal Tribunale federale con</w:t>
      </w:r>
      <w:r w:rsidRPr="00041446">
        <w:rPr>
          <w:rFonts w:asciiTheme="minorHAnsi" w:eastAsia="Calibri" w:hAnsiTheme="minorHAnsi" w:cstheme="minorHAnsi"/>
          <w:sz w:val="24"/>
          <w:szCs w:val="24"/>
        </w:rPr>
        <w:t xml:space="preserve"> decreto presidenziale del 2 settembre 2016.</w:t>
      </w:r>
    </w:p>
    <w:p w:rsidR="00041446" w:rsidRPr="00041446" w:rsidRDefault="00041446" w:rsidP="007A3BAC">
      <w:pPr>
        <w:suppressAutoHyphens w:val="0"/>
        <w:spacing w:after="160"/>
        <w:rPr>
          <w:rFonts w:eastAsia="Calibri" w:cs="Arial"/>
          <w:sz w:val="24"/>
          <w:szCs w:val="24"/>
        </w:rPr>
      </w:pPr>
    </w:p>
    <w:p w:rsidR="00041446" w:rsidRPr="00041446" w:rsidRDefault="00041446" w:rsidP="007A3BAC">
      <w:pPr>
        <w:suppressAutoHyphens w:val="0"/>
        <w:spacing w:after="160"/>
        <w:rPr>
          <w:rFonts w:eastAsia="Calibri" w:cs="Arial"/>
          <w:szCs w:val="24"/>
        </w:rPr>
      </w:pPr>
      <w:r w:rsidRPr="00041446">
        <w:rPr>
          <w:rFonts w:eastAsia="Calibri" w:cs="Arial"/>
          <w:szCs w:val="24"/>
        </w:rPr>
        <w:br w:type="page"/>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t>ALLEGATO 1</w:t>
      </w:r>
    </w:p>
    <w:p w:rsidR="00041446" w:rsidRPr="00041446" w:rsidRDefault="00041446" w:rsidP="007A3BAC">
      <w:pPr>
        <w:suppressAutoHyphens w:val="0"/>
        <w:spacing w:before="100" w:beforeAutospacing="1" w:after="100" w:afterAutospacing="1"/>
        <w:rPr>
          <w:rFonts w:eastAsia="Times New Roman" w:cs="Arial"/>
          <w:sz w:val="24"/>
          <w:szCs w:val="24"/>
          <w:lang w:eastAsia="it-IT"/>
        </w:rPr>
      </w:pPr>
      <w:r w:rsidRPr="00041446">
        <w:rPr>
          <w:rFonts w:eastAsia="Times New Roman" w:cs="Arial"/>
          <w:b/>
          <w:bCs/>
          <w:sz w:val="24"/>
          <w:szCs w:val="24"/>
          <w:lang w:eastAsia="it-IT"/>
        </w:rPr>
        <w:t xml:space="preserve">Comuni soggetti al Regolamento cantonale posteggi privati </w:t>
      </w:r>
      <w:r w:rsidRPr="00041446">
        <w:rPr>
          <w:rFonts w:eastAsia="Times New Roman" w:cs="Arial"/>
          <w:sz w:val="24"/>
          <w:szCs w:val="24"/>
          <w:lang w:eastAsia="it-IT"/>
        </w:rPr>
        <w:t xml:space="preserve">(art. 51)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Mendrisio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Balerna, Castel San Pietro, Capolago, Chiasso, Chiasso Pedrinate, Coldrerio, Maroggia, Mendrisio, Mendrisio Genestrerio, Mendrisio Ligornetto, Mendrisio Rancate, Morbio Inferiore, Novazzano, Riva San Vitale, Stabio, Vacallo</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Lugano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Agno, Bedano, Bioggio, Cadempino, Canobbio, Caslano, Comano, Collina d'Oro Montagnola, Collina d'Oro Gentilino, Cureglia, Grancia, Gravesano, Lamone, Lugano, Lugano Barbengo, Lugano Breganzona, Lugano Cadro, Lugano Castagnola, Lugano Davesco, Lugano Sorengo, Lugano Gandria, Lugano Pambio Noranco, Lugano Pazzallo, Lugano Pregassona, Lugano Viganello, Magliaso, Manno, Massagno, Melide, Melano, Mezzovico-Vira, Monteceneri Rivera, Monteceneri Sigirino, Muzzano, Paradiso, Ponte Tresa, Porza, Pura, Savosa,</w:t>
      </w:r>
      <w:r w:rsidR="00236B79">
        <w:rPr>
          <w:rFonts w:eastAsia="Times New Roman" w:cs="Arial"/>
          <w:sz w:val="18"/>
          <w:szCs w:val="18"/>
          <w:lang w:eastAsia="it-IT"/>
        </w:rPr>
        <w:t xml:space="preserve"> </w:t>
      </w:r>
      <w:r w:rsidRPr="00041446">
        <w:rPr>
          <w:rFonts w:eastAsia="Times New Roman" w:cs="Arial"/>
          <w:sz w:val="18"/>
          <w:szCs w:val="18"/>
          <w:lang w:eastAsia="it-IT"/>
        </w:rPr>
        <w:t>Torricella-Taverne, Vezia</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Locarno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Ascona, Brione s/Minusio, Brissago, Cugnasco Gerra Cugnasco, Cugnasco Gerra Gerra, Gambarogno Contone, Gambarogno Magadino, Gordola Lavertezzo, Locarno, Losone, Minusio, Muralto, Orselina, Ronco s/Ascona, Tenero-Contra</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di Bellinzona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Bellinzona, Bellinzona Giubiasco, Cadenazzo, Arbedo-Castione, Camorino, Gudo, Monte Carasso, Sant'Antonino, Sementina</w:t>
      </w:r>
      <w:r w:rsidR="00236B79">
        <w:rPr>
          <w:rFonts w:eastAsia="Times New Roman" w:cs="Arial"/>
          <w:sz w:val="18"/>
          <w:szCs w:val="18"/>
          <w:lang w:eastAsia="it-IT"/>
        </w:rPr>
        <w:t>.</w:t>
      </w:r>
      <w:r w:rsidRPr="00041446">
        <w:rPr>
          <w:rFonts w:eastAsia="Times New Roman" w:cs="Arial"/>
          <w:sz w:val="18"/>
          <w:szCs w:val="18"/>
          <w:lang w:eastAsia="it-IT"/>
        </w:rPr>
        <w:t xml:space="preserve">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b/>
          <w:bCs/>
          <w:sz w:val="18"/>
          <w:szCs w:val="18"/>
          <w:lang w:eastAsia="it-IT"/>
        </w:rPr>
        <w:t xml:space="preserve">Distretto della Riviera </w:t>
      </w:r>
    </w:p>
    <w:p w:rsidR="00041446" w:rsidRPr="00041446" w:rsidRDefault="00041446" w:rsidP="007A3BAC">
      <w:pPr>
        <w:suppressAutoHyphens w:val="0"/>
        <w:spacing w:before="100" w:beforeAutospacing="1" w:after="100" w:afterAutospacing="1"/>
        <w:rPr>
          <w:rFonts w:eastAsia="Times New Roman" w:cs="Arial"/>
          <w:sz w:val="18"/>
          <w:szCs w:val="18"/>
          <w:lang w:eastAsia="it-IT"/>
        </w:rPr>
      </w:pPr>
      <w:r w:rsidRPr="00041446">
        <w:rPr>
          <w:rFonts w:eastAsia="Times New Roman" w:cs="Arial"/>
          <w:sz w:val="18"/>
          <w:szCs w:val="18"/>
          <w:lang w:eastAsia="it-IT"/>
        </w:rPr>
        <w:t xml:space="preserve">Biasca, Claro, Cresciano, Osogna. </w:t>
      </w:r>
    </w:p>
    <w:p w:rsidR="00041446" w:rsidRPr="00041446" w:rsidRDefault="00041446" w:rsidP="007A3BAC">
      <w:pPr>
        <w:suppressAutoHyphens w:val="0"/>
        <w:spacing w:after="160"/>
        <w:rPr>
          <w:rFonts w:ascii="Calibri" w:eastAsia="Calibri" w:hAnsi="Calibri" w:cs="Times New Roman"/>
        </w:rPr>
      </w:pP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br w:type="page"/>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t>ALLEGATO 2</w:t>
      </w:r>
    </w:p>
    <w:p w:rsidR="00041446" w:rsidRPr="00041446" w:rsidRDefault="00041446" w:rsidP="007A3BAC">
      <w:pPr>
        <w:suppressAutoHyphens w:val="0"/>
        <w:spacing w:after="160"/>
        <w:rPr>
          <w:rFonts w:ascii="Calibri" w:eastAsia="Calibri" w:hAnsi="Calibri" w:cs="Times New Roman"/>
        </w:rPr>
      </w:pPr>
    </w:p>
    <w:p w:rsidR="00041446" w:rsidRPr="00041446" w:rsidRDefault="00450EB9" w:rsidP="007A3BAC">
      <w:pPr>
        <w:suppressAutoHyphens w:val="0"/>
        <w:spacing w:after="160"/>
        <w:rPr>
          <w:rFonts w:ascii="Calibri" w:eastAsia="Calibri" w:hAnsi="Calibri" w:cs="Times New Roman"/>
        </w:rPr>
      </w:pPr>
      <w:hyperlink r:id="rId12" w:history="1">
        <w:r w:rsidR="00041446" w:rsidRPr="00041446">
          <w:rPr>
            <w:rFonts w:ascii="Calibri" w:eastAsia="Calibri" w:hAnsi="Calibri" w:cs="Times New Roman"/>
            <w:color w:val="0563C1"/>
            <w:u w:val="single"/>
          </w:rPr>
          <w:t>https://www.bger.ch/ext/eurospider/live/fr/php/aza/http/index.php?lang=fr&amp;type=highlight_simple_similar_documents&amp;page=1&amp;from_date=&amp;to_date=&amp;sort=relevance&amp;insertion_date=&amp;top_subcollection_aza=all&amp;docid=atf%3A%2F%2F144-I-81&amp;rank=6&amp;azaclir=aza&amp;highlight_docid=aza%3A%2F%2F25-03-2020-2C_749-2016&amp;number_of_ranks=4453</w:t>
        </w:r>
      </w:hyperlink>
    </w:p>
    <w:p w:rsidR="00041446" w:rsidRPr="00041446" w:rsidRDefault="00041446" w:rsidP="007A3BAC">
      <w:pPr>
        <w:suppressAutoHyphens w:val="0"/>
        <w:rPr>
          <w:rFonts w:eastAsia="Times New Roman" w:cs="Arial"/>
          <w:color w:val="000000"/>
          <w:sz w:val="20"/>
          <w:szCs w:val="20"/>
          <w:shd w:val="clear" w:color="auto" w:fill="FFFFFF"/>
          <w:lang w:eastAsia="it-IT"/>
        </w:rPr>
      </w:pP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Bundesgericht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Tribunal fédéral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Tribunale federale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Tribunal federal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r w:rsidRPr="00041446">
        <w:rPr>
          <w:rFonts w:eastAsia="Times New Roman" w:cs="Arial"/>
          <w:noProof/>
          <w:color w:val="000000"/>
          <w:sz w:val="20"/>
          <w:szCs w:val="20"/>
          <w:lang w:eastAsia="it-CH"/>
        </w:rPr>
        <w:drawing>
          <wp:inline distT="0" distB="0" distL="0" distR="0" wp14:anchorId="56ADDA69" wp14:editId="63586077">
            <wp:extent cx="1209675" cy="933450"/>
            <wp:effectExtent l="0" t="0" r="9525" b="0"/>
            <wp:docPr id="2" name="Immagine 5" descr="/var/folders/rn/yjsgnlj92xg7sl8n5ptj4xqr0000gn/T/com.microsoft.Word/WebArchiveCopyPasteTempFiles/displayimage.php?id=2020-03-25-2C_749-2016.1&amp;ty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var/folders/rn/yjsgnlj92xg7sl8n5ptj4xqr0000gn/T/com.microsoft.Word/WebArchiveCopyPasteTempFiles/displayimage.php?id=2020-03-25-2C_749-2016.1&amp;type=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09675" cy="933450"/>
                    </a:xfrm>
                    <a:prstGeom prst="rect">
                      <a:avLst/>
                    </a:prstGeom>
                    <a:noFill/>
                    <a:ln>
                      <a:noFill/>
                    </a:ln>
                  </pic:spPr>
                </pic:pic>
              </a:graphicData>
            </a:graphic>
          </wp:inline>
        </w:drawing>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b/>
          <w:bCs/>
          <w:color w:val="000000"/>
          <w:sz w:val="20"/>
          <w:szCs w:val="20"/>
          <w:lang w:eastAsia="it-IT"/>
        </w:rPr>
        <w:t>2C_749/2016</w:t>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b/>
          <w:bCs/>
          <w:color w:val="000000"/>
          <w:sz w:val="20"/>
          <w:szCs w:val="20"/>
          <w:lang w:eastAsia="it-IT"/>
        </w:rPr>
        <w:t>Sentenza del 25 marzo 2020</w:t>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b/>
          <w:bCs/>
          <w:color w:val="000000"/>
          <w:sz w:val="20"/>
          <w:szCs w:val="20"/>
          <w:lang w:eastAsia="it-IT"/>
        </w:rPr>
        <w:t>II Corte di diritto pubblico</w:t>
      </w: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Composizione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Giudici federali Seiler, Presidente,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Zünd, Aubry Girardin, Stadelmann, Haag,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Cancelliera Ieronimo Perroud.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Partecipanti al procedimento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P.________ SA,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patrocinata dall'avv. Ivo Wuthier,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ricorrente,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contro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Gran Consiglio della Repubblica e Cantone Ticino, rappresentato dal Consiglio di Stato del Cantone Ticino,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Consiglio di Stato del Cantone Ticino.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Oggetto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Modifica del 14 dicembre 2015 della legge sui trasporti pubblici del 6 dicembre 1994 (LTPub) e nuovo regolamento del 28 giugno 2016 sulla tassa di collegamento (RTColl),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 </w:t>
      </w:r>
    </w:p>
    <w:p w:rsidR="00041446" w:rsidRPr="00041446" w:rsidRDefault="00041446" w:rsidP="007A3BAC">
      <w:pPr>
        <w:suppressAutoHyphens w:val="0"/>
        <w:rPr>
          <w:rFonts w:eastAsia="Times New Roman" w:cs="Arial"/>
          <w:color w:val="000000"/>
          <w:sz w:val="20"/>
          <w:szCs w:val="20"/>
          <w:lang w:eastAsia="it-IT"/>
        </w:rPr>
      </w:pPr>
      <w:r w:rsidRPr="00041446">
        <w:rPr>
          <w:rFonts w:eastAsia="Times New Roman" w:cs="Arial"/>
          <w:color w:val="000000"/>
          <w:sz w:val="20"/>
          <w:szCs w:val="20"/>
          <w:lang w:eastAsia="it-IT"/>
        </w:rPr>
        <w:t>ricorso contro la modifica della legge del 6 dicembre 1994 sui trasporti pubblici (LTPub), decisa il 14 dicembre 2015 dal Gran Consiglio della Repubblica e Cantone Ticino, e contro il nuovo regolamento sulla tassa di collegamento (RTColl) ad essa relativo, decretato il 28 giugno 2016 dal Consiglio di Stato del Cantone Ticino, entrambi pubblicati il 1° luglio 2016. </w:t>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rPr>
        <w:br w:type="page"/>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t>ALLEGATO 3</w:t>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noProof/>
          <w:lang w:eastAsia="it-CH"/>
        </w:rPr>
        <w:drawing>
          <wp:inline distT="0" distB="0" distL="0" distR="0" wp14:anchorId="66A0D5EB" wp14:editId="7D8876E3">
            <wp:extent cx="7848600" cy="5553075"/>
            <wp:effectExtent l="4762" t="0" r="4763" b="4762"/>
            <wp:docPr id="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848600" cy="5553075"/>
                    </a:xfrm>
                    <a:prstGeom prst="rect">
                      <a:avLst/>
                    </a:prstGeom>
                    <a:noFill/>
                    <a:ln>
                      <a:noFill/>
                    </a:ln>
                  </pic:spPr>
                </pic:pic>
              </a:graphicData>
            </a:graphic>
          </wp:inline>
        </w:drawing>
      </w:r>
    </w:p>
    <w:p w:rsidR="00ED5B7E" w:rsidRDefault="00ED5B7E" w:rsidP="007A3BAC">
      <w:pPr>
        <w:suppressAutoHyphens w:val="0"/>
        <w:spacing w:after="160"/>
        <w:rPr>
          <w:rFonts w:ascii="Calibri" w:eastAsia="Calibri" w:hAnsi="Calibri" w:cs="Times New Roman"/>
          <w:b/>
        </w:rPr>
      </w:pPr>
    </w:p>
    <w:p w:rsidR="00ED5B7E" w:rsidRDefault="00ED5B7E" w:rsidP="007A3BAC">
      <w:pPr>
        <w:suppressAutoHyphens w:val="0"/>
        <w:spacing w:after="160"/>
        <w:rPr>
          <w:rFonts w:ascii="Calibri" w:eastAsia="Calibri" w:hAnsi="Calibri" w:cs="Times New Roman"/>
          <w:b/>
        </w:rPr>
      </w:pP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b/>
        </w:rPr>
        <w:t>ALLEGATO 4</w:t>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noProof/>
          <w:lang w:eastAsia="it-CH"/>
        </w:rPr>
        <w:drawing>
          <wp:inline distT="0" distB="0" distL="0" distR="0" wp14:anchorId="433B882A" wp14:editId="40A8B878">
            <wp:extent cx="5229225" cy="7400925"/>
            <wp:effectExtent l="0" t="0" r="0" b="0"/>
            <wp:docPr id="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7400925"/>
                    </a:xfrm>
                    <a:prstGeom prst="rect">
                      <a:avLst/>
                    </a:prstGeom>
                    <a:noFill/>
                    <a:ln>
                      <a:noFill/>
                    </a:ln>
                  </pic:spPr>
                </pic:pic>
              </a:graphicData>
            </a:graphic>
          </wp:inline>
        </w:drawing>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noProof/>
          <w:lang w:eastAsia="it-CH"/>
        </w:rPr>
        <w:drawing>
          <wp:inline distT="0" distB="0" distL="0" distR="0" wp14:anchorId="5DE38D65" wp14:editId="5CF84043">
            <wp:extent cx="6115050" cy="8658225"/>
            <wp:effectExtent l="0" t="0" r="0" b="0"/>
            <wp:docPr id="1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41446" w:rsidRPr="00041446" w:rsidRDefault="00041446" w:rsidP="007A3BAC">
      <w:pPr>
        <w:suppressAutoHyphens w:val="0"/>
        <w:spacing w:after="160"/>
        <w:rPr>
          <w:rFonts w:ascii="Calibri" w:eastAsia="Calibri" w:hAnsi="Calibri" w:cs="Times New Roman"/>
        </w:rPr>
      </w:pPr>
      <w:r w:rsidRPr="00041446">
        <w:rPr>
          <w:rFonts w:ascii="Calibri" w:eastAsia="Calibri" w:hAnsi="Calibri" w:cs="Times New Roman"/>
          <w:noProof/>
          <w:lang w:eastAsia="it-CH"/>
        </w:rPr>
        <w:drawing>
          <wp:inline distT="0" distB="0" distL="0" distR="0" wp14:anchorId="7DB4493C" wp14:editId="30C43440">
            <wp:extent cx="6115050" cy="865822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041446" w:rsidRPr="00041446" w:rsidRDefault="00041446" w:rsidP="007A3BAC">
      <w:pPr>
        <w:suppressAutoHyphens w:val="0"/>
        <w:spacing w:after="160"/>
        <w:rPr>
          <w:rFonts w:ascii="Calibri" w:eastAsia="Calibri" w:hAnsi="Calibri" w:cs="Times New Roman"/>
          <w:b/>
        </w:rPr>
      </w:pPr>
      <w:r w:rsidRPr="00041446">
        <w:rPr>
          <w:rFonts w:ascii="Calibri" w:eastAsia="Calibri" w:hAnsi="Calibri" w:cs="Times New Roman"/>
          <w:b/>
        </w:rPr>
        <w:t>ALLEGATO 5</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8"/>
          <w:szCs w:val="28"/>
          <w:lang w:eastAsia="it-IT"/>
        </w:rPr>
        <w:t xml:space="preserve">Tassa di collegamento, elementi essenziali del concetto di monitoraggio </w:t>
      </w:r>
    </w:p>
    <w:p w:rsidR="00041446" w:rsidRPr="00041446" w:rsidRDefault="00041446" w:rsidP="007A3BAC">
      <w:pPr>
        <w:numPr>
          <w:ilvl w:val="0"/>
          <w:numId w:val="33"/>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4"/>
          <w:szCs w:val="24"/>
          <w:lang w:eastAsia="it-IT"/>
        </w:rPr>
        <w:t xml:space="preserve">Nella prima fase di analisi sono state definite le domande alle quali il monitoraggio deve poter rispondere: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0"/>
          <w:szCs w:val="20"/>
          <w:lang w:eastAsia="it-IT"/>
        </w:rPr>
        <w:t xml:space="preserve">Applicazione della tassa ed effetti sui posteggi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In che misura la tassa di collegamento viene ricaricata sul personale / sugli utenti sistematici, rispettivamente sui clienti / visitatori? Vi sono differenze per tipo di attività, agglomerato / comparto e anno? La durata limitata del periodo di prova ha un influsso su queste decisioni?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Qual è l’impatto finanziario / quanto pagano gli utenti finali? Generalmente viene riversato solo l’ammontare effettivo della tassa oppure l’utente finale paga anche un affitto? La durata limitata del periodo di prova ha un influsso su queste decisioni? Quanto pagano gli utenti dei posteggi dei centri commerciali?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I proprietari dei fondi o altri attori adottano misure accompagnatorie / incentivi per il personale e/o per i clienti/visitatori (es. misure di gestione della mobilità aziendale)? Quali? In che misura sono dovute alla tassa di collegamento? La durata limitata del periodo di prova ha un influsso su queste decisioni? Vi sono differenze per tipo di attività, agglomerato / comparto e anno?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In che misura i proprietari dei fondi hanno adottato misure già prima dell’entrata in vigore della tassa di collegamento? Di che misure si tratta?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Come si sviluppa il numero di posti auto assoggettati alla tassa di collegamento? Vi sono differenze per tipo di attività e agglomerato / comparto?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b/>
          <w:bCs/>
          <w:sz w:val="20"/>
          <w:szCs w:val="20"/>
          <w:lang w:eastAsia="it-IT"/>
        </w:rPr>
        <w:t xml:space="preserve">Mobilità </w:t>
      </w:r>
    </w:p>
    <w:p w:rsidR="00041446" w:rsidRPr="00041446" w:rsidRDefault="00041446" w:rsidP="007A3BAC">
      <w:pPr>
        <w:numPr>
          <w:ilvl w:val="0"/>
          <w:numId w:val="34"/>
        </w:numP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Come si sviluppano le abitudini di mobilità degli utenti dei fondi assoggettati alla tassa di collegamento? Quali aspetti determinano i principali cambiamenti (tassa di collegamento, inclusi gli aspetti legati all’adeguatezza degli importi e alla durata limitata del periodo di prova, offerta trasporto</w:t>
      </w:r>
      <w:r w:rsidRPr="00041446">
        <w:rPr>
          <w:rFonts w:ascii="Helvetica" w:eastAsia="Times New Roman" w:hAnsi="Helvetica" w:cs="Times New Roman"/>
          <w:position w:val="10"/>
          <w:sz w:val="12"/>
          <w:szCs w:val="12"/>
          <w:lang w:eastAsia="it-IT"/>
        </w:rPr>
        <w:t>1</w:t>
      </w:r>
      <w:r w:rsidRPr="00041446">
        <w:rPr>
          <w:rFonts w:ascii="Helvetica" w:eastAsia="Times New Roman" w:hAnsi="Helvetica" w:cs="Times New Roman"/>
          <w:sz w:val="20"/>
          <w:szCs w:val="20"/>
          <w:lang w:eastAsia="it-IT"/>
        </w:rPr>
        <w:t xml:space="preserve">, misure covid, incentivi datore lavoro, ecc.)? In che misura? Come cambia la ripartizione modale?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 cambiamento nella scelta del mezzo di trasporto? Quale? A cosa è dovuto il cambiamento risp. il mancato cambiamento?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 aumento della condivisione dell’automobile? A cosa è dovuto il cambiamento risp. il mancato cambiamento?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una modifica nella scelta dei luoghi di posteggio? A cosa è dovuta?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una modifica nella scelta delle destinazioni (clienti/visitatori)? A cosa è dovuta? </w:t>
      </w:r>
    </w:p>
    <w:p w:rsidR="00041446" w:rsidRPr="00041446" w:rsidRDefault="00041446" w:rsidP="007A3BAC">
      <w:pPr>
        <w:suppressAutoHyphens w:val="0"/>
        <w:spacing w:before="100" w:beforeAutospacing="1" w:after="100" w:afterAutospacing="1"/>
        <w:ind w:left="720"/>
        <w:rPr>
          <w:rFonts w:ascii="Times New Roman" w:eastAsia="Times New Roman" w:hAnsi="Times New Roman" w:cs="Times New Roman"/>
          <w:sz w:val="24"/>
          <w:szCs w:val="24"/>
          <w:lang w:eastAsia="it-IT"/>
        </w:rPr>
      </w:pPr>
      <w:r w:rsidRPr="00041446">
        <w:rPr>
          <w:rFonts w:ascii="Verdana" w:eastAsia="Times New Roman" w:hAnsi="Verdana" w:cs="Times New Roman"/>
          <w:sz w:val="20"/>
          <w:szCs w:val="20"/>
          <w:lang w:eastAsia="it-IT"/>
        </w:rPr>
        <w:t>–  </w:t>
      </w:r>
      <w:r w:rsidRPr="00041446">
        <w:rPr>
          <w:rFonts w:ascii="Helvetica" w:eastAsia="Times New Roman" w:hAnsi="Helvetica" w:cs="Times New Roman"/>
          <w:sz w:val="20"/>
          <w:szCs w:val="20"/>
          <w:lang w:eastAsia="it-IT"/>
        </w:rPr>
        <w:t xml:space="preserve">Vi è una modifica della frequenza degli spostamenti? A cosa è dovuta? </w:t>
      </w:r>
    </w:p>
    <w:p w:rsidR="00041446" w:rsidRPr="00041446" w:rsidRDefault="00041446" w:rsidP="007A3BAC">
      <w:pPr>
        <w:numPr>
          <w:ilvl w:val="0"/>
          <w:numId w:val="34"/>
        </w:numPr>
        <w:pBdr>
          <w:bottom w:val="single" w:sz="12" w:space="1" w:color="auto"/>
        </w:pBdr>
        <w:suppressAutoHyphens w:val="0"/>
        <w:spacing w:before="100" w:beforeAutospacing="1" w:after="100" w:afterAutospacing="1"/>
        <w:contextualSpacing/>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Come si sviluppa il volume di traffico stradale rispettivamente la domanda di trasporto pubblico e di spostamenti in bicicletta? Come si modifica la ripartizione modale?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Verdana" w:eastAsia="Times New Roman" w:hAnsi="Verdana" w:cs="Times New Roman"/>
          <w:sz w:val="14"/>
          <w:szCs w:val="14"/>
          <w:lang w:eastAsia="it-IT"/>
        </w:rPr>
        <w:t>Sono da considerare gli aspetti seguenti:</w:t>
      </w:r>
      <w:r w:rsidRPr="00041446">
        <w:rPr>
          <w:rFonts w:ascii="Verdana" w:eastAsia="Times New Roman" w:hAnsi="Verdana" w:cs="Times New Roman"/>
          <w:sz w:val="14"/>
          <w:szCs w:val="14"/>
          <w:lang w:eastAsia="it-IT"/>
        </w:rPr>
        <w:br/>
        <w:t>1) qualità del traffico stradale per gli utenti TIM lungo il percorso per raggiungere il fondo (es. livello di congestione lungo il percorso per raggiungere il fondo)</w:t>
      </w:r>
      <w:r w:rsidRPr="00041446">
        <w:rPr>
          <w:rFonts w:ascii="Verdana" w:eastAsia="Times New Roman" w:hAnsi="Verdana" w:cs="Times New Roman"/>
          <w:sz w:val="14"/>
          <w:szCs w:val="14"/>
          <w:lang w:eastAsia="it-IT"/>
        </w:rPr>
        <w:br/>
        <w:t>2) qualità dell’allacciamento con il trasporto pubblico lungo il percorso per raggiungere il fondo</w:t>
      </w:r>
      <w:r w:rsidRPr="00041446">
        <w:rPr>
          <w:rFonts w:ascii="Verdana" w:eastAsia="Times New Roman" w:hAnsi="Verdana" w:cs="Times New Roman"/>
          <w:sz w:val="14"/>
          <w:szCs w:val="14"/>
          <w:lang w:eastAsia="it-IT"/>
        </w:rPr>
        <w:br/>
        <w:t xml:space="preserve">3) qualità dei collegamenti (infrastruttura/sicurezza) per gli utenti delle biciclette / e-bikes lungo il percorso per raggiungere i fondi assoggettati alla tassa di collegamento </w:t>
      </w:r>
    </w:p>
    <w:p w:rsidR="00041446" w:rsidRPr="00041446" w:rsidRDefault="00041446" w:rsidP="007A3BAC">
      <w:pPr>
        <w:suppressAutoHyphens w:val="0"/>
        <w:spacing w:after="160"/>
        <w:rPr>
          <w:rFonts w:ascii="Calibri" w:eastAsia="Calibri" w:hAnsi="Calibri" w:cs="Times New Roman"/>
          <w:b/>
        </w:rPr>
      </w:pPr>
    </w:p>
    <w:p w:rsidR="00041446" w:rsidRPr="00041446" w:rsidRDefault="00041446" w:rsidP="007A3BAC">
      <w:pPr>
        <w:numPr>
          <w:ilvl w:val="0"/>
          <w:numId w:val="35"/>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Quanti posti auto sono stati smantellati/dismessi dall’introduzione della tassa di collegamento? Quante aree con più di 50 posti auto hanno ridotto il numero di stalli al di sotto di tale soglia? E dalla sua accettazione (2016)? </w:t>
      </w:r>
    </w:p>
    <w:p w:rsidR="00041446" w:rsidRPr="00041446" w:rsidRDefault="00041446" w:rsidP="007A3BAC">
      <w:pPr>
        <w:numPr>
          <w:ilvl w:val="0"/>
          <w:numId w:val="35"/>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Quante aree di posteggio con 50 o più posti auto sono state create dall’introduzione della tassa? E dalla sua accettazione (2016)? In che misura i posti auto creati sono al di sotto dei limiti concessi dal regolamento cantonale posteggi privati?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Symbol" w:eastAsia="Times New Roman" w:hAnsi="Symbol" w:cs="Times New Roman"/>
          <w:sz w:val="20"/>
          <w:szCs w:val="20"/>
          <w:lang w:eastAsia="it-IT"/>
        </w:rPr>
        <w:t></w:t>
      </w:r>
      <w:r w:rsidRPr="00041446">
        <w:rPr>
          <w:rFonts w:ascii="Symbol" w:eastAsia="Times New Roman" w:hAnsi="Symbol" w:cs="Times New Roman"/>
          <w:sz w:val="20"/>
          <w:szCs w:val="20"/>
          <w:lang w:eastAsia="it-IT"/>
        </w:rPr>
        <w:t></w:t>
      </w:r>
      <w:r w:rsidRPr="00041446">
        <w:rPr>
          <w:rFonts w:ascii="Helvetica" w:eastAsia="Times New Roman" w:hAnsi="Helvetica" w:cs="Times New Roman"/>
          <w:b/>
          <w:bCs/>
          <w:sz w:val="20"/>
          <w:szCs w:val="20"/>
          <w:lang w:eastAsia="it-IT"/>
        </w:rPr>
        <w:t xml:space="preserve">Evoluzione delle condizioni quadro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sviluppa la situazione economica generale?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evolvono le disposizioni per contenere il corona virus? Quali effetti hanno sui comportamenti legati alla mobilità?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modifica la percentuale di persone che lavora in remoto?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cambia l’offerta di trasporto pubblico?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cambia la regolamentazione comunale dei posteggi?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modificano i costi legati alla mobilità (TP, TIM)?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si modifica il numero di addetti?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In che misura le decisioni di tassazione sono sottoposte a reclamo rispettivamente a ricorso? Quanto dura l’evasione di reclami / ricorsi?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Quale è la qualità dell’allacciamento con il trasporto pubblico dei fondi assoggettati alla tassa di collegamento?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Come evolve l’offerta di posti auto privati in affitto situati in prossimità dei fondi assoggettati (quantità e prezzo)? </w:t>
      </w:r>
    </w:p>
    <w:p w:rsidR="00041446" w:rsidRPr="00041446" w:rsidRDefault="00041446" w:rsidP="007A3BAC">
      <w:pPr>
        <w:numPr>
          <w:ilvl w:val="0"/>
          <w:numId w:val="36"/>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Qual è la struttura economica del comparto analizzato? In che parte è composta, per esempio, da posti di lavoro in uffici (presenza sul posto non indispensabile, possibilità di telelavoro) e in che parte da posti di lavoro che richiedono la presenza in loco (es. produzione in fabbrica, assistenza medica, ecc.)?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Symbol" w:eastAsia="Times New Roman" w:hAnsi="Symbol" w:cs="Times New Roman"/>
          <w:sz w:val="20"/>
          <w:szCs w:val="20"/>
          <w:lang w:eastAsia="it-IT"/>
        </w:rPr>
        <w:t></w:t>
      </w:r>
      <w:r w:rsidRPr="00041446">
        <w:rPr>
          <w:rFonts w:ascii="Symbol" w:eastAsia="Times New Roman" w:hAnsi="Symbol" w:cs="Times New Roman"/>
          <w:sz w:val="20"/>
          <w:szCs w:val="20"/>
          <w:lang w:eastAsia="it-IT"/>
        </w:rPr>
        <w:t></w:t>
      </w:r>
      <w:r w:rsidRPr="00041446">
        <w:rPr>
          <w:rFonts w:ascii="Helvetica" w:eastAsia="Times New Roman" w:hAnsi="Helvetica" w:cs="Times New Roman"/>
          <w:b/>
          <w:bCs/>
          <w:sz w:val="20"/>
          <w:szCs w:val="20"/>
          <w:lang w:eastAsia="it-IT"/>
        </w:rPr>
        <w:t xml:space="preserve">Aspetti finanziari e proprietari toccati </w:t>
      </w:r>
    </w:p>
    <w:p w:rsidR="00041446" w:rsidRPr="00041446" w:rsidRDefault="00041446" w:rsidP="007A3BAC">
      <w:pPr>
        <w:numPr>
          <w:ilvl w:val="0"/>
          <w:numId w:val="37"/>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A quanto ammonta il gettito finanziario generato dalla tassa di collegamento? Vi sono differenze per </w:t>
      </w:r>
    </w:p>
    <w:p w:rsidR="00041446" w:rsidRPr="00041446" w:rsidRDefault="00041446" w:rsidP="007A3BAC">
      <w:pPr>
        <w:suppressAutoHyphens w:val="0"/>
        <w:spacing w:before="100" w:beforeAutospacing="1" w:after="100" w:afterAutospacing="1"/>
        <w:ind w:left="720"/>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tipo di attività, agglomerato / comparto e anno? </w:t>
      </w:r>
    </w:p>
    <w:p w:rsidR="00041446" w:rsidRPr="00041446" w:rsidRDefault="00041446" w:rsidP="007A3BAC">
      <w:pPr>
        <w:numPr>
          <w:ilvl w:val="0"/>
          <w:numId w:val="37"/>
        </w:numPr>
        <w:suppressAutoHyphens w:val="0"/>
        <w:spacing w:before="100" w:beforeAutospacing="1" w:after="100" w:afterAutospacing="1"/>
        <w:rPr>
          <w:rFonts w:ascii="Helvetica" w:eastAsia="Times New Roman" w:hAnsi="Helvetica" w:cs="Times New Roman"/>
          <w:sz w:val="20"/>
          <w:szCs w:val="20"/>
          <w:lang w:eastAsia="it-IT"/>
        </w:rPr>
      </w:pPr>
      <w:r w:rsidRPr="00041446">
        <w:rPr>
          <w:rFonts w:ascii="Helvetica" w:eastAsia="Times New Roman" w:hAnsi="Helvetica" w:cs="Times New Roman"/>
          <w:sz w:val="20"/>
          <w:szCs w:val="20"/>
          <w:lang w:eastAsia="it-IT"/>
        </w:rPr>
        <w:t xml:space="preserve">Quanti proprietari sono toccati? </w:t>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Helvetica" w:eastAsia="Times New Roman" w:hAnsi="Helvetica" w:cs="Times New Roman"/>
          <w:sz w:val="20"/>
          <w:szCs w:val="20"/>
          <w:lang w:eastAsia="it-IT"/>
        </w:rPr>
        <w:t xml:space="preserve">La Legge sui trasporti pubblici non richiede che il monitoraggio risponda a domande concernente l’evoluzione delle </w:t>
      </w:r>
      <w:r w:rsidRPr="00041446">
        <w:rPr>
          <w:rFonts w:ascii="Helvetica" w:eastAsia="Times New Roman" w:hAnsi="Helvetica" w:cs="Times New Roman"/>
          <w:b/>
          <w:bCs/>
          <w:sz w:val="20"/>
          <w:szCs w:val="20"/>
          <w:lang w:eastAsia="it-IT"/>
        </w:rPr>
        <w:t>condizioni quadro</w:t>
      </w:r>
      <w:r w:rsidRPr="00041446">
        <w:rPr>
          <w:rFonts w:ascii="Helvetica" w:eastAsia="Times New Roman" w:hAnsi="Helvetica" w:cs="Times New Roman"/>
          <w:sz w:val="20"/>
          <w:szCs w:val="20"/>
          <w:lang w:eastAsia="it-IT"/>
        </w:rPr>
        <w:t xml:space="preserve">. Queste sono state introdotte per poter meglio capire ed inquadrare le eventuali modifiche che verranno rilevate. Le domande concernenti le condizioni quadro potranno modificarsi, se si verificheranno cambiamenti importanti, non prevedibili al momento dell’allestimento di questo documento. </w:t>
      </w:r>
    </w:p>
    <w:p w:rsidR="00041446" w:rsidRPr="00041446" w:rsidRDefault="00041446" w:rsidP="007A3BAC">
      <w:pPr>
        <w:suppressAutoHyphens w:val="0"/>
        <w:spacing w:after="160"/>
        <w:rPr>
          <w:rFonts w:ascii="Calibri" w:eastAsia="Calibri" w:hAnsi="Calibri" w:cs="Times New Roman"/>
        </w:rPr>
      </w:pP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Times New Roman" w:eastAsia="Times New Roman" w:hAnsi="Times New Roman" w:cs="Times New Roman"/>
          <w:noProof/>
          <w:sz w:val="24"/>
          <w:szCs w:val="24"/>
          <w:lang w:eastAsia="it-CH"/>
        </w:rPr>
        <w:drawing>
          <wp:inline distT="0" distB="0" distL="0" distR="0" wp14:anchorId="086A7212" wp14:editId="2E7B868A">
            <wp:extent cx="6115050" cy="9077325"/>
            <wp:effectExtent l="0" t="0" r="0" b="0"/>
            <wp:docPr id="1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9077325"/>
                    </a:xfrm>
                    <a:prstGeom prst="rect">
                      <a:avLst/>
                    </a:prstGeom>
                    <a:noFill/>
                    <a:ln>
                      <a:noFill/>
                    </a:ln>
                  </pic:spPr>
                </pic:pic>
              </a:graphicData>
            </a:graphic>
          </wp:inline>
        </w:drawing>
      </w:r>
    </w:p>
    <w:p w:rsidR="00041446" w:rsidRPr="00041446" w:rsidRDefault="00041446" w:rsidP="007A3BAC">
      <w:pPr>
        <w:suppressAutoHyphens w:val="0"/>
        <w:spacing w:before="100" w:beforeAutospacing="1" w:after="100" w:afterAutospacing="1"/>
        <w:rPr>
          <w:rFonts w:ascii="Times New Roman" w:eastAsia="Times New Roman" w:hAnsi="Times New Roman" w:cs="Times New Roman"/>
          <w:sz w:val="24"/>
          <w:szCs w:val="24"/>
          <w:lang w:eastAsia="it-IT"/>
        </w:rPr>
      </w:pPr>
      <w:r w:rsidRPr="00041446">
        <w:rPr>
          <w:rFonts w:ascii="Times New Roman" w:eastAsia="Times New Roman" w:hAnsi="Times New Roman" w:cs="Times New Roman"/>
          <w:noProof/>
          <w:sz w:val="24"/>
          <w:szCs w:val="24"/>
          <w:lang w:eastAsia="it-CH"/>
        </w:rPr>
        <w:drawing>
          <wp:inline distT="0" distB="0" distL="0" distR="0" wp14:anchorId="76A6C5F9" wp14:editId="56944D3C">
            <wp:extent cx="6115050" cy="4162425"/>
            <wp:effectExtent l="0" t="0" r="0" b="0"/>
            <wp:docPr id="1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sectPr w:rsidR="00041446" w:rsidRPr="00041446" w:rsidSect="00375115">
      <w:headerReference w:type="default" r:id="rId21"/>
      <w:footerReference w:type="default" r:id="rId22"/>
      <w:headerReference w:type="first" r:id="rId23"/>
      <w:footerReference w:type="first" r:id="rId24"/>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AA7" w:rsidRDefault="00087AA7" w:rsidP="00F657BF">
      <w:r>
        <w:separator/>
      </w:r>
    </w:p>
  </w:endnote>
  <w:endnote w:type="continuationSeparator" w:id="0">
    <w:p w:rsidR="00087AA7" w:rsidRDefault="00087AA7"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FP3EAF">
    <w:altName w:val="Microsoft JhengHei"/>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450EB9" w:rsidP="00912E34">
          <w:pPr>
            <w:tabs>
              <w:tab w:val="center" w:pos="2382"/>
            </w:tabs>
          </w:pPr>
        </w:p>
      </w:tc>
      <w:tc>
        <w:tcPr>
          <w:tcW w:w="721" w:type="dxa"/>
        </w:tcPr>
        <w:p w:rsidR="00912E34" w:rsidRPr="003D1008" w:rsidRDefault="00D0359B"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D0359B"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450EB9"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450EB9">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AA7" w:rsidRDefault="00087AA7" w:rsidP="00F657BF">
      <w:r>
        <w:separator/>
      </w:r>
    </w:p>
  </w:footnote>
  <w:footnote w:type="continuationSeparator" w:id="0">
    <w:p w:rsidR="00087AA7" w:rsidRDefault="00087AA7"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04704144-7FFB-4612-9332-E48AA19293F0}"/>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5E2614" w:rsidP="00A532F6">
              <w:pPr>
                <w:pStyle w:val="Page"/>
                <w:rPr>
                  <w:rFonts w:ascii="Gill Alt One MT Light" w:hAnsi="Gill Alt One MT Light"/>
                  <w:sz w:val="16"/>
                  <w:szCs w:val="16"/>
                </w:rPr>
              </w:pPr>
              <w:r>
                <w:rPr>
                  <w:rFonts w:ascii="Gill Alt One MT Light" w:hAnsi="Gill Alt One MT Light"/>
                  <w:sz w:val="16"/>
                  <w:szCs w:val="16"/>
                </w:rPr>
                <w:t>Dipartimento del territorio</w:t>
              </w:r>
            </w:p>
          </w:tc>
        </w:sdtContent>
      </w:sdt>
      <w:tc>
        <w:tcPr>
          <w:tcW w:w="1710" w:type="dxa"/>
          <w:tcBorders>
            <w:bottom w:val="single" w:sz="4" w:space="0" w:color="auto"/>
          </w:tcBorders>
          <w:vAlign w:val="bottom"/>
        </w:tcPr>
        <w:p w:rsidR="005012EC" w:rsidRPr="004204CB" w:rsidRDefault="00D0359B"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450EB9">
            <w:rPr>
              <w:noProof/>
              <w:sz w:val="24"/>
            </w:rPr>
            <w:t>9</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450EB9">
            <w:rPr>
              <w:noProof/>
              <w:sz w:val="24"/>
            </w:rPr>
            <w:t>21</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04704144-7FFB-4612-9332-E48AA19293F0}"/>
          <w:text w:multiLine="1"/>
        </w:sdtPr>
        <w:sdtEndPr/>
        <w:sdtContent>
          <w:tc>
            <w:tcPr>
              <w:tcW w:w="8383" w:type="dxa"/>
              <w:tcBorders>
                <w:left w:val="single" w:sz="4" w:space="0" w:color="auto"/>
              </w:tcBorders>
              <w:tcMar>
                <w:top w:w="0" w:type="dxa"/>
                <w:left w:w="142" w:type="dxa"/>
              </w:tcMar>
            </w:tcPr>
            <w:p w:rsidR="005012EC" w:rsidRPr="00E8185F" w:rsidRDefault="002B2CAB"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7864R / 7865R / 7866R / 7967R del 11 gennaio 2022</w:t>
              </w:r>
            </w:p>
          </w:tc>
        </w:sdtContent>
      </w:sdt>
      <w:tc>
        <w:tcPr>
          <w:tcW w:w="1710" w:type="dxa"/>
          <w:tcBorders>
            <w:top w:val="single" w:sz="4" w:space="0" w:color="auto"/>
          </w:tcBorders>
        </w:tcPr>
        <w:p w:rsidR="005012EC" w:rsidRPr="00E043A3" w:rsidRDefault="00450EB9" w:rsidP="00662409">
          <w:pPr>
            <w:pStyle w:val="InvisibleLine"/>
            <w:rPr>
              <w:lang w:val="de-DE"/>
            </w:rPr>
          </w:pPr>
        </w:p>
      </w:tc>
    </w:tr>
  </w:tbl>
  <w:p w:rsidR="00F657BF" w:rsidRPr="00980362" w:rsidRDefault="00D0359B"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04704144-7FFB-4612-9332-E48AA19293F0}"/>
                            <w:text w:multiLine="1"/>
                          </w:sdtPr>
                          <w:sdtEndPr/>
                          <w:sdtContent>
                            <w:p w:rsidR="008065E8" w:rsidRPr="00411371" w:rsidRDefault="00D0359B"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CF44194A-ED1A-435A-939B-3F42C433AE32}"/>
                      <w:text w:multiLine="1"/>
                    </w:sdtPr>
                    <w:sdtEndPr/>
                    <w:sdtContent>
                      <w:p w:rsidR="008065E8" w:rsidRPr="00411371" w:rsidRDefault="00D0359B"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856"/>
      <w:gridCol w:w="1984"/>
      <w:gridCol w:w="1086"/>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450EB9" w:rsidP="00D07D6E">
          <w:pPr>
            <w:pStyle w:val="InvisibleLine"/>
            <w:ind w:left="150"/>
            <w:rPr>
              <w:sz w:val="16"/>
            </w:rPr>
          </w:pPr>
        </w:p>
      </w:tc>
      <w:tc>
        <w:tcPr>
          <w:tcW w:w="373" w:type="pct"/>
          <w:tcBorders>
            <w:top w:val="nil"/>
            <w:bottom w:val="single" w:sz="4" w:space="0" w:color="auto"/>
          </w:tcBorders>
          <w:vAlign w:val="bottom"/>
        </w:tcPr>
        <w:p w:rsidR="00662409" w:rsidRPr="003108C0" w:rsidRDefault="00450EB9" w:rsidP="00D07D6E">
          <w:pPr>
            <w:pStyle w:val="Level"/>
            <w:ind w:left="150"/>
            <w:rPr>
              <w:sz w:val="16"/>
            </w:rPr>
          </w:pPr>
        </w:p>
      </w:tc>
      <w:tc>
        <w:tcPr>
          <w:tcW w:w="209" w:type="pct"/>
          <w:tcBorders>
            <w:top w:val="nil"/>
            <w:bottom w:val="single" w:sz="4" w:space="0" w:color="auto"/>
          </w:tcBorders>
        </w:tcPr>
        <w:p w:rsidR="00662409" w:rsidRDefault="00D0359B"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D0359B"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450EB9">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450EB9">
            <w:rPr>
              <w:rFonts w:asciiTheme="minorHAnsi" w:hAnsiTheme="minorHAnsi" w:cstheme="minorHAnsi"/>
              <w:noProof/>
              <w:sz w:val="24"/>
            </w:rPr>
            <w:t>21</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04704144-7FFB-4612-9332-E48AA19293F0}"/>
          <w:text w:multiLine="1"/>
        </w:sdtPr>
        <w:sdtEndPr/>
        <w:sdtContent>
          <w:tc>
            <w:tcPr>
              <w:tcW w:w="5000" w:type="pct"/>
              <w:gridSpan w:val="6"/>
              <w:tcBorders>
                <w:left w:val="nil"/>
                <w:right w:val="nil"/>
              </w:tcBorders>
              <w:noWrap/>
              <w:tcMar>
                <w:top w:w="0" w:type="dxa"/>
              </w:tcMar>
              <w:vAlign w:val="bottom"/>
            </w:tcPr>
            <w:p w:rsidR="00662409" w:rsidRPr="008C03B5" w:rsidRDefault="005E2614"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087AA7">
      <w:trPr>
        <w:trHeight w:hRule="exact" w:val="306"/>
      </w:trPr>
      <w:tc>
        <w:tcPr>
          <w:tcW w:w="919" w:type="pct"/>
          <w:tcBorders>
            <w:left w:val="nil"/>
            <w:bottom w:val="nil"/>
          </w:tcBorders>
          <w:noWrap/>
          <w:tcMar>
            <w:top w:w="57" w:type="dxa"/>
            <w:left w:w="142" w:type="dxa"/>
          </w:tcMar>
        </w:tcPr>
        <w:p w:rsidR="008C03B5" w:rsidRPr="00C7320A" w:rsidRDefault="00D0359B"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450EB9" w:rsidP="002B0F22">
          <w:pPr>
            <w:pStyle w:val="InvisibleLine"/>
            <w:spacing w:before="60"/>
            <w:rPr>
              <w:rFonts w:ascii="Gill Alt One MT Light" w:hAnsi="Gill Alt One MT Light"/>
              <w:sz w:val="16"/>
            </w:rPr>
          </w:pPr>
        </w:p>
      </w:tc>
      <w:tc>
        <w:tcPr>
          <w:tcW w:w="983" w:type="pct"/>
          <w:tcBorders>
            <w:bottom w:val="nil"/>
            <w:right w:val="single" w:sz="4" w:space="0" w:color="auto"/>
          </w:tcBorders>
          <w:noWrap/>
          <w:tcMar>
            <w:top w:w="57" w:type="dxa"/>
            <w:left w:w="142" w:type="dxa"/>
          </w:tcMar>
        </w:tcPr>
        <w:p w:rsidR="008C03B5" w:rsidRPr="00C7320A" w:rsidRDefault="00D0359B"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450EB9" w:rsidP="002B0F22">
          <w:pPr>
            <w:pStyle w:val="InvisibleLine"/>
            <w:spacing w:before="60"/>
            <w:rPr>
              <w:rFonts w:ascii="Gill Alt One MT Light" w:hAnsi="Gill Alt One MT Light"/>
              <w:sz w:val="16"/>
            </w:rPr>
          </w:pPr>
        </w:p>
      </w:tc>
      <w:tc>
        <w:tcPr>
          <w:tcW w:w="3098" w:type="pct"/>
          <w:gridSpan w:val="4"/>
          <w:tcBorders>
            <w:left w:val="single" w:sz="4" w:space="0" w:color="auto"/>
            <w:bottom w:val="nil"/>
            <w:right w:val="nil"/>
          </w:tcBorders>
          <w:noWrap/>
          <w:tcMar>
            <w:top w:w="0" w:type="dxa"/>
            <w:left w:w="142" w:type="dxa"/>
          </w:tcMar>
        </w:tcPr>
        <w:p w:rsidR="008C03B5" w:rsidRPr="00C7320A" w:rsidRDefault="00D0359B"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450EB9" w:rsidP="002B0F22">
          <w:pPr>
            <w:pStyle w:val="Level"/>
            <w:spacing w:before="60" w:line="240" w:lineRule="auto"/>
            <w:rPr>
              <w:rFonts w:ascii="Gill Alt One MT Light" w:hAnsi="Gill Alt One MT Light"/>
              <w:sz w:val="16"/>
            </w:rPr>
          </w:pPr>
        </w:p>
      </w:tc>
    </w:tr>
    <w:tr w:rsidR="008C03B5" w:rsidRPr="0004624C" w:rsidTr="00087AA7">
      <w:trPr>
        <w:trHeight w:hRule="exact" w:val="699"/>
      </w:trPr>
      <w:tc>
        <w:tcPr>
          <w:tcW w:w="919" w:type="pct"/>
          <w:tcBorders>
            <w:top w:val="nil"/>
            <w:left w:val="nil"/>
            <w:bottom w:val="single" w:sz="4" w:space="0" w:color="auto"/>
            <w:right w:val="nil"/>
          </w:tcBorders>
          <w:noWrap/>
          <w:tcMar>
            <w:top w:w="0" w:type="dxa"/>
          </w:tcMar>
        </w:tcPr>
        <w:p w:rsidR="008C03B5" w:rsidRPr="00450EB9" w:rsidRDefault="00450EB9" w:rsidP="00450EB9">
          <w:pPr>
            <w:pStyle w:val="InvisibleLine"/>
            <w:spacing w:line="280" w:lineRule="exact"/>
            <w:rPr>
              <w:rFonts w:cstheme="minorHAnsi"/>
              <w:b/>
              <w:sz w:val="23"/>
              <w:szCs w:val="23"/>
            </w:rPr>
          </w:pPr>
          <w:sdt>
            <w:sdtPr>
              <w:rPr>
                <w:rFonts w:cstheme="minorHAnsi"/>
                <w:b/>
                <w:sz w:val="23"/>
                <w:szCs w:val="23"/>
              </w:rPr>
              <w:alias w:val="DocParam.Number"/>
              <w:id w:val="614175640"/>
              <w:dataBinding w:xpath="//Text[@id='DocParam.Number']" w:storeItemID="{04704144-7FFB-4612-9332-E48AA19293F0}"/>
              <w:text w:multiLine="1"/>
            </w:sdtPr>
            <w:sdtEndPr/>
            <w:sdtContent>
              <w:r w:rsidR="005567DD" w:rsidRPr="00450EB9">
                <w:rPr>
                  <w:rFonts w:cstheme="minorHAnsi"/>
                  <w:b/>
                  <w:sz w:val="23"/>
                  <w:szCs w:val="23"/>
                </w:rPr>
                <w:t>7864</w:t>
              </w:r>
              <w:r w:rsidRPr="00450EB9">
                <w:rPr>
                  <w:rFonts w:cstheme="minorHAnsi"/>
                  <w:b/>
                  <w:sz w:val="23"/>
                  <w:szCs w:val="23"/>
                </w:rPr>
                <w:t xml:space="preserve"> </w:t>
              </w:r>
              <w:r w:rsidR="005567DD" w:rsidRPr="00450EB9">
                <w:rPr>
                  <w:rFonts w:cstheme="minorHAnsi"/>
                  <w:b/>
                  <w:sz w:val="23"/>
                  <w:szCs w:val="23"/>
                </w:rPr>
                <w:t>R / 7865</w:t>
              </w:r>
              <w:r w:rsidRPr="00450EB9">
                <w:rPr>
                  <w:rFonts w:cstheme="minorHAnsi"/>
                  <w:b/>
                  <w:sz w:val="23"/>
                  <w:szCs w:val="23"/>
                </w:rPr>
                <w:t xml:space="preserve"> </w:t>
              </w:r>
              <w:r w:rsidR="005567DD" w:rsidRPr="00450EB9">
                <w:rPr>
                  <w:rFonts w:cstheme="minorHAnsi"/>
                  <w:b/>
                  <w:sz w:val="23"/>
                  <w:szCs w:val="23"/>
                </w:rPr>
                <w:t>R 7866</w:t>
              </w:r>
              <w:r w:rsidRPr="00450EB9">
                <w:rPr>
                  <w:rFonts w:cstheme="minorHAnsi"/>
                  <w:b/>
                  <w:sz w:val="23"/>
                  <w:szCs w:val="23"/>
                </w:rPr>
                <w:t xml:space="preserve"> </w:t>
              </w:r>
              <w:r w:rsidR="005567DD" w:rsidRPr="00450EB9">
                <w:rPr>
                  <w:rFonts w:cstheme="minorHAnsi"/>
                  <w:b/>
                  <w:sz w:val="23"/>
                  <w:szCs w:val="23"/>
                </w:rPr>
                <w:t xml:space="preserve">R / </w:t>
              </w:r>
              <w:r w:rsidR="001A156E" w:rsidRPr="00450EB9">
                <w:rPr>
                  <w:rFonts w:cstheme="minorHAnsi"/>
                  <w:b/>
                  <w:sz w:val="23"/>
                  <w:szCs w:val="23"/>
                </w:rPr>
                <w:t>7967</w:t>
              </w:r>
              <w:r>
                <w:rPr>
                  <w:rFonts w:cstheme="minorHAnsi"/>
                  <w:b/>
                  <w:sz w:val="23"/>
                  <w:szCs w:val="23"/>
                </w:rPr>
                <w:t xml:space="preserve"> </w:t>
              </w:r>
              <w:r w:rsidR="005567DD" w:rsidRPr="00450EB9">
                <w:rPr>
                  <w:rFonts w:cstheme="minorHAnsi"/>
                  <w:b/>
                  <w:sz w:val="23"/>
                  <w:szCs w:val="23"/>
                </w:rPr>
                <w:t>R</w:t>
              </w:r>
            </w:sdtContent>
          </w:sdt>
        </w:p>
      </w:tc>
      <w:sdt>
        <w:sdtPr>
          <w:rPr>
            <w:sz w:val="24"/>
          </w:rPr>
          <w:alias w:val="DocParam.Date"/>
          <w:id w:val="-464426178"/>
          <w:dataBinding w:xpath="//DateTime[@id='DocParam.Date']" w:storeItemID="{04704144-7FFB-4612-9332-E48AA19293F0}"/>
          <w:date w:fullDate="2022-01-11T01:00:00Z">
            <w:dateFormat w:val="d MMMM yyyy"/>
            <w:lid w:val="it-CH"/>
            <w:storeMappedDataAs w:val="dateTime"/>
            <w:calendar w:val="gregorian"/>
          </w:date>
        </w:sdtPr>
        <w:sdtEndPr>
          <w:rPr>
            <w:sz w:val="22"/>
          </w:rPr>
        </w:sdtEndPr>
        <w:sdtContent>
          <w:tc>
            <w:tcPr>
              <w:tcW w:w="983" w:type="pct"/>
              <w:tcBorders>
                <w:top w:val="nil"/>
                <w:left w:val="nil"/>
                <w:bottom w:val="single" w:sz="4" w:space="0" w:color="auto"/>
                <w:right w:val="nil"/>
              </w:tcBorders>
              <w:noWrap/>
              <w:tcMar>
                <w:top w:w="0" w:type="dxa"/>
              </w:tcMar>
            </w:tcPr>
            <w:p w:rsidR="008C03B5" w:rsidRPr="002A0371" w:rsidRDefault="005E2614" w:rsidP="00A532F6">
              <w:pPr>
                <w:pStyle w:val="Data"/>
              </w:pPr>
              <w:r>
                <w:rPr>
                  <w:sz w:val="24"/>
                </w:rPr>
                <w:t>11 gennaio 2022</w:t>
              </w:r>
            </w:p>
          </w:tc>
        </w:sdtContent>
      </w:sdt>
      <w:tc>
        <w:tcPr>
          <w:tcW w:w="3098" w:type="pct"/>
          <w:gridSpan w:val="4"/>
          <w:tcBorders>
            <w:top w:val="nil"/>
            <w:left w:val="nil"/>
            <w:bottom w:val="nil"/>
            <w:right w:val="nil"/>
          </w:tcBorders>
        </w:tcPr>
        <w:p w:rsidR="008C03B5" w:rsidRPr="00BE22A2" w:rsidRDefault="00450EB9"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04704144-7FFB-4612-9332-E48AA19293F0}"/>
              <w:text w:multiLine="1"/>
            </w:sdtPr>
            <w:sdtEndPr/>
            <w:sdtContent>
              <w:r w:rsidR="005E2614">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450EB9" w:rsidP="00D07D6E">
          <w:pPr>
            <w:pStyle w:val="Level"/>
            <w:ind w:left="150"/>
            <w:rPr>
              <w:rFonts w:ascii="Gill Alt One MT Light" w:hAnsi="Gill Alt One MT Light"/>
              <w:sz w:val="16"/>
              <w:szCs w:val="16"/>
            </w:rPr>
          </w:pPr>
        </w:p>
      </w:tc>
    </w:tr>
  </w:tbl>
  <w:p w:rsidR="00F657BF" w:rsidRPr="00DA2879" w:rsidRDefault="00D0359B"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04704144-7FFB-4612-9332-E48AA19293F0}"/>
                            <w:text w:multiLine="1"/>
                          </w:sdtPr>
                          <w:sdtEndPr/>
                          <w:sdtContent>
                            <w:p w:rsidR="00E93620" w:rsidRPr="00411371" w:rsidRDefault="00D0359B"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CF44194A-ED1A-435A-939B-3F42C433AE32}"/>
                      <w:text w:multiLine="1"/>
                    </w:sdtPr>
                    <w:sdtEndPr/>
                    <w:sdtContent>
                      <w:p w:rsidR="00E93620" w:rsidRPr="00411371" w:rsidRDefault="00D0359B"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C4901"/>
    <w:multiLevelType w:val="hybridMultilevel"/>
    <w:tmpl w:val="D6EA47BC"/>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00F74043"/>
    <w:multiLevelType w:val="multilevel"/>
    <w:tmpl w:val="51186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DC67A6"/>
    <w:multiLevelType w:val="multilevel"/>
    <w:tmpl w:val="B6D24564"/>
    <w:lvl w:ilvl="0">
      <w:start w:val="1"/>
      <w:numFmt w:val="decimal"/>
      <w:lvlText w:val="%1."/>
      <w:lvlJc w:val="left"/>
      <w:pPr>
        <w:tabs>
          <w:tab w:val="num" w:pos="644"/>
        </w:tabs>
        <w:ind w:left="644" w:hanging="360"/>
      </w:pPr>
    </w:lvl>
    <w:lvl w:ilvl="1">
      <w:numFmt w:val="bullet"/>
      <w:lvlText w:val=""/>
      <w:lvlJc w:val="left"/>
      <w:pPr>
        <w:ind w:left="1440" w:hanging="360"/>
      </w:pPr>
      <w:rPr>
        <w:rFonts w:ascii="Symbol" w:eastAsia="Times New Roman" w:hAnsi="Symbo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16CC4DD0"/>
    <w:multiLevelType w:val="hybridMultilevel"/>
    <w:tmpl w:val="D2D855A8"/>
    <w:lvl w:ilvl="0" w:tplc="7B365A96">
      <w:start w:val="1"/>
      <w:numFmt w:val="decimal"/>
      <w:lvlText w:val="%1."/>
      <w:lvlJc w:val="left"/>
      <w:pPr>
        <w:ind w:left="720" w:hanging="360"/>
      </w:pPr>
      <w:rPr>
        <w:rFonts w:ascii="Helvetica" w:hAnsi="Helvetica" w:cs="Times New Roman" w:hint="default"/>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2E924AA4"/>
    <w:multiLevelType w:val="hybridMultilevel"/>
    <w:tmpl w:val="F70C5184"/>
    <w:lvl w:ilvl="0" w:tplc="22CEA24E">
      <w:start w:val="6"/>
      <w:numFmt w:val="bullet"/>
      <w:lvlText w:val="-"/>
      <w:lvlJc w:val="left"/>
      <w:pPr>
        <w:ind w:left="1070" w:hanging="360"/>
      </w:pPr>
      <w:rPr>
        <w:rFonts w:ascii="Arial" w:eastAsia="Calibri" w:hAnsi="Arial" w:cs="Arial" w:hint="default"/>
      </w:rPr>
    </w:lvl>
    <w:lvl w:ilvl="1" w:tplc="08100003">
      <w:start w:val="1"/>
      <w:numFmt w:val="bullet"/>
      <w:lvlText w:val="o"/>
      <w:lvlJc w:val="left"/>
      <w:pPr>
        <w:ind w:left="1788" w:hanging="360"/>
      </w:pPr>
      <w:rPr>
        <w:rFonts w:ascii="Courier New" w:hAnsi="Courier New" w:cs="Courier New" w:hint="default"/>
      </w:rPr>
    </w:lvl>
    <w:lvl w:ilvl="2" w:tplc="08100005">
      <w:start w:val="1"/>
      <w:numFmt w:val="bullet"/>
      <w:lvlText w:val=""/>
      <w:lvlJc w:val="left"/>
      <w:pPr>
        <w:ind w:left="2508" w:hanging="360"/>
      </w:pPr>
      <w:rPr>
        <w:rFonts w:ascii="Wingdings" w:hAnsi="Wingdings" w:hint="default"/>
      </w:rPr>
    </w:lvl>
    <w:lvl w:ilvl="3" w:tplc="08100001">
      <w:start w:val="1"/>
      <w:numFmt w:val="bullet"/>
      <w:lvlText w:val=""/>
      <w:lvlJc w:val="left"/>
      <w:pPr>
        <w:ind w:left="3228" w:hanging="360"/>
      </w:pPr>
      <w:rPr>
        <w:rFonts w:ascii="Symbol" w:hAnsi="Symbol" w:hint="default"/>
      </w:rPr>
    </w:lvl>
    <w:lvl w:ilvl="4" w:tplc="08100003">
      <w:start w:val="1"/>
      <w:numFmt w:val="bullet"/>
      <w:lvlText w:val="o"/>
      <w:lvlJc w:val="left"/>
      <w:pPr>
        <w:ind w:left="3948" w:hanging="360"/>
      </w:pPr>
      <w:rPr>
        <w:rFonts w:ascii="Courier New" w:hAnsi="Courier New" w:cs="Courier New" w:hint="default"/>
      </w:rPr>
    </w:lvl>
    <w:lvl w:ilvl="5" w:tplc="08100005">
      <w:start w:val="1"/>
      <w:numFmt w:val="bullet"/>
      <w:lvlText w:val=""/>
      <w:lvlJc w:val="left"/>
      <w:pPr>
        <w:ind w:left="4668" w:hanging="360"/>
      </w:pPr>
      <w:rPr>
        <w:rFonts w:ascii="Wingdings" w:hAnsi="Wingdings" w:hint="default"/>
      </w:rPr>
    </w:lvl>
    <w:lvl w:ilvl="6" w:tplc="08100001">
      <w:start w:val="1"/>
      <w:numFmt w:val="bullet"/>
      <w:lvlText w:val=""/>
      <w:lvlJc w:val="left"/>
      <w:pPr>
        <w:ind w:left="5388" w:hanging="360"/>
      </w:pPr>
      <w:rPr>
        <w:rFonts w:ascii="Symbol" w:hAnsi="Symbol" w:hint="default"/>
      </w:rPr>
    </w:lvl>
    <w:lvl w:ilvl="7" w:tplc="08100003">
      <w:start w:val="1"/>
      <w:numFmt w:val="bullet"/>
      <w:lvlText w:val="o"/>
      <w:lvlJc w:val="left"/>
      <w:pPr>
        <w:ind w:left="6108" w:hanging="360"/>
      </w:pPr>
      <w:rPr>
        <w:rFonts w:ascii="Courier New" w:hAnsi="Courier New" w:cs="Courier New" w:hint="default"/>
      </w:rPr>
    </w:lvl>
    <w:lvl w:ilvl="8" w:tplc="08100005">
      <w:start w:val="1"/>
      <w:numFmt w:val="bullet"/>
      <w:lvlText w:val=""/>
      <w:lvlJc w:val="left"/>
      <w:pPr>
        <w:ind w:left="6828" w:hanging="360"/>
      </w:pPr>
      <w:rPr>
        <w:rFonts w:ascii="Wingdings" w:hAnsi="Wingdings" w:hint="default"/>
      </w:rPr>
    </w:lvl>
  </w:abstractNum>
  <w:abstractNum w:abstractNumId="19" w15:restartNumberingAfterBreak="0">
    <w:nsid w:val="307C36A2"/>
    <w:multiLevelType w:val="hybridMultilevel"/>
    <w:tmpl w:val="5FC439D8"/>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15:restartNumberingAfterBreak="0">
    <w:nsid w:val="311D6012"/>
    <w:multiLevelType w:val="hybridMultilevel"/>
    <w:tmpl w:val="A796CE6A"/>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3293012A"/>
    <w:multiLevelType w:val="hybridMultilevel"/>
    <w:tmpl w:val="C8482920"/>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2"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37D1188C"/>
    <w:multiLevelType w:val="hybridMultilevel"/>
    <w:tmpl w:val="EAE25DD0"/>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41050E6D"/>
    <w:multiLevelType w:val="hybridMultilevel"/>
    <w:tmpl w:val="616A82FE"/>
    <w:lvl w:ilvl="0" w:tplc="7B365A96">
      <w:start w:val="1"/>
      <w:numFmt w:val="decimal"/>
      <w:lvlText w:val="%1."/>
      <w:lvlJc w:val="left"/>
      <w:pPr>
        <w:ind w:left="720" w:hanging="360"/>
      </w:pPr>
      <w:rPr>
        <w:rFonts w:ascii="Helvetica" w:hAnsi="Helvetica" w:cs="Times New Roman" w:hint="default"/>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4CF69A7"/>
    <w:multiLevelType w:val="hybridMultilevel"/>
    <w:tmpl w:val="D5C0A09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7" w15:restartNumberingAfterBreak="0">
    <w:nsid w:val="49D524CC"/>
    <w:multiLevelType w:val="multilevel"/>
    <w:tmpl w:val="953CA1B2"/>
    <w:numStyleLink w:val="HeadingList"/>
  </w:abstractNum>
  <w:abstractNum w:abstractNumId="28" w15:restartNumberingAfterBreak="0">
    <w:nsid w:val="4A26451F"/>
    <w:multiLevelType w:val="multilevel"/>
    <w:tmpl w:val="11FA0E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36292A"/>
    <w:multiLevelType w:val="hybridMultilevel"/>
    <w:tmpl w:val="AFC460A6"/>
    <w:lvl w:ilvl="0" w:tplc="08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2F95CF6"/>
    <w:multiLevelType w:val="multilevel"/>
    <w:tmpl w:val="3B96744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4EE6885"/>
    <w:multiLevelType w:val="hybridMultilevel"/>
    <w:tmpl w:val="21FAB750"/>
    <w:lvl w:ilvl="0" w:tplc="08100001">
      <w:start w:val="1"/>
      <w:numFmt w:val="bullet"/>
      <w:lvlText w:val=""/>
      <w:lvlJc w:val="left"/>
      <w:pPr>
        <w:ind w:left="780" w:hanging="360"/>
      </w:pPr>
      <w:rPr>
        <w:rFonts w:ascii="Symbol" w:hAnsi="Symbol" w:hint="default"/>
      </w:rPr>
    </w:lvl>
    <w:lvl w:ilvl="1" w:tplc="08100003">
      <w:start w:val="1"/>
      <w:numFmt w:val="bullet"/>
      <w:lvlText w:val="o"/>
      <w:lvlJc w:val="left"/>
      <w:pPr>
        <w:ind w:left="1500" w:hanging="360"/>
      </w:pPr>
      <w:rPr>
        <w:rFonts w:ascii="Courier New" w:hAnsi="Courier New" w:cs="Courier New" w:hint="default"/>
      </w:rPr>
    </w:lvl>
    <w:lvl w:ilvl="2" w:tplc="08100005">
      <w:start w:val="1"/>
      <w:numFmt w:val="bullet"/>
      <w:lvlText w:val=""/>
      <w:lvlJc w:val="left"/>
      <w:pPr>
        <w:ind w:left="2220" w:hanging="360"/>
      </w:pPr>
      <w:rPr>
        <w:rFonts w:ascii="Wingdings" w:hAnsi="Wingdings" w:hint="default"/>
      </w:rPr>
    </w:lvl>
    <w:lvl w:ilvl="3" w:tplc="08100001">
      <w:start w:val="1"/>
      <w:numFmt w:val="bullet"/>
      <w:lvlText w:val=""/>
      <w:lvlJc w:val="left"/>
      <w:pPr>
        <w:ind w:left="2940" w:hanging="360"/>
      </w:pPr>
      <w:rPr>
        <w:rFonts w:ascii="Symbol" w:hAnsi="Symbol" w:hint="default"/>
      </w:rPr>
    </w:lvl>
    <w:lvl w:ilvl="4" w:tplc="08100003">
      <w:start w:val="1"/>
      <w:numFmt w:val="bullet"/>
      <w:lvlText w:val="o"/>
      <w:lvlJc w:val="left"/>
      <w:pPr>
        <w:ind w:left="3660" w:hanging="360"/>
      </w:pPr>
      <w:rPr>
        <w:rFonts w:ascii="Courier New" w:hAnsi="Courier New" w:cs="Courier New" w:hint="default"/>
      </w:rPr>
    </w:lvl>
    <w:lvl w:ilvl="5" w:tplc="08100005">
      <w:start w:val="1"/>
      <w:numFmt w:val="bullet"/>
      <w:lvlText w:val=""/>
      <w:lvlJc w:val="left"/>
      <w:pPr>
        <w:ind w:left="4380" w:hanging="360"/>
      </w:pPr>
      <w:rPr>
        <w:rFonts w:ascii="Wingdings" w:hAnsi="Wingdings" w:hint="default"/>
      </w:rPr>
    </w:lvl>
    <w:lvl w:ilvl="6" w:tplc="08100001">
      <w:start w:val="1"/>
      <w:numFmt w:val="bullet"/>
      <w:lvlText w:val=""/>
      <w:lvlJc w:val="left"/>
      <w:pPr>
        <w:ind w:left="5100" w:hanging="360"/>
      </w:pPr>
      <w:rPr>
        <w:rFonts w:ascii="Symbol" w:hAnsi="Symbol" w:hint="default"/>
      </w:rPr>
    </w:lvl>
    <w:lvl w:ilvl="7" w:tplc="08100003">
      <w:start w:val="1"/>
      <w:numFmt w:val="bullet"/>
      <w:lvlText w:val="o"/>
      <w:lvlJc w:val="left"/>
      <w:pPr>
        <w:ind w:left="5820" w:hanging="360"/>
      </w:pPr>
      <w:rPr>
        <w:rFonts w:ascii="Courier New" w:hAnsi="Courier New" w:cs="Courier New" w:hint="default"/>
      </w:rPr>
    </w:lvl>
    <w:lvl w:ilvl="8" w:tplc="08100005">
      <w:start w:val="1"/>
      <w:numFmt w:val="bullet"/>
      <w:lvlText w:val=""/>
      <w:lvlJc w:val="left"/>
      <w:pPr>
        <w:ind w:left="6540" w:hanging="360"/>
      </w:pPr>
      <w:rPr>
        <w:rFonts w:ascii="Wingdings" w:hAnsi="Wingdings" w:hint="default"/>
      </w:rPr>
    </w:lvl>
  </w:abstractNum>
  <w:abstractNum w:abstractNumId="32" w15:restartNumberingAfterBreak="0">
    <w:nsid w:val="571A3707"/>
    <w:multiLevelType w:val="multilevel"/>
    <w:tmpl w:val="AB7433B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9167897"/>
    <w:multiLevelType w:val="hybridMultilevel"/>
    <w:tmpl w:val="143E0AC8"/>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34" w15:restartNumberingAfterBreak="0">
    <w:nsid w:val="659560C0"/>
    <w:multiLevelType w:val="hybridMultilevel"/>
    <w:tmpl w:val="05FAC57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5" w15:restartNumberingAfterBreak="0">
    <w:nsid w:val="6D406C33"/>
    <w:multiLevelType w:val="multilevel"/>
    <w:tmpl w:val="7DBE81DC"/>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4B640A1"/>
    <w:multiLevelType w:val="multilevel"/>
    <w:tmpl w:val="6546971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7B413CE8"/>
    <w:multiLevelType w:val="hybridMultilevel"/>
    <w:tmpl w:val="F9385F3A"/>
    <w:lvl w:ilvl="0" w:tplc="8BB65AB0">
      <w:start w:val="1"/>
      <w:numFmt w:val="decimal"/>
      <w:lvlText w:val="%1."/>
      <w:lvlJc w:val="left"/>
      <w:pPr>
        <w:ind w:left="1069" w:hanging="360"/>
      </w:pPr>
      <w:rPr>
        <w:rFonts w:ascii="Arial" w:hAnsi="Arial" w:cs="Arial" w:hint="default"/>
        <w:b/>
        <w:color w:val="auto"/>
      </w:r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num w:numId="1">
    <w:abstractNumId w:val="15"/>
  </w:num>
  <w:num w:numId="2">
    <w:abstractNumId w:val="27"/>
    <w:lvlOverride w:ilvl="0">
      <w:lvl w:ilvl="0">
        <w:start w:val="1"/>
        <w:numFmt w:val="decimal"/>
        <w:lvlText w:val="%1"/>
        <w:lvlJc w:val="left"/>
        <w:pPr>
          <w:ind w:left="363" w:hanging="363"/>
        </w:pPr>
        <w:rPr>
          <w:rFonts w:ascii="Arial" w:hAnsi="Arial" w:cs="Arial" w:hint="default"/>
        </w:rPr>
      </w:lvl>
    </w:lvlOverride>
  </w:num>
  <w:num w:numId="3">
    <w:abstractNumId w:val="13"/>
  </w:num>
  <w:num w:numId="4">
    <w:abstractNumId w:val="26"/>
  </w:num>
  <w:num w:numId="5">
    <w:abstractNumId w:val="22"/>
  </w:num>
  <w:num w:numId="6">
    <w:abstractNumId w:val="16"/>
  </w:num>
  <w:num w:numId="7">
    <w:abstractNumId w:val="17"/>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4"/>
  </w:num>
  <w:num w:numId="19">
    <w:abstractNumId w:val="29"/>
  </w:num>
  <w:num w:numId="20">
    <w:abstractNumId w:val="25"/>
  </w:num>
  <w:num w:numId="21">
    <w:abstractNumId w:val="21"/>
  </w:num>
  <w:num w:numId="22">
    <w:abstractNumId w:val="20"/>
  </w:num>
  <w:num w:numId="23">
    <w:abstractNumId w:val="19"/>
  </w:num>
  <w:num w:numId="24">
    <w:abstractNumId w:val="10"/>
  </w:num>
  <w:num w:numId="25">
    <w:abstractNumId w:val="23"/>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11"/>
    <w:lvlOverride w:ilvl="0"/>
    <w:lvlOverride w:ilvl="1">
      <w:startOverride w:val="1"/>
    </w:lvlOverride>
    <w:lvlOverride w:ilvl="2"/>
    <w:lvlOverride w:ilvl="3"/>
    <w:lvlOverride w:ilvl="4"/>
    <w:lvlOverride w:ilvl="5"/>
    <w:lvlOverride w:ilvl="6"/>
    <w:lvlOverride w:ilvl="7"/>
    <w:lvlOverride w:ilvl="8"/>
  </w:num>
  <w:num w:numId="31">
    <w:abstractNumId w:val="18"/>
  </w:num>
  <w:num w:numId="32">
    <w:abstractNumId w:val="31"/>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A7"/>
    <w:rsid w:val="00041446"/>
    <w:rsid w:val="00087AA7"/>
    <w:rsid w:val="0019709E"/>
    <w:rsid w:val="001A156E"/>
    <w:rsid w:val="001E418B"/>
    <w:rsid w:val="001F2569"/>
    <w:rsid w:val="00236B79"/>
    <w:rsid w:val="002B2CAB"/>
    <w:rsid w:val="002B5D9F"/>
    <w:rsid w:val="003006C7"/>
    <w:rsid w:val="0039456B"/>
    <w:rsid w:val="003B756D"/>
    <w:rsid w:val="003F15EC"/>
    <w:rsid w:val="00403ADB"/>
    <w:rsid w:val="00450EB9"/>
    <w:rsid w:val="004903FE"/>
    <w:rsid w:val="004A1E3C"/>
    <w:rsid w:val="00526CF4"/>
    <w:rsid w:val="005567DD"/>
    <w:rsid w:val="00572FD3"/>
    <w:rsid w:val="00585ED2"/>
    <w:rsid w:val="005E2614"/>
    <w:rsid w:val="005F335F"/>
    <w:rsid w:val="006213DA"/>
    <w:rsid w:val="00723EA3"/>
    <w:rsid w:val="007A3BAC"/>
    <w:rsid w:val="007F70C8"/>
    <w:rsid w:val="008720C4"/>
    <w:rsid w:val="008D4C00"/>
    <w:rsid w:val="008F52AF"/>
    <w:rsid w:val="00930CE2"/>
    <w:rsid w:val="00934F35"/>
    <w:rsid w:val="00982750"/>
    <w:rsid w:val="009C5E5A"/>
    <w:rsid w:val="00AC7735"/>
    <w:rsid w:val="00AF0268"/>
    <w:rsid w:val="00B024FA"/>
    <w:rsid w:val="00BC709F"/>
    <w:rsid w:val="00BF0A1F"/>
    <w:rsid w:val="00CA4B94"/>
    <w:rsid w:val="00CB69CD"/>
    <w:rsid w:val="00CE1DBA"/>
    <w:rsid w:val="00D0359B"/>
    <w:rsid w:val="00D33940"/>
    <w:rsid w:val="00D600FD"/>
    <w:rsid w:val="00D649A8"/>
    <w:rsid w:val="00DC06B2"/>
    <w:rsid w:val="00E71C83"/>
    <w:rsid w:val="00EB088A"/>
    <w:rsid w:val="00EB67B7"/>
    <w:rsid w:val="00ED5B7E"/>
    <w:rsid w:val="00F657BF"/>
    <w:rsid w:val="00F7068A"/>
    <w:rsid w:val="00FC50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A855D33"/>
  <w15:docId w15:val="{10136D1A-B08B-4952-8ADD-FAC39CDF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pPr>
      <w:suppressAutoHyphens/>
      <w:spacing w:after="0"/>
      <w:jc w:val="both"/>
    </w:pPr>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526CF4"/>
    <w:pPr>
      <w:tabs>
        <w:tab w:val="left" w:pos="284"/>
        <w:tab w:val="right" w:leader="dot" w:pos="9072"/>
      </w:tabs>
      <w:spacing w:before="120" w:after="120"/>
      <w:ind w:left="284" w:right="567" w:hanging="284"/>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after="0"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spacing w:after="0"/>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character" w:styleId="Collegamentoipertestuale">
    <w:name w:val="Hyperlink"/>
    <w:basedOn w:val="Carpredefinitoparagrafo"/>
    <w:uiPriority w:val="99"/>
    <w:unhideWhenUsed/>
    <w:rsid w:val="00041446"/>
    <w:rPr>
      <w:color w:val="0000FF" w:themeColor="hyperlink"/>
      <w:u w:val="single"/>
    </w:rPr>
  </w:style>
  <w:style w:type="paragraph" w:styleId="Testofumetto">
    <w:name w:val="Balloon Text"/>
    <w:basedOn w:val="Normale"/>
    <w:link w:val="TestofumettoCarattere"/>
    <w:uiPriority w:val="99"/>
    <w:semiHidden/>
    <w:unhideWhenUsed/>
    <w:rsid w:val="0098275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2750"/>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1216577296">
      <w:bodyDiv w:val="1"/>
      <w:marLeft w:val="0"/>
      <w:marRight w:val="0"/>
      <w:marTop w:val="0"/>
      <w:marBottom w:val="0"/>
      <w:divBdr>
        <w:top w:val="none" w:sz="0" w:space="0" w:color="auto"/>
        <w:left w:val="none" w:sz="0" w:space="0" w:color="auto"/>
        <w:bottom w:val="none" w:sz="0" w:space="0" w:color="auto"/>
        <w:right w:val="none" w:sz="0" w:space="0" w:color="auto"/>
      </w:divBdr>
    </w:div>
    <w:div w:id="140437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bger.ch/ext/eurospider/live/fr/php/aza/http/index.php?lang=fr&amp;type=highlight_simple_similar_documents&amp;page=1&amp;from_date=&amp;to_date=&amp;sort=relevance&amp;insertion_date=&amp;top_subcollection_aza=all&amp;docid=atf%3A%2F%2F144-I-81&amp;rank=6&amp;azaclir=aza&amp;highlight_docid=aza%3A%2F%2F25-03-2020-2C_749-2016&amp;number_of_ranks=4453"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var\folders\rn\yjsgnlj92xg7sl8n5ptj4xqr0000gn\T\com.microsoft.Word\WebArchiveCopyPasteTempFiles\displayimage.php%3fid=2020-03-25-2C_749-2016.1&amp;type=gi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2573e6a0-dd05-4c7e-8a85-554338207896.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1 6 " ? > < O n e O f f i x x D o c u m e n t P a r t   x m l n s : x s i = " h t t p : / / w w w . w 3 . o r g / 2 0 0 1 / X M L S c h e m a - i n s t a n c e "   x m l n s : x s d = " h t t p : / / w w w . w 3 . o r g / 2 0 0 1 / X M L S c h e m a "   i d = " 2 a 8 d 8 1 f 4 - f 2 7 b - 4 7 a 8 - 8 a 8 2 - 9 d c d c c 2 9 d 2 3 f "   t I d = " a 3 6 2 a 5 d 4 - 9 5 8 9 - 4 1 b f - a 4 e 6 - 4 f 8 7 c 4 e 4 1 2 3 9 "   i n t e r n a l T I d = " 9 0 6 4 c c 7 f - 3 1 6 d - 4 6 b 1 - a 4 a c - 7 4 8 6 0 c 3 f 8 a 5 b "   m t I d = " 2 7 5 a f 3 2 e - b c 4 0 - 4 5 c 2 - 8 5 b 7 - a f b 1 c 0 3 8 2 6 5 3 "   r e v i s i o n = " 0 "   c r e a t e d m a j o r v e r s i o n = " 0 "   c r e a t e d m i n o r v e r s i o n = " 0 "   c r e a t e d = " 2 0 2 2 - 0 1 - 1 2 T 1 0 : 1 3 : 3 1 . 8 5 9 1 5 7 6 Z "   m o d i f i e d m a j o r v e r s i o n = " 0 "   m o d i f i e d m i n o r v e r s i o n = " 0 "   m o d i f i e d = " 0 0 0 1 - 0 1 - 0 1 T 0 0 : 0 0 : 0 0 "   p r o f i l e = " 6 8 0 1 a d 3 e - 7 c c d - 4 d d 4 - a b e 3 - 5 8 7 f 4 7 3 6 f 2 b 7 "   m o d e = " S a v e d D o c u m e n t "   c o l o r m o d e = " C o l o r "   l c i d = " 2 0 6 4 "   x m l n s = " h t t p : / / s c h e m a . o n e o f f i x x . c o m / O n e O f f i x x D o c u m e n t P a r t / 1 " >  
     < C o n t e n t >  
         < D a t a M o d e l   x m l n s = " " >  
             < S c r i p t i n g > 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7 8 6 4 R   /   7 8 6 5 R   /   7 8 6 6 R   /   7 9 6 7 R   d e l   1 1   g e n n a i o   2 0 2 2 ] ] > < / T e x t >  
             < / S c r i p t i n g >  
             < P r o f i l e >  
                 < T e x t   i d = " P r o f i l e . I d "   l a b e l = " P r o f i l e . I d " > < ! [ C D A T A [ 6 8 0 1 a d 3 e - 7 c c d - 4 d d 4 - a b e 3 - 5 8 7 f 4 7 3 6 f 2 b 7 ] ] > < / 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 2 0 2 2 - 0 1 - 1 1 T 0 0 : 0 0 : 0 0 Z < / D a t e T i m e >  
                 < T e x t   i d = " D o c P a r a m . N u m b e r " > 7 8 6 4   R   /   7 8 6 5   R   7 8 6 6   R   /   7 9 6 7 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Props1.xml><?xml version="1.0" encoding="utf-8"?>
<ds:datastoreItem xmlns:ds="http://schemas.openxmlformats.org/officeDocument/2006/customXml" ds:itemID="{04704144-7FFB-4612-9332-E48AA19293F0}">
  <ds:schemaRefs>
    <ds:schemaRef ds:uri="http://www.w3.org/2001/XMLSchema"/>
    <ds:schemaRef ds:uri="http://schema.oneoffixx.com/OneOffixxDocumentPart/1"/>
    <ds:schemaRef ds:uri=""/>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23888229-B76B-44B9-A839-14A6389B150A}">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docProps/app.xml><?xml version="1.0" encoding="utf-8"?>
<Properties xmlns="http://schemas.openxmlformats.org/officeDocument/2006/extended-properties" xmlns:vt="http://schemas.openxmlformats.org/officeDocument/2006/docPropsVTypes">
  <Template>2573e6a0-dd05-4c7e-8a85-554338207896.dotx</Template>
  <TotalTime>186</TotalTime>
  <Pages>21</Pages>
  <Words>5677</Words>
  <Characters>32365</Characters>
  <Application>Microsoft Office Word</Application>
  <DocSecurity>0</DocSecurity>
  <Lines>269</Lines>
  <Paragraphs>75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Morandi Marisa</cp:lastModifiedBy>
  <cp:revision>30</cp:revision>
  <cp:lastPrinted>2022-02-04T14:08:00Z</cp:lastPrinted>
  <dcterms:created xsi:type="dcterms:W3CDTF">2022-01-12T10:14:00Z</dcterms:created>
  <dcterms:modified xsi:type="dcterms:W3CDTF">2022-02-04T14:12:00Z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