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A7" w:rsidRPr="0070711C" w:rsidRDefault="002D29A7" w:rsidP="002D29A7">
      <w:pPr>
        <w:rPr>
          <w:rFonts w:cs="Arial"/>
          <w:b/>
          <w:sz w:val="28"/>
          <w:szCs w:val="28"/>
        </w:rPr>
      </w:pPr>
      <w:r w:rsidRPr="0070711C">
        <w:rPr>
          <w:rFonts w:cs="Arial"/>
          <w:b/>
          <w:sz w:val="28"/>
          <w:szCs w:val="28"/>
        </w:rPr>
        <w:t xml:space="preserve">della Commissione di controllo del mandato pubblico di AET all’attenzione del Gran Consiglio sul grado di raggiungimento degli obiettivi di mandato pubblico dell’azienda e sugli esiti della vigilanza diretta per l’anno </w:t>
      </w:r>
      <w:r>
        <w:rPr>
          <w:rFonts w:cs="Arial"/>
          <w:b/>
          <w:sz w:val="28"/>
          <w:szCs w:val="28"/>
        </w:rPr>
        <w:t>2020</w:t>
      </w:r>
    </w:p>
    <w:p w:rsidR="002D29A7" w:rsidRDefault="002D29A7" w:rsidP="002D29A7">
      <w:pPr>
        <w:rPr>
          <w:rFonts w:cs="Arial"/>
          <w:szCs w:val="24"/>
        </w:rPr>
      </w:pPr>
    </w:p>
    <w:p w:rsidR="002D29A7" w:rsidRPr="0070711C" w:rsidRDefault="002D29A7" w:rsidP="002D29A7">
      <w:pPr>
        <w:rPr>
          <w:rFonts w:cs="Arial"/>
          <w:szCs w:val="24"/>
        </w:rPr>
      </w:pPr>
    </w:p>
    <w:p w:rsidR="002D29A7" w:rsidRPr="00CA3FB4" w:rsidRDefault="002D29A7" w:rsidP="002D29A7">
      <w:pPr>
        <w:pStyle w:val="Titolo1"/>
        <w:numPr>
          <w:ilvl w:val="0"/>
          <w:numId w:val="18"/>
        </w:numPr>
        <w:spacing w:before="0"/>
        <w:ind w:left="426" w:hanging="426"/>
        <w:jc w:val="both"/>
      </w:pPr>
      <w:r w:rsidRPr="00CA3FB4">
        <w:t>PREMESSA</w:t>
      </w:r>
    </w:p>
    <w:p w:rsidR="002D29A7" w:rsidRDefault="002D29A7" w:rsidP="002D29A7">
      <w:pPr>
        <w:rPr>
          <w:rFonts w:cs="Arial"/>
          <w:szCs w:val="24"/>
        </w:rPr>
      </w:pPr>
      <w:r w:rsidRPr="0070711C">
        <w:rPr>
          <w:rFonts w:cs="Arial"/>
        </w:rPr>
        <w:t xml:space="preserve">In ossequio alle disposizioni della </w:t>
      </w:r>
      <w:r w:rsidRPr="0070711C">
        <w:rPr>
          <w:rFonts w:cs="Arial"/>
          <w:szCs w:val="24"/>
        </w:rPr>
        <w:t>Legge sull’Azienda elettrica ticinese (AET) del 10 maggio 2016 (LAET</w:t>
      </w:r>
      <w:r w:rsidRPr="0070711C">
        <w:rPr>
          <w:rStyle w:val="Rimandonotaapidipagina"/>
          <w:rFonts w:cs="Arial"/>
          <w:szCs w:val="24"/>
        </w:rPr>
        <w:footnoteReference w:id="1"/>
      </w:r>
      <w:r w:rsidRPr="0070711C">
        <w:rPr>
          <w:rFonts w:cs="Arial"/>
          <w:szCs w:val="24"/>
        </w:rPr>
        <w:t xml:space="preserve">), </w:t>
      </w:r>
      <w:r w:rsidRPr="0070711C">
        <w:rPr>
          <w:rFonts w:cs="Arial"/>
        </w:rPr>
        <w:t>più precisamente ai sensi del</w:t>
      </w:r>
      <w:r w:rsidRPr="0070711C">
        <w:rPr>
          <w:rFonts w:cs="Arial"/>
          <w:szCs w:val="24"/>
        </w:rPr>
        <w:t>l’art. 6 della cv. 4, il rapporto della CCMP-AET sul rapporto di gestione AET e sul rapporto di revisione per l’anno 20</w:t>
      </w:r>
      <w:r>
        <w:rPr>
          <w:rFonts w:cs="Arial"/>
          <w:szCs w:val="24"/>
        </w:rPr>
        <w:t>20</w:t>
      </w:r>
      <w:r w:rsidRPr="0070711C">
        <w:rPr>
          <w:rFonts w:cs="Arial"/>
          <w:szCs w:val="24"/>
        </w:rPr>
        <w:t xml:space="preserve"> viene trasmesso alla Commissione speciale energia.</w:t>
      </w:r>
    </w:p>
    <w:p w:rsidR="002D29A7" w:rsidRPr="0070711C" w:rsidRDefault="002D29A7" w:rsidP="002D29A7">
      <w:pPr>
        <w:rPr>
          <w:rFonts w:cs="Arial"/>
          <w:szCs w:val="24"/>
        </w:rPr>
      </w:pPr>
    </w:p>
    <w:p w:rsidR="002D29A7" w:rsidRDefault="002D29A7" w:rsidP="002D29A7">
      <w:pPr>
        <w:rPr>
          <w:rFonts w:ascii="Helvetica" w:hAnsi="Helvetica" w:cs="Times New Roman"/>
          <w:szCs w:val="24"/>
          <w:lang w:val="it-IT" w:eastAsia="it-IT"/>
        </w:rPr>
      </w:pPr>
      <w:r w:rsidRPr="0070711C">
        <w:rPr>
          <w:rFonts w:ascii="Helvetica" w:hAnsi="Helvetica" w:cs="Times New Roman"/>
          <w:szCs w:val="24"/>
          <w:lang w:val="it-IT" w:eastAsia="it-IT"/>
        </w:rPr>
        <w:t xml:space="preserve">Si tratta del </w:t>
      </w:r>
      <w:r>
        <w:rPr>
          <w:rFonts w:ascii="Helvetica" w:hAnsi="Helvetica" w:cs="Times New Roman"/>
          <w:szCs w:val="24"/>
          <w:lang w:val="it-IT" w:eastAsia="it-IT"/>
        </w:rPr>
        <w:t>quarto</w:t>
      </w:r>
      <w:r w:rsidRPr="0070711C">
        <w:rPr>
          <w:rFonts w:ascii="Helvetica" w:hAnsi="Helvetica" w:cs="Times New Roman"/>
          <w:szCs w:val="24"/>
          <w:lang w:val="it-IT" w:eastAsia="it-IT"/>
        </w:rPr>
        <w:t xml:space="preserve"> rapporto della CCMP-AET dall’introduzione della nuova legge sull’Azienda </w:t>
      </w:r>
      <w:r>
        <w:rPr>
          <w:rFonts w:ascii="Helvetica" w:hAnsi="Helvetica" w:cs="Times New Roman"/>
          <w:szCs w:val="24"/>
          <w:lang w:val="it-IT" w:eastAsia="it-IT"/>
        </w:rPr>
        <w:t>e</w:t>
      </w:r>
      <w:r w:rsidRPr="0070711C">
        <w:rPr>
          <w:rFonts w:ascii="Helvetica" w:hAnsi="Helvetica" w:cs="Times New Roman"/>
          <w:szCs w:val="24"/>
          <w:lang w:val="it-IT" w:eastAsia="it-IT"/>
        </w:rPr>
        <w:t xml:space="preserve">lettrica </w:t>
      </w:r>
      <w:r>
        <w:rPr>
          <w:rFonts w:ascii="Helvetica" w:hAnsi="Helvetica" w:cs="Times New Roman"/>
          <w:szCs w:val="24"/>
          <w:lang w:val="it-IT" w:eastAsia="it-IT"/>
        </w:rPr>
        <w:t>t</w:t>
      </w:r>
      <w:r w:rsidRPr="0070711C">
        <w:rPr>
          <w:rFonts w:ascii="Helvetica" w:hAnsi="Helvetica" w:cs="Times New Roman"/>
          <w:szCs w:val="24"/>
          <w:lang w:val="it-IT" w:eastAsia="it-IT"/>
        </w:rPr>
        <w:t xml:space="preserve">icinese, che prevede l’esercizio dell’alta vigilanza da parte della Commissione </w:t>
      </w:r>
      <w:r>
        <w:rPr>
          <w:rFonts w:ascii="Helvetica" w:hAnsi="Helvetica" w:cs="Times New Roman"/>
          <w:szCs w:val="24"/>
          <w:lang w:val="it-IT" w:eastAsia="it-IT"/>
        </w:rPr>
        <w:t>a</w:t>
      </w:r>
      <w:r w:rsidRPr="0070711C">
        <w:rPr>
          <w:rFonts w:ascii="Helvetica" w:hAnsi="Helvetica" w:cs="Times New Roman"/>
          <w:szCs w:val="24"/>
          <w:lang w:val="it-IT" w:eastAsia="it-IT"/>
        </w:rPr>
        <w:t>mbiente</w:t>
      </w:r>
      <w:r>
        <w:rPr>
          <w:rFonts w:ascii="Helvetica" w:hAnsi="Helvetica" w:cs="Times New Roman"/>
          <w:szCs w:val="24"/>
          <w:lang w:val="it-IT" w:eastAsia="it-IT"/>
        </w:rPr>
        <w:t>,</w:t>
      </w:r>
      <w:r w:rsidRPr="0070711C">
        <w:rPr>
          <w:rFonts w:ascii="Helvetica" w:hAnsi="Helvetica" w:cs="Times New Roman"/>
          <w:szCs w:val="24"/>
          <w:lang w:val="it-IT" w:eastAsia="it-IT"/>
        </w:rPr>
        <w:t xml:space="preserve"> </w:t>
      </w:r>
      <w:r>
        <w:rPr>
          <w:rFonts w:ascii="Helvetica" w:hAnsi="Helvetica" w:cs="Times New Roman"/>
          <w:szCs w:val="24"/>
          <w:lang w:val="it-IT" w:eastAsia="it-IT"/>
        </w:rPr>
        <w:t>t</w:t>
      </w:r>
      <w:r w:rsidRPr="0070711C">
        <w:rPr>
          <w:rFonts w:ascii="Helvetica" w:hAnsi="Helvetica" w:cs="Times New Roman"/>
          <w:szCs w:val="24"/>
          <w:lang w:val="it-IT" w:eastAsia="it-IT"/>
        </w:rPr>
        <w:t xml:space="preserve">erritorio </w:t>
      </w:r>
      <w:r>
        <w:rPr>
          <w:rFonts w:ascii="Helvetica" w:hAnsi="Helvetica" w:cs="Times New Roman"/>
          <w:szCs w:val="24"/>
          <w:lang w:val="it-IT" w:eastAsia="it-IT"/>
        </w:rPr>
        <w:t>ed e</w:t>
      </w:r>
      <w:r w:rsidRPr="0070711C">
        <w:rPr>
          <w:rFonts w:ascii="Helvetica" w:hAnsi="Helvetica" w:cs="Times New Roman"/>
          <w:szCs w:val="24"/>
          <w:lang w:val="it-IT" w:eastAsia="it-IT"/>
        </w:rPr>
        <w:t>nergia</w:t>
      </w:r>
      <w:r>
        <w:rPr>
          <w:rFonts w:ascii="Helvetica" w:hAnsi="Helvetica" w:cs="Times New Roman"/>
          <w:szCs w:val="24"/>
          <w:lang w:val="it-IT" w:eastAsia="it-IT"/>
        </w:rPr>
        <w:t xml:space="preserve"> (CATE).</w:t>
      </w:r>
    </w:p>
    <w:p w:rsidR="002D29A7" w:rsidRPr="0070711C" w:rsidRDefault="002D29A7" w:rsidP="002D29A7">
      <w:pPr>
        <w:rPr>
          <w:rFonts w:ascii="Helvetica" w:hAnsi="Helvetica" w:cs="Times New Roman"/>
          <w:szCs w:val="24"/>
          <w:lang w:val="it-IT" w:eastAsia="it-IT"/>
        </w:rPr>
      </w:pPr>
    </w:p>
    <w:p w:rsidR="002D29A7" w:rsidRDefault="002D29A7" w:rsidP="002D29A7">
      <w:pPr>
        <w:rPr>
          <w:rFonts w:ascii="Helvetica" w:hAnsi="Helvetica" w:cs="Times New Roman"/>
          <w:szCs w:val="24"/>
          <w:lang w:val="it-IT" w:eastAsia="it-IT"/>
        </w:rPr>
      </w:pPr>
      <w:r>
        <w:rPr>
          <w:rFonts w:ascii="Helvetica" w:hAnsi="Helvetica" w:cs="Times New Roman"/>
          <w:szCs w:val="24"/>
          <w:lang w:val="it-IT" w:eastAsia="it-IT"/>
        </w:rPr>
        <w:t>Q</w:t>
      </w:r>
      <w:r w:rsidRPr="0070711C">
        <w:rPr>
          <w:rFonts w:ascii="Helvetica" w:hAnsi="Helvetica" w:cs="Times New Roman"/>
          <w:szCs w:val="24"/>
          <w:lang w:val="it-IT" w:eastAsia="it-IT"/>
        </w:rPr>
        <w:t>ui di seguito riportiamo i principi che ne regolano il campo d’applicazione.</w:t>
      </w:r>
    </w:p>
    <w:p w:rsidR="002D29A7" w:rsidRPr="0070711C" w:rsidRDefault="002D29A7" w:rsidP="002D29A7">
      <w:pPr>
        <w:rPr>
          <w:rFonts w:ascii="Helvetica" w:hAnsi="Helvetica" w:cs="Times New Roman"/>
          <w:szCs w:val="24"/>
          <w:lang w:val="it-IT" w:eastAsia="it-IT"/>
        </w:rPr>
      </w:pPr>
    </w:p>
    <w:p w:rsidR="002D29A7" w:rsidRPr="0070711C" w:rsidRDefault="002D29A7" w:rsidP="002D29A7">
      <w:pPr>
        <w:rPr>
          <w:rFonts w:ascii="Helvetica" w:hAnsi="Helvetica" w:cs="Times New Roman"/>
          <w:szCs w:val="24"/>
          <w:lang w:val="it-IT" w:eastAsia="it-IT"/>
        </w:rPr>
      </w:pPr>
      <w:r w:rsidRPr="0070711C">
        <w:rPr>
          <w:rFonts w:ascii="Helvetica" w:hAnsi="Helvetica" w:cs="Times New Roman"/>
          <w:szCs w:val="24"/>
          <w:lang w:val="it-IT" w:eastAsia="it-IT"/>
        </w:rPr>
        <w:t xml:space="preserve">Il Gran Consiglio, per il tramite della </w:t>
      </w:r>
      <w:r>
        <w:rPr>
          <w:rFonts w:ascii="Helvetica" w:hAnsi="Helvetica" w:cs="Times New Roman"/>
          <w:szCs w:val="24"/>
          <w:lang w:val="it-IT" w:eastAsia="it-IT"/>
        </w:rPr>
        <w:t>Commissione ambiente, territorio ed energia</w:t>
      </w:r>
      <w:r w:rsidRPr="0070711C">
        <w:rPr>
          <w:rFonts w:ascii="Helvetica" w:hAnsi="Helvetica" w:cs="Times New Roman"/>
          <w:szCs w:val="24"/>
          <w:lang w:val="it-IT" w:eastAsia="it-IT"/>
        </w:rPr>
        <w:t xml:space="preserve"> e della Commissione del controllo del mandato pubblico dell</w:t>
      </w:r>
      <w:r>
        <w:rPr>
          <w:rFonts w:ascii="Helvetica" w:hAnsi="Helvetica" w:cs="Times New Roman"/>
          <w:szCs w:val="24"/>
          <w:lang w:val="it-IT" w:eastAsia="it-IT"/>
        </w:rPr>
        <w:t>’</w:t>
      </w:r>
      <w:r w:rsidRPr="0070711C">
        <w:rPr>
          <w:rFonts w:ascii="Helvetica" w:hAnsi="Helvetica" w:cs="Times New Roman"/>
          <w:szCs w:val="24"/>
          <w:lang w:val="it-IT" w:eastAsia="it-IT"/>
        </w:rPr>
        <w:t xml:space="preserve">Azienda elettrica ticinese (CCMP-AET): </w:t>
      </w:r>
    </w:p>
    <w:p w:rsidR="002D29A7" w:rsidRPr="0070711C" w:rsidRDefault="002D29A7" w:rsidP="002D29A7">
      <w:pPr>
        <w:pStyle w:val="Paragrafoelenco"/>
        <w:numPr>
          <w:ilvl w:val="0"/>
          <w:numId w:val="21"/>
        </w:numPr>
        <w:spacing w:before="120" w:after="120"/>
        <w:ind w:left="425" w:hanging="425"/>
        <w:contextualSpacing w:val="0"/>
        <w:rPr>
          <w:rFonts w:cs="Arial"/>
          <w:i/>
          <w:szCs w:val="24"/>
          <w:lang w:val="it-IT" w:eastAsia="it-IT"/>
        </w:rPr>
      </w:pPr>
      <w:r w:rsidRPr="0070711C">
        <w:rPr>
          <w:rFonts w:cs="Arial"/>
          <w:i/>
          <w:szCs w:val="24"/>
          <w:lang w:val="it-IT" w:eastAsia="it-IT"/>
        </w:rPr>
        <w:t>vigila sull’applicazione degli obiettivi strategici fissati da CdS e CdA;</w:t>
      </w:r>
    </w:p>
    <w:p w:rsidR="002D29A7" w:rsidRPr="0070711C" w:rsidRDefault="002D29A7" w:rsidP="002D29A7">
      <w:pPr>
        <w:pStyle w:val="Paragrafoelenco"/>
        <w:numPr>
          <w:ilvl w:val="0"/>
          <w:numId w:val="21"/>
        </w:numPr>
        <w:spacing w:before="100" w:beforeAutospacing="1" w:after="120"/>
        <w:ind w:left="426" w:hanging="426"/>
        <w:contextualSpacing w:val="0"/>
        <w:rPr>
          <w:rFonts w:cs="Arial"/>
          <w:i/>
          <w:szCs w:val="24"/>
          <w:lang w:val="it-IT" w:eastAsia="it-IT"/>
        </w:rPr>
      </w:pPr>
      <w:r w:rsidRPr="0070711C">
        <w:rPr>
          <w:rFonts w:cs="Arial"/>
          <w:i/>
          <w:szCs w:val="24"/>
          <w:lang w:val="it-IT" w:eastAsia="it-IT"/>
        </w:rPr>
        <w:t xml:space="preserve">controlla le modalità̀ con le quali il governo difende gli interessi della collettività̀ riguardo all’impresa pubblica; </w:t>
      </w:r>
    </w:p>
    <w:p w:rsidR="002D29A7" w:rsidRPr="0070711C" w:rsidRDefault="002D29A7" w:rsidP="002D29A7">
      <w:pPr>
        <w:pStyle w:val="Paragrafoelenco"/>
        <w:numPr>
          <w:ilvl w:val="0"/>
          <w:numId w:val="21"/>
        </w:numPr>
        <w:spacing w:before="100" w:beforeAutospacing="1" w:after="120"/>
        <w:ind w:left="426" w:hanging="426"/>
        <w:contextualSpacing w:val="0"/>
        <w:rPr>
          <w:rFonts w:cs="Arial"/>
          <w:i/>
          <w:szCs w:val="24"/>
          <w:lang w:val="it-IT" w:eastAsia="it-IT"/>
        </w:rPr>
      </w:pPr>
      <w:r w:rsidRPr="0070711C">
        <w:rPr>
          <w:rFonts w:cs="Arial"/>
          <w:i/>
          <w:szCs w:val="24"/>
          <w:lang w:val="it-IT" w:eastAsia="it-IT"/>
        </w:rPr>
        <w:t xml:space="preserve">prende atto ogni anno del rapporto di gestione e del rapporto di revisione tramite il rapporto della Commissione energia/CCMP; </w:t>
      </w:r>
    </w:p>
    <w:p w:rsidR="002D29A7" w:rsidRPr="0070711C" w:rsidRDefault="002D29A7" w:rsidP="002D29A7">
      <w:pPr>
        <w:pStyle w:val="Paragrafoelenco"/>
        <w:numPr>
          <w:ilvl w:val="0"/>
          <w:numId w:val="21"/>
        </w:numPr>
        <w:spacing w:before="100" w:beforeAutospacing="1" w:after="120"/>
        <w:ind w:left="426" w:hanging="426"/>
        <w:contextualSpacing w:val="0"/>
        <w:rPr>
          <w:rFonts w:cs="Arial"/>
          <w:i/>
          <w:szCs w:val="24"/>
          <w:lang w:val="it-IT" w:eastAsia="it-IT"/>
        </w:rPr>
      </w:pPr>
      <w:r w:rsidRPr="0070711C">
        <w:rPr>
          <w:rFonts w:cs="Arial"/>
          <w:i/>
          <w:szCs w:val="24"/>
          <w:lang w:val="it-IT" w:eastAsia="it-IT"/>
        </w:rPr>
        <w:t xml:space="preserve">approva il conto annuale entro febbraio dell’anno successivo alla chiusura dell’esercizio e si pronuncia nel contempo anche sulla destinazione dell’utile e sul discarico agli organi dell’azienda; </w:t>
      </w:r>
    </w:p>
    <w:p w:rsidR="002D29A7" w:rsidRPr="0070711C" w:rsidRDefault="002D29A7" w:rsidP="002D29A7">
      <w:pPr>
        <w:pStyle w:val="Paragrafoelenco"/>
        <w:numPr>
          <w:ilvl w:val="0"/>
          <w:numId w:val="21"/>
        </w:numPr>
        <w:ind w:left="425" w:hanging="425"/>
        <w:contextualSpacing w:val="0"/>
        <w:rPr>
          <w:rFonts w:ascii="Helvetica" w:hAnsi="Helvetica" w:cs="Times New Roman"/>
          <w:i/>
          <w:szCs w:val="24"/>
          <w:lang w:val="it-IT" w:eastAsia="it-IT"/>
        </w:rPr>
      </w:pPr>
      <w:r w:rsidRPr="0070711C">
        <w:rPr>
          <w:rFonts w:cs="Arial"/>
          <w:i/>
          <w:szCs w:val="24"/>
          <w:lang w:val="it-IT" w:eastAsia="it-IT"/>
        </w:rPr>
        <w:t xml:space="preserve">previa adesione scritta del CdS, approva, con decreto legislativo non soggetto a referendum, gli impegni straordinari e particolarmente importanti dell’azienda. </w:t>
      </w:r>
    </w:p>
    <w:p w:rsidR="002D29A7" w:rsidRPr="002D29A7" w:rsidRDefault="002D29A7" w:rsidP="002D29A7">
      <w:pPr>
        <w:rPr>
          <w:rFonts w:cs="Arial"/>
          <w:szCs w:val="24"/>
          <w:lang w:val="it-IT" w:eastAsia="it-IT"/>
        </w:rPr>
      </w:pPr>
    </w:p>
    <w:p w:rsidR="002D29A7" w:rsidRPr="0070711C" w:rsidRDefault="002D29A7" w:rsidP="002D29A7">
      <w:pPr>
        <w:rPr>
          <w:rFonts w:cs="Arial"/>
          <w:szCs w:val="24"/>
        </w:rPr>
      </w:pPr>
      <w:r w:rsidRPr="0070711C">
        <w:rPr>
          <w:rFonts w:cs="Arial"/>
          <w:szCs w:val="24"/>
        </w:rPr>
        <w:t>Le modalità operative, descritte nelle Linee guida sulla vigilanza e l’alta vigilanza su AET, giugno 2017</w:t>
      </w:r>
      <w:r>
        <w:rPr>
          <w:rFonts w:cs="Arial"/>
          <w:szCs w:val="24"/>
        </w:rPr>
        <w:t xml:space="preserve"> (aggiornate l’8 maggio 2019)</w:t>
      </w:r>
      <w:r w:rsidRPr="0070711C">
        <w:rPr>
          <w:rFonts w:cs="Arial"/>
          <w:szCs w:val="24"/>
        </w:rPr>
        <w:t>, approvate dal Governo con nota a protocollo n. 98/2017 del 5 luglio 2017, sono così riassunte:</w:t>
      </w:r>
    </w:p>
    <w:p w:rsidR="002D29A7" w:rsidRPr="0070711C" w:rsidRDefault="002D29A7" w:rsidP="002D29A7">
      <w:pPr>
        <w:rPr>
          <w:rFonts w:cs="Arial"/>
          <w:szCs w:val="24"/>
        </w:rPr>
      </w:pPr>
    </w:p>
    <w:p w:rsidR="002D29A7" w:rsidRPr="0070711C" w:rsidRDefault="002D29A7" w:rsidP="002D29A7">
      <w:pPr>
        <w:pStyle w:val="Paragrafoelenco"/>
        <w:numPr>
          <w:ilvl w:val="0"/>
          <w:numId w:val="19"/>
        </w:numPr>
        <w:spacing w:after="120"/>
        <w:ind w:left="426" w:hanging="426"/>
        <w:contextualSpacing w:val="0"/>
        <w:rPr>
          <w:rFonts w:cs="Arial"/>
          <w:i/>
          <w:szCs w:val="24"/>
        </w:rPr>
      </w:pPr>
      <w:r w:rsidRPr="0070711C">
        <w:rPr>
          <w:rFonts w:cs="Arial"/>
          <w:i/>
          <w:szCs w:val="24"/>
        </w:rPr>
        <w:lastRenderedPageBreak/>
        <w:t>la CCMP-AET prende conoscenza dei rapporti del CdS sulla vigilanza diretta e riferisce alla CATE/GC, nella misura compatibile con gli interessi dell’Azienda, riservato l’obbligo al segreto d’affari e d’ufficio dei suoi membri;</w:t>
      </w:r>
    </w:p>
    <w:p w:rsidR="002D29A7" w:rsidRPr="0070711C" w:rsidRDefault="002D29A7" w:rsidP="002D29A7">
      <w:pPr>
        <w:pStyle w:val="Paragrafoelenco"/>
        <w:numPr>
          <w:ilvl w:val="0"/>
          <w:numId w:val="19"/>
        </w:numPr>
        <w:spacing w:after="120"/>
        <w:ind w:left="426" w:hanging="426"/>
        <w:contextualSpacing w:val="0"/>
        <w:rPr>
          <w:rFonts w:cs="Arial"/>
          <w:i/>
          <w:szCs w:val="24"/>
        </w:rPr>
      </w:pPr>
      <w:r w:rsidRPr="0070711C">
        <w:rPr>
          <w:rFonts w:cs="Arial"/>
          <w:i/>
          <w:szCs w:val="24"/>
        </w:rPr>
        <w:t>la CCMP-AET può chiedere al CdS, su una situazione specifica, di essere informata direttamente da AET;</w:t>
      </w:r>
    </w:p>
    <w:p w:rsidR="002D29A7" w:rsidRPr="0070711C" w:rsidRDefault="002D29A7" w:rsidP="002D29A7">
      <w:pPr>
        <w:pStyle w:val="Paragrafoelenco"/>
        <w:numPr>
          <w:ilvl w:val="0"/>
          <w:numId w:val="19"/>
        </w:numPr>
        <w:spacing w:after="120"/>
        <w:ind w:left="426" w:hanging="426"/>
        <w:contextualSpacing w:val="0"/>
        <w:rPr>
          <w:rFonts w:cs="Arial"/>
          <w:i/>
          <w:szCs w:val="24"/>
        </w:rPr>
      </w:pPr>
      <w:r w:rsidRPr="0070711C">
        <w:rPr>
          <w:rFonts w:cs="Arial"/>
          <w:i/>
          <w:szCs w:val="24"/>
        </w:rPr>
        <w:t>alla CCMP-AET è pure data la facoltà di consultare la documentazione integrale consegnata dall’Ufficio di revisione al CdA;</w:t>
      </w:r>
    </w:p>
    <w:p w:rsidR="002D29A7" w:rsidRPr="0070711C" w:rsidRDefault="002D29A7" w:rsidP="002D29A7">
      <w:pPr>
        <w:pStyle w:val="Paragrafoelenco"/>
        <w:numPr>
          <w:ilvl w:val="0"/>
          <w:numId w:val="19"/>
        </w:numPr>
        <w:spacing w:after="120"/>
        <w:ind w:left="426" w:hanging="426"/>
        <w:contextualSpacing w:val="0"/>
        <w:rPr>
          <w:rFonts w:cs="Arial"/>
          <w:i/>
          <w:szCs w:val="24"/>
        </w:rPr>
      </w:pPr>
      <w:r w:rsidRPr="0070711C">
        <w:rPr>
          <w:rFonts w:cs="Arial"/>
          <w:i/>
          <w:szCs w:val="24"/>
        </w:rPr>
        <w:t>la CCMP-AET può incontrare annualmente una delegazione del CdA e della direzione di AET unitamente ad una delegazione del CdS accompagnata dal responsabile dell’Ufficio energia.</w:t>
      </w:r>
    </w:p>
    <w:p w:rsidR="002D29A7" w:rsidRPr="006E656D" w:rsidRDefault="002D29A7" w:rsidP="002D29A7">
      <w:pPr>
        <w:rPr>
          <w:rFonts w:cs="Arial"/>
          <w:szCs w:val="24"/>
        </w:rPr>
      </w:pPr>
      <w:r w:rsidRPr="006E656D">
        <w:rPr>
          <w:rFonts w:cs="Arial"/>
          <w:szCs w:val="24"/>
        </w:rPr>
        <w:t>I membri della Commissione di controllo del mandato pubblico s’impegnano, da parte loro, a garantire la confidenzialità e la segretezza delle informazioni ricevute conformemente all’art. 7 del Regolamento di applicazione della Legge sull’Azienda elettrica ticinese.</w:t>
      </w:r>
    </w:p>
    <w:p w:rsidR="002D29A7" w:rsidRPr="0070711C" w:rsidRDefault="002D29A7" w:rsidP="002D29A7">
      <w:pPr>
        <w:rPr>
          <w:rFonts w:cs="Arial"/>
          <w:i/>
          <w:szCs w:val="24"/>
        </w:rPr>
      </w:pPr>
    </w:p>
    <w:p w:rsidR="002D29A7" w:rsidRPr="0070711C" w:rsidRDefault="002D29A7" w:rsidP="002D29A7">
      <w:pPr>
        <w:rPr>
          <w:i/>
          <w:lang w:val="it-IT"/>
        </w:rPr>
      </w:pPr>
    </w:p>
    <w:p w:rsidR="002D29A7" w:rsidRPr="00367D3D" w:rsidRDefault="002D29A7" w:rsidP="002D29A7">
      <w:pPr>
        <w:pStyle w:val="Titolo1"/>
        <w:numPr>
          <w:ilvl w:val="0"/>
          <w:numId w:val="18"/>
        </w:numPr>
        <w:spacing w:before="0"/>
        <w:ind w:left="426" w:hanging="426"/>
        <w:jc w:val="both"/>
      </w:pPr>
      <w:r w:rsidRPr="00367D3D">
        <w:t>LAVORI COMMISSIONALI</w:t>
      </w:r>
    </w:p>
    <w:p w:rsidR="002D29A7" w:rsidRPr="000666EF" w:rsidRDefault="002D29A7" w:rsidP="002D29A7">
      <w:pPr>
        <w:spacing w:after="120"/>
        <w:rPr>
          <w:rFonts w:cs="Arial"/>
          <w:szCs w:val="24"/>
        </w:rPr>
      </w:pPr>
      <w:r w:rsidRPr="000666EF">
        <w:rPr>
          <w:rFonts w:cs="Arial"/>
          <w:szCs w:val="24"/>
        </w:rPr>
        <w:t>La CCMP-AET si è riunita in 4 occasioni per l’esame dei conti 2020. Un</w:t>
      </w:r>
      <w:r>
        <w:rPr>
          <w:rFonts w:cs="Arial"/>
          <w:szCs w:val="24"/>
        </w:rPr>
        <w:t>a</w:t>
      </w:r>
      <w:r w:rsidRPr="000666EF">
        <w:rPr>
          <w:rFonts w:cs="Arial"/>
          <w:szCs w:val="24"/>
        </w:rPr>
        <w:t xml:space="preserve"> </w:t>
      </w:r>
      <w:r>
        <w:rPr>
          <w:rFonts w:cs="Arial"/>
          <w:szCs w:val="24"/>
        </w:rPr>
        <w:t>riunione</w:t>
      </w:r>
      <w:r w:rsidRPr="000666EF">
        <w:rPr>
          <w:rFonts w:cs="Arial"/>
          <w:szCs w:val="24"/>
        </w:rPr>
        <w:t xml:space="preserve"> è stat</w:t>
      </w:r>
      <w:r>
        <w:rPr>
          <w:rFonts w:cs="Arial"/>
          <w:szCs w:val="24"/>
        </w:rPr>
        <w:t>a</w:t>
      </w:r>
      <w:r w:rsidRPr="000666EF">
        <w:rPr>
          <w:rFonts w:cs="Arial"/>
          <w:szCs w:val="24"/>
        </w:rPr>
        <w:t xml:space="preserve"> dedicat</w:t>
      </w:r>
      <w:r>
        <w:rPr>
          <w:rFonts w:cs="Arial"/>
          <w:szCs w:val="24"/>
        </w:rPr>
        <w:t>a</w:t>
      </w:r>
      <w:r w:rsidRPr="000666EF">
        <w:rPr>
          <w:rFonts w:cs="Arial"/>
          <w:szCs w:val="24"/>
        </w:rPr>
        <w:t xml:space="preserve"> a incontrare il Consigliere di Stato con una delegazione di CdA e Direzione di AET.</w:t>
      </w:r>
    </w:p>
    <w:p w:rsidR="002D29A7" w:rsidRPr="000666EF" w:rsidRDefault="002D29A7" w:rsidP="002D29A7">
      <w:pPr>
        <w:spacing w:after="120"/>
        <w:rPr>
          <w:rFonts w:cs="Arial"/>
          <w:szCs w:val="24"/>
        </w:rPr>
      </w:pPr>
      <w:r w:rsidRPr="000666EF">
        <w:rPr>
          <w:rFonts w:cs="Arial"/>
          <w:szCs w:val="24"/>
        </w:rPr>
        <w:t>I lavori commissionali relativi all’esame del rediconto annuale 2020 di AET possono essere così riassunti:</w:t>
      </w:r>
    </w:p>
    <w:p w:rsidR="002D29A7" w:rsidRPr="000666EF" w:rsidRDefault="002D29A7" w:rsidP="002D29A7">
      <w:pPr>
        <w:spacing w:after="120"/>
        <w:ind w:left="1701" w:hanging="1701"/>
        <w:rPr>
          <w:rFonts w:cs="Arial"/>
          <w:szCs w:val="24"/>
        </w:rPr>
      </w:pPr>
      <w:r w:rsidRPr="000666EF">
        <w:rPr>
          <w:rFonts w:cs="Arial"/>
          <w:szCs w:val="24"/>
        </w:rPr>
        <w:t>17.11.2021</w:t>
      </w:r>
      <w:r w:rsidRPr="000666EF">
        <w:rPr>
          <w:rFonts w:cs="Arial"/>
          <w:szCs w:val="24"/>
        </w:rPr>
        <w:tab/>
        <w:t>Riunione della CCMP-AET (in modalità Teams). Avvio lavori sul messaggio n.</w:t>
      </w:r>
      <w:r>
        <w:rPr>
          <w:szCs w:val="24"/>
        </w:rPr>
        <w:t xml:space="preserve"> </w:t>
      </w:r>
      <w:hyperlink r:id="rId11" w:history="1">
        <w:r w:rsidRPr="000666EF">
          <w:rPr>
            <w:szCs w:val="24"/>
          </w:rPr>
          <w:t>8056</w:t>
        </w:r>
      </w:hyperlink>
      <w:r w:rsidRPr="000666EF">
        <w:rPr>
          <w:szCs w:val="24"/>
        </w:rPr>
        <w:t>,</w:t>
      </w:r>
      <w:r>
        <w:rPr>
          <w:szCs w:val="24"/>
        </w:rPr>
        <w:t xml:space="preserve"> </w:t>
      </w:r>
      <w:r w:rsidRPr="000666EF">
        <w:rPr>
          <w:rFonts w:cs="Arial"/>
          <w:i/>
          <w:szCs w:val="24"/>
        </w:rPr>
        <w:t>Approvazione del conto annuale per l’esercizio 2020 dell’Azienda Elettrica Ticinese – Resoconto sulla vigilanza diretta e rapporto sul raggiungimento degli obiettivi strategici</w:t>
      </w:r>
      <w:r w:rsidRPr="000666EF">
        <w:rPr>
          <w:rFonts w:cs="Arial"/>
          <w:szCs w:val="24"/>
        </w:rPr>
        <w:t>.</w:t>
      </w:r>
    </w:p>
    <w:p w:rsidR="002D29A7" w:rsidRPr="000666EF" w:rsidRDefault="002D29A7" w:rsidP="002D29A7">
      <w:pPr>
        <w:spacing w:after="120"/>
        <w:ind w:left="1701" w:hanging="1701"/>
        <w:rPr>
          <w:rFonts w:cs="Arial"/>
          <w:szCs w:val="24"/>
        </w:rPr>
      </w:pPr>
      <w:r w:rsidRPr="000666EF">
        <w:rPr>
          <w:rFonts w:cs="Arial"/>
          <w:szCs w:val="24"/>
        </w:rPr>
        <w:t>02.12.2020</w:t>
      </w:r>
      <w:r w:rsidRPr="000666EF">
        <w:rPr>
          <w:rFonts w:cs="Arial"/>
          <w:szCs w:val="24"/>
        </w:rPr>
        <w:tab/>
        <w:t>Riunione della CCMP-AET. Visione e discussione concernente il rapporto di revisione esterna sui conti AET 2020.</w:t>
      </w:r>
    </w:p>
    <w:p w:rsidR="002D29A7" w:rsidRPr="000666EF" w:rsidRDefault="002D29A7" w:rsidP="002D29A7">
      <w:pPr>
        <w:spacing w:after="120"/>
        <w:ind w:left="1701" w:hanging="1701"/>
        <w:rPr>
          <w:rFonts w:cs="Arial"/>
          <w:szCs w:val="24"/>
        </w:rPr>
      </w:pPr>
      <w:r w:rsidRPr="000666EF">
        <w:rPr>
          <w:rFonts w:cs="Arial"/>
          <w:szCs w:val="24"/>
        </w:rPr>
        <w:t>09.12.2021</w:t>
      </w:r>
      <w:r w:rsidRPr="000666EF">
        <w:rPr>
          <w:rFonts w:cs="Arial"/>
          <w:szCs w:val="24"/>
        </w:rPr>
        <w:tab/>
        <w:t xml:space="preserve">Incontro della CATE con il </w:t>
      </w:r>
      <w:r w:rsidRPr="000666EF">
        <w:rPr>
          <w:szCs w:val="24"/>
        </w:rPr>
        <w:t>Consigliere di Stato Christian Vitt</w:t>
      </w:r>
      <w:r>
        <w:rPr>
          <w:szCs w:val="24"/>
        </w:rPr>
        <w:t>,</w:t>
      </w:r>
      <w:r w:rsidRPr="000666EF">
        <w:rPr>
          <w:szCs w:val="24"/>
        </w:rPr>
        <w:t>a accompagnato dal Capo dell’Ufficio dell’energia</w:t>
      </w:r>
      <w:r w:rsidRPr="000666EF">
        <w:rPr>
          <w:i/>
          <w:iCs/>
          <w:szCs w:val="24"/>
        </w:rPr>
        <w:t>,</w:t>
      </w:r>
      <w:r w:rsidRPr="000666EF">
        <w:rPr>
          <w:rFonts w:cs="Arial"/>
          <w:szCs w:val="24"/>
        </w:rPr>
        <w:t xml:space="preserve"> Sig. Sandro Pitozzi</w:t>
      </w:r>
      <w:r>
        <w:rPr>
          <w:rFonts w:cs="Arial"/>
          <w:szCs w:val="24"/>
        </w:rPr>
        <w:t>,</w:t>
      </w:r>
      <w:r w:rsidRPr="000666EF">
        <w:rPr>
          <w:rFonts w:cs="Arial"/>
          <w:szCs w:val="24"/>
        </w:rPr>
        <w:t xml:space="preserve"> ed i vertici di AET in merito al Rendiconto 2020 di AET. Per AET sono presenti il presidente del CdA ing. Giovanni Leonardi accompagnato dai membri di Direzione, ing. Roberto Pronini, ing. Claudio Nauer ed il sig. Flavio Kurzo. Durante l’incontro sono state presentate le attività strategiche di AET e sono stati approfonditi i temi più salienti del 2020, con uno sguardo sull’attività 2021 prossima alla chiusura.</w:t>
      </w:r>
    </w:p>
    <w:p w:rsidR="002D29A7" w:rsidRPr="000666EF" w:rsidRDefault="002D29A7" w:rsidP="002D29A7">
      <w:pPr>
        <w:spacing w:after="120"/>
        <w:ind w:left="1701" w:hanging="1701"/>
        <w:rPr>
          <w:rFonts w:cs="Arial"/>
          <w:szCs w:val="24"/>
        </w:rPr>
      </w:pPr>
      <w:r w:rsidRPr="000666EF">
        <w:rPr>
          <w:rFonts w:cs="Arial"/>
          <w:szCs w:val="24"/>
        </w:rPr>
        <w:t>0</w:t>
      </w:r>
      <w:r>
        <w:rPr>
          <w:rFonts w:cs="Arial"/>
          <w:szCs w:val="24"/>
        </w:rPr>
        <w:t>3</w:t>
      </w:r>
      <w:r w:rsidRPr="000666EF">
        <w:rPr>
          <w:rFonts w:cs="Arial"/>
          <w:szCs w:val="24"/>
        </w:rPr>
        <w:t>.02.2022</w:t>
      </w:r>
      <w:r w:rsidRPr="000666EF">
        <w:rPr>
          <w:rFonts w:cs="Arial"/>
          <w:szCs w:val="24"/>
        </w:rPr>
        <w:tab/>
        <w:t xml:space="preserve">Riunione della CCMP-AET. Analisi e discussione della bozza di rapporto della CCMP-AET all’attenzione della CATE sui conti AET 2020. </w:t>
      </w:r>
    </w:p>
    <w:p w:rsidR="002D29A7" w:rsidRPr="000666EF" w:rsidRDefault="002D29A7" w:rsidP="002D29A7">
      <w:pPr>
        <w:ind w:left="1701" w:hanging="1701"/>
        <w:rPr>
          <w:rFonts w:cs="Arial"/>
          <w:szCs w:val="24"/>
        </w:rPr>
      </w:pPr>
      <w:r w:rsidRPr="000666EF">
        <w:rPr>
          <w:rFonts w:cs="Arial"/>
          <w:szCs w:val="24"/>
        </w:rPr>
        <w:t>10.02.2022</w:t>
      </w:r>
      <w:r w:rsidRPr="000666EF">
        <w:rPr>
          <w:rFonts w:cs="Arial"/>
          <w:szCs w:val="24"/>
        </w:rPr>
        <w:tab/>
        <w:t xml:space="preserve">Firma del rapporto della CCMP-AET all’attenzione della CATE sui conti AET 2019. </w:t>
      </w:r>
    </w:p>
    <w:p w:rsidR="002D29A7" w:rsidRPr="000666EF" w:rsidRDefault="002D29A7" w:rsidP="002D29A7">
      <w:pPr>
        <w:rPr>
          <w:rFonts w:cs="Arial"/>
          <w:szCs w:val="24"/>
        </w:rPr>
      </w:pPr>
    </w:p>
    <w:p w:rsidR="002D29A7" w:rsidRPr="00B04CB0" w:rsidRDefault="002D29A7" w:rsidP="002D29A7">
      <w:pPr>
        <w:rPr>
          <w:rFonts w:cs="Arial"/>
          <w:szCs w:val="24"/>
        </w:rPr>
      </w:pPr>
      <w:r w:rsidRPr="00B04CB0">
        <w:rPr>
          <w:rFonts w:cs="Arial"/>
          <w:szCs w:val="24"/>
        </w:rPr>
        <w:t xml:space="preserve">Nel merito dei lavori commissionali, dalla documentazione consultata, delle risposte ricevute sia dal direttore del DFE on. Christian Vitta, che dai vertici di AET, la CCMP-AET ritiene d’aver ricevuto le informazioni necessarie sull’andamento aziendale di AET. </w:t>
      </w:r>
    </w:p>
    <w:p w:rsidR="002D29A7" w:rsidRPr="00B04CB0" w:rsidRDefault="002D29A7" w:rsidP="002D29A7">
      <w:pPr>
        <w:rPr>
          <w:rFonts w:cs="Arial"/>
          <w:szCs w:val="24"/>
        </w:rPr>
      </w:pPr>
    </w:p>
    <w:p w:rsidR="002D29A7" w:rsidRPr="00CA7429" w:rsidRDefault="002D29A7" w:rsidP="002D29A7">
      <w:pPr>
        <w:rPr>
          <w:rFonts w:cs="Arial"/>
          <w:szCs w:val="24"/>
        </w:rPr>
      </w:pPr>
      <w:r w:rsidRPr="00CA7429">
        <w:rPr>
          <w:rFonts w:cs="Arial"/>
          <w:szCs w:val="24"/>
        </w:rPr>
        <w:lastRenderedPageBreak/>
        <w:t>Gli approfondimenti sui risultati finanziari conseguiti nell’ese</w:t>
      </w:r>
      <w:r>
        <w:rPr>
          <w:rFonts w:cs="Arial"/>
          <w:szCs w:val="24"/>
        </w:rPr>
        <w:t>r</w:t>
      </w:r>
      <w:r w:rsidRPr="00CA7429">
        <w:rPr>
          <w:rFonts w:cs="Arial"/>
          <w:szCs w:val="24"/>
        </w:rPr>
        <w:t>cizio 2020, sulla fluttuante situazione del mercato energetico internazionale, sui progetti in corso e soprattutto sulle sfide future, fra cui la sicurezza dell’approvvigionamento energetico, lo sviluppo delle nuove energie rinnovabili nonché dell’efficienza energetica in un contesto dove l’abbandono del nucleare e la decarbonizzazione in una società sempre più energivora rappresentano un</w:t>
      </w:r>
      <w:r>
        <w:rPr>
          <w:rFonts w:cs="Arial"/>
          <w:szCs w:val="24"/>
        </w:rPr>
        <w:t>a</w:t>
      </w:r>
      <w:r w:rsidRPr="00CA7429">
        <w:rPr>
          <w:rFonts w:cs="Arial"/>
          <w:szCs w:val="24"/>
        </w:rPr>
        <w:t xml:space="preserve"> sfida non indifferente, hanno evidenziato da un lato la proficua collaborazione tra l’autorità politica cantonale ed AET e dall’altro che la strategia aziendale e le misure implementate da AET sono lungimiranti e positive. </w:t>
      </w:r>
    </w:p>
    <w:p w:rsidR="002D29A7" w:rsidRPr="0070711C" w:rsidRDefault="002D29A7" w:rsidP="002D29A7">
      <w:pPr>
        <w:rPr>
          <w:rFonts w:cs="Arial"/>
          <w:szCs w:val="24"/>
        </w:rPr>
      </w:pPr>
    </w:p>
    <w:p w:rsidR="002D29A7" w:rsidRPr="0070711C" w:rsidRDefault="002D29A7" w:rsidP="002D29A7">
      <w:bookmarkStart w:id="0" w:name="_Toc353800481"/>
      <w:bookmarkStart w:id="1" w:name="_Toc390264055"/>
      <w:bookmarkStart w:id="2" w:name="_Toc471834934"/>
    </w:p>
    <w:bookmarkEnd w:id="0"/>
    <w:bookmarkEnd w:id="1"/>
    <w:bookmarkEnd w:id="2"/>
    <w:p w:rsidR="002D29A7" w:rsidRPr="000871AB" w:rsidRDefault="002D29A7" w:rsidP="002D29A7">
      <w:pPr>
        <w:pStyle w:val="Titolo1"/>
        <w:numPr>
          <w:ilvl w:val="0"/>
          <w:numId w:val="18"/>
        </w:numPr>
        <w:spacing w:before="0"/>
        <w:ind w:left="426" w:hanging="426"/>
        <w:jc w:val="both"/>
      </w:pPr>
      <w:r w:rsidRPr="000871AB">
        <w:t>RESOCONTO SULLA VIGILANZA DIRETTA</w:t>
      </w:r>
    </w:p>
    <w:p w:rsidR="002D29A7" w:rsidRPr="00736FC1" w:rsidRDefault="002D29A7" w:rsidP="002D29A7">
      <w:pPr>
        <w:rPr>
          <w:rFonts w:cs="Arial"/>
          <w:szCs w:val="24"/>
        </w:rPr>
      </w:pPr>
      <w:r w:rsidRPr="00736FC1">
        <w:rPr>
          <w:rFonts w:cs="Arial"/>
          <w:szCs w:val="24"/>
        </w:rPr>
        <w:t xml:space="preserve">Il resoconto sulla vigilanza diretta del CdS sull’attività di AET è inserito nel messaggio </w:t>
      </w:r>
      <w:r w:rsidR="00D25523">
        <w:rPr>
          <w:rFonts w:cs="Arial"/>
          <w:szCs w:val="24"/>
        </w:rPr>
        <w:br/>
      </w:r>
      <w:r w:rsidRPr="00736FC1">
        <w:rPr>
          <w:rFonts w:cs="Arial"/>
          <w:szCs w:val="24"/>
        </w:rPr>
        <w:t xml:space="preserve">n. 8056 del CdS sui conti AET 2020. </w:t>
      </w:r>
    </w:p>
    <w:p w:rsidR="002D29A7" w:rsidRPr="00D25523" w:rsidRDefault="002D29A7" w:rsidP="002D29A7">
      <w:pPr>
        <w:jc w:val="left"/>
        <w:rPr>
          <w:rFonts w:cs="Arial"/>
          <w:sz w:val="20"/>
          <w:szCs w:val="20"/>
          <w:lang w:val="it-IT" w:eastAsia="it-IT"/>
        </w:rPr>
      </w:pPr>
    </w:p>
    <w:p w:rsidR="002D29A7" w:rsidRPr="00077C9C" w:rsidRDefault="002D29A7" w:rsidP="002D29A7">
      <w:pPr>
        <w:rPr>
          <w:rFonts w:cs="Arial"/>
          <w:szCs w:val="24"/>
          <w:lang w:val="it-IT"/>
        </w:rPr>
      </w:pPr>
      <w:r w:rsidRPr="00077C9C">
        <w:rPr>
          <w:rFonts w:cs="Arial"/>
          <w:szCs w:val="24"/>
          <w:lang w:val="it-IT"/>
        </w:rPr>
        <w:t xml:space="preserve">Vi si </w:t>
      </w:r>
      <w:r>
        <w:rPr>
          <w:rFonts w:cs="Arial"/>
          <w:szCs w:val="24"/>
          <w:lang w:val="it-IT"/>
        </w:rPr>
        <w:t>può</w:t>
      </w:r>
      <w:r w:rsidRPr="00077C9C">
        <w:rPr>
          <w:rFonts w:cs="Arial"/>
          <w:szCs w:val="24"/>
          <w:lang w:val="it-IT"/>
        </w:rPr>
        <w:t xml:space="preserve"> leggere quanto trattato nei vari incontri, in particolare</w:t>
      </w:r>
      <w:r w:rsidR="00D25523">
        <w:rPr>
          <w:rFonts w:cs="Arial"/>
          <w:szCs w:val="24"/>
          <w:lang w:val="it-IT"/>
        </w:rPr>
        <w:t>:</w:t>
      </w:r>
      <w:r w:rsidRPr="00077C9C">
        <w:rPr>
          <w:rFonts w:cs="Arial"/>
          <w:szCs w:val="24"/>
          <w:lang w:val="it-IT"/>
        </w:rPr>
        <w:t xml:space="preserve"> </w:t>
      </w:r>
    </w:p>
    <w:p w:rsidR="002D29A7" w:rsidRPr="00736FC1" w:rsidRDefault="002D29A7" w:rsidP="00D25523">
      <w:pPr>
        <w:pStyle w:val="Paragrafoelenco"/>
        <w:numPr>
          <w:ilvl w:val="0"/>
          <w:numId w:val="22"/>
        </w:numPr>
        <w:spacing w:before="60"/>
        <w:ind w:left="425" w:hanging="425"/>
        <w:contextualSpacing w:val="0"/>
      </w:pPr>
      <w:r w:rsidRPr="00736FC1">
        <w:t>riversione e rinnovo concessione Lucendro;</w:t>
      </w:r>
    </w:p>
    <w:p w:rsidR="002D29A7" w:rsidRPr="00736FC1" w:rsidRDefault="002D29A7" w:rsidP="00D25523">
      <w:pPr>
        <w:pStyle w:val="Paragrafoelenco"/>
        <w:numPr>
          <w:ilvl w:val="0"/>
          <w:numId w:val="22"/>
        </w:numPr>
        <w:spacing w:before="60"/>
        <w:ind w:left="425" w:hanging="425"/>
        <w:contextualSpacing w:val="0"/>
      </w:pPr>
      <w:r w:rsidRPr="00736FC1">
        <w:t>temi concernenti Ofima e Ofible (fra cui richiesta di rinnovo delle concessioni, progetti di ammodernamento, aumento capacità di accumulazione dei bacini, …);</w:t>
      </w:r>
    </w:p>
    <w:p w:rsidR="002D29A7" w:rsidRPr="00736FC1" w:rsidRDefault="002D29A7" w:rsidP="00D25523">
      <w:pPr>
        <w:pStyle w:val="Paragrafoelenco"/>
        <w:numPr>
          <w:ilvl w:val="0"/>
          <w:numId w:val="22"/>
        </w:numPr>
        <w:spacing w:before="60"/>
        <w:ind w:left="425" w:hanging="425"/>
        <w:contextualSpacing w:val="0"/>
      </w:pPr>
      <w:r w:rsidRPr="00736FC1">
        <w:t>obiettivi strategici per AET 2021-2024;</w:t>
      </w:r>
    </w:p>
    <w:p w:rsidR="002D29A7" w:rsidRPr="00736FC1" w:rsidRDefault="002D29A7" w:rsidP="00D25523">
      <w:pPr>
        <w:pStyle w:val="Paragrafoelenco"/>
        <w:numPr>
          <w:ilvl w:val="0"/>
          <w:numId w:val="22"/>
        </w:numPr>
        <w:spacing w:before="60"/>
        <w:ind w:left="425" w:hanging="425"/>
        <w:contextualSpacing w:val="0"/>
      </w:pPr>
      <w:r w:rsidRPr="00736FC1">
        <w:t>ruolo dell’idroelettrico nella politica energetico-climatica e garanzia di approvvigiona-mento elettrico;</w:t>
      </w:r>
    </w:p>
    <w:p w:rsidR="002D29A7" w:rsidRPr="00736FC1" w:rsidRDefault="002D29A7" w:rsidP="00D25523">
      <w:pPr>
        <w:pStyle w:val="Paragrafoelenco"/>
        <w:numPr>
          <w:ilvl w:val="0"/>
          <w:numId w:val="22"/>
        </w:numPr>
        <w:spacing w:before="60"/>
        <w:ind w:left="425" w:hanging="425"/>
        <w:contextualSpacing w:val="0"/>
      </w:pPr>
      <w:r w:rsidRPr="00736FC1">
        <w:t>temi di politica energetica federale.</w:t>
      </w:r>
    </w:p>
    <w:p w:rsidR="002D29A7" w:rsidRPr="00D25523" w:rsidRDefault="002D29A7" w:rsidP="002D29A7">
      <w:pPr>
        <w:rPr>
          <w:rFonts w:cs="Arial"/>
          <w:sz w:val="20"/>
          <w:szCs w:val="20"/>
        </w:rPr>
      </w:pPr>
    </w:p>
    <w:p w:rsidR="002D29A7" w:rsidRPr="00736FC1" w:rsidRDefault="002D29A7" w:rsidP="002D29A7">
      <w:pPr>
        <w:rPr>
          <w:rFonts w:cs="Arial"/>
          <w:szCs w:val="24"/>
        </w:rPr>
      </w:pPr>
      <w:r w:rsidRPr="00736FC1">
        <w:rPr>
          <w:rFonts w:cs="Arial"/>
          <w:szCs w:val="24"/>
        </w:rPr>
        <w:t>Si prende atto anche della regolare e trasparente informazione su diverse tematiche esposte nel messaggio, a conferma dell’ottima collaborazione tra CdS e AET.</w:t>
      </w:r>
    </w:p>
    <w:p w:rsidR="002D29A7" w:rsidRPr="00D25523" w:rsidRDefault="002D29A7" w:rsidP="002D29A7">
      <w:pPr>
        <w:rPr>
          <w:rFonts w:cs="Arial"/>
          <w:sz w:val="20"/>
          <w:szCs w:val="20"/>
        </w:rPr>
      </w:pPr>
    </w:p>
    <w:p w:rsidR="002D29A7" w:rsidRPr="00736FC1" w:rsidRDefault="002D29A7" w:rsidP="002D29A7">
      <w:pPr>
        <w:rPr>
          <w:rFonts w:cs="Arial"/>
          <w:szCs w:val="24"/>
        </w:rPr>
      </w:pPr>
      <w:r w:rsidRPr="00736FC1">
        <w:rPr>
          <w:rFonts w:cs="Arial"/>
          <w:szCs w:val="24"/>
        </w:rPr>
        <w:t>Riteniamo l’informazione sull’attività di vigilanza diretta del Consiglio di Stato esauriente e soddisfacente.</w:t>
      </w:r>
    </w:p>
    <w:p w:rsidR="002D29A7" w:rsidRPr="00736FC1" w:rsidRDefault="002D29A7" w:rsidP="002D29A7">
      <w:pPr>
        <w:rPr>
          <w:rFonts w:eastAsia="Arial" w:cs="Arial"/>
          <w:szCs w:val="24"/>
          <w:lang w:val="it-IT"/>
        </w:rPr>
      </w:pPr>
    </w:p>
    <w:p w:rsidR="002D29A7" w:rsidRPr="0070711C" w:rsidRDefault="002D29A7" w:rsidP="002D29A7">
      <w:pPr>
        <w:rPr>
          <w:rFonts w:eastAsia="Arial" w:cs="Arial"/>
          <w:szCs w:val="24"/>
          <w:lang w:val="it-IT"/>
        </w:rPr>
      </w:pPr>
    </w:p>
    <w:p w:rsidR="002D29A7" w:rsidRPr="0070711C" w:rsidRDefault="002D29A7" w:rsidP="002D29A7">
      <w:pPr>
        <w:pStyle w:val="Titolo1"/>
        <w:numPr>
          <w:ilvl w:val="0"/>
          <w:numId w:val="18"/>
        </w:numPr>
        <w:spacing w:before="0"/>
        <w:ind w:left="426" w:hanging="426"/>
        <w:jc w:val="both"/>
      </w:pPr>
      <w:r w:rsidRPr="0070711C">
        <w:t>GRADO DI RAGGIUNGIMENTO DEGLI OBIETTIVI DI MANDATO PUBBLICO</w:t>
      </w:r>
    </w:p>
    <w:p w:rsidR="002D29A7" w:rsidRDefault="002D29A7" w:rsidP="002D29A7">
      <w:pPr>
        <w:rPr>
          <w:rFonts w:cs="Arial"/>
          <w:szCs w:val="24"/>
        </w:rPr>
      </w:pPr>
      <w:r w:rsidRPr="001E38BB">
        <w:rPr>
          <w:rFonts w:cs="Arial"/>
          <w:szCs w:val="24"/>
        </w:rPr>
        <w:t>La strategia aziendale di AET, descritta nel messaggio n. 8056 del CdS, presentata anche da AET in occasione dell’audizione del 9 dicembre 2021 con la CATE, è in linea con gli attuali documenti programmatici di riferimento (PEC – Piano d’azione 2013 e Piano Direttore – scheda V3 Energia).</w:t>
      </w:r>
    </w:p>
    <w:p w:rsidR="002D29A7" w:rsidRDefault="002D29A7" w:rsidP="002D29A7">
      <w:pPr>
        <w:rPr>
          <w:rFonts w:cs="Arial"/>
          <w:szCs w:val="24"/>
        </w:rPr>
      </w:pPr>
      <w:r w:rsidRPr="00B04CB0">
        <w:rPr>
          <w:rFonts w:cs="Arial"/>
          <w:szCs w:val="24"/>
        </w:rPr>
        <w:t>Grazie agli adattamenti strategici e organizzativi che l’Azienda ha dovuto operare per fronteggiare la difficile situazione del mercato elettrico internazionale</w:t>
      </w:r>
      <w:r>
        <w:rPr>
          <w:rFonts w:cs="Arial"/>
          <w:szCs w:val="24"/>
        </w:rPr>
        <w:t>,</w:t>
      </w:r>
      <w:r w:rsidRPr="00B04CB0">
        <w:rPr>
          <w:rFonts w:cs="Arial"/>
          <w:szCs w:val="24"/>
        </w:rPr>
        <w:t xml:space="preserve"> che ha provocato importanti emorragie finanziarie alla nostra Azienda nel recente passato, come avvenuto per gli anni 2017, 2018 e 2019, anche nel 2020 AET ha continuato a lavorare in modo lineare, concentrandosi sul proprio core-businnes, cioè sulla valorizzazione del proprio portafoglio idroelettrico.</w:t>
      </w:r>
    </w:p>
    <w:p w:rsidR="002D29A7" w:rsidRPr="00B04CB0" w:rsidRDefault="002D29A7" w:rsidP="002D29A7">
      <w:pPr>
        <w:rPr>
          <w:rFonts w:cs="Arial"/>
          <w:szCs w:val="24"/>
        </w:rPr>
      </w:pPr>
    </w:p>
    <w:p w:rsidR="002D29A7" w:rsidRDefault="002D29A7" w:rsidP="002D29A7">
      <w:pPr>
        <w:spacing w:after="120"/>
        <w:rPr>
          <w:rFonts w:cs="Arial"/>
          <w:b/>
          <w:szCs w:val="24"/>
        </w:rPr>
      </w:pPr>
      <w:r w:rsidRPr="0070711C">
        <w:rPr>
          <w:rFonts w:cs="Arial"/>
          <w:b/>
          <w:szCs w:val="24"/>
        </w:rPr>
        <w:t xml:space="preserve">Progetti </w:t>
      </w:r>
      <w:r>
        <w:rPr>
          <w:rFonts w:cs="Arial"/>
          <w:b/>
          <w:szCs w:val="24"/>
        </w:rPr>
        <w:t xml:space="preserve">strategici </w:t>
      </w:r>
    </w:p>
    <w:p w:rsidR="002D29A7" w:rsidRPr="0070711C" w:rsidRDefault="002D29A7" w:rsidP="00D25523">
      <w:pPr>
        <w:spacing w:after="60"/>
        <w:rPr>
          <w:rFonts w:cs="Arial"/>
          <w:szCs w:val="24"/>
        </w:rPr>
      </w:pPr>
      <w:r w:rsidRPr="0070711C">
        <w:rPr>
          <w:rFonts w:cs="Arial"/>
          <w:szCs w:val="24"/>
        </w:rPr>
        <w:t>In particolare per il 20</w:t>
      </w:r>
      <w:r>
        <w:rPr>
          <w:rFonts w:cs="Arial"/>
          <w:szCs w:val="24"/>
        </w:rPr>
        <w:t>20</w:t>
      </w:r>
      <w:r w:rsidRPr="0070711C">
        <w:rPr>
          <w:rFonts w:cs="Arial"/>
          <w:szCs w:val="24"/>
        </w:rPr>
        <w:t xml:space="preserve"> si possono segnalare i seguenti progetti strategici</w:t>
      </w:r>
      <w:r>
        <w:rPr>
          <w:rFonts w:cs="Arial"/>
          <w:szCs w:val="24"/>
        </w:rPr>
        <w:t>:</w:t>
      </w:r>
    </w:p>
    <w:p w:rsidR="002D29A7" w:rsidRPr="0070711C" w:rsidRDefault="002D29A7" w:rsidP="002D29A7">
      <w:pPr>
        <w:pStyle w:val="Paragrafoelenco"/>
        <w:numPr>
          <w:ilvl w:val="0"/>
          <w:numId w:val="20"/>
        </w:numPr>
        <w:spacing w:after="120"/>
        <w:ind w:left="425" w:hanging="357"/>
        <w:contextualSpacing w:val="0"/>
        <w:rPr>
          <w:rFonts w:cs="Arial"/>
          <w:szCs w:val="24"/>
        </w:rPr>
      </w:pPr>
      <w:r w:rsidRPr="0070711C">
        <w:rPr>
          <w:rFonts w:cs="Arial"/>
          <w:szCs w:val="24"/>
        </w:rPr>
        <w:t>Nuova centrale del Ritom (l</w:t>
      </w:r>
      <w:r>
        <w:rPr>
          <w:rFonts w:cs="Arial"/>
          <w:szCs w:val="24"/>
        </w:rPr>
        <w:t>’</w:t>
      </w:r>
      <w:r w:rsidRPr="0070711C">
        <w:rPr>
          <w:rFonts w:cs="Arial"/>
          <w:szCs w:val="24"/>
        </w:rPr>
        <w:t>entrata in servizio del nuovo impianto è prevista per il 2024)</w:t>
      </w:r>
    </w:p>
    <w:p w:rsidR="002D29A7" w:rsidRDefault="002D29A7" w:rsidP="00D25523">
      <w:pPr>
        <w:pStyle w:val="Paragrafoelenco"/>
        <w:numPr>
          <w:ilvl w:val="0"/>
          <w:numId w:val="20"/>
        </w:numPr>
        <w:spacing w:after="60"/>
        <w:ind w:left="425" w:hanging="357"/>
        <w:contextualSpacing w:val="0"/>
        <w:rPr>
          <w:rFonts w:cs="Arial"/>
          <w:szCs w:val="24"/>
        </w:rPr>
      </w:pPr>
      <w:r w:rsidRPr="0070711C">
        <w:rPr>
          <w:rFonts w:cs="Arial"/>
          <w:szCs w:val="24"/>
        </w:rPr>
        <w:t>Parco eolico del San Gottardo, inaugurato il 15 ottobre 2020</w:t>
      </w:r>
      <w:r>
        <w:rPr>
          <w:rFonts w:cs="Arial"/>
          <w:szCs w:val="24"/>
        </w:rPr>
        <w:t>,</w:t>
      </w:r>
      <w:r w:rsidRPr="0070711C">
        <w:rPr>
          <w:rFonts w:cs="Arial"/>
          <w:szCs w:val="24"/>
        </w:rPr>
        <w:t xml:space="preserve"> le cui opere conclusive relative ai compensi ambientali sono previste a primavera 202</w:t>
      </w:r>
      <w:bookmarkStart w:id="3" w:name="_Toc390264058"/>
      <w:bookmarkEnd w:id="3"/>
      <w:r>
        <w:rPr>
          <w:rFonts w:cs="Arial"/>
          <w:szCs w:val="24"/>
        </w:rPr>
        <w:t>2</w:t>
      </w:r>
    </w:p>
    <w:p w:rsidR="002D29A7" w:rsidRPr="00E428CD" w:rsidRDefault="002D29A7" w:rsidP="002D29A7">
      <w:pPr>
        <w:pStyle w:val="Paragrafoelenco"/>
        <w:numPr>
          <w:ilvl w:val="0"/>
          <w:numId w:val="20"/>
        </w:numPr>
        <w:spacing w:after="120"/>
        <w:ind w:left="425" w:hanging="357"/>
        <w:contextualSpacing w:val="0"/>
        <w:rPr>
          <w:rFonts w:cs="Arial"/>
          <w:szCs w:val="24"/>
        </w:rPr>
      </w:pPr>
      <w:r>
        <w:rPr>
          <w:rFonts w:cs="Arial"/>
          <w:szCs w:val="24"/>
        </w:rPr>
        <w:t>Partecipate estere (</w:t>
      </w:r>
      <w:r w:rsidRPr="003515FD">
        <w:t>Lünen</w:t>
      </w:r>
      <w:r>
        <w:t xml:space="preserve"> unica partecipata rimasta; sarà dismessa conformemente ai piani del Governo tedesco)</w:t>
      </w:r>
    </w:p>
    <w:p w:rsidR="002D29A7" w:rsidRPr="0070711C" w:rsidRDefault="002D29A7" w:rsidP="002D29A7">
      <w:pPr>
        <w:rPr>
          <w:rFonts w:cs="Arial"/>
          <w:szCs w:val="24"/>
        </w:rPr>
      </w:pPr>
      <w:r w:rsidRPr="0070711C">
        <w:rPr>
          <w:rFonts w:cs="Arial"/>
          <w:szCs w:val="24"/>
        </w:rPr>
        <w:t>La CCMP-AET ritiene che l’operatività 20</w:t>
      </w:r>
      <w:r>
        <w:rPr>
          <w:rFonts w:cs="Arial"/>
          <w:szCs w:val="24"/>
        </w:rPr>
        <w:t>20</w:t>
      </w:r>
      <w:r w:rsidRPr="0070711C">
        <w:rPr>
          <w:rFonts w:cs="Arial"/>
          <w:szCs w:val="24"/>
        </w:rPr>
        <w:t xml:space="preserve"> di AET rispetti pienamente gli obiettivi strategici definiti dal Piano energetico cantonale (PEC) e dalla scheda di Piano direttore </w:t>
      </w:r>
      <w:r>
        <w:rPr>
          <w:rFonts w:cs="Arial"/>
          <w:szCs w:val="24"/>
        </w:rPr>
        <w:t xml:space="preserve">- </w:t>
      </w:r>
      <w:r w:rsidRPr="0070711C">
        <w:rPr>
          <w:rFonts w:cs="Arial"/>
          <w:szCs w:val="24"/>
        </w:rPr>
        <w:t>V3 Energia.</w:t>
      </w:r>
    </w:p>
    <w:p w:rsidR="002D29A7" w:rsidRPr="004F41BE" w:rsidRDefault="002D29A7" w:rsidP="002D29A7">
      <w:pPr>
        <w:rPr>
          <w:rFonts w:cs="Arial"/>
          <w:szCs w:val="24"/>
        </w:rPr>
      </w:pPr>
    </w:p>
    <w:p w:rsidR="002D29A7" w:rsidRPr="005E5321" w:rsidRDefault="002D29A7" w:rsidP="002D29A7">
      <w:pPr>
        <w:rPr>
          <w:rFonts w:cs="Arial"/>
          <w:szCs w:val="24"/>
        </w:rPr>
      </w:pPr>
      <w:r>
        <w:rPr>
          <w:rFonts w:cs="Arial"/>
          <w:szCs w:val="24"/>
        </w:rPr>
        <w:t xml:space="preserve">Il 2020 si è contraddistinto per difficoltà di gestione ed operative legate alla </w:t>
      </w:r>
      <w:r w:rsidRPr="003D611C">
        <w:rPr>
          <w:rFonts w:cs="Arial"/>
          <w:szCs w:val="24"/>
        </w:rPr>
        <w:t>pandemia COVID-19</w:t>
      </w:r>
      <w:r>
        <w:rPr>
          <w:rFonts w:cs="Arial"/>
          <w:szCs w:val="24"/>
        </w:rPr>
        <w:t xml:space="preserve">. Malgrado ciò il risultato si presenta in crescita rispetto al risultato già positivo dell’anno precedente. Questo risultato è stato influenzato </w:t>
      </w:r>
      <w:r w:rsidRPr="005E5321">
        <w:rPr>
          <w:rFonts w:cs="Arial"/>
          <w:szCs w:val="24"/>
        </w:rPr>
        <w:t>dei prezzi dell’energia all’ingrosso osservat</w:t>
      </w:r>
      <w:r>
        <w:rPr>
          <w:rFonts w:cs="Arial"/>
          <w:szCs w:val="24"/>
        </w:rPr>
        <w:t>i</w:t>
      </w:r>
      <w:r w:rsidRPr="005E5321">
        <w:rPr>
          <w:rFonts w:cs="Arial"/>
          <w:szCs w:val="24"/>
        </w:rPr>
        <w:t xml:space="preserve"> negli anni passati </w:t>
      </w:r>
      <w:r>
        <w:rPr>
          <w:rFonts w:cs="Arial"/>
          <w:szCs w:val="24"/>
        </w:rPr>
        <w:t>e supportato</w:t>
      </w:r>
      <w:r w:rsidRPr="005E5321">
        <w:rPr>
          <w:rFonts w:cs="Arial"/>
          <w:szCs w:val="24"/>
        </w:rPr>
        <w:t xml:space="preserve"> da una produzione idroelettrica superiore alla media pluriennale. </w:t>
      </w:r>
    </w:p>
    <w:p w:rsidR="002D29A7" w:rsidRPr="0010297F" w:rsidRDefault="002D29A7" w:rsidP="002D29A7">
      <w:pPr>
        <w:rPr>
          <w:rFonts w:cs="Arial"/>
          <w:szCs w:val="24"/>
        </w:rPr>
      </w:pPr>
    </w:p>
    <w:p w:rsidR="002D29A7" w:rsidRPr="0070711C" w:rsidRDefault="002D29A7" w:rsidP="002D29A7">
      <w:pPr>
        <w:spacing w:after="120"/>
        <w:rPr>
          <w:rFonts w:cs="Arial"/>
          <w:b/>
          <w:szCs w:val="24"/>
        </w:rPr>
      </w:pPr>
      <w:r w:rsidRPr="0070711C">
        <w:rPr>
          <w:rFonts w:cs="Arial"/>
          <w:b/>
          <w:szCs w:val="24"/>
        </w:rPr>
        <w:t>Strategie future</w:t>
      </w:r>
    </w:p>
    <w:p w:rsidR="002D29A7" w:rsidRPr="0070711C" w:rsidRDefault="002D29A7" w:rsidP="00D25523">
      <w:pPr>
        <w:spacing w:after="60"/>
        <w:rPr>
          <w:rFonts w:cs="Arial"/>
          <w:bCs/>
          <w:szCs w:val="24"/>
        </w:rPr>
      </w:pPr>
      <w:r w:rsidRPr="0070711C">
        <w:rPr>
          <w:rFonts w:cs="Arial"/>
          <w:bCs/>
          <w:szCs w:val="24"/>
        </w:rPr>
        <w:t>Per il futuro AET ha concepito una politica energetica ed ambientale sostenibile</w:t>
      </w:r>
      <w:r>
        <w:rPr>
          <w:rFonts w:cs="Arial"/>
          <w:bCs/>
          <w:szCs w:val="24"/>
        </w:rPr>
        <w:t xml:space="preserve"> e coerente con gli indirizzi della Strategia energetica 2050, condivisi anche dalla scrivente commissione, ponendo </w:t>
      </w:r>
      <w:r w:rsidRPr="0070711C">
        <w:rPr>
          <w:rFonts w:cs="Arial"/>
          <w:bCs/>
          <w:szCs w:val="24"/>
        </w:rPr>
        <w:t>i seguenti obbiettivi strategici:</w:t>
      </w:r>
    </w:p>
    <w:p w:rsidR="002D29A7" w:rsidRPr="0070711C" w:rsidRDefault="002D29A7" w:rsidP="00D25523">
      <w:pPr>
        <w:pStyle w:val="Paragrafoelenco"/>
        <w:numPr>
          <w:ilvl w:val="0"/>
          <w:numId w:val="20"/>
        </w:numPr>
        <w:spacing w:after="60"/>
        <w:ind w:left="425" w:hanging="425"/>
        <w:contextualSpacing w:val="0"/>
        <w:rPr>
          <w:rFonts w:cs="Arial"/>
          <w:szCs w:val="24"/>
        </w:rPr>
      </w:pPr>
      <w:r w:rsidRPr="0070711C">
        <w:rPr>
          <w:rFonts w:cs="Arial"/>
          <w:szCs w:val="24"/>
        </w:rPr>
        <w:t xml:space="preserve">aumentare la quota di produzione di nuove energie rinnovabili in Ticino; </w:t>
      </w:r>
    </w:p>
    <w:p w:rsidR="002D29A7" w:rsidRPr="0070711C" w:rsidRDefault="002D29A7" w:rsidP="00D25523">
      <w:pPr>
        <w:pStyle w:val="Paragrafoelenco"/>
        <w:numPr>
          <w:ilvl w:val="0"/>
          <w:numId w:val="20"/>
        </w:numPr>
        <w:spacing w:after="60"/>
        <w:ind w:left="425" w:hanging="425"/>
        <w:contextualSpacing w:val="0"/>
        <w:rPr>
          <w:rFonts w:cs="Arial"/>
          <w:szCs w:val="24"/>
        </w:rPr>
      </w:pPr>
      <w:r w:rsidRPr="0070711C">
        <w:rPr>
          <w:rFonts w:cs="Arial"/>
          <w:szCs w:val="24"/>
        </w:rPr>
        <w:t xml:space="preserve">ottimizzare le produzioni rinnovabili indigene, in particolare l'idroelettrico; </w:t>
      </w:r>
    </w:p>
    <w:p w:rsidR="002D29A7" w:rsidRPr="0070711C" w:rsidRDefault="002D29A7" w:rsidP="00D25523">
      <w:pPr>
        <w:pStyle w:val="Paragrafoelenco"/>
        <w:numPr>
          <w:ilvl w:val="0"/>
          <w:numId w:val="20"/>
        </w:numPr>
        <w:spacing w:after="60"/>
        <w:ind w:left="425" w:hanging="425"/>
        <w:contextualSpacing w:val="0"/>
        <w:rPr>
          <w:rFonts w:cs="Arial"/>
          <w:szCs w:val="24"/>
        </w:rPr>
      </w:pPr>
      <w:r w:rsidRPr="0070711C">
        <w:rPr>
          <w:rFonts w:cs="Arial"/>
          <w:szCs w:val="24"/>
        </w:rPr>
        <w:t>assicurare la redditivit</w:t>
      </w:r>
      <w:r w:rsidR="00D25523">
        <w:rPr>
          <w:rFonts w:cs="Arial"/>
          <w:szCs w:val="24"/>
        </w:rPr>
        <w:t>à</w:t>
      </w:r>
      <w:r w:rsidRPr="0070711C">
        <w:rPr>
          <w:rFonts w:cs="Arial"/>
          <w:szCs w:val="24"/>
        </w:rPr>
        <w:t xml:space="preserve"> della produzione idroelettrica svizzera; </w:t>
      </w:r>
    </w:p>
    <w:p w:rsidR="002D29A7" w:rsidRPr="0070711C" w:rsidRDefault="002D29A7" w:rsidP="00D25523">
      <w:pPr>
        <w:pStyle w:val="Paragrafoelenco"/>
        <w:numPr>
          <w:ilvl w:val="0"/>
          <w:numId w:val="20"/>
        </w:numPr>
        <w:spacing w:after="60"/>
        <w:ind w:left="425" w:hanging="425"/>
        <w:contextualSpacing w:val="0"/>
        <w:rPr>
          <w:rFonts w:cs="Arial"/>
          <w:szCs w:val="24"/>
        </w:rPr>
      </w:pPr>
      <w:r w:rsidRPr="0070711C">
        <w:rPr>
          <w:rFonts w:cs="Arial"/>
          <w:szCs w:val="24"/>
        </w:rPr>
        <w:t>garantire un sostegno a investimenti di lungo termine per il rinnovo e l'ammodernamento delle centrali idroelettriche esistenti</w:t>
      </w:r>
      <w:r>
        <w:rPr>
          <w:rFonts w:cs="Arial"/>
          <w:szCs w:val="24"/>
        </w:rPr>
        <w:t xml:space="preserve"> e impianti di teleriscaldamento</w:t>
      </w:r>
      <w:r w:rsidRPr="0070711C">
        <w:rPr>
          <w:rFonts w:cs="Arial"/>
          <w:szCs w:val="24"/>
        </w:rPr>
        <w:t xml:space="preserve">; </w:t>
      </w:r>
    </w:p>
    <w:p w:rsidR="002D29A7" w:rsidRPr="0070711C" w:rsidRDefault="002D29A7" w:rsidP="00D25523">
      <w:pPr>
        <w:pStyle w:val="Paragrafoelenco"/>
        <w:numPr>
          <w:ilvl w:val="0"/>
          <w:numId w:val="20"/>
        </w:numPr>
        <w:spacing w:after="60"/>
        <w:ind w:left="425" w:hanging="425"/>
        <w:contextualSpacing w:val="0"/>
        <w:rPr>
          <w:rFonts w:cs="Arial"/>
          <w:szCs w:val="24"/>
        </w:rPr>
      </w:pPr>
      <w:r w:rsidRPr="0070711C">
        <w:rPr>
          <w:rFonts w:cs="Arial"/>
          <w:szCs w:val="24"/>
        </w:rPr>
        <w:t xml:space="preserve">garantire la sicurezza di approvvigionamento, per esempio implementando una riserva strategica; </w:t>
      </w:r>
    </w:p>
    <w:p w:rsidR="002D29A7" w:rsidRPr="0070711C" w:rsidRDefault="002D29A7" w:rsidP="00D25523">
      <w:pPr>
        <w:pStyle w:val="Paragrafoelenco"/>
        <w:numPr>
          <w:ilvl w:val="0"/>
          <w:numId w:val="20"/>
        </w:numPr>
        <w:spacing w:after="60"/>
        <w:ind w:left="425" w:hanging="425"/>
        <w:contextualSpacing w:val="0"/>
        <w:rPr>
          <w:rFonts w:cs="Arial"/>
          <w:szCs w:val="24"/>
        </w:rPr>
      </w:pPr>
      <w:r w:rsidRPr="0070711C">
        <w:rPr>
          <w:rFonts w:cs="Arial"/>
          <w:szCs w:val="24"/>
        </w:rPr>
        <w:t>apportare adeguamenti negli ambiti della flessibilit</w:t>
      </w:r>
      <w:r w:rsidR="00D25523">
        <w:rPr>
          <w:rFonts w:cs="Arial"/>
          <w:szCs w:val="24"/>
        </w:rPr>
        <w:t>à</w:t>
      </w:r>
      <w:r w:rsidRPr="0070711C">
        <w:rPr>
          <w:rFonts w:cs="Arial"/>
          <w:szCs w:val="24"/>
        </w:rPr>
        <w:t xml:space="preserve">, della regolazione e dei sistemi di misura dei quantitativi secondo vari criteri (tempo, univoco o biunivoco, frequenza, ecc.) per meglio gestire nella rete produzione e consumi; </w:t>
      </w:r>
    </w:p>
    <w:p w:rsidR="002D29A7" w:rsidRPr="0070711C" w:rsidRDefault="002D29A7" w:rsidP="00D25523">
      <w:pPr>
        <w:pStyle w:val="Paragrafoelenco"/>
        <w:numPr>
          <w:ilvl w:val="0"/>
          <w:numId w:val="20"/>
        </w:numPr>
        <w:ind w:left="425" w:hanging="425"/>
        <w:contextualSpacing w:val="0"/>
        <w:rPr>
          <w:rFonts w:cs="Arial"/>
          <w:szCs w:val="24"/>
        </w:rPr>
      </w:pPr>
      <w:r w:rsidRPr="0070711C">
        <w:rPr>
          <w:rFonts w:cs="Arial"/>
          <w:szCs w:val="24"/>
        </w:rPr>
        <w:t>gestire</w:t>
      </w:r>
      <w:r>
        <w:rPr>
          <w:rFonts w:cs="Arial"/>
          <w:szCs w:val="24"/>
        </w:rPr>
        <w:t xml:space="preserve"> ed ottimizzare la flessibilità</w:t>
      </w:r>
      <w:r w:rsidRPr="0070711C">
        <w:rPr>
          <w:rFonts w:cs="Arial"/>
          <w:szCs w:val="24"/>
        </w:rPr>
        <w:t xml:space="preserve"> (</w:t>
      </w:r>
      <w:r>
        <w:rPr>
          <w:rFonts w:cs="Arial"/>
          <w:szCs w:val="24"/>
        </w:rPr>
        <w:t>D</w:t>
      </w:r>
      <w:r w:rsidRPr="0070711C">
        <w:rPr>
          <w:rFonts w:cs="Arial"/>
          <w:szCs w:val="24"/>
        </w:rPr>
        <w:t>emand Side Management)</w:t>
      </w:r>
      <w:r w:rsidR="00D25523">
        <w:rPr>
          <w:rFonts w:cs="Arial"/>
          <w:szCs w:val="24"/>
        </w:rPr>
        <w:t>.</w:t>
      </w:r>
      <w:r w:rsidRPr="0070711C">
        <w:rPr>
          <w:rFonts w:cs="Arial"/>
          <w:szCs w:val="24"/>
        </w:rPr>
        <w:t xml:space="preserve"> </w:t>
      </w:r>
    </w:p>
    <w:p w:rsidR="002D29A7" w:rsidRDefault="002D29A7" w:rsidP="002D29A7">
      <w:pPr>
        <w:rPr>
          <w:lang w:eastAsia="it-IT"/>
        </w:rPr>
      </w:pPr>
    </w:p>
    <w:p w:rsidR="002D29A7" w:rsidRPr="00E428CD" w:rsidRDefault="002D29A7" w:rsidP="002D29A7">
      <w:pPr>
        <w:rPr>
          <w:lang w:eastAsia="it-IT"/>
        </w:rPr>
      </w:pPr>
    </w:p>
    <w:p w:rsidR="002D29A7" w:rsidRPr="00E36C97" w:rsidRDefault="002D29A7" w:rsidP="002D29A7">
      <w:pPr>
        <w:pStyle w:val="Titolo1"/>
        <w:numPr>
          <w:ilvl w:val="0"/>
          <w:numId w:val="18"/>
        </w:numPr>
        <w:spacing w:before="0"/>
        <w:ind w:left="426" w:hanging="426"/>
        <w:jc w:val="both"/>
      </w:pPr>
      <w:r w:rsidRPr="00E36C97">
        <w:t>CONCLUSIONI</w:t>
      </w:r>
    </w:p>
    <w:p w:rsidR="002D29A7" w:rsidRPr="00E36C97" w:rsidRDefault="002D29A7" w:rsidP="002D29A7">
      <w:pPr>
        <w:rPr>
          <w:rFonts w:cs="Arial"/>
          <w:szCs w:val="24"/>
        </w:rPr>
      </w:pPr>
      <w:r w:rsidRPr="00E36C97">
        <w:rPr>
          <w:rFonts w:cs="Arial"/>
          <w:szCs w:val="24"/>
        </w:rPr>
        <w:t>Sulla base dei documenti visionati e delle audizioni eseguite, la CCMP-AET può confermare che il Consiglio di Stato esercita coerentemente alle disposizioni legali l’attività di vigilanza diretta e può altresì confermare che gli obiettivi conferiti dal mandato pubblico sono pienamente raggiunti.</w:t>
      </w:r>
    </w:p>
    <w:p w:rsidR="002D29A7" w:rsidRPr="00325818" w:rsidRDefault="002D29A7" w:rsidP="002D29A7">
      <w:pPr>
        <w:rPr>
          <w:rFonts w:cs="Arial"/>
          <w:szCs w:val="24"/>
        </w:rPr>
      </w:pPr>
    </w:p>
    <w:p w:rsidR="002D29A7" w:rsidRPr="00325818" w:rsidRDefault="002D29A7" w:rsidP="002D29A7">
      <w:pPr>
        <w:rPr>
          <w:rFonts w:cs="Arial"/>
          <w:szCs w:val="24"/>
        </w:rPr>
      </w:pPr>
      <w:r w:rsidRPr="00325818">
        <w:rPr>
          <w:rFonts w:cs="Arial"/>
          <w:szCs w:val="24"/>
        </w:rPr>
        <w:lastRenderedPageBreak/>
        <w:t>La CCMP-AET tiene infine a ringraziare i vertici e le maestranze dell’Azienda per l’impegno profuso volto a raggiungere i soddisfacenti risultati presentati per l’esercizio in questione, in un contesto particolare.</w:t>
      </w:r>
    </w:p>
    <w:p w:rsidR="002D29A7" w:rsidRDefault="002D29A7" w:rsidP="002D29A7">
      <w:pPr>
        <w:rPr>
          <w:rFonts w:cs="Arial"/>
          <w:szCs w:val="24"/>
        </w:rPr>
      </w:pPr>
    </w:p>
    <w:p w:rsidR="002D29A7" w:rsidRPr="00325818" w:rsidRDefault="002D29A7" w:rsidP="002D29A7">
      <w:pPr>
        <w:rPr>
          <w:rFonts w:cs="Arial"/>
          <w:szCs w:val="24"/>
        </w:rPr>
      </w:pPr>
    </w:p>
    <w:p w:rsidR="002D29A7" w:rsidRPr="00325818" w:rsidRDefault="002D29A7" w:rsidP="002D29A7">
      <w:pPr>
        <w:spacing w:after="120"/>
        <w:rPr>
          <w:rFonts w:cs="Arial"/>
          <w:szCs w:val="24"/>
        </w:rPr>
      </w:pPr>
      <w:r w:rsidRPr="00325818">
        <w:rPr>
          <w:rFonts w:cs="Arial"/>
          <w:szCs w:val="24"/>
        </w:rPr>
        <w:t>Per la Commissione del con</w:t>
      </w:r>
      <w:r>
        <w:rPr>
          <w:rFonts w:cs="Arial"/>
          <w:szCs w:val="24"/>
        </w:rPr>
        <w:t>t</w:t>
      </w:r>
      <w:r w:rsidRPr="00325818">
        <w:rPr>
          <w:rFonts w:cs="Arial"/>
          <w:szCs w:val="24"/>
        </w:rPr>
        <w:t>rollo del mandato pubblico dell’AET</w:t>
      </w:r>
      <w:r w:rsidR="00D25523">
        <w:rPr>
          <w:rFonts w:cs="Arial"/>
          <w:szCs w:val="24"/>
        </w:rPr>
        <w:t>:</w:t>
      </w:r>
    </w:p>
    <w:p w:rsidR="002D29A7" w:rsidRDefault="002D29A7" w:rsidP="002D29A7">
      <w:pPr>
        <w:rPr>
          <w:rFonts w:cs="Arial"/>
          <w:szCs w:val="24"/>
        </w:rPr>
      </w:pPr>
      <w:r w:rsidRPr="00E36C97">
        <w:rPr>
          <w:szCs w:val="24"/>
        </w:rPr>
        <w:t>Omar Terra</w:t>
      </w:r>
      <w:r w:rsidR="00D25523">
        <w:rPr>
          <w:szCs w:val="24"/>
        </w:rPr>
        <w:t>n</w:t>
      </w:r>
      <w:r w:rsidRPr="00E36C97">
        <w:rPr>
          <w:szCs w:val="24"/>
        </w:rPr>
        <w:t>eo (</w:t>
      </w:r>
      <w:r w:rsidR="00D25523">
        <w:rPr>
          <w:szCs w:val="24"/>
        </w:rPr>
        <w:t>P</w:t>
      </w:r>
      <w:r w:rsidRPr="00E36C97">
        <w:rPr>
          <w:szCs w:val="24"/>
        </w:rPr>
        <w:t xml:space="preserve">residente e </w:t>
      </w:r>
      <w:r w:rsidRPr="00E36C97">
        <w:rPr>
          <w:rFonts w:cs="Arial"/>
          <w:szCs w:val="24"/>
        </w:rPr>
        <w:t xml:space="preserve">relatore) </w:t>
      </w:r>
    </w:p>
    <w:p w:rsidR="00D649A8" w:rsidRPr="002D29A7" w:rsidRDefault="002D29A7" w:rsidP="002D29A7">
      <w:r w:rsidRPr="00E36C97">
        <w:rPr>
          <w:szCs w:val="24"/>
        </w:rPr>
        <w:t xml:space="preserve">Alberti </w:t>
      </w:r>
      <w:r>
        <w:rPr>
          <w:szCs w:val="24"/>
        </w:rPr>
        <w:t>-</w:t>
      </w:r>
      <w:r w:rsidR="00D25523">
        <w:rPr>
          <w:szCs w:val="24"/>
        </w:rPr>
        <w:t xml:space="preserve"> </w:t>
      </w:r>
      <w:r w:rsidRPr="00E36C97">
        <w:rPr>
          <w:szCs w:val="24"/>
        </w:rPr>
        <w:t xml:space="preserve">Battaglioni </w:t>
      </w:r>
      <w:r>
        <w:rPr>
          <w:szCs w:val="24"/>
        </w:rPr>
        <w:t>-</w:t>
      </w:r>
      <w:r w:rsidR="00D25523">
        <w:rPr>
          <w:szCs w:val="24"/>
        </w:rPr>
        <w:t xml:space="preserve"> </w:t>
      </w:r>
      <w:bookmarkStart w:id="4" w:name="_GoBack"/>
      <w:bookmarkEnd w:id="4"/>
      <w:r w:rsidRPr="00E36C97">
        <w:rPr>
          <w:szCs w:val="24"/>
        </w:rPr>
        <w:t xml:space="preserve">Buri </w:t>
      </w:r>
      <w:r>
        <w:rPr>
          <w:szCs w:val="24"/>
        </w:rPr>
        <w:t xml:space="preserve">- </w:t>
      </w:r>
      <w:r w:rsidRPr="00E36C97">
        <w:rPr>
          <w:szCs w:val="24"/>
        </w:rPr>
        <w:t>Pino</w:t>
      </w:r>
      <w:r w:rsidR="00D25523">
        <w:rPr>
          <w:szCs w:val="24"/>
        </w:rPr>
        <w:t>j</w:t>
      </w:r>
      <w:r w:rsidRPr="00E36C97">
        <w:rPr>
          <w:szCs w:val="24"/>
        </w:rPr>
        <w:t xml:space="preserve">a </w:t>
      </w:r>
      <w:r>
        <w:rPr>
          <w:szCs w:val="24"/>
        </w:rPr>
        <w:t>-</w:t>
      </w:r>
      <w:r w:rsidRPr="00E36C97">
        <w:rPr>
          <w:szCs w:val="24"/>
        </w:rPr>
        <w:t xml:space="preserve"> </w:t>
      </w:r>
      <w:r w:rsidRPr="00E36C97">
        <w:t>Scho</w:t>
      </w:r>
      <w:r w:rsidR="00D25523">
        <w:t xml:space="preserve">enenberger </w:t>
      </w:r>
    </w:p>
    <w:sectPr w:rsidR="00D649A8" w:rsidRPr="002D29A7" w:rsidSect="00375115">
      <w:headerReference w:type="default" r:id="rId12"/>
      <w:footerReference w:type="default" r:id="rId13"/>
      <w:headerReference w:type="first" r:id="rId14"/>
      <w:footerReference w:type="first" r:id="rId15"/>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9A7" w:rsidRDefault="002D29A7" w:rsidP="00F657BF">
      <w:r>
        <w:separator/>
      </w:r>
    </w:p>
  </w:endnote>
  <w:endnote w:type="continuationSeparator" w:id="0">
    <w:p w:rsidR="002D29A7" w:rsidRDefault="002D29A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0C7821" w:rsidP="00912E34">
          <w:pPr>
            <w:tabs>
              <w:tab w:val="center" w:pos="2382"/>
            </w:tabs>
          </w:pPr>
        </w:p>
      </w:tc>
      <w:tc>
        <w:tcPr>
          <w:tcW w:w="721" w:type="dxa"/>
        </w:tcPr>
        <w:p w:rsidR="00912E34" w:rsidRPr="003D1008" w:rsidRDefault="000C7821"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0C7821"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0C7821" w:rsidP="00912E34"/>
      </w:tc>
    </w:tr>
  </w:tbl>
  <w:p w:rsidR="00F657BF" w:rsidRDefault="00F657BF" w:rsidP="00F5689F">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0C7821">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9A7" w:rsidRDefault="002D29A7" w:rsidP="00F657BF">
      <w:r>
        <w:separator/>
      </w:r>
    </w:p>
  </w:footnote>
  <w:footnote w:type="continuationSeparator" w:id="0">
    <w:p w:rsidR="002D29A7" w:rsidRDefault="002D29A7" w:rsidP="00F657BF">
      <w:r>
        <w:continuationSeparator/>
      </w:r>
    </w:p>
  </w:footnote>
  <w:footnote w:id="1">
    <w:p w:rsidR="002D29A7" w:rsidRPr="00961D9B" w:rsidRDefault="002D29A7" w:rsidP="002D29A7">
      <w:pPr>
        <w:pStyle w:val="Testonotaapidipagina"/>
        <w:rPr>
          <w:sz w:val="20"/>
        </w:rPr>
      </w:pPr>
      <w:r w:rsidRPr="00961D9B">
        <w:rPr>
          <w:rStyle w:val="Rimandonotaapidipagina"/>
          <w:sz w:val="20"/>
        </w:rPr>
        <w:footnoteRef/>
      </w:r>
      <w:r w:rsidRPr="00961D9B">
        <w:rPr>
          <w:sz w:val="20"/>
        </w:rPr>
        <w:t xml:space="preserve"> </w:t>
      </w:r>
      <w:hyperlink r:id="rId1" w:history="1">
        <w:r w:rsidRPr="00961D9B">
          <w:rPr>
            <w:rStyle w:val="Collegamentoipertestuale"/>
          </w:rPr>
          <w:t>https://www3.ti.ch/CAN/RLeggi/public/index.php/raccolta-leggi/legge/num/528</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72985449-D280-4216-A437-73E6F64132FF}"/>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9A3616" w:rsidP="00A532F6">
              <w:pPr>
                <w:pStyle w:val="Page"/>
                <w:rPr>
                  <w:rFonts w:ascii="Gill Alt One MT Light" w:hAnsi="Gill Alt One MT Light"/>
                  <w:sz w:val="16"/>
                  <w:szCs w:val="16"/>
                </w:rPr>
              </w:pPr>
              <w:r>
                <w:rPr>
                  <w:rFonts w:ascii="Gill Alt One MT Light" w:hAnsi="Gill Alt One MT Light"/>
                  <w:sz w:val="16"/>
                  <w:szCs w:val="16"/>
                </w:rPr>
                <w:t>Dipartimento delle finanze e dell’economia</w:t>
              </w:r>
            </w:p>
          </w:tc>
        </w:sdtContent>
      </w:sdt>
      <w:tc>
        <w:tcPr>
          <w:tcW w:w="1710" w:type="dxa"/>
          <w:tcBorders>
            <w:bottom w:val="single" w:sz="4" w:space="0" w:color="auto"/>
          </w:tcBorders>
          <w:vAlign w:val="bottom"/>
        </w:tcPr>
        <w:p w:rsidR="005012EC" w:rsidRPr="004204CB" w:rsidRDefault="000C7821" w:rsidP="00662409">
          <w:pPr>
            <w:pStyle w:val="Page"/>
            <w:jc w:val="right"/>
          </w:pPr>
          <w:r w:rsidRPr="004204CB">
            <w:fldChar w:fldCharType="begin"/>
          </w:r>
          <w:r w:rsidRPr="004204CB">
            <w:instrText xml:space="preserve"> PAGE   \* MERGEFORMAT </w:instrText>
          </w:r>
          <w:r w:rsidRPr="004204CB">
            <w:fldChar w:fldCharType="separate"/>
          </w:r>
          <w:r>
            <w:rPr>
              <w:noProof/>
            </w:rPr>
            <w:t>4</w:t>
          </w:r>
          <w:r w:rsidRPr="004204CB">
            <w:fldChar w:fldCharType="end"/>
          </w:r>
          <w:r w:rsidRPr="004204CB">
            <w:t xml:space="preserve"> di </w:t>
          </w:r>
          <w:r w:rsidRPr="004204CB">
            <w:fldChar w:fldCharType="begin"/>
          </w:r>
          <w:r w:rsidRPr="004204CB">
            <w:instrText xml:space="preserve"> NUMPAGES   \* MERGEFORMAT </w:instrText>
          </w:r>
          <w:r w:rsidRPr="004204CB">
            <w:fldChar w:fldCharType="separate"/>
          </w:r>
          <w:r>
            <w:rPr>
              <w:noProof/>
            </w:rPr>
            <w:t>4</w:t>
          </w:r>
          <w:r w:rsidRPr="004204CB">
            <w:rPr>
              <w:noProof/>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72985449-D280-4216-A437-73E6F64132FF}"/>
          <w:text w:multiLine="1"/>
        </w:sdtPr>
        <w:sdtEndPr/>
        <w:sdtContent>
          <w:tc>
            <w:tcPr>
              <w:tcW w:w="8383" w:type="dxa"/>
              <w:tcBorders>
                <w:left w:val="single" w:sz="4" w:space="0" w:color="auto"/>
              </w:tcBorders>
              <w:tcMar>
                <w:top w:w="0" w:type="dxa"/>
                <w:left w:w="142" w:type="dxa"/>
              </w:tcMar>
            </w:tcPr>
            <w:p w:rsidR="005012EC" w:rsidRPr="00E8185F" w:rsidRDefault="009A3616"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Rapporto del 3 febbraio 2022</w:t>
              </w:r>
            </w:p>
          </w:tc>
        </w:sdtContent>
      </w:sdt>
      <w:tc>
        <w:tcPr>
          <w:tcW w:w="1710" w:type="dxa"/>
          <w:tcBorders>
            <w:top w:val="single" w:sz="4" w:space="0" w:color="auto"/>
          </w:tcBorders>
        </w:tcPr>
        <w:p w:rsidR="005012EC" w:rsidRPr="00E043A3" w:rsidRDefault="000C7821" w:rsidP="00662409">
          <w:pPr>
            <w:pStyle w:val="InvisibleLine"/>
            <w:rPr>
              <w:lang w:val="de-DE"/>
            </w:rPr>
          </w:pPr>
        </w:p>
      </w:tc>
    </w:tr>
  </w:tbl>
  <w:p w:rsidR="00F657BF" w:rsidRPr="00980362" w:rsidRDefault="000C7821"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72985449-D280-4216-A437-73E6F64132FF}"/>
                            <w:text w:multiLine="1"/>
                          </w:sdtPr>
                          <w:sdtEndPr/>
                          <w:sdtContent>
                            <w:p w:rsidR="008065E8" w:rsidRPr="00411371" w:rsidRDefault="000C7821"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72985449-D280-4216-A437-73E6F64132FF}"/>
                      <w:text w:multiLine="1"/>
                    </w:sdtPr>
                    <w:sdtEndPr/>
                    <w:sdtContent>
                      <w:p w:rsidR="008065E8" w:rsidRPr="00411371" w:rsidRDefault="000C7821"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rsidTr="0098208F">
      <w:trPr>
        <w:trHeight w:val="586"/>
      </w:trPr>
      <w:tc>
        <w:tcPr>
          <w:tcW w:w="2440" w:type="pct"/>
          <w:gridSpan w:val="3"/>
          <w:tcBorders>
            <w:top w:val="nil"/>
            <w:left w:val="nil"/>
            <w:bottom w:val="single" w:sz="4" w:space="0" w:color="auto"/>
          </w:tcBorders>
          <w:vAlign w:val="bottom"/>
        </w:tcPr>
        <w:p w:rsidR="00662409" w:rsidRPr="003108C0" w:rsidRDefault="000C7821" w:rsidP="00D07D6E">
          <w:pPr>
            <w:pStyle w:val="InvisibleLine"/>
            <w:ind w:left="150"/>
            <w:rPr>
              <w:sz w:val="16"/>
            </w:rPr>
          </w:pPr>
        </w:p>
      </w:tc>
      <w:tc>
        <w:tcPr>
          <w:tcW w:w="373" w:type="pct"/>
          <w:tcBorders>
            <w:top w:val="nil"/>
            <w:bottom w:val="single" w:sz="4" w:space="0" w:color="auto"/>
          </w:tcBorders>
          <w:vAlign w:val="bottom"/>
        </w:tcPr>
        <w:p w:rsidR="00662409" w:rsidRPr="003108C0" w:rsidRDefault="000C7821" w:rsidP="00D07D6E">
          <w:pPr>
            <w:pStyle w:val="Level"/>
            <w:ind w:left="150"/>
            <w:rPr>
              <w:sz w:val="16"/>
            </w:rPr>
          </w:pPr>
        </w:p>
      </w:tc>
      <w:tc>
        <w:tcPr>
          <w:tcW w:w="209" w:type="pct"/>
          <w:tcBorders>
            <w:top w:val="nil"/>
            <w:bottom w:val="single" w:sz="4" w:space="0" w:color="auto"/>
          </w:tcBorders>
        </w:tcPr>
        <w:p w:rsidR="00662409" w:rsidRDefault="000C7821"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4204CB" w:rsidRDefault="000C7821"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72985449-D280-4216-A437-73E6F64132FF}"/>
          <w:text w:multiLine="1"/>
        </w:sdtPr>
        <w:sdtEndPr/>
        <w:sdtContent>
          <w:tc>
            <w:tcPr>
              <w:tcW w:w="5000" w:type="pct"/>
              <w:gridSpan w:val="6"/>
              <w:tcBorders>
                <w:left w:val="nil"/>
                <w:right w:val="nil"/>
              </w:tcBorders>
              <w:noWrap/>
              <w:tcMar>
                <w:top w:w="0" w:type="dxa"/>
              </w:tcMar>
              <w:vAlign w:val="bottom"/>
            </w:tcPr>
            <w:p w:rsidR="00662409" w:rsidRPr="008C03B5" w:rsidRDefault="009A3616"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r w:rsidR="002D29A7">
                <w:rPr>
                  <w:rFonts w:ascii="Gill Sans Display MT Pro BdCn" w:hAnsi="Gill Sans Display MT Pro BdCn"/>
                  <w:sz w:val="44"/>
                  <w:szCs w:val="44"/>
                </w:rPr>
                <w:tab/>
              </w:r>
              <w:r w:rsidR="002D29A7">
                <w:rPr>
                  <w:rFonts w:ascii="Gill Sans Display MT Pro BdCn" w:hAnsi="Gill Sans Display MT Pro BdCn"/>
                  <w:sz w:val="44"/>
                  <w:szCs w:val="44"/>
                </w:rPr>
                <w:tab/>
              </w:r>
              <w:r w:rsidR="002D29A7">
                <w:rPr>
                  <w:rFonts w:ascii="Gill Sans Display MT Pro BdCn" w:hAnsi="Gill Sans Display MT Pro BdCn"/>
                  <w:sz w:val="44"/>
                  <w:szCs w:val="44"/>
                </w:rPr>
                <w:tab/>
              </w:r>
              <w:r w:rsidR="002D29A7">
                <w:rPr>
                  <w:rFonts w:ascii="Gill Sans Display MT Pro BdCn" w:hAnsi="Gill Sans Display MT Pro BdCn"/>
                  <w:sz w:val="44"/>
                  <w:szCs w:val="44"/>
                </w:rPr>
                <w:tab/>
              </w:r>
              <w:r w:rsidR="002D29A7">
                <w:rPr>
                  <w:rFonts w:ascii="Gill Sans Display MT Pro BdCn" w:hAnsi="Gill Sans Display MT Pro BdCn"/>
                  <w:sz w:val="44"/>
                  <w:szCs w:val="44"/>
                </w:rPr>
                <w:tab/>
              </w:r>
              <w:r w:rsidR="002D29A7">
                <w:rPr>
                  <w:rFonts w:ascii="Gill Sans Display MT Pro BdCn" w:hAnsi="Gill Sans Display MT Pro BdCn"/>
                  <w:sz w:val="44"/>
                  <w:szCs w:val="44"/>
                </w:rPr>
                <w:tab/>
              </w:r>
              <w:r w:rsidR="002D29A7">
                <w:rPr>
                  <w:rFonts w:ascii="Gill Sans Display MT Pro BdCn" w:hAnsi="Gill Sans Display MT Pro BdCn"/>
                  <w:sz w:val="44"/>
                  <w:szCs w:val="44"/>
                </w:rPr>
                <w:tab/>
              </w:r>
              <w:r w:rsidR="002D29A7">
                <w:rPr>
                  <w:rFonts w:ascii="Gill Sans Display MT Pro BdCn" w:hAnsi="Gill Sans Display MT Pro BdCn"/>
                  <w:sz w:val="44"/>
                  <w:szCs w:val="44"/>
                </w:rPr>
                <w:tab/>
              </w:r>
              <w:r w:rsidR="002D29A7">
                <w:rPr>
                  <w:rFonts w:ascii="Gill Sans Display MT Pro BdCn" w:hAnsi="Gill Sans Display MT Pro BdCn"/>
                  <w:sz w:val="44"/>
                  <w:szCs w:val="44"/>
                </w:rPr>
                <w:tab/>
                <w:t>Allegato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0C7821"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0C782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0C7821"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0C782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0C7821"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0C7821"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BE22A2" w:rsidRDefault="000C782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72985449-D280-4216-A437-73E6F64132FF}"/>
              <w:text w:multiLine="1"/>
            </w:sdtPr>
            <w:sdtEndPr/>
            <w:sdtContent>
              <w:r w:rsidRPr="00BE22A2">
                <w:rPr>
                  <w:rFonts w:cstheme="minorHAnsi"/>
                  <w:b/>
                  <w:sz w:val="24"/>
                  <w:szCs w:val="24"/>
                </w:rPr>
                <w:t xml:space="preserve"> </w:t>
              </w:r>
            </w:sdtContent>
          </w:sdt>
        </w:p>
      </w:tc>
      <w:sdt>
        <w:sdtPr>
          <w:alias w:val="DocParam.Date"/>
          <w:id w:val="-464426178"/>
          <w:dataBinding w:xpath="//DateTime[@id='DocParam.Date']" w:storeItemID="{72985449-D280-4216-A437-73E6F64132FF}"/>
          <w:date w:fullDate="2022-02-03T01: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rsidR="008C03B5" w:rsidRPr="002A0371" w:rsidRDefault="009A3616" w:rsidP="00A532F6">
              <w:pPr>
                <w:pStyle w:val="Data"/>
              </w:pPr>
              <w:r>
                <w:t>3 febbraio 2022</w:t>
              </w:r>
            </w:p>
          </w:tc>
        </w:sdtContent>
      </w:sdt>
      <w:tc>
        <w:tcPr>
          <w:tcW w:w="3218" w:type="pct"/>
          <w:gridSpan w:val="4"/>
          <w:tcBorders>
            <w:top w:val="nil"/>
            <w:left w:val="nil"/>
            <w:bottom w:val="nil"/>
            <w:right w:val="nil"/>
          </w:tcBorders>
        </w:tcPr>
        <w:p w:rsidR="008C03B5" w:rsidRPr="00BE22A2" w:rsidRDefault="000C782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72985449-D280-4216-A437-73E6F64132FF}"/>
              <w:text w:multiLine="1"/>
            </w:sdtPr>
            <w:sdtEndPr/>
            <w:sdtContent>
              <w:r w:rsidR="009A3616">
                <w:rPr>
                  <w:smallCaps/>
                  <w:sz w:val="23"/>
                  <w:szCs w:val="23"/>
                </w:rPr>
                <w:t>Dipartimento delle finanze e dell’economia</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0C7821" w:rsidP="00D07D6E">
          <w:pPr>
            <w:pStyle w:val="Level"/>
            <w:ind w:left="150"/>
            <w:rPr>
              <w:rFonts w:ascii="Gill Alt One MT Light" w:hAnsi="Gill Alt One MT Light"/>
              <w:sz w:val="16"/>
              <w:szCs w:val="16"/>
            </w:rPr>
          </w:pPr>
        </w:p>
      </w:tc>
    </w:tr>
  </w:tbl>
  <w:p w:rsidR="00F657BF" w:rsidRPr="00DA2879" w:rsidRDefault="000C7821"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72985449-D280-4216-A437-73E6F64132FF}"/>
                            <w:text w:multiLine="1"/>
                          </w:sdtPr>
                          <w:sdtEndPr/>
                          <w:sdtContent>
                            <w:p w:rsidR="00E93620" w:rsidRPr="00411371" w:rsidRDefault="000C7821"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72985449-D280-4216-A437-73E6F64132FF}"/>
                      <w:text w:multiLine="1"/>
                    </w:sdtPr>
                    <w:sdtEndPr/>
                    <w:sdtContent>
                      <w:p w:rsidR="00E93620" w:rsidRPr="00411371" w:rsidRDefault="000C7821"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55C0C"/>
    <w:multiLevelType w:val="hybridMultilevel"/>
    <w:tmpl w:val="09929A64"/>
    <w:lvl w:ilvl="0" w:tplc="6B64442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5CF204C"/>
    <w:multiLevelType w:val="hybridMultilevel"/>
    <w:tmpl w:val="8FFA071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B686D5D"/>
    <w:multiLevelType w:val="hybridMultilevel"/>
    <w:tmpl w:val="920A2C4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86C628B"/>
    <w:multiLevelType w:val="hybridMultilevel"/>
    <w:tmpl w:val="38DCA9B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99D3C63"/>
    <w:multiLevelType w:val="hybridMultilevel"/>
    <w:tmpl w:val="E6B67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8"/>
  </w:num>
  <w:num w:numId="5">
    <w:abstractNumId w:val="17"/>
  </w:num>
  <w:num w:numId="6">
    <w:abstractNumId w:val="13"/>
  </w:num>
  <w:num w:numId="7">
    <w:abstractNumId w:val="15"/>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21"/>
  </w:num>
  <w:num w:numId="20">
    <w:abstractNumId w:val="16"/>
  </w:num>
  <w:num w:numId="21">
    <w:abstractNumId w:val="20"/>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9A7"/>
    <w:rsid w:val="000C7821"/>
    <w:rsid w:val="002B5D9F"/>
    <w:rsid w:val="002D29A7"/>
    <w:rsid w:val="003B756D"/>
    <w:rsid w:val="00403ADB"/>
    <w:rsid w:val="00572FD3"/>
    <w:rsid w:val="008720C4"/>
    <w:rsid w:val="008F52AF"/>
    <w:rsid w:val="009A3616"/>
    <w:rsid w:val="009C5E5A"/>
    <w:rsid w:val="00AF0268"/>
    <w:rsid w:val="00BF0A1F"/>
    <w:rsid w:val="00D25523"/>
    <w:rsid w:val="00D33940"/>
    <w:rsid w:val="00D600FD"/>
    <w:rsid w:val="00D649A8"/>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A146A"/>
  <w15:docId w15:val="{34565B8C-DA6C-4D1F-A492-1233D8891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9A7"/>
    <w:rPr>
      <w:rFonts w:ascii="Arial" w:hAnsi="Arial"/>
      <w:sz w:val="24"/>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qFormat/>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character" w:styleId="Collegamentoipertestuale">
    <w:name w:val="Hyperlink"/>
    <w:basedOn w:val="Carpredefinitoparagrafo"/>
    <w:uiPriority w:val="99"/>
    <w:unhideWhenUsed/>
    <w:rsid w:val="002D29A7"/>
    <w:rPr>
      <w:color w:val="0000FF" w:themeColor="hyperlink"/>
      <w:u w:val="single"/>
    </w:rPr>
  </w:style>
  <w:style w:type="paragraph" w:styleId="Testofumetto">
    <w:name w:val="Balloon Text"/>
    <w:basedOn w:val="Normale"/>
    <w:link w:val="TestofumettoCarattere"/>
    <w:uiPriority w:val="99"/>
    <w:semiHidden/>
    <w:unhideWhenUsed/>
    <w:rsid w:val="00D255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25523"/>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4.ti.ch/poteri/gc/messaggi-e-atti/ricerca/risultati/dettaglio/?user_gcparlamento_pi8%5Battid%5D=106276&amp;user_gcparlamento_pi8%5bricerca%5d=azienda+elettric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3.ti.ch/CAN/RLeggi/public/index.php/raccolta-leggi/legge/num/52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xgc001\AppData\Local\Temp\OneOffixx\generated\62b23fb3-db4c-42a2-98e6-2e49453847f6.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2.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i = " h t t p : / / w w w . w 3 . o r g / 2 0 0 1 / X M L S c h e m a - i n s t a n c e "   x m l n s : x s d = " h t t p : / / w w w . w 3 . o r g / 2 0 0 1 / X M L S c h e m a "   i d = " 1 2 1 a 6 5 8 6 - f 4 d b - 4 6 4 4 - a 4 7 d - e 4 c 1 b 4 a 7 4 e b d "   t I d = " a 3 6 2 a 5 d 4 - 9 5 8 9 - 4 1 b f - a 4 e 6 - 4 f 8 7 c 4 e 4 1 2 3 9 "   i n t e r n a l T I d = " 9 0 6 4 c c 7 f - 3 1 6 d - 4 6 b 1 - a 4 a c - 7 4 8 6 0 c 3 f 8 a 5 b "   m t I d = " 2 7 5 a f 3 2 e - b c 4 0 - 4 5 c 2 - 8 5 b 7 - a f b 1 c 0 3 8 2 6 5 3 "   r e v i s i o n = " 0 "   c r e a t e d m a j o r v e r s i o n = " 0 "   c r e a t e d m i n o r v e r s i o n = " 0 "   c r e a t e d = " 2 0 2 2 - 0 2 - 2 4 T 1 5 : 0 6 : 1 0 . 4 4 7 7 0 1 8 Z "   m o d i f i e d m a j o r v e r s i o n = " 0 "   m o d i f i e d m i n o r v e r s i o n = " 0 "   m o d i f i e d = " 0 0 0 1 - 0 1 - 0 1 T 0 0 : 0 0 : 0 0 "   p r o f i l e = " 8 8 0 c a 6 9 9 - 0 3 5 4 - 4 c a 1 - b 3 2 5 - b d 2 0 7 9 5 1 6 b 4 8 "   m o d e = " S a v e d D o c u m e n t "   c o l o r m o d e = " C o l o r "   l c i d = " 2 0 6 4 "   x m l n s = " h t t p : / / s c h e m a . o n e o f f i x x . c o m / O n e O f f i x x D o c u m e n t P a r t / 1 " >  
     < C o n t e n t >  
         < D a t a M o d e l   x m l n s = " " >  
             < P r o f i l e >  
                 < T e x t   i d = " P r o f i l e . I d "   l a b e l = " P r o f i l e . I d " > < ! [ C D A T A [ 8 8 0 c a 6 9 9 - 0 3 5 4 - 4 c a 1 - b 3 2 5 - b d 2 0 7 9 5 1 6 b 4 8 ] ] > < / 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m a r i s a . m o r a n d i @ t i . c h ] ] > < / T e x t >  
                 < T e x t   i d = " P r o f i l e . U s e r . F i r s t N a m e "   l a b e l = " P r o f i l e . U s e r . F i r s t N a m e " > < ! [ C D A T A [ M a r i s a ] ] > < / T e x t >  
                 < T e x t   i d = " P r o f i l e . U s e r . F u n c t i o n "   l a b e l = " P r o f i l e . U s e r . F u n c t i o n " > < ! [ C D A T A [ S G C ] ] > < / T e x t >  
                 < T e x t   i d = " P r o f i l e . U s e r . L a s t N a m e "   l a b e l = " P r o f i l e . U s e r . L a s t N a m e " > < ! [ C D A T A [ M o r a n d i ] ] > < / T e x t >  
                 < T e x t   i d = " P r o f i l e . U s e r . M o b i l e "   l a b e l = " P r o f i l e . U s e r . M o b i l e " > < ! [ C D A T A [   ] ] > < / T e x t >  
                 < T e x t   i d = " P r o f i l e . U s e r . P h o n e "   l a b e l = " P r o f i l e . U s e r . P h o n e " > < ! [ C D A T A [ + 4 1 9 1 8 1 4 4 3 2 7 ] ] > < / 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m a r i s a . m o r a n d i @ t i . c h ] ] > < / T e x t >  
                 < T e x t   i d = " A u t h o r . U s e r . F i r s t N a m e "   l a b e l = " A u t h o r . U s e r . F i r s t N a m e " > < ! [ C D A T A [ M a r i s a ] ] > < / T e x t >  
                 < T e x t   i d = " A u t h o r . U s e r . F u n c t i o n "   l a b e l = " A u t h o r . U s e r . F u n c t i o n " > < ! [ C D A T A [ S G C ] ] > < / T e x t >  
                 < T e x t   i d = " A u t h o r . U s e r . L a s t N a m e "   l a b e l = " A u t h o r . U s e r . L a s t N a m e " > < ! [ C D A T A [ M o r a n d i ] ] > < / T e x t >  
                 < T e x t   i d = " A u t h o r . U s e r . M o b i l e "   l a b e l = " A u t h o r . U s e r . M o b i l e " > < ! [ C D A T A [   ] ] > < / T e x t >  
                 < T e x t   i d = " A u t h o r . U s e r . P h o n e "   l a b e l = " A u t h o r . U s e r . P h o n e " > < ! [ C D A T A [ + 4 1 9 1 8 1 4 4 3 2 7 ] ] > < / 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 2 0 2 2 - 0 2 - 0 3 T 0 0 : 0 0 : 0 0 Z < / D a t e T i m e >  
                 < T e x t   i d = " D o c P a r a m . N u m b e r " > < ! [ C D A T A [   ] ] > < / T e x t >  
                 < T e x t   i d = " D o c P a r a m . D o c u m e n t o " > < ! [ C D A T A [ R a p p o r t o ] ] > < / T e x t >  
                 < T e x t   i d = " D o c P a r a m . A g g i u n t a D o c "   t o o l t i p = " ( e s .   b i s ,   a g g i u n t i v o ,   a g g i u n t i v o   b i s ,   1 ,   2   e c c . ) " > < ! [ C D A T A [   ] ] > < / T e x t >  
                 < T e x t   i d = " D o c P a r a m . D i p a r t i m e n t i " > < ! [ C D A T A [ D i p a r t i m e n t o   d e l l e   f i n a n z e   e   d e l l  e c o n o m i a ] ] > < / 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f i n a n z e   e   d e l l  e c o n o m i a ] ] > < / T e x t >  
                 < T e x t   i d = " C u s t o m E l e m e n t s . F i e l d s . T i t o l o 1 "   l a b e l = " C u s t o m E l e m e n t s . F i e l d s . T i t o l o 1 " > R a p p o r t o 	 	 	 	 	 	 	 	 	 A l l e g a t o < / T e x t >  
                 < T e x t   i d = " C u s t o m E l e m e n t s . F i e l d s . T i t o l o 2 "   l a b e l = " C u s t o m E l e m e n t s . F i e l d s . T i t o l o 2 " > < ! [ C D A T A [ R a p p o r t o   d e l   3   f e b b r a i 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473506FA-EE72-479A-A544-EBD0B31DD3FF}">
  <ds:schemaRefs>
    <ds:schemaRef ds:uri="http://www.w3.org/2001/XMLSchema"/>
    <ds:schemaRef ds:uri="http://schema.oneoffixx.com/OneOffixxFormattingPart/1"/>
    <ds:schemaRef ds:uri=""/>
  </ds:schemaRefs>
</ds:datastoreItem>
</file>

<file path=customXml/itemProps2.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72985449-D280-4216-A437-73E6F64132FF}">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62b23fb3-db4c-42a2-98e6-2e49453847f6.dotx</Template>
  <TotalTime>17</TotalTime>
  <Pages>4</Pages>
  <Words>1484</Words>
  <Characters>8460</Characters>
  <Application>Microsoft Office Word</Application>
  <DocSecurity>0</DocSecurity>
  <Lines>70</Lines>
  <Paragraphs>19</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Morandi Marisa / kxgc001</dc:creator>
  <cp:lastModifiedBy>Morandi Marisa</cp:lastModifiedBy>
  <cp:revision>2</cp:revision>
  <cp:lastPrinted>2022-02-24T15:22:00Z</cp:lastPrinted>
  <dcterms:created xsi:type="dcterms:W3CDTF">2022-02-24T15:10:00Z</dcterms:created>
  <dcterms:modified xsi:type="dcterms:W3CDTF">2022-02-24T15:27:00Z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