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ABD" w:rsidRPr="00292ABD" w:rsidRDefault="00292ABD" w:rsidP="00292ABD">
      <w:pPr>
        <w:rPr>
          <w:rFonts w:asciiTheme="minorHAnsi" w:eastAsiaTheme="minorEastAsia" w:hAnsiTheme="minorHAnsi" w:cs="Arial"/>
          <w:b/>
          <w:sz w:val="28"/>
          <w:szCs w:val="28"/>
          <w:lang w:val="it-IT"/>
        </w:rPr>
      </w:pPr>
      <w:r w:rsidRPr="00292ABD">
        <w:rPr>
          <w:rFonts w:asciiTheme="minorHAnsi" w:eastAsiaTheme="minorEastAsia" w:hAnsiTheme="minorHAnsi" w:cs="Arial"/>
          <w:b/>
          <w:sz w:val="28"/>
          <w:szCs w:val="28"/>
          <w:lang w:val="it-IT"/>
        </w:rPr>
        <w:t>della Commissione gestione e finanze</w:t>
      </w:r>
    </w:p>
    <w:p w:rsidR="00292ABD" w:rsidRPr="00292ABD" w:rsidRDefault="00292ABD" w:rsidP="00292ABD">
      <w:pPr>
        <w:rPr>
          <w:rFonts w:asciiTheme="minorHAnsi" w:eastAsiaTheme="minorEastAsia" w:hAnsiTheme="minorHAnsi" w:cs="Arial"/>
          <w:b/>
          <w:sz w:val="28"/>
          <w:szCs w:val="28"/>
        </w:rPr>
      </w:pPr>
      <w:r>
        <w:rPr>
          <w:rFonts w:asciiTheme="minorHAnsi" w:eastAsiaTheme="minorEastAsia" w:hAnsiTheme="minorHAnsi" w:cs="Arial"/>
          <w:b/>
          <w:sz w:val="28"/>
          <w:szCs w:val="28"/>
        </w:rPr>
        <w:t>sul m</w:t>
      </w:r>
      <w:r w:rsidRPr="00292ABD">
        <w:rPr>
          <w:rFonts w:asciiTheme="minorHAnsi" w:eastAsiaTheme="minorEastAsia" w:hAnsiTheme="minorHAnsi" w:cs="Arial"/>
          <w:b/>
          <w:sz w:val="28"/>
          <w:szCs w:val="28"/>
        </w:rPr>
        <w:t>essaggio 16 febbraio 2022 relativo alla partecipazione cantonale al programma federale dei casi di rigore per l’anno 2022: modifica della Legge di applicazione per i casi di rigore della legge COVID-19 e stanziamento di un credito lordo aggiuntivo di 15 milioni di franchi e netto di 4.5 milioni di franchi.</w:t>
      </w:r>
    </w:p>
    <w:p w:rsidR="00292ABD" w:rsidRDefault="00292ABD" w:rsidP="00292ABD">
      <w:pPr>
        <w:ind w:right="-1"/>
        <w:rPr>
          <w:rFonts w:asciiTheme="minorHAnsi" w:eastAsiaTheme="minorEastAsia" w:hAnsiTheme="minorHAnsi"/>
          <w:sz w:val="24"/>
        </w:rPr>
      </w:pPr>
    </w:p>
    <w:p w:rsidR="00292ABD" w:rsidRPr="00292ABD" w:rsidRDefault="00292ABD" w:rsidP="00292ABD">
      <w:pPr>
        <w:ind w:right="-1"/>
        <w:rPr>
          <w:rFonts w:asciiTheme="minorHAnsi" w:eastAsiaTheme="minorEastAsia" w:hAnsiTheme="minorHAnsi"/>
          <w:sz w:val="24"/>
        </w:rPr>
      </w:pPr>
    </w:p>
    <w:p w:rsidR="00292ABD" w:rsidRPr="00292ABD" w:rsidRDefault="00292ABD" w:rsidP="00292ABD">
      <w:pPr>
        <w:pStyle w:val="Titolo1"/>
        <w:tabs>
          <w:tab w:val="left" w:pos="567"/>
        </w:tabs>
        <w:spacing w:before="0"/>
        <w:ind w:left="1646" w:hanging="1646"/>
        <w:jc w:val="both"/>
        <w:rPr>
          <w:rFonts w:eastAsia="Calibri" w:cs="Times New Roman"/>
          <w:caps/>
          <w:sz w:val="24"/>
          <w:szCs w:val="24"/>
          <w:lang w:val="it-IT" w:eastAsia="it-IT"/>
        </w:rPr>
      </w:pPr>
      <w:r>
        <w:rPr>
          <w:rFonts w:eastAsia="Calibri" w:cs="Times New Roman"/>
          <w:caps/>
          <w:sz w:val="24"/>
          <w:szCs w:val="24"/>
          <w:lang w:val="it-IT" w:eastAsia="it-IT"/>
        </w:rPr>
        <w:t>1.</w:t>
      </w:r>
      <w:r>
        <w:rPr>
          <w:rFonts w:eastAsia="Calibri" w:cs="Times New Roman"/>
          <w:caps/>
          <w:sz w:val="24"/>
          <w:szCs w:val="24"/>
          <w:lang w:val="it-IT" w:eastAsia="it-IT"/>
        </w:rPr>
        <w:tab/>
      </w:r>
      <w:r w:rsidRPr="00292ABD">
        <w:rPr>
          <w:rFonts w:eastAsia="Calibri" w:cs="Times New Roman"/>
          <w:caps/>
          <w:sz w:val="24"/>
          <w:szCs w:val="24"/>
          <w:lang w:val="it-IT" w:eastAsia="it-IT"/>
        </w:rPr>
        <w:t>PREMESSA</w:t>
      </w: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sz w:val="24"/>
        </w:rPr>
        <w:t>Durante la pandemia Covid 19 - durata dal marzo 2020 fino a tutto il 2021 - come noto, gli aiuti da parte di Confederazione e Cantoni sono stati importanti per non dire fondamentali alfine di sostenere le imprese attive nei settori più colpiti. Tra queste tipologie di aiuto vi sono stati:</w:t>
      </w:r>
    </w:p>
    <w:p w:rsidR="00292ABD" w:rsidRPr="00292ABD" w:rsidRDefault="00292ABD" w:rsidP="00292ABD">
      <w:pPr>
        <w:numPr>
          <w:ilvl w:val="0"/>
          <w:numId w:val="22"/>
        </w:numPr>
        <w:spacing w:before="60"/>
        <w:ind w:left="284" w:hanging="284"/>
        <w:rPr>
          <w:rFonts w:asciiTheme="minorHAnsi" w:eastAsiaTheme="minorEastAsia" w:hAnsiTheme="minorHAnsi"/>
          <w:sz w:val="24"/>
        </w:rPr>
      </w:pPr>
      <w:r w:rsidRPr="00292ABD">
        <w:rPr>
          <w:rFonts w:asciiTheme="minorHAnsi" w:eastAsiaTheme="minorEastAsia" w:hAnsiTheme="minorHAnsi"/>
          <w:sz w:val="24"/>
        </w:rPr>
        <w:t>indennità per lavoro ridotto</w:t>
      </w:r>
    </w:p>
    <w:p w:rsidR="00292ABD" w:rsidRPr="00292ABD" w:rsidRDefault="00292ABD" w:rsidP="00292ABD">
      <w:pPr>
        <w:numPr>
          <w:ilvl w:val="0"/>
          <w:numId w:val="22"/>
        </w:numPr>
        <w:spacing w:before="60"/>
        <w:ind w:left="284" w:hanging="284"/>
        <w:rPr>
          <w:rFonts w:asciiTheme="minorHAnsi" w:eastAsiaTheme="minorEastAsia" w:hAnsiTheme="minorHAnsi"/>
          <w:sz w:val="24"/>
        </w:rPr>
      </w:pPr>
      <w:r w:rsidRPr="00292ABD">
        <w:rPr>
          <w:rFonts w:asciiTheme="minorHAnsi" w:eastAsiaTheme="minorEastAsia" w:hAnsiTheme="minorHAnsi"/>
          <w:sz w:val="24"/>
        </w:rPr>
        <w:t>Indennità per perdita di guadagno</w:t>
      </w:r>
    </w:p>
    <w:p w:rsidR="00292ABD" w:rsidRPr="00292ABD" w:rsidRDefault="00292ABD" w:rsidP="00292ABD">
      <w:pPr>
        <w:numPr>
          <w:ilvl w:val="0"/>
          <w:numId w:val="22"/>
        </w:numPr>
        <w:spacing w:before="60"/>
        <w:ind w:left="284" w:hanging="284"/>
        <w:rPr>
          <w:rFonts w:asciiTheme="minorHAnsi" w:eastAsiaTheme="minorEastAsia" w:hAnsiTheme="minorHAnsi"/>
          <w:sz w:val="24"/>
        </w:rPr>
      </w:pPr>
      <w:r w:rsidRPr="00292ABD">
        <w:rPr>
          <w:rFonts w:asciiTheme="minorHAnsi" w:eastAsiaTheme="minorEastAsia" w:hAnsiTheme="minorHAnsi"/>
          <w:sz w:val="24"/>
        </w:rPr>
        <w:t>aiuto per i casi di rigore.</w:t>
      </w:r>
    </w:p>
    <w:p w:rsidR="00292ABD" w:rsidRDefault="00292ABD"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sz w:val="24"/>
        </w:rPr>
        <w:t xml:space="preserve">Il presente rapporto riguarda solo gli aiuti per i casi di rigore il cui dispositivo si chiede venga prolungato anche nel 2022 in quanto le imprese non sono ancora </w:t>
      </w:r>
      <w:r w:rsidRPr="00292ABD">
        <w:rPr>
          <w:rFonts w:asciiTheme="minorHAnsi" w:eastAsiaTheme="minorEastAsia" w:hAnsiTheme="minorHAnsi"/>
          <w:i/>
          <w:iCs/>
          <w:sz w:val="24"/>
        </w:rPr>
        <w:t>fuori dal guado</w:t>
      </w:r>
      <w:r w:rsidRPr="00292ABD">
        <w:rPr>
          <w:rFonts w:asciiTheme="minorHAnsi" w:eastAsiaTheme="minorEastAsia" w:hAnsiTheme="minorHAnsi"/>
          <w:sz w:val="24"/>
        </w:rPr>
        <w:t>.</w:t>
      </w:r>
    </w:p>
    <w:p w:rsidR="00292ABD" w:rsidRPr="00292ABD" w:rsidRDefault="00292ABD"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u w:val="single"/>
        </w:rPr>
      </w:pPr>
      <w:r w:rsidRPr="00292ABD">
        <w:rPr>
          <w:rFonts w:asciiTheme="minorHAnsi" w:eastAsiaTheme="minorEastAsia" w:hAnsiTheme="minorHAnsi"/>
          <w:sz w:val="24"/>
          <w:u w:val="single"/>
        </w:rPr>
        <w:t>In sintesi:</w:t>
      </w: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sz w:val="24"/>
        </w:rPr>
        <w:t>dopo un sunto del Programma dei casi di rigore 2021 (</w:t>
      </w:r>
      <w:r w:rsidRPr="00292ABD">
        <w:rPr>
          <w:rFonts w:asciiTheme="minorHAnsi" w:eastAsiaTheme="minorEastAsia" w:hAnsiTheme="minorHAnsi"/>
          <w:b/>
          <w:bCs/>
          <w:sz w:val="24"/>
        </w:rPr>
        <w:t>infra 1</w:t>
      </w:r>
      <w:r w:rsidRPr="00292ABD">
        <w:rPr>
          <w:rFonts w:asciiTheme="minorHAnsi" w:eastAsiaTheme="minorEastAsia" w:hAnsiTheme="minorHAnsi"/>
          <w:sz w:val="24"/>
        </w:rPr>
        <w:t>), saranno riassunte le linee del nuovo Programma 2022 della Confederazione (</w:t>
      </w:r>
      <w:r w:rsidRPr="00292ABD">
        <w:rPr>
          <w:rFonts w:asciiTheme="minorHAnsi" w:eastAsiaTheme="minorEastAsia" w:hAnsiTheme="minorHAnsi"/>
          <w:b/>
          <w:bCs/>
          <w:sz w:val="24"/>
        </w:rPr>
        <w:t>infra 2</w:t>
      </w:r>
      <w:r w:rsidRPr="00292ABD">
        <w:rPr>
          <w:rFonts w:asciiTheme="minorHAnsi" w:eastAsiaTheme="minorEastAsia" w:hAnsiTheme="minorHAnsi"/>
          <w:sz w:val="24"/>
        </w:rPr>
        <w:t>) a cui seguirà una tavola sinottica delle modifiche legislative (</w:t>
      </w:r>
      <w:r w:rsidRPr="00292ABD">
        <w:rPr>
          <w:rFonts w:asciiTheme="minorHAnsi" w:eastAsiaTheme="minorEastAsia" w:hAnsiTheme="minorHAnsi"/>
          <w:b/>
          <w:bCs/>
          <w:sz w:val="24"/>
        </w:rPr>
        <w:t>infra 3</w:t>
      </w:r>
      <w:r w:rsidRPr="00292ABD">
        <w:rPr>
          <w:rFonts w:asciiTheme="minorHAnsi" w:eastAsiaTheme="minorEastAsia" w:hAnsiTheme="minorHAnsi"/>
          <w:sz w:val="24"/>
        </w:rPr>
        <w:t>) prima di schematizzare il procedimento di accesso e di calcolo degli aiuti (</w:t>
      </w:r>
      <w:r w:rsidRPr="00292ABD">
        <w:rPr>
          <w:rFonts w:asciiTheme="minorHAnsi" w:eastAsiaTheme="minorEastAsia" w:hAnsiTheme="minorHAnsi"/>
          <w:b/>
          <w:bCs/>
          <w:sz w:val="24"/>
        </w:rPr>
        <w:t>infra 4</w:t>
      </w:r>
      <w:r w:rsidRPr="00292ABD">
        <w:rPr>
          <w:rFonts w:asciiTheme="minorHAnsi" w:eastAsiaTheme="minorEastAsia" w:hAnsiTheme="minorHAnsi"/>
          <w:sz w:val="24"/>
        </w:rPr>
        <w:t>). Dopo il sunto delle cifre in gioco (</w:t>
      </w:r>
      <w:r w:rsidRPr="00292ABD">
        <w:rPr>
          <w:rFonts w:asciiTheme="minorHAnsi" w:eastAsiaTheme="minorEastAsia" w:hAnsiTheme="minorHAnsi"/>
          <w:b/>
          <w:bCs/>
          <w:sz w:val="24"/>
        </w:rPr>
        <w:t>infra 5</w:t>
      </w:r>
      <w:r w:rsidRPr="00292ABD">
        <w:rPr>
          <w:rFonts w:asciiTheme="minorHAnsi" w:eastAsiaTheme="minorEastAsia" w:hAnsiTheme="minorHAnsi"/>
          <w:sz w:val="24"/>
        </w:rPr>
        <w:t>) ci si avvierà alle conclusioni (</w:t>
      </w:r>
      <w:r w:rsidRPr="00292ABD">
        <w:rPr>
          <w:rFonts w:asciiTheme="minorHAnsi" w:eastAsiaTheme="minorEastAsia" w:hAnsiTheme="minorHAnsi"/>
          <w:b/>
          <w:bCs/>
          <w:sz w:val="24"/>
        </w:rPr>
        <w:t>infra 6</w:t>
      </w:r>
      <w:r w:rsidRPr="00292ABD">
        <w:rPr>
          <w:rFonts w:asciiTheme="minorHAnsi" w:eastAsiaTheme="minorEastAsia" w:hAnsiTheme="minorHAnsi"/>
          <w:sz w:val="24"/>
        </w:rPr>
        <w:t>).</w:t>
      </w:r>
    </w:p>
    <w:p w:rsidR="00292ABD" w:rsidRPr="00292ABD" w:rsidRDefault="00292ABD" w:rsidP="00292ABD">
      <w:pPr>
        <w:rPr>
          <w:rFonts w:asciiTheme="minorHAnsi" w:eastAsiaTheme="minorEastAsia" w:hAnsiTheme="minorHAnsi"/>
          <w:sz w:val="24"/>
        </w:rPr>
      </w:pPr>
    </w:p>
    <w:p w:rsidR="00292ABD" w:rsidRPr="00292ABD" w:rsidRDefault="00292ABD" w:rsidP="00292ABD">
      <w:pPr>
        <w:tabs>
          <w:tab w:val="left" w:pos="284"/>
          <w:tab w:val="left" w:pos="426"/>
          <w:tab w:val="left" w:pos="4962"/>
        </w:tabs>
        <w:rPr>
          <w:rFonts w:asciiTheme="minorHAnsi" w:eastAsia="Times New Roman" w:hAnsiTheme="minorHAnsi" w:cs="Times New Roman"/>
          <w:sz w:val="24"/>
          <w:szCs w:val="20"/>
          <w:lang w:val="it-IT" w:eastAsia="it-IT"/>
        </w:rPr>
      </w:pPr>
      <w:r w:rsidRPr="00292ABD">
        <w:rPr>
          <w:rFonts w:asciiTheme="minorHAnsi" w:eastAsia="Times New Roman" w:hAnsiTheme="minorHAnsi" w:cs="Times New Roman"/>
          <w:sz w:val="24"/>
          <w:szCs w:val="20"/>
          <w:lang w:val="it-IT" w:eastAsia="it-IT"/>
        </w:rPr>
        <w:t xml:space="preserve">Come per l’adozione della legge d’applicazione cantonale nel 2021, anche in questo caso si tratta di approvare </w:t>
      </w:r>
      <w:r w:rsidRPr="00292ABD">
        <w:rPr>
          <w:rFonts w:asciiTheme="minorHAnsi" w:eastAsia="Times New Roman" w:hAnsiTheme="minorHAnsi" w:cs="Times New Roman"/>
          <w:sz w:val="24"/>
          <w:szCs w:val="20"/>
          <w:u w:val="single"/>
          <w:lang w:val="it-IT" w:eastAsia="it-IT"/>
        </w:rPr>
        <w:t>due testi legislativi</w:t>
      </w:r>
      <w:r w:rsidRPr="00292ABD">
        <w:rPr>
          <w:rFonts w:asciiTheme="minorHAnsi" w:eastAsia="Times New Roman" w:hAnsiTheme="minorHAnsi" w:cs="Times New Roman"/>
          <w:sz w:val="24"/>
          <w:szCs w:val="20"/>
          <w:lang w:val="it-IT" w:eastAsia="it-IT"/>
        </w:rPr>
        <w:t>:</w:t>
      </w:r>
    </w:p>
    <w:p w:rsidR="00292ABD" w:rsidRPr="00292ABD" w:rsidRDefault="00292ABD" w:rsidP="002C54EF">
      <w:pPr>
        <w:numPr>
          <w:ilvl w:val="0"/>
          <w:numId w:val="22"/>
        </w:numPr>
        <w:tabs>
          <w:tab w:val="left" w:pos="284"/>
          <w:tab w:val="left" w:pos="426"/>
          <w:tab w:val="left" w:pos="4962"/>
        </w:tabs>
        <w:spacing w:before="120"/>
        <w:ind w:left="284" w:hanging="284"/>
        <w:rPr>
          <w:rFonts w:asciiTheme="minorHAnsi" w:eastAsia="Times New Roman" w:hAnsiTheme="minorHAnsi" w:cs="Times New Roman"/>
          <w:sz w:val="24"/>
          <w:szCs w:val="20"/>
          <w:lang w:val="it-IT" w:eastAsia="it-IT"/>
        </w:rPr>
      </w:pPr>
      <w:r w:rsidRPr="00292ABD">
        <w:rPr>
          <w:rFonts w:asciiTheme="minorHAnsi" w:eastAsia="Times New Roman" w:hAnsiTheme="minorHAnsi" w:cs="Times New Roman"/>
          <w:sz w:val="24"/>
          <w:szCs w:val="20"/>
          <w:lang w:val="it-IT" w:eastAsia="it-IT"/>
        </w:rPr>
        <w:t xml:space="preserve">il disegno di </w:t>
      </w:r>
      <w:r w:rsidRPr="00292ABD">
        <w:rPr>
          <w:rFonts w:asciiTheme="minorHAnsi" w:eastAsia="Times New Roman" w:hAnsiTheme="minorHAnsi" w:cs="Times New Roman"/>
          <w:b/>
          <w:bCs/>
          <w:sz w:val="24"/>
          <w:szCs w:val="20"/>
          <w:lang w:val="it-IT" w:eastAsia="it-IT"/>
        </w:rPr>
        <w:t>decreto legislativo</w:t>
      </w:r>
      <w:r w:rsidRPr="00292ABD">
        <w:rPr>
          <w:rFonts w:asciiTheme="minorHAnsi" w:eastAsia="Times New Roman" w:hAnsiTheme="minorHAnsi" w:cs="Times New Roman"/>
          <w:sz w:val="24"/>
          <w:szCs w:val="20"/>
          <w:lang w:val="it-IT" w:eastAsia="it-IT"/>
        </w:rPr>
        <w:t xml:space="preserve"> di modifica della legge proposto con la clausola dell'</w:t>
      </w:r>
      <w:r w:rsidRPr="00292ABD">
        <w:rPr>
          <w:rFonts w:asciiTheme="minorHAnsi" w:eastAsia="Times New Roman" w:hAnsiTheme="minorHAnsi" w:cs="Times New Roman"/>
          <w:b/>
          <w:bCs/>
          <w:sz w:val="24"/>
          <w:szCs w:val="20"/>
          <w:lang w:val="it-IT" w:eastAsia="it-IT"/>
        </w:rPr>
        <w:t>urgenza</w:t>
      </w:r>
      <w:r w:rsidRPr="00292ABD">
        <w:rPr>
          <w:rFonts w:asciiTheme="minorHAnsi" w:eastAsia="Times New Roman" w:hAnsiTheme="minorHAnsi" w:cs="Times New Roman"/>
          <w:sz w:val="24"/>
          <w:szCs w:val="20"/>
          <w:lang w:val="it-IT" w:eastAsia="it-IT"/>
        </w:rPr>
        <w:t xml:space="preserve"> (artt. 43 della Costituzione cantonale</w:t>
      </w:r>
      <w:r w:rsidRPr="00292ABD">
        <w:rPr>
          <w:rFonts w:asciiTheme="minorHAnsi" w:eastAsia="Times New Roman" w:hAnsiTheme="minorHAnsi" w:cs="Times New Roman"/>
          <w:sz w:val="24"/>
          <w:szCs w:val="20"/>
          <w:vertAlign w:val="superscript"/>
          <w:lang w:val="it-IT" w:eastAsia="it-IT"/>
        </w:rPr>
        <w:footnoteReference w:id="1"/>
      </w:r>
      <w:r w:rsidRPr="00292ABD">
        <w:rPr>
          <w:rFonts w:asciiTheme="minorHAnsi" w:eastAsia="Times New Roman" w:hAnsiTheme="minorHAnsi" w:cs="Times New Roman"/>
          <w:sz w:val="24"/>
          <w:szCs w:val="20"/>
          <w:lang w:val="it-IT" w:eastAsia="it-IT"/>
        </w:rPr>
        <w:t>, 65 cpv. 1 lett. c e 71 LGC</w:t>
      </w:r>
      <w:r w:rsidRPr="00292ABD">
        <w:rPr>
          <w:rFonts w:asciiTheme="minorHAnsi" w:eastAsia="Times New Roman" w:hAnsiTheme="minorHAnsi" w:cs="Times New Roman"/>
          <w:sz w:val="24"/>
          <w:szCs w:val="20"/>
          <w:vertAlign w:val="superscript"/>
          <w:lang w:val="it-IT" w:eastAsia="it-IT"/>
        </w:rPr>
        <w:footnoteReference w:id="2"/>
      </w:r>
      <w:r w:rsidRPr="00292ABD">
        <w:rPr>
          <w:rFonts w:asciiTheme="minorHAnsi" w:eastAsia="Times New Roman" w:hAnsiTheme="minorHAnsi" w:cs="Times New Roman"/>
          <w:sz w:val="24"/>
          <w:szCs w:val="20"/>
          <w:lang w:val="it-IT" w:eastAsia="it-IT"/>
        </w:rPr>
        <w:t xml:space="preserve">) per l’entrare in vigore immediatamente, senza attendere il termine referendario di 60 giorni dalla pubblicazione sul Foglio ufficiale. </w:t>
      </w:r>
    </w:p>
    <w:p w:rsidR="00292ABD" w:rsidRPr="00292ABD" w:rsidRDefault="00292ABD" w:rsidP="002C54EF">
      <w:pPr>
        <w:numPr>
          <w:ilvl w:val="0"/>
          <w:numId w:val="22"/>
        </w:numPr>
        <w:tabs>
          <w:tab w:val="left" w:pos="284"/>
          <w:tab w:val="left" w:pos="426"/>
          <w:tab w:val="left" w:pos="4962"/>
        </w:tabs>
        <w:spacing w:before="120"/>
        <w:ind w:left="284" w:hanging="284"/>
        <w:rPr>
          <w:rFonts w:asciiTheme="minorHAnsi" w:eastAsia="Times New Roman" w:hAnsiTheme="minorHAnsi" w:cs="Times New Roman"/>
          <w:sz w:val="24"/>
          <w:szCs w:val="20"/>
          <w:lang w:val="it-IT" w:eastAsia="it-IT"/>
        </w:rPr>
      </w:pPr>
      <w:r w:rsidRPr="00292ABD">
        <w:rPr>
          <w:rFonts w:asciiTheme="minorHAnsi" w:eastAsia="Times New Roman" w:hAnsiTheme="minorHAnsi" w:cs="Times New Roman"/>
          <w:sz w:val="24"/>
          <w:szCs w:val="20"/>
          <w:lang w:val="it-IT" w:eastAsia="it-IT"/>
        </w:rPr>
        <w:t xml:space="preserve">Il </w:t>
      </w:r>
      <w:r w:rsidRPr="00292ABD">
        <w:rPr>
          <w:rFonts w:asciiTheme="minorHAnsi" w:eastAsia="Times New Roman" w:hAnsiTheme="minorHAnsi" w:cs="Times New Roman"/>
          <w:b/>
          <w:bCs/>
          <w:sz w:val="24"/>
          <w:szCs w:val="20"/>
          <w:lang w:val="it-IT" w:eastAsia="it-IT"/>
        </w:rPr>
        <w:t>decreto volto a modificare a tempo indeterminato la legge</w:t>
      </w:r>
      <w:r w:rsidRPr="00292ABD">
        <w:rPr>
          <w:rFonts w:asciiTheme="minorHAnsi" w:eastAsia="Times New Roman" w:hAnsiTheme="minorHAnsi" w:cs="Times New Roman"/>
          <w:sz w:val="24"/>
          <w:szCs w:val="20"/>
          <w:lang w:val="it-IT" w:eastAsia="it-IT"/>
        </w:rPr>
        <w:t>, sottoposto dunque a clausola referendaria.</w:t>
      </w:r>
    </w:p>
    <w:p w:rsidR="00292ABD" w:rsidRPr="00292ABD" w:rsidRDefault="00292ABD" w:rsidP="00292ABD">
      <w:pPr>
        <w:rPr>
          <w:rFonts w:asciiTheme="minorHAnsi" w:eastAsiaTheme="minorEastAsia" w:hAnsiTheme="minorHAnsi"/>
          <w:sz w:val="24"/>
        </w:rPr>
      </w:pPr>
    </w:p>
    <w:p w:rsidR="00292ABD" w:rsidRPr="00292ABD" w:rsidRDefault="00292ABD" w:rsidP="00292ABD">
      <w:pPr>
        <w:pStyle w:val="Titolo1"/>
        <w:tabs>
          <w:tab w:val="left" w:pos="0"/>
          <w:tab w:val="left" w:pos="567"/>
        </w:tabs>
        <w:spacing w:before="0"/>
        <w:jc w:val="both"/>
        <w:rPr>
          <w:rFonts w:eastAsia="Calibri" w:cs="Times New Roman"/>
          <w:caps/>
          <w:sz w:val="24"/>
          <w:szCs w:val="24"/>
          <w:lang w:val="it-IT" w:eastAsia="it-IT"/>
        </w:rPr>
      </w:pPr>
      <w:bookmarkStart w:id="0" w:name="_Toc96122217"/>
      <w:r>
        <w:rPr>
          <w:rFonts w:eastAsia="Calibri" w:cs="Times New Roman"/>
          <w:caps/>
          <w:sz w:val="24"/>
          <w:szCs w:val="24"/>
          <w:lang w:val="it-IT" w:eastAsia="it-IT"/>
        </w:rPr>
        <w:lastRenderedPageBreak/>
        <w:t>2</w:t>
      </w:r>
      <w:r w:rsidRPr="00292ABD">
        <w:rPr>
          <w:rFonts w:eastAsia="Calibri" w:cs="Times New Roman"/>
          <w:caps/>
          <w:sz w:val="24"/>
          <w:szCs w:val="24"/>
          <w:lang w:val="it-IT" w:eastAsia="it-IT"/>
        </w:rPr>
        <w:t>.</w:t>
      </w:r>
      <w:r w:rsidRPr="00292ABD">
        <w:rPr>
          <w:rFonts w:eastAsia="Calibri" w:cs="Times New Roman"/>
          <w:caps/>
          <w:sz w:val="24"/>
          <w:szCs w:val="24"/>
          <w:lang w:val="it-IT" w:eastAsia="it-IT"/>
        </w:rPr>
        <w:tab/>
        <w:t>programma dei casi di rigore 2021</w:t>
      </w:r>
      <w:bookmarkEnd w:id="0"/>
    </w:p>
    <w:p w:rsidR="00292ABD" w:rsidRPr="00292ABD" w:rsidRDefault="00292ABD" w:rsidP="00292ABD">
      <w:pPr>
        <w:tabs>
          <w:tab w:val="left" w:pos="284"/>
          <w:tab w:val="left" w:pos="426"/>
          <w:tab w:val="left" w:pos="4962"/>
        </w:tabs>
        <w:rPr>
          <w:rFonts w:asciiTheme="minorHAnsi" w:eastAsia="Times New Roman" w:hAnsiTheme="minorHAnsi" w:cs="Times New Roman"/>
          <w:sz w:val="24"/>
          <w:szCs w:val="20"/>
          <w:lang w:val="it-IT" w:eastAsia="it-IT"/>
        </w:rPr>
      </w:pPr>
      <w:r w:rsidRPr="00292ABD">
        <w:rPr>
          <w:rFonts w:asciiTheme="minorHAnsi" w:eastAsia="Times New Roman" w:hAnsiTheme="minorHAnsi" w:cs="Times New Roman"/>
          <w:sz w:val="24"/>
          <w:szCs w:val="20"/>
          <w:lang w:val="it-IT" w:eastAsia="it-IT"/>
        </w:rPr>
        <w:t>I precedenti messaggi e relativi rapporti riassumevano già le ragioni alla base del dispositivo immaginato e poi realizzato per la tipologia di aiuti in oggetto.</w:t>
      </w:r>
    </w:p>
    <w:p w:rsidR="00292ABD" w:rsidRPr="00292ABD" w:rsidRDefault="00292ABD" w:rsidP="00292ABD">
      <w:pPr>
        <w:tabs>
          <w:tab w:val="left" w:pos="284"/>
          <w:tab w:val="left" w:pos="426"/>
          <w:tab w:val="left" w:pos="4962"/>
        </w:tabs>
        <w:rPr>
          <w:rFonts w:asciiTheme="minorHAnsi" w:eastAsia="Times New Roman" w:hAnsiTheme="minorHAnsi" w:cs="Times New Roman"/>
          <w:sz w:val="24"/>
          <w:szCs w:val="20"/>
          <w:lang w:val="it-IT" w:eastAsia="it-IT"/>
        </w:rPr>
      </w:pPr>
      <w:r w:rsidRPr="00292ABD">
        <w:rPr>
          <w:rFonts w:asciiTheme="minorHAnsi" w:eastAsia="Times New Roman" w:hAnsiTheme="minorHAnsi" w:cs="Times New Roman"/>
          <w:sz w:val="24"/>
          <w:szCs w:val="20"/>
          <w:lang w:val="it-IT" w:eastAsia="it-IT"/>
        </w:rPr>
        <w:t>Si rinvia quindi, per la storia, ai seguenti atti:</w:t>
      </w:r>
    </w:p>
    <w:p w:rsidR="00292ABD" w:rsidRPr="002C54EF" w:rsidRDefault="00292ABD" w:rsidP="00292ABD">
      <w:pPr>
        <w:numPr>
          <w:ilvl w:val="0"/>
          <w:numId w:val="25"/>
        </w:numPr>
        <w:tabs>
          <w:tab w:val="left" w:pos="284"/>
          <w:tab w:val="left" w:pos="4962"/>
        </w:tabs>
        <w:spacing w:before="120"/>
        <w:rPr>
          <w:rFonts w:asciiTheme="minorHAnsi" w:eastAsia="Times New Roman" w:hAnsiTheme="minorHAnsi" w:cs="Times New Roman"/>
          <w:sz w:val="24"/>
          <w:szCs w:val="20"/>
          <w:lang w:eastAsia="it-IT"/>
        </w:rPr>
      </w:pPr>
      <w:r w:rsidRPr="002C54EF">
        <w:rPr>
          <w:rFonts w:asciiTheme="minorHAnsi" w:eastAsia="Times New Roman" w:hAnsiTheme="minorHAnsi" w:cs="Times New Roman"/>
          <w:sz w:val="24"/>
          <w:szCs w:val="20"/>
          <w:lang w:eastAsia="it-IT"/>
        </w:rPr>
        <w:t xml:space="preserve"> il </w:t>
      </w:r>
      <w:r w:rsidR="002C54EF" w:rsidRPr="002C54EF">
        <w:rPr>
          <w:rFonts w:asciiTheme="minorHAnsi" w:eastAsia="Times New Roman" w:hAnsiTheme="minorHAnsi" w:cs="Times New Roman"/>
          <w:sz w:val="24"/>
          <w:szCs w:val="20"/>
          <w:lang w:eastAsia="it-IT"/>
        </w:rPr>
        <w:t>m</w:t>
      </w:r>
      <w:r w:rsidRPr="002C54EF">
        <w:rPr>
          <w:rFonts w:asciiTheme="minorHAnsi" w:eastAsia="Times New Roman" w:hAnsiTheme="minorHAnsi" w:cs="Times New Roman"/>
          <w:sz w:val="24"/>
          <w:szCs w:val="20"/>
          <w:u w:val="single"/>
          <w:lang w:eastAsia="it-IT"/>
        </w:rPr>
        <w:t>essaggio n. 7948</w:t>
      </w:r>
      <w:r w:rsidRPr="002C54EF">
        <w:rPr>
          <w:rFonts w:asciiTheme="minorHAnsi" w:eastAsia="Times New Roman" w:hAnsiTheme="minorHAnsi" w:cs="Times New Roman"/>
          <w:sz w:val="24"/>
          <w:szCs w:val="20"/>
          <w:lang w:eastAsia="it-IT"/>
        </w:rPr>
        <w:t xml:space="preserve"> del 23 dicembre 2020, </w:t>
      </w:r>
      <w:r w:rsidRPr="002C54EF">
        <w:rPr>
          <w:rFonts w:asciiTheme="minorHAnsi" w:eastAsia="Times New Roman" w:hAnsiTheme="minorHAnsi" w:cs="Times New Roman"/>
          <w:sz w:val="24"/>
          <w:szCs w:val="20"/>
          <w:u w:val="single"/>
          <w:lang w:eastAsia="it-IT"/>
        </w:rPr>
        <w:t>approvato dal Parlamento il 25 gennaio 2021</w:t>
      </w:r>
      <w:r w:rsidRPr="002C54EF">
        <w:rPr>
          <w:rFonts w:asciiTheme="minorHAnsi" w:eastAsia="Times New Roman" w:hAnsiTheme="minorHAnsi" w:cs="Times New Roman"/>
          <w:sz w:val="24"/>
          <w:szCs w:val="20"/>
          <w:lang w:eastAsia="it-IT"/>
        </w:rPr>
        <w:t xml:space="preserve">, concernente la partecipazione cantonale all’attuazione dell’art. 12 della legge federale sulle basi legali delle ordinanze del Consiglio federale volte a far fronte all’epidemia di COVID-19 del 25 settembre 2020 (legge COVID-19) e relativa ordinanza COVID-19 sui casi di rigore del 25 novembre 2020. </w:t>
      </w:r>
      <w:r w:rsidRPr="002C54EF">
        <w:rPr>
          <w:rFonts w:asciiTheme="minorHAnsi" w:eastAsiaTheme="minorEastAsia" w:hAnsiTheme="minorHAnsi"/>
          <w:sz w:val="24"/>
        </w:rPr>
        <w:t xml:space="preserve">Il testo approvato teneva conto di </w:t>
      </w:r>
      <w:r w:rsidRPr="002C54EF">
        <w:rPr>
          <w:rFonts w:asciiTheme="minorHAnsi" w:eastAsia="Times New Roman" w:hAnsiTheme="minorHAnsi" w:cs="Times New Roman"/>
          <w:sz w:val="24"/>
          <w:szCs w:val="20"/>
          <w:lang w:eastAsia="it-IT"/>
        </w:rPr>
        <w:t>alcuni emendamenti necessari a seguito delle modifiche introdotte il 13 gennaio dal Consiglio federale, in particolare con l’introduzione di un programma parallelo per le imprese che a partire dal 1° novembre 2020 hanno dovuto chiudere la loro attività per almeno 40 giorni su ordine delle autorità;</w:t>
      </w:r>
    </w:p>
    <w:p w:rsidR="00292ABD" w:rsidRPr="002C54EF" w:rsidRDefault="00292ABD" w:rsidP="00292ABD">
      <w:pPr>
        <w:numPr>
          <w:ilvl w:val="0"/>
          <w:numId w:val="25"/>
        </w:numPr>
        <w:tabs>
          <w:tab w:val="left" w:pos="284"/>
          <w:tab w:val="left" w:pos="4962"/>
        </w:tabs>
        <w:spacing w:before="120"/>
        <w:rPr>
          <w:rFonts w:asciiTheme="minorHAnsi" w:eastAsia="Times New Roman" w:hAnsiTheme="minorHAnsi" w:cs="Times New Roman"/>
          <w:sz w:val="24"/>
          <w:szCs w:val="20"/>
          <w:lang w:eastAsia="it-IT"/>
        </w:rPr>
      </w:pPr>
      <w:r w:rsidRPr="002C54EF">
        <w:rPr>
          <w:rFonts w:asciiTheme="minorHAnsi" w:eastAsia="Times New Roman" w:hAnsiTheme="minorHAnsi" w:cs="Times New Roman"/>
          <w:sz w:val="24"/>
          <w:szCs w:val="20"/>
          <w:lang w:eastAsia="it-IT"/>
        </w:rPr>
        <w:t xml:space="preserve"> Il </w:t>
      </w:r>
      <w:r w:rsidRPr="002C54EF">
        <w:rPr>
          <w:rFonts w:asciiTheme="minorHAnsi" w:eastAsia="Times New Roman" w:hAnsiTheme="minorHAnsi" w:cs="Times New Roman"/>
          <w:sz w:val="24"/>
          <w:szCs w:val="20"/>
          <w:u w:val="single"/>
          <w:lang w:eastAsia="it-IT"/>
        </w:rPr>
        <w:t>27 gennaio 2021</w:t>
      </w:r>
      <w:r w:rsidRPr="002C54EF">
        <w:rPr>
          <w:rFonts w:asciiTheme="minorHAnsi" w:eastAsia="Times New Roman" w:hAnsiTheme="minorHAnsi" w:cs="Times New Roman"/>
          <w:sz w:val="24"/>
          <w:szCs w:val="20"/>
          <w:lang w:eastAsia="it-IT"/>
        </w:rPr>
        <w:t xml:space="preserve"> il </w:t>
      </w:r>
      <w:r w:rsidRPr="002C54EF">
        <w:rPr>
          <w:rFonts w:asciiTheme="minorHAnsi" w:eastAsia="Times New Roman" w:hAnsiTheme="minorHAnsi" w:cs="Times New Roman"/>
          <w:sz w:val="24"/>
          <w:szCs w:val="20"/>
          <w:u w:val="single"/>
          <w:lang w:eastAsia="it-IT"/>
        </w:rPr>
        <w:t>Consiglio di Stato</w:t>
      </w:r>
      <w:r w:rsidRPr="002C54EF">
        <w:rPr>
          <w:rFonts w:asciiTheme="minorHAnsi" w:eastAsia="Times New Roman" w:hAnsiTheme="minorHAnsi" w:cs="Times New Roman"/>
          <w:sz w:val="24"/>
          <w:szCs w:val="20"/>
          <w:lang w:eastAsia="it-IT"/>
        </w:rPr>
        <w:t xml:space="preserve"> ha quindi approvato il necessario </w:t>
      </w:r>
      <w:r w:rsidRPr="002C54EF">
        <w:rPr>
          <w:rFonts w:asciiTheme="minorHAnsi" w:eastAsia="Times New Roman" w:hAnsiTheme="minorHAnsi" w:cs="Times New Roman"/>
          <w:sz w:val="24"/>
          <w:szCs w:val="20"/>
          <w:u w:val="single"/>
          <w:lang w:eastAsia="it-IT"/>
        </w:rPr>
        <w:t>decreto esecutivo</w:t>
      </w:r>
      <w:r w:rsidRPr="002C54EF">
        <w:rPr>
          <w:rFonts w:asciiTheme="minorHAnsi" w:eastAsia="Times New Roman" w:hAnsiTheme="minorHAnsi" w:cs="Times New Roman"/>
          <w:sz w:val="24"/>
          <w:szCs w:val="20"/>
          <w:lang w:eastAsia="it-IT"/>
        </w:rPr>
        <w:t xml:space="preserve"> per l’avvio rapido del programma relativo ai casi di rigore. Il 1° febbraio 2021 è stato attivato il sito cantonale dedicato ai casi di rigore (</w:t>
      </w:r>
      <w:hyperlink r:id="rId11" w:history="1">
        <w:r w:rsidRPr="002C54EF">
          <w:rPr>
            <w:rFonts w:asciiTheme="minorHAnsi" w:eastAsia="Times New Roman" w:hAnsiTheme="minorHAnsi" w:cs="Times New Roman"/>
            <w:color w:val="0000FF" w:themeColor="hyperlink"/>
            <w:sz w:val="24"/>
            <w:szCs w:val="20"/>
            <w:u w:val="single"/>
            <w:lang w:eastAsia="it-IT"/>
          </w:rPr>
          <w:t>www.ti.ch/casidirigore</w:t>
        </w:r>
      </w:hyperlink>
      <w:r w:rsidRPr="002C54EF">
        <w:rPr>
          <w:rFonts w:asciiTheme="minorHAnsi" w:eastAsia="Times New Roman" w:hAnsiTheme="minorHAnsi" w:cs="Times New Roman"/>
          <w:sz w:val="24"/>
          <w:szCs w:val="20"/>
          <w:lang w:eastAsia="it-IT"/>
        </w:rPr>
        <w:t>) e dal 4 febbraio 2021 le imprese avevano potuto inoltrare le richieste di aiuto. Le prime decisioni di stanziamento erano avvenute il 12 febbraio 2021.</w:t>
      </w:r>
    </w:p>
    <w:p w:rsidR="00292ABD" w:rsidRPr="00292ABD" w:rsidRDefault="00292ABD" w:rsidP="00292ABD">
      <w:pPr>
        <w:numPr>
          <w:ilvl w:val="0"/>
          <w:numId w:val="25"/>
        </w:numPr>
        <w:tabs>
          <w:tab w:val="left" w:pos="284"/>
          <w:tab w:val="left" w:pos="4962"/>
        </w:tabs>
        <w:spacing w:before="120"/>
        <w:rPr>
          <w:rFonts w:asciiTheme="minorHAnsi" w:eastAsia="Times New Roman" w:hAnsiTheme="minorHAnsi" w:cs="Times New Roman"/>
          <w:sz w:val="24"/>
          <w:szCs w:val="20"/>
          <w:lang w:eastAsia="it-IT"/>
        </w:rPr>
      </w:pPr>
      <w:r w:rsidRPr="00292ABD">
        <w:rPr>
          <w:rFonts w:asciiTheme="minorHAnsi" w:eastAsia="Times New Roman" w:hAnsiTheme="minorHAnsi" w:cs="Times New Roman"/>
          <w:sz w:val="24"/>
          <w:szCs w:val="20"/>
          <w:lang w:eastAsia="it-IT"/>
        </w:rPr>
        <w:t xml:space="preserve"> il </w:t>
      </w:r>
      <w:r w:rsidR="002C54EF">
        <w:rPr>
          <w:rFonts w:asciiTheme="minorHAnsi" w:eastAsia="Times New Roman" w:hAnsiTheme="minorHAnsi" w:cs="Times New Roman"/>
          <w:sz w:val="24"/>
          <w:szCs w:val="20"/>
          <w:u w:val="single"/>
          <w:lang w:eastAsia="it-IT"/>
        </w:rPr>
        <w:t>m</w:t>
      </w:r>
      <w:r w:rsidRPr="00292ABD">
        <w:rPr>
          <w:rFonts w:asciiTheme="minorHAnsi" w:eastAsia="Times New Roman" w:hAnsiTheme="minorHAnsi" w:cs="Times New Roman"/>
          <w:sz w:val="24"/>
          <w:szCs w:val="20"/>
          <w:u w:val="single"/>
          <w:lang w:eastAsia="it-IT"/>
        </w:rPr>
        <w:t>essaggio n. 7983</w:t>
      </w:r>
      <w:r w:rsidRPr="00292ABD">
        <w:rPr>
          <w:rFonts w:asciiTheme="minorHAnsi" w:eastAsia="Times New Roman" w:hAnsiTheme="minorHAnsi" w:cs="Times New Roman"/>
          <w:sz w:val="24"/>
          <w:szCs w:val="20"/>
          <w:lang w:eastAsia="it-IT"/>
        </w:rPr>
        <w:t xml:space="preserve"> del 14 aprile 2021, </w:t>
      </w:r>
      <w:r w:rsidRPr="00292ABD">
        <w:rPr>
          <w:rFonts w:asciiTheme="minorHAnsi" w:eastAsia="Times New Roman" w:hAnsiTheme="minorHAnsi" w:cs="Times New Roman"/>
          <w:sz w:val="24"/>
          <w:szCs w:val="20"/>
          <w:u w:val="single"/>
          <w:lang w:eastAsia="it-IT"/>
        </w:rPr>
        <w:t>approvato dal Parlamento il 3 maggio 2021</w:t>
      </w:r>
      <w:r w:rsidRPr="00292ABD">
        <w:rPr>
          <w:rFonts w:asciiTheme="minorHAnsi" w:eastAsia="Times New Roman" w:hAnsiTheme="minorHAnsi" w:cs="Times New Roman"/>
          <w:sz w:val="24"/>
          <w:szCs w:val="20"/>
          <w:lang w:eastAsia="it-IT"/>
        </w:rPr>
        <w:t>, concernente l’adeguamento della legge COVID-19 e l’aumento della dotazione finanziaria tramite lo stanziamento di un credito lordo di 75.6 milioni di franchi e netto di 24.52 milioni di franchi per l’adozione di misure ex Ordinanza COVID-19 sui casi di rigore;</w:t>
      </w:r>
    </w:p>
    <w:p w:rsidR="00292ABD" w:rsidRPr="00292ABD" w:rsidRDefault="00292ABD" w:rsidP="00292ABD">
      <w:pPr>
        <w:numPr>
          <w:ilvl w:val="0"/>
          <w:numId w:val="25"/>
        </w:numPr>
        <w:tabs>
          <w:tab w:val="left" w:pos="284"/>
          <w:tab w:val="left" w:pos="4962"/>
        </w:tabs>
        <w:spacing w:before="120"/>
        <w:rPr>
          <w:rFonts w:asciiTheme="minorHAnsi" w:eastAsia="Times New Roman" w:hAnsiTheme="minorHAnsi" w:cs="Times New Roman"/>
          <w:sz w:val="24"/>
          <w:szCs w:val="20"/>
          <w:lang w:eastAsia="it-IT"/>
        </w:rPr>
      </w:pPr>
      <w:r w:rsidRPr="00292ABD">
        <w:rPr>
          <w:rFonts w:asciiTheme="minorHAnsi" w:eastAsia="Times New Roman" w:hAnsiTheme="minorHAnsi" w:cs="Times New Roman"/>
          <w:bCs/>
          <w:sz w:val="24"/>
          <w:szCs w:val="20"/>
          <w:lang w:eastAsia="it-IT"/>
        </w:rPr>
        <w:t xml:space="preserve"> Con RG n. 754 del 16 febbraio 2022, il Consiglio di Stato ha risolto di aggiornare il Preventivo 2022 tenuto conto di quanto indicato di seguito:</w:t>
      </w:r>
    </w:p>
    <w:p w:rsidR="00292ABD" w:rsidRPr="00292ABD" w:rsidRDefault="00292ABD" w:rsidP="00292ABD">
      <w:pPr>
        <w:numPr>
          <w:ilvl w:val="1"/>
          <w:numId w:val="26"/>
        </w:numPr>
        <w:tabs>
          <w:tab w:val="left" w:pos="284"/>
          <w:tab w:val="left" w:pos="426"/>
          <w:tab w:val="left" w:pos="4962"/>
        </w:tabs>
        <w:spacing w:before="60"/>
        <w:ind w:left="709" w:hanging="283"/>
        <w:rPr>
          <w:rFonts w:asciiTheme="minorHAnsi" w:eastAsia="Times New Roman" w:hAnsiTheme="minorHAnsi" w:cs="Times New Roman"/>
          <w:sz w:val="24"/>
          <w:szCs w:val="20"/>
          <w:lang w:eastAsia="it-IT"/>
        </w:rPr>
      </w:pPr>
      <w:r w:rsidRPr="00292ABD">
        <w:rPr>
          <w:rFonts w:asciiTheme="minorHAnsi" w:eastAsia="Times New Roman" w:hAnsiTheme="minorHAnsi" w:cs="Times New Roman"/>
          <w:sz w:val="24"/>
          <w:szCs w:val="20"/>
          <w:lang w:eastAsia="it-IT"/>
        </w:rPr>
        <w:t xml:space="preserve">l’art. 8 cpv. 1 della legge di applicazione per i casi di rigore della legge COVID-19 prevede che, per il finanziamento delle misure a favore dei casi di rigore, è autorizzata l’erogazione di </w:t>
      </w:r>
      <w:r w:rsidRPr="00292ABD">
        <w:rPr>
          <w:rFonts w:asciiTheme="minorHAnsi" w:eastAsia="Times New Roman" w:hAnsiTheme="minorHAnsi" w:cs="Times New Roman"/>
          <w:b/>
          <w:bCs/>
          <w:sz w:val="24"/>
          <w:szCs w:val="20"/>
          <w:lang w:eastAsia="it-IT"/>
        </w:rPr>
        <w:t>aiuti finanziari</w:t>
      </w:r>
      <w:r w:rsidRPr="00292ABD">
        <w:rPr>
          <w:rFonts w:asciiTheme="minorHAnsi" w:eastAsia="Times New Roman" w:hAnsiTheme="minorHAnsi" w:cs="Times New Roman"/>
          <w:sz w:val="24"/>
          <w:szCs w:val="20"/>
          <w:lang w:eastAsia="it-IT"/>
        </w:rPr>
        <w:t xml:space="preserve"> stabiliti secondo l’art. 4 fino ad un importo massimo di fr. 125 milioni (di cui fr. 87.5 milioni coperti dalla Confederazione) e che sono stati stanziati contributi lordi per un importo di fr. 93'402'632 (al netto dei contributi solo finanziati dalla Confederazione), con un </w:t>
      </w:r>
      <w:r w:rsidRPr="00292ABD">
        <w:rPr>
          <w:rFonts w:asciiTheme="minorHAnsi" w:eastAsia="Times New Roman" w:hAnsiTheme="minorHAnsi" w:cs="Times New Roman"/>
          <w:b/>
          <w:bCs/>
          <w:sz w:val="24"/>
          <w:szCs w:val="20"/>
          <w:lang w:eastAsia="it-IT"/>
        </w:rPr>
        <w:t>residuo ancora erogabile di fr. 31'597'368;</w:t>
      </w:r>
    </w:p>
    <w:p w:rsidR="00292ABD" w:rsidRPr="00292ABD" w:rsidRDefault="00292ABD" w:rsidP="00292ABD">
      <w:pPr>
        <w:numPr>
          <w:ilvl w:val="1"/>
          <w:numId w:val="26"/>
        </w:numPr>
        <w:tabs>
          <w:tab w:val="left" w:pos="284"/>
          <w:tab w:val="left" w:pos="426"/>
          <w:tab w:val="left" w:pos="4962"/>
        </w:tabs>
        <w:spacing w:before="60"/>
        <w:ind w:left="709" w:hanging="283"/>
        <w:rPr>
          <w:rFonts w:asciiTheme="minorHAnsi" w:eastAsia="Times New Roman" w:hAnsiTheme="minorHAnsi" w:cs="Times New Roman"/>
          <w:sz w:val="24"/>
          <w:szCs w:val="20"/>
          <w:lang w:eastAsia="it-IT"/>
        </w:rPr>
      </w:pPr>
      <w:r w:rsidRPr="00292ABD">
        <w:rPr>
          <w:rFonts w:asciiTheme="minorHAnsi" w:eastAsia="Times New Roman" w:hAnsiTheme="minorHAnsi" w:cs="Times New Roman"/>
          <w:sz w:val="24"/>
          <w:szCs w:val="20"/>
          <w:lang w:eastAsia="it-IT"/>
        </w:rPr>
        <w:t xml:space="preserve">l’art 8 cpv. 2 della medesima legge prevede altresì, in caso di esito positivo, il </w:t>
      </w:r>
      <w:r w:rsidRPr="00292ABD">
        <w:rPr>
          <w:rFonts w:asciiTheme="minorHAnsi" w:eastAsia="Times New Roman" w:hAnsiTheme="minorHAnsi" w:cs="Times New Roman"/>
          <w:b/>
          <w:bCs/>
          <w:sz w:val="24"/>
          <w:szCs w:val="20"/>
          <w:lang w:eastAsia="it-IT"/>
        </w:rPr>
        <w:t>rimborso dei costi di revisione</w:t>
      </w:r>
      <w:r w:rsidRPr="00292ABD">
        <w:rPr>
          <w:rFonts w:asciiTheme="minorHAnsi" w:eastAsia="Times New Roman" w:hAnsiTheme="minorHAnsi" w:cs="Times New Roman"/>
          <w:sz w:val="24"/>
          <w:szCs w:val="20"/>
          <w:lang w:eastAsia="it-IT"/>
        </w:rPr>
        <w:t xml:space="preserve"> e che ad oggi sono stati stanziati fr. 717'650.-, con un </w:t>
      </w:r>
      <w:r w:rsidRPr="00292ABD">
        <w:rPr>
          <w:rFonts w:asciiTheme="minorHAnsi" w:eastAsia="Times New Roman" w:hAnsiTheme="minorHAnsi" w:cs="Times New Roman"/>
          <w:b/>
          <w:bCs/>
          <w:sz w:val="24"/>
          <w:szCs w:val="20"/>
          <w:lang w:eastAsia="it-IT"/>
        </w:rPr>
        <w:t>residuo ancora erogabile di fr. 2'282'350.-;</w:t>
      </w:r>
    </w:p>
    <w:p w:rsidR="00292ABD" w:rsidRPr="00292ABD" w:rsidRDefault="00292ABD" w:rsidP="00292ABD">
      <w:pPr>
        <w:numPr>
          <w:ilvl w:val="1"/>
          <w:numId w:val="26"/>
        </w:numPr>
        <w:tabs>
          <w:tab w:val="left" w:pos="284"/>
          <w:tab w:val="left" w:pos="426"/>
          <w:tab w:val="left" w:pos="4962"/>
        </w:tabs>
        <w:spacing w:before="60"/>
        <w:ind w:left="709" w:hanging="283"/>
        <w:rPr>
          <w:rFonts w:asciiTheme="minorHAnsi" w:eastAsia="Times New Roman" w:hAnsiTheme="minorHAnsi" w:cs="Times New Roman"/>
          <w:sz w:val="24"/>
          <w:szCs w:val="20"/>
          <w:lang w:eastAsia="it-IT"/>
        </w:rPr>
      </w:pPr>
      <w:r w:rsidRPr="00292ABD">
        <w:rPr>
          <w:rFonts w:asciiTheme="minorHAnsi" w:eastAsia="Times New Roman" w:hAnsiTheme="minorHAnsi" w:cs="Times New Roman"/>
          <w:sz w:val="24"/>
          <w:szCs w:val="20"/>
          <w:lang w:eastAsia="it-IT"/>
        </w:rPr>
        <w:t xml:space="preserve">l’art 8 cpv. 3 della stessa legge prevede lo stanziamento di 1.6 milioni di franchi per i costi interni di gestione per </w:t>
      </w:r>
      <w:r w:rsidRPr="00292ABD">
        <w:rPr>
          <w:rFonts w:asciiTheme="minorHAnsi" w:eastAsia="Times New Roman" w:hAnsiTheme="minorHAnsi" w:cs="Times New Roman"/>
          <w:b/>
          <w:bCs/>
          <w:sz w:val="24"/>
          <w:szCs w:val="20"/>
          <w:lang w:eastAsia="it-IT"/>
        </w:rPr>
        <w:t>l’assunzione di personale ausiliario</w:t>
      </w:r>
      <w:r w:rsidRPr="00292ABD">
        <w:rPr>
          <w:rFonts w:asciiTheme="minorHAnsi" w:eastAsia="Times New Roman" w:hAnsiTheme="minorHAnsi" w:cs="Times New Roman"/>
          <w:sz w:val="24"/>
          <w:szCs w:val="20"/>
          <w:lang w:eastAsia="it-IT"/>
        </w:rPr>
        <w:t xml:space="preserve"> e che al 31 dicembre 2021, sono stati utilizzati per fr. 879'696.-, con un </w:t>
      </w:r>
      <w:r w:rsidRPr="00292ABD">
        <w:rPr>
          <w:rFonts w:asciiTheme="minorHAnsi" w:eastAsia="Times New Roman" w:hAnsiTheme="minorHAnsi" w:cs="Times New Roman"/>
          <w:b/>
          <w:bCs/>
          <w:sz w:val="24"/>
          <w:szCs w:val="20"/>
          <w:lang w:eastAsia="it-IT"/>
        </w:rPr>
        <w:t>residuo utilizzabile di fr. 720'304.-;</w:t>
      </w:r>
    </w:p>
    <w:p w:rsidR="00292ABD" w:rsidRPr="002C54EF" w:rsidRDefault="00292ABD" w:rsidP="00292ABD">
      <w:pPr>
        <w:numPr>
          <w:ilvl w:val="0"/>
          <w:numId w:val="24"/>
        </w:numPr>
        <w:tabs>
          <w:tab w:val="left" w:pos="284"/>
          <w:tab w:val="left" w:pos="426"/>
          <w:tab w:val="left" w:pos="4962"/>
        </w:tabs>
        <w:spacing w:before="120"/>
        <w:ind w:left="386"/>
        <w:rPr>
          <w:rFonts w:asciiTheme="minorHAnsi" w:eastAsia="Times New Roman" w:hAnsiTheme="minorHAnsi" w:cs="Times New Roman"/>
          <w:sz w:val="24"/>
          <w:szCs w:val="20"/>
          <w:lang w:eastAsia="it-IT"/>
        </w:rPr>
      </w:pPr>
      <w:r w:rsidRPr="002C54EF">
        <w:rPr>
          <w:rFonts w:asciiTheme="minorHAnsi" w:eastAsia="Times New Roman" w:hAnsiTheme="minorHAnsi" w:cs="Times New Roman"/>
          <w:sz w:val="24"/>
          <w:szCs w:val="20"/>
          <w:lang w:eastAsia="it-IT"/>
        </w:rPr>
        <w:t xml:space="preserve"> </w:t>
      </w:r>
      <w:r w:rsidRPr="002C54EF">
        <w:rPr>
          <w:rFonts w:asciiTheme="minorHAnsi" w:eastAsia="Times New Roman" w:hAnsiTheme="minorHAnsi" w:cs="Times New Roman"/>
          <w:sz w:val="24"/>
          <w:szCs w:val="20"/>
          <w:u w:val="single"/>
          <w:lang w:eastAsia="it-IT"/>
        </w:rPr>
        <w:t>Molte le modifiche</w:t>
      </w:r>
      <w:r w:rsidRPr="002C54EF">
        <w:rPr>
          <w:rFonts w:asciiTheme="minorHAnsi" w:eastAsia="Times New Roman" w:hAnsiTheme="minorHAnsi" w:cs="Times New Roman"/>
          <w:sz w:val="24"/>
          <w:szCs w:val="20"/>
          <w:lang w:eastAsia="it-IT"/>
        </w:rPr>
        <w:t xml:space="preserve"> nel solo 2021 delle normative federali e di riflesso cantonali: 7 volte la Legge COVID-19; 5 volte l’Ordinanza COVID-19 casi di rigore. A livello cantonale, è stato necessario modificare conseguentemente la legge d’applicazione, mentre il relativo regolamento è stato rivisto 6 volte;</w:t>
      </w:r>
    </w:p>
    <w:p w:rsidR="00292ABD" w:rsidRPr="002C54EF" w:rsidRDefault="00292ABD" w:rsidP="00292ABD">
      <w:pPr>
        <w:numPr>
          <w:ilvl w:val="0"/>
          <w:numId w:val="24"/>
        </w:numPr>
        <w:tabs>
          <w:tab w:val="left" w:pos="284"/>
          <w:tab w:val="left" w:pos="426"/>
          <w:tab w:val="left" w:pos="4962"/>
        </w:tabs>
        <w:spacing w:before="120"/>
        <w:ind w:left="386"/>
        <w:rPr>
          <w:rFonts w:asciiTheme="minorHAnsi" w:eastAsia="Times New Roman" w:hAnsiTheme="minorHAnsi" w:cs="Times New Roman"/>
          <w:sz w:val="24"/>
          <w:szCs w:val="20"/>
          <w:lang w:eastAsia="it-IT"/>
        </w:rPr>
      </w:pPr>
      <w:r w:rsidRPr="002C54EF">
        <w:rPr>
          <w:rFonts w:asciiTheme="minorHAnsi" w:eastAsia="Times New Roman" w:hAnsiTheme="minorHAnsi" w:cs="Times New Roman"/>
          <w:sz w:val="24"/>
          <w:szCs w:val="20"/>
          <w:lang w:eastAsia="it-IT"/>
        </w:rPr>
        <w:t xml:space="preserve"> Tutto ciò non ha reso facile il lavoro amministrativo richiedendo vari adattamenti anche a livello informatico di gestione, risorse e procedura di valutazione e lotta agli abusi;</w:t>
      </w:r>
    </w:p>
    <w:p w:rsidR="00292ABD" w:rsidRPr="00292ABD" w:rsidRDefault="00292ABD" w:rsidP="00292ABD">
      <w:pPr>
        <w:numPr>
          <w:ilvl w:val="0"/>
          <w:numId w:val="24"/>
        </w:numPr>
        <w:tabs>
          <w:tab w:val="left" w:pos="284"/>
          <w:tab w:val="left" w:pos="426"/>
          <w:tab w:val="left" w:pos="4962"/>
        </w:tabs>
        <w:spacing w:before="120"/>
        <w:ind w:left="386"/>
        <w:rPr>
          <w:rFonts w:asciiTheme="minorHAnsi" w:eastAsia="Times New Roman" w:hAnsiTheme="minorHAnsi" w:cs="Times New Roman"/>
          <w:sz w:val="24"/>
          <w:szCs w:val="20"/>
          <w:lang w:val="it-IT" w:eastAsia="it-IT"/>
        </w:rPr>
      </w:pPr>
      <w:r w:rsidRPr="00292ABD">
        <w:rPr>
          <w:rFonts w:asciiTheme="minorHAnsi" w:eastAsia="Times New Roman" w:hAnsiTheme="minorHAnsi" w:cs="Times New Roman"/>
          <w:sz w:val="24"/>
          <w:szCs w:val="20"/>
          <w:lang w:val="it-IT" w:eastAsia="it-IT"/>
        </w:rPr>
        <w:lastRenderedPageBreak/>
        <w:t xml:space="preserve"> Il Cantone Ticino ha adottato un sistema peculiare, semplice, fondato sulla concessione di un contributo calcolato moltiplicando una percentuale forfettaria alla cifra d’affari media del periodo 2018-2019. Ogni cantone ha calcolato in maniera differente i propri aiuti, pertanto non è possibile fare paragoni sulla percentuale concessa, senza considerare altri parametri. Il programma ticinese ha superato due controlli della Confederazione ed è attualmente sotto esame del Controllo cantonale delle finanze.</w:t>
      </w:r>
    </w:p>
    <w:p w:rsidR="00292ABD" w:rsidRPr="00292ABD" w:rsidRDefault="00292ABD" w:rsidP="00292ABD">
      <w:pPr>
        <w:numPr>
          <w:ilvl w:val="0"/>
          <w:numId w:val="24"/>
        </w:numPr>
        <w:tabs>
          <w:tab w:val="left" w:pos="284"/>
          <w:tab w:val="left" w:pos="426"/>
          <w:tab w:val="left" w:pos="4962"/>
        </w:tabs>
        <w:spacing w:before="120"/>
        <w:ind w:left="386"/>
        <w:rPr>
          <w:rFonts w:asciiTheme="minorHAnsi" w:eastAsia="Times New Roman" w:hAnsiTheme="minorHAnsi" w:cs="Times New Roman"/>
          <w:sz w:val="24"/>
          <w:szCs w:val="20"/>
          <w:lang w:eastAsia="it-IT"/>
        </w:rPr>
      </w:pPr>
      <w:r w:rsidRPr="00292ABD">
        <w:rPr>
          <w:rFonts w:asciiTheme="minorHAnsi" w:eastAsia="Times New Roman" w:hAnsiTheme="minorHAnsi" w:cs="Times New Roman"/>
          <w:sz w:val="24"/>
          <w:szCs w:val="20"/>
          <w:lang w:eastAsia="it-IT"/>
        </w:rPr>
        <w:t xml:space="preserve"> In media, superati i momenti di picco, il </w:t>
      </w:r>
      <w:r w:rsidRPr="00292ABD">
        <w:rPr>
          <w:rFonts w:asciiTheme="minorHAnsi" w:eastAsia="Times New Roman" w:hAnsiTheme="minorHAnsi" w:cs="Times New Roman"/>
          <w:sz w:val="24"/>
          <w:szCs w:val="20"/>
          <w:u w:val="single"/>
          <w:lang w:eastAsia="it-IT"/>
        </w:rPr>
        <w:t>tempo di evasione ed erogazione</w:t>
      </w:r>
      <w:r w:rsidRPr="00292ABD">
        <w:rPr>
          <w:rFonts w:asciiTheme="minorHAnsi" w:eastAsia="Times New Roman" w:hAnsiTheme="minorHAnsi" w:cs="Times New Roman"/>
          <w:sz w:val="24"/>
          <w:szCs w:val="20"/>
          <w:lang w:eastAsia="it-IT"/>
        </w:rPr>
        <w:t xml:space="preserve"> degli aiuti si è stabilizzato tra le </w:t>
      </w:r>
      <w:r w:rsidRPr="00292ABD">
        <w:rPr>
          <w:rFonts w:asciiTheme="minorHAnsi" w:eastAsia="Times New Roman" w:hAnsiTheme="minorHAnsi" w:cs="Times New Roman"/>
          <w:sz w:val="24"/>
          <w:szCs w:val="20"/>
          <w:u w:val="single"/>
          <w:lang w:eastAsia="it-IT"/>
        </w:rPr>
        <w:t>quattro-cinque settimane</w:t>
      </w:r>
      <w:r w:rsidRPr="00292ABD">
        <w:rPr>
          <w:rFonts w:asciiTheme="minorHAnsi" w:eastAsia="Times New Roman" w:hAnsiTheme="minorHAnsi" w:cs="Times New Roman"/>
          <w:sz w:val="24"/>
          <w:szCs w:val="20"/>
          <w:lang w:eastAsia="it-IT"/>
        </w:rPr>
        <w:t>;</w:t>
      </w:r>
    </w:p>
    <w:p w:rsidR="00292ABD" w:rsidRPr="00292ABD" w:rsidRDefault="00292ABD" w:rsidP="002C54EF">
      <w:pPr>
        <w:numPr>
          <w:ilvl w:val="0"/>
          <w:numId w:val="24"/>
        </w:numPr>
        <w:tabs>
          <w:tab w:val="left" w:pos="284"/>
          <w:tab w:val="left" w:pos="426"/>
          <w:tab w:val="left" w:pos="4962"/>
        </w:tabs>
        <w:spacing w:before="120" w:after="120"/>
        <w:ind w:left="386"/>
        <w:rPr>
          <w:rFonts w:asciiTheme="minorHAnsi" w:eastAsia="Times New Roman" w:hAnsiTheme="minorHAnsi" w:cs="Times New Roman"/>
          <w:sz w:val="24"/>
          <w:szCs w:val="20"/>
          <w:lang w:eastAsia="it-IT"/>
        </w:rPr>
      </w:pPr>
      <w:r w:rsidRPr="00292ABD">
        <w:rPr>
          <w:rFonts w:asciiTheme="minorHAnsi" w:eastAsia="Times New Roman" w:hAnsiTheme="minorHAnsi" w:cs="Times New Roman"/>
          <w:sz w:val="24"/>
          <w:szCs w:val="20"/>
          <w:lang w:eastAsia="it-IT"/>
        </w:rPr>
        <w:t xml:space="preserve"> A</w:t>
      </w:r>
      <w:r w:rsidRPr="00292ABD">
        <w:rPr>
          <w:rFonts w:asciiTheme="minorHAnsi" w:eastAsia="Times New Roman" w:hAnsiTheme="minorHAnsi" w:cs="Times New Roman"/>
          <w:sz w:val="24"/>
          <w:szCs w:val="20"/>
          <w:lang w:val="it-IT" w:eastAsia="it-IT"/>
        </w:rPr>
        <w:t xml:space="preserve">l 31 dicembre 2021, sono state formalizzate 2'156 decisioni di sostegno </w:t>
      </w:r>
      <w:r w:rsidRPr="00292ABD">
        <w:rPr>
          <w:rFonts w:asciiTheme="minorHAnsi" w:eastAsia="Times New Roman" w:hAnsiTheme="minorHAnsi" w:cs="Times New Roman"/>
          <w:sz w:val="24"/>
          <w:szCs w:val="20"/>
          <w:u w:val="single"/>
          <w:lang w:val="it-IT" w:eastAsia="it-IT"/>
        </w:rPr>
        <w:t>a favore di 1'812 imprese</w:t>
      </w:r>
      <w:r w:rsidRPr="00292ABD">
        <w:rPr>
          <w:rFonts w:asciiTheme="minorHAnsi" w:eastAsia="Times New Roman" w:hAnsiTheme="minorHAnsi" w:cs="Times New Roman"/>
          <w:sz w:val="24"/>
          <w:szCs w:val="20"/>
          <w:lang w:val="it-IT" w:eastAsia="it-IT"/>
        </w:rPr>
        <w:t xml:space="preserve"> per un importo complessivo pari a </w:t>
      </w:r>
      <w:r w:rsidRPr="00292ABD">
        <w:rPr>
          <w:rFonts w:asciiTheme="minorHAnsi" w:eastAsia="Times New Roman" w:hAnsiTheme="minorHAnsi" w:cs="Times New Roman"/>
          <w:sz w:val="24"/>
          <w:szCs w:val="20"/>
          <w:u w:val="single"/>
          <w:lang w:val="it-IT" w:eastAsia="it-IT"/>
        </w:rPr>
        <w:t>160.5 milioni</w:t>
      </w:r>
      <w:r w:rsidRPr="00292ABD">
        <w:rPr>
          <w:rFonts w:asciiTheme="minorHAnsi" w:eastAsia="Times New Roman" w:hAnsiTheme="minorHAnsi" w:cs="Times New Roman"/>
          <w:sz w:val="24"/>
          <w:szCs w:val="20"/>
          <w:lang w:val="it-IT" w:eastAsia="it-IT"/>
        </w:rPr>
        <w:t xml:space="preserve"> di franchi di aiuti decisi</w:t>
      </w:r>
      <w:r w:rsidRPr="00292ABD">
        <w:rPr>
          <w:rFonts w:asciiTheme="minorHAnsi" w:eastAsiaTheme="minorEastAsia" w:hAnsiTheme="minorHAnsi"/>
          <w:sz w:val="24"/>
          <w:lang w:val="de-CH"/>
        </w:rPr>
        <w:t xml:space="preserve"> </w:t>
      </w:r>
      <w:r w:rsidRPr="00292ABD">
        <w:rPr>
          <w:rFonts w:asciiTheme="minorHAnsi" w:eastAsia="Times New Roman" w:hAnsiTheme="minorHAnsi" w:cs="Times New Roman"/>
          <w:sz w:val="24"/>
          <w:szCs w:val="20"/>
          <w:lang w:val="de-CH" w:eastAsia="it-IT"/>
        </w:rPr>
        <w:t>di cui circa 132 milioni a carico della Confederazione</w:t>
      </w:r>
      <w:r w:rsidRPr="00292ABD">
        <w:rPr>
          <w:rFonts w:asciiTheme="minorHAnsi" w:eastAsia="Times New Roman" w:hAnsiTheme="minorHAnsi" w:cs="Times New Roman"/>
          <w:sz w:val="24"/>
          <w:szCs w:val="20"/>
          <w:lang w:val="it-IT" w:eastAsia="it-IT"/>
        </w:rPr>
        <w:t>, così suddivisi:</w:t>
      </w:r>
    </w:p>
    <w:p w:rsidR="00292ABD" w:rsidRPr="00292ABD" w:rsidRDefault="00292ABD" w:rsidP="00292ABD">
      <w:pPr>
        <w:tabs>
          <w:tab w:val="left" w:pos="284"/>
          <w:tab w:val="left" w:pos="426"/>
          <w:tab w:val="left" w:pos="4962"/>
        </w:tabs>
        <w:rPr>
          <w:rFonts w:asciiTheme="minorHAnsi" w:eastAsia="Times New Roman" w:hAnsiTheme="minorHAnsi" w:cs="Times New Roman"/>
          <w:sz w:val="24"/>
          <w:szCs w:val="20"/>
          <w:lang w:val="it-IT" w:eastAsia="it-IT"/>
        </w:rPr>
      </w:pPr>
    </w:p>
    <w:p w:rsidR="00292ABD" w:rsidRPr="00292ABD" w:rsidRDefault="00292ABD" w:rsidP="00292ABD">
      <w:pPr>
        <w:tabs>
          <w:tab w:val="left" w:pos="284"/>
          <w:tab w:val="left" w:pos="426"/>
          <w:tab w:val="left" w:pos="4962"/>
        </w:tabs>
        <w:rPr>
          <w:rFonts w:asciiTheme="minorHAnsi" w:eastAsia="Times New Roman" w:hAnsiTheme="minorHAnsi" w:cs="Times New Roman"/>
          <w:sz w:val="24"/>
          <w:szCs w:val="20"/>
          <w:lang w:val="it-IT" w:eastAsia="it-IT"/>
        </w:rPr>
      </w:pPr>
      <w:r w:rsidRPr="00292ABD">
        <w:rPr>
          <w:rFonts w:asciiTheme="minorHAnsi" w:eastAsia="Times New Roman" w:hAnsiTheme="minorHAnsi" w:cs="Times New Roman"/>
          <w:noProof/>
          <w:sz w:val="24"/>
          <w:szCs w:val="20"/>
          <w:lang w:eastAsia="it-CH"/>
        </w:rPr>
        <w:drawing>
          <wp:inline distT="0" distB="0" distL="0" distR="0" wp14:anchorId="6BC29C74" wp14:editId="23F8FDA3">
            <wp:extent cx="5989086" cy="272629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458" cy="2731469"/>
                    </a:xfrm>
                    <a:prstGeom prst="rect">
                      <a:avLst/>
                    </a:prstGeom>
                    <a:noFill/>
                  </pic:spPr>
                </pic:pic>
              </a:graphicData>
            </a:graphic>
          </wp:inline>
        </w:drawing>
      </w:r>
    </w:p>
    <w:p w:rsidR="00292ABD" w:rsidRPr="00292ABD" w:rsidRDefault="00292ABD" w:rsidP="002C54EF">
      <w:pPr>
        <w:tabs>
          <w:tab w:val="left" w:pos="284"/>
          <w:tab w:val="left" w:pos="426"/>
          <w:tab w:val="left" w:pos="4962"/>
        </w:tabs>
        <w:spacing w:before="240"/>
        <w:rPr>
          <w:rFonts w:asciiTheme="minorHAnsi" w:eastAsia="Times New Roman" w:hAnsiTheme="minorHAnsi" w:cs="Times New Roman"/>
          <w:sz w:val="24"/>
          <w:szCs w:val="20"/>
          <w:lang w:val="it-IT" w:eastAsia="it-IT"/>
        </w:rPr>
      </w:pPr>
      <w:r w:rsidRPr="00292ABD">
        <w:rPr>
          <w:rFonts w:asciiTheme="minorHAnsi" w:eastAsia="Times New Roman" w:hAnsiTheme="minorHAnsi" w:cs="Times New Roman"/>
          <w:sz w:val="24"/>
          <w:szCs w:val="20"/>
          <w:lang w:val="it-IT" w:eastAsia="it-IT"/>
        </w:rPr>
        <w:t>La tabella seguente illustra l’impatto finanziario del programma 2021:</w:t>
      </w:r>
    </w:p>
    <w:p w:rsidR="00292ABD" w:rsidRPr="00292ABD" w:rsidRDefault="00292ABD" w:rsidP="00292ABD">
      <w:pPr>
        <w:tabs>
          <w:tab w:val="left" w:pos="284"/>
          <w:tab w:val="left" w:pos="426"/>
          <w:tab w:val="left" w:pos="4962"/>
        </w:tabs>
        <w:spacing w:before="120" w:after="60"/>
        <w:rPr>
          <w:rFonts w:asciiTheme="minorHAnsi" w:eastAsia="Times New Roman" w:hAnsiTheme="minorHAnsi" w:cs="Times New Roman"/>
          <w:sz w:val="23"/>
          <w:szCs w:val="23"/>
          <w:lang w:val="it-IT" w:eastAsia="it-IT"/>
        </w:rPr>
      </w:pPr>
      <w:r w:rsidRPr="00292ABD">
        <w:rPr>
          <w:rFonts w:asciiTheme="minorHAnsi" w:eastAsia="Times New Roman" w:hAnsiTheme="minorHAnsi" w:cs="Times New Roman"/>
          <w:noProof/>
          <w:sz w:val="24"/>
          <w:szCs w:val="20"/>
          <w:lang w:eastAsia="it-CH"/>
        </w:rPr>
        <w:drawing>
          <wp:inline distT="0" distB="0" distL="0" distR="0" wp14:anchorId="2227147B" wp14:editId="50498A59">
            <wp:extent cx="6022975" cy="1608396"/>
            <wp:effectExtent l="0" t="0" r="0" b="0"/>
            <wp:docPr id="11" name="Immagine 11" descr="cid:image001.png@01D81785.50359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1.png@01D81785.50359E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22975" cy="1608396"/>
                    </a:xfrm>
                    <a:prstGeom prst="rect">
                      <a:avLst/>
                    </a:prstGeom>
                    <a:noFill/>
                    <a:ln>
                      <a:noFill/>
                    </a:ln>
                  </pic:spPr>
                </pic:pic>
              </a:graphicData>
            </a:graphic>
          </wp:inline>
        </w:drawing>
      </w:r>
    </w:p>
    <w:p w:rsidR="00292ABD" w:rsidRPr="00292ABD" w:rsidRDefault="00292ABD" w:rsidP="002C54EF">
      <w:pPr>
        <w:pStyle w:val="Paragrafoelenco"/>
        <w:numPr>
          <w:ilvl w:val="0"/>
          <w:numId w:val="30"/>
        </w:numPr>
        <w:tabs>
          <w:tab w:val="left" w:pos="284"/>
          <w:tab w:val="left" w:pos="426"/>
          <w:tab w:val="left" w:pos="4962"/>
        </w:tabs>
        <w:spacing w:before="240"/>
        <w:ind w:left="284" w:hanging="284"/>
        <w:contextualSpacing w:val="0"/>
        <w:rPr>
          <w:rFonts w:asciiTheme="minorHAnsi" w:eastAsia="Times New Roman" w:hAnsiTheme="minorHAnsi" w:cs="Times New Roman"/>
          <w:sz w:val="24"/>
          <w:szCs w:val="24"/>
          <w:lang w:val="it-IT" w:eastAsia="it-IT"/>
        </w:rPr>
      </w:pPr>
      <w:r w:rsidRPr="00292ABD">
        <w:rPr>
          <w:rFonts w:asciiTheme="minorHAnsi" w:eastAsia="Times New Roman" w:hAnsiTheme="minorHAnsi" w:cs="Times New Roman"/>
          <w:sz w:val="24"/>
          <w:szCs w:val="24"/>
          <w:lang w:val="it-IT" w:eastAsia="it-IT"/>
        </w:rPr>
        <w:t xml:space="preserve">La possibilità di richiedere un </w:t>
      </w:r>
      <w:r w:rsidRPr="00292ABD">
        <w:rPr>
          <w:rFonts w:asciiTheme="minorHAnsi" w:eastAsia="Times New Roman" w:hAnsiTheme="minorHAnsi" w:cs="Times New Roman"/>
          <w:sz w:val="24"/>
          <w:szCs w:val="24"/>
          <w:u w:val="single"/>
          <w:lang w:val="it-IT" w:eastAsia="it-IT"/>
        </w:rPr>
        <w:t>aiuto supplementare</w:t>
      </w:r>
      <w:r w:rsidRPr="00292ABD">
        <w:rPr>
          <w:rFonts w:asciiTheme="minorHAnsi" w:eastAsia="Times New Roman" w:hAnsiTheme="minorHAnsi" w:cs="Times New Roman"/>
          <w:sz w:val="24"/>
          <w:szCs w:val="24"/>
          <w:lang w:val="it-IT" w:eastAsia="it-IT"/>
        </w:rPr>
        <w:t xml:space="preserve"> è stata concessa, a dicembre 2021, per quei settori che, nel corso del secondo semestre del 2021, hanno riscontrato persistenti difficoltà dovute alle restrizioni imposte: le “attività sportive e per il benessere, di intrattenimento e di divertimento” e le “discoteche e sale da ballo”.</w:t>
      </w:r>
    </w:p>
    <w:p w:rsidR="00292ABD" w:rsidRPr="002C54EF" w:rsidRDefault="00292ABD" w:rsidP="00292ABD">
      <w:pPr>
        <w:pStyle w:val="Paragrafoelenco"/>
        <w:numPr>
          <w:ilvl w:val="0"/>
          <w:numId w:val="30"/>
        </w:numPr>
        <w:tabs>
          <w:tab w:val="left" w:pos="284"/>
          <w:tab w:val="left" w:pos="426"/>
          <w:tab w:val="left" w:pos="4962"/>
        </w:tabs>
        <w:spacing w:before="120"/>
        <w:ind w:left="284" w:hanging="284"/>
        <w:contextualSpacing w:val="0"/>
        <w:rPr>
          <w:rFonts w:asciiTheme="minorHAnsi" w:eastAsia="Times New Roman" w:hAnsiTheme="minorHAnsi" w:cs="Times New Roman"/>
          <w:sz w:val="24"/>
          <w:szCs w:val="24"/>
          <w:lang w:eastAsia="it-IT"/>
        </w:rPr>
      </w:pPr>
      <w:r w:rsidRPr="002C54EF">
        <w:rPr>
          <w:rFonts w:asciiTheme="minorHAnsi" w:eastAsia="Times New Roman" w:hAnsiTheme="minorHAnsi" w:cs="Times New Roman"/>
          <w:sz w:val="24"/>
          <w:szCs w:val="24"/>
          <w:lang w:eastAsia="it-IT"/>
        </w:rPr>
        <w:t>Il programma Casi di rigore 2021 si basa sull’Ordinanza COVID-19 casi di rigore, abbreviata in “OPCR 20”. Ogni riferimento al “programma 2021” comporta pertanto il rinvio all’OPCR 20 in vigore nel 2021 e viceversa.</w:t>
      </w:r>
    </w:p>
    <w:p w:rsidR="00292ABD" w:rsidRPr="00292ABD" w:rsidRDefault="00292ABD" w:rsidP="00292ABD">
      <w:pPr>
        <w:pStyle w:val="Titolo1"/>
        <w:tabs>
          <w:tab w:val="left" w:pos="567"/>
        </w:tabs>
        <w:spacing w:before="0"/>
        <w:ind w:left="567" w:hanging="567"/>
        <w:jc w:val="both"/>
        <w:rPr>
          <w:rFonts w:eastAsia="Calibri" w:cs="Times New Roman"/>
          <w:caps/>
          <w:sz w:val="24"/>
          <w:szCs w:val="24"/>
          <w:lang w:val="it-IT" w:eastAsia="it-IT"/>
        </w:rPr>
      </w:pPr>
      <w:bookmarkStart w:id="1" w:name="_Toc96122218"/>
      <w:r w:rsidRPr="00292ABD">
        <w:rPr>
          <w:rFonts w:eastAsia="Calibri" w:cs="Times New Roman"/>
          <w:caps/>
          <w:sz w:val="24"/>
          <w:szCs w:val="24"/>
          <w:lang w:val="it-IT" w:eastAsia="it-IT"/>
        </w:rPr>
        <w:lastRenderedPageBreak/>
        <w:t>3.</w:t>
      </w:r>
      <w:r w:rsidRPr="00292ABD">
        <w:rPr>
          <w:rFonts w:eastAsia="Calibri" w:cs="Times New Roman"/>
          <w:caps/>
          <w:sz w:val="24"/>
          <w:szCs w:val="24"/>
          <w:lang w:val="it-IT" w:eastAsia="it-IT"/>
        </w:rPr>
        <w:tab/>
        <w:t>Principali novità del programma dei casi di rigore 2022</w:t>
      </w:r>
      <w:bookmarkEnd w:id="1"/>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Il parlamento federale, il 17 dicembre 2021 ha approvato il prolungamento, fino alla fine del 2022, delle misure per i casi di rigore previsti dalla legge Covid-19;</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 xml:space="preserve">Contestualmente è stata modificata anche l’ordinanza Covid-19 con disposizioni transitorie che prolungano fino a marzo 2022 la possibilità di accogliere richieste per i casi di rigore sulla base dei criteri di accesso tutt’ora in vigore; </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L’Ordinanza federale per i casi di rigore per l’anno 2022 è stata approvata dal Consiglio federale il 2 febbraio 2022 ed è entrata in vigore, nella sua forma definitiva, l’8 febbraio 2022.</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 xml:space="preserve">Per aderire al nuovo programma federale, il </w:t>
      </w:r>
      <w:r w:rsidRPr="00292ABD">
        <w:rPr>
          <w:rFonts w:asciiTheme="minorHAnsi" w:eastAsiaTheme="minorEastAsia" w:hAnsiTheme="minorHAnsi"/>
          <w:sz w:val="24"/>
          <w:u w:val="single"/>
        </w:rPr>
        <w:t>Cantone è tenuto a cofinanziare</w:t>
      </w:r>
      <w:r w:rsidRPr="00292ABD">
        <w:rPr>
          <w:rFonts w:asciiTheme="minorHAnsi" w:eastAsiaTheme="minorEastAsia" w:hAnsiTheme="minorHAnsi"/>
          <w:sz w:val="24"/>
        </w:rPr>
        <w:t xml:space="preserve"> nella misura del </w:t>
      </w:r>
      <w:r w:rsidRPr="00292ABD">
        <w:rPr>
          <w:rFonts w:asciiTheme="minorHAnsi" w:eastAsiaTheme="minorEastAsia" w:hAnsiTheme="minorHAnsi"/>
          <w:sz w:val="24"/>
          <w:u w:val="single"/>
        </w:rPr>
        <w:t>30%</w:t>
      </w:r>
      <w:r w:rsidRPr="00292ABD">
        <w:rPr>
          <w:rFonts w:asciiTheme="minorHAnsi" w:eastAsiaTheme="minorEastAsia" w:hAnsiTheme="minorHAnsi"/>
          <w:sz w:val="24"/>
        </w:rPr>
        <w:t xml:space="preserve"> le misure dei casi di rigore a favore delle </w:t>
      </w:r>
      <w:r w:rsidRPr="00292ABD">
        <w:rPr>
          <w:rFonts w:asciiTheme="minorHAnsi" w:eastAsiaTheme="minorEastAsia" w:hAnsiTheme="minorHAnsi"/>
          <w:sz w:val="24"/>
          <w:u w:val="single"/>
        </w:rPr>
        <w:t>imprese con una cifra d’affari inferiore a 5 milioni di franchi</w:t>
      </w:r>
      <w:r w:rsidRPr="00292ABD">
        <w:rPr>
          <w:rFonts w:asciiTheme="minorHAnsi" w:eastAsiaTheme="minorEastAsia" w:hAnsiTheme="minorHAnsi"/>
          <w:sz w:val="24"/>
        </w:rPr>
        <w:t xml:space="preserve">. </w:t>
      </w:r>
    </w:p>
    <w:p w:rsidR="00292ABD" w:rsidRPr="00292ABD" w:rsidRDefault="00292ABD" w:rsidP="00292ABD">
      <w:pPr>
        <w:numPr>
          <w:ilvl w:val="0"/>
          <w:numId w:val="24"/>
        </w:numPr>
        <w:spacing w:before="120" w:after="60"/>
        <w:ind w:left="284"/>
        <w:rPr>
          <w:rFonts w:asciiTheme="minorHAnsi" w:eastAsiaTheme="minorEastAsia" w:hAnsiTheme="minorHAnsi"/>
          <w:sz w:val="24"/>
        </w:rPr>
      </w:pPr>
      <w:r w:rsidRPr="00292ABD">
        <w:rPr>
          <w:rFonts w:asciiTheme="minorHAnsi" w:eastAsiaTheme="minorEastAsia" w:hAnsiTheme="minorHAnsi"/>
          <w:sz w:val="24"/>
        </w:rPr>
        <w:t>Per questa ragione si deve procedere a: oltre alle</w:t>
      </w:r>
    </w:p>
    <w:p w:rsidR="00292ABD" w:rsidRPr="00292ABD" w:rsidRDefault="00292ABD" w:rsidP="00292ABD">
      <w:pPr>
        <w:numPr>
          <w:ilvl w:val="1"/>
          <w:numId w:val="31"/>
        </w:numPr>
        <w:spacing w:before="120" w:after="60"/>
        <w:ind w:left="709" w:hanging="283"/>
        <w:rPr>
          <w:rFonts w:asciiTheme="minorHAnsi" w:eastAsiaTheme="minorEastAsia" w:hAnsiTheme="minorHAnsi"/>
          <w:sz w:val="24"/>
        </w:rPr>
      </w:pPr>
      <w:r w:rsidRPr="00292ABD">
        <w:rPr>
          <w:rFonts w:asciiTheme="minorHAnsi" w:eastAsiaTheme="minorEastAsia" w:hAnsiTheme="minorHAnsi"/>
          <w:sz w:val="24"/>
        </w:rPr>
        <w:t xml:space="preserve">modifiche della Legge cantonale di applicazione, </w:t>
      </w:r>
    </w:p>
    <w:p w:rsidR="00292ABD" w:rsidRPr="00292ABD" w:rsidRDefault="00292ABD" w:rsidP="00292ABD">
      <w:pPr>
        <w:numPr>
          <w:ilvl w:val="1"/>
          <w:numId w:val="31"/>
        </w:numPr>
        <w:spacing w:before="120" w:after="60"/>
        <w:ind w:left="709" w:hanging="283"/>
        <w:rPr>
          <w:rFonts w:asciiTheme="minorHAnsi" w:eastAsiaTheme="minorEastAsia" w:hAnsiTheme="minorHAnsi"/>
          <w:sz w:val="24"/>
        </w:rPr>
      </w:pPr>
      <w:r w:rsidRPr="00292ABD">
        <w:rPr>
          <w:rFonts w:asciiTheme="minorHAnsi" w:eastAsiaTheme="minorEastAsia" w:hAnsiTheme="minorHAnsi"/>
          <w:sz w:val="24"/>
        </w:rPr>
        <w:t>stanziamento di un credito aggiuntivo di 15 milioni, quattro e mezzo dei quali a carico del Cantone, che sarà attivato solo qualora dovesse essere esaurito il credito stanziato nel 2021;</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 xml:space="preserve">Le misure per le </w:t>
      </w:r>
      <w:r w:rsidRPr="00292ABD">
        <w:rPr>
          <w:rFonts w:asciiTheme="minorHAnsi" w:eastAsiaTheme="minorEastAsia" w:hAnsiTheme="minorHAnsi"/>
          <w:sz w:val="24"/>
          <w:u w:val="single"/>
        </w:rPr>
        <w:t>imprese con una cifra d’affari superiore a 5 milioni</w:t>
      </w:r>
      <w:r w:rsidRPr="00292ABD">
        <w:rPr>
          <w:rFonts w:asciiTheme="minorHAnsi" w:eastAsiaTheme="minorEastAsia" w:hAnsiTheme="minorHAnsi"/>
          <w:sz w:val="24"/>
        </w:rPr>
        <w:t xml:space="preserve"> di franchi e per i baracconisti saranno invece </w:t>
      </w:r>
      <w:r w:rsidRPr="00292ABD">
        <w:rPr>
          <w:rFonts w:asciiTheme="minorHAnsi" w:eastAsiaTheme="minorEastAsia" w:hAnsiTheme="minorHAnsi"/>
          <w:sz w:val="24"/>
          <w:u w:val="single"/>
        </w:rPr>
        <w:t>finanziate interamente dalla Confederazione</w:t>
      </w:r>
      <w:r w:rsidRPr="00292ABD">
        <w:rPr>
          <w:rFonts w:asciiTheme="minorHAnsi" w:eastAsiaTheme="minorEastAsia" w:hAnsiTheme="minorHAnsi"/>
          <w:sz w:val="24"/>
        </w:rPr>
        <w:t>;</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 xml:space="preserve">Il programma 2022 è molto più mirato; il Consiglio federale ritiene che il numero dei casi diminuirà nettamente anche per le capacità di adattamento durevole delle aziende verso la nuova normalità; </w:t>
      </w:r>
    </w:p>
    <w:p w:rsidR="00292ABD" w:rsidRPr="002C54EF" w:rsidRDefault="00292ABD" w:rsidP="00292ABD">
      <w:pPr>
        <w:numPr>
          <w:ilvl w:val="0"/>
          <w:numId w:val="24"/>
        </w:numPr>
        <w:spacing w:before="120"/>
        <w:ind w:left="284"/>
        <w:rPr>
          <w:rFonts w:asciiTheme="minorHAnsi" w:eastAsiaTheme="minorEastAsia" w:hAnsiTheme="minorHAnsi"/>
          <w:sz w:val="24"/>
        </w:rPr>
      </w:pPr>
      <w:r w:rsidRPr="002C54EF">
        <w:rPr>
          <w:rFonts w:asciiTheme="minorHAnsi" w:eastAsiaTheme="minorEastAsia" w:hAnsiTheme="minorHAnsi"/>
          <w:sz w:val="24"/>
        </w:rPr>
        <w:t xml:space="preserve">Il Cantone adotterà il “Programma 2022”. Esso si basa sull’Ordinanza COVID-19 casi di rigore 2022, abbreviata in “OPCR 22”. Ogni riferimento al “programma 2022” comporta pertanto il rinvio all’OPCR 22 e viceversa; </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 xml:space="preserve">I </w:t>
      </w:r>
      <w:r w:rsidRPr="00292ABD">
        <w:rPr>
          <w:rFonts w:asciiTheme="minorHAnsi" w:eastAsiaTheme="minorEastAsia" w:hAnsiTheme="minorHAnsi"/>
          <w:sz w:val="24"/>
          <w:u w:val="single"/>
        </w:rPr>
        <w:t>beneficiari del nuovo programma 2022 saranno gli stessi di quello del 2021</w:t>
      </w:r>
      <w:r w:rsidRPr="00292ABD">
        <w:rPr>
          <w:rFonts w:asciiTheme="minorHAnsi" w:eastAsiaTheme="minorEastAsia" w:hAnsiTheme="minorHAnsi"/>
          <w:sz w:val="24"/>
        </w:rPr>
        <w:t>;</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Il quadro temporale della nuova Ordinanza federale è limitato al periodo da gennaio 2022 a giugno 2022;</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 xml:space="preserve">Le procedure di valutazione differenziate per le imprese con una cifra d’affari inferiore o superiore a 5 milioni di franchi (imprese, quest’ultime, alle quali continueranno ad essere richiesti giustificativi più dettagliati) permangono; </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L’ordinanza COVID-19 casi di rigore 2022 crea anche la categoria a sé stante dei baracconisti (nuovo art. 11b della legge COVID-19) che dispongono di un’autorizzazione cantonale valida secondo l’art. 2 della legge federale del 23 marzo 2001 sul commercio ambulante (RS 943.1);</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La principale modifica introdotta dall’OPCR 22 riguarda la modalità di calcolo degli aiuti che, contrariamente al programma 2021, saranno calcolati in base ai costi non coperti del 2022 (periodo trimestrale o semestrale tra gennaio e giugno 2022), considerando quindi la situazione contabile dell’impresa nel periodo in cui quest’ultima chiede un contributo ai sensi dei casi di rigore;</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 xml:space="preserve">Per evitare sovra indennizzi, gli aiuti per i casi di rigore non devono superare i costi non coperti dell’impresa, ossia i costi dedotti la cifra d’affari e gli altri aiuti percepiti (tra i quali </w:t>
      </w:r>
      <w:r w:rsidRPr="00292ABD">
        <w:rPr>
          <w:rFonts w:asciiTheme="minorHAnsi" w:eastAsiaTheme="minorEastAsia" w:hAnsiTheme="minorHAnsi"/>
          <w:sz w:val="24"/>
        </w:rPr>
        <w:lastRenderedPageBreak/>
        <w:t>le indennità per lavoro ridotto e le indennità di perdita di guadagno COVID-19). Devono inoltre essere coperti soltanto i costi inevitabili: le imprese sono infatti tenute ad adottare tutte le misure di autofinanziamento ragionevolmente esigibili evitando i costi non necessari;</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Per il calcolo del contributo si possono considerare soltanto le spese con incidenza sulla liquidità, come rate di leasing, costi immobiliari, spese di manutenzione, amministrative e informatiche, costi finanziari. Non si considerano invece ad esempio le spese di ammortamento o le rettifiche di valore;</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Si rende pertanto necessario determinare con precisione e accuratezza: la cifra d’affari derivante dall’attività per il periodo in cui si richiede il contributo e i relativi costi con incidenza sulla liquidità, in modo da poter poi calcolare i costi non coperti;</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Per ridurre l’onere amministrativo e considerare meglio la stagionalità delle attività sostenute, dev’essere adottato almeno un calcolo trimestrale, grazie al quale la cifra d’affari dichiarata dall’impresa potrà essere verificata dai servizi federali e cantonali confrontandola con il rendiconto IVA. Nel caso delle imprese che realizzano una cifra d’affari superiore a 5 milioni, si terrà invece conto dei costi semestralmente;</w:t>
      </w:r>
    </w:p>
    <w:p w:rsidR="00292ABD" w:rsidRPr="00292ABD" w:rsidRDefault="00292ABD" w:rsidP="00292ABD">
      <w:pPr>
        <w:numPr>
          <w:ilvl w:val="0"/>
          <w:numId w:val="24"/>
        </w:numPr>
        <w:spacing w:before="120"/>
        <w:ind w:left="284"/>
        <w:rPr>
          <w:rFonts w:asciiTheme="minorHAnsi" w:eastAsiaTheme="minorEastAsia" w:hAnsiTheme="minorHAnsi"/>
          <w:sz w:val="24"/>
        </w:rPr>
      </w:pPr>
      <w:r w:rsidRPr="00292ABD">
        <w:rPr>
          <w:rFonts w:asciiTheme="minorHAnsi" w:eastAsiaTheme="minorEastAsia" w:hAnsiTheme="minorHAnsi"/>
          <w:sz w:val="24"/>
        </w:rPr>
        <w:t>Il calcolo dell’ammontare del contributo, nel periodo gennaio 2022 - giugno 2022, dovrà tenere conto dei seguenti parametri:</w:t>
      </w:r>
    </w:p>
    <w:p w:rsidR="00292ABD" w:rsidRPr="00292ABD" w:rsidRDefault="00292ABD" w:rsidP="00292ABD">
      <w:pPr>
        <w:numPr>
          <w:ilvl w:val="0"/>
          <w:numId w:val="32"/>
        </w:numPr>
        <w:spacing w:before="60"/>
        <w:ind w:left="714" w:hanging="357"/>
        <w:contextualSpacing/>
        <w:rPr>
          <w:rFonts w:asciiTheme="minorHAnsi" w:eastAsiaTheme="minorEastAsia" w:hAnsiTheme="minorHAnsi"/>
          <w:sz w:val="24"/>
        </w:rPr>
      </w:pPr>
      <w:r w:rsidRPr="00292ABD">
        <w:rPr>
          <w:rFonts w:asciiTheme="minorHAnsi" w:eastAsiaTheme="minorEastAsia" w:hAnsiTheme="minorHAnsi"/>
          <w:b/>
          <w:bCs/>
          <w:i/>
          <w:sz w:val="24"/>
        </w:rPr>
        <w:t>Imprese con una cifra d’affari inferiore a 5 milioni</w:t>
      </w:r>
      <w:r w:rsidRPr="00292ABD">
        <w:rPr>
          <w:rFonts w:asciiTheme="minorHAnsi" w:eastAsiaTheme="minorEastAsia" w:hAnsiTheme="minorHAnsi"/>
          <w:i/>
          <w:sz w:val="24"/>
        </w:rPr>
        <w:t xml:space="preserve"> di franchi</w:t>
      </w:r>
      <w:r w:rsidRPr="00292ABD">
        <w:rPr>
          <w:rFonts w:asciiTheme="minorHAnsi" w:eastAsiaTheme="minorEastAsia" w:hAnsiTheme="minorHAnsi"/>
          <w:sz w:val="24"/>
        </w:rPr>
        <w:t>:</w:t>
      </w:r>
      <w:r w:rsidRPr="00292ABD">
        <w:rPr>
          <w:rFonts w:asciiTheme="minorHAnsi" w:eastAsiaTheme="minorEastAsia" w:hAnsiTheme="minorHAnsi"/>
          <w:sz w:val="24"/>
        </w:rPr>
        <w:br/>
        <w:t>massimo 9% della cifra d’affari media 2018-2019</w:t>
      </w:r>
      <w:r w:rsidRPr="00292ABD">
        <w:rPr>
          <w:rFonts w:asciiTheme="minorHAnsi" w:eastAsiaTheme="minorEastAsia" w:hAnsiTheme="minorHAnsi"/>
          <w:sz w:val="24"/>
          <w:vertAlign w:val="superscript"/>
        </w:rPr>
        <w:footnoteReference w:id="3"/>
      </w:r>
      <w:r w:rsidRPr="00292ABD">
        <w:rPr>
          <w:rFonts w:asciiTheme="minorHAnsi" w:eastAsiaTheme="minorEastAsia" w:hAnsiTheme="minorHAnsi"/>
          <w:sz w:val="24"/>
        </w:rPr>
        <w:t>, massimo fr. 450’00, al massimo copertura dei costi nel periodo oggetto della richiesta.</w:t>
      </w:r>
    </w:p>
    <w:p w:rsidR="00292ABD" w:rsidRPr="00292ABD" w:rsidRDefault="00292ABD" w:rsidP="00292ABD">
      <w:pPr>
        <w:numPr>
          <w:ilvl w:val="0"/>
          <w:numId w:val="32"/>
        </w:numPr>
        <w:spacing w:before="60"/>
        <w:ind w:left="714" w:hanging="357"/>
        <w:contextualSpacing/>
        <w:rPr>
          <w:rFonts w:asciiTheme="minorHAnsi" w:eastAsiaTheme="minorEastAsia" w:hAnsiTheme="minorHAnsi"/>
          <w:sz w:val="24"/>
        </w:rPr>
      </w:pPr>
      <w:r w:rsidRPr="00292ABD">
        <w:rPr>
          <w:rFonts w:asciiTheme="minorHAnsi" w:eastAsiaTheme="minorEastAsia" w:hAnsiTheme="minorHAnsi"/>
          <w:b/>
          <w:bCs/>
          <w:i/>
          <w:sz w:val="24"/>
        </w:rPr>
        <w:t>Imprese con una cifra d’affari superiore a 5</w:t>
      </w:r>
      <w:r w:rsidRPr="00292ABD">
        <w:rPr>
          <w:rFonts w:asciiTheme="minorHAnsi" w:eastAsiaTheme="minorEastAsia" w:hAnsiTheme="minorHAnsi"/>
          <w:i/>
          <w:sz w:val="24"/>
        </w:rPr>
        <w:t xml:space="preserve"> </w:t>
      </w:r>
      <w:r w:rsidRPr="00292ABD">
        <w:rPr>
          <w:rFonts w:asciiTheme="minorHAnsi" w:eastAsiaTheme="minorEastAsia" w:hAnsiTheme="minorHAnsi"/>
          <w:b/>
          <w:bCs/>
          <w:i/>
          <w:sz w:val="24"/>
        </w:rPr>
        <w:t>milioni</w:t>
      </w:r>
      <w:r w:rsidRPr="00292ABD">
        <w:rPr>
          <w:rFonts w:asciiTheme="minorHAnsi" w:eastAsiaTheme="minorEastAsia" w:hAnsiTheme="minorHAnsi"/>
          <w:i/>
          <w:sz w:val="24"/>
        </w:rPr>
        <w:t xml:space="preserve"> di franchi</w:t>
      </w:r>
      <w:r w:rsidRPr="00292ABD">
        <w:rPr>
          <w:rFonts w:asciiTheme="minorHAnsi" w:eastAsiaTheme="minorEastAsia" w:hAnsiTheme="minorHAnsi"/>
          <w:sz w:val="24"/>
        </w:rPr>
        <w:t>:</w:t>
      </w:r>
      <w:r w:rsidRPr="00292ABD">
        <w:rPr>
          <w:rFonts w:asciiTheme="minorHAnsi" w:eastAsiaTheme="minorEastAsia" w:hAnsiTheme="minorHAnsi"/>
          <w:sz w:val="24"/>
        </w:rPr>
        <w:br/>
        <w:t>massimo 9% della cifra d’affari media 2018-2019, massimo fr. 1’200’000, al massimo copertura dei costi nel periodo oggetto della richiesta. Il limite massimo può essere portato a fr. 2'400'000, se l’impresa prova che dal 1° luglio 2021 ha apportato, tramite conferimenti in contanti, nuova liquidità sotto forma di capitale proprio in misura pari almeno al 40% dell’importo superiore a fr. 1’200’000– o a fr. 10'000'000, se l’impresa prova che nel primo semestre del 2022 la sua cifra d’affari complessiva è diminuita di oltre il 30 per cento rispetto alla cifra d’affari media del primo semestre degli anni 2018 e 2019.</w:t>
      </w:r>
    </w:p>
    <w:p w:rsidR="00292ABD" w:rsidRPr="00292ABD" w:rsidRDefault="00292ABD" w:rsidP="00292ABD">
      <w:pPr>
        <w:pStyle w:val="Paragrafoelenco"/>
        <w:numPr>
          <w:ilvl w:val="0"/>
          <w:numId w:val="32"/>
        </w:numPr>
        <w:spacing w:before="60"/>
        <w:ind w:left="714" w:hanging="357"/>
        <w:rPr>
          <w:rFonts w:asciiTheme="minorHAnsi" w:eastAsiaTheme="minorEastAsia" w:hAnsiTheme="minorHAnsi"/>
          <w:sz w:val="24"/>
        </w:rPr>
      </w:pPr>
      <w:r w:rsidRPr="00292ABD">
        <w:rPr>
          <w:rFonts w:asciiTheme="minorHAnsi" w:eastAsiaTheme="minorEastAsia" w:hAnsiTheme="minorHAnsi"/>
          <w:sz w:val="24"/>
        </w:rPr>
        <w:t>Queste imprese dovranno inoltre confermare di aver adottato, dal 1° gennaio 2021, tutte le misure di autofinanziamento ragionevolmente esigibili, in particolare per proteggere la propria liquidità e la propria base di capitale;</w:t>
      </w:r>
    </w:p>
    <w:p w:rsidR="00292ABD" w:rsidRPr="00292ABD" w:rsidRDefault="00292ABD" w:rsidP="00292ABD">
      <w:pPr>
        <w:numPr>
          <w:ilvl w:val="0"/>
          <w:numId w:val="32"/>
        </w:numPr>
        <w:spacing w:before="60"/>
        <w:ind w:left="714" w:hanging="357"/>
        <w:contextualSpacing/>
        <w:rPr>
          <w:rFonts w:asciiTheme="minorHAnsi" w:eastAsiaTheme="minorEastAsia" w:hAnsiTheme="minorHAnsi"/>
          <w:sz w:val="24"/>
        </w:rPr>
      </w:pPr>
      <w:r w:rsidRPr="00292ABD">
        <w:rPr>
          <w:rFonts w:asciiTheme="minorHAnsi" w:eastAsiaTheme="minorEastAsia" w:hAnsiTheme="minorHAnsi"/>
          <w:b/>
          <w:bCs/>
          <w:i/>
          <w:sz w:val="24"/>
        </w:rPr>
        <w:t>Baracconisti</w:t>
      </w:r>
      <w:r w:rsidRPr="00292ABD">
        <w:rPr>
          <w:rFonts w:asciiTheme="minorHAnsi" w:eastAsiaTheme="minorEastAsia" w:hAnsiTheme="minorHAnsi"/>
          <w:b/>
          <w:bCs/>
          <w:sz w:val="24"/>
        </w:rPr>
        <w:t>:</w:t>
      </w:r>
      <w:r w:rsidRPr="00292ABD">
        <w:rPr>
          <w:rFonts w:asciiTheme="minorHAnsi" w:eastAsiaTheme="minorEastAsia" w:hAnsiTheme="minorHAnsi"/>
          <w:sz w:val="24"/>
        </w:rPr>
        <w:t xml:space="preserve"> massimo 18% della cifra d’affari media 2018-2019, massimo fr. 2’400’00, al massimo copertura dei costi nel periodo oggetto della richiesta.</w:t>
      </w:r>
    </w:p>
    <w:p w:rsidR="00292ABD" w:rsidRPr="00292ABD" w:rsidRDefault="00292ABD" w:rsidP="00292ABD">
      <w:pPr>
        <w:numPr>
          <w:ilvl w:val="0"/>
          <w:numId w:val="24"/>
        </w:numPr>
        <w:spacing w:before="120"/>
        <w:ind w:left="386"/>
        <w:rPr>
          <w:rFonts w:asciiTheme="minorHAnsi" w:eastAsiaTheme="minorEastAsia" w:hAnsiTheme="minorHAnsi"/>
          <w:sz w:val="24"/>
        </w:rPr>
      </w:pPr>
      <w:r w:rsidRPr="00292ABD">
        <w:rPr>
          <w:rFonts w:asciiTheme="minorHAnsi" w:eastAsiaTheme="minorEastAsia" w:hAnsiTheme="minorHAnsi"/>
          <w:sz w:val="24"/>
        </w:rPr>
        <w:t>Il Cantone potrà astenersi dal concedere il contributo se è evidente che l’impresa non proseguirà l’attività;</w:t>
      </w:r>
    </w:p>
    <w:p w:rsidR="00292ABD" w:rsidRPr="00292ABD" w:rsidRDefault="00292ABD" w:rsidP="00292ABD">
      <w:pPr>
        <w:numPr>
          <w:ilvl w:val="0"/>
          <w:numId w:val="24"/>
        </w:numPr>
        <w:spacing w:before="120"/>
        <w:ind w:left="386"/>
        <w:rPr>
          <w:rFonts w:asciiTheme="minorHAnsi" w:eastAsiaTheme="minorEastAsia" w:hAnsiTheme="minorHAnsi"/>
          <w:sz w:val="24"/>
        </w:rPr>
      </w:pPr>
      <w:r w:rsidRPr="00292ABD">
        <w:rPr>
          <w:rFonts w:asciiTheme="minorHAnsi" w:eastAsiaTheme="minorEastAsia" w:hAnsiTheme="minorHAnsi"/>
          <w:sz w:val="24"/>
        </w:rPr>
        <w:t>Il finanziamento delle misure adottate per le imprese con una cifra d’affari inferiore a cinque milioni di franchi sarà a carico della Confederazione nella misura del 70%, mentre il restante 30% sarà a carico del Cantone. Le misure a favore delle imprese con una cifra d’affari superiore a cinque milioni di franchi e a favore dei baracconisti (ai sensi dell’art. 11b della legge COVID-19) saranno interamente a carico della Confederazione;</w:t>
      </w:r>
    </w:p>
    <w:p w:rsidR="00292ABD" w:rsidRPr="00292ABD" w:rsidRDefault="00292ABD" w:rsidP="00292ABD">
      <w:pPr>
        <w:numPr>
          <w:ilvl w:val="0"/>
          <w:numId w:val="24"/>
        </w:numPr>
        <w:spacing w:before="120"/>
        <w:rPr>
          <w:rFonts w:asciiTheme="minorHAnsi" w:eastAsiaTheme="minorEastAsia" w:hAnsiTheme="minorHAnsi"/>
          <w:sz w:val="24"/>
        </w:rPr>
      </w:pPr>
      <w:r w:rsidRPr="00292ABD">
        <w:rPr>
          <w:rFonts w:asciiTheme="minorHAnsi" w:eastAsiaTheme="minorEastAsia" w:hAnsiTheme="minorHAnsi"/>
          <w:sz w:val="24"/>
        </w:rPr>
        <w:lastRenderedPageBreak/>
        <w:t>I Cantoni devono attenersi scrupolosamente al rispetto delle normative federale, pena il non riconoscimento della partecipazione finanziaria federale.</w:t>
      </w:r>
    </w:p>
    <w:p w:rsidR="00292ABD" w:rsidRDefault="00292ABD"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p>
    <w:p w:rsidR="00292ABD" w:rsidRPr="00292ABD" w:rsidRDefault="00E60DC2" w:rsidP="00E60DC2">
      <w:pPr>
        <w:pStyle w:val="Titolo1"/>
        <w:tabs>
          <w:tab w:val="left" w:pos="0"/>
          <w:tab w:val="left" w:pos="567"/>
        </w:tabs>
        <w:spacing w:before="0"/>
        <w:jc w:val="both"/>
        <w:rPr>
          <w:rFonts w:eastAsia="Calibri" w:cs="Times New Roman"/>
          <w:caps/>
          <w:sz w:val="24"/>
          <w:szCs w:val="24"/>
          <w:lang w:val="it-IT" w:eastAsia="it-IT"/>
        </w:rPr>
      </w:pPr>
      <w:bookmarkStart w:id="2" w:name="_Toc96122219"/>
      <w:r>
        <w:rPr>
          <w:rFonts w:eastAsia="Calibri" w:cs="Times New Roman"/>
          <w:caps/>
          <w:sz w:val="24"/>
          <w:szCs w:val="24"/>
          <w:lang w:val="it-IT" w:eastAsia="it-IT"/>
        </w:rPr>
        <w:t>4</w:t>
      </w:r>
      <w:r w:rsidR="00292ABD" w:rsidRPr="00292ABD">
        <w:rPr>
          <w:rFonts w:eastAsia="Calibri" w:cs="Times New Roman"/>
          <w:caps/>
          <w:sz w:val="24"/>
          <w:szCs w:val="24"/>
          <w:lang w:val="it-IT" w:eastAsia="it-IT"/>
        </w:rPr>
        <w:t>.</w:t>
      </w:r>
      <w:r w:rsidR="00292ABD" w:rsidRPr="00292ABD">
        <w:rPr>
          <w:rFonts w:eastAsia="Calibri" w:cs="Times New Roman"/>
          <w:caps/>
          <w:sz w:val="24"/>
          <w:szCs w:val="24"/>
          <w:lang w:val="it-IT" w:eastAsia="it-IT"/>
        </w:rPr>
        <w:tab/>
        <w:t>Modifiche della legge d’applicazione</w:t>
      </w:r>
      <w:r w:rsidR="00B144F5">
        <w:rPr>
          <w:rFonts w:eastAsia="Calibri" w:cs="Times New Roman"/>
          <w:caps/>
          <w:sz w:val="24"/>
          <w:szCs w:val="24"/>
          <w:lang w:val="it-IT" w:eastAsia="it-IT"/>
        </w:rPr>
        <w:t xml:space="preserve"> -</w:t>
      </w:r>
      <w:r w:rsidR="00292ABD" w:rsidRPr="00292ABD">
        <w:rPr>
          <w:rFonts w:eastAsia="Calibri" w:cs="Times New Roman"/>
          <w:caps/>
          <w:sz w:val="24"/>
          <w:szCs w:val="24"/>
          <w:lang w:val="it-IT" w:eastAsia="it-IT"/>
        </w:rPr>
        <w:t xml:space="preserve"> tavola sinottica</w:t>
      </w:r>
      <w:bookmarkEnd w:id="2"/>
    </w:p>
    <w:p w:rsidR="00292ABD" w:rsidRDefault="00292ABD" w:rsidP="00292ABD">
      <w:pPr>
        <w:rPr>
          <w:rFonts w:asciiTheme="minorHAnsi" w:eastAsiaTheme="minorEastAsia" w:hAnsiTheme="minorHAnsi"/>
          <w:sz w:val="24"/>
        </w:rPr>
      </w:pPr>
      <w:r w:rsidRPr="00292ABD">
        <w:rPr>
          <w:rFonts w:asciiTheme="minorHAnsi" w:eastAsiaTheme="minorEastAsia" w:hAnsiTheme="minorHAnsi"/>
          <w:sz w:val="24"/>
        </w:rPr>
        <w:t>Le modifiche si limitano allo stretto necessario e sono volte in particolare a regolare gli aspetti delegati dalla Confederazione ai Cantoni per l’attuazione del nuovo programma 2022.</w:t>
      </w:r>
    </w:p>
    <w:p w:rsidR="00E60DC2" w:rsidRPr="00292ABD" w:rsidRDefault="00E60DC2"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sz w:val="24"/>
        </w:rPr>
        <w:t xml:space="preserve">Le modifiche non riguardano invece il quadro legislativo cantonale adottato per il programma 2021 (legge di applicazione e regolamento), che rimane pertanto invariato e resta ancora in vigore, segnatamente per le necessarie attività di controllo e monitoraggio. </w:t>
      </w:r>
    </w:p>
    <w:p w:rsidR="00E60DC2" w:rsidRDefault="00E60DC2"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sz w:val="24"/>
        </w:rPr>
        <w:t xml:space="preserve">Le </w:t>
      </w:r>
      <w:r w:rsidRPr="00292ABD">
        <w:rPr>
          <w:rFonts w:asciiTheme="minorHAnsi" w:eastAsiaTheme="minorEastAsia" w:hAnsiTheme="minorHAnsi"/>
          <w:sz w:val="24"/>
          <w:u w:val="single"/>
        </w:rPr>
        <w:t>modifiche</w:t>
      </w:r>
      <w:r w:rsidRPr="00292ABD">
        <w:rPr>
          <w:rFonts w:asciiTheme="minorHAnsi" w:eastAsiaTheme="minorEastAsia" w:hAnsiTheme="minorHAnsi"/>
          <w:sz w:val="24"/>
        </w:rPr>
        <w:t xml:space="preserve"> proposte sono di </w:t>
      </w:r>
      <w:r w:rsidRPr="00292ABD">
        <w:rPr>
          <w:rFonts w:asciiTheme="minorHAnsi" w:eastAsiaTheme="minorEastAsia" w:hAnsiTheme="minorHAnsi"/>
          <w:sz w:val="24"/>
          <w:u w:val="single"/>
        </w:rPr>
        <w:t>due tipi</w:t>
      </w:r>
      <w:r w:rsidRPr="00292ABD">
        <w:rPr>
          <w:rFonts w:asciiTheme="minorHAnsi" w:eastAsiaTheme="minorEastAsia" w:hAnsiTheme="minorHAnsi"/>
          <w:sz w:val="24"/>
        </w:rPr>
        <w:t>:</w:t>
      </w:r>
    </w:p>
    <w:p w:rsidR="00292ABD" w:rsidRPr="00292ABD" w:rsidRDefault="00292ABD" w:rsidP="00E60DC2">
      <w:pPr>
        <w:numPr>
          <w:ilvl w:val="0"/>
          <w:numId w:val="33"/>
        </w:numPr>
        <w:spacing w:before="120"/>
        <w:ind w:left="284" w:hanging="284"/>
        <w:rPr>
          <w:rFonts w:asciiTheme="minorHAnsi" w:eastAsiaTheme="minorEastAsia" w:hAnsiTheme="minorHAnsi"/>
          <w:sz w:val="24"/>
        </w:rPr>
      </w:pPr>
      <w:r w:rsidRPr="00292ABD">
        <w:rPr>
          <w:rFonts w:asciiTheme="minorHAnsi" w:eastAsiaTheme="minorEastAsia" w:hAnsiTheme="minorHAnsi"/>
          <w:sz w:val="24"/>
        </w:rPr>
        <w:t xml:space="preserve">Modifiche </w:t>
      </w:r>
      <w:r w:rsidRPr="00292ABD">
        <w:rPr>
          <w:rFonts w:asciiTheme="minorHAnsi" w:eastAsiaTheme="minorEastAsia" w:hAnsiTheme="minorHAnsi"/>
          <w:sz w:val="24"/>
          <w:u w:val="single"/>
        </w:rPr>
        <w:t>di natura tecnica legislativa, puramente formali</w:t>
      </w:r>
      <w:r w:rsidRPr="00292ABD">
        <w:rPr>
          <w:rFonts w:asciiTheme="minorHAnsi" w:eastAsiaTheme="minorEastAsia" w:hAnsiTheme="minorHAnsi"/>
          <w:sz w:val="24"/>
        </w:rPr>
        <w:t xml:space="preserve"> e non sostanziali sulle quali non ci si sofferma qui rinviando al messaggio;</w:t>
      </w:r>
    </w:p>
    <w:p w:rsidR="00292ABD" w:rsidRPr="00292ABD" w:rsidRDefault="00292ABD" w:rsidP="00E60DC2">
      <w:pPr>
        <w:numPr>
          <w:ilvl w:val="0"/>
          <w:numId w:val="33"/>
        </w:numPr>
        <w:spacing w:before="120"/>
        <w:ind w:left="284" w:hanging="284"/>
        <w:rPr>
          <w:rFonts w:asciiTheme="minorHAnsi" w:eastAsiaTheme="minorEastAsia" w:hAnsiTheme="minorHAnsi"/>
          <w:sz w:val="24"/>
        </w:rPr>
      </w:pPr>
      <w:r w:rsidRPr="00292ABD">
        <w:rPr>
          <w:rFonts w:asciiTheme="minorHAnsi" w:eastAsiaTheme="minorEastAsia" w:hAnsiTheme="minorHAnsi"/>
          <w:sz w:val="24"/>
          <w:u w:val="single"/>
        </w:rPr>
        <w:t>Norme materiali</w:t>
      </w:r>
      <w:r w:rsidRPr="00292ABD">
        <w:rPr>
          <w:rFonts w:asciiTheme="minorHAnsi" w:eastAsiaTheme="minorEastAsia" w:hAnsiTheme="minorHAnsi"/>
          <w:sz w:val="24"/>
        </w:rPr>
        <w:t xml:space="preserve"> per l’adozione del programma dei casi di rigore 2022 integrate nella legge cantonale di applicazione. Queste traslano a livello cantonale le norme delegate ai cantoni secondo le raccomandazioni federali. Le norme relative al programma 2021 (basato sull’Ordinanza federale OPCR 20) rimangono invariate e tuttora in vigore.</w:t>
      </w:r>
    </w:p>
    <w:p w:rsidR="00292ABD" w:rsidRPr="00292ABD" w:rsidRDefault="00292ABD"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sz w:val="24"/>
        </w:rPr>
        <w:t>I nuovi articoli materiali, basati sull’Ordinanza federale OPCR 22 sono pertanto i seguenti:</w:t>
      </w:r>
    </w:p>
    <w:p w:rsidR="00292ABD" w:rsidRPr="00292ABD" w:rsidRDefault="002C54EF" w:rsidP="00E60DC2">
      <w:pPr>
        <w:numPr>
          <w:ilvl w:val="0"/>
          <w:numId w:val="34"/>
        </w:numPr>
        <w:spacing w:before="60"/>
        <w:ind w:left="284" w:hanging="284"/>
        <w:rPr>
          <w:rFonts w:asciiTheme="minorHAnsi" w:eastAsiaTheme="minorEastAsia" w:hAnsiTheme="minorHAnsi"/>
          <w:sz w:val="24"/>
        </w:rPr>
      </w:pPr>
      <w:r>
        <w:rPr>
          <w:rFonts w:asciiTheme="minorHAnsi" w:eastAsiaTheme="minorEastAsia" w:hAnsiTheme="minorHAnsi"/>
          <w:sz w:val="24"/>
        </w:rPr>
        <w:t>a</w:t>
      </w:r>
      <w:r w:rsidR="00292ABD" w:rsidRPr="00292ABD">
        <w:rPr>
          <w:rFonts w:asciiTheme="minorHAnsi" w:eastAsiaTheme="minorEastAsia" w:hAnsiTheme="minorHAnsi"/>
          <w:sz w:val="24"/>
        </w:rPr>
        <w:t>rt.</w:t>
      </w:r>
      <w:r w:rsidR="00E60DC2">
        <w:rPr>
          <w:rFonts w:asciiTheme="minorHAnsi" w:eastAsiaTheme="minorEastAsia" w:hAnsiTheme="minorHAnsi"/>
          <w:sz w:val="24"/>
        </w:rPr>
        <w:t xml:space="preserve"> </w:t>
      </w:r>
      <w:r w:rsidR="00292ABD" w:rsidRPr="00292ABD">
        <w:rPr>
          <w:rFonts w:asciiTheme="minorHAnsi" w:eastAsiaTheme="minorEastAsia" w:hAnsiTheme="minorHAnsi"/>
          <w:sz w:val="24"/>
        </w:rPr>
        <w:t>7bis: volto a regolare l’ammissione al programma 2022 e la commisurazione degli aiuti;</w:t>
      </w:r>
    </w:p>
    <w:p w:rsidR="00292ABD" w:rsidRPr="00292ABD" w:rsidRDefault="002C54EF" w:rsidP="00E60DC2">
      <w:pPr>
        <w:numPr>
          <w:ilvl w:val="0"/>
          <w:numId w:val="34"/>
        </w:numPr>
        <w:spacing w:before="60"/>
        <w:ind w:left="284" w:hanging="284"/>
        <w:rPr>
          <w:rFonts w:asciiTheme="minorHAnsi" w:eastAsiaTheme="minorEastAsia" w:hAnsiTheme="minorHAnsi"/>
          <w:sz w:val="24"/>
        </w:rPr>
      </w:pPr>
      <w:r>
        <w:rPr>
          <w:rFonts w:asciiTheme="minorHAnsi" w:eastAsiaTheme="minorEastAsia" w:hAnsiTheme="minorHAnsi"/>
          <w:sz w:val="24"/>
        </w:rPr>
        <w:t>a</w:t>
      </w:r>
      <w:r w:rsidR="00292ABD" w:rsidRPr="00292ABD">
        <w:rPr>
          <w:rFonts w:asciiTheme="minorHAnsi" w:eastAsiaTheme="minorEastAsia" w:hAnsiTheme="minorHAnsi"/>
          <w:sz w:val="24"/>
        </w:rPr>
        <w:t>rt. 7ter: volto a regolare la procedura del programma 2022;</w:t>
      </w:r>
    </w:p>
    <w:p w:rsidR="00292ABD" w:rsidRPr="00292ABD" w:rsidRDefault="002C54EF" w:rsidP="00E60DC2">
      <w:pPr>
        <w:numPr>
          <w:ilvl w:val="0"/>
          <w:numId w:val="34"/>
        </w:numPr>
        <w:spacing w:before="60"/>
        <w:ind w:left="284" w:hanging="284"/>
        <w:rPr>
          <w:rFonts w:asciiTheme="minorHAnsi" w:eastAsiaTheme="minorEastAsia" w:hAnsiTheme="minorHAnsi"/>
          <w:sz w:val="24"/>
        </w:rPr>
      </w:pPr>
      <w:r>
        <w:rPr>
          <w:rFonts w:asciiTheme="minorHAnsi" w:eastAsiaTheme="minorEastAsia" w:hAnsiTheme="minorHAnsi"/>
          <w:sz w:val="24"/>
        </w:rPr>
        <w:t>a</w:t>
      </w:r>
      <w:r w:rsidR="00292ABD" w:rsidRPr="00292ABD">
        <w:rPr>
          <w:rFonts w:asciiTheme="minorHAnsi" w:eastAsiaTheme="minorEastAsia" w:hAnsiTheme="minorHAnsi"/>
          <w:sz w:val="24"/>
        </w:rPr>
        <w:t>rt. 8bis: volto a regolare il finanziamento del programma 2022.</w:t>
      </w:r>
    </w:p>
    <w:p w:rsidR="00292ABD" w:rsidRPr="00292ABD" w:rsidRDefault="00292ABD" w:rsidP="00292ABD">
      <w:pPr>
        <w:rPr>
          <w:rFonts w:asciiTheme="minorHAnsi" w:eastAsiaTheme="minorEastAsia" w:hAnsiTheme="minorHAnsi"/>
          <w:sz w:val="24"/>
        </w:rPr>
      </w:pPr>
    </w:p>
    <w:p w:rsidR="00292ABD" w:rsidRPr="00292ABD" w:rsidRDefault="00292ABD" w:rsidP="00292ABD">
      <w:pPr>
        <w:rPr>
          <w:rFonts w:eastAsia="Times New Roman" w:cs="Times New Roman"/>
          <w:sz w:val="24"/>
          <w:szCs w:val="20"/>
          <w:lang w:val="it-IT" w:eastAsia="it-IT"/>
        </w:rPr>
      </w:pPr>
      <w:r w:rsidRPr="00292ABD">
        <w:rPr>
          <w:rFonts w:eastAsia="Times New Roman" w:cs="Times New Roman"/>
          <w:sz w:val="24"/>
          <w:szCs w:val="20"/>
          <w:lang w:val="it-IT" w:eastAsia="it-IT"/>
        </w:rPr>
        <w:t xml:space="preserve">Ci si limita nel presente rapporto a riprendere la tabella sinottica, rinviando al messaggio per i commenti di dettaglio ai singoli articoli che </w:t>
      </w:r>
      <w:r w:rsidRPr="00292ABD">
        <w:rPr>
          <w:rFonts w:eastAsia="Times New Roman" w:cs="Times New Roman"/>
          <w:sz w:val="24"/>
          <w:szCs w:val="20"/>
          <w:u w:val="single"/>
          <w:lang w:val="it-IT" w:eastAsia="it-IT"/>
        </w:rPr>
        <w:t xml:space="preserve">valgono </w:t>
      </w:r>
      <w:r w:rsidRPr="00292ABD">
        <w:rPr>
          <w:rFonts w:asciiTheme="minorHAnsi" w:eastAsiaTheme="minorEastAsia" w:hAnsiTheme="minorHAnsi"/>
          <w:sz w:val="24"/>
          <w:u w:val="single"/>
        </w:rPr>
        <w:t>sia in forma di decreto legislativo urgente che di modifica di legge</w:t>
      </w:r>
      <w:r w:rsidRPr="00292ABD">
        <w:rPr>
          <w:rFonts w:asciiTheme="minorHAnsi" w:eastAsiaTheme="minorEastAsia" w:hAnsiTheme="minorHAnsi"/>
          <w:sz w:val="24"/>
        </w:rPr>
        <w:t>:</w:t>
      </w:r>
    </w:p>
    <w:p w:rsidR="00292ABD" w:rsidRPr="00292ABD" w:rsidRDefault="00292ABD" w:rsidP="00292ABD">
      <w:pPr>
        <w:rPr>
          <w:rFonts w:asciiTheme="minorHAnsi" w:eastAsiaTheme="minorEastAsia" w:hAnsiTheme="minorHAnsi"/>
          <w:sz w:val="24"/>
        </w:rPr>
      </w:pPr>
    </w:p>
    <w:tbl>
      <w:tblPr>
        <w:tblStyle w:val="Grigliatabella1"/>
        <w:tblW w:w="963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13" w:type="dxa"/>
          <w:bottom w:w="113" w:type="dxa"/>
        </w:tblCellMar>
        <w:tblLook w:val="04A0" w:firstRow="1" w:lastRow="0" w:firstColumn="1" w:lastColumn="0" w:noHBand="0" w:noVBand="1"/>
      </w:tblPr>
      <w:tblGrid>
        <w:gridCol w:w="4819"/>
        <w:gridCol w:w="4820"/>
      </w:tblGrid>
      <w:tr w:rsidR="00292ABD" w:rsidRPr="00292ABD" w:rsidTr="000C55A3">
        <w:trPr>
          <w:tblHeader/>
        </w:trPr>
        <w:tc>
          <w:tcPr>
            <w:tcW w:w="4819" w:type="dxa"/>
            <w:shd w:val="clear" w:color="auto" w:fill="D9D9D9" w:themeFill="background1" w:themeFillShade="D9"/>
          </w:tcPr>
          <w:p w:rsidR="00292ABD" w:rsidRPr="00292ABD" w:rsidRDefault="00292ABD" w:rsidP="00292ABD">
            <w:pPr>
              <w:suppressAutoHyphens/>
              <w:rPr>
                <w:rFonts w:cs="Arial"/>
                <w:b/>
                <w:sz w:val="20"/>
              </w:rPr>
            </w:pPr>
            <w:r w:rsidRPr="00292ABD">
              <w:rPr>
                <w:rFonts w:cs="Arial"/>
                <w:b/>
                <w:sz w:val="20"/>
              </w:rPr>
              <w:t>Atto in vigore</w:t>
            </w:r>
          </w:p>
        </w:tc>
        <w:tc>
          <w:tcPr>
            <w:tcW w:w="4820" w:type="dxa"/>
            <w:shd w:val="clear" w:color="auto" w:fill="D9D9D9" w:themeFill="background1" w:themeFillShade="D9"/>
          </w:tcPr>
          <w:p w:rsidR="00292ABD" w:rsidRPr="00292ABD" w:rsidRDefault="00292ABD" w:rsidP="00292ABD">
            <w:pPr>
              <w:suppressAutoHyphens/>
              <w:rPr>
                <w:rFonts w:cs="Arial"/>
                <w:b/>
                <w:sz w:val="20"/>
              </w:rPr>
            </w:pPr>
            <w:r w:rsidRPr="00292ABD">
              <w:rPr>
                <w:rFonts w:cs="Arial"/>
                <w:b/>
                <w:sz w:val="20"/>
              </w:rPr>
              <w:t>Proposta di modifica</w:t>
            </w:r>
            <w:r w:rsidRPr="00292ABD">
              <w:rPr>
                <w:rFonts w:cs="Arial"/>
                <w:b/>
                <w:color w:val="FF0000"/>
                <w:sz w:val="20"/>
              </w:rPr>
              <w:t xml:space="preserve"> (in rosso nel testo)</w:t>
            </w:r>
          </w:p>
        </w:tc>
      </w:tr>
      <w:tr w:rsidR="00292ABD" w:rsidRPr="00292ABD" w:rsidTr="000C55A3">
        <w:tc>
          <w:tcPr>
            <w:tcW w:w="4819" w:type="dxa"/>
          </w:tcPr>
          <w:p w:rsidR="00292ABD" w:rsidRPr="00292ABD" w:rsidRDefault="00292ABD" w:rsidP="00292ABD">
            <w:pPr>
              <w:shd w:val="clear" w:color="auto" w:fill="FFFFFF"/>
              <w:suppressAutoHyphens/>
              <w:ind w:left="37" w:right="33"/>
              <w:rPr>
                <w:rFonts w:eastAsia="Times New Roman" w:cs="Arial"/>
                <w:b/>
                <w:bCs/>
                <w:color w:val="000000"/>
                <w:sz w:val="20"/>
                <w:lang w:eastAsia="it-CH"/>
              </w:rPr>
            </w:pPr>
          </w:p>
        </w:tc>
        <w:tc>
          <w:tcPr>
            <w:tcW w:w="4820" w:type="dxa"/>
          </w:tcPr>
          <w:p w:rsidR="00292ABD" w:rsidRPr="00292ABD" w:rsidRDefault="00292ABD" w:rsidP="00292ABD">
            <w:pPr>
              <w:shd w:val="clear" w:color="auto" w:fill="FFFFFF"/>
              <w:suppressAutoHyphens/>
              <w:ind w:right="28"/>
              <w:rPr>
                <w:rFonts w:eastAsia="Times New Roman" w:cs="Arial"/>
                <w:bCs/>
                <w:color w:val="FF0000"/>
                <w:sz w:val="20"/>
                <w:lang w:eastAsia="it-CH"/>
              </w:rPr>
            </w:pPr>
            <w:r w:rsidRPr="00292ABD">
              <w:rPr>
                <w:rFonts w:eastAsia="Times New Roman" w:cs="Arial"/>
                <w:bCs/>
                <w:color w:val="FF0000"/>
                <w:sz w:val="20"/>
                <w:lang w:eastAsia="it-CH"/>
              </w:rPr>
              <w:t>Capitolo primo</w:t>
            </w:r>
          </w:p>
          <w:p w:rsidR="00292ABD" w:rsidRPr="00292ABD" w:rsidRDefault="00292ABD" w:rsidP="00292ABD">
            <w:pPr>
              <w:shd w:val="clear" w:color="auto" w:fill="FFFFFF"/>
              <w:suppressAutoHyphens/>
              <w:ind w:right="28"/>
              <w:rPr>
                <w:rFonts w:eastAsia="Times New Roman" w:cs="Arial"/>
                <w:b/>
                <w:bCs/>
                <w:i/>
                <w:color w:val="000000"/>
                <w:sz w:val="20"/>
                <w:lang w:eastAsia="it-CH"/>
              </w:rPr>
            </w:pPr>
            <w:r w:rsidRPr="00292ABD">
              <w:rPr>
                <w:rFonts w:eastAsia="Times New Roman" w:cs="Arial"/>
                <w:b/>
                <w:bCs/>
                <w:color w:val="FF0000"/>
                <w:sz w:val="20"/>
                <w:lang w:eastAsia="it-CH"/>
              </w:rPr>
              <w:t>Norme comuni</w:t>
            </w:r>
          </w:p>
        </w:tc>
      </w:tr>
      <w:tr w:rsidR="00292ABD" w:rsidRPr="00292ABD" w:rsidTr="000C55A3">
        <w:tc>
          <w:tcPr>
            <w:tcW w:w="4819" w:type="dxa"/>
          </w:tcPr>
          <w:p w:rsidR="00292ABD" w:rsidRPr="00292ABD" w:rsidRDefault="00292ABD" w:rsidP="00292ABD">
            <w:pPr>
              <w:suppressAutoHyphens/>
              <w:rPr>
                <w:rFonts w:cs="Arial"/>
                <w:sz w:val="20"/>
              </w:rPr>
            </w:pPr>
            <w:r w:rsidRPr="00292ABD">
              <w:rPr>
                <w:rFonts w:cs="Arial"/>
                <w:b/>
                <w:sz w:val="20"/>
              </w:rPr>
              <w:t xml:space="preserve">Art. 1 </w:t>
            </w:r>
          </w:p>
          <w:p w:rsidR="00292ABD" w:rsidRPr="00292ABD" w:rsidRDefault="00292ABD" w:rsidP="00292ABD">
            <w:pPr>
              <w:suppressAutoHyphens/>
              <w:spacing w:after="221"/>
              <w:ind w:right="32"/>
              <w:rPr>
                <w:rFonts w:cs="Arial"/>
                <w:sz w:val="20"/>
              </w:rPr>
            </w:pPr>
            <w:r w:rsidRPr="00292ABD">
              <w:rPr>
                <w:rFonts w:cs="Arial"/>
                <w:color w:val="000000"/>
                <w:position w:val="4"/>
                <w:sz w:val="20"/>
                <w:shd w:val="clear" w:color="auto" w:fill="FFFFFF"/>
              </w:rPr>
              <w:t>2</w:t>
            </w:r>
            <w:r w:rsidRPr="00292ABD">
              <w:rPr>
                <w:rFonts w:cs="Arial"/>
                <w:color w:val="000000"/>
                <w:spacing w:val="-2"/>
                <w:sz w:val="20"/>
                <w:shd w:val="clear" w:color="auto" w:fill="FFFFFF"/>
              </w:rPr>
              <w:t>Per quanto non regolato nella presente legge vale quanto stabilito dall’art. 12 della legge federale sulle basi legali delle ordinanze del Consiglio federale volte a far fronte all’epidemia di COVID-19 del 25 settembre 2020 (legge COVID-19) e dall’ordinanza sui provvedimenti per i casi di rigore concernenti le imprese in relazione all’epidemia di COVID-19 del 25 novembre 2020 (ordinanza COVID-19 sui casi di rigore).</w:t>
            </w:r>
          </w:p>
          <w:p w:rsidR="00292ABD" w:rsidRPr="00292ABD" w:rsidRDefault="00292ABD" w:rsidP="00292ABD">
            <w:pPr>
              <w:shd w:val="clear" w:color="auto" w:fill="FFFFFF"/>
              <w:suppressAutoHyphens/>
              <w:ind w:left="37" w:right="33"/>
              <w:rPr>
                <w:rFonts w:eastAsia="Times New Roman" w:cs="Arial"/>
                <w:b/>
                <w:bCs/>
                <w:color w:val="000000"/>
                <w:sz w:val="20"/>
                <w:lang w:eastAsia="it-CH"/>
              </w:rPr>
            </w:pPr>
          </w:p>
        </w:tc>
        <w:tc>
          <w:tcPr>
            <w:tcW w:w="4820" w:type="dxa"/>
          </w:tcPr>
          <w:p w:rsidR="00292ABD" w:rsidRPr="00292ABD" w:rsidRDefault="00292ABD" w:rsidP="00292ABD">
            <w:pPr>
              <w:suppressAutoHyphens/>
              <w:rPr>
                <w:rFonts w:cs="Arial"/>
                <w:b/>
                <w:bCs/>
                <w:sz w:val="20"/>
              </w:rPr>
            </w:pPr>
            <w:r w:rsidRPr="00292ABD">
              <w:rPr>
                <w:rFonts w:cs="Arial"/>
                <w:b/>
                <w:bCs/>
                <w:sz w:val="20"/>
              </w:rPr>
              <w:t>Art. 1 cpv. 2</w:t>
            </w:r>
          </w:p>
          <w:p w:rsidR="00292ABD" w:rsidRPr="00292ABD" w:rsidRDefault="00292ABD" w:rsidP="00292ABD">
            <w:pPr>
              <w:suppressAutoHyphens/>
              <w:rPr>
                <w:rFonts w:cs="Arial"/>
                <w:sz w:val="20"/>
              </w:rPr>
            </w:pPr>
            <w:r w:rsidRPr="00292ABD">
              <w:rPr>
                <w:rFonts w:cs="Arial"/>
                <w:sz w:val="20"/>
                <w:vertAlign w:val="superscript"/>
              </w:rPr>
              <w:t>2</w:t>
            </w:r>
            <w:r w:rsidRPr="00292ABD">
              <w:rPr>
                <w:rFonts w:cs="Arial"/>
                <w:sz w:val="20"/>
              </w:rPr>
              <w:t xml:space="preserve">Per quanto non regolato nella presente legge vale quanto stabilito </w:t>
            </w:r>
            <w:r w:rsidRPr="00292ABD">
              <w:rPr>
                <w:rFonts w:cs="Arial"/>
                <w:strike/>
                <w:color w:val="FF0000"/>
                <w:spacing w:val="-2"/>
                <w:sz w:val="20"/>
                <w:shd w:val="clear" w:color="auto" w:fill="FFFFFF"/>
              </w:rPr>
              <w:t>dall’art. 12 della</w:t>
            </w:r>
            <w:r w:rsidRPr="00292ABD">
              <w:rPr>
                <w:rFonts w:cs="Arial"/>
                <w:color w:val="FF0000"/>
                <w:spacing w:val="-2"/>
                <w:sz w:val="20"/>
                <w:shd w:val="clear" w:color="auto" w:fill="FFFFFF"/>
              </w:rPr>
              <w:t xml:space="preserve"> </w:t>
            </w:r>
            <w:r w:rsidRPr="00292ABD">
              <w:rPr>
                <w:rFonts w:cs="Arial"/>
                <w:color w:val="FF0000"/>
                <w:sz w:val="20"/>
              </w:rPr>
              <w:t xml:space="preserve">dalla </w:t>
            </w:r>
            <w:r w:rsidRPr="00292ABD">
              <w:rPr>
                <w:rFonts w:cs="Arial"/>
                <w:sz w:val="20"/>
              </w:rPr>
              <w:t xml:space="preserve">legge federale sulle basi legali delle ordinanze del Consiglio federale volte a far fronte all’epidemia di COVID-19 del 25 settembre 2020 (legge COVID-19) e </w:t>
            </w:r>
            <w:r w:rsidRPr="00292ABD">
              <w:rPr>
                <w:rFonts w:cs="Arial"/>
                <w:strike/>
                <w:color w:val="FF0000"/>
                <w:spacing w:val="-2"/>
                <w:sz w:val="20"/>
                <w:shd w:val="clear" w:color="auto" w:fill="FFFFFF"/>
              </w:rPr>
              <w:t>dall’ordinanza sui provvedimenti per i casi di rigore concernenti le imprese in relazione all’epidemia di COVID-19 del 25 novembre 2020 (ordinanza COVID-19 sui casi di rigore)</w:t>
            </w:r>
            <w:r w:rsidRPr="00292ABD">
              <w:rPr>
                <w:rFonts w:cs="Arial"/>
                <w:color w:val="FF0000"/>
                <w:spacing w:val="-2"/>
                <w:sz w:val="20"/>
                <w:shd w:val="clear" w:color="auto" w:fill="FFFFFF"/>
              </w:rPr>
              <w:t xml:space="preserve"> </w:t>
            </w:r>
            <w:r w:rsidRPr="00292ABD">
              <w:rPr>
                <w:rFonts w:cs="Arial"/>
                <w:color w:val="FF0000"/>
                <w:sz w:val="20"/>
              </w:rPr>
              <w:t>dalle ordinanze sui provvedimenti per i casi di rigore</w:t>
            </w:r>
            <w:r w:rsidRPr="00292ABD">
              <w:rPr>
                <w:rFonts w:cs="Arial"/>
                <w:sz w:val="20"/>
              </w:rPr>
              <w:t>.</w:t>
            </w:r>
          </w:p>
          <w:p w:rsidR="00292ABD" w:rsidRPr="00292ABD" w:rsidRDefault="00292ABD" w:rsidP="00292ABD">
            <w:pPr>
              <w:suppressAutoHyphens/>
              <w:rPr>
                <w:rFonts w:cs="Arial"/>
                <w:sz w:val="20"/>
              </w:rPr>
            </w:pPr>
          </w:p>
          <w:p w:rsidR="00292ABD" w:rsidRPr="00292ABD" w:rsidRDefault="00292ABD" w:rsidP="00292ABD">
            <w:pPr>
              <w:shd w:val="clear" w:color="auto" w:fill="FFFFFF"/>
              <w:suppressAutoHyphens/>
              <w:ind w:left="41" w:right="28"/>
              <w:rPr>
                <w:rFonts w:eastAsia="Times New Roman" w:cs="Arial"/>
                <w:b/>
                <w:bCs/>
                <w:color w:val="000000"/>
                <w:sz w:val="20"/>
                <w:lang w:eastAsia="it-CH"/>
              </w:rPr>
            </w:pPr>
          </w:p>
        </w:tc>
      </w:tr>
      <w:tr w:rsidR="00292ABD" w:rsidRPr="00292ABD" w:rsidTr="000C55A3">
        <w:tc>
          <w:tcPr>
            <w:tcW w:w="4819" w:type="dxa"/>
          </w:tcPr>
          <w:p w:rsidR="00292ABD" w:rsidRPr="00292ABD" w:rsidRDefault="00292ABD" w:rsidP="00292ABD">
            <w:pPr>
              <w:shd w:val="clear" w:color="auto" w:fill="FFFFFF"/>
              <w:suppressAutoHyphens/>
              <w:ind w:left="37" w:right="33"/>
              <w:rPr>
                <w:rFonts w:eastAsia="Times New Roman" w:cs="Arial"/>
                <w:b/>
                <w:bCs/>
                <w:color w:val="000000"/>
                <w:sz w:val="20"/>
                <w:lang w:eastAsia="it-CH"/>
              </w:rPr>
            </w:pPr>
            <w:r w:rsidRPr="00292ABD">
              <w:rPr>
                <w:rFonts w:cs="Arial"/>
                <w:color w:val="000000"/>
                <w:sz w:val="20"/>
                <w:shd w:val="clear" w:color="auto" w:fill="FFFFFF"/>
              </w:rPr>
              <w:lastRenderedPageBreak/>
              <w:t>d) definisce i contenuti minimi e la forma della verifica, che l’impresa di revisione con abilitazione dell’ASR (Autorità federale di sorveglianza dei revisori) è tenuta a svolgere ai sensi della procedura di cui all’art. 6;</w:t>
            </w:r>
          </w:p>
        </w:tc>
        <w:tc>
          <w:tcPr>
            <w:tcW w:w="4820" w:type="dxa"/>
          </w:tcPr>
          <w:p w:rsidR="00292ABD" w:rsidRPr="00292ABD" w:rsidRDefault="00292ABD" w:rsidP="00292ABD">
            <w:pPr>
              <w:suppressAutoHyphens/>
              <w:rPr>
                <w:rFonts w:cs="Arial"/>
                <w:b/>
                <w:bCs/>
                <w:sz w:val="20"/>
              </w:rPr>
            </w:pPr>
            <w:r w:rsidRPr="00292ABD">
              <w:rPr>
                <w:rFonts w:cs="Arial"/>
                <w:b/>
                <w:bCs/>
                <w:sz w:val="20"/>
              </w:rPr>
              <w:t>Art. 2 lett. d</w:t>
            </w:r>
          </w:p>
          <w:p w:rsidR="00292ABD" w:rsidRPr="00292ABD" w:rsidRDefault="00292ABD" w:rsidP="00292ABD">
            <w:pPr>
              <w:suppressAutoHyphens/>
              <w:rPr>
                <w:rFonts w:cs="Arial"/>
                <w:sz w:val="20"/>
              </w:rPr>
            </w:pPr>
            <w:r w:rsidRPr="00292ABD">
              <w:rPr>
                <w:rFonts w:cs="Arial"/>
                <w:sz w:val="20"/>
              </w:rPr>
              <w:t xml:space="preserve">d) definisce i contenuti minimi e la forma della verifica, che l’impresa di revisione con abilitazione dell’ASR (Autorità federale di sorveglianza dei revisori) è tenuta a svolgere </w:t>
            </w:r>
            <w:r w:rsidRPr="00292ABD">
              <w:rPr>
                <w:rFonts w:cs="Arial"/>
                <w:strike/>
                <w:color w:val="FF0000"/>
                <w:sz w:val="20"/>
                <w:shd w:val="clear" w:color="auto" w:fill="FFFFFF"/>
              </w:rPr>
              <w:t>ai sensi della procedura di cui all’art. 6</w:t>
            </w:r>
            <w:r w:rsidRPr="00292ABD">
              <w:rPr>
                <w:rFonts w:cs="Arial"/>
                <w:sz w:val="20"/>
              </w:rPr>
              <w:t>;</w:t>
            </w:r>
          </w:p>
          <w:p w:rsidR="00292ABD" w:rsidRPr="00292ABD" w:rsidRDefault="00292ABD" w:rsidP="00292ABD">
            <w:pPr>
              <w:shd w:val="clear" w:color="auto" w:fill="FFFFFF"/>
              <w:suppressAutoHyphens/>
              <w:ind w:left="41" w:right="28"/>
              <w:rPr>
                <w:rFonts w:eastAsia="Times New Roman" w:cs="Arial"/>
                <w:b/>
                <w:bCs/>
                <w:color w:val="000000"/>
                <w:sz w:val="20"/>
                <w:lang w:eastAsia="it-CH"/>
              </w:rPr>
            </w:pPr>
          </w:p>
        </w:tc>
      </w:tr>
      <w:tr w:rsidR="00292ABD" w:rsidRPr="00292ABD" w:rsidTr="000C55A3">
        <w:tc>
          <w:tcPr>
            <w:tcW w:w="4819" w:type="dxa"/>
          </w:tcPr>
          <w:p w:rsidR="00292ABD" w:rsidRPr="00292ABD" w:rsidRDefault="00292ABD" w:rsidP="00292ABD">
            <w:pPr>
              <w:suppressAutoHyphens/>
              <w:rPr>
                <w:rFonts w:cs="Arial"/>
                <w:sz w:val="20"/>
                <w:vertAlign w:val="superscript"/>
              </w:rPr>
            </w:pPr>
            <w:r w:rsidRPr="00292ABD">
              <w:rPr>
                <w:rFonts w:cs="Arial"/>
                <w:b/>
                <w:bCs/>
                <w:sz w:val="20"/>
              </w:rPr>
              <w:t xml:space="preserve">Art. 3 </w:t>
            </w:r>
          </w:p>
          <w:p w:rsidR="00292ABD" w:rsidRPr="00292ABD" w:rsidRDefault="00292ABD" w:rsidP="00292ABD">
            <w:pPr>
              <w:shd w:val="clear" w:color="auto" w:fill="FFFFFF"/>
              <w:suppressAutoHyphens/>
              <w:ind w:left="37" w:right="33"/>
              <w:rPr>
                <w:rFonts w:eastAsia="Times New Roman" w:cs="Arial"/>
                <w:b/>
                <w:bCs/>
                <w:color w:val="000000"/>
                <w:sz w:val="20"/>
                <w:lang w:eastAsia="it-CH"/>
              </w:rPr>
            </w:pPr>
            <w:r w:rsidRPr="00292ABD">
              <w:rPr>
                <w:rFonts w:cs="Arial"/>
                <w:color w:val="000000"/>
                <w:sz w:val="20"/>
                <w:shd w:val="clear" w:color="auto" w:fill="FFFFFF"/>
              </w:rPr>
              <w:t>Fatto salvo il rispetto dei requisiti fissati dalla sezione 2 dell’ordinanza COVID-19 sui casi di rigore, il sussidio può essere concesso se:</w:t>
            </w:r>
          </w:p>
        </w:tc>
        <w:tc>
          <w:tcPr>
            <w:tcW w:w="4820" w:type="dxa"/>
          </w:tcPr>
          <w:p w:rsidR="00292ABD" w:rsidRPr="00292ABD" w:rsidRDefault="00292ABD" w:rsidP="00292ABD">
            <w:pPr>
              <w:suppressAutoHyphens/>
              <w:rPr>
                <w:rFonts w:cs="Arial"/>
                <w:sz w:val="20"/>
                <w:vertAlign w:val="superscript"/>
              </w:rPr>
            </w:pPr>
            <w:r w:rsidRPr="00292ABD">
              <w:rPr>
                <w:rFonts w:cs="Arial"/>
                <w:b/>
                <w:bCs/>
                <w:sz w:val="20"/>
              </w:rPr>
              <w:t xml:space="preserve">Art. 3 </w:t>
            </w:r>
          </w:p>
          <w:p w:rsidR="00292ABD" w:rsidRPr="00292ABD" w:rsidRDefault="00292ABD" w:rsidP="00292ABD">
            <w:pPr>
              <w:shd w:val="clear" w:color="auto" w:fill="FFFFFF"/>
              <w:suppressAutoHyphens/>
              <w:ind w:left="41" w:right="28"/>
              <w:rPr>
                <w:rFonts w:cs="Arial"/>
                <w:sz w:val="20"/>
              </w:rPr>
            </w:pPr>
            <w:r w:rsidRPr="00292ABD">
              <w:rPr>
                <w:rFonts w:cs="Arial"/>
                <w:sz w:val="20"/>
              </w:rPr>
              <w:t xml:space="preserve">Fatto salvo il rispetto dei </w:t>
            </w:r>
            <w:r w:rsidRPr="00292ABD">
              <w:rPr>
                <w:rFonts w:cs="Arial"/>
                <w:color w:val="FF0000"/>
                <w:sz w:val="20"/>
              </w:rPr>
              <w:t>requisiti di entrata nel merito</w:t>
            </w:r>
            <w:r w:rsidRPr="00292ABD">
              <w:rPr>
                <w:rFonts w:cs="Arial"/>
                <w:sz w:val="20"/>
              </w:rPr>
              <w:t xml:space="preserve"> fissati </w:t>
            </w:r>
            <w:r w:rsidRPr="00292ABD">
              <w:rPr>
                <w:rFonts w:cs="Arial"/>
                <w:strike/>
                <w:color w:val="FF0000"/>
                <w:sz w:val="20"/>
                <w:shd w:val="clear" w:color="auto" w:fill="FFFFFF"/>
              </w:rPr>
              <w:t>dalla sezione 2 dell’ordinanza COVID-19 sui casi di rigore</w:t>
            </w:r>
            <w:r w:rsidRPr="00292ABD">
              <w:rPr>
                <w:rFonts w:cs="Arial"/>
                <w:color w:val="FF0000"/>
                <w:sz w:val="20"/>
              </w:rPr>
              <w:t xml:space="preserve"> dalle norme federali</w:t>
            </w:r>
            <w:r w:rsidRPr="00292ABD">
              <w:rPr>
                <w:rFonts w:cs="Arial"/>
                <w:sz w:val="20"/>
              </w:rPr>
              <w:t>, il sussidio può essere concesso se:</w:t>
            </w:r>
          </w:p>
          <w:p w:rsidR="00292ABD" w:rsidRPr="00292ABD" w:rsidRDefault="00292ABD" w:rsidP="00292ABD">
            <w:pPr>
              <w:shd w:val="clear" w:color="auto" w:fill="FFFFFF"/>
              <w:suppressAutoHyphens/>
              <w:ind w:left="41" w:right="28"/>
              <w:rPr>
                <w:rFonts w:cs="Arial"/>
                <w:sz w:val="20"/>
              </w:rPr>
            </w:pPr>
          </w:p>
          <w:p w:rsidR="00292ABD" w:rsidRPr="00292ABD" w:rsidRDefault="00292ABD" w:rsidP="00292ABD">
            <w:pPr>
              <w:shd w:val="clear" w:color="auto" w:fill="FFFFFF"/>
              <w:suppressAutoHyphens/>
              <w:ind w:left="41" w:right="28"/>
              <w:rPr>
                <w:rFonts w:cs="Arial"/>
                <w:sz w:val="20"/>
              </w:rPr>
            </w:pPr>
          </w:p>
          <w:p w:rsidR="00292ABD" w:rsidRPr="00292ABD" w:rsidRDefault="00292ABD" w:rsidP="00292ABD">
            <w:pPr>
              <w:shd w:val="clear" w:color="auto" w:fill="FFFFFF"/>
              <w:suppressAutoHyphens/>
              <w:ind w:left="41" w:right="28"/>
              <w:rPr>
                <w:rFonts w:eastAsia="Times New Roman" w:cs="Arial"/>
                <w:b/>
                <w:bCs/>
                <w:color w:val="000000"/>
                <w:sz w:val="20"/>
                <w:lang w:eastAsia="it-CH"/>
              </w:rPr>
            </w:pPr>
          </w:p>
        </w:tc>
      </w:tr>
      <w:tr w:rsidR="00292ABD" w:rsidRPr="00292ABD" w:rsidTr="000C55A3">
        <w:tc>
          <w:tcPr>
            <w:tcW w:w="4819" w:type="dxa"/>
          </w:tcPr>
          <w:p w:rsidR="00292ABD" w:rsidRPr="00292ABD" w:rsidRDefault="00292ABD" w:rsidP="00292ABD">
            <w:pPr>
              <w:shd w:val="clear" w:color="auto" w:fill="FFFFFF"/>
              <w:suppressAutoHyphens/>
              <w:ind w:left="37" w:right="33"/>
              <w:rPr>
                <w:rFonts w:cs="Arial"/>
                <w:b/>
                <w:bCs/>
                <w:sz w:val="20"/>
              </w:rPr>
            </w:pPr>
            <w:r w:rsidRPr="00292ABD">
              <w:rPr>
                <w:rFonts w:cs="Arial"/>
                <w:b/>
                <w:bCs/>
                <w:sz w:val="20"/>
              </w:rPr>
              <w:t>Art. 5 cpv. 1</w:t>
            </w:r>
          </w:p>
          <w:p w:rsidR="00292ABD" w:rsidRPr="00292ABD" w:rsidRDefault="00292ABD" w:rsidP="00292ABD">
            <w:pPr>
              <w:shd w:val="clear" w:color="auto" w:fill="FFFFFF"/>
              <w:suppressAutoHyphens/>
              <w:ind w:left="37" w:right="33"/>
              <w:rPr>
                <w:rFonts w:eastAsia="Times New Roman" w:cs="Arial"/>
                <w:b/>
                <w:bCs/>
                <w:color w:val="000000"/>
                <w:sz w:val="20"/>
                <w:lang w:eastAsia="it-CH"/>
              </w:rPr>
            </w:pPr>
            <w:r w:rsidRPr="00292ABD">
              <w:rPr>
                <w:rFonts w:cs="Arial"/>
                <w:sz w:val="20"/>
                <w:vertAlign w:val="superscript"/>
              </w:rPr>
              <w:t>1</w:t>
            </w:r>
            <w:r w:rsidRPr="00292ABD">
              <w:rPr>
                <w:rFonts w:cs="Arial"/>
                <w:color w:val="000000"/>
                <w:spacing w:val="-2"/>
                <w:sz w:val="20"/>
                <w:shd w:val="clear" w:color="auto" w:fill="FFFFFF"/>
              </w:rPr>
              <w:t xml:space="preserve">L’impresa </w:t>
            </w:r>
            <w:r w:rsidRPr="00292ABD">
              <w:rPr>
                <w:rFonts w:cs="Arial"/>
                <w:sz w:val="20"/>
              </w:rPr>
              <w:t>beneficiaria</w:t>
            </w:r>
            <w:r w:rsidRPr="00292ABD">
              <w:rPr>
                <w:rFonts w:cs="Arial"/>
                <w:color w:val="000000"/>
                <w:spacing w:val="-2"/>
                <w:sz w:val="20"/>
                <w:shd w:val="clear" w:color="auto" w:fill="FFFFFF"/>
              </w:rPr>
              <w:t xml:space="preserve"> deve rispettare la limitazione dell’impiego di cui all’art. 6 dell’ordinanza COVID-19 casi di rigore.</w:t>
            </w:r>
          </w:p>
        </w:tc>
        <w:tc>
          <w:tcPr>
            <w:tcW w:w="4820" w:type="dxa"/>
          </w:tcPr>
          <w:p w:rsidR="00292ABD" w:rsidRPr="00292ABD" w:rsidRDefault="00292ABD" w:rsidP="00292ABD">
            <w:pPr>
              <w:suppressAutoHyphens/>
              <w:rPr>
                <w:rFonts w:cs="Arial"/>
                <w:sz w:val="20"/>
                <w:vertAlign w:val="superscript"/>
              </w:rPr>
            </w:pPr>
            <w:r w:rsidRPr="00292ABD">
              <w:rPr>
                <w:rFonts w:cs="Arial"/>
                <w:b/>
                <w:bCs/>
                <w:sz w:val="20"/>
              </w:rPr>
              <w:t>Art. 5 cpv. 1</w:t>
            </w:r>
          </w:p>
          <w:p w:rsidR="00292ABD" w:rsidRPr="00292ABD" w:rsidRDefault="00292ABD" w:rsidP="00292ABD">
            <w:pPr>
              <w:shd w:val="clear" w:color="auto" w:fill="FFFFFF"/>
              <w:suppressAutoHyphens/>
              <w:ind w:left="41" w:right="28"/>
              <w:rPr>
                <w:rFonts w:eastAsia="Times New Roman" w:cs="Arial"/>
                <w:b/>
                <w:bCs/>
                <w:color w:val="000000"/>
                <w:sz w:val="20"/>
                <w:lang w:eastAsia="it-CH"/>
              </w:rPr>
            </w:pPr>
            <w:r w:rsidRPr="00292ABD">
              <w:rPr>
                <w:rFonts w:cs="Arial"/>
                <w:sz w:val="20"/>
                <w:vertAlign w:val="superscript"/>
              </w:rPr>
              <w:t>1</w:t>
            </w:r>
            <w:r w:rsidRPr="00292ABD">
              <w:rPr>
                <w:rFonts w:cs="Arial"/>
                <w:sz w:val="20"/>
              </w:rPr>
              <w:t xml:space="preserve">L’impresa beneficiaria deve rispettare la limitazione dell’impiego </w:t>
            </w:r>
            <w:r w:rsidRPr="00292ABD">
              <w:rPr>
                <w:rFonts w:cs="Arial"/>
                <w:strike/>
                <w:color w:val="FF0000"/>
                <w:spacing w:val="-2"/>
                <w:sz w:val="20"/>
                <w:shd w:val="clear" w:color="auto" w:fill="FFFFFF"/>
              </w:rPr>
              <w:t>di cui all’art. 6 dell’ordinanza COVID-19 casi di rigore</w:t>
            </w:r>
            <w:r w:rsidRPr="00292ABD">
              <w:rPr>
                <w:rFonts w:cs="Arial"/>
                <w:color w:val="FF0000"/>
                <w:sz w:val="20"/>
              </w:rPr>
              <w:t xml:space="preserve"> prevista dalle norme federali</w:t>
            </w:r>
            <w:r w:rsidRPr="00292ABD">
              <w:rPr>
                <w:rFonts w:cs="Arial"/>
                <w:sz w:val="20"/>
              </w:rPr>
              <w:t>.</w:t>
            </w:r>
          </w:p>
        </w:tc>
      </w:tr>
      <w:tr w:rsidR="00292ABD" w:rsidRPr="00292ABD" w:rsidTr="000C55A3">
        <w:tc>
          <w:tcPr>
            <w:tcW w:w="4819" w:type="dxa"/>
          </w:tcPr>
          <w:p w:rsidR="00292ABD" w:rsidRPr="00292ABD" w:rsidRDefault="00292ABD" w:rsidP="00292ABD">
            <w:pPr>
              <w:shd w:val="clear" w:color="auto" w:fill="FFFFFF"/>
              <w:suppressAutoHyphens/>
              <w:ind w:left="37" w:right="33"/>
              <w:rPr>
                <w:rFonts w:eastAsia="Times New Roman" w:cs="Arial"/>
                <w:b/>
                <w:bCs/>
                <w:color w:val="000000"/>
                <w:sz w:val="20"/>
                <w:lang w:eastAsia="it-CH"/>
              </w:rPr>
            </w:pPr>
          </w:p>
        </w:tc>
        <w:tc>
          <w:tcPr>
            <w:tcW w:w="4820" w:type="dxa"/>
          </w:tcPr>
          <w:p w:rsidR="00292ABD" w:rsidRPr="00292ABD" w:rsidRDefault="00292ABD" w:rsidP="00292ABD">
            <w:pPr>
              <w:suppressAutoHyphens/>
              <w:spacing w:after="219"/>
              <w:ind w:left="573" w:right="32"/>
              <w:rPr>
                <w:rFonts w:cs="Arial"/>
                <w:sz w:val="20"/>
              </w:rPr>
            </w:pPr>
            <w:r w:rsidRPr="00292ABD">
              <w:rPr>
                <w:rFonts w:cs="Arial"/>
                <w:sz w:val="20"/>
              </w:rPr>
              <w:t>Capitolo secondo</w:t>
            </w:r>
          </w:p>
          <w:p w:rsidR="00292ABD" w:rsidRPr="00292ABD" w:rsidRDefault="00292ABD" w:rsidP="00292ABD">
            <w:pPr>
              <w:shd w:val="clear" w:color="auto" w:fill="FFFFFF"/>
              <w:suppressAutoHyphens/>
              <w:ind w:left="41" w:right="28"/>
              <w:rPr>
                <w:rFonts w:eastAsia="Times New Roman" w:cs="Arial"/>
                <w:b/>
                <w:bCs/>
                <w:color w:val="000000"/>
                <w:sz w:val="20"/>
                <w:lang w:eastAsia="it-CH"/>
              </w:rPr>
            </w:pPr>
            <w:r w:rsidRPr="00292ABD">
              <w:rPr>
                <w:rFonts w:cs="Arial"/>
                <w:b/>
                <w:sz w:val="20"/>
              </w:rPr>
              <w:t>Aiuti ai sensi dell’Ordinanza COVID-19 casi di rigore (OPCR 20)</w:t>
            </w:r>
          </w:p>
        </w:tc>
      </w:tr>
      <w:tr w:rsidR="00292ABD" w:rsidRPr="00292ABD" w:rsidTr="000C55A3">
        <w:tc>
          <w:tcPr>
            <w:tcW w:w="4819" w:type="dxa"/>
          </w:tcPr>
          <w:p w:rsidR="00292ABD" w:rsidRPr="00292ABD" w:rsidRDefault="00292ABD" w:rsidP="00292ABD">
            <w:pPr>
              <w:shd w:val="clear" w:color="auto" w:fill="FFFFFF"/>
              <w:suppressAutoHyphens/>
              <w:ind w:left="37" w:right="33"/>
              <w:rPr>
                <w:rFonts w:eastAsia="Times New Roman" w:cs="Arial"/>
                <w:b/>
                <w:bCs/>
                <w:color w:val="000000"/>
                <w:sz w:val="20"/>
                <w:lang w:eastAsia="it-CH"/>
              </w:rPr>
            </w:pPr>
          </w:p>
        </w:tc>
        <w:tc>
          <w:tcPr>
            <w:tcW w:w="4820" w:type="dxa"/>
          </w:tcPr>
          <w:p w:rsidR="00292ABD" w:rsidRPr="00292ABD" w:rsidRDefault="00292ABD" w:rsidP="00292ABD">
            <w:pPr>
              <w:suppressAutoHyphens/>
              <w:spacing w:after="220"/>
              <w:ind w:left="573" w:right="32"/>
              <w:rPr>
                <w:rFonts w:cs="Arial"/>
                <w:sz w:val="20"/>
              </w:rPr>
            </w:pPr>
            <w:r w:rsidRPr="00292ABD">
              <w:rPr>
                <w:rFonts w:cs="Arial"/>
                <w:sz w:val="20"/>
              </w:rPr>
              <w:t>Capitolo terzo</w:t>
            </w:r>
          </w:p>
          <w:p w:rsidR="00292ABD" w:rsidRPr="00292ABD" w:rsidRDefault="00292ABD" w:rsidP="00292ABD">
            <w:pPr>
              <w:shd w:val="clear" w:color="auto" w:fill="FFFFFF"/>
              <w:suppressAutoHyphens/>
              <w:ind w:left="41" w:right="28"/>
              <w:rPr>
                <w:rFonts w:eastAsia="Times New Roman" w:cs="Arial"/>
                <w:b/>
                <w:bCs/>
                <w:color w:val="000000"/>
                <w:sz w:val="20"/>
                <w:lang w:eastAsia="it-CH"/>
              </w:rPr>
            </w:pPr>
            <w:r w:rsidRPr="00292ABD">
              <w:rPr>
                <w:rFonts w:cs="Arial"/>
                <w:b/>
                <w:sz w:val="20"/>
              </w:rPr>
              <w:t>Aiuti ai sensi dell’Ordinanza COVID-19 casi di rigore 2022 (OPCR 22)</w:t>
            </w:r>
          </w:p>
        </w:tc>
      </w:tr>
      <w:tr w:rsidR="00292ABD" w:rsidRPr="00292ABD" w:rsidTr="000C55A3">
        <w:tc>
          <w:tcPr>
            <w:tcW w:w="4819" w:type="dxa"/>
          </w:tcPr>
          <w:p w:rsidR="00292ABD" w:rsidRPr="00292ABD" w:rsidRDefault="00292ABD" w:rsidP="00292ABD">
            <w:pPr>
              <w:shd w:val="clear" w:color="auto" w:fill="FFFFFF"/>
              <w:suppressAutoHyphens/>
              <w:ind w:left="37" w:right="33"/>
              <w:rPr>
                <w:rFonts w:eastAsia="Times New Roman" w:cs="Arial"/>
                <w:b/>
                <w:bCs/>
                <w:color w:val="000000"/>
                <w:sz w:val="20"/>
                <w:lang w:eastAsia="it-CH"/>
              </w:rPr>
            </w:pPr>
          </w:p>
        </w:tc>
        <w:tc>
          <w:tcPr>
            <w:tcW w:w="4820" w:type="dxa"/>
          </w:tcPr>
          <w:p w:rsidR="00292ABD" w:rsidRPr="00292ABD" w:rsidRDefault="00292ABD" w:rsidP="00292ABD">
            <w:pPr>
              <w:suppressAutoHyphens/>
              <w:rPr>
                <w:rFonts w:cs="Arial"/>
                <w:sz w:val="20"/>
              </w:rPr>
            </w:pPr>
            <w:r w:rsidRPr="00292ABD">
              <w:rPr>
                <w:rFonts w:cs="Arial"/>
                <w:b/>
                <w:sz w:val="20"/>
              </w:rPr>
              <w:t>Ammissione alla valutazione e commisurazione degli aiuti</w:t>
            </w:r>
          </w:p>
          <w:p w:rsidR="00292ABD" w:rsidRPr="00292ABD" w:rsidRDefault="00292ABD" w:rsidP="00292ABD">
            <w:pPr>
              <w:suppressAutoHyphens/>
              <w:rPr>
                <w:rFonts w:cs="Arial"/>
                <w:b/>
                <w:bCs/>
                <w:sz w:val="20"/>
              </w:rPr>
            </w:pPr>
            <w:r w:rsidRPr="00292ABD">
              <w:rPr>
                <w:rFonts w:cs="Arial"/>
                <w:b/>
                <w:bCs/>
                <w:sz w:val="20"/>
              </w:rPr>
              <w:t xml:space="preserve">Art. 7bis </w:t>
            </w:r>
          </w:p>
          <w:p w:rsidR="00292ABD" w:rsidRPr="00292ABD" w:rsidRDefault="00292ABD" w:rsidP="00292ABD">
            <w:pPr>
              <w:suppressAutoHyphens/>
              <w:rPr>
                <w:rFonts w:cs="Arial"/>
                <w:sz w:val="20"/>
              </w:rPr>
            </w:pPr>
            <w:r w:rsidRPr="00292ABD">
              <w:rPr>
                <w:rFonts w:cs="Arial"/>
                <w:sz w:val="20"/>
                <w:vertAlign w:val="superscript"/>
              </w:rPr>
              <w:t>1</w:t>
            </w:r>
            <w:r w:rsidRPr="00292ABD">
              <w:rPr>
                <w:rFonts w:cs="Arial"/>
                <w:sz w:val="20"/>
              </w:rPr>
              <w:t>È ammessa alla valutazione ai sensi del programma basato sull’OPCR 22 l’impresa che dimostra il rispetto dei requisiti federali e cantonali applicati al programma basato sull’OPCR 20.</w:t>
            </w:r>
          </w:p>
          <w:p w:rsidR="00292ABD" w:rsidRPr="00292ABD" w:rsidRDefault="00292ABD" w:rsidP="00292ABD">
            <w:pPr>
              <w:suppressAutoHyphens/>
              <w:ind w:right="34"/>
              <w:rPr>
                <w:rFonts w:cs="Arial"/>
                <w:sz w:val="20"/>
              </w:rPr>
            </w:pPr>
            <w:r w:rsidRPr="00292ABD">
              <w:rPr>
                <w:rFonts w:cs="Arial"/>
                <w:sz w:val="20"/>
                <w:vertAlign w:val="superscript"/>
              </w:rPr>
              <w:t>2</w:t>
            </w:r>
            <w:r w:rsidRPr="00292ABD">
              <w:rPr>
                <w:rFonts w:cs="Arial"/>
                <w:sz w:val="20"/>
              </w:rPr>
              <w:t>L’importo dell’aiuto è fissato applicando la modalità di calcolo e i limiti massimi previsti a livello federale, tenendo in considerazione costi e ricavi concernenti il 2022.</w:t>
            </w:r>
          </w:p>
          <w:p w:rsidR="00292ABD" w:rsidRPr="00292ABD" w:rsidRDefault="00292ABD" w:rsidP="00292ABD">
            <w:pPr>
              <w:suppressAutoHyphens/>
              <w:ind w:right="34"/>
              <w:rPr>
                <w:rFonts w:cs="Arial"/>
                <w:sz w:val="20"/>
              </w:rPr>
            </w:pPr>
            <w:r w:rsidRPr="00292ABD">
              <w:rPr>
                <w:rFonts w:cs="Arial"/>
                <w:sz w:val="20"/>
                <w:vertAlign w:val="superscript"/>
              </w:rPr>
              <w:t>3</w:t>
            </w:r>
            <w:r w:rsidRPr="00292ABD">
              <w:rPr>
                <w:rFonts w:cs="Arial"/>
                <w:sz w:val="20"/>
              </w:rPr>
              <w:t>L’impresa con cifra d’affari inferiore a 5 milioni di franchi può presentare richiesta su base trimestrale o semestrale. L’impresa con cifra d’affari superiore a 5 milioni di franchi può presentare richiesta solo su base semestrale.</w:t>
            </w:r>
          </w:p>
          <w:p w:rsidR="00292ABD" w:rsidRPr="00292ABD" w:rsidRDefault="00292ABD" w:rsidP="00292ABD">
            <w:pPr>
              <w:suppressAutoHyphens/>
              <w:rPr>
                <w:rFonts w:cs="Arial"/>
                <w:sz w:val="20"/>
              </w:rPr>
            </w:pPr>
            <w:r w:rsidRPr="00292ABD">
              <w:rPr>
                <w:rFonts w:cs="Arial"/>
                <w:sz w:val="20"/>
                <w:vertAlign w:val="superscript"/>
              </w:rPr>
              <w:t>4</w:t>
            </w:r>
            <w:r w:rsidRPr="00292ABD">
              <w:rPr>
                <w:rFonts w:cs="Arial"/>
                <w:sz w:val="20"/>
              </w:rPr>
              <w:t>Il contributo è negato o ridotto se il periodo della richiesta corrisponde totalmente o parzialmente a un’usuale chiusura stagionale.</w:t>
            </w:r>
          </w:p>
          <w:p w:rsidR="00292ABD" w:rsidRPr="00292ABD" w:rsidRDefault="00292ABD" w:rsidP="00292ABD">
            <w:pPr>
              <w:shd w:val="clear" w:color="auto" w:fill="FFFFFF"/>
              <w:suppressAutoHyphens/>
              <w:ind w:left="41" w:right="28"/>
              <w:rPr>
                <w:rFonts w:eastAsia="Times New Roman" w:cs="Arial"/>
                <w:b/>
                <w:bCs/>
                <w:color w:val="000000"/>
                <w:sz w:val="20"/>
                <w:lang w:eastAsia="it-CH"/>
              </w:rPr>
            </w:pPr>
            <w:r w:rsidRPr="00292ABD">
              <w:rPr>
                <w:rFonts w:cs="Arial"/>
                <w:sz w:val="20"/>
                <w:vertAlign w:val="superscript"/>
              </w:rPr>
              <w:t>5</w:t>
            </w:r>
            <w:r w:rsidRPr="00292ABD">
              <w:rPr>
                <w:rFonts w:cs="Arial"/>
                <w:sz w:val="20"/>
              </w:rPr>
              <w:t>L’aiuto non viene concesso in caso di chiusura pianificata dell’attività entro i dodici mesi dalla presentazione della richiesta.</w:t>
            </w:r>
          </w:p>
        </w:tc>
      </w:tr>
      <w:tr w:rsidR="00292ABD" w:rsidRPr="00292ABD" w:rsidTr="000C55A3">
        <w:tc>
          <w:tcPr>
            <w:tcW w:w="4819" w:type="dxa"/>
          </w:tcPr>
          <w:p w:rsidR="00292ABD" w:rsidRPr="00292ABD" w:rsidRDefault="00292ABD" w:rsidP="00292ABD">
            <w:pPr>
              <w:shd w:val="clear" w:color="auto" w:fill="FFFFFF"/>
              <w:suppressAutoHyphens/>
              <w:ind w:left="37" w:right="33"/>
              <w:rPr>
                <w:rFonts w:eastAsia="Times New Roman" w:cs="Arial"/>
                <w:b/>
                <w:bCs/>
                <w:color w:val="000000"/>
                <w:sz w:val="20"/>
                <w:lang w:eastAsia="it-CH"/>
              </w:rPr>
            </w:pPr>
          </w:p>
        </w:tc>
        <w:tc>
          <w:tcPr>
            <w:tcW w:w="4820" w:type="dxa"/>
          </w:tcPr>
          <w:p w:rsidR="00292ABD" w:rsidRPr="00292ABD" w:rsidRDefault="00292ABD" w:rsidP="00292ABD">
            <w:pPr>
              <w:suppressAutoHyphens/>
              <w:rPr>
                <w:rFonts w:cs="Arial"/>
                <w:b/>
                <w:sz w:val="20"/>
              </w:rPr>
            </w:pPr>
            <w:r w:rsidRPr="00292ABD">
              <w:rPr>
                <w:rFonts w:cs="Arial"/>
                <w:b/>
                <w:sz w:val="20"/>
              </w:rPr>
              <w:t>Procedura</w:t>
            </w:r>
          </w:p>
          <w:p w:rsidR="00292ABD" w:rsidRPr="00292ABD" w:rsidRDefault="00292ABD" w:rsidP="00292ABD">
            <w:pPr>
              <w:suppressAutoHyphens/>
              <w:rPr>
                <w:rFonts w:cs="Arial"/>
                <w:sz w:val="20"/>
              </w:rPr>
            </w:pPr>
            <w:r w:rsidRPr="00292ABD">
              <w:rPr>
                <w:rFonts w:cs="Arial"/>
                <w:b/>
                <w:sz w:val="20"/>
              </w:rPr>
              <w:t>Art. 7ter</w:t>
            </w:r>
          </w:p>
          <w:p w:rsidR="00292ABD" w:rsidRPr="00292ABD" w:rsidRDefault="00292ABD" w:rsidP="00292ABD">
            <w:pPr>
              <w:suppressAutoHyphens/>
              <w:ind w:right="34"/>
              <w:rPr>
                <w:rFonts w:cs="Arial"/>
                <w:sz w:val="20"/>
              </w:rPr>
            </w:pPr>
            <w:r w:rsidRPr="00292ABD">
              <w:rPr>
                <w:rFonts w:cs="Arial"/>
                <w:sz w:val="20"/>
                <w:vertAlign w:val="superscript"/>
              </w:rPr>
              <w:t>1</w:t>
            </w:r>
            <w:r w:rsidRPr="00292ABD">
              <w:rPr>
                <w:rFonts w:cs="Arial"/>
                <w:sz w:val="20"/>
              </w:rPr>
              <w:t xml:space="preserve">L’impresa che intende beneficiare degli aiuti per casi di rigore deve: </w:t>
            </w:r>
          </w:p>
          <w:p w:rsidR="00292ABD" w:rsidRPr="00292ABD" w:rsidRDefault="00292ABD" w:rsidP="00292ABD">
            <w:pPr>
              <w:numPr>
                <w:ilvl w:val="0"/>
                <w:numId w:val="21"/>
              </w:numPr>
              <w:suppressAutoHyphens/>
              <w:spacing w:line="250" w:lineRule="auto"/>
              <w:ind w:left="426" w:right="34"/>
              <w:contextualSpacing/>
              <w:rPr>
                <w:rFonts w:cs="Arial"/>
                <w:sz w:val="20"/>
              </w:rPr>
            </w:pPr>
            <w:r w:rsidRPr="00292ABD">
              <w:rPr>
                <w:rFonts w:cs="Arial"/>
                <w:sz w:val="20"/>
              </w:rPr>
              <w:t>attestare, mediante una decisione positiva, il rispetto dei criteri fissati dalle norme federali e cantonali per il programma basato sull’OPCR 20. L’impresa che non dispone di una decisione positiva, può essere ammessa alla valutazione del programma basato sull’OPCR 22 se dimostra il rispetto dei requisiti federali e cantonali del programma basato sull’OPCR 20, facendo ricorso ad un’impresa di revisione con abilitazione dell’ASR se così previsto, ottenendo un’attestazione di rispetto dei requisiti d’accesso da parte del servizio competente;</w:t>
            </w:r>
          </w:p>
          <w:p w:rsidR="00292ABD" w:rsidRPr="00292ABD" w:rsidRDefault="00292ABD" w:rsidP="00292ABD">
            <w:pPr>
              <w:numPr>
                <w:ilvl w:val="0"/>
                <w:numId w:val="21"/>
              </w:numPr>
              <w:suppressAutoHyphens/>
              <w:spacing w:line="250" w:lineRule="auto"/>
              <w:ind w:left="426" w:right="34"/>
              <w:contextualSpacing/>
              <w:rPr>
                <w:rFonts w:cs="Arial"/>
                <w:b/>
                <w:sz w:val="20"/>
              </w:rPr>
            </w:pPr>
            <w:r w:rsidRPr="00292ABD">
              <w:rPr>
                <w:rFonts w:cs="Arial"/>
                <w:sz w:val="20"/>
              </w:rPr>
              <w:t>attestare, mediante autocertificazione, il rispetto dei criteri fissati dalle norme federali e cantonali per il programma basato sull’OPCR 22;</w:t>
            </w:r>
          </w:p>
          <w:p w:rsidR="00292ABD" w:rsidRPr="00292ABD" w:rsidRDefault="00292ABD" w:rsidP="00292ABD">
            <w:pPr>
              <w:numPr>
                <w:ilvl w:val="0"/>
                <w:numId w:val="21"/>
              </w:numPr>
              <w:suppressAutoHyphens/>
              <w:spacing w:line="250" w:lineRule="auto"/>
              <w:ind w:left="426" w:right="34"/>
              <w:contextualSpacing/>
              <w:rPr>
                <w:rFonts w:cs="Arial"/>
                <w:sz w:val="20"/>
              </w:rPr>
            </w:pPr>
            <w:r w:rsidRPr="00292ABD">
              <w:rPr>
                <w:rFonts w:cs="Arial"/>
                <w:sz w:val="20"/>
              </w:rPr>
              <w:t>attestare, per il tramite di un rapporto allestito da un’impresa di revisione con abilitazione dell’ASR, la cifra d’affari, i costi con incidenza sulla liquidità e l’ammontare dei costi non coperti concernenti il periodo</w:t>
            </w:r>
            <w:r w:rsidRPr="00292ABD" w:rsidDel="00F27C42">
              <w:rPr>
                <w:rFonts w:cs="Arial"/>
                <w:sz w:val="20"/>
              </w:rPr>
              <w:t xml:space="preserve"> </w:t>
            </w:r>
            <w:r w:rsidRPr="00292ABD">
              <w:rPr>
                <w:rFonts w:cs="Arial"/>
                <w:sz w:val="20"/>
              </w:rPr>
              <w:t>per il quale si chiede un contributo;</w:t>
            </w:r>
          </w:p>
          <w:p w:rsidR="00292ABD" w:rsidRPr="00292ABD" w:rsidRDefault="00292ABD" w:rsidP="00292ABD">
            <w:pPr>
              <w:suppressAutoHyphens/>
              <w:rPr>
                <w:rFonts w:cs="Arial"/>
                <w:sz w:val="20"/>
              </w:rPr>
            </w:pPr>
            <w:r w:rsidRPr="00292ABD">
              <w:rPr>
                <w:rFonts w:cs="Arial"/>
                <w:sz w:val="20"/>
                <w:vertAlign w:val="superscript"/>
              </w:rPr>
              <w:t>2</w:t>
            </w:r>
            <w:r w:rsidRPr="00292ABD">
              <w:rPr>
                <w:rFonts w:cs="Arial"/>
                <w:sz w:val="20"/>
              </w:rPr>
              <w:t>I baracconisti devono anche esibire l’autorizzazione cantonale valida secondo l’articolo 2 lett. c legge federale del 23 marzo 2001 sul commercio ambulante.</w:t>
            </w:r>
          </w:p>
          <w:p w:rsidR="00292ABD" w:rsidRPr="00292ABD" w:rsidRDefault="00292ABD" w:rsidP="00292ABD">
            <w:pPr>
              <w:suppressAutoHyphens/>
              <w:rPr>
                <w:rFonts w:cs="Arial"/>
                <w:sz w:val="20"/>
              </w:rPr>
            </w:pPr>
            <w:r w:rsidRPr="00292ABD">
              <w:rPr>
                <w:rFonts w:cs="Arial"/>
                <w:sz w:val="20"/>
                <w:vertAlign w:val="superscript"/>
              </w:rPr>
              <w:t>3</w:t>
            </w:r>
            <w:r w:rsidRPr="00292ABD">
              <w:rPr>
                <w:rFonts w:cs="Arial"/>
                <w:sz w:val="20"/>
              </w:rPr>
              <w:t>L’impresa inoltra la richiesta di contributo secondo le modalità definite dall’autorità preposta dal Consiglio di Stato.</w:t>
            </w:r>
          </w:p>
          <w:p w:rsidR="00292ABD" w:rsidRPr="00292ABD" w:rsidRDefault="00292ABD" w:rsidP="00292ABD">
            <w:pPr>
              <w:shd w:val="clear" w:color="auto" w:fill="FFFFFF"/>
              <w:suppressAutoHyphens/>
              <w:ind w:left="41" w:right="28"/>
              <w:rPr>
                <w:rFonts w:eastAsia="Times New Roman" w:cs="Arial"/>
                <w:b/>
                <w:bCs/>
                <w:color w:val="000000"/>
                <w:sz w:val="20"/>
                <w:lang w:eastAsia="it-CH"/>
              </w:rPr>
            </w:pPr>
            <w:r w:rsidRPr="00292ABD">
              <w:rPr>
                <w:rFonts w:cs="Arial"/>
                <w:sz w:val="20"/>
                <w:vertAlign w:val="superscript"/>
              </w:rPr>
              <w:t>4</w:t>
            </w:r>
            <w:r w:rsidRPr="00292ABD">
              <w:rPr>
                <w:rFonts w:cs="Arial"/>
                <w:sz w:val="20"/>
              </w:rPr>
              <w:t>L’impresa al beneficio di contributi può chiedere un rimborso per le spese sostenute per le prestazioni dell’impresa di revisione con abilitazione dell’ASR fino a un massimo di 2’500 franchi (IVA inclusa).</w:t>
            </w:r>
          </w:p>
        </w:tc>
      </w:tr>
      <w:tr w:rsidR="00292ABD" w:rsidRPr="00292ABD" w:rsidTr="000C55A3">
        <w:tc>
          <w:tcPr>
            <w:tcW w:w="4819" w:type="dxa"/>
          </w:tcPr>
          <w:p w:rsidR="00292ABD" w:rsidRPr="00292ABD" w:rsidRDefault="00292ABD" w:rsidP="00292ABD">
            <w:pPr>
              <w:shd w:val="clear" w:color="auto" w:fill="FFFFFF"/>
              <w:suppressAutoHyphens/>
              <w:ind w:left="37" w:right="33"/>
              <w:rPr>
                <w:rFonts w:eastAsia="Times New Roman" w:cs="Arial"/>
                <w:b/>
                <w:bCs/>
                <w:color w:val="000000"/>
                <w:sz w:val="20"/>
                <w:lang w:eastAsia="it-CH"/>
              </w:rPr>
            </w:pPr>
          </w:p>
        </w:tc>
        <w:tc>
          <w:tcPr>
            <w:tcW w:w="4820" w:type="dxa"/>
          </w:tcPr>
          <w:p w:rsidR="00292ABD" w:rsidRPr="00292ABD" w:rsidRDefault="00292ABD" w:rsidP="00292ABD">
            <w:pPr>
              <w:suppressAutoHyphens/>
              <w:ind w:right="34"/>
              <w:jc w:val="center"/>
              <w:rPr>
                <w:rFonts w:cs="Arial"/>
                <w:sz w:val="20"/>
              </w:rPr>
            </w:pPr>
            <w:r w:rsidRPr="00292ABD">
              <w:rPr>
                <w:rFonts w:cs="Arial"/>
                <w:sz w:val="20"/>
              </w:rPr>
              <w:t>Capitolo quarto</w:t>
            </w:r>
          </w:p>
          <w:p w:rsidR="00292ABD" w:rsidRPr="00292ABD" w:rsidRDefault="00292ABD" w:rsidP="00292ABD">
            <w:pPr>
              <w:shd w:val="clear" w:color="auto" w:fill="FFFFFF"/>
              <w:suppressAutoHyphens/>
              <w:ind w:left="41" w:right="28"/>
              <w:rPr>
                <w:rFonts w:eastAsia="Times New Roman" w:cs="Arial"/>
                <w:b/>
                <w:bCs/>
                <w:color w:val="000000"/>
                <w:sz w:val="20"/>
                <w:lang w:eastAsia="it-CH"/>
              </w:rPr>
            </w:pPr>
            <w:r w:rsidRPr="00292ABD">
              <w:rPr>
                <w:rFonts w:cs="Arial"/>
                <w:b/>
                <w:sz w:val="20"/>
              </w:rPr>
              <w:t>Finanziamento, monitoraggio e lotta gli abusi</w:t>
            </w:r>
          </w:p>
        </w:tc>
      </w:tr>
      <w:tr w:rsidR="00292ABD" w:rsidRPr="00292ABD" w:rsidTr="000C55A3">
        <w:tc>
          <w:tcPr>
            <w:tcW w:w="4819" w:type="dxa"/>
          </w:tcPr>
          <w:p w:rsidR="00292ABD" w:rsidRPr="00292ABD" w:rsidRDefault="00292ABD" w:rsidP="00292ABD">
            <w:pPr>
              <w:shd w:val="clear" w:color="auto" w:fill="FFFFFF"/>
              <w:suppressAutoHyphens/>
              <w:ind w:left="37" w:right="33"/>
              <w:rPr>
                <w:rFonts w:cs="Arial"/>
                <w:b/>
                <w:bCs/>
                <w:color w:val="000000"/>
                <w:sz w:val="20"/>
                <w:shd w:val="clear" w:color="auto" w:fill="FFFFFF"/>
              </w:rPr>
            </w:pPr>
            <w:r w:rsidRPr="00292ABD">
              <w:rPr>
                <w:rFonts w:cs="Arial"/>
                <w:b/>
                <w:bCs/>
                <w:color w:val="000000"/>
                <w:sz w:val="20"/>
                <w:shd w:val="clear" w:color="auto" w:fill="FFFFFF"/>
              </w:rPr>
              <w:t>Finanziamento</w:t>
            </w:r>
          </w:p>
          <w:p w:rsidR="00292ABD" w:rsidRPr="00292ABD" w:rsidRDefault="00292ABD" w:rsidP="00292ABD">
            <w:pPr>
              <w:shd w:val="clear" w:color="auto" w:fill="FFFFFF"/>
              <w:suppressAutoHyphens/>
              <w:ind w:left="37" w:right="33"/>
              <w:rPr>
                <w:rFonts w:eastAsia="Times New Roman" w:cs="Arial"/>
                <w:b/>
                <w:bCs/>
                <w:color w:val="000000"/>
                <w:sz w:val="20"/>
                <w:lang w:eastAsia="it-CH"/>
              </w:rPr>
            </w:pPr>
            <w:r w:rsidRPr="00292ABD">
              <w:rPr>
                <w:rFonts w:cs="Arial"/>
                <w:b/>
                <w:sz w:val="20"/>
              </w:rPr>
              <w:t>Art. 8</w:t>
            </w:r>
          </w:p>
        </w:tc>
        <w:tc>
          <w:tcPr>
            <w:tcW w:w="4820" w:type="dxa"/>
          </w:tcPr>
          <w:p w:rsidR="00292ABD" w:rsidRPr="00292ABD" w:rsidRDefault="00292ABD" w:rsidP="00292ABD">
            <w:pPr>
              <w:suppressAutoHyphens/>
              <w:rPr>
                <w:rFonts w:cs="Arial"/>
                <w:sz w:val="20"/>
              </w:rPr>
            </w:pPr>
            <w:r w:rsidRPr="00292ABD">
              <w:rPr>
                <w:rFonts w:cs="Arial"/>
                <w:b/>
                <w:sz w:val="20"/>
              </w:rPr>
              <w:t>Finanziamento programma 2020</w:t>
            </w:r>
          </w:p>
          <w:p w:rsidR="00292ABD" w:rsidRPr="00292ABD" w:rsidRDefault="00292ABD" w:rsidP="00292ABD">
            <w:pPr>
              <w:shd w:val="clear" w:color="auto" w:fill="FFFFFF"/>
              <w:tabs>
                <w:tab w:val="left" w:pos="1681"/>
              </w:tabs>
              <w:suppressAutoHyphens/>
              <w:ind w:left="41" w:right="28"/>
              <w:rPr>
                <w:rFonts w:eastAsia="Times New Roman" w:cs="Arial"/>
                <w:b/>
                <w:bCs/>
                <w:color w:val="000000"/>
                <w:sz w:val="20"/>
                <w:lang w:eastAsia="it-CH"/>
              </w:rPr>
            </w:pPr>
            <w:r w:rsidRPr="00292ABD">
              <w:rPr>
                <w:rFonts w:cs="Arial"/>
                <w:b/>
                <w:sz w:val="20"/>
              </w:rPr>
              <w:t>Art. 8</w:t>
            </w:r>
          </w:p>
        </w:tc>
      </w:tr>
      <w:tr w:rsidR="00292ABD" w:rsidRPr="00292ABD" w:rsidTr="000C55A3">
        <w:tc>
          <w:tcPr>
            <w:tcW w:w="4819" w:type="dxa"/>
          </w:tcPr>
          <w:p w:rsidR="00292ABD" w:rsidRPr="00292ABD" w:rsidRDefault="00292ABD" w:rsidP="00292ABD">
            <w:pPr>
              <w:shd w:val="clear" w:color="auto" w:fill="FFFFFF"/>
              <w:suppressAutoHyphens/>
              <w:ind w:left="37" w:right="33"/>
              <w:rPr>
                <w:rFonts w:eastAsia="Times New Roman" w:cs="Arial"/>
                <w:b/>
                <w:bCs/>
                <w:color w:val="000000"/>
                <w:sz w:val="20"/>
                <w:lang w:eastAsia="it-CH"/>
              </w:rPr>
            </w:pPr>
          </w:p>
        </w:tc>
        <w:tc>
          <w:tcPr>
            <w:tcW w:w="4820" w:type="dxa"/>
          </w:tcPr>
          <w:p w:rsidR="00292ABD" w:rsidRPr="00292ABD" w:rsidRDefault="00292ABD" w:rsidP="00292ABD">
            <w:pPr>
              <w:suppressAutoHyphens/>
              <w:rPr>
                <w:rFonts w:cs="Arial"/>
                <w:b/>
                <w:sz w:val="20"/>
              </w:rPr>
            </w:pPr>
            <w:r w:rsidRPr="00292ABD">
              <w:rPr>
                <w:rFonts w:cs="Arial"/>
                <w:b/>
                <w:sz w:val="20"/>
              </w:rPr>
              <w:t>Finanziamento programma 2022</w:t>
            </w:r>
          </w:p>
          <w:p w:rsidR="00292ABD" w:rsidRPr="00292ABD" w:rsidRDefault="00292ABD" w:rsidP="00292ABD">
            <w:pPr>
              <w:suppressAutoHyphens/>
              <w:ind w:right="45"/>
              <w:rPr>
                <w:rFonts w:cs="Arial"/>
                <w:sz w:val="20"/>
              </w:rPr>
            </w:pPr>
            <w:r w:rsidRPr="00292ABD">
              <w:rPr>
                <w:rFonts w:cs="Arial"/>
                <w:b/>
                <w:sz w:val="20"/>
              </w:rPr>
              <w:t xml:space="preserve">Art. 8bis </w:t>
            </w:r>
          </w:p>
          <w:p w:rsidR="00292ABD" w:rsidRPr="00292ABD" w:rsidRDefault="00292ABD" w:rsidP="00292ABD">
            <w:pPr>
              <w:suppressAutoHyphens/>
              <w:ind w:right="32"/>
              <w:rPr>
                <w:rFonts w:cs="Arial"/>
                <w:sz w:val="20"/>
              </w:rPr>
            </w:pPr>
            <w:r w:rsidRPr="00292ABD">
              <w:rPr>
                <w:rFonts w:cs="Arial"/>
                <w:sz w:val="20"/>
                <w:vertAlign w:val="superscript"/>
              </w:rPr>
              <w:t>1</w:t>
            </w:r>
            <w:r w:rsidRPr="00292ABD">
              <w:rPr>
                <w:rFonts w:cs="Arial"/>
                <w:sz w:val="20"/>
              </w:rPr>
              <w:t>Il programma è finanziato con gli importi residui relativi al programma basato sull’OPCR 20.</w:t>
            </w:r>
          </w:p>
          <w:p w:rsidR="00292ABD" w:rsidRPr="00292ABD" w:rsidRDefault="00292ABD" w:rsidP="00292ABD">
            <w:pPr>
              <w:suppressAutoHyphens/>
              <w:ind w:right="45"/>
              <w:rPr>
                <w:rFonts w:cs="Arial"/>
                <w:sz w:val="20"/>
              </w:rPr>
            </w:pPr>
            <w:r w:rsidRPr="00292ABD">
              <w:rPr>
                <w:rFonts w:cs="Arial"/>
                <w:sz w:val="20"/>
                <w:vertAlign w:val="superscript"/>
              </w:rPr>
              <w:t>2</w:t>
            </w:r>
            <w:r w:rsidRPr="00292ABD">
              <w:rPr>
                <w:rFonts w:cs="Arial"/>
                <w:sz w:val="20"/>
              </w:rPr>
              <w:t xml:space="preserve">A completamento del finanziamento, è autorizzata l’erogazione di aiuti finanziari stabiliti secondo l’art. 4 fino ad un importo massimo di ulteriori 15 milioni di franchi, di cui 10,5 milioni di franchi coperti dalla Confederazione. È data facoltà al Consiglio di </w:t>
            </w:r>
            <w:r w:rsidRPr="00292ABD">
              <w:rPr>
                <w:rFonts w:cs="Arial"/>
                <w:sz w:val="20"/>
              </w:rPr>
              <w:lastRenderedPageBreak/>
              <w:t>Stato di erogare ulteriori fondi solo nella misura in cui fossero esclusivamente a carico della Confederazione.</w:t>
            </w:r>
          </w:p>
          <w:p w:rsidR="00292ABD" w:rsidRPr="00292ABD" w:rsidRDefault="00292ABD" w:rsidP="00292ABD">
            <w:pPr>
              <w:suppressAutoHyphens/>
              <w:ind w:right="45"/>
              <w:rPr>
                <w:rFonts w:cs="Arial"/>
                <w:sz w:val="20"/>
              </w:rPr>
            </w:pPr>
            <w:r w:rsidRPr="00292ABD">
              <w:rPr>
                <w:rFonts w:cs="Arial"/>
                <w:sz w:val="20"/>
                <w:vertAlign w:val="superscript"/>
              </w:rPr>
              <w:t>3</w:t>
            </w:r>
            <w:r w:rsidRPr="00292ABD">
              <w:rPr>
                <w:rFonts w:cs="Arial"/>
                <w:sz w:val="20"/>
              </w:rPr>
              <w:t>Per i rimborsi dei costi delle imprese di revisione con abilitazione dell’ASR sono stanziati ulteriori 800'000 franchi.</w:t>
            </w:r>
          </w:p>
          <w:p w:rsidR="00292ABD" w:rsidRPr="00292ABD" w:rsidRDefault="00292ABD" w:rsidP="00292ABD">
            <w:pPr>
              <w:suppressAutoHyphens/>
              <w:ind w:right="45"/>
              <w:rPr>
                <w:rFonts w:cs="Arial"/>
                <w:sz w:val="20"/>
              </w:rPr>
            </w:pPr>
            <w:r w:rsidRPr="00292ABD">
              <w:rPr>
                <w:rFonts w:cs="Arial"/>
                <w:sz w:val="20"/>
                <w:vertAlign w:val="superscript"/>
              </w:rPr>
              <w:t>4</w:t>
            </w:r>
            <w:r w:rsidRPr="00292ABD">
              <w:rPr>
                <w:rFonts w:cs="Arial"/>
                <w:sz w:val="20"/>
              </w:rPr>
              <w:t>Per i costi interni di gestione delle misure dei casi di rigore sono stanziati ulteriori 400'000 franchi.</w:t>
            </w:r>
          </w:p>
          <w:p w:rsidR="00292ABD" w:rsidRPr="00292ABD" w:rsidRDefault="00292ABD" w:rsidP="00292ABD">
            <w:pPr>
              <w:shd w:val="clear" w:color="auto" w:fill="FFFFFF"/>
              <w:suppressAutoHyphens/>
              <w:ind w:left="41" w:right="28"/>
              <w:rPr>
                <w:rFonts w:eastAsia="Times New Roman" w:cs="Arial"/>
                <w:b/>
                <w:bCs/>
                <w:color w:val="000000"/>
                <w:sz w:val="20"/>
                <w:lang w:eastAsia="it-CH"/>
              </w:rPr>
            </w:pPr>
            <w:r w:rsidRPr="00292ABD">
              <w:rPr>
                <w:rFonts w:cs="Arial"/>
                <w:sz w:val="20"/>
                <w:vertAlign w:val="superscript"/>
              </w:rPr>
              <w:t>5</w:t>
            </w:r>
            <w:r w:rsidRPr="00292ABD">
              <w:rPr>
                <w:rFonts w:cs="Arial"/>
                <w:sz w:val="20"/>
              </w:rPr>
              <w:t>Le spese e i rimborsi di cui sopra sono registrati sul conto di gestione corrente del Dipartimento delle finanze e dell’economia.</w:t>
            </w:r>
          </w:p>
        </w:tc>
      </w:tr>
    </w:tbl>
    <w:p w:rsidR="00292ABD" w:rsidRDefault="00292ABD" w:rsidP="00292ABD">
      <w:pPr>
        <w:rPr>
          <w:rFonts w:asciiTheme="minorHAnsi" w:eastAsiaTheme="minorEastAsia" w:hAnsiTheme="minorHAnsi" w:cs="Arial"/>
          <w:sz w:val="24"/>
          <w:szCs w:val="24"/>
        </w:rPr>
      </w:pPr>
    </w:p>
    <w:p w:rsidR="00B144F5" w:rsidRPr="00292ABD" w:rsidRDefault="00B144F5" w:rsidP="00292ABD">
      <w:pPr>
        <w:rPr>
          <w:rFonts w:asciiTheme="minorHAnsi" w:eastAsiaTheme="minorEastAsia" w:hAnsiTheme="minorHAnsi" w:cs="Arial"/>
          <w:sz w:val="24"/>
          <w:szCs w:val="24"/>
        </w:rPr>
      </w:pPr>
    </w:p>
    <w:p w:rsidR="00292ABD" w:rsidRPr="00292ABD" w:rsidRDefault="00E60DC2" w:rsidP="00B144F5">
      <w:pPr>
        <w:pStyle w:val="Titolo1"/>
        <w:tabs>
          <w:tab w:val="left" w:pos="567"/>
        </w:tabs>
        <w:spacing w:before="0"/>
        <w:ind w:left="567" w:hanging="567"/>
        <w:jc w:val="both"/>
        <w:rPr>
          <w:rFonts w:eastAsia="Calibri" w:cs="Times New Roman"/>
          <w:caps/>
          <w:sz w:val="24"/>
          <w:szCs w:val="24"/>
          <w:lang w:val="it-IT" w:eastAsia="it-IT"/>
        </w:rPr>
      </w:pPr>
      <w:bookmarkStart w:id="3" w:name="_Toc96122220"/>
      <w:r w:rsidRPr="00B144F5">
        <w:rPr>
          <w:rFonts w:eastAsia="Calibri" w:cs="Times New Roman"/>
          <w:caps/>
          <w:sz w:val="24"/>
          <w:szCs w:val="24"/>
          <w:lang w:val="it-IT" w:eastAsia="it-IT"/>
        </w:rPr>
        <w:t>5.</w:t>
      </w:r>
      <w:r w:rsidRPr="00B144F5">
        <w:rPr>
          <w:rFonts w:eastAsia="Calibri" w:cs="Times New Roman"/>
          <w:caps/>
          <w:sz w:val="24"/>
          <w:szCs w:val="24"/>
          <w:lang w:val="it-IT" w:eastAsia="it-IT"/>
        </w:rPr>
        <w:tab/>
      </w:r>
      <w:r w:rsidR="00292ABD" w:rsidRPr="00292ABD">
        <w:rPr>
          <w:rFonts w:eastAsia="Calibri" w:cs="Times New Roman"/>
          <w:caps/>
          <w:sz w:val="24"/>
          <w:szCs w:val="24"/>
          <w:lang w:val="it-IT" w:eastAsia="it-IT"/>
        </w:rPr>
        <w:t>SCHEMATICAMENTE</w:t>
      </w:r>
      <w:bookmarkEnd w:id="3"/>
    </w:p>
    <w:p w:rsidR="00292ABD" w:rsidRPr="00292ABD" w:rsidRDefault="00292ABD" w:rsidP="00292ABD">
      <w:pPr>
        <w:ind w:right="980"/>
        <w:rPr>
          <w:rFonts w:asciiTheme="minorHAnsi" w:eastAsiaTheme="minorEastAsia" w:hAnsiTheme="minorHAnsi"/>
          <w:sz w:val="24"/>
        </w:rPr>
      </w:pPr>
      <w:r w:rsidRPr="00292ABD">
        <w:rPr>
          <w:rFonts w:asciiTheme="minorHAnsi" w:eastAsiaTheme="minorEastAsia" w:hAnsiTheme="minorHAnsi"/>
          <w:noProof/>
          <w:sz w:val="24"/>
          <w:lang w:eastAsia="it-CH"/>
        </w:rPr>
        <w:drawing>
          <wp:inline distT="0" distB="0" distL="0" distR="0" wp14:anchorId="304D661A" wp14:editId="2452D142">
            <wp:extent cx="5398170" cy="2443163"/>
            <wp:effectExtent l="0" t="0" r="0"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5439056" cy="2461667"/>
                    </a:xfrm>
                    <a:prstGeom prst="rect">
                      <a:avLst/>
                    </a:prstGeom>
                  </pic:spPr>
                </pic:pic>
              </a:graphicData>
            </a:graphic>
          </wp:inline>
        </w:drawing>
      </w: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noProof/>
          <w:sz w:val="24"/>
          <w:lang w:eastAsia="it-CH"/>
        </w:rPr>
        <w:drawing>
          <wp:inline distT="0" distB="0" distL="0" distR="0" wp14:anchorId="18329457" wp14:editId="67718C65">
            <wp:extent cx="5372100" cy="2681288"/>
            <wp:effectExtent l="0" t="0" r="0" b="5080"/>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0" y="0"/>
                      <a:ext cx="5377939" cy="2684202"/>
                    </a:xfrm>
                    <a:prstGeom prst="rect">
                      <a:avLst/>
                    </a:prstGeom>
                  </pic:spPr>
                </pic:pic>
              </a:graphicData>
            </a:graphic>
          </wp:inline>
        </w:drawing>
      </w: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noProof/>
          <w:sz w:val="24"/>
          <w:lang w:eastAsia="it-CH"/>
        </w:rPr>
        <w:lastRenderedPageBreak/>
        <w:drawing>
          <wp:inline distT="0" distB="0" distL="0" distR="0" wp14:anchorId="0A23E0C7" wp14:editId="1D72DCDB">
            <wp:extent cx="5419725" cy="2505075"/>
            <wp:effectExtent l="0" t="0" r="9525" b="9525"/>
            <wp:docPr id="3"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a:xfrm>
                      <a:off x="0" y="0"/>
                      <a:ext cx="5425939" cy="2507947"/>
                    </a:xfrm>
                    <a:prstGeom prst="rect">
                      <a:avLst/>
                    </a:prstGeom>
                  </pic:spPr>
                </pic:pic>
              </a:graphicData>
            </a:graphic>
          </wp:inline>
        </w:drawing>
      </w:r>
    </w:p>
    <w:p w:rsidR="00292ABD" w:rsidRPr="00292ABD" w:rsidRDefault="00292ABD"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noProof/>
          <w:sz w:val="24"/>
          <w:lang w:eastAsia="it-CH"/>
        </w:rPr>
        <w:drawing>
          <wp:inline distT="0" distB="0" distL="0" distR="0" wp14:anchorId="5A8F77A0" wp14:editId="4CED2C8F">
            <wp:extent cx="5386070" cy="2757487"/>
            <wp:effectExtent l="0" t="0" r="5080" b="5080"/>
            <wp:docPr id="12" name="Elemento gra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a:xfrm>
                      <a:off x="0" y="0"/>
                      <a:ext cx="5391030" cy="2760026"/>
                    </a:xfrm>
                    <a:prstGeom prst="rect">
                      <a:avLst/>
                    </a:prstGeom>
                  </pic:spPr>
                </pic:pic>
              </a:graphicData>
            </a:graphic>
          </wp:inline>
        </w:drawing>
      </w:r>
    </w:p>
    <w:p w:rsidR="00292ABD" w:rsidRPr="00292ABD" w:rsidRDefault="00292ABD"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noProof/>
          <w:sz w:val="24"/>
          <w:lang w:eastAsia="it-CH"/>
        </w:rPr>
        <w:drawing>
          <wp:inline distT="0" distB="0" distL="0" distR="0" wp14:anchorId="41D35852" wp14:editId="63F00A9E">
            <wp:extent cx="5429250" cy="2776220"/>
            <wp:effectExtent l="0" t="0" r="0" b="5080"/>
            <wp:docPr id="13" name="Elemento gra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5433504" cy="2778395"/>
                    </a:xfrm>
                    <a:prstGeom prst="rect">
                      <a:avLst/>
                    </a:prstGeom>
                  </pic:spPr>
                </pic:pic>
              </a:graphicData>
            </a:graphic>
          </wp:inline>
        </w:drawing>
      </w: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noProof/>
          <w:sz w:val="24"/>
          <w:lang w:eastAsia="it-CH"/>
        </w:rPr>
        <w:lastRenderedPageBreak/>
        <w:drawing>
          <wp:inline distT="0" distB="0" distL="0" distR="0" wp14:anchorId="0AD43E85" wp14:editId="0B6F361B">
            <wp:extent cx="5372100" cy="2543175"/>
            <wp:effectExtent l="0" t="0" r="0" b="9525"/>
            <wp:docPr id="15" name="Elemento gra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a:xfrm>
                      <a:off x="0" y="0"/>
                      <a:ext cx="5377793" cy="2545870"/>
                    </a:xfrm>
                    <a:prstGeom prst="rect">
                      <a:avLst/>
                    </a:prstGeom>
                  </pic:spPr>
                </pic:pic>
              </a:graphicData>
            </a:graphic>
          </wp:inline>
        </w:drawing>
      </w:r>
    </w:p>
    <w:p w:rsidR="00292ABD" w:rsidRPr="00292ABD" w:rsidRDefault="00292ABD"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noProof/>
          <w:sz w:val="24"/>
          <w:lang w:eastAsia="it-CH"/>
        </w:rPr>
        <w:drawing>
          <wp:inline distT="0" distB="0" distL="0" distR="0" wp14:anchorId="447B6FB7" wp14:editId="4E79AB60">
            <wp:extent cx="5319395" cy="2609850"/>
            <wp:effectExtent l="0" t="0" r="0" b="0"/>
            <wp:docPr id="16" name="Elemento gra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a:xfrm>
                      <a:off x="0" y="0"/>
                      <a:ext cx="5325585" cy="2612887"/>
                    </a:xfrm>
                    <a:prstGeom prst="rect">
                      <a:avLst/>
                    </a:prstGeom>
                  </pic:spPr>
                </pic:pic>
              </a:graphicData>
            </a:graphic>
          </wp:inline>
        </w:drawing>
      </w:r>
    </w:p>
    <w:p w:rsidR="00292ABD" w:rsidRPr="00292ABD" w:rsidRDefault="00292ABD" w:rsidP="00292ABD">
      <w:pPr>
        <w:rPr>
          <w:rFonts w:asciiTheme="minorHAnsi" w:eastAsiaTheme="minorEastAsia" w:hAnsiTheme="minorHAnsi"/>
          <w:sz w:val="24"/>
        </w:rPr>
      </w:pPr>
    </w:p>
    <w:p w:rsidR="00292ABD" w:rsidRPr="00292ABD" w:rsidRDefault="00292ABD" w:rsidP="00292ABD">
      <w:pPr>
        <w:rPr>
          <w:rFonts w:asciiTheme="minorHAnsi" w:eastAsiaTheme="minorEastAsia" w:hAnsiTheme="minorHAnsi"/>
          <w:sz w:val="24"/>
        </w:rPr>
      </w:pPr>
      <w:bookmarkStart w:id="4" w:name="_Hlk96121827"/>
      <w:r w:rsidRPr="00292ABD">
        <w:rPr>
          <w:rFonts w:asciiTheme="minorHAnsi" w:eastAsiaTheme="minorEastAsia" w:hAnsiTheme="minorHAnsi"/>
          <w:noProof/>
          <w:sz w:val="24"/>
          <w:lang w:eastAsia="it-CH"/>
        </w:rPr>
        <w:drawing>
          <wp:inline distT="0" distB="0" distL="0" distR="0" wp14:anchorId="2CB0714B" wp14:editId="07F727E9">
            <wp:extent cx="5367020" cy="2343150"/>
            <wp:effectExtent l="0" t="0" r="5080" b="0"/>
            <wp:docPr id="17" name="Elemento gra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0" y="0"/>
                      <a:ext cx="5376878" cy="2347454"/>
                    </a:xfrm>
                    <a:prstGeom prst="rect">
                      <a:avLst/>
                    </a:prstGeom>
                  </pic:spPr>
                </pic:pic>
              </a:graphicData>
            </a:graphic>
          </wp:inline>
        </w:drawing>
      </w:r>
    </w:p>
    <w:bookmarkEnd w:id="4"/>
    <w:p w:rsidR="00292ABD" w:rsidRPr="00292ABD" w:rsidRDefault="00292ABD" w:rsidP="00292ABD">
      <w:pPr>
        <w:rPr>
          <w:rFonts w:asciiTheme="minorHAnsi" w:eastAsiaTheme="minorEastAsia" w:hAnsiTheme="minorHAnsi"/>
          <w:sz w:val="24"/>
        </w:rPr>
      </w:pPr>
      <w:r w:rsidRPr="00292ABD">
        <w:rPr>
          <w:rFonts w:asciiTheme="minorHAnsi" w:eastAsiaTheme="minorEastAsia" w:hAnsiTheme="minorHAnsi"/>
          <w:noProof/>
          <w:sz w:val="24"/>
          <w:lang w:eastAsia="it-CH"/>
        </w:rPr>
        <w:lastRenderedPageBreak/>
        <w:drawing>
          <wp:inline distT="0" distB="0" distL="0" distR="0" wp14:anchorId="2FC2CB12" wp14:editId="5EF53892">
            <wp:extent cx="5434013" cy="2647950"/>
            <wp:effectExtent l="0" t="0" r="0" b="0"/>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a:xfrm>
                      <a:off x="0" y="0"/>
                      <a:ext cx="5439115" cy="2650436"/>
                    </a:xfrm>
                    <a:prstGeom prst="rect">
                      <a:avLst/>
                    </a:prstGeom>
                  </pic:spPr>
                </pic:pic>
              </a:graphicData>
            </a:graphic>
          </wp:inline>
        </w:drawing>
      </w:r>
    </w:p>
    <w:p w:rsidR="00292ABD" w:rsidRDefault="00292ABD" w:rsidP="00292ABD">
      <w:pPr>
        <w:rPr>
          <w:rFonts w:asciiTheme="minorHAnsi" w:eastAsiaTheme="minorEastAsia" w:hAnsiTheme="minorHAnsi"/>
          <w:sz w:val="24"/>
        </w:rPr>
      </w:pPr>
    </w:p>
    <w:p w:rsidR="002C54EF" w:rsidRPr="00292ABD" w:rsidRDefault="002C54EF" w:rsidP="00292ABD">
      <w:pPr>
        <w:rPr>
          <w:rFonts w:asciiTheme="minorHAnsi" w:eastAsiaTheme="minorEastAsia" w:hAnsiTheme="minorHAnsi"/>
          <w:sz w:val="24"/>
        </w:rPr>
      </w:pPr>
    </w:p>
    <w:p w:rsidR="00292ABD" w:rsidRPr="00292ABD" w:rsidRDefault="00E60DC2" w:rsidP="00B144F5">
      <w:pPr>
        <w:pStyle w:val="Titolo1"/>
        <w:tabs>
          <w:tab w:val="left" w:pos="567"/>
        </w:tabs>
        <w:spacing w:before="0"/>
        <w:ind w:left="567" w:hanging="567"/>
        <w:jc w:val="both"/>
        <w:rPr>
          <w:rFonts w:eastAsia="Calibri" w:cs="Times New Roman"/>
          <w:caps/>
          <w:sz w:val="24"/>
          <w:szCs w:val="24"/>
          <w:lang w:val="it-IT" w:eastAsia="it-IT"/>
        </w:rPr>
      </w:pPr>
      <w:bookmarkStart w:id="5" w:name="_Toc96122221"/>
      <w:r w:rsidRPr="00B144F5">
        <w:rPr>
          <w:rFonts w:eastAsia="Calibri" w:cs="Times New Roman"/>
          <w:caps/>
          <w:sz w:val="24"/>
          <w:szCs w:val="24"/>
          <w:lang w:val="it-IT" w:eastAsia="it-IT"/>
        </w:rPr>
        <w:t>6.</w:t>
      </w:r>
      <w:r w:rsidR="00292ABD" w:rsidRPr="00292ABD">
        <w:rPr>
          <w:rFonts w:eastAsia="Calibri" w:cs="Times New Roman"/>
          <w:caps/>
          <w:sz w:val="24"/>
          <w:szCs w:val="24"/>
          <w:lang w:val="it-IT" w:eastAsia="it-IT"/>
        </w:rPr>
        <w:tab/>
        <w:t>RELAZIONE CON IL PIANO FINANZIARIO</w:t>
      </w:r>
      <w:bookmarkEnd w:id="5"/>
      <w:r w:rsidR="00292ABD" w:rsidRPr="00292ABD">
        <w:rPr>
          <w:rFonts w:eastAsia="Calibri" w:cs="Times New Roman"/>
          <w:caps/>
          <w:sz w:val="24"/>
          <w:szCs w:val="24"/>
          <w:lang w:val="it-IT" w:eastAsia="it-IT"/>
        </w:rPr>
        <w:t xml:space="preserve"> – AGGIORNAMENTO PREVENTIVO 2022</w:t>
      </w:r>
    </w:p>
    <w:p w:rsidR="00292ABD" w:rsidRPr="00292ABD" w:rsidRDefault="00292ABD" w:rsidP="00292ABD">
      <w:pPr>
        <w:rPr>
          <w:rFonts w:asciiTheme="minorHAnsi" w:eastAsiaTheme="minorEastAsia" w:hAnsiTheme="minorHAnsi" w:cs="Arial"/>
          <w:sz w:val="24"/>
          <w:szCs w:val="24"/>
        </w:rPr>
      </w:pPr>
      <w:r w:rsidRPr="00292ABD">
        <w:rPr>
          <w:rFonts w:asciiTheme="minorHAnsi" w:eastAsiaTheme="minorEastAsia" w:hAnsiTheme="minorHAnsi" w:cs="Arial"/>
          <w:sz w:val="24"/>
          <w:szCs w:val="24"/>
          <w:u w:val="single"/>
        </w:rPr>
        <w:t>Gestione corrente:</w:t>
      </w:r>
      <w:r w:rsidRPr="00292ABD">
        <w:rPr>
          <w:rFonts w:asciiTheme="minorHAnsi" w:eastAsiaTheme="minorEastAsia" w:hAnsiTheme="minorHAnsi" w:cs="Arial"/>
          <w:sz w:val="24"/>
          <w:szCs w:val="24"/>
        </w:rPr>
        <w:t xml:space="preserve"> visto il prolungo del programma per i casi di rigore, nel 2022 il Consiglio di Stato ha autorizzato il riporto dei saldi residui al 31.12.2021 dei fondi stanziati dal Gran Consiglio nel 2021 (colonna A) al fine di poter gestire le ultime decisioni inerenti il programma 2021 e le decisioni attualmente oggetto di ricorso. </w:t>
      </w:r>
    </w:p>
    <w:p w:rsidR="00292ABD" w:rsidRPr="00292ABD" w:rsidRDefault="00292ABD" w:rsidP="00292ABD">
      <w:pPr>
        <w:rPr>
          <w:rFonts w:asciiTheme="minorHAnsi" w:eastAsiaTheme="minorEastAsia" w:hAnsiTheme="minorHAnsi" w:cs="Arial"/>
          <w:sz w:val="24"/>
          <w:szCs w:val="24"/>
        </w:rPr>
      </w:pPr>
    </w:p>
    <w:p w:rsidR="00292ABD" w:rsidRPr="00292ABD" w:rsidRDefault="00292ABD" w:rsidP="00292ABD">
      <w:pPr>
        <w:rPr>
          <w:rFonts w:asciiTheme="minorHAnsi" w:eastAsiaTheme="minorEastAsia" w:hAnsiTheme="minorHAnsi" w:cs="Arial"/>
          <w:sz w:val="24"/>
          <w:szCs w:val="24"/>
        </w:rPr>
      </w:pPr>
      <w:r w:rsidRPr="00292ABD">
        <w:rPr>
          <w:rFonts w:asciiTheme="minorHAnsi" w:eastAsiaTheme="minorEastAsia" w:hAnsiTheme="minorHAnsi" w:cs="Arial"/>
          <w:sz w:val="24"/>
          <w:szCs w:val="24"/>
        </w:rPr>
        <w:t>Pertanto per poter quantificare l’impatto complessivo del nuovo programma sulla gestione corrente nel 2022, si considera l’importo residuo disponibile (colonna A) e l’importo richiesto con il presente messaggio (colonna B) a cui si applicano i coefficienti di riparto tra Cantone e Confederazione.</w:t>
      </w:r>
    </w:p>
    <w:p w:rsidR="00292ABD" w:rsidRPr="00292ABD" w:rsidRDefault="00292ABD" w:rsidP="00292ABD">
      <w:pPr>
        <w:rPr>
          <w:rFonts w:asciiTheme="minorHAnsi" w:eastAsiaTheme="minorEastAsia" w:hAnsiTheme="minorHAnsi" w:cs="Arial"/>
          <w:sz w:val="24"/>
          <w:szCs w:val="24"/>
        </w:rPr>
      </w:pPr>
    </w:p>
    <w:p w:rsidR="00292ABD" w:rsidRPr="00292ABD" w:rsidRDefault="00292ABD" w:rsidP="00292ABD">
      <w:pPr>
        <w:jc w:val="center"/>
        <w:rPr>
          <w:rFonts w:asciiTheme="minorHAnsi" w:eastAsiaTheme="minorEastAsia" w:hAnsiTheme="minorHAnsi" w:cs="Arial"/>
          <w:sz w:val="24"/>
          <w:szCs w:val="24"/>
          <w:lang w:val="de-CH"/>
        </w:rPr>
      </w:pPr>
      <w:r w:rsidRPr="00292ABD">
        <w:rPr>
          <w:rFonts w:asciiTheme="minorHAnsi" w:eastAsiaTheme="minorEastAsia" w:hAnsiTheme="minorHAnsi"/>
          <w:noProof/>
          <w:sz w:val="24"/>
          <w:lang w:eastAsia="it-CH"/>
        </w:rPr>
        <w:drawing>
          <wp:inline distT="0" distB="0" distL="0" distR="0" wp14:anchorId="00881A60" wp14:editId="0068867B">
            <wp:extent cx="5788650" cy="1885801"/>
            <wp:effectExtent l="0" t="0" r="3175"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0563" cy="1889682"/>
                    </a:xfrm>
                    <a:prstGeom prst="rect">
                      <a:avLst/>
                    </a:prstGeom>
                    <a:noFill/>
                    <a:ln>
                      <a:noFill/>
                    </a:ln>
                  </pic:spPr>
                </pic:pic>
              </a:graphicData>
            </a:graphic>
          </wp:inline>
        </w:drawing>
      </w:r>
    </w:p>
    <w:p w:rsidR="00292ABD" w:rsidRPr="00292ABD" w:rsidRDefault="00292ABD" w:rsidP="00292ABD">
      <w:pPr>
        <w:rPr>
          <w:rFonts w:asciiTheme="minorHAnsi" w:eastAsiaTheme="minorEastAsia" w:hAnsiTheme="minorHAnsi" w:cs="Arial"/>
          <w:sz w:val="24"/>
          <w:szCs w:val="24"/>
        </w:rPr>
      </w:pPr>
    </w:p>
    <w:p w:rsidR="00292ABD" w:rsidRPr="00292ABD" w:rsidRDefault="00292ABD" w:rsidP="00292ABD">
      <w:pPr>
        <w:rPr>
          <w:rFonts w:asciiTheme="minorHAnsi" w:eastAsiaTheme="minorEastAsia" w:hAnsiTheme="minorHAnsi" w:cs="Arial"/>
          <w:sz w:val="24"/>
          <w:szCs w:val="24"/>
        </w:rPr>
      </w:pPr>
      <w:r w:rsidRPr="00292ABD">
        <w:rPr>
          <w:rFonts w:asciiTheme="minorHAnsi" w:eastAsiaTheme="minorEastAsia" w:hAnsiTheme="minorHAnsi" w:cs="Arial"/>
          <w:sz w:val="24"/>
          <w:szCs w:val="24"/>
        </w:rPr>
        <w:t>I costi legati al versamento dei contributi a fondo perso, come anche i rimborsi della quota della Confederazione impatteranno l’esercizio 2022 al massimo come sopra stimato.</w:t>
      </w:r>
    </w:p>
    <w:p w:rsidR="00292ABD" w:rsidRPr="00292ABD" w:rsidRDefault="00292ABD" w:rsidP="00292ABD">
      <w:pPr>
        <w:rPr>
          <w:rFonts w:asciiTheme="minorHAnsi" w:eastAsiaTheme="minorEastAsia" w:hAnsiTheme="minorHAnsi" w:cs="Arial"/>
          <w:sz w:val="24"/>
          <w:szCs w:val="24"/>
        </w:rPr>
      </w:pPr>
      <w:r w:rsidRPr="00292ABD">
        <w:rPr>
          <w:rFonts w:asciiTheme="minorHAnsi" w:eastAsiaTheme="minorEastAsia" w:hAnsiTheme="minorHAnsi" w:cs="Arial"/>
          <w:sz w:val="24"/>
          <w:szCs w:val="24"/>
        </w:rPr>
        <w:t>L’erogazione di fondi per le imprese con cifra d’affari superiore a 5 milioni di franchi, esclusivamente a carico della Confederazione, è stimata al massimo a 10 milioni. Tali fondi sono anticipati dal Canton Ticino e, entro la fine dell’anno, saranno interamente rimborsati dalla Confederazione. Il Consiglio di Stato ha quindi facoltà di anticipare questi fondi in quanto non hanno un impatto sul conto economico 2022.</w:t>
      </w:r>
    </w:p>
    <w:p w:rsidR="00292ABD" w:rsidRPr="00292ABD" w:rsidRDefault="00292ABD" w:rsidP="00292ABD">
      <w:pPr>
        <w:rPr>
          <w:rFonts w:asciiTheme="minorHAnsi" w:eastAsiaTheme="minorEastAsia" w:hAnsiTheme="minorHAnsi" w:cs="Arial"/>
          <w:sz w:val="24"/>
          <w:szCs w:val="24"/>
        </w:rPr>
      </w:pPr>
    </w:p>
    <w:p w:rsidR="00292ABD" w:rsidRDefault="00292ABD" w:rsidP="00B144F5">
      <w:pPr>
        <w:rPr>
          <w:rFonts w:asciiTheme="minorHAnsi" w:eastAsiaTheme="minorEastAsia" w:hAnsiTheme="minorHAnsi" w:cs="Arial"/>
          <w:bCs/>
          <w:sz w:val="24"/>
          <w:szCs w:val="24"/>
        </w:rPr>
      </w:pPr>
      <w:r w:rsidRPr="00292ABD">
        <w:rPr>
          <w:rFonts w:asciiTheme="minorHAnsi" w:eastAsiaTheme="minorEastAsia" w:hAnsiTheme="minorHAnsi" w:cs="Arial"/>
          <w:sz w:val="24"/>
          <w:szCs w:val="24"/>
        </w:rPr>
        <w:lastRenderedPageBreak/>
        <w:t xml:space="preserve">Con </w:t>
      </w:r>
      <w:bookmarkStart w:id="6" w:name="_Hlk96181518"/>
      <w:r w:rsidRPr="00292ABD">
        <w:rPr>
          <w:rFonts w:asciiTheme="minorHAnsi" w:eastAsiaTheme="minorEastAsia" w:hAnsiTheme="minorHAnsi" w:cs="Arial"/>
          <w:bCs/>
          <w:sz w:val="24"/>
          <w:szCs w:val="24"/>
        </w:rPr>
        <w:t xml:space="preserve">RG n. 754 del 16 febbraio 2022, il Consiglio di Stato ha risolto di aggiornare di conseguenza il Preventivo 2022 </w:t>
      </w:r>
      <w:bookmarkEnd w:id="6"/>
      <w:r w:rsidRPr="00292ABD">
        <w:rPr>
          <w:rFonts w:asciiTheme="minorHAnsi" w:eastAsiaTheme="minorEastAsia" w:hAnsiTheme="minorHAnsi" w:cs="Arial"/>
          <w:bCs/>
          <w:sz w:val="24"/>
          <w:szCs w:val="24"/>
        </w:rPr>
        <w:t>(cfr. sopra pag. 2).</w:t>
      </w:r>
    </w:p>
    <w:p w:rsidR="00B144F5" w:rsidRPr="00292ABD" w:rsidRDefault="00B144F5" w:rsidP="00B144F5">
      <w:pPr>
        <w:rPr>
          <w:rFonts w:asciiTheme="minorHAnsi" w:eastAsiaTheme="minorEastAsia" w:hAnsiTheme="minorHAnsi" w:cs="Arial"/>
          <w:b/>
          <w:sz w:val="24"/>
          <w:szCs w:val="24"/>
        </w:rPr>
      </w:pPr>
    </w:p>
    <w:p w:rsidR="00292ABD" w:rsidRPr="00292ABD" w:rsidRDefault="00292ABD" w:rsidP="00292ABD">
      <w:pPr>
        <w:rPr>
          <w:rFonts w:asciiTheme="minorHAnsi" w:eastAsiaTheme="minorEastAsia" w:hAnsiTheme="minorHAnsi" w:cs="Arial"/>
          <w:sz w:val="24"/>
          <w:szCs w:val="24"/>
        </w:rPr>
      </w:pPr>
      <w:r w:rsidRPr="00292ABD">
        <w:rPr>
          <w:rFonts w:asciiTheme="minorHAnsi" w:eastAsiaTheme="minorEastAsia" w:hAnsiTheme="minorHAnsi" w:cs="Arial"/>
          <w:sz w:val="24"/>
          <w:szCs w:val="24"/>
        </w:rPr>
        <w:t>Per la gestione ed evasione delle richieste è prevista l’assunzione di personale ausiliario. Inoltre già con il messaggio 7948 del 23 dicembre 2020 era stato approvato il potenziamento di una PPA al 100% fino al 2025 per il monitoraggio dei vincoli di utilizzo dei sussidi erogati. Tale incarico a tempo determinato verrà formalizzato nel corso del 2022. Visto che il programma è stato prolungato di un anno anche i vincoli di utilizzo sono stati prolungati, sarà pertanto necessario estendere l’incarico per il monitoraggio fino al 2026.</w:t>
      </w:r>
    </w:p>
    <w:p w:rsidR="00292ABD" w:rsidRPr="00292ABD" w:rsidRDefault="00292ABD" w:rsidP="00292ABD">
      <w:pPr>
        <w:rPr>
          <w:rFonts w:asciiTheme="minorHAnsi" w:eastAsiaTheme="minorEastAsia" w:hAnsiTheme="minorHAnsi" w:cs="Arial"/>
          <w:sz w:val="24"/>
          <w:szCs w:val="24"/>
        </w:rPr>
      </w:pPr>
    </w:p>
    <w:p w:rsidR="00292ABD" w:rsidRPr="00B144F5" w:rsidRDefault="00292ABD" w:rsidP="00B144F5">
      <w:pPr>
        <w:rPr>
          <w:rFonts w:asciiTheme="minorHAnsi" w:eastAsiaTheme="minorEastAsia" w:hAnsiTheme="minorHAnsi"/>
          <w:sz w:val="24"/>
        </w:rPr>
      </w:pPr>
      <w:r w:rsidRPr="00292ABD">
        <w:rPr>
          <w:rFonts w:asciiTheme="minorHAnsi" w:eastAsiaTheme="minorEastAsia" w:hAnsiTheme="minorHAnsi" w:cs="Arial"/>
          <w:sz w:val="24"/>
          <w:szCs w:val="24"/>
        </w:rPr>
        <w:t>Nessuno impatto sui Comuni.</w:t>
      </w:r>
    </w:p>
    <w:p w:rsidR="00B144F5" w:rsidRDefault="00B144F5" w:rsidP="00292ABD">
      <w:pPr>
        <w:rPr>
          <w:rFonts w:asciiTheme="minorHAnsi" w:eastAsiaTheme="minorEastAsia" w:hAnsiTheme="minorHAnsi"/>
          <w:sz w:val="24"/>
          <w:highlight w:val="yellow"/>
        </w:rPr>
      </w:pPr>
    </w:p>
    <w:p w:rsidR="00B144F5" w:rsidRPr="00292ABD" w:rsidRDefault="00B144F5" w:rsidP="00292ABD">
      <w:pPr>
        <w:rPr>
          <w:rFonts w:asciiTheme="minorHAnsi" w:eastAsiaTheme="minorEastAsia" w:hAnsiTheme="minorHAnsi"/>
          <w:sz w:val="24"/>
          <w:highlight w:val="yellow"/>
        </w:rPr>
      </w:pPr>
    </w:p>
    <w:p w:rsidR="00292ABD" w:rsidRPr="00292ABD" w:rsidRDefault="00E60DC2" w:rsidP="00B144F5">
      <w:pPr>
        <w:pStyle w:val="Titolo1"/>
        <w:tabs>
          <w:tab w:val="left" w:pos="567"/>
        </w:tabs>
        <w:spacing w:before="0"/>
        <w:ind w:left="567" w:hanging="567"/>
        <w:jc w:val="both"/>
        <w:rPr>
          <w:rFonts w:eastAsia="Calibri" w:cs="Times New Roman"/>
          <w:caps/>
          <w:sz w:val="24"/>
          <w:szCs w:val="24"/>
          <w:lang w:val="it-IT" w:eastAsia="it-IT"/>
        </w:rPr>
      </w:pPr>
      <w:bookmarkStart w:id="7" w:name="_Toc96122222"/>
      <w:r w:rsidRPr="00B144F5">
        <w:rPr>
          <w:rFonts w:eastAsia="Calibri" w:cs="Times New Roman"/>
          <w:caps/>
          <w:sz w:val="24"/>
          <w:szCs w:val="24"/>
          <w:lang w:val="it-IT" w:eastAsia="it-IT"/>
        </w:rPr>
        <w:t>7</w:t>
      </w:r>
      <w:r w:rsidR="00292ABD" w:rsidRPr="00292ABD">
        <w:rPr>
          <w:rFonts w:eastAsia="Calibri" w:cs="Times New Roman"/>
          <w:caps/>
          <w:sz w:val="24"/>
          <w:szCs w:val="24"/>
          <w:lang w:val="it-IT" w:eastAsia="it-IT"/>
        </w:rPr>
        <w:t>.</w:t>
      </w:r>
      <w:r w:rsidR="00292ABD" w:rsidRPr="00292ABD">
        <w:rPr>
          <w:rFonts w:eastAsia="Calibri" w:cs="Times New Roman"/>
          <w:caps/>
          <w:sz w:val="24"/>
          <w:szCs w:val="24"/>
          <w:lang w:val="it-IT" w:eastAsia="it-IT"/>
        </w:rPr>
        <w:tab/>
        <w:t>LAVORI COMMISSIONALI E CONCLUSIONI</w:t>
      </w:r>
      <w:bookmarkEnd w:id="7"/>
    </w:p>
    <w:p w:rsidR="00292ABD" w:rsidRDefault="00292ABD" w:rsidP="00B144F5">
      <w:pPr>
        <w:rPr>
          <w:rFonts w:asciiTheme="minorHAnsi" w:eastAsiaTheme="minorEastAsia" w:hAnsiTheme="minorHAnsi" w:cs="Arial"/>
          <w:sz w:val="24"/>
          <w:szCs w:val="24"/>
        </w:rPr>
      </w:pPr>
      <w:r w:rsidRPr="00292ABD">
        <w:rPr>
          <w:rFonts w:asciiTheme="minorHAnsi" w:eastAsiaTheme="minorEastAsia" w:hAnsiTheme="minorHAnsi" w:cs="Arial"/>
          <w:sz w:val="24"/>
          <w:szCs w:val="24"/>
        </w:rPr>
        <w:t xml:space="preserve">La Commissione ha preso nota del Programma federale per i casi di rigore 2022 della Confederazione così come del </w:t>
      </w:r>
      <w:r w:rsidR="002C54EF">
        <w:rPr>
          <w:rFonts w:asciiTheme="minorHAnsi" w:eastAsiaTheme="minorEastAsia" w:hAnsiTheme="minorHAnsi" w:cs="Arial"/>
          <w:sz w:val="24"/>
          <w:szCs w:val="24"/>
        </w:rPr>
        <w:t>m</w:t>
      </w:r>
      <w:r w:rsidRPr="00292ABD">
        <w:rPr>
          <w:rFonts w:asciiTheme="minorHAnsi" w:eastAsiaTheme="minorEastAsia" w:hAnsiTheme="minorHAnsi" w:cs="Arial"/>
          <w:sz w:val="24"/>
          <w:szCs w:val="24"/>
        </w:rPr>
        <w:t xml:space="preserve">essaggio del </w:t>
      </w:r>
      <w:r w:rsidR="002C54EF">
        <w:rPr>
          <w:rFonts w:asciiTheme="minorHAnsi" w:eastAsiaTheme="minorEastAsia" w:hAnsiTheme="minorHAnsi" w:cs="Arial"/>
          <w:sz w:val="24"/>
          <w:szCs w:val="24"/>
        </w:rPr>
        <w:t>G</w:t>
      </w:r>
      <w:r w:rsidRPr="00292ABD">
        <w:rPr>
          <w:rFonts w:asciiTheme="minorHAnsi" w:eastAsiaTheme="minorEastAsia" w:hAnsiTheme="minorHAnsi" w:cs="Arial"/>
          <w:sz w:val="24"/>
          <w:szCs w:val="24"/>
        </w:rPr>
        <w:t>overno cantonale che fa uso delle deleghe concesse attenendosi alle raccomandazioni federali. In audizione 22 febbraio 2022 il Governo e i funzionari preposti hanno potuto illustrare il meccanismo del dispositivo nei suoi dettagli.</w:t>
      </w:r>
    </w:p>
    <w:p w:rsidR="00B144F5" w:rsidRPr="00292ABD" w:rsidRDefault="00B144F5" w:rsidP="00B144F5">
      <w:pPr>
        <w:rPr>
          <w:rFonts w:asciiTheme="minorHAnsi" w:eastAsiaTheme="minorEastAsia" w:hAnsiTheme="minorHAnsi" w:cs="Arial"/>
          <w:sz w:val="24"/>
          <w:szCs w:val="24"/>
        </w:rPr>
      </w:pPr>
    </w:p>
    <w:p w:rsidR="00292ABD" w:rsidRPr="00292ABD" w:rsidRDefault="00292ABD" w:rsidP="00B144F5">
      <w:pPr>
        <w:spacing w:after="240"/>
        <w:rPr>
          <w:rFonts w:asciiTheme="minorHAnsi" w:eastAsiaTheme="minorEastAsia" w:hAnsiTheme="minorHAnsi" w:cs="Arial"/>
          <w:sz w:val="24"/>
          <w:szCs w:val="24"/>
        </w:rPr>
      </w:pPr>
      <w:r w:rsidRPr="00292ABD">
        <w:rPr>
          <w:rFonts w:asciiTheme="minorHAnsi" w:eastAsiaTheme="minorEastAsia" w:hAnsiTheme="minorHAnsi" w:cs="Arial"/>
          <w:sz w:val="24"/>
          <w:szCs w:val="24"/>
        </w:rPr>
        <w:t xml:space="preserve">Come il Consiglio di Stato anche la scrivente Commissione ritiene importante poter garantire un adeguato supporto finanziario a quelle imprese già considerate “casi di rigore” ai sensi del programma 2021 e che continuano a subire le conseguenze negative della situazione pandemica, anche durante il primo semestre del 2022. </w:t>
      </w:r>
    </w:p>
    <w:p w:rsidR="00292ABD" w:rsidRPr="00292ABD" w:rsidRDefault="00292ABD" w:rsidP="00B144F5">
      <w:pPr>
        <w:spacing w:after="240"/>
        <w:rPr>
          <w:rFonts w:asciiTheme="minorHAnsi" w:eastAsiaTheme="minorEastAsia" w:hAnsiTheme="minorHAnsi" w:cs="Arial"/>
          <w:sz w:val="24"/>
          <w:szCs w:val="24"/>
        </w:rPr>
      </w:pPr>
      <w:r w:rsidRPr="00292ABD">
        <w:rPr>
          <w:rFonts w:asciiTheme="minorHAnsi" w:eastAsiaTheme="minorEastAsia" w:hAnsiTheme="minorHAnsi" w:cs="Arial"/>
          <w:sz w:val="24"/>
          <w:szCs w:val="24"/>
        </w:rPr>
        <w:t>Come visto sopra, per il finanziamento del programma 2022, si farà capo dapprima alla disponibilità residua del programma 2021 secondo principi contabili e di uso razionale delle risorse, per poi far capo, se necessario, alla dotazione finanziaria supplementare proposta con il presente messaggio.</w:t>
      </w:r>
    </w:p>
    <w:p w:rsidR="00292ABD" w:rsidRPr="00292ABD" w:rsidRDefault="00292ABD" w:rsidP="00B144F5">
      <w:pPr>
        <w:spacing w:after="240"/>
        <w:rPr>
          <w:rFonts w:asciiTheme="minorHAnsi" w:eastAsiaTheme="minorEastAsia" w:hAnsiTheme="minorHAnsi" w:cs="Arial"/>
          <w:sz w:val="24"/>
          <w:szCs w:val="24"/>
        </w:rPr>
      </w:pPr>
      <w:r w:rsidRPr="00292ABD">
        <w:rPr>
          <w:rFonts w:asciiTheme="minorHAnsi" w:eastAsiaTheme="minorEastAsia" w:hAnsiTheme="minorHAnsi" w:cs="Arial"/>
          <w:sz w:val="24"/>
          <w:szCs w:val="24"/>
        </w:rPr>
        <w:t xml:space="preserve">Si tratterà anche in questo caso, almeno per i Casi di rigore, di garantire la celerità di evasione delle richieste prestando sempre attenzione alla valutazione dei dati dichiarati – anche con il coinvolgimento delle imprese di revisione con abilitazione dell’ASR - in modo da prevenire attivamente eventuali abusi che nell’ambito dei casi di rigore non risulta dai media ve ne siano stati. </w:t>
      </w:r>
    </w:p>
    <w:p w:rsidR="00292ABD" w:rsidRPr="00292ABD" w:rsidRDefault="00292ABD" w:rsidP="00B144F5">
      <w:pPr>
        <w:spacing w:after="240"/>
        <w:rPr>
          <w:rFonts w:asciiTheme="minorHAnsi" w:eastAsiaTheme="minorEastAsia" w:hAnsiTheme="minorHAnsi" w:cs="Arial"/>
          <w:sz w:val="24"/>
          <w:szCs w:val="24"/>
        </w:rPr>
      </w:pPr>
      <w:r w:rsidRPr="00292ABD">
        <w:rPr>
          <w:rFonts w:asciiTheme="minorHAnsi" w:eastAsiaTheme="minorEastAsia" w:hAnsiTheme="minorHAnsi" w:cs="Arial"/>
          <w:sz w:val="24"/>
          <w:szCs w:val="24"/>
        </w:rPr>
        <w:t xml:space="preserve">Per altre tipologie di aiuti concessi durante la pandemia, come le indennità per lavoro ridotto e quelle per perdita di guadagno, la celerità non sembra essere sempre stata rispettata ma è anche vero che degli abusi sono stati accertati in alcuni casi. </w:t>
      </w:r>
    </w:p>
    <w:p w:rsidR="00292ABD" w:rsidRPr="00292ABD" w:rsidRDefault="00292ABD" w:rsidP="00B144F5">
      <w:pPr>
        <w:spacing w:after="240"/>
        <w:rPr>
          <w:rFonts w:asciiTheme="minorHAnsi" w:eastAsiaTheme="minorEastAsia" w:hAnsiTheme="minorHAnsi" w:cs="Arial"/>
          <w:sz w:val="24"/>
          <w:szCs w:val="24"/>
        </w:rPr>
      </w:pPr>
      <w:r w:rsidRPr="00292ABD">
        <w:rPr>
          <w:rFonts w:asciiTheme="minorHAnsi" w:eastAsiaTheme="minorEastAsia" w:hAnsiTheme="minorHAnsi" w:cs="Arial"/>
          <w:sz w:val="24"/>
          <w:szCs w:val="24"/>
        </w:rPr>
        <w:t xml:space="preserve">Ad oggi la tipologia di aiuto che ha dato più adito ad abusi sfociati in reati penali è quella dei Crediti </w:t>
      </w:r>
      <w:r w:rsidR="002C54EF">
        <w:rPr>
          <w:rFonts w:asciiTheme="minorHAnsi" w:eastAsiaTheme="minorEastAsia" w:hAnsiTheme="minorHAnsi" w:cs="Arial"/>
          <w:sz w:val="24"/>
          <w:szCs w:val="24"/>
        </w:rPr>
        <w:t>C</w:t>
      </w:r>
      <w:r w:rsidRPr="00292ABD">
        <w:rPr>
          <w:rFonts w:asciiTheme="minorHAnsi" w:eastAsiaTheme="minorEastAsia" w:hAnsiTheme="minorHAnsi" w:cs="Arial"/>
          <w:sz w:val="24"/>
          <w:szCs w:val="24"/>
        </w:rPr>
        <w:t>ovid erogati tramite le banche di riferimento degli utenti, con garanzia indiretta dello Stato, mediante un sistema forse, col senno di poi, finanche troppo semplificato diverso da quello per i Casi di rigore anche per i controlli incrociati previsti e l’intervento di uffici di revisione nella procedura di fornitura dei dati aziendali.</w:t>
      </w:r>
    </w:p>
    <w:p w:rsidR="002C54EF" w:rsidRDefault="002C54EF" w:rsidP="00292ABD">
      <w:pPr>
        <w:rPr>
          <w:rFonts w:asciiTheme="minorHAnsi" w:eastAsiaTheme="minorEastAsia" w:hAnsiTheme="minorHAnsi" w:cs="Arial"/>
          <w:sz w:val="24"/>
          <w:szCs w:val="24"/>
        </w:rPr>
      </w:pPr>
    </w:p>
    <w:p w:rsidR="00292ABD" w:rsidRPr="00292ABD" w:rsidRDefault="00292ABD" w:rsidP="00292ABD">
      <w:pPr>
        <w:rPr>
          <w:rFonts w:asciiTheme="minorHAnsi" w:eastAsiaTheme="minorEastAsia" w:hAnsiTheme="minorHAnsi" w:cs="Arial"/>
          <w:sz w:val="24"/>
          <w:szCs w:val="24"/>
        </w:rPr>
      </w:pPr>
      <w:r w:rsidRPr="00292ABD">
        <w:rPr>
          <w:rFonts w:asciiTheme="minorHAnsi" w:eastAsiaTheme="minorEastAsia" w:hAnsiTheme="minorHAnsi" w:cs="Arial"/>
          <w:sz w:val="24"/>
          <w:szCs w:val="24"/>
        </w:rPr>
        <w:lastRenderedPageBreak/>
        <w:t xml:space="preserve">Tenuto conto di quanto sopra invitiamo il Gran Consiglio ad approvare </w:t>
      </w:r>
      <w:r w:rsidR="00B144F5">
        <w:rPr>
          <w:rFonts w:asciiTheme="minorHAnsi" w:eastAsiaTheme="minorEastAsia" w:hAnsiTheme="minorHAnsi" w:cs="Arial"/>
          <w:sz w:val="24"/>
          <w:szCs w:val="24"/>
        </w:rPr>
        <w:t xml:space="preserve">il messaggio governativo e </w:t>
      </w:r>
      <w:r w:rsidRPr="00292ABD">
        <w:rPr>
          <w:rFonts w:asciiTheme="minorHAnsi" w:eastAsiaTheme="minorEastAsia" w:hAnsiTheme="minorHAnsi" w:cs="Arial"/>
          <w:sz w:val="24"/>
          <w:szCs w:val="24"/>
        </w:rPr>
        <w:t>gli annessi disegni di decreto legislativo urgente e di modifica di legge.</w:t>
      </w:r>
    </w:p>
    <w:p w:rsidR="00292ABD" w:rsidRPr="00292ABD" w:rsidRDefault="00292ABD" w:rsidP="00292ABD">
      <w:pPr>
        <w:rPr>
          <w:rFonts w:asciiTheme="minorHAnsi" w:eastAsiaTheme="minorEastAsia" w:hAnsiTheme="minorHAnsi"/>
          <w:sz w:val="24"/>
          <w:szCs w:val="24"/>
        </w:rPr>
      </w:pPr>
    </w:p>
    <w:p w:rsidR="00292ABD" w:rsidRPr="00292ABD" w:rsidRDefault="00292ABD" w:rsidP="00292ABD">
      <w:pPr>
        <w:rPr>
          <w:rFonts w:asciiTheme="minorHAnsi" w:eastAsiaTheme="minorEastAsia" w:hAnsiTheme="minorHAnsi"/>
          <w:sz w:val="24"/>
          <w:szCs w:val="24"/>
        </w:rPr>
      </w:pPr>
    </w:p>
    <w:p w:rsidR="00B2138C" w:rsidRPr="00D268D2" w:rsidRDefault="00B2138C" w:rsidP="00B2138C">
      <w:pPr>
        <w:spacing w:after="120"/>
        <w:rPr>
          <w:rFonts w:eastAsia="Calibri" w:cs="Arial"/>
          <w:sz w:val="24"/>
          <w:szCs w:val="24"/>
        </w:rPr>
      </w:pPr>
      <w:r w:rsidRPr="00D268D2">
        <w:rPr>
          <w:rFonts w:eastAsia="Calibri" w:cs="Arial"/>
          <w:sz w:val="24"/>
          <w:szCs w:val="24"/>
        </w:rPr>
        <w:t xml:space="preserve">Per </w:t>
      </w:r>
      <w:smartTag w:uri="urn:schemas-microsoft-com:office:smarttags" w:element="PersonName">
        <w:smartTagPr>
          <w:attr w:name="ProductID" w:val="la Commissione"/>
        </w:smartTagPr>
        <w:r w:rsidRPr="00D268D2">
          <w:rPr>
            <w:rFonts w:eastAsia="Calibri" w:cs="Arial"/>
            <w:sz w:val="24"/>
            <w:szCs w:val="24"/>
          </w:rPr>
          <w:t>la Commissione</w:t>
        </w:r>
      </w:smartTag>
      <w:r w:rsidRPr="00D268D2">
        <w:rPr>
          <w:rFonts w:eastAsia="Calibri" w:cs="Arial"/>
          <w:sz w:val="24"/>
          <w:szCs w:val="24"/>
        </w:rPr>
        <w:t xml:space="preserve"> gestione e finanze:</w:t>
      </w:r>
    </w:p>
    <w:p w:rsidR="00B2138C" w:rsidRPr="00D268D2" w:rsidRDefault="00B2138C" w:rsidP="00B2138C">
      <w:pPr>
        <w:rPr>
          <w:rFonts w:eastAsia="Calibri" w:cs="Arial"/>
          <w:sz w:val="24"/>
          <w:szCs w:val="24"/>
        </w:rPr>
      </w:pPr>
      <w:r>
        <w:rPr>
          <w:rFonts w:eastAsia="Calibri" w:cs="Arial"/>
          <w:sz w:val="24"/>
          <w:szCs w:val="24"/>
        </w:rPr>
        <w:t>Matteo Quadranti</w:t>
      </w:r>
      <w:r w:rsidRPr="00D268D2">
        <w:rPr>
          <w:rFonts w:eastAsia="Calibri" w:cs="Arial"/>
          <w:sz w:val="24"/>
          <w:szCs w:val="24"/>
        </w:rPr>
        <w:t>, relatore</w:t>
      </w:r>
    </w:p>
    <w:p w:rsidR="00B2138C" w:rsidRDefault="00B2138C" w:rsidP="00B2138C">
      <w:pPr>
        <w:rPr>
          <w:rFonts w:eastAsia="Times New Roman" w:cs="Arial"/>
          <w:sz w:val="24"/>
          <w:szCs w:val="20"/>
          <w:lang w:val="it-IT" w:eastAsia="it-IT"/>
        </w:rPr>
      </w:pPr>
      <w:bookmarkStart w:id="8" w:name="OLE_LINK1"/>
      <w:bookmarkStart w:id="9" w:name="OLE_LINK2"/>
      <w:r w:rsidRPr="00F81E67">
        <w:rPr>
          <w:rFonts w:eastAsia="Times New Roman" w:cs="Arial"/>
          <w:sz w:val="24"/>
          <w:szCs w:val="20"/>
          <w:lang w:val="it-IT" w:eastAsia="it-IT"/>
        </w:rPr>
        <w:t xml:space="preserve">Agustoni - Balli - Bignasca </w:t>
      </w:r>
      <w:r>
        <w:rPr>
          <w:rFonts w:eastAsia="Times New Roman" w:cs="Arial"/>
          <w:sz w:val="24"/>
          <w:szCs w:val="20"/>
          <w:lang w:val="it-IT" w:eastAsia="it-IT"/>
        </w:rPr>
        <w:t>-</w:t>
      </w:r>
      <w:r w:rsidRPr="00F81E67">
        <w:rPr>
          <w:rFonts w:eastAsia="Times New Roman" w:cs="Arial"/>
          <w:sz w:val="24"/>
          <w:szCs w:val="20"/>
          <w:lang w:val="it-IT" w:eastAsia="it-IT"/>
        </w:rPr>
        <w:t xml:space="preserve"> Biscossa </w:t>
      </w:r>
      <w:r>
        <w:rPr>
          <w:rFonts w:eastAsia="Times New Roman" w:cs="Arial"/>
          <w:sz w:val="24"/>
          <w:szCs w:val="20"/>
          <w:lang w:val="it-IT" w:eastAsia="it-IT"/>
        </w:rPr>
        <w:t>-</w:t>
      </w:r>
      <w:r w:rsidRPr="00F81E67">
        <w:rPr>
          <w:rFonts w:eastAsia="Times New Roman" w:cs="Arial"/>
          <w:sz w:val="24"/>
          <w:szCs w:val="20"/>
          <w:lang w:val="it-IT" w:eastAsia="it-IT"/>
        </w:rPr>
        <w:t xml:space="preserve"> </w:t>
      </w:r>
    </w:p>
    <w:p w:rsidR="00B2138C" w:rsidRDefault="00B2138C" w:rsidP="00B2138C">
      <w:pPr>
        <w:rPr>
          <w:rFonts w:eastAsia="Times New Roman" w:cs="Arial"/>
          <w:sz w:val="24"/>
          <w:szCs w:val="20"/>
          <w:lang w:val="it-IT" w:eastAsia="it-IT"/>
        </w:rPr>
      </w:pPr>
      <w:r w:rsidRPr="00F81E67">
        <w:rPr>
          <w:rFonts w:eastAsia="Times New Roman" w:cs="Arial"/>
          <w:sz w:val="24"/>
          <w:szCs w:val="20"/>
          <w:lang w:val="it-IT" w:eastAsia="it-IT"/>
        </w:rPr>
        <w:t xml:space="preserve">Bourgoin </w:t>
      </w:r>
      <w:r>
        <w:rPr>
          <w:rFonts w:eastAsia="Times New Roman" w:cs="Arial"/>
          <w:sz w:val="24"/>
          <w:szCs w:val="20"/>
          <w:lang w:val="it-IT" w:eastAsia="it-IT"/>
        </w:rPr>
        <w:t>-</w:t>
      </w:r>
      <w:r w:rsidRPr="00F81E67">
        <w:rPr>
          <w:rFonts w:eastAsia="Times New Roman" w:cs="Arial"/>
          <w:sz w:val="24"/>
          <w:szCs w:val="20"/>
          <w:lang w:val="it-IT" w:eastAsia="it-IT"/>
        </w:rPr>
        <w:t xml:space="preserve"> </w:t>
      </w:r>
      <w:r>
        <w:rPr>
          <w:rFonts w:eastAsia="Times New Roman" w:cs="Arial"/>
          <w:sz w:val="24"/>
          <w:szCs w:val="20"/>
          <w:lang w:val="it-IT" w:eastAsia="it-IT"/>
        </w:rPr>
        <w:t>Caprara -</w:t>
      </w:r>
      <w:r w:rsidRPr="00F81E67">
        <w:rPr>
          <w:rFonts w:eastAsia="Times New Roman" w:cs="Arial"/>
          <w:sz w:val="24"/>
          <w:szCs w:val="20"/>
          <w:lang w:val="it-IT" w:eastAsia="it-IT"/>
        </w:rPr>
        <w:t xml:space="preserve"> Caverzasio</w:t>
      </w:r>
      <w:r>
        <w:rPr>
          <w:rFonts w:eastAsia="Times New Roman" w:cs="Arial"/>
          <w:sz w:val="24"/>
          <w:szCs w:val="20"/>
          <w:lang w:val="it-IT" w:eastAsia="it-IT"/>
        </w:rPr>
        <w:t xml:space="preserve"> -</w:t>
      </w:r>
      <w:r w:rsidRPr="00F81E67">
        <w:rPr>
          <w:rFonts w:eastAsia="Times New Roman" w:cs="Arial"/>
          <w:sz w:val="24"/>
          <w:szCs w:val="20"/>
          <w:lang w:val="it-IT" w:eastAsia="it-IT"/>
        </w:rPr>
        <w:t xml:space="preserve"> Dadò </w:t>
      </w:r>
      <w:r>
        <w:rPr>
          <w:rFonts w:eastAsia="Times New Roman" w:cs="Arial"/>
          <w:sz w:val="24"/>
          <w:szCs w:val="20"/>
          <w:lang w:val="it-IT" w:eastAsia="it-IT"/>
        </w:rPr>
        <w:t>-</w:t>
      </w:r>
      <w:r w:rsidRPr="00F81E67">
        <w:rPr>
          <w:rFonts w:eastAsia="Times New Roman" w:cs="Arial"/>
          <w:sz w:val="24"/>
          <w:szCs w:val="20"/>
          <w:lang w:val="it-IT" w:eastAsia="it-IT"/>
        </w:rPr>
        <w:t xml:space="preserve"> </w:t>
      </w:r>
    </w:p>
    <w:p w:rsidR="00B2138C" w:rsidRDefault="00B2138C" w:rsidP="00B2138C">
      <w:pPr>
        <w:rPr>
          <w:rFonts w:eastAsia="Times New Roman" w:cs="Arial"/>
          <w:sz w:val="24"/>
          <w:szCs w:val="20"/>
          <w:lang w:val="it-IT" w:eastAsia="it-IT"/>
        </w:rPr>
      </w:pPr>
      <w:r w:rsidRPr="00F81E67">
        <w:rPr>
          <w:rFonts w:eastAsia="Times New Roman" w:cs="Arial"/>
          <w:sz w:val="24"/>
          <w:szCs w:val="20"/>
          <w:lang w:val="it-IT" w:eastAsia="it-IT"/>
        </w:rPr>
        <w:t xml:space="preserve">Durisch - Ferrara - Gianella Alessandra </w:t>
      </w:r>
      <w:r>
        <w:rPr>
          <w:rFonts w:eastAsia="Times New Roman" w:cs="Arial"/>
          <w:sz w:val="24"/>
          <w:szCs w:val="20"/>
          <w:lang w:val="it-IT" w:eastAsia="it-IT"/>
        </w:rPr>
        <w:t>-</w:t>
      </w:r>
    </w:p>
    <w:p w:rsidR="00B2138C" w:rsidRPr="00F81E67" w:rsidRDefault="00B2138C" w:rsidP="00B2138C">
      <w:pPr>
        <w:rPr>
          <w:rFonts w:eastAsia="Times New Roman" w:cs="Arial"/>
          <w:sz w:val="24"/>
          <w:szCs w:val="20"/>
          <w:lang w:val="it-IT" w:eastAsia="it-IT"/>
        </w:rPr>
      </w:pPr>
      <w:r w:rsidRPr="00F81E67">
        <w:rPr>
          <w:rFonts w:eastAsia="Times New Roman" w:cs="Arial"/>
          <w:sz w:val="24"/>
          <w:szCs w:val="20"/>
          <w:lang w:val="it-IT" w:eastAsia="it-IT"/>
        </w:rPr>
        <w:t xml:space="preserve">Guerra - Jelmini - Pamini </w:t>
      </w:r>
      <w:bookmarkEnd w:id="8"/>
      <w:bookmarkEnd w:id="9"/>
      <w:r w:rsidR="00003444">
        <w:rPr>
          <w:rFonts w:eastAsia="Times New Roman" w:cs="Arial"/>
          <w:sz w:val="24"/>
          <w:szCs w:val="20"/>
          <w:lang w:val="it-IT" w:eastAsia="it-IT"/>
        </w:rPr>
        <w:t>- Sirica</w:t>
      </w:r>
    </w:p>
    <w:p w:rsidR="00D649A8" w:rsidRDefault="00D649A8" w:rsidP="00B2138C">
      <w:pPr>
        <w:spacing w:after="120"/>
      </w:pPr>
      <w:bookmarkStart w:id="10" w:name="_GoBack"/>
      <w:bookmarkEnd w:id="10"/>
    </w:p>
    <w:sectPr w:rsidR="00D649A8" w:rsidSect="00375115">
      <w:headerReference w:type="even" r:id="rId38"/>
      <w:headerReference w:type="default" r:id="rId39"/>
      <w:footerReference w:type="even" r:id="rId40"/>
      <w:footerReference w:type="default" r:id="rId41"/>
      <w:headerReference w:type="first" r:id="rId42"/>
      <w:footerReference w:type="first" r:id="rId43"/>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ABD" w:rsidRDefault="00292ABD" w:rsidP="00F657BF">
      <w:r>
        <w:separator/>
      </w:r>
    </w:p>
  </w:endnote>
  <w:endnote w:type="continuationSeparator" w:id="0">
    <w:p w:rsidR="00292ABD" w:rsidRDefault="00292ABD"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E90A1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E90A1F" w:rsidP="00912E34">
          <w:pPr>
            <w:tabs>
              <w:tab w:val="center" w:pos="2382"/>
            </w:tabs>
          </w:pPr>
        </w:p>
      </w:tc>
      <w:tc>
        <w:tcPr>
          <w:tcW w:w="721" w:type="dxa"/>
        </w:tcPr>
        <w:p w:rsidR="00912E34" w:rsidRPr="003D1008" w:rsidRDefault="00933383"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933383"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E90A1F"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E90A1F">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ABD" w:rsidRDefault="00292ABD" w:rsidP="00F657BF">
      <w:r>
        <w:separator/>
      </w:r>
    </w:p>
  </w:footnote>
  <w:footnote w:type="continuationSeparator" w:id="0">
    <w:p w:rsidR="00292ABD" w:rsidRDefault="00292ABD" w:rsidP="00F657BF">
      <w:r>
        <w:continuationSeparator/>
      </w:r>
    </w:p>
  </w:footnote>
  <w:footnote w:id="1">
    <w:p w:rsidR="00292ABD" w:rsidRPr="003744C8" w:rsidRDefault="00292ABD" w:rsidP="00292ABD">
      <w:pPr>
        <w:pStyle w:val="Testonotaapidipagina"/>
        <w:spacing w:after="0"/>
        <w:rPr>
          <w:rFonts w:ascii="Arial" w:hAnsi="Arial" w:cs="Arial"/>
          <w:sz w:val="16"/>
          <w:szCs w:val="16"/>
          <w:lang w:val="it-CH"/>
        </w:rPr>
      </w:pPr>
      <w:r w:rsidRPr="00B93A54">
        <w:rPr>
          <w:rStyle w:val="Rimandonotaapidipagina"/>
          <w:rFonts w:ascii="Arial" w:hAnsi="Arial" w:cs="Arial"/>
        </w:rPr>
        <w:footnoteRef/>
      </w:r>
      <w:r w:rsidRPr="008355D7">
        <w:rPr>
          <w:rFonts w:ascii="Arial" w:hAnsi="Arial" w:cs="Arial"/>
          <w:lang w:val="it-CH"/>
        </w:rPr>
        <w:t xml:space="preserve"> </w:t>
      </w:r>
      <w:r w:rsidRPr="003744C8">
        <w:rPr>
          <w:rFonts w:ascii="Arial" w:hAnsi="Arial" w:cs="Arial"/>
          <w:sz w:val="16"/>
          <w:szCs w:val="16"/>
          <w:lang w:val="it-CH"/>
        </w:rPr>
        <w:t>Costituzione della Repubblica e Cantone Ticino del 14 dicembre 1997; RL 101.100</w:t>
      </w:r>
    </w:p>
  </w:footnote>
  <w:footnote w:id="2">
    <w:p w:rsidR="00292ABD" w:rsidRPr="003744C8" w:rsidRDefault="00292ABD" w:rsidP="00292ABD">
      <w:pPr>
        <w:pStyle w:val="Testonotaapidipagina"/>
        <w:spacing w:after="0"/>
        <w:rPr>
          <w:sz w:val="16"/>
          <w:szCs w:val="16"/>
          <w:lang w:val="it-CH"/>
        </w:rPr>
      </w:pPr>
      <w:r w:rsidRPr="003744C8">
        <w:rPr>
          <w:rStyle w:val="Rimandonotaapidipagina"/>
          <w:rFonts w:ascii="Arial" w:hAnsi="Arial" w:cs="Arial"/>
          <w:sz w:val="16"/>
          <w:szCs w:val="16"/>
        </w:rPr>
        <w:footnoteRef/>
      </w:r>
      <w:r w:rsidRPr="003744C8">
        <w:rPr>
          <w:rFonts w:ascii="Arial" w:hAnsi="Arial" w:cs="Arial"/>
          <w:sz w:val="16"/>
          <w:szCs w:val="16"/>
          <w:lang w:val="it-CH"/>
        </w:rPr>
        <w:t xml:space="preserve"> Legge sul Gran Consiglio e sui rapporti con il Consiglio di Stato del 24 febbraio 2015; RL 171.100</w:t>
      </w:r>
    </w:p>
  </w:footnote>
  <w:footnote w:id="3">
    <w:p w:rsidR="00292ABD" w:rsidRPr="007D4101" w:rsidRDefault="00292ABD" w:rsidP="00292ABD">
      <w:pPr>
        <w:pStyle w:val="Testonotaapidipagina"/>
        <w:rPr>
          <w:lang w:val="it-CH"/>
        </w:rPr>
      </w:pPr>
      <w:r>
        <w:rPr>
          <w:rStyle w:val="Rimandonotaapidipagina"/>
        </w:rPr>
        <w:footnoteRef/>
      </w:r>
      <w:r w:rsidRPr="007D4101">
        <w:rPr>
          <w:lang w:val="it-CH"/>
        </w:rPr>
        <w:t xml:space="preserve"> </w:t>
      </w:r>
      <w:r w:rsidRPr="007D4101">
        <w:rPr>
          <w:sz w:val="16"/>
          <w:szCs w:val="16"/>
          <w:lang w:val="it-CH"/>
        </w:rPr>
        <w:t>Considerato che la maggior parte delle imprese che chiederanno aiuti ai sensi del nuovo programma 2022 hanno già ottenuto una decisione di sostegno positiva per il programma 2021, la cifra d’affari media 2018-2019 è già stata accertata dall’autorità cantonale.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E90A1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18EADA8F-D14F-4CA4-8596-D1F0061E1827}"/>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3313AC" w:rsidP="00A532F6">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710" w:type="dxa"/>
          <w:tcBorders>
            <w:bottom w:val="single" w:sz="4" w:space="0" w:color="auto"/>
          </w:tcBorders>
          <w:vAlign w:val="bottom"/>
        </w:tcPr>
        <w:p w:rsidR="005012EC" w:rsidRPr="004204CB" w:rsidRDefault="00933383"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E90A1F">
            <w:rPr>
              <w:noProof/>
              <w:sz w:val="24"/>
            </w:rPr>
            <w:t>14</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E90A1F">
            <w:rPr>
              <w:noProof/>
              <w:sz w:val="24"/>
            </w:rPr>
            <w:t>14</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18EADA8F-D14F-4CA4-8596-D1F0061E1827}"/>
          <w:text w:multiLine="1"/>
        </w:sdtPr>
        <w:sdtEndPr/>
        <w:sdtContent>
          <w:tc>
            <w:tcPr>
              <w:tcW w:w="8383" w:type="dxa"/>
              <w:tcBorders>
                <w:left w:val="single" w:sz="4" w:space="0" w:color="auto"/>
              </w:tcBorders>
              <w:tcMar>
                <w:top w:w="0" w:type="dxa"/>
                <w:left w:w="142" w:type="dxa"/>
              </w:tcMar>
            </w:tcPr>
            <w:p w:rsidR="005012EC" w:rsidRPr="00E8185F" w:rsidRDefault="003313AC" w:rsidP="00A532F6">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n. 8117 R del 22 febbraio 2022</w:t>
              </w:r>
            </w:p>
          </w:tc>
        </w:sdtContent>
      </w:sdt>
      <w:tc>
        <w:tcPr>
          <w:tcW w:w="1710" w:type="dxa"/>
          <w:tcBorders>
            <w:top w:val="single" w:sz="4" w:space="0" w:color="auto"/>
          </w:tcBorders>
        </w:tcPr>
        <w:p w:rsidR="005012EC" w:rsidRPr="00E043A3" w:rsidRDefault="00E90A1F" w:rsidP="00662409">
          <w:pPr>
            <w:pStyle w:val="InvisibleLine"/>
            <w:rPr>
              <w:lang w:val="de-DE"/>
            </w:rPr>
          </w:pPr>
        </w:p>
      </w:tc>
    </w:tr>
  </w:tbl>
  <w:p w:rsidR="00F657BF" w:rsidRPr="00980362" w:rsidRDefault="00933383"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18EADA8F-D14F-4CA4-8596-D1F0061E1827}"/>
                            <w:text w:multiLine="1"/>
                          </w:sdtPr>
                          <w:sdtEndPr/>
                          <w:sdtContent>
                            <w:p w:rsidR="008065E8" w:rsidRPr="00411371" w:rsidRDefault="00933383"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18EADA8F-D14F-4CA4-8596-D1F0061E1827}"/>
                      <w:text w:multiLine="1"/>
                    </w:sdtPr>
                    <w:sdtEndPr/>
                    <w:sdtContent>
                      <w:p w:rsidR="008065E8" w:rsidRPr="00411371" w:rsidRDefault="00933383"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E90A1F" w:rsidP="00D07D6E">
          <w:pPr>
            <w:pStyle w:val="InvisibleLine"/>
            <w:ind w:left="150"/>
            <w:rPr>
              <w:sz w:val="16"/>
            </w:rPr>
          </w:pPr>
        </w:p>
      </w:tc>
      <w:tc>
        <w:tcPr>
          <w:tcW w:w="373" w:type="pct"/>
          <w:tcBorders>
            <w:top w:val="nil"/>
            <w:bottom w:val="single" w:sz="4" w:space="0" w:color="auto"/>
          </w:tcBorders>
          <w:vAlign w:val="bottom"/>
        </w:tcPr>
        <w:p w:rsidR="00662409" w:rsidRPr="003108C0" w:rsidRDefault="00E90A1F" w:rsidP="00D07D6E">
          <w:pPr>
            <w:pStyle w:val="Level"/>
            <w:ind w:left="150"/>
            <w:rPr>
              <w:sz w:val="16"/>
            </w:rPr>
          </w:pPr>
        </w:p>
      </w:tc>
      <w:tc>
        <w:tcPr>
          <w:tcW w:w="209" w:type="pct"/>
          <w:tcBorders>
            <w:top w:val="nil"/>
            <w:bottom w:val="single" w:sz="4" w:space="0" w:color="auto"/>
          </w:tcBorders>
        </w:tcPr>
        <w:p w:rsidR="00662409" w:rsidRDefault="00933383"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933383"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E90A1F">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E90A1F">
            <w:rPr>
              <w:rFonts w:asciiTheme="minorHAnsi" w:hAnsiTheme="minorHAnsi" w:cstheme="minorHAnsi"/>
              <w:noProof/>
              <w:sz w:val="24"/>
            </w:rPr>
            <w:t>14</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18EADA8F-D14F-4CA4-8596-D1F0061E1827}"/>
          <w:text w:multiLine="1"/>
        </w:sdtPr>
        <w:sdtEndPr/>
        <w:sdtContent>
          <w:tc>
            <w:tcPr>
              <w:tcW w:w="5000" w:type="pct"/>
              <w:gridSpan w:val="6"/>
              <w:tcBorders>
                <w:left w:val="nil"/>
                <w:right w:val="nil"/>
              </w:tcBorders>
              <w:noWrap/>
              <w:tcMar>
                <w:top w:w="0" w:type="dxa"/>
              </w:tcMar>
              <w:vAlign w:val="bottom"/>
            </w:tcPr>
            <w:p w:rsidR="00662409" w:rsidRPr="008C03B5" w:rsidRDefault="003313AC"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933383"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E90A1F"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933383"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E90A1F"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933383"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E90A1F"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E90A1F"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18EADA8F-D14F-4CA4-8596-D1F0061E1827}"/>
              <w:text w:multiLine="1"/>
            </w:sdtPr>
            <w:sdtEndPr/>
            <w:sdtContent>
              <w:r w:rsidR="003313AC">
                <w:rPr>
                  <w:rFonts w:cstheme="minorHAnsi"/>
                  <w:b/>
                  <w:sz w:val="24"/>
                  <w:szCs w:val="24"/>
                </w:rPr>
                <w:t>8117 R</w:t>
              </w:r>
            </w:sdtContent>
          </w:sdt>
        </w:p>
      </w:tc>
      <w:sdt>
        <w:sdtPr>
          <w:rPr>
            <w:sz w:val="24"/>
          </w:rPr>
          <w:alias w:val="DocParam.Date"/>
          <w:id w:val="-464426178"/>
          <w:dataBinding w:xpath="//DateTime[@id='DocParam.Date']" w:storeItemID="{18EADA8F-D14F-4CA4-8596-D1F0061E1827}"/>
          <w:date w:fullDate="2022-02-22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3313AC" w:rsidP="00A532F6">
              <w:pPr>
                <w:pStyle w:val="Data"/>
              </w:pPr>
              <w:r>
                <w:rPr>
                  <w:sz w:val="24"/>
                </w:rPr>
                <w:t>22 febbraio 2022</w:t>
              </w:r>
            </w:p>
          </w:tc>
        </w:sdtContent>
      </w:sdt>
      <w:tc>
        <w:tcPr>
          <w:tcW w:w="3218" w:type="pct"/>
          <w:gridSpan w:val="4"/>
          <w:tcBorders>
            <w:top w:val="nil"/>
            <w:left w:val="nil"/>
            <w:bottom w:val="nil"/>
            <w:right w:val="nil"/>
          </w:tcBorders>
        </w:tcPr>
        <w:p w:rsidR="008C03B5" w:rsidRPr="00BE22A2" w:rsidRDefault="00E90A1F"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18EADA8F-D14F-4CA4-8596-D1F0061E1827}"/>
              <w:text w:multiLine="1"/>
            </w:sdtPr>
            <w:sdtEndPr/>
            <w:sdtContent>
              <w:r w:rsidR="003313AC">
                <w:rPr>
                  <w:smallCaps/>
                  <w:sz w:val="23"/>
                  <w:szCs w:val="23"/>
                </w:rPr>
                <w:t>Dipartimento delle finanze e dell’economia</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E90A1F" w:rsidP="00D07D6E">
          <w:pPr>
            <w:pStyle w:val="Level"/>
            <w:ind w:left="150"/>
            <w:rPr>
              <w:rFonts w:ascii="Gill Alt One MT Light" w:hAnsi="Gill Alt One MT Light"/>
              <w:sz w:val="16"/>
              <w:szCs w:val="16"/>
            </w:rPr>
          </w:pPr>
        </w:p>
      </w:tc>
    </w:tr>
  </w:tbl>
  <w:p w:rsidR="00F657BF" w:rsidRPr="00DA2879" w:rsidRDefault="00933383"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18EADA8F-D14F-4CA4-8596-D1F0061E1827}"/>
                            <w:text w:multiLine="1"/>
                          </w:sdtPr>
                          <w:sdtEndPr/>
                          <w:sdtContent>
                            <w:p w:rsidR="00E93620" w:rsidRPr="00411371" w:rsidRDefault="00933383"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18EADA8F-D14F-4CA4-8596-D1F0061E1827}"/>
                      <w:text w:multiLine="1"/>
                    </w:sdtPr>
                    <w:sdtEndPr/>
                    <w:sdtContent>
                      <w:p w:rsidR="00E93620" w:rsidRPr="00411371" w:rsidRDefault="00933383"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96F6E"/>
    <w:multiLevelType w:val="hybridMultilevel"/>
    <w:tmpl w:val="52CCC09E"/>
    <w:lvl w:ilvl="0" w:tplc="2D0C8EFA">
      <w:start w:val="1"/>
      <w:numFmt w:val="bullet"/>
      <w:lvlText w:val="-"/>
      <w:lvlJc w:val="left"/>
      <w:pPr>
        <w:ind w:left="384" w:hanging="284"/>
      </w:pPr>
      <w:rPr>
        <w:rFonts w:ascii="Arial" w:hAnsi="Arial" w:hint="default"/>
        <w:b w:val="0"/>
        <w:bCs w:val="0"/>
        <w:i w:val="0"/>
        <w:iCs w:val="0"/>
        <w:w w:val="99"/>
        <w:sz w:val="24"/>
        <w:szCs w:val="24"/>
        <w:lang w:val="it-CH" w:eastAsia="en-US" w:bidi="ar-SA"/>
      </w:rPr>
    </w:lvl>
    <w:lvl w:ilvl="1" w:tplc="1E3C5CCA">
      <w:numFmt w:val="bullet"/>
      <w:lvlText w:val="•"/>
      <w:lvlJc w:val="left"/>
      <w:pPr>
        <w:ind w:left="1298" w:hanging="284"/>
      </w:pPr>
      <w:rPr>
        <w:rFonts w:hint="default"/>
        <w:lang w:val="it-CH" w:eastAsia="en-US" w:bidi="ar-SA"/>
      </w:rPr>
    </w:lvl>
    <w:lvl w:ilvl="2" w:tplc="1CC88640">
      <w:numFmt w:val="bullet"/>
      <w:lvlText w:val="•"/>
      <w:lvlJc w:val="left"/>
      <w:pPr>
        <w:ind w:left="2217" w:hanging="284"/>
      </w:pPr>
      <w:rPr>
        <w:rFonts w:hint="default"/>
        <w:lang w:val="it-CH" w:eastAsia="en-US" w:bidi="ar-SA"/>
      </w:rPr>
    </w:lvl>
    <w:lvl w:ilvl="3" w:tplc="D32486FE">
      <w:numFmt w:val="bullet"/>
      <w:lvlText w:val="•"/>
      <w:lvlJc w:val="left"/>
      <w:pPr>
        <w:ind w:left="3135" w:hanging="284"/>
      </w:pPr>
      <w:rPr>
        <w:rFonts w:hint="default"/>
        <w:lang w:val="it-CH" w:eastAsia="en-US" w:bidi="ar-SA"/>
      </w:rPr>
    </w:lvl>
    <w:lvl w:ilvl="4" w:tplc="4558B83E">
      <w:numFmt w:val="bullet"/>
      <w:lvlText w:val="•"/>
      <w:lvlJc w:val="left"/>
      <w:pPr>
        <w:ind w:left="4054" w:hanging="284"/>
      </w:pPr>
      <w:rPr>
        <w:rFonts w:hint="default"/>
        <w:lang w:val="it-CH" w:eastAsia="en-US" w:bidi="ar-SA"/>
      </w:rPr>
    </w:lvl>
    <w:lvl w:ilvl="5" w:tplc="D9985EFC">
      <w:numFmt w:val="bullet"/>
      <w:lvlText w:val="•"/>
      <w:lvlJc w:val="left"/>
      <w:pPr>
        <w:ind w:left="4973" w:hanging="284"/>
      </w:pPr>
      <w:rPr>
        <w:rFonts w:hint="default"/>
        <w:lang w:val="it-CH" w:eastAsia="en-US" w:bidi="ar-SA"/>
      </w:rPr>
    </w:lvl>
    <w:lvl w:ilvl="6" w:tplc="7D12A558">
      <w:numFmt w:val="bullet"/>
      <w:lvlText w:val="•"/>
      <w:lvlJc w:val="left"/>
      <w:pPr>
        <w:ind w:left="5891" w:hanging="284"/>
      </w:pPr>
      <w:rPr>
        <w:rFonts w:hint="default"/>
        <w:lang w:val="it-CH" w:eastAsia="en-US" w:bidi="ar-SA"/>
      </w:rPr>
    </w:lvl>
    <w:lvl w:ilvl="7" w:tplc="B91887AE">
      <w:numFmt w:val="bullet"/>
      <w:lvlText w:val="•"/>
      <w:lvlJc w:val="left"/>
      <w:pPr>
        <w:ind w:left="6810" w:hanging="284"/>
      </w:pPr>
      <w:rPr>
        <w:rFonts w:hint="default"/>
        <w:lang w:val="it-CH" w:eastAsia="en-US" w:bidi="ar-SA"/>
      </w:rPr>
    </w:lvl>
    <w:lvl w:ilvl="8" w:tplc="BA98F5F6">
      <w:numFmt w:val="bullet"/>
      <w:lvlText w:val="•"/>
      <w:lvlJc w:val="left"/>
      <w:pPr>
        <w:ind w:left="7729" w:hanging="284"/>
      </w:pPr>
      <w:rPr>
        <w:rFonts w:hint="default"/>
        <w:lang w:val="it-CH" w:eastAsia="en-US" w:bidi="ar-SA"/>
      </w:rPr>
    </w:lvl>
  </w:abstractNum>
  <w:abstractNum w:abstractNumId="11"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1DC11DC1"/>
    <w:multiLevelType w:val="hybridMultilevel"/>
    <w:tmpl w:val="E5BABABC"/>
    <w:lvl w:ilvl="0" w:tplc="0810000F">
      <w:numFmt w:val="decimal"/>
      <w:lvlText w:val="%1."/>
      <w:lvlJc w:val="left"/>
      <w:pPr>
        <w:ind w:left="2006" w:hanging="360"/>
      </w:pPr>
      <w:rPr>
        <w:rFonts w:hint="default"/>
      </w:rPr>
    </w:lvl>
    <w:lvl w:ilvl="1" w:tplc="08100019" w:tentative="1">
      <w:start w:val="1"/>
      <w:numFmt w:val="lowerLetter"/>
      <w:lvlText w:val="%2."/>
      <w:lvlJc w:val="left"/>
      <w:pPr>
        <w:ind w:left="2726" w:hanging="360"/>
      </w:pPr>
    </w:lvl>
    <w:lvl w:ilvl="2" w:tplc="0810001B" w:tentative="1">
      <w:start w:val="1"/>
      <w:numFmt w:val="lowerRoman"/>
      <w:lvlText w:val="%3."/>
      <w:lvlJc w:val="right"/>
      <w:pPr>
        <w:ind w:left="3446" w:hanging="180"/>
      </w:pPr>
    </w:lvl>
    <w:lvl w:ilvl="3" w:tplc="0810000F" w:tentative="1">
      <w:start w:val="1"/>
      <w:numFmt w:val="decimal"/>
      <w:lvlText w:val="%4."/>
      <w:lvlJc w:val="left"/>
      <w:pPr>
        <w:ind w:left="4166" w:hanging="360"/>
      </w:pPr>
    </w:lvl>
    <w:lvl w:ilvl="4" w:tplc="08100019" w:tentative="1">
      <w:start w:val="1"/>
      <w:numFmt w:val="lowerLetter"/>
      <w:lvlText w:val="%5."/>
      <w:lvlJc w:val="left"/>
      <w:pPr>
        <w:ind w:left="4886" w:hanging="360"/>
      </w:pPr>
    </w:lvl>
    <w:lvl w:ilvl="5" w:tplc="0810001B" w:tentative="1">
      <w:start w:val="1"/>
      <w:numFmt w:val="lowerRoman"/>
      <w:lvlText w:val="%6."/>
      <w:lvlJc w:val="right"/>
      <w:pPr>
        <w:ind w:left="5606" w:hanging="180"/>
      </w:pPr>
    </w:lvl>
    <w:lvl w:ilvl="6" w:tplc="0810000F" w:tentative="1">
      <w:start w:val="1"/>
      <w:numFmt w:val="decimal"/>
      <w:lvlText w:val="%7."/>
      <w:lvlJc w:val="left"/>
      <w:pPr>
        <w:ind w:left="6326" w:hanging="360"/>
      </w:pPr>
    </w:lvl>
    <w:lvl w:ilvl="7" w:tplc="08100019" w:tentative="1">
      <w:start w:val="1"/>
      <w:numFmt w:val="lowerLetter"/>
      <w:lvlText w:val="%8."/>
      <w:lvlJc w:val="left"/>
      <w:pPr>
        <w:ind w:left="7046" w:hanging="360"/>
      </w:pPr>
    </w:lvl>
    <w:lvl w:ilvl="8" w:tplc="0810001B" w:tentative="1">
      <w:start w:val="1"/>
      <w:numFmt w:val="lowerRoman"/>
      <w:lvlText w:val="%9."/>
      <w:lvlJc w:val="right"/>
      <w:pPr>
        <w:ind w:left="7766" w:hanging="180"/>
      </w:pPr>
    </w:lvl>
  </w:abstractNum>
  <w:abstractNum w:abstractNumId="13"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1EFD03D1"/>
    <w:multiLevelType w:val="hybridMultilevel"/>
    <w:tmpl w:val="12B88B8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1FC73D54"/>
    <w:multiLevelType w:val="hybridMultilevel"/>
    <w:tmpl w:val="6BBC8F1C"/>
    <w:lvl w:ilvl="0" w:tplc="468A7A60">
      <w:numFmt w:val="bullet"/>
      <w:lvlText w:val="−"/>
      <w:lvlJc w:val="left"/>
      <w:pPr>
        <w:ind w:left="720" w:hanging="360"/>
      </w:pPr>
      <w:rPr>
        <w:rFonts w:ascii="Arial" w:eastAsia="Times New Roman"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3A22692"/>
    <w:multiLevelType w:val="hybridMultilevel"/>
    <w:tmpl w:val="5492F51E"/>
    <w:lvl w:ilvl="0" w:tplc="468A7A60">
      <w:numFmt w:val="bullet"/>
      <w:lvlText w:val="−"/>
      <w:lvlJc w:val="left"/>
      <w:pPr>
        <w:ind w:left="720" w:hanging="360"/>
      </w:pPr>
      <w:rPr>
        <w:rFonts w:ascii="Arial" w:eastAsia="Times New Roman"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15:restartNumberingAfterBreak="0">
    <w:nsid w:val="23C90B98"/>
    <w:multiLevelType w:val="hybridMultilevel"/>
    <w:tmpl w:val="F5FC6016"/>
    <w:lvl w:ilvl="0" w:tplc="C2A60B2E">
      <w:numFmt w:val="bullet"/>
      <w:lvlText w:val="-"/>
      <w:lvlJc w:val="left"/>
      <w:pPr>
        <w:ind w:left="384" w:hanging="284"/>
      </w:pPr>
      <w:rPr>
        <w:rFonts w:ascii="Arial" w:eastAsia="Arial" w:hAnsi="Arial" w:cs="Arial" w:hint="default"/>
        <w:b w:val="0"/>
        <w:bCs w:val="0"/>
        <w:i w:val="0"/>
        <w:iCs w:val="0"/>
        <w:w w:val="99"/>
        <w:sz w:val="24"/>
        <w:szCs w:val="24"/>
        <w:lang w:val="it-CH" w:eastAsia="en-US" w:bidi="ar-SA"/>
      </w:rPr>
    </w:lvl>
    <w:lvl w:ilvl="1" w:tplc="08100001">
      <w:start w:val="1"/>
      <w:numFmt w:val="bullet"/>
      <w:lvlText w:val=""/>
      <w:lvlJc w:val="left"/>
      <w:pPr>
        <w:ind w:left="1298" w:hanging="284"/>
      </w:pPr>
      <w:rPr>
        <w:rFonts w:ascii="Symbol" w:hAnsi="Symbol" w:hint="default"/>
        <w:lang w:val="it-CH" w:eastAsia="en-US" w:bidi="ar-SA"/>
      </w:rPr>
    </w:lvl>
    <w:lvl w:ilvl="2" w:tplc="1CC88640">
      <w:numFmt w:val="bullet"/>
      <w:lvlText w:val="•"/>
      <w:lvlJc w:val="left"/>
      <w:pPr>
        <w:ind w:left="2217" w:hanging="284"/>
      </w:pPr>
      <w:rPr>
        <w:rFonts w:hint="default"/>
        <w:lang w:val="it-CH" w:eastAsia="en-US" w:bidi="ar-SA"/>
      </w:rPr>
    </w:lvl>
    <w:lvl w:ilvl="3" w:tplc="D32486FE">
      <w:numFmt w:val="bullet"/>
      <w:lvlText w:val="•"/>
      <w:lvlJc w:val="left"/>
      <w:pPr>
        <w:ind w:left="3135" w:hanging="284"/>
      </w:pPr>
      <w:rPr>
        <w:rFonts w:hint="default"/>
        <w:lang w:val="it-CH" w:eastAsia="en-US" w:bidi="ar-SA"/>
      </w:rPr>
    </w:lvl>
    <w:lvl w:ilvl="4" w:tplc="4558B83E">
      <w:numFmt w:val="bullet"/>
      <w:lvlText w:val="•"/>
      <w:lvlJc w:val="left"/>
      <w:pPr>
        <w:ind w:left="4054" w:hanging="284"/>
      </w:pPr>
      <w:rPr>
        <w:rFonts w:hint="default"/>
        <w:lang w:val="it-CH" w:eastAsia="en-US" w:bidi="ar-SA"/>
      </w:rPr>
    </w:lvl>
    <w:lvl w:ilvl="5" w:tplc="D9985EFC">
      <w:numFmt w:val="bullet"/>
      <w:lvlText w:val="•"/>
      <w:lvlJc w:val="left"/>
      <w:pPr>
        <w:ind w:left="4973" w:hanging="284"/>
      </w:pPr>
      <w:rPr>
        <w:rFonts w:hint="default"/>
        <w:lang w:val="it-CH" w:eastAsia="en-US" w:bidi="ar-SA"/>
      </w:rPr>
    </w:lvl>
    <w:lvl w:ilvl="6" w:tplc="7D12A558">
      <w:numFmt w:val="bullet"/>
      <w:lvlText w:val="•"/>
      <w:lvlJc w:val="left"/>
      <w:pPr>
        <w:ind w:left="5891" w:hanging="284"/>
      </w:pPr>
      <w:rPr>
        <w:rFonts w:hint="default"/>
        <w:lang w:val="it-CH" w:eastAsia="en-US" w:bidi="ar-SA"/>
      </w:rPr>
    </w:lvl>
    <w:lvl w:ilvl="7" w:tplc="B91887AE">
      <w:numFmt w:val="bullet"/>
      <w:lvlText w:val="•"/>
      <w:lvlJc w:val="left"/>
      <w:pPr>
        <w:ind w:left="6810" w:hanging="284"/>
      </w:pPr>
      <w:rPr>
        <w:rFonts w:hint="default"/>
        <w:lang w:val="it-CH" w:eastAsia="en-US" w:bidi="ar-SA"/>
      </w:rPr>
    </w:lvl>
    <w:lvl w:ilvl="8" w:tplc="BA98F5F6">
      <w:numFmt w:val="bullet"/>
      <w:lvlText w:val="•"/>
      <w:lvlJc w:val="left"/>
      <w:pPr>
        <w:ind w:left="7729" w:hanging="284"/>
      </w:pPr>
      <w:rPr>
        <w:rFonts w:hint="default"/>
        <w:lang w:val="it-CH" w:eastAsia="en-US" w:bidi="ar-SA"/>
      </w:rPr>
    </w:lvl>
  </w:abstractNum>
  <w:abstractNum w:abstractNumId="19"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2FDC4AE1"/>
    <w:multiLevelType w:val="hybridMultilevel"/>
    <w:tmpl w:val="AC8E44CE"/>
    <w:lvl w:ilvl="0" w:tplc="50D2008E">
      <w:start w:val="2"/>
      <w:numFmt w:val="bullet"/>
      <w:lvlText w:val="-"/>
      <w:lvlJc w:val="left"/>
      <w:pPr>
        <w:ind w:left="1065" w:hanging="360"/>
      </w:pPr>
      <w:rPr>
        <w:rFonts w:ascii="Arial" w:eastAsia="Arial" w:hAnsi="Arial" w:cs="Arial" w:hint="default"/>
        <w:b w:val="0"/>
      </w:rPr>
    </w:lvl>
    <w:lvl w:ilvl="1" w:tplc="08100003" w:tentative="1">
      <w:start w:val="1"/>
      <w:numFmt w:val="bullet"/>
      <w:lvlText w:val="o"/>
      <w:lvlJc w:val="left"/>
      <w:pPr>
        <w:ind w:left="1785" w:hanging="360"/>
      </w:pPr>
      <w:rPr>
        <w:rFonts w:ascii="Courier New" w:hAnsi="Courier New" w:cs="Courier New" w:hint="default"/>
      </w:rPr>
    </w:lvl>
    <w:lvl w:ilvl="2" w:tplc="08100005" w:tentative="1">
      <w:start w:val="1"/>
      <w:numFmt w:val="bullet"/>
      <w:lvlText w:val=""/>
      <w:lvlJc w:val="left"/>
      <w:pPr>
        <w:ind w:left="2505" w:hanging="360"/>
      </w:pPr>
      <w:rPr>
        <w:rFonts w:ascii="Wingdings" w:hAnsi="Wingdings" w:hint="default"/>
      </w:rPr>
    </w:lvl>
    <w:lvl w:ilvl="3" w:tplc="08100001" w:tentative="1">
      <w:start w:val="1"/>
      <w:numFmt w:val="bullet"/>
      <w:lvlText w:val=""/>
      <w:lvlJc w:val="left"/>
      <w:pPr>
        <w:ind w:left="3225" w:hanging="360"/>
      </w:pPr>
      <w:rPr>
        <w:rFonts w:ascii="Symbol" w:hAnsi="Symbol" w:hint="default"/>
      </w:rPr>
    </w:lvl>
    <w:lvl w:ilvl="4" w:tplc="08100003" w:tentative="1">
      <w:start w:val="1"/>
      <w:numFmt w:val="bullet"/>
      <w:lvlText w:val="o"/>
      <w:lvlJc w:val="left"/>
      <w:pPr>
        <w:ind w:left="3945" w:hanging="360"/>
      </w:pPr>
      <w:rPr>
        <w:rFonts w:ascii="Courier New" w:hAnsi="Courier New" w:cs="Courier New" w:hint="default"/>
      </w:rPr>
    </w:lvl>
    <w:lvl w:ilvl="5" w:tplc="08100005" w:tentative="1">
      <w:start w:val="1"/>
      <w:numFmt w:val="bullet"/>
      <w:lvlText w:val=""/>
      <w:lvlJc w:val="left"/>
      <w:pPr>
        <w:ind w:left="4665" w:hanging="360"/>
      </w:pPr>
      <w:rPr>
        <w:rFonts w:ascii="Wingdings" w:hAnsi="Wingdings" w:hint="default"/>
      </w:rPr>
    </w:lvl>
    <w:lvl w:ilvl="6" w:tplc="08100001" w:tentative="1">
      <w:start w:val="1"/>
      <w:numFmt w:val="bullet"/>
      <w:lvlText w:val=""/>
      <w:lvlJc w:val="left"/>
      <w:pPr>
        <w:ind w:left="5385" w:hanging="360"/>
      </w:pPr>
      <w:rPr>
        <w:rFonts w:ascii="Symbol" w:hAnsi="Symbol" w:hint="default"/>
      </w:rPr>
    </w:lvl>
    <w:lvl w:ilvl="7" w:tplc="08100003" w:tentative="1">
      <w:start w:val="1"/>
      <w:numFmt w:val="bullet"/>
      <w:lvlText w:val="o"/>
      <w:lvlJc w:val="left"/>
      <w:pPr>
        <w:ind w:left="6105" w:hanging="360"/>
      </w:pPr>
      <w:rPr>
        <w:rFonts w:ascii="Courier New" w:hAnsi="Courier New" w:cs="Courier New" w:hint="default"/>
      </w:rPr>
    </w:lvl>
    <w:lvl w:ilvl="8" w:tplc="08100005" w:tentative="1">
      <w:start w:val="1"/>
      <w:numFmt w:val="bullet"/>
      <w:lvlText w:val=""/>
      <w:lvlJc w:val="left"/>
      <w:pPr>
        <w:ind w:left="6825" w:hanging="360"/>
      </w:pPr>
      <w:rPr>
        <w:rFonts w:ascii="Wingdings" w:hAnsi="Wingdings" w:hint="default"/>
      </w:rPr>
    </w:lvl>
  </w:abstractNum>
  <w:abstractNum w:abstractNumId="21" w15:restartNumberingAfterBreak="0">
    <w:nsid w:val="345A1807"/>
    <w:multiLevelType w:val="hybridMultilevel"/>
    <w:tmpl w:val="F8F0C09C"/>
    <w:lvl w:ilvl="0" w:tplc="C2A60B2E">
      <w:numFmt w:val="bullet"/>
      <w:lvlText w:val="-"/>
      <w:lvlJc w:val="left"/>
      <w:pPr>
        <w:ind w:left="384" w:hanging="284"/>
      </w:pPr>
      <w:rPr>
        <w:rFonts w:ascii="Arial" w:eastAsia="Arial" w:hAnsi="Arial" w:cs="Arial" w:hint="default"/>
        <w:b w:val="0"/>
        <w:bCs w:val="0"/>
        <w:i w:val="0"/>
        <w:iCs w:val="0"/>
        <w:w w:val="99"/>
        <w:sz w:val="24"/>
        <w:szCs w:val="24"/>
        <w:lang w:val="it-CH" w:eastAsia="en-US" w:bidi="ar-SA"/>
      </w:rPr>
    </w:lvl>
    <w:lvl w:ilvl="1" w:tplc="1E3C5CCA">
      <w:numFmt w:val="bullet"/>
      <w:lvlText w:val="•"/>
      <w:lvlJc w:val="left"/>
      <w:pPr>
        <w:ind w:left="1298" w:hanging="284"/>
      </w:pPr>
      <w:rPr>
        <w:rFonts w:hint="default"/>
        <w:lang w:val="it-CH" w:eastAsia="en-US" w:bidi="ar-SA"/>
      </w:rPr>
    </w:lvl>
    <w:lvl w:ilvl="2" w:tplc="1CC88640">
      <w:numFmt w:val="bullet"/>
      <w:lvlText w:val="•"/>
      <w:lvlJc w:val="left"/>
      <w:pPr>
        <w:ind w:left="2217" w:hanging="284"/>
      </w:pPr>
      <w:rPr>
        <w:rFonts w:hint="default"/>
        <w:lang w:val="it-CH" w:eastAsia="en-US" w:bidi="ar-SA"/>
      </w:rPr>
    </w:lvl>
    <w:lvl w:ilvl="3" w:tplc="D32486FE">
      <w:numFmt w:val="bullet"/>
      <w:lvlText w:val="•"/>
      <w:lvlJc w:val="left"/>
      <w:pPr>
        <w:ind w:left="3135" w:hanging="284"/>
      </w:pPr>
      <w:rPr>
        <w:rFonts w:hint="default"/>
        <w:lang w:val="it-CH" w:eastAsia="en-US" w:bidi="ar-SA"/>
      </w:rPr>
    </w:lvl>
    <w:lvl w:ilvl="4" w:tplc="4558B83E">
      <w:numFmt w:val="bullet"/>
      <w:lvlText w:val="•"/>
      <w:lvlJc w:val="left"/>
      <w:pPr>
        <w:ind w:left="4054" w:hanging="284"/>
      </w:pPr>
      <w:rPr>
        <w:rFonts w:hint="default"/>
        <w:lang w:val="it-CH" w:eastAsia="en-US" w:bidi="ar-SA"/>
      </w:rPr>
    </w:lvl>
    <w:lvl w:ilvl="5" w:tplc="D9985EFC">
      <w:numFmt w:val="bullet"/>
      <w:lvlText w:val="•"/>
      <w:lvlJc w:val="left"/>
      <w:pPr>
        <w:ind w:left="4973" w:hanging="284"/>
      </w:pPr>
      <w:rPr>
        <w:rFonts w:hint="default"/>
        <w:lang w:val="it-CH" w:eastAsia="en-US" w:bidi="ar-SA"/>
      </w:rPr>
    </w:lvl>
    <w:lvl w:ilvl="6" w:tplc="7D12A558">
      <w:numFmt w:val="bullet"/>
      <w:lvlText w:val="•"/>
      <w:lvlJc w:val="left"/>
      <w:pPr>
        <w:ind w:left="5891" w:hanging="284"/>
      </w:pPr>
      <w:rPr>
        <w:rFonts w:hint="default"/>
        <w:lang w:val="it-CH" w:eastAsia="en-US" w:bidi="ar-SA"/>
      </w:rPr>
    </w:lvl>
    <w:lvl w:ilvl="7" w:tplc="B91887AE">
      <w:numFmt w:val="bullet"/>
      <w:lvlText w:val="•"/>
      <w:lvlJc w:val="left"/>
      <w:pPr>
        <w:ind w:left="6810" w:hanging="284"/>
      </w:pPr>
      <w:rPr>
        <w:rFonts w:hint="default"/>
        <w:lang w:val="it-CH" w:eastAsia="en-US" w:bidi="ar-SA"/>
      </w:rPr>
    </w:lvl>
    <w:lvl w:ilvl="8" w:tplc="BA98F5F6">
      <w:numFmt w:val="bullet"/>
      <w:lvlText w:val="•"/>
      <w:lvlJc w:val="left"/>
      <w:pPr>
        <w:ind w:left="7729" w:hanging="284"/>
      </w:pPr>
      <w:rPr>
        <w:rFonts w:hint="default"/>
        <w:lang w:val="it-CH" w:eastAsia="en-US" w:bidi="ar-SA"/>
      </w:rPr>
    </w:lvl>
  </w:abstractNum>
  <w:abstractNum w:abstractNumId="22"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3"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4" w15:restartNumberingAfterBreak="0">
    <w:nsid w:val="49D524CC"/>
    <w:multiLevelType w:val="multilevel"/>
    <w:tmpl w:val="953CA1B2"/>
    <w:numStyleLink w:val="HeadingList"/>
  </w:abstractNum>
  <w:abstractNum w:abstractNumId="25" w15:restartNumberingAfterBreak="0">
    <w:nsid w:val="5D392585"/>
    <w:multiLevelType w:val="hybridMultilevel"/>
    <w:tmpl w:val="3752C87E"/>
    <w:lvl w:ilvl="0" w:tplc="2D0C8EFA">
      <w:start w:val="1"/>
      <w:numFmt w:val="bullet"/>
      <w:lvlText w:val="-"/>
      <w:lvlJc w:val="left"/>
      <w:pPr>
        <w:ind w:left="384" w:hanging="284"/>
      </w:pPr>
      <w:rPr>
        <w:rFonts w:ascii="Arial" w:hAnsi="Arial" w:hint="default"/>
        <w:b w:val="0"/>
        <w:bCs w:val="0"/>
        <w:i w:val="0"/>
        <w:iCs w:val="0"/>
        <w:w w:val="99"/>
        <w:sz w:val="24"/>
        <w:szCs w:val="24"/>
        <w:lang w:val="it-CH" w:eastAsia="en-US" w:bidi="ar-SA"/>
      </w:rPr>
    </w:lvl>
    <w:lvl w:ilvl="1" w:tplc="1E3C5CCA">
      <w:numFmt w:val="bullet"/>
      <w:lvlText w:val="•"/>
      <w:lvlJc w:val="left"/>
      <w:pPr>
        <w:ind w:left="1298" w:hanging="284"/>
      </w:pPr>
      <w:rPr>
        <w:rFonts w:hint="default"/>
        <w:lang w:val="it-CH" w:eastAsia="en-US" w:bidi="ar-SA"/>
      </w:rPr>
    </w:lvl>
    <w:lvl w:ilvl="2" w:tplc="1CC88640">
      <w:numFmt w:val="bullet"/>
      <w:lvlText w:val="•"/>
      <w:lvlJc w:val="left"/>
      <w:pPr>
        <w:ind w:left="2217" w:hanging="284"/>
      </w:pPr>
      <w:rPr>
        <w:rFonts w:hint="default"/>
        <w:lang w:val="it-CH" w:eastAsia="en-US" w:bidi="ar-SA"/>
      </w:rPr>
    </w:lvl>
    <w:lvl w:ilvl="3" w:tplc="D32486FE">
      <w:numFmt w:val="bullet"/>
      <w:lvlText w:val="•"/>
      <w:lvlJc w:val="left"/>
      <w:pPr>
        <w:ind w:left="3135" w:hanging="284"/>
      </w:pPr>
      <w:rPr>
        <w:rFonts w:hint="default"/>
        <w:lang w:val="it-CH" w:eastAsia="en-US" w:bidi="ar-SA"/>
      </w:rPr>
    </w:lvl>
    <w:lvl w:ilvl="4" w:tplc="4558B83E">
      <w:numFmt w:val="bullet"/>
      <w:lvlText w:val="•"/>
      <w:lvlJc w:val="left"/>
      <w:pPr>
        <w:ind w:left="4054" w:hanging="284"/>
      </w:pPr>
      <w:rPr>
        <w:rFonts w:hint="default"/>
        <w:lang w:val="it-CH" w:eastAsia="en-US" w:bidi="ar-SA"/>
      </w:rPr>
    </w:lvl>
    <w:lvl w:ilvl="5" w:tplc="D9985EFC">
      <w:numFmt w:val="bullet"/>
      <w:lvlText w:val="•"/>
      <w:lvlJc w:val="left"/>
      <w:pPr>
        <w:ind w:left="4973" w:hanging="284"/>
      </w:pPr>
      <w:rPr>
        <w:rFonts w:hint="default"/>
        <w:lang w:val="it-CH" w:eastAsia="en-US" w:bidi="ar-SA"/>
      </w:rPr>
    </w:lvl>
    <w:lvl w:ilvl="6" w:tplc="7D12A558">
      <w:numFmt w:val="bullet"/>
      <w:lvlText w:val="•"/>
      <w:lvlJc w:val="left"/>
      <w:pPr>
        <w:ind w:left="5891" w:hanging="284"/>
      </w:pPr>
      <w:rPr>
        <w:rFonts w:hint="default"/>
        <w:lang w:val="it-CH" w:eastAsia="en-US" w:bidi="ar-SA"/>
      </w:rPr>
    </w:lvl>
    <w:lvl w:ilvl="7" w:tplc="B91887AE">
      <w:numFmt w:val="bullet"/>
      <w:lvlText w:val="•"/>
      <w:lvlJc w:val="left"/>
      <w:pPr>
        <w:ind w:left="6810" w:hanging="284"/>
      </w:pPr>
      <w:rPr>
        <w:rFonts w:hint="default"/>
        <w:lang w:val="it-CH" w:eastAsia="en-US" w:bidi="ar-SA"/>
      </w:rPr>
    </w:lvl>
    <w:lvl w:ilvl="8" w:tplc="BA98F5F6">
      <w:numFmt w:val="bullet"/>
      <w:lvlText w:val="•"/>
      <w:lvlJc w:val="left"/>
      <w:pPr>
        <w:ind w:left="7729" w:hanging="284"/>
      </w:pPr>
      <w:rPr>
        <w:rFonts w:hint="default"/>
        <w:lang w:val="it-CH" w:eastAsia="en-US" w:bidi="ar-SA"/>
      </w:rPr>
    </w:lvl>
  </w:abstractNum>
  <w:abstractNum w:abstractNumId="26" w15:restartNumberingAfterBreak="0">
    <w:nsid w:val="660B05E5"/>
    <w:multiLevelType w:val="hybridMultilevel"/>
    <w:tmpl w:val="87C06F80"/>
    <w:lvl w:ilvl="0" w:tplc="2D0C8EF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7" w15:restartNumberingAfterBreak="0">
    <w:nsid w:val="68555A36"/>
    <w:multiLevelType w:val="hybridMultilevel"/>
    <w:tmpl w:val="F850D8D4"/>
    <w:lvl w:ilvl="0" w:tplc="FCCA7AF2">
      <w:start w:val="8117"/>
      <w:numFmt w:val="bullet"/>
      <w:lvlText w:val="-"/>
      <w:lvlJc w:val="left"/>
      <w:pPr>
        <w:ind w:left="720" w:hanging="360"/>
      </w:pPr>
      <w:rPr>
        <w:rFonts w:ascii="Arial" w:eastAsiaTheme="minorEastAsia"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8" w15:restartNumberingAfterBreak="0">
    <w:nsid w:val="68BB2556"/>
    <w:multiLevelType w:val="hybridMultilevel"/>
    <w:tmpl w:val="F8BE4574"/>
    <w:lvl w:ilvl="0" w:tplc="2D0C8EFA">
      <w:start w:val="1"/>
      <w:numFmt w:val="bullet"/>
      <w:lvlText w:val="-"/>
      <w:lvlJc w:val="left"/>
      <w:pPr>
        <w:ind w:left="384" w:hanging="284"/>
      </w:pPr>
      <w:rPr>
        <w:rFonts w:ascii="Arial" w:hAnsi="Arial" w:hint="default"/>
        <w:b w:val="0"/>
        <w:bCs w:val="0"/>
        <w:i w:val="0"/>
        <w:iCs w:val="0"/>
        <w:w w:val="99"/>
        <w:sz w:val="24"/>
        <w:szCs w:val="24"/>
        <w:lang w:val="it-CH" w:eastAsia="en-US" w:bidi="ar-SA"/>
      </w:rPr>
    </w:lvl>
    <w:lvl w:ilvl="1" w:tplc="1E3C5CCA">
      <w:numFmt w:val="bullet"/>
      <w:lvlText w:val="•"/>
      <w:lvlJc w:val="left"/>
      <w:pPr>
        <w:ind w:left="1298" w:hanging="284"/>
      </w:pPr>
      <w:rPr>
        <w:rFonts w:hint="default"/>
        <w:lang w:val="it-CH" w:eastAsia="en-US" w:bidi="ar-SA"/>
      </w:rPr>
    </w:lvl>
    <w:lvl w:ilvl="2" w:tplc="1CC88640">
      <w:numFmt w:val="bullet"/>
      <w:lvlText w:val="•"/>
      <w:lvlJc w:val="left"/>
      <w:pPr>
        <w:ind w:left="2217" w:hanging="284"/>
      </w:pPr>
      <w:rPr>
        <w:rFonts w:hint="default"/>
        <w:lang w:val="it-CH" w:eastAsia="en-US" w:bidi="ar-SA"/>
      </w:rPr>
    </w:lvl>
    <w:lvl w:ilvl="3" w:tplc="D32486FE">
      <w:numFmt w:val="bullet"/>
      <w:lvlText w:val="•"/>
      <w:lvlJc w:val="left"/>
      <w:pPr>
        <w:ind w:left="3135" w:hanging="284"/>
      </w:pPr>
      <w:rPr>
        <w:rFonts w:hint="default"/>
        <w:lang w:val="it-CH" w:eastAsia="en-US" w:bidi="ar-SA"/>
      </w:rPr>
    </w:lvl>
    <w:lvl w:ilvl="4" w:tplc="4558B83E">
      <w:numFmt w:val="bullet"/>
      <w:lvlText w:val="•"/>
      <w:lvlJc w:val="left"/>
      <w:pPr>
        <w:ind w:left="4054" w:hanging="284"/>
      </w:pPr>
      <w:rPr>
        <w:rFonts w:hint="default"/>
        <w:lang w:val="it-CH" w:eastAsia="en-US" w:bidi="ar-SA"/>
      </w:rPr>
    </w:lvl>
    <w:lvl w:ilvl="5" w:tplc="D9985EFC">
      <w:numFmt w:val="bullet"/>
      <w:lvlText w:val="•"/>
      <w:lvlJc w:val="left"/>
      <w:pPr>
        <w:ind w:left="4973" w:hanging="284"/>
      </w:pPr>
      <w:rPr>
        <w:rFonts w:hint="default"/>
        <w:lang w:val="it-CH" w:eastAsia="en-US" w:bidi="ar-SA"/>
      </w:rPr>
    </w:lvl>
    <w:lvl w:ilvl="6" w:tplc="7D12A558">
      <w:numFmt w:val="bullet"/>
      <w:lvlText w:val="•"/>
      <w:lvlJc w:val="left"/>
      <w:pPr>
        <w:ind w:left="5891" w:hanging="284"/>
      </w:pPr>
      <w:rPr>
        <w:rFonts w:hint="default"/>
        <w:lang w:val="it-CH" w:eastAsia="en-US" w:bidi="ar-SA"/>
      </w:rPr>
    </w:lvl>
    <w:lvl w:ilvl="7" w:tplc="B91887AE">
      <w:numFmt w:val="bullet"/>
      <w:lvlText w:val="•"/>
      <w:lvlJc w:val="left"/>
      <w:pPr>
        <w:ind w:left="6810" w:hanging="284"/>
      </w:pPr>
      <w:rPr>
        <w:rFonts w:hint="default"/>
        <w:lang w:val="it-CH" w:eastAsia="en-US" w:bidi="ar-SA"/>
      </w:rPr>
    </w:lvl>
    <w:lvl w:ilvl="8" w:tplc="BA98F5F6">
      <w:numFmt w:val="bullet"/>
      <w:lvlText w:val="•"/>
      <w:lvlJc w:val="left"/>
      <w:pPr>
        <w:ind w:left="7729" w:hanging="284"/>
      </w:pPr>
      <w:rPr>
        <w:rFonts w:hint="default"/>
        <w:lang w:val="it-CH" w:eastAsia="en-US" w:bidi="ar-SA"/>
      </w:rPr>
    </w:lvl>
  </w:abstractNum>
  <w:abstractNum w:abstractNumId="29" w15:restartNumberingAfterBreak="0">
    <w:nsid w:val="6AF86F3D"/>
    <w:multiLevelType w:val="hybridMultilevel"/>
    <w:tmpl w:val="B08A1EB0"/>
    <w:lvl w:ilvl="0" w:tplc="2D0C8EFA">
      <w:start w:val="1"/>
      <w:numFmt w:val="bullet"/>
      <w:lvlText w:val="-"/>
      <w:lvlJc w:val="left"/>
      <w:pPr>
        <w:ind w:left="1104" w:hanging="360"/>
      </w:pPr>
      <w:rPr>
        <w:rFonts w:ascii="Arial" w:hAnsi="Arial" w:hint="default"/>
      </w:rPr>
    </w:lvl>
    <w:lvl w:ilvl="1" w:tplc="08100003" w:tentative="1">
      <w:start w:val="1"/>
      <w:numFmt w:val="bullet"/>
      <w:lvlText w:val="o"/>
      <w:lvlJc w:val="left"/>
      <w:pPr>
        <w:ind w:left="1824" w:hanging="360"/>
      </w:pPr>
      <w:rPr>
        <w:rFonts w:ascii="Courier New" w:hAnsi="Courier New" w:cs="Courier New" w:hint="default"/>
      </w:rPr>
    </w:lvl>
    <w:lvl w:ilvl="2" w:tplc="08100005" w:tentative="1">
      <w:start w:val="1"/>
      <w:numFmt w:val="bullet"/>
      <w:lvlText w:val=""/>
      <w:lvlJc w:val="left"/>
      <w:pPr>
        <w:ind w:left="2544" w:hanging="360"/>
      </w:pPr>
      <w:rPr>
        <w:rFonts w:ascii="Wingdings" w:hAnsi="Wingdings" w:hint="default"/>
      </w:rPr>
    </w:lvl>
    <w:lvl w:ilvl="3" w:tplc="08100001" w:tentative="1">
      <w:start w:val="1"/>
      <w:numFmt w:val="bullet"/>
      <w:lvlText w:val=""/>
      <w:lvlJc w:val="left"/>
      <w:pPr>
        <w:ind w:left="3264" w:hanging="360"/>
      </w:pPr>
      <w:rPr>
        <w:rFonts w:ascii="Symbol" w:hAnsi="Symbol" w:hint="default"/>
      </w:rPr>
    </w:lvl>
    <w:lvl w:ilvl="4" w:tplc="08100003" w:tentative="1">
      <w:start w:val="1"/>
      <w:numFmt w:val="bullet"/>
      <w:lvlText w:val="o"/>
      <w:lvlJc w:val="left"/>
      <w:pPr>
        <w:ind w:left="3984" w:hanging="360"/>
      </w:pPr>
      <w:rPr>
        <w:rFonts w:ascii="Courier New" w:hAnsi="Courier New" w:cs="Courier New" w:hint="default"/>
      </w:rPr>
    </w:lvl>
    <w:lvl w:ilvl="5" w:tplc="08100005" w:tentative="1">
      <w:start w:val="1"/>
      <w:numFmt w:val="bullet"/>
      <w:lvlText w:val=""/>
      <w:lvlJc w:val="left"/>
      <w:pPr>
        <w:ind w:left="4704" w:hanging="360"/>
      </w:pPr>
      <w:rPr>
        <w:rFonts w:ascii="Wingdings" w:hAnsi="Wingdings" w:hint="default"/>
      </w:rPr>
    </w:lvl>
    <w:lvl w:ilvl="6" w:tplc="08100001" w:tentative="1">
      <w:start w:val="1"/>
      <w:numFmt w:val="bullet"/>
      <w:lvlText w:val=""/>
      <w:lvlJc w:val="left"/>
      <w:pPr>
        <w:ind w:left="5424" w:hanging="360"/>
      </w:pPr>
      <w:rPr>
        <w:rFonts w:ascii="Symbol" w:hAnsi="Symbol" w:hint="default"/>
      </w:rPr>
    </w:lvl>
    <w:lvl w:ilvl="7" w:tplc="08100003" w:tentative="1">
      <w:start w:val="1"/>
      <w:numFmt w:val="bullet"/>
      <w:lvlText w:val="o"/>
      <w:lvlJc w:val="left"/>
      <w:pPr>
        <w:ind w:left="6144" w:hanging="360"/>
      </w:pPr>
      <w:rPr>
        <w:rFonts w:ascii="Courier New" w:hAnsi="Courier New" w:cs="Courier New" w:hint="default"/>
      </w:rPr>
    </w:lvl>
    <w:lvl w:ilvl="8" w:tplc="08100005" w:tentative="1">
      <w:start w:val="1"/>
      <w:numFmt w:val="bullet"/>
      <w:lvlText w:val=""/>
      <w:lvlJc w:val="left"/>
      <w:pPr>
        <w:ind w:left="6864" w:hanging="360"/>
      </w:pPr>
      <w:rPr>
        <w:rFonts w:ascii="Wingdings" w:hAnsi="Wingdings" w:hint="default"/>
      </w:rPr>
    </w:lvl>
  </w:abstractNum>
  <w:abstractNum w:abstractNumId="30" w15:restartNumberingAfterBreak="0">
    <w:nsid w:val="6B1A23F1"/>
    <w:multiLevelType w:val="hybridMultilevel"/>
    <w:tmpl w:val="FCEE008E"/>
    <w:lvl w:ilvl="0" w:tplc="C2A60B2E">
      <w:numFmt w:val="bullet"/>
      <w:lvlText w:val="-"/>
      <w:lvlJc w:val="left"/>
      <w:pPr>
        <w:ind w:left="384" w:hanging="284"/>
      </w:pPr>
      <w:rPr>
        <w:rFonts w:ascii="Arial" w:eastAsia="Arial" w:hAnsi="Arial" w:cs="Arial" w:hint="default"/>
        <w:b w:val="0"/>
        <w:bCs w:val="0"/>
        <w:i w:val="0"/>
        <w:iCs w:val="0"/>
        <w:w w:val="99"/>
        <w:sz w:val="24"/>
        <w:szCs w:val="24"/>
        <w:lang w:val="it-CH" w:eastAsia="en-US" w:bidi="ar-SA"/>
      </w:rPr>
    </w:lvl>
    <w:lvl w:ilvl="1" w:tplc="08100001">
      <w:start w:val="1"/>
      <w:numFmt w:val="bullet"/>
      <w:lvlText w:val=""/>
      <w:lvlJc w:val="left"/>
      <w:pPr>
        <w:ind w:left="1298" w:hanging="284"/>
      </w:pPr>
      <w:rPr>
        <w:rFonts w:ascii="Symbol" w:hAnsi="Symbol" w:hint="default"/>
        <w:lang w:val="it-CH" w:eastAsia="en-US" w:bidi="ar-SA"/>
      </w:rPr>
    </w:lvl>
    <w:lvl w:ilvl="2" w:tplc="1CC88640">
      <w:numFmt w:val="bullet"/>
      <w:lvlText w:val="•"/>
      <w:lvlJc w:val="left"/>
      <w:pPr>
        <w:ind w:left="2217" w:hanging="284"/>
      </w:pPr>
      <w:rPr>
        <w:rFonts w:hint="default"/>
        <w:lang w:val="it-CH" w:eastAsia="en-US" w:bidi="ar-SA"/>
      </w:rPr>
    </w:lvl>
    <w:lvl w:ilvl="3" w:tplc="D32486FE">
      <w:numFmt w:val="bullet"/>
      <w:lvlText w:val="•"/>
      <w:lvlJc w:val="left"/>
      <w:pPr>
        <w:ind w:left="3135" w:hanging="284"/>
      </w:pPr>
      <w:rPr>
        <w:rFonts w:hint="default"/>
        <w:lang w:val="it-CH" w:eastAsia="en-US" w:bidi="ar-SA"/>
      </w:rPr>
    </w:lvl>
    <w:lvl w:ilvl="4" w:tplc="4558B83E">
      <w:numFmt w:val="bullet"/>
      <w:lvlText w:val="•"/>
      <w:lvlJc w:val="left"/>
      <w:pPr>
        <w:ind w:left="4054" w:hanging="284"/>
      </w:pPr>
      <w:rPr>
        <w:rFonts w:hint="default"/>
        <w:lang w:val="it-CH" w:eastAsia="en-US" w:bidi="ar-SA"/>
      </w:rPr>
    </w:lvl>
    <w:lvl w:ilvl="5" w:tplc="D9985EFC">
      <w:numFmt w:val="bullet"/>
      <w:lvlText w:val="•"/>
      <w:lvlJc w:val="left"/>
      <w:pPr>
        <w:ind w:left="4973" w:hanging="284"/>
      </w:pPr>
      <w:rPr>
        <w:rFonts w:hint="default"/>
        <w:lang w:val="it-CH" w:eastAsia="en-US" w:bidi="ar-SA"/>
      </w:rPr>
    </w:lvl>
    <w:lvl w:ilvl="6" w:tplc="7D12A558">
      <w:numFmt w:val="bullet"/>
      <w:lvlText w:val="•"/>
      <w:lvlJc w:val="left"/>
      <w:pPr>
        <w:ind w:left="5891" w:hanging="284"/>
      </w:pPr>
      <w:rPr>
        <w:rFonts w:hint="default"/>
        <w:lang w:val="it-CH" w:eastAsia="en-US" w:bidi="ar-SA"/>
      </w:rPr>
    </w:lvl>
    <w:lvl w:ilvl="7" w:tplc="B91887AE">
      <w:numFmt w:val="bullet"/>
      <w:lvlText w:val="•"/>
      <w:lvlJc w:val="left"/>
      <w:pPr>
        <w:ind w:left="6810" w:hanging="284"/>
      </w:pPr>
      <w:rPr>
        <w:rFonts w:hint="default"/>
        <w:lang w:val="it-CH" w:eastAsia="en-US" w:bidi="ar-SA"/>
      </w:rPr>
    </w:lvl>
    <w:lvl w:ilvl="8" w:tplc="BA98F5F6">
      <w:numFmt w:val="bullet"/>
      <w:lvlText w:val="•"/>
      <w:lvlJc w:val="left"/>
      <w:pPr>
        <w:ind w:left="7729" w:hanging="284"/>
      </w:pPr>
      <w:rPr>
        <w:rFonts w:hint="default"/>
        <w:lang w:val="it-CH" w:eastAsia="en-US" w:bidi="ar-SA"/>
      </w:rPr>
    </w:lvl>
  </w:abstractNum>
  <w:abstractNum w:abstractNumId="31" w15:restartNumberingAfterBreak="0">
    <w:nsid w:val="7BAE0615"/>
    <w:multiLevelType w:val="hybridMultilevel"/>
    <w:tmpl w:val="F5B61012"/>
    <w:lvl w:ilvl="0" w:tplc="2D0C8EFA">
      <w:start w:val="1"/>
      <w:numFmt w:val="bullet"/>
      <w:lvlText w:val="-"/>
      <w:lvlJc w:val="left"/>
      <w:pPr>
        <w:ind w:left="384" w:hanging="284"/>
      </w:pPr>
      <w:rPr>
        <w:rFonts w:ascii="Arial" w:hAnsi="Arial" w:hint="default"/>
        <w:b w:val="0"/>
        <w:bCs w:val="0"/>
        <w:i w:val="0"/>
        <w:iCs w:val="0"/>
        <w:w w:val="99"/>
        <w:sz w:val="24"/>
        <w:szCs w:val="24"/>
        <w:lang w:val="it-CH" w:eastAsia="en-US" w:bidi="ar-SA"/>
      </w:rPr>
    </w:lvl>
    <w:lvl w:ilvl="1" w:tplc="1E3C5CCA">
      <w:numFmt w:val="bullet"/>
      <w:lvlText w:val="•"/>
      <w:lvlJc w:val="left"/>
      <w:pPr>
        <w:ind w:left="1298" w:hanging="284"/>
      </w:pPr>
      <w:rPr>
        <w:rFonts w:hint="default"/>
        <w:lang w:val="it-CH" w:eastAsia="en-US" w:bidi="ar-SA"/>
      </w:rPr>
    </w:lvl>
    <w:lvl w:ilvl="2" w:tplc="1CC88640">
      <w:numFmt w:val="bullet"/>
      <w:lvlText w:val="•"/>
      <w:lvlJc w:val="left"/>
      <w:pPr>
        <w:ind w:left="2217" w:hanging="284"/>
      </w:pPr>
      <w:rPr>
        <w:rFonts w:hint="default"/>
        <w:lang w:val="it-CH" w:eastAsia="en-US" w:bidi="ar-SA"/>
      </w:rPr>
    </w:lvl>
    <w:lvl w:ilvl="3" w:tplc="D32486FE">
      <w:numFmt w:val="bullet"/>
      <w:lvlText w:val="•"/>
      <w:lvlJc w:val="left"/>
      <w:pPr>
        <w:ind w:left="3135" w:hanging="284"/>
      </w:pPr>
      <w:rPr>
        <w:rFonts w:hint="default"/>
        <w:lang w:val="it-CH" w:eastAsia="en-US" w:bidi="ar-SA"/>
      </w:rPr>
    </w:lvl>
    <w:lvl w:ilvl="4" w:tplc="4558B83E">
      <w:numFmt w:val="bullet"/>
      <w:lvlText w:val="•"/>
      <w:lvlJc w:val="left"/>
      <w:pPr>
        <w:ind w:left="4054" w:hanging="284"/>
      </w:pPr>
      <w:rPr>
        <w:rFonts w:hint="default"/>
        <w:lang w:val="it-CH" w:eastAsia="en-US" w:bidi="ar-SA"/>
      </w:rPr>
    </w:lvl>
    <w:lvl w:ilvl="5" w:tplc="D9985EFC">
      <w:numFmt w:val="bullet"/>
      <w:lvlText w:val="•"/>
      <w:lvlJc w:val="left"/>
      <w:pPr>
        <w:ind w:left="4973" w:hanging="284"/>
      </w:pPr>
      <w:rPr>
        <w:rFonts w:hint="default"/>
        <w:lang w:val="it-CH" w:eastAsia="en-US" w:bidi="ar-SA"/>
      </w:rPr>
    </w:lvl>
    <w:lvl w:ilvl="6" w:tplc="7D12A558">
      <w:numFmt w:val="bullet"/>
      <w:lvlText w:val="•"/>
      <w:lvlJc w:val="left"/>
      <w:pPr>
        <w:ind w:left="5891" w:hanging="284"/>
      </w:pPr>
      <w:rPr>
        <w:rFonts w:hint="default"/>
        <w:lang w:val="it-CH" w:eastAsia="en-US" w:bidi="ar-SA"/>
      </w:rPr>
    </w:lvl>
    <w:lvl w:ilvl="7" w:tplc="B91887AE">
      <w:numFmt w:val="bullet"/>
      <w:lvlText w:val="•"/>
      <w:lvlJc w:val="left"/>
      <w:pPr>
        <w:ind w:left="6810" w:hanging="284"/>
      </w:pPr>
      <w:rPr>
        <w:rFonts w:hint="default"/>
        <w:lang w:val="it-CH" w:eastAsia="en-US" w:bidi="ar-SA"/>
      </w:rPr>
    </w:lvl>
    <w:lvl w:ilvl="8" w:tplc="BA98F5F6">
      <w:numFmt w:val="bullet"/>
      <w:lvlText w:val="•"/>
      <w:lvlJc w:val="left"/>
      <w:pPr>
        <w:ind w:left="7729" w:hanging="284"/>
      </w:pPr>
      <w:rPr>
        <w:rFonts w:hint="default"/>
        <w:lang w:val="it-CH" w:eastAsia="en-US" w:bidi="ar-SA"/>
      </w:rPr>
    </w:lvl>
  </w:abstractNum>
  <w:abstractNum w:abstractNumId="32" w15:restartNumberingAfterBreak="0">
    <w:nsid w:val="7E13016F"/>
    <w:multiLevelType w:val="hybridMultilevel"/>
    <w:tmpl w:val="65C4818A"/>
    <w:lvl w:ilvl="0" w:tplc="2D0C8EF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3"/>
  </w:num>
  <w:num w:numId="2">
    <w:abstractNumId w:val="24"/>
    <w:lvlOverride w:ilvl="0">
      <w:lvl w:ilvl="0">
        <w:start w:val="1"/>
        <w:numFmt w:val="decimal"/>
        <w:lvlText w:val="%1"/>
        <w:lvlJc w:val="left"/>
        <w:pPr>
          <w:ind w:left="363" w:hanging="363"/>
        </w:pPr>
        <w:rPr>
          <w:rFonts w:ascii="Arial" w:hAnsi="Arial" w:cs="Arial" w:hint="default"/>
        </w:rPr>
      </w:lvl>
    </w:lvlOverride>
  </w:num>
  <w:num w:numId="3">
    <w:abstractNumId w:val="11"/>
  </w:num>
  <w:num w:numId="4">
    <w:abstractNumId w:val="23"/>
  </w:num>
  <w:num w:numId="5">
    <w:abstractNumId w:val="22"/>
  </w:num>
  <w:num w:numId="6">
    <w:abstractNumId w:val="16"/>
  </w:num>
  <w:num w:numId="7">
    <w:abstractNumId w:val="19"/>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4"/>
  </w:num>
  <w:num w:numId="19">
    <w:abstractNumId w:val="15"/>
  </w:num>
  <w:num w:numId="20">
    <w:abstractNumId w:val="17"/>
  </w:num>
  <w:num w:numId="21">
    <w:abstractNumId w:val="20"/>
  </w:num>
  <w:num w:numId="22">
    <w:abstractNumId w:val="27"/>
  </w:num>
  <w:num w:numId="23">
    <w:abstractNumId w:val="12"/>
  </w:num>
  <w:num w:numId="24">
    <w:abstractNumId w:val="21"/>
  </w:num>
  <w:num w:numId="25">
    <w:abstractNumId w:val="28"/>
  </w:num>
  <w:num w:numId="26">
    <w:abstractNumId w:val="18"/>
  </w:num>
  <w:num w:numId="27">
    <w:abstractNumId w:val="25"/>
  </w:num>
  <w:num w:numId="28">
    <w:abstractNumId w:val="10"/>
  </w:num>
  <w:num w:numId="29">
    <w:abstractNumId w:val="31"/>
  </w:num>
  <w:num w:numId="30">
    <w:abstractNumId w:val="29"/>
  </w:num>
  <w:num w:numId="31">
    <w:abstractNumId w:val="30"/>
  </w:num>
  <w:num w:numId="32">
    <w:abstractNumId w:val="14"/>
  </w:num>
  <w:num w:numId="33">
    <w:abstractNumId w:val="26"/>
  </w:num>
  <w:num w:numId="34">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ABD"/>
    <w:rsid w:val="00003444"/>
    <w:rsid w:val="00022EF3"/>
    <w:rsid w:val="00106992"/>
    <w:rsid w:val="00247812"/>
    <w:rsid w:val="00292ABD"/>
    <w:rsid w:val="002B5D9F"/>
    <w:rsid w:val="002C54EF"/>
    <w:rsid w:val="003313AC"/>
    <w:rsid w:val="003B756D"/>
    <w:rsid w:val="00403ADB"/>
    <w:rsid w:val="00572FD3"/>
    <w:rsid w:val="0062758D"/>
    <w:rsid w:val="008720C4"/>
    <w:rsid w:val="008F52AF"/>
    <w:rsid w:val="00933383"/>
    <w:rsid w:val="009C5E5A"/>
    <w:rsid w:val="00AF0268"/>
    <w:rsid w:val="00B144F5"/>
    <w:rsid w:val="00B2138C"/>
    <w:rsid w:val="00B255DC"/>
    <w:rsid w:val="00BF0A1F"/>
    <w:rsid w:val="00D33940"/>
    <w:rsid w:val="00D600FD"/>
    <w:rsid w:val="00D649A8"/>
    <w:rsid w:val="00E60DC2"/>
    <w:rsid w:val="00E90A1F"/>
    <w:rsid w:val="00EB088A"/>
    <w:rsid w:val="00F657BF"/>
    <w:rsid w:val="00F8760D"/>
    <w:rsid w:val="00FD33A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3A1F87F6"/>
  <w15:docId w15:val="{4C9A69A9-2914-4F18-BE8E-14243E22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iPriority w:val="9"/>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aliases w:val="Footnote symbol"/>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table" w:customStyle="1" w:styleId="Grigliatabella1">
    <w:name w:val="Griglia tabella1"/>
    <w:basedOn w:val="Tabellanormale"/>
    <w:next w:val="Grigliatabella"/>
    <w:uiPriority w:val="59"/>
    <w:rsid w:val="00292ABD"/>
    <w:pPr>
      <w:jc w:val="left"/>
    </w:pPr>
    <w:rPr>
      <w:lang w:val="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rsid w:val="0029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93338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33383"/>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26" Type="http://schemas.openxmlformats.org/officeDocument/2006/relationships/image" Target="media/image10.sv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8.sv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4.svg"/><Relationship Id="rId29" Type="http://schemas.openxmlformats.org/officeDocument/2006/relationships/image" Target="media/image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i.ch/casidirigore" TargetMode="External"/><Relationship Id="rId24" Type="http://schemas.openxmlformats.org/officeDocument/2006/relationships/image" Target="media/image8.svg"/><Relationship Id="rId32" Type="http://schemas.openxmlformats.org/officeDocument/2006/relationships/image" Target="media/image16.svg"/><Relationship Id="rId37" Type="http://schemas.openxmlformats.org/officeDocument/2006/relationships/image" Target="media/image12.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2.svg"/><Relationship Id="rId36" Type="http://schemas.openxmlformats.org/officeDocument/2006/relationships/image" Target="media/image20.sv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81785.50359E10" TargetMode="External"/><Relationship Id="rId22" Type="http://schemas.openxmlformats.org/officeDocument/2006/relationships/image" Target="media/image6.svg"/><Relationship Id="rId27" Type="http://schemas.openxmlformats.org/officeDocument/2006/relationships/image" Target="media/image7.png"/><Relationship Id="rId30" Type="http://schemas.openxmlformats.org/officeDocument/2006/relationships/image" Target="media/image14.svg"/><Relationship Id="rId35" Type="http://schemas.openxmlformats.org/officeDocument/2006/relationships/image" Target="media/image11.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93ea4d71-e662-4447-b28c-995a0efeaea4.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1 6 " ? > < O n e O f f i x x D o c u m e n t P a r t   x m l n s : x s i = " h t t p : / / w w w . w 3 . o r g / 2 0 0 1 / X M L S c h e m a - i n s t a n c e "   x m l n s : x s d = " h t t p : / / w w w . w 3 . o r g / 2 0 0 1 / X M L S c h e m a "   i d = " 5 6 9 2 4 8 3 b - c 3 9 4 - 4 2 0 c - 9 6 b c - 5 3 7 0 d 8 2 3 e f f 3 "   t I d = " a 3 6 2 a 5 d 4 - 9 5 8 9 - 4 1 b f - a 4 e 6 - 4 f 8 7 c 4 e 4 1 2 3 9 "   i n t e r n a l T I d = " 9 0 6 4 c c 7 f - 3 1 6 d - 4 6 b 1 - a 4 a c - 7 4 8 6 0 c 3 f 8 a 5 b "   m t I d = " 2 7 5 a f 3 2 e - b c 4 0 - 4 5 c 2 - 8 5 b 7 - a f b 1 c 0 3 8 2 6 5 3 "   r e v i s i o n = " 0 "   c r e a t e d m a j o r v e r s i o n = " 0 "   c r e a t e d m i n o r v e r s i o n = " 0 "   c r e a t e d = " 2 0 2 2 - 0 2 - 2 3 T 0 8 : 5 4 : 1 8 . 5 1 6 2 2 2 6 Z "   m o d i f i e d m a j o r v e r s i o n = " 0 "   m o d i f i e d m i n o r v e r s i o n = " 0 "   m o d i f i e d = " 0 0 0 1 - 0 1 - 0 1 T 0 0 : 0 0 : 0 0 "   p r o f i l e = " 6 8 0 1 a d 3 e - 7 c c d - 4 d d 4 - a b e 3 - 5 8 7 f 4 7 3 6 f 2 b 7 "   m o d e = " S a v e d D o c u m e n t "   c o l o r m o d e = " C o l o r "   l c i d = " 2 0 6 4 "   x m l n s = " h t t p : / / s c h e m a . o n e o f f i x x . c o m / O n e O f f i x x D o c u m e n t P a r t / 1 " >  
     < C o n t e n t >  
         < D a t a M o d e l   x m l n s = " " >  
             < P r o f i l e >  
                 < T e x t   i d = " P r o f i l e . I d "   l a b e l = " P r o f i l e . I d " > < ! [ C D A T A [ 6 8 0 1 a d 3 e - 7 c c d - 4 d d 4 - a b e 3 - 5 8 7 f 4 7 3 6 f 2 b 7 ] ] > < / T e x t >  
                 < T e x t   i d = " P r o f i l e . O r g a n i z a t i o n U n i t I d "   l a b e l = " P r o f i l e . O r g a n i z a t i o n U n i t I d " > < ! [ C D A T A [ d c 7 9 3 f c 0 - 4 0 a 3 - 4 a a b - b 1 d e - 7 7 b 2 d f c 5 8 3 c 2 ] ] > < / 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S e r v i z i   d e l   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 2 0 2 2 - 0 2 - 2 2 T 0 0 : 0 0 : 0 0 Z < / D a t e T i m e >  
                 < T e x t   i d = " D o c P a r a m . N u m b e r " > < ! [ C D A T A [ 8 1 1 7   R ] ] > < / T e x t >  
                 < T e x t   i d = " D o c P a r a m . D o c u m e n t o " > < ! [ C D A T A [ R a p p o r t o ] ] > < / T e x t >  
                 < T e x t   i d = " D o c P a r a m . A g g i u n t a D o c "   t o o l t i p = " ( e s .   b i s ,   a g g i u n t i v o ,   a g g i u n t i v o   b i s ,   1 ,   2   e c c . ) " > < ! [ C D A T A [   ] ] > < / T e x t >  
                 < T e x t   i d = " D o c P a r a m . D i p a r t i m e n t i " > < ! [ C D A T A [ D i p a r t i m e n t o   d e l l e   f i n a n z e   e   d e l l  e c o n o m i a ] ] > < / T e x t >  
                 < T e x t   i d = " D o c P a r a m . A l t r i D i p a r t i m e n t i " > < ! [ C D A T A [   ] ] > < / T e x t >  
             < / P a r a m e t e r >  
             < S c r i p t i n g >  
                 < T e x t   i d = " C u s t o m E l e m e n t s . T e x t s . D r a f t "   l a b e l = " C u s t o m E l e m e n t s . T e x t s . D r a f t " > < ! [ C D A T A [ B o z z a ] ] > < / T e x t >  
                 < T e x t   i d = " C u s t o m E l e m e n t s . F i e l d s . D i p a r t i m e n t i "   l a b e l = " C u s t o m E l e m e n t s . F i e l d s . D i p a r t i m e n t i " > < ! [ C D A T A [ D i p a r t i m e n t o   d e l l e   f i n a n z e   e   d e l l  e c o n o m i a ] ] > < / T e x t >  
                 < T e x t   i d = " C u s t o m E l e m e n t s . F i e l d s . T i t o l o 1 "   l a b e l = " C u s t o m E l e m e n t s . F i e l d s . T i t o l o 1 " > < ! [ C D A T A [ R a p p o r t o ] ] > < / T e x t >  
                 < T e x t   i d = " C u s t o m E l e m e n t s . F i e l d s . T i t o l o 2 "   l a b e l = " C u s t o m E l e m e n t s . F i e l d s . T i t o l o 2 " > < ! [ C D A T A [ R a p p o r t o   n .   8 1 1 7   R   d e l   2 2   f e b b r a i o   2 0 2 2 ] ] > < / 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Props1.xml><?xml version="1.0" encoding="utf-8"?>
<ds:datastoreItem xmlns:ds="http://schemas.openxmlformats.org/officeDocument/2006/customXml" ds:itemID="{18EADA8F-D14F-4CA4-8596-D1F0061E1827}">
  <ds:schemaRefs>
    <ds:schemaRef ds:uri="http://www.w3.org/2001/XMLSchema"/>
    <ds:schemaRef ds:uri="http://schema.oneoffixx.com/OneOffixxDocumentPart/1"/>
    <ds:schemaRef ds:uri=""/>
  </ds:schemaRefs>
</ds:datastoreItem>
</file>

<file path=customXml/itemProps2.xml><?xml version="1.0" encoding="utf-8"?>
<ds:datastoreItem xmlns:ds="http://schemas.openxmlformats.org/officeDocument/2006/customXml" ds:itemID="{F42D70B1-781B-422C-A05C-09B9F1BDEF97}">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docProps/app.xml><?xml version="1.0" encoding="utf-8"?>
<Properties xmlns="http://schemas.openxmlformats.org/officeDocument/2006/extended-properties" xmlns:vt="http://schemas.openxmlformats.org/officeDocument/2006/docPropsVTypes">
  <Template>93ea4d71-e662-4447-b28c-995a0efeaea4.dotx</Template>
  <TotalTime>101</TotalTime>
  <Pages>14</Pages>
  <Words>3748</Words>
  <Characters>21370</Characters>
  <Application>Microsoft Office Word</Application>
  <DocSecurity>0</DocSecurity>
  <Lines>178</Lines>
  <Paragraphs>50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Morandi Marisa</cp:lastModifiedBy>
  <cp:revision>14</cp:revision>
  <cp:lastPrinted>2022-02-25T10:29:00Z</cp:lastPrinted>
  <dcterms:created xsi:type="dcterms:W3CDTF">2022-02-23T08:54:00Z</dcterms:created>
  <dcterms:modified xsi:type="dcterms:W3CDTF">2022-02-25T10:30:00Z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