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51" w:rsidRPr="00334005" w:rsidRDefault="00A72D51" w:rsidP="00A72D51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lang w:val="it-IT"/>
        </w:rPr>
      </w:pPr>
      <w:r w:rsidRPr="00334005">
        <w:rPr>
          <w:rFonts w:ascii="Arial" w:hAnsi="Arial"/>
          <w:b/>
          <w:bCs/>
          <w:sz w:val="28"/>
          <w:szCs w:val="28"/>
          <w:lang w:val="it-IT"/>
        </w:rPr>
        <w:t>della Commissione giustizia e diritti</w:t>
      </w:r>
    </w:p>
    <w:p w:rsidR="00A72D51" w:rsidRPr="00334005" w:rsidRDefault="00A72D51" w:rsidP="00A72D51">
      <w:pPr>
        <w:spacing w:after="120" w:line="240" w:lineRule="auto"/>
        <w:jc w:val="both"/>
        <w:rPr>
          <w:rFonts w:ascii="Arial" w:hAnsi="Arial"/>
          <w:b/>
          <w:bCs/>
          <w:sz w:val="28"/>
          <w:szCs w:val="28"/>
          <w:lang w:val="it-IT"/>
        </w:rPr>
      </w:pPr>
      <w:r w:rsidRPr="00334005">
        <w:rPr>
          <w:rFonts w:ascii="Arial" w:hAnsi="Arial"/>
          <w:b/>
          <w:bCs/>
          <w:sz w:val="28"/>
          <w:szCs w:val="28"/>
          <w:lang w:val="it-IT"/>
        </w:rPr>
        <w:t>sull'iniziativa parlamentare 17 febbraio 2020 presentata nella forma elaborata da Massimiliano Ay e Lea Ferrari per la modifica dell'art. 1 della Legge sulla tariffa giudiziaria del 30 novembre 2010 (Gratuità della procedura giudiziaria per i consumatori)</w:t>
      </w:r>
    </w:p>
    <w:p w:rsidR="00A72D51" w:rsidRPr="00334005" w:rsidRDefault="00A72D51" w:rsidP="00A72D51">
      <w:p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val="it-IT"/>
        </w:rPr>
      </w:pPr>
      <w:r w:rsidRPr="00334005">
        <w:rPr>
          <w:rFonts w:ascii="Arial" w:hAnsi="Arial"/>
          <w:b/>
          <w:bCs/>
          <w:sz w:val="24"/>
          <w:szCs w:val="24"/>
          <w:lang w:val="it-IT"/>
        </w:rPr>
        <w:t>(</w:t>
      </w:r>
      <w:r w:rsidR="00877743">
        <w:rPr>
          <w:rFonts w:ascii="Arial" w:hAnsi="Arial"/>
          <w:b/>
          <w:bCs/>
          <w:sz w:val="24"/>
          <w:szCs w:val="24"/>
          <w:lang w:val="it-IT"/>
        </w:rPr>
        <w:t xml:space="preserve">vedi </w:t>
      </w:r>
      <w:bookmarkStart w:id="0" w:name="_GoBack"/>
      <w:bookmarkEnd w:id="0"/>
      <w:r w:rsidRPr="00334005">
        <w:rPr>
          <w:rFonts w:ascii="Arial" w:hAnsi="Arial"/>
          <w:b/>
          <w:bCs/>
          <w:sz w:val="24"/>
          <w:szCs w:val="24"/>
          <w:lang w:val="it-IT"/>
        </w:rPr>
        <w:t>messaggio 11 novembre 2020 n. 7928)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426"/>
        </w:tabs>
        <w:spacing w:line="240" w:lineRule="auto"/>
        <w:ind w:right="-1"/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</w:pP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>i.</w:t>
      </w: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ab/>
        <w:t>L'atto parlamentare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>L'iniziativa parlamentare propone di modificare l'art. 1 della Legge sulla tariffa giudiziaria del 30 novembre 2010, aggiungendo un cpv. 3: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ind w:right="-13"/>
        <w:jc w:val="both"/>
        <w:rPr>
          <w:rFonts w:ascii="Arial" w:eastAsia="Arial" w:hAnsi="Arial" w:cs="Arial"/>
          <w:i/>
          <w:sz w:val="24"/>
          <w:szCs w:val="24"/>
          <w:lang w:val="it-IT"/>
        </w:rPr>
      </w:pPr>
      <w:r w:rsidRPr="00334005">
        <w:rPr>
          <w:rFonts w:ascii="Arial" w:eastAsia="Arial" w:hAnsi="Arial" w:cs="Arial"/>
          <w:i/>
          <w:sz w:val="24"/>
          <w:szCs w:val="24"/>
          <w:vertAlign w:val="superscript"/>
          <w:lang w:val="it-IT"/>
        </w:rPr>
        <w:t>3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Nelle procedure derivanti da contratti conclusi con consumatori (art. 32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CPC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) fino a un valore litigioso di 30'000 franchi non sono addossate spese processuali.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L'art. 32 del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CPC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(Contratti conclusi con consumatori) recita:</w:t>
      </w:r>
    </w:p>
    <w:p w:rsidR="00A72D51" w:rsidRPr="00334005" w:rsidRDefault="00A72D51" w:rsidP="00A72D51">
      <w:pPr>
        <w:tabs>
          <w:tab w:val="left" w:pos="284"/>
          <w:tab w:val="left" w:pos="1985"/>
          <w:tab w:val="left" w:pos="4933"/>
        </w:tabs>
        <w:spacing w:after="0" w:line="240" w:lineRule="auto"/>
        <w:ind w:right="-13"/>
        <w:jc w:val="both"/>
        <w:rPr>
          <w:rFonts w:ascii="Arial" w:eastAsia="Arial" w:hAnsi="Arial" w:cs="Arial"/>
          <w:i/>
          <w:sz w:val="24"/>
          <w:szCs w:val="24"/>
          <w:lang w:val="it-IT"/>
        </w:rPr>
      </w:pPr>
      <w:r w:rsidRPr="00334005">
        <w:rPr>
          <w:rFonts w:ascii="Arial" w:eastAsia="Arial" w:hAnsi="Arial" w:cs="Arial"/>
          <w:i/>
          <w:sz w:val="24"/>
          <w:szCs w:val="24"/>
          <w:vertAlign w:val="superscript"/>
          <w:lang w:val="it-IT"/>
        </w:rPr>
        <w:t>1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>In materia di controversie derivanti da contratti conclusi con consumatori è competente:</w:t>
      </w:r>
    </w:p>
    <w:p w:rsidR="00A72D51" w:rsidRPr="00334005" w:rsidRDefault="00A72D51" w:rsidP="00A72D51">
      <w:pPr>
        <w:tabs>
          <w:tab w:val="left" w:pos="284"/>
          <w:tab w:val="left" w:pos="1985"/>
          <w:tab w:val="left" w:pos="4933"/>
        </w:tabs>
        <w:spacing w:after="0" w:line="240" w:lineRule="auto"/>
        <w:ind w:right="-13"/>
        <w:jc w:val="both"/>
        <w:rPr>
          <w:rFonts w:ascii="Arial" w:eastAsia="Arial" w:hAnsi="Arial" w:cs="Arial"/>
          <w:i/>
          <w:sz w:val="24"/>
          <w:szCs w:val="24"/>
          <w:lang w:val="it-IT"/>
        </w:rPr>
      </w:pPr>
      <w:r w:rsidRPr="00334005">
        <w:rPr>
          <w:rFonts w:ascii="Arial" w:eastAsia="Arial" w:hAnsi="Arial" w:cs="Arial"/>
          <w:i/>
          <w:sz w:val="24"/>
          <w:szCs w:val="24"/>
          <w:lang w:val="it-IT"/>
        </w:rPr>
        <w:t>a.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ab/>
        <w:t>per le azioni del consumatore, il giudice del domicilio o della sede di una delle parti;</w:t>
      </w:r>
    </w:p>
    <w:p w:rsidR="00A72D51" w:rsidRPr="00334005" w:rsidRDefault="00A72D51" w:rsidP="00A72D51">
      <w:pPr>
        <w:tabs>
          <w:tab w:val="left" w:pos="284"/>
          <w:tab w:val="left" w:pos="1985"/>
          <w:tab w:val="left" w:pos="4933"/>
        </w:tabs>
        <w:spacing w:after="0" w:line="240" w:lineRule="auto"/>
        <w:ind w:right="-13"/>
        <w:jc w:val="both"/>
        <w:rPr>
          <w:rFonts w:ascii="Arial" w:eastAsia="Arial" w:hAnsi="Arial" w:cs="Arial"/>
          <w:i/>
          <w:sz w:val="24"/>
          <w:szCs w:val="24"/>
          <w:lang w:val="it-IT"/>
        </w:rPr>
      </w:pPr>
      <w:r w:rsidRPr="00334005">
        <w:rPr>
          <w:rFonts w:ascii="Arial" w:eastAsia="Arial" w:hAnsi="Arial" w:cs="Arial"/>
          <w:i/>
          <w:sz w:val="24"/>
          <w:szCs w:val="24"/>
          <w:lang w:val="it-IT"/>
        </w:rPr>
        <w:t>b.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ab/>
        <w:t>per le azioni del fornitore, il giudice del domicilio del convenuto.</w:t>
      </w:r>
    </w:p>
    <w:p w:rsidR="00A72D51" w:rsidRPr="00334005" w:rsidRDefault="00A72D51" w:rsidP="00A72D51">
      <w:pPr>
        <w:tabs>
          <w:tab w:val="left" w:pos="284"/>
          <w:tab w:val="left" w:pos="1985"/>
          <w:tab w:val="left" w:pos="4933"/>
        </w:tabs>
        <w:spacing w:after="0" w:line="240" w:lineRule="auto"/>
        <w:ind w:right="-13"/>
        <w:jc w:val="both"/>
        <w:rPr>
          <w:rFonts w:ascii="Arial" w:eastAsia="Arial" w:hAnsi="Arial" w:cs="Arial"/>
          <w:i/>
          <w:sz w:val="24"/>
          <w:szCs w:val="24"/>
          <w:lang w:val="it-IT"/>
        </w:rPr>
      </w:pPr>
      <w:r w:rsidRPr="00334005">
        <w:rPr>
          <w:rFonts w:ascii="Arial" w:eastAsia="Arial" w:hAnsi="Arial" w:cs="Arial"/>
          <w:i/>
          <w:sz w:val="24"/>
          <w:szCs w:val="24"/>
          <w:vertAlign w:val="superscript"/>
          <w:lang w:val="it-IT"/>
        </w:rPr>
        <w:t>2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>Sono contratti conclusi con consumatori quelli su prestazioni di consumo corrente destinate al fabbisogno personale o familiare del consumatore e offerte dall'altra parte nell'ambito della sua attività professionale o commerciale.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3A1E1F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Gli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iniziativisti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ritengono che 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>«il nostro ordinamento costituzionale garantisce, almeno sul piano formale, il principio dell'accessibilit</w:t>
      </w:r>
      <w:r>
        <w:rPr>
          <w:rFonts w:ascii="Arial" w:eastAsia="Arial" w:hAnsi="Arial" w:cs="Arial"/>
          <w:i/>
          <w:sz w:val="24"/>
          <w:szCs w:val="24"/>
          <w:lang w:val="it-IT"/>
        </w:rPr>
        <w:t>à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alla giustizia (art. 29 ss.</w:t>
      </w:r>
      <w:r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lang w:val="it-IT"/>
        </w:rPr>
        <w:t>Cost</w:t>
      </w:r>
      <w:proofErr w:type="spellEnd"/>
      <w:r>
        <w:rPr>
          <w:rFonts w:ascii="Arial" w:eastAsia="Arial" w:hAnsi="Arial" w:cs="Arial"/>
          <w:i/>
          <w:sz w:val="24"/>
          <w:szCs w:val="24"/>
          <w:lang w:val="it-IT"/>
        </w:rPr>
        <w:t>.). Tuttavia, alla facoltà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di fare valere i propri diritti si frappongono nella pratica diversi ostacoli di ordine materiale, come la complessit</w:t>
      </w:r>
      <w:r>
        <w:rPr>
          <w:rFonts w:ascii="Arial" w:eastAsia="Arial" w:hAnsi="Arial" w:cs="Arial"/>
          <w:i/>
          <w:sz w:val="24"/>
          <w:szCs w:val="24"/>
          <w:lang w:val="it-IT"/>
        </w:rPr>
        <w:t>à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, i tempi e i costi delle procedure. Questo problema investe soprattutto i consumatori, che in quanto parte debole nel rapporto contrattuale possono trovarsi sovente scoraggiati a intentare una causa, addirittura in presenza di un vizio patente del bene acquistato. Non a caso, è anche la Costituzione stessa ad attribuire particolare importanza proprio alla protezione dei consumatori (art. 97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Cost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.). Per cercare di arginare tale fenomeno di desistenza, il Cantone potrebbe quindi sancire un principio di esenzione dalle spese processuali nelle procedure derivanti da contratti conclusi con consumatori»</w:t>
      </w:r>
      <w:r w:rsidRPr="00334005">
        <w:rPr>
          <w:rFonts w:ascii="Arial" w:eastAsia="Arial" w:hAnsi="Arial" w:cs="Arial"/>
          <w:sz w:val="24"/>
          <w:szCs w:val="24"/>
          <w:lang w:val="it-IT"/>
        </w:rPr>
        <w:t>.</w:t>
      </w:r>
    </w:p>
    <w:p w:rsidR="00A72D51" w:rsidRPr="00334005" w:rsidRDefault="00A72D51" w:rsidP="003A1E1F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Secondo l'art. 96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CPC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, la competenza di stabilire le tariffe per le spese giudiziarie spetta ai Cantoni. In questo senso, l'art. 116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CPC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specifica che il diritto cantonale pu</w:t>
      </w:r>
      <w:r>
        <w:rPr>
          <w:rFonts w:ascii="Arial" w:eastAsia="Arial" w:hAnsi="Arial" w:cs="Arial"/>
          <w:sz w:val="24"/>
          <w:szCs w:val="24"/>
          <w:lang w:val="it-IT"/>
        </w:rPr>
        <w:t>ò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prevedere altre esenzioni alle spese giudiziarie oltre a quelle previste dal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CPC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>.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In alcuni </w:t>
      </w:r>
      <w:r w:rsidR="003A1E1F">
        <w:rPr>
          <w:rFonts w:ascii="Arial" w:eastAsia="Arial" w:hAnsi="Arial" w:cs="Arial"/>
          <w:sz w:val="24"/>
          <w:szCs w:val="24"/>
          <w:lang w:val="it-IT"/>
        </w:rPr>
        <w:t>C</w:t>
      </w:r>
      <w:r w:rsidRPr="00334005">
        <w:rPr>
          <w:rFonts w:ascii="Arial" w:eastAsia="Arial" w:hAnsi="Arial" w:cs="Arial"/>
          <w:sz w:val="24"/>
          <w:szCs w:val="24"/>
          <w:lang w:val="it-IT"/>
        </w:rPr>
        <w:t>antoni è prevista, con alcune limitazione, l'esenzione dalle spese per le procedure che coinvolgono consumatori: nel Canton Ginevra (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LaCC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Art. 22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Gratuité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al. 5: 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«Il n'est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pas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prélevé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frais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pour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les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litiges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concernant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les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contrats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conclus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avec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les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consommateurs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(art. 32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CPC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).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Cette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exemption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ne s'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étend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pas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au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cessionnaire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en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cas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lastRenderedPageBreak/>
        <w:t>cession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créance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ou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 dette»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) e nel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canton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Vaud (Code de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droit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privé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judiciaire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vaudois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, art. 37, al.3: 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«Il n'est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pas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perçu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frais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judiciaires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pour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les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procédures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mesures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protectrices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 l'union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conjugale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, ni pour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celles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portant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sur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des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contrats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conclus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avec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des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consommateurs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au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sens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 l'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article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32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CPC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jusqu'aux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affaires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dont la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valeur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litigieuse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ne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dépasse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pas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CHF 10'000»</w:t>
      </w:r>
      <w:r w:rsidRPr="00334005">
        <w:rPr>
          <w:rFonts w:ascii="Arial" w:eastAsia="Arial" w:hAnsi="Arial" w:cs="Arial"/>
          <w:sz w:val="24"/>
          <w:szCs w:val="24"/>
          <w:lang w:val="it-IT"/>
        </w:rPr>
        <w:t>).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426"/>
        </w:tabs>
        <w:spacing w:line="240" w:lineRule="auto"/>
        <w:ind w:right="-1"/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</w:pP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>ii.</w:t>
      </w: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ab/>
        <w:t>Il Messaggio governativo</w:t>
      </w:r>
    </w:p>
    <w:p w:rsidR="00A72D51" w:rsidRPr="00334005" w:rsidRDefault="00A72D51" w:rsidP="003A1E1F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>Nel messaggio in esame, a cui si rimanda per i dettagli, il Consiglio di Stato riprende la legislazione applicabile a livello federale e cantonale e le norme già citate introdotte nei Cantoni di Ginevra e Vaud per le procedure derivanti da contratti conclusi con consumatori.</w:t>
      </w:r>
    </w:p>
    <w:p w:rsidR="00A72D51" w:rsidRPr="00334005" w:rsidRDefault="00A72D51" w:rsidP="003A1E1F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>Il Governo non dispone di dati su queste procedure perché né il sistema informativo,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né i resoconti prevedono una specifica voce per tali cause. Gli risulta però, da esperienze raccolte presso Pretori e Giudici di pace, che i casi 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>«sarebbero in larga maggioranza riconducibili a procedure volte ad incassare fatture scoperte, promosse da societ</w:t>
      </w:r>
      <w:r>
        <w:rPr>
          <w:rFonts w:ascii="Arial" w:eastAsia="Arial" w:hAnsi="Arial" w:cs="Arial"/>
          <w:i/>
          <w:sz w:val="24"/>
          <w:szCs w:val="24"/>
          <w:lang w:val="it-IT"/>
        </w:rPr>
        <w:t>à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di incasso in seguito a cessione (cause di mero incasso da parte dei fornitori o loro cessionari)»</w:t>
      </w:r>
      <w:r w:rsidRPr="00334005">
        <w:rPr>
          <w:rFonts w:ascii="Arial" w:eastAsia="Arial" w:hAnsi="Arial" w:cs="Arial"/>
          <w:sz w:val="24"/>
          <w:szCs w:val="24"/>
          <w:lang w:val="it-IT"/>
        </w:rPr>
        <w:t>.</w:t>
      </w:r>
    </w:p>
    <w:p w:rsidR="00A72D51" w:rsidRPr="00334005" w:rsidRDefault="00A72D51" w:rsidP="003A1E1F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>D'altra parte l'esenzione dalle spese processuali tratta allo stesso modo consumatori più o meno facoltosi. L'accessibilit</w:t>
      </w:r>
      <w:r>
        <w:rPr>
          <w:rFonts w:ascii="Arial" w:eastAsia="Arial" w:hAnsi="Arial" w:cs="Arial"/>
          <w:sz w:val="24"/>
          <w:szCs w:val="24"/>
          <w:lang w:val="it-IT"/>
        </w:rPr>
        <w:t>à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alla giustizia dei consumatori meno abbienti è gi</w:t>
      </w:r>
      <w:r>
        <w:rPr>
          <w:rFonts w:ascii="Arial" w:eastAsia="Arial" w:hAnsi="Arial" w:cs="Arial"/>
          <w:sz w:val="24"/>
          <w:szCs w:val="24"/>
          <w:lang w:val="it-IT"/>
        </w:rPr>
        <w:t>à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ora tutelata con l'istituto del gratuito patrocinio che garantisce una tutela finanche pi</w:t>
      </w:r>
      <w:r>
        <w:rPr>
          <w:rFonts w:ascii="Arial" w:eastAsia="Arial" w:hAnsi="Arial" w:cs="Arial"/>
          <w:sz w:val="24"/>
          <w:szCs w:val="24"/>
          <w:lang w:val="it-IT"/>
        </w:rPr>
        <w:t>ù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ampia della sola esenzione delle spese processuali, inglobando anche l'esenzione dagli anticipi e dalle cauzioni, oltre che eventuali spese di patrocinio nonch</w:t>
      </w:r>
      <w:r>
        <w:rPr>
          <w:rFonts w:ascii="Arial" w:eastAsia="Arial" w:hAnsi="Arial" w:cs="Arial"/>
          <w:sz w:val="24"/>
          <w:szCs w:val="24"/>
          <w:lang w:val="it-IT"/>
        </w:rPr>
        <w:t>é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la designazione di un patrocinatore d'ufficio.</w:t>
      </w:r>
    </w:p>
    <w:p w:rsidR="00A72D51" w:rsidRDefault="00A72D51" w:rsidP="003A1E1F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>Il Governo segnala pure come gi</w:t>
      </w:r>
      <w:r>
        <w:rPr>
          <w:rFonts w:ascii="Arial" w:eastAsia="Arial" w:hAnsi="Arial" w:cs="Arial"/>
          <w:sz w:val="24"/>
          <w:szCs w:val="24"/>
          <w:lang w:val="it-IT"/>
        </w:rPr>
        <w:t>à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oggi i consumatori, nel far valere le proprie pretese, possono far capo – e in maniera agevolata – ad associazioni ed enti a loro tutela. Ne sono un esempio l'Associazione consumatrici e consumatori della Svizzera italiana (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ACSI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>, www.acsi.ch) e l'Ordine degli avvocati del Canton Ticino (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OATi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hyperlink r:id="rId11" w:history="1">
        <w:r w:rsidR="003A1E1F" w:rsidRPr="0056684F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www.oati.ch</w:t>
        </w:r>
      </w:hyperlink>
      <w:r w:rsidRPr="00334005">
        <w:rPr>
          <w:rFonts w:ascii="Arial" w:eastAsia="Arial" w:hAnsi="Arial" w:cs="Arial"/>
          <w:sz w:val="24"/>
          <w:szCs w:val="24"/>
          <w:lang w:val="it-IT"/>
        </w:rPr>
        <w:t>).</w:t>
      </w:r>
    </w:p>
    <w:p w:rsidR="003A1E1F" w:rsidRPr="00334005" w:rsidRDefault="003A1E1F" w:rsidP="003A1E1F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>Il Consiglio di Stato non reputa q</w:t>
      </w:r>
      <w:r>
        <w:rPr>
          <w:rFonts w:ascii="Arial" w:eastAsia="Arial" w:hAnsi="Arial" w:cs="Arial"/>
          <w:sz w:val="24"/>
          <w:szCs w:val="24"/>
          <w:lang w:val="it-IT"/>
        </w:rPr>
        <w:t>ui</w:t>
      </w:r>
      <w:r w:rsidRPr="00334005">
        <w:rPr>
          <w:rFonts w:ascii="Arial" w:eastAsia="Arial" w:hAnsi="Arial" w:cs="Arial"/>
          <w:sz w:val="24"/>
          <w:szCs w:val="24"/>
          <w:lang w:val="it-IT"/>
        </w:rPr>
        <w:t>ndi necessario istituire un regime privilegiato per le procedure derivanti da contratti conclusi con consumatori e invita il Gran Consiglio a respingere l'atto parlamentare.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426"/>
        </w:tabs>
        <w:spacing w:line="240" w:lineRule="auto"/>
        <w:ind w:right="-1"/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</w:pP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>iii.</w:t>
      </w: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ab/>
        <w:t>lavori commissionali</w:t>
      </w:r>
    </w:p>
    <w:p w:rsidR="00A72D51" w:rsidRPr="00334005" w:rsidRDefault="00A72D51" w:rsidP="003A1E1F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Il collega Massimiliano Ay è stato sentito in audizione davanti alla Commissione giustizia e diritti il 26 aprile 2021 e ha confermato che presentando l'iniziativa ci si è riferiti al principio dell'accessibilità alla giustizia e che quindi la proposta è volta a ottenere la gratuità della procedura per le vertenze relative ai consumatori, previste dall'art. 32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CPC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, ovvero le 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>«controversie derivanti da contratti conclusi con consumatori»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, aggiungendo: 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«vogliamo evitare che un consumatore che acquista un bene destinato a un uso personale o famigliare e che si ritiene in qualche modo parte lesa del contratto rinunci a protestare per meri motivi economici, preso atto che a volte il consumatore (che costituisce la parte debole del contratto) ritiene inutile intentare una causa che rischia di costare 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piú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del valore litigioso, rinunciando in tal modo a far valere un proprio diritto»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1F489A">
        <w:rPr>
          <w:rFonts w:ascii="Arial" w:eastAsia="Arial" w:hAnsi="Arial" w:cs="Arial"/>
          <w:sz w:val="24"/>
          <w:szCs w:val="24"/>
          <w:lang w:val="it-IT"/>
        </w:rPr>
        <w:t xml:space="preserve">ricordando che il diritto federale già oggi riconosce un'esenzione dalle spese giudiziarie per le cause riguardanti il lavoro (art. 114 </w:t>
      </w:r>
      <w:proofErr w:type="spellStart"/>
      <w:r w:rsidRPr="001F489A">
        <w:rPr>
          <w:rFonts w:ascii="Arial" w:eastAsia="Arial" w:hAnsi="Arial" w:cs="Arial"/>
          <w:sz w:val="24"/>
          <w:szCs w:val="24"/>
          <w:lang w:val="it-IT"/>
        </w:rPr>
        <w:t>CPC</w:t>
      </w:r>
      <w:proofErr w:type="spellEnd"/>
      <w:r w:rsidRPr="001F489A">
        <w:rPr>
          <w:rFonts w:ascii="Arial" w:eastAsia="Arial" w:hAnsi="Arial" w:cs="Arial"/>
          <w:sz w:val="24"/>
          <w:szCs w:val="24"/>
          <w:lang w:val="it-IT"/>
        </w:rPr>
        <w:t xml:space="preserve">) e per le procedure di conciliazione, anche in materia di locazione (art. 113 </w:t>
      </w:r>
      <w:proofErr w:type="spellStart"/>
      <w:r w:rsidRPr="001F489A">
        <w:rPr>
          <w:rFonts w:ascii="Arial" w:eastAsia="Arial" w:hAnsi="Arial" w:cs="Arial"/>
          <w:sz w:val="24"/>
          <w:szCs w:val="24"/>
          <w:lang w:val="it-IT"/>
        </w:rPr>
        <w:t>CPC</w:t>
      </w:r>
      <w:proofErr w:type="spellEnd"/>
      <w:r w:rsidRPr="001F489A">
        <w:rPr>
          <w:rFonts w:ascii="Arial" w:eastAsia="Arial" w:hAnsi="Arial" w:cs="Arial"/>
          <w:sz w:val="24"/>
          <w:szCs w:val="24"/>
          <w:lang w:val="it-IT"/>
        </w:rPr>
        <w:t>).</w:t>
      </w:r>
    </w:p>
    <w:p w:rsidR="00A72D51" w:rsidRPr="00334005" w:rsidRDefault="00A72D51" w:rsidP="003A1E1F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lastRenderedPageBreak/>
        <w:t xml:space="preserve">Rispondendo alla prima critica avanzata dal Governo, che sostiene che la norma avvantaggerebbe indistintamente tutti i consumatori, Massimiliano Ay osserva che 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>«si tratterebbe di imitare quanto è già applicato in altri contesti, dove l'esenzione dalle spese non dipende dalla situazione finanziaria dell'interessato»</w:t>
      </w:r>
      <w:r w:rsidRPr="00334005">
        <w:rPr>
          <w:rFonts w:ascii="Arial" w:eastAsia="Arial" w:hAnsi="Arial" w:cs="Arial"/>
          <w:sz w:val="24"/>
          <w:szCs w:val="24"/>
          <w:lang w:val="it-IT"/>
        </w:rPr>
        <w:t>.</w:t>
      </w:r>
    </w:p>
    <w:p w:rsidR="00A72D51" w:rsidRPr="00334005" w:rsidRDefault="00A72D51" w:rsidP="003A1E1F">
      <w:pPr>
        <w:tabs>
          <w:tab w:val="left" w:pos="1985"/>
          <w:tab w:val="left" w:pos="4933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>Per quanto riguarda la critica che la proposta favorirebbe le società d'incasso, l'iniziativista ammette che sarebbe facilmente aggirabile, rendendo l'esenzione inapplicabile nei casi di cessione del credito, come a Ginevra.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334005">
        <w:rPr>
          <w:rFonts w:ascii="Arial" w:eastAsia="Arial" w:hAnsi="Arial" w:cs="Arial"/>
          <w:sz w:val="24"/>
          <w:szCs w:val="24"/>
          <w:lang w:val="it-IT"/>
        </w:rPr>
        <w:t>D'altra parte l'assistenza giudiziaria riguarda chi si trova già in uno stato di effettiva difficoltà, che non accomuna però necessariamente tutti i consumatori.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La </w:t>
      </w:r>
      <w:r w:rsidR="003A1E1F">
        <w:rPr>
          <w:rFonts w:ascii="Arial" w:eastAsia="Arial" w:hAnsi="Arial" w:cs="Arial"/>
          <w:sz w:val="24"/>
          <w:szCs w:val="24"/>
          <w:lang w:val="it-IT"/>
        </w:rPr>
        <w:t>C</w:t>
      </w:r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ommissione nella discussione che segue l'audizione si trova divisa tra chi segue la linea del Consiglio di Stato e chi accetta con qualche riserva le proposte degli 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iniziativisti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>.</w:t>
      </w: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426"/>
        </w:tabs>
        <w:spacing w:line="240" w:lineRule="auto"/>
        <w:ind w:right="-1"/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</w:pP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>iv.</w:t>
      </w: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ab/>
        <w:t>il parere dell'</w:t>
      </w:r>
      <w:proofErr w:type="spellStart"/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>acsi</w:t>
      </w:r>
      <w:proofErr w:type="spellEnd"/>
    </w:p>
    <w:p w:rsidR="00A72D51" w:rsidRPr="00334005" w:rsidRDefault="00A72D51" w:rsidP="00A72D51">
      <w:pPr>
        <w:tabs>
          <w:tab w:val="left" w:pos="1985"/>
          <w:tab w:val="left" w:pos="4933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4005">
        <w:rPr>
          <w:rFonts w:ascii="Arial" w:eastAsia="Arial" w:hAnsi="Arial" w:cs="Arial"/>
          <w:sz w:val="24"/>
          <w:szCs w:val="24"/>
          <w:lang w:val="it-IT"/>
        </w:rPr>
        <w:t>Interpellata sulla proposta l'</w:t>
      </w:r>
      <w:proofErr w:type="spellStart"/>
      <w:r w:rsidRPr="00334005">
        <w:rPr>
          <w:rFonts w:ascii="Arial" w:eastAsia="Arial" w:hAnsi="Arial" w:cs="Arial"/>
          <w:sz w:val="24"/>
          <w:szCs w:val="24"/>
          <w:lang w:val="it-IT"/>
        </w:rPr>
        <w:t>ACSI</w:t>
      </w:r>
      <w:proofErr w:type="spellEnd"/>
      <w:r w:rsidRPr="00334005">
        <w:rPr>
          <w:rFonts w:ascii="Arial" w:eastAsia="Arial" w:hAnsi="Arial" w:cs="Arial"/>
          <w:sz w:val="24"/>
          <w:szCs w:val="24"/>
          <w:lang w:val="it-IT"/>
        </w:rPr>
        <w:t xml:space="preserve"> ha risposto con la presa di posizione allegata che conclude: </w:t>
      </w:r>
      <w:r w:rsidRPr="00334005">
        <w:rPr>
          <w:rFonts w:ascii="Arial" w:eastAsia="Arial" w:hAnsi="Arial" w:cs="Arial"/>
          <w:i/>
          <w:sz w:val="24"/>
          <w:szCs w:val="24"/>
          <w:lang w:val="it-IT"/>
        </w:rPr>
        <w:t>«l'</w:t>
      </w:r>
      <w:proofErr w:type="spellStart"/>
      <w:r w:rsidRPr="00334005">
        <w:rPr>
          <w:rFonts w:ascii="Arial" w:eastAsia="Arial" w:hAnsi="Arial" w:cs="Arial"/>
          <w:i/>
          <w:sz w:val="24"/>
          <w:szCs w:val="24"/>
          <w:lang w:val="it-IT"/>
        </w:rPr>
        <w:t>ACSI</w:t>
      </w:r>
      <w:proofErr w:type="spellEnd"/>
      <w:r w:rsidRPr="00334005">
        <w:rPr>
          <w:rFonts w:ascii="Arial" w:eastAsia="Arial" w:hAnsi="Arial" w:cs="Arial"/>
          <w:i/>
          <w:sz w:val="24"/>
          <w:szCs w:val="24"/>
          <w:lang w:val="it-IT"/>
        </w:rPr>
        <w:t xml:space="preserve"> auspica che alle controversie derivanti dai contratti conclusi dai consumatori, quando ad agire è il consumatore, venga finalmente riconosciuta, come nel diritto del lavoro o nel diritto della locazione, una tutela di natura sociale quale quella data a queste branche del diritto»</w:t>
      </w:r>
      <w:r w:rsidRPr="00334005">
        <w:rPr>
          <w:rFonts w:ascii="Arial" w:eastAsia="Arial" w:hAnsi="Arial" w:cs="Arial"/>
          <w:sz w:val="24"/>
          <w:szCs w:val="24"/>
          <w:lang w:val="it-IT"/>
        </w:rPr>
        <w:t>.</w:t>
      </w:r>
    </w:p>
    <w:p w:rsidR="00A72D51" w:rsidRPr="00334005" w:rsidRDefault="00A72D51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tabs>
          <w:tab w:val="left" w:pos="426"/>
        </w:tabs>
        <w:spacing w:line="240" w:lineRule="auto"/>
        <w:ind w:right="-1"/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</w:pPr>
      <w:r w:rsidRPr="00334005">
        <w:rPr>
          <w:rFonts w:ascii="Arial" w:eastAsia="MS Mincho" w:hAnsi="Arial" w:cs="Arial"/>
          <w:b/>
          <w:caps/>
          <w:sz w:val="24"/>
          <w:szCs w:val="24"/>
          <w:lang w:val="it-IT" w:eastAsia="it-IT" w:bidi="ar-SA"/>
        </w:rPr>
        <w:t>V. Conclusione</w:t>
      </w:r>
    </w:p>
    <w:p w:rsidR="00A72D51" w:rsidRPr="001F489A" w:rsidRDefault="00A72D51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F489A">
        <w:rPr>
          <w:rFonts w:ascii="Arial" w:hAnsi="Arial" w:cs="Arial"/>
          <w:sz w:val="24"/>
          <w:szCs w:val="24"/>
          <w:lang w:val="it-IT"/>
        </w:rPr>
        <w:t xml:space="preserve">La </w:t>
      </w:r>
      <w:r w:rsidRPr="00EB3798">
        <w:rPr>
          <w:rFonts w:ascii="Arial" w:hAnsi="Arial" w:cs="Arial"/>
          <w:sz w:val="24"/>
          <w:szCs w:val="24"/>
          <w:lang w:val="it-IT"/>
        </w:rPr>
        <w:t>minoranza</w:t>
      </w:r>
      <w:r w:rsidRPr="001F489A">
        <w:rPr>
          <w:rFonts w:ascii="Arial" w:hAnsi="Arial" w:cs="Arial"/>
          <w:sz w:val="24"/>
          <w:szCs w:val="24"/>
          <w:lang w:val="it-IT"/>
        </w:rPr>
        <w:t xml:space="preserve"> della Commissione giustizia e diritti, dopo aver previsto, in un primo tempo, un controprogetto che riprendeva la norma in vigore nel Canton Ginevra, rifacendosi alla differenza prevista dal </w:t>
      </w:r>
      <w:proofErr w:type="spellStart"/>
      <w:r w:rsidRPr="001F489A">
        <w:rPr>
          <w:rFonts w:ascii="Arial" w:hAnsi="Arial" w:cs="Arial"/>
          <w:sz w:val="24"/>
          <w:szCs w:val="24"/>
          <w:lang w:val="it-IT"/>
        </w:rPr>
        <w:t>CPC</w:t>
      </w:r>
      <w:proofErr w:type="spellEnd"/>
      <w:r w:rsidRPr="001F489A">
        <w:rPr>
          <w:rFonts w:ascii="Arial" w:hAnsi="Arial" w:cs="Arial"/>
          <w:sz w:val="24"/>
          <w:szCs w:val="24"/>
          <w:lang w:val="it-IT"/>
        </w:rPr>
        <w:t xml:space="preserve"> rispetto alle procedure di conciliazione e a quelle decisionali, ha deciso di limitare la gratuità alle sole procedure di conciliazione e invita il Gran Consiglio a respingere l'iniziativa elaborata in esame e ad approvare il seguente controprogetto:</w:t>
      </w:r>
    </w:p>
    <w:p w:rsidR="00A72D51" w:rsidRPr="009127CF" w:rsidRDefault="00A72D51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it-IT"/>
        </w:rPr>
      </w:pPr>
    </w:p>
    <w:p w:rsidR="00A72D51" w:rsidRPr="00FB7B67" w:rsidRDefault="00A72D51" w:rsidP="003A1E1F">
      <w:pPr>
        <w:tabs>
          <w:tab w:val="left" w:pos="1985"/>
          <w:tab w:val="left" w:pos="4933"/>
        </w:tabs>
        <w:spacing w:after="120" w:line="240" w:lineRule="auto"/>
        <w:ind w:right="-11"/>
        <w:jc w:val="both"/>
        <w:rPr>
          <w:rFonts w:ascii="Arial" w:eastAsia="Arial" w:hAnsi="Arial" w:cs="Arial"/>
          <w:i/>
          <w:sz w:val="24"/>
          <w:szCs w:val="24"/>
          <w:lang w:val="it-IT"/>
        </w:rPr>
      </w:pPr>
      <w:r w:rsidRPr="00FB7B67">
        <w:rPr>
          <w:rFonts w:ascii="Arial" w:eastAsia="Arial" w:hAnsi="Arial" w:cs="Arial"/>
          <w:i/>
          <w:sz w:val="24"/>
          <w:szCs w:val="24"/>
          <w:lang w:val="it-IT"/>
        </w:rPr>
        <w:t>La Legge sulla tariffa giudiziaria del 30 novembre 2010 è modificata come segue:</w:t>
      </w:r>
    </w:p>
    <w:p w:rsidR="00A72D51" w:rsidRPr="00FB7B67" w:rsidRDefault="00A72D51" w:rsidP="00877743">
      <w:pPr>
        <w:tabs>
          <w:tab w:val="left" w:pos="1985"/>
          <w:tab w:val="left" w:pos="4933"/>
        </w:tabs>
        <w:spacing w:after="60" w:line="240" w:lineRule="auto"/>
        <w:ind w:right="-11"/>
        <w:jc w:val="both"/>
        <w:rPr>
          <w:rFonts w:ascii="Arial" w:eastAsia="Arial" w:hAnsi="Arial" w:cs="Arial"/>
          <w:b/>
          <w:i/>
          <w:sz w:val="24"/>
          <w:szCs w:val="24"/>
          <w:lang w:val="it-IT"/>
        </w:rPr>
      </w:pPr>
      <w:r w:rsidRPr="00FB7B67">
        <w:rPr>
          <w:rFonts w:ascii="Arial" w:eastAsia="Arial" w:hAnsi="Arial" w:cs="Arial"/>
          <w:b/>
          <w:i/>
          <w:sz w:val="24"/>
          <w:szCs w:val="24"/>
          <w:lang w:val="it-IT"/>
        </w:rPr>
        <w:t>Art. 1 cpv</w:t>
      </w:r>
      <w:r>
        <w:rPr>
          <w:rFonts w:ascii="Arial" w:eastAsia="Arial" w:hAnsi="Arial" w:cs="Arial"/>
          <w:b/>
          <w:i/>
          <w:sz w:val="24"/>
          <w:szCs w:val="24"/>
          <w:lang w:val="it-IT"/>
        </w:rPr>
        <w:t>.</w:t>
      </w:r>
      <w:r w:rsidRPr="00FB7B67">
        <w:rPr>
          <w:rFonts w:ascii="Arial" w:eastAsia="Arial" w:hAnsi="Arial" w:cs="Arial"/>
          <w:b/>
          <w:i/>
          <w:sz w:val="24"/>
          <w:szCs w:val="24"/>
          <w:lang w:val="it-IT"/>
        </w:rPr>
        <w:t xml:space="preserve"> 3 (nuovo)</w:t>
      </w:r>
    </w:p>
    <w:p w:rsidR="00A72D51" w:rsidRPr="00334005" w:rsidRDefault="00A72D51" w:rsidP="003A1E1F">
      <w:pPr>
        <w:tabs>
          <w:tab w:val="left" w:pos="1985"/>
          <w:tab w:val="left" w:pos="4933"/>
        </w:tabs>
        <w:spacing w:after="0" w:line="240" w:lineRule="auto"/>
        <w:ind w:right="-13"/>
        <w:jc w:val="both"/>
        <w:rPr>
          <w:rFonts w:ascii="Arial" w:eastAsia="Arial" w:hAnsi="Arial" w:cs="Arial"/>
          <w:i/>
          <w:sz w:val="24"/>
          <w:szCs w:val="24"/>
          <w:lang w:val="it-IT"/>
        </w:rPr>
      </w:pPr>
      <w:r w:rsidRPr="00FB7B67">
        <w:rPr>
          <w:rFonts w:ascii="Arial" w:eastAsia="Arial" w:hAnsi="Arial" w:cs="Arial"/>
          <w:i/>
          <w:sz w:val="24"/>
          <w:szCs w:val="24"/>
          <w:vertAlign w:val="superscript"/>
          <w:lang w:val="it-IT"/>
        </w:rPr>
        <w:t>3</w:t>
      </w:r>
      <w:r w:rsidRPr="00FB7B67">
        <w:rPr>
          <w:rFonts w:ascii="Arial" w:eastAsia="Arial" w:hAnsi="Arial" w:cs="Arial"/>
          <w:i/>
          <w:sz w:val="24"/>
          <w:szCs w:val="24"/>
          <w:lang w:val="it-IT"/>
        </w:rPr>
        <w:t xml:space="preserve">Nelle procedure </w:t>
      </w:r>
      <w:r w:rsidRPr="001F489A">
        <w:rPr>
          <w:rFonts w:ascii="Arial" w:eastAsia="Arial" w:hAnsi="Arial" w:cs="Arial"/>
          <w:i/>
          <w:sz w:val="24"/>
          <w:szCs w:val="24"/>
          <w:lang w:val="it-IT"/>
        </w:rPr>
        <w:t>di conciliazione</w:t>
      </w:r>
      <w:r w:rsidRPr="00FB7B67">
        <w:rPr>
          <w:rFonts w:ascii="Arial" w:eastAsia="Arial" w:hAnsi="Arial" w:cs="Arial"/>
          <w:i/>
          <w:sz w:val="24"/>
          <w:szCs w:val="24"/>
          <w:lang w:val="it-IT"/>
        </w:rPr>
        <w:t xml:space="preserve"> derivanti da contratti conclusi con consumatori (art. 32 </w:t>
      </w:r>
      <w:proofErr w:type="spellStart"/>
      <w:r w:rsidRPr="00FB7B67">
        <w:rPr>
          <w:rFonts w:ascii="Arial" w:eastAsia="Arial" w:hAnsi="Arial" w:cs="Arial"/>
          <w:i/>
          <w:sz w:val="24"/>
          <w:szCs w:val="24"/>
          <w:lang w:val="it-IT"/>
        </w:rPr>
        <w:t>CPC</w:t>
      </w:r>
      <w:proofErr w:type="spellEnd"/>
      <w:r w:rsidRPr="00FB7B67">
        <w:rPr>
          <w:rFonts w:ascii="Arial" w:eastAsia="Arial" w:hAnsi="Arial" w:cs="Arial"/>
          <w:i/>
          <w:sz w:val="24"/>
          <w:szCs w:val="24"/>
          <w:lang w:val="it-IT"/>
        </w:rPr>
        <w:t>) fino a un valore litigioso di 30'000 franchi non sono addossate spese processuali.</w:t>
      </w:r>
    </w:p>
    <w:p w:rsidR="00A72D51" w:rsidRPr="00334005" w:rsidRDefault="00A72D51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72D51" w:rsidRPr="00334005" w:rsidRDefault="00A72D51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72D51" w:rsidRPr="00334005" w:rsidRDefault="00A72D51" w:rsidP="003A1E1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34005">
        <w:rPr>
          <w:rFonts w:ascii="Arial" w:hAnsi="Arial" w:cs="Arial"/>
          <w:sz w:val="24"/>
          <w:szCs w:val="24"/>
          <w:lang w:val="it-IT"/>
        </w:rPr>
        <w:t xml:space="preserve">Per la </w:t>
      </w:r>
      <w:r w:rsidR="003A1E1F">
        <w:rPr>
          <w:rFonts w:ascii="Arial" w:hAnsi="Arial" w:cs="Arial"/>
          <w:sz w:val="24"/>
          <w:szCs w:val="24"/>
          <w:lang w:val="it-IT"/>
        </w:rPr>
        <w:t xml:space="preserve">minoranza della </w:t>
      </w:r>
      <w:r w:rsidRPr="00334005">
        <w:rPr>
          <w:rFonts w:ascii="Arial" w:hAnsi="Arial" w:cs="Arial"/>
          <w:sz w:val="24"/>
          <w:szCs w:val="24"/>
          <w:lang w:val="it-IT"/>
        </w:rPr>
        <w:t>Commissione giustizia e diritti</w:t>
      </w:r>
      <w:r w:rsidR="003A1E1F">
        <w:rPr>
          <w:rFonts w:ascii="Arial" w:hAnsi="Arial" w:cs="Arial"/>
          <w:sz w:val="24"/>
          <w:szCs w:val="24"/>
          <w:lang w:val="it-IT"/>
        </w:rPr>
        <w:t>:</w:t>
      </w:r>
    </w:p>
    <w:p w:rsidR="003A1E1F" w:rsidRDefault="00A72D51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34005">
        <w:rPr>
          <w:rFonts w:ascii="Arial" w:hAnsi="Arial" w:cs="Arial"/>
          <w:sz w:val="24"/>
          <w:szCs w:val="24"/>
          <w:lang w:val="it-IT"/>
        </w:rPr>
        <w:t>Carlo Lepori, relatore</w:t>
      </w:r>
    </w:p>
    <w:p w:rsidR="003A1E1F" w:rsidRDefault="003A1E1F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Corti - Durisch - Gendotti - </w:t>
      </w:r>
      <w:r w:rsidR="0098498C">
        <w:rPr>
          <w:rFonts w:ascii="Arial" w:hAnsi="Arial" w:cs="Arial"/>
          <w:sz w:val="24"/>
          <w:szCs w:val="24"/>
          <w:lang w:val="it-IT"/>
        </w:rPr>
        <w:t xml:space="preserve">Noi - </w:t>
      </w:r>
      <w:r>
        <w:rPr>
          <w:rFonts w:ascii="Arial" w:hAnsi="Arial" w:cs="Arial"/>
          <w:sz w:val="24"/>
          <w:szCs w:val="24"/>
          <w:lang w:val="it-IT"/>
        </w:rPr>
        <w:t>Pagani</w:t>
      </w:r>
    </w:p>
    <w:p w:rsidR="003A1E1F" w:rsidRDefault="003A1E1F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813DBB" w:rsidRDefault="00813DBB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813DBB" w:rsidRDefault="00813DBB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813DBB" w:rsidRDefault="00813DBB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813DBB" w:rsidRDefault="00813DBB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813DBB" w:rsidRDefault="00813DBB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813DBB" w:rsidRPr="00813DBB" w:rsidRDefault="00813DBB" w:rsidP="00813DBB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813DBB">
        <w:rPr>
          <w:rFonts w:ascii="Arial" w:hAnsi="Arial" w:cs="Arial"/>
          <w:sz w:val="24"/>
          <w:szCs w:val="24"/>
          <w:u w:val="single"/>
          <w:lang w:val="it-IT"/>
        </w:rPr>
        <w:t>Allegata:</w:t>
      </w:r>
    </w:p>
    <w:p w:rsidR="00877743" w:rsidRDefault="00813DBB" w:rsidP="00A72D5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P</w:t>
      </w:r>
      <w:r w:rsidRPr="00334005">
        <w:rPr>
          <w:rFonts w:ascii="Arial" w:eastAsia="Arial" w:hAnsi="Arial" w:cs="Arial"/>
          <w:sz w:val="24"/>
          <w:szCs w:val="24"/>
          <w:lang w:val="it-IT"/>
        </w:rPr>
        <w:t>resa di posizione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it-IT"/>
        </w:rPr>
        <w:t>ACSI</w:t>
      </w:r>
      <w:proofErr w:type="spellEnd"/>
    </w:p>
    <w:p w:rsidR="00A72D51" w:rsidRPr="00334005" w:rsidRDefault="00A72D51" w:rsidP="00A72D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34005">
        <w:rPr>
          <w:rFonts w:ascii="Arial" w:hAnsi="Arial" w:cs="Arial"/>
          <w:sz w:val="24"/>
          <w:szCs w:val="24"/>
          <w:lang w:val="it-IT"/>
        </w:rPr>
        <w:br w:type="page"/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lastRenderedPageBreak/>
        <w:t>Disegno di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AA1340">
        <w:rPr>
          <w:rFonts w:ascii="Arial" w:hAnsi="Arial" w:cs="Arial"/>
          <w:b/>
          <w:sz w:val="24"/>
          <w:szCs w:val="24"/>
          <w:lang w:val="it-IT"/>
        </w:rPr>
        <w:t>LEGGE</w:t>
      </w:r>
    </w:p>
    <w:p w:rsidR="003A1E1F" w:rsidRPr="00AA1340" w:rsidRDefault="00A72D51" w:rsidP="00A72D51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AA1340">
        <w:rPr>
          <w:rFonts w:ascii="Arial" w:hAnsi="Arial" w:cs="Arial"/>
          <w:b/>
          <w:sz w:val="24"/>
          <w:szCs w:val="24"/>
          <w:lang w:val="it-IT"/>
        </w:rPr>
        <w:t>sulla tariffa giudiziaria del 30 novembre 2010 (</w:t>
      </w:r>
      <w:proofErr w:type="spellStart"/>
      <w:r w:rsidRPr="00AA1340">
        <w:rPr>
          <w:rFonts w:ascii="Arial" w:hAnsi="Arial" w:cs="Arial"/>
          <w:b/>
          <w:sz w:val="24"/>
          <w:szCs w:val="24"/>
          <w:lang w:val="it-IT"/>
        </w:rPr>
        <w:t>LTG</w:t>
      </w:r>
      <w:proofErr w:type="spellEnd"/>
      <w:r w:rsidRPr="00AA1340">
        <w:rPr>
          <w:rFonts w:ascii="Arial" w:hAnsi="Arial" w:cs="Arial"/>
          <w:b/>
          <w:sz w:val="24"/>
          <w:szCs w:val="24"/>
          <w:lang w:val="it-IT"/>
        </w:rPr>
        <w:t>)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t>modifica</w:t>
      </w:r>
      <w:r w:rsidR="003A1E1F" w:rsidRPr="00AA1340">
        <w:rPr>
          <w:rFonts w:ascii="Arial" w:hAnsi="Arial" w:cs="Arial"/>
          <w:sz w:val="24"/>
          <w:szCs w:val="24"/>
          <w:lang w:val="it-IT"/>
        </w:rPr>
        <w:t xml:space="preserve"> del …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t>Il GRAN CONSIGLIO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t>DELLA REPUBBLICA E CANTONE TICINO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A72D51" w:rsidRPr="00AA1340" w:rsidRDefault="003A1E1F" w:rsidP="003A1E1F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t>-</w:t>
      </w:r>
      <w:r w:rsidRPr="00AA1340">
        <w:rPr>
          <w:rFonts w:ascii="Arial" w:hAnsi="Arial" w:cs="Arial"/>
          <w:sz w:val="24"/>
          <w:szCs w:val="24"/>
          <w:lang w:val="it-IT"/>
        </w:rPr>
        <w:tab/>
      </w:r>
      <w:r w:rsidR="00A72D51" w:rsidRPr="00AA1340">
        <w:rPr>
          <w:rFonts w:ascii="Arial" w:hAnsi="Arial" w:cs="Arial"/>
          <w:sz w:val="24"/>
          <w:szCs w:val="24"/>
          <w:lang w:val="it-IT"/>
        </w:rPr>
        <w:t>vista l'iniziativa parlamentare 17 febbraio 2020 presentata nella forma elaborata da Massimiliano Ay e Lea Ferrari</w:t>
      </w:r>
      <w:r w:rsidRPr="00AA1340">
        <w:rPr>
          <w:rFonts w:ascii="Arial" w:hAnsi="Arial" w:cs="Arial"/>
          <w:sz w:val="24"/>
          <w:szCs w:val="24"/>
          <w:lang w:val="it-IT"/>
        </w:rPr>
        <w:t>;</w:t>
      </w:r>
    </w:p>
    <w:p w:rsidR="00A72D51" w:rsidRPr="00AA1340" w:rsidRDefault="003A1E1F" w:rsidP="003A1E1F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t>-</w:t>
      </w:r>
      <w:r w:rsidRPr="00AA1340">
        <w:rPr>
          <w:rFonts w:ascii="Arial" w:hAnsi="Arial" w:cs="Arial"/>
          <w:sz w:val="24"/>
          <w:szCs w:val="24"/>
          <w:lang w:val="it-IT"/>
        </w:rPr>
        <w:tab/>
      </w:r>
      <w:r w:rsidR="00A72D51" w:rsidRPr="00AA1340">
        <w:rPr>
          <w:rFonts w:ascii="Arial" w:hAnsi="Arial" w:cs="Arial"/>
          <w:sz w:val="24"/>
          <w:szCs w:val="24"/>
          <w:lang w:val="it-IT"/>
        </w:rPr>
        <w:t>visto il messaggio 11 novembre 2020 n. 7928</w:t>
      </w:r>
      <w:r w:rsidRPr="00AA1340">
        <w:rPr>
          <w:rFonts w:ascii="Arial" w:hAnsi="Arial" w:cs="Arial"/>
          <w:sz w:val="24"/>
          <w:szCs w:val="24"/>
          <w:lang w:val="it-IT"/>
        </w:rPr>
        <w:t xml:space="preserve"> del Consiglio di Stato;</w:t>
      </w:r>
    </w:p>
    <w:p w:rsidR="00A72D51" w:rsidRPr="00AA1340" w:rsidRDefault="003A1E1F" w:rsidP="003A1E1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t>-</w:t>
      </w:r>
      <w:r w:rsidRPr="00AA1340">
        <w:rPr>
          <w:rFonts w:ascii="Arial" w:hAnsi="Arial" w:cs="Arial"/>
          <w:sz w:val="24"/>
          <w:szCs w:val="24"/>
          <w:lang w:val="it-IT"/>
        </w:rPr>
        <w:tab/>
      </w:r>
      <w:r w:rsidR="00A72D51" w:rsidRPr="00AA1340">
        <w:rPr>
          <w:rFonts w:ascii="Arial" w:hAnsi="Arial" w:cs="Arial"/>
          <w:sz w:val="24"/>
          <w:szCs w:val="24"/>
          <w:lang w:val="it-IT"/>
        </w:rPr>
        <w:t xml:space="preserve">visto il rapporto </w:t>
      </w:r>
      <w:r w:rsidRPr="00AA1340">
        <w:rPr>
          <w:rFonts w:ascii="Arial" w:hAnsi="Arial" w:cs="Arial"/>
          <w:sz w:val="24"/>
          <w:szCs w:val="24"/>
          <w:lang w:val="it-IT"/>
        </w:rPr>
        <w:t>di minoranza 21 febbraio 2022 n. 7928 R2</w:t>
      </w:r>
      <w:r w:rsidR="00A72D51" w:rsidRPr="00AA1340">
        <w:rPr>
          <w:rFonts w:ascii="Arial" w:hAnsi="Arial" w:cs="Arial"/>
          <w:sz w:val="24"/>
          <w:szCs w:val="24"/>
          <w:lang w:val="it-IT"/>
        </w:rPr>
        <w:t xml:space="preserve"> della Commissione </w:t>
      </w:r>
      <w:r w:rsidRPr="00AA1340">
        <w:rPr>
          <w:rFonts w:ascii="Arial" w:hAnsi="Arial" w:cs="Arial"/>
          <w:sz w:val="24"/>
          <w:szCs w:val="24"/>
          <w:lang w:val="it-IT"/>
        </w:rPr>
        <w:t>giustizia e diritti</w:t>
      </w:r>
      <w:r w:rsidR="00A72D51" w:rsidRPr="00AA1340">
        <w:rPr>
          <w:rFonts w:ascii="Arial" w:hAnsi="Arial" w:cs="Arial"/>
          <w:sz w:val="24"/>
          <w:szCs w:val="24"/>
          <w:lang w:val="it-IT"/>
        </w:rPr>
        <w:t>,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t>decreta: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AA1340">
        <w:rPr>
          <w:rFonts w:ascii="Arial" w:hAnsi="Arial" w:cs="Arial"/>
          <w:b/>
          <w:sz w:val="24"/>
          <w:szCs w:val="24"/>
          <w:lang w:val="it-IT"/>
        </w:rPr>
        <w:t>I.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lang w:val="it-IT"/>
        </w:rPr>
        <w:t xml:space="preserve">La </w:t>
      </w:r>
      <w:r w:rsidR="003A1E1F" w:rsidRPr="00AA1340">
        <w:rPr>
          <w:rFonts w:ascii="Arial" w:hAnsi="Arial" w:cs="Arial"/>
          <w:sz w:val="24"/>
          <w:szCs w:val="24"/>
          <w:lang w:val="it-IT"/>
        </w:rPr>
        <w:t>l</w:t>
      </w:r>
      <w:r w:rsidRPr="00AA1340">
        <w:rPr>
          <w:rFonts w:ascii="Arial" w:hAnsi="Arial" w:cs="Arial"/>
          <w:sz w:val="24"/>
          <w:szCs w:val="24"/>
          <w:lang w:val="it-IT"/>
        </w:rPr>
        <w:t>egge sulla tariffa giudiziaria del 30 novembre 2010 è così modificata:</w:t>
      </w:r>
    </w:p>
    <w:p w:rsidR="00A72D51" w:rsidRPr="00AA1340" w:rsidRDefault="00A72D51" w:rsidP="00A72D51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A1E1F" w:rsidRPr="00AA1340" w:rsidRDefault="003A1E1F" w:rsidP="003A1E1F">
      <w:pPr>
        <w:tabs>
          <w:tab w:val="left" w:pos="1985"/>
          <w:tab w:val="left" w:pos="4933"/>
        </w:tabs>
        <w:spacing w:after="0" w:line="240" w:lineRule="auto"/>
        <w:ind w:right="566"/>
        <w:jc w:val="both"/>
        <w:rPr>
          <w:rFonts w:ascii="Arial" w:eastAsia="Arial" w:hAnsi="Arial" w:cs="Arial"/>
          <w:b/>
          <w:sz w:val="24"/>
          <w:szCs w:val="24"/>
          <w:lang w:val="it-IT"/>
        </w:rPr>
      </w:pPr>
      <w:r w:rsidRPr="00AA1340">
        <w:rPr>
          <w:rFonts w:ascii="Arial" w:eastAsia="Arial" w:hAnsi="Arial" w:cs="Arial"/>
          <w:b/>
          <w:sz w:val="24"/>
          <w:szCs w:val="24"/>
          <w:lang w:val="it-IT"/>
        </w:rPr>
        <w:t>Art. 1 cpv. 3 (nuovo)</w:t>
      </w:r>
    </w:p>
    <w:p w:rsidR="003A1E1F" w:rsidRPr="00AA1340" w:rsidRDefault="003A1E1F" w:rsidP="003A1E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eastAsia="Arial" w:hAnsi="Arial" w:cs="Arial"/>
          <w:sz w:val="24"/>
          <w:szCs w:val="24"/>
          <w:vertAlign w:val="superscript"/>
          <w:lang w:val="it-IT"/>
        </w:rPr>
        <w:t>3</w:t>
      </w:r>
      <w:r w:rsidRPr="00AA1340">
        <w:rPr>
          <w:rFonts w:ascii="Arial" w:eastAsia="Arial" w:hAnsi="Arial" w:cs="Arial"/>
          <w:sz w:val="24"/>
          <w:szCs w:val="24"/>
          <w:lang w:val="it-IT"/>
        </w:rPr>
        <w:t xml:space="preserve">Nelle procedure di conciliazione derivanti da contratti conclusi con consumatori (art. 32 </w:t>
      </w:r>
      <w:proofErr w:type="spellStart"/>
      <w:r w:rsidRPr="00AA1340">
        <w:rPr>
          <w:rFonts w:ascii="Arial" w:eastAsia="Arial" w:hAnsi="Arial" w:cs="Arial"/>
          <w:sz w:val="24"/>
          <w:szCs w:val="24"/>
          <w:lang w:val="it-IT"/>
        </w:rPr>
        <w:t>CPC</w:t>
      </w:r>
      <w:proofErr w:type="spellEnd"/>
      <w:r w:rsidRPr="00AA1340">
        <w:rPr>
          <w:rFonts w:ascii="Arial" w:eastAsia="Arial" w:hAnsi="Arial" w:cs="Arial"/>
          <w:sz w:val="24"/>
          <w:szCs w:val="24"/>
          <w:lang w:val="it-IT"/>
        </w:rPr>
        <w:t>) fino a un valore litigioso di 30'000 franchi non sono addossate spese processuali.</w:t>
      </w:r>
    </w:p>
    <w:p w:rsidR="00A72D51" w:rsidRPr="00AA1340" w:rsidRDefault="00A72D51" w:rsidP="003A1E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A72D51" w:rsidRPr="00AA1340" w:rsidRDefault="00A72D51" w:rsidP="003A1E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AA1340">
        <w:rPr>
          <w:rFonts w:ascii="Arial" w:hAnsi="Arial" w:cs="Arial"/>
          <w:b/>
          <w:sz w:val="24"/>
          <w:szCs w:val="24"/>
          <w:lang w:val="it-IT"/>
        </w:rPr>
        <w:t>II.</w:t>
      </w:r>
    </w:p>
    <w:p w:rsidR="00A72D51" w:rsidRPr="00AA1340" w:rsidRDefault="00A72D51" w:rsidP="003A1E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vertAlign w:val="superscript"/>
          <w:lang w:val="it-IT"/>
        </w:rPr>
        <w:t>1</w:t>
      </w:r>
      <w:r w:rsidRPr="00AA1340">
        <w:rPr>
          <w:rFonts w:ascii="Arial" w:hAnsi="Arial" w:cs="Arial"/>
          <w:sz w:val="24"/>
          <w:szCs w:val="24"/>
          <w:lang w:val="it-IT"/>
        </w:rPr>
        <w:t>Trascorsi i termini per l'esercizio del diritto di referendum la presente modifica di legge è pubblicata nel Bollettino ufficiale delle leggi e degli atti esecutivi.</w:t>
      </w:r>
    </w:p>
    <w:p w:rsidR="00A72D51" w:rsidRPr="00AA1340" w:rsidRDefault="00A72D51" w:rsidP="003A1E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AA1340">
        <w:rPr>
          <w:rFonts w:ascii="Arial" w:hAnsi="Arial" w:cs="Arial"/>
          <w:sz w:val="24"/>
          <w:szCs w:val="24"/>
          <w:vertAlign w:val="superscript"/>
          <w:lang w:val="it-IT"/>
        </w:rPr>
        <w:t>2</w:t>
      </w:r>
      <w:r w:rsidRPr="00AA1340">
        <w:rPr>
          <w:rFonts w:ascii="Arial" w:hAnsi="Arial" w:cs="Arial"/>
          <w:sz w:val="24"/>
          <w:szCs w:val="24"/>
          <w:lang w:val="it-IT"/>
        </w:rPr>
        <w:t>Il Consiglio di Stato ne fissa l'entrata in vigore.</w:t>
      </w:r>
    </w:p>
    <w:p w:rsidR="008F52AF" w:rsidRPr="00AA1340" w:rsidRDefault="008F52AF" w:rsidP="00D33940">
      <w:pPr>
        <w:pStyle w:val="StandardRisoluzionedelConsigliodiStato"/>
        <w:ind w:right="-1"/>
        <w:rPr>
          <w:szCs w:val="24"/>
        </w:rPr>
      </w:pPr>
    </w:p>
    <w:sectPr w:rsidR="008F52AF" w:rsidRPr="00AA1340" w:rsidSect="003751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51" w:rsidRDefault="00A72D51" w:rsidP="00F657BF">
      <w:r>
        <w:separator/>
      </w:r>
    </w:p>
  </w:endnote>
  <w:endnote w:type="continuationSeparator" w:id="0">
    <w:p w:rsidR="00A72D51" w:rsidRDefault="00A72D51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8777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877743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813DBB" w:rsidP="00912E34">
          <w:pPr>
            <w:jc w:val="center"/>
          </w:pPr>
          <w:r w:rsidRPr="003D1008">
            <w:rPr>
              <w:noProof/>
              <w:lang w:eastAsia="it-CH" w:bidi="ar-SA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813DBB" w:rsidP="00912E34">
          <w:pPr>
            <w:jc w:val="center"/>
          </w:pPr>
          <w:r w:rsidRPr="003D1008">
            <w:rPr>
              <w:noProof/>
              <w:lang w:eastAsia="it-CH" w:bidi="ar-SA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877743" w:rsidP="00912E34"/>
      </w:tc>
    </w:tr>
  </w:tbl>
  <w:p w:rsidR="00F657BF" w:rsidRDefault="00F657BF" w:rsidP="00F5689F">
    <w:pPr>
      <w:pStyle w:val="Invisible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877743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51" w:rsidRDefault="00A72D51" w:rsidP="00F657BF">
      <w:r>
        <w:separator/>
      </w:r>
    </w:p>
  </w:footnote>
  <w:footnote w:type="continuationSeparator" w:id="0">
    <w:p w:rsidR="00A72D51" w:rsidRDefault="00A72D51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B5" w:rsidRDefault="008777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sdt>
        <w:sdtPr>
          <w:rPr>
            <w:rFonts w:ascii="Gill Alt One MT Light" w:hAnsi="Gill Alt One MT Light"/>
            <w:sz w:val="16"/>
            <w:szCs w:val="16"/>
          </w:rPr>
          <w:alias w:val="CustomElements.Fields.Dipartimenti"/>
          <w:id w:val="1567676091"/>
          <w:dataBinding w:xpath="//Text[@id='CustomElements.Fields.Dipartimenti']" w:storeItemID="{25538E30-D32F-4DA5-A3B7-F0BCF5569D49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  <w:bottom w:val="single" w:sz="4" w:space="0" w:color="auto"/>
              </w:tcBorders>
              <w:tcMar>
                <w:left w:w="142" w:type="dxa"/>
              </w:tcMar>
              <w:vAlign w:val="bottom"/>
            </w:tcPr>
            <w:p w:rsidR="005012EC" w:rsidRPr="00E8185F" w:rsidRDefault="00BE1EC4" w:rsidP="00A532F6">
              <w:pPr>
                <w:pStyle w:val="Page"/>
                <w:rPr>
                  <w:rFonts w:ascii="Gill Alt One MT Light" w:hAnsi="Gill Alt One MT Light"/>
                  <w:sz w:val="16"/>
                  <w:szCs w:val="16"/>
                </w:rPr>
              </w:pPr>
              <w:r>
                <w:rPr>
                  <w:rFonts w:ascii="Gill Alt One MT Light" w:hAnsi="Gill Alt One MT Light"/>
                  <w:sz w:val="16"/>
                  <w:szCs w:val="16"/>
                </w:rPr>
                <w:t>Dipartimento delle istituzioni</w:t>
              </w:r>
            </w:p>
          </w:tc>
        </w:sdtContent>
      </w:sdt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813DBB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877743">
            <w:rPr>
              <w:noProof/>
              <w:sz w:val="24"/>
            </w:rPr>
            <w:t>4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877743">
            <w:rPr>
              <w:noProof/>
              <w:sz w:val="24"/>
            </w:rPr>
            <w:t>4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25538E30-D32F-4DA5-A3B7-F0BCF5569D49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E8185F" w:rsidRDefault="00BE1EC4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  <w:lang w:val="de-DE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di minoranza n. 7928 R2 del 21 febbraio 2022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E043A3" w:rsidRDefault="00877743" w:rsidP="00662409">
          <w:pPr>
            <w:pStyle w:val="InvisibleLine"/>
            <w:rPr>
              <w:lang w:val="de-DE"/>
            </w:rPr>
          </w:pPr>
        </w:p>
      </w:tc>
    </w:tr>
  </w:tbl>
  <w:p w:rsidR="00F657BF" w:rsidRPr="00980362" w:rsidRDefault="00813DBB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25538E30-D32F-4DA5-A3B7-F0BCF5569D49}"/>
                            <w:text w:multiLine="1"/>
                          </w:sdtPr>
                          <w:sdtEndPr/>
                          <w:sdtContent>
                            <w:p w:rsidR="008065E8" w:rsidRPr="00411371" w:rsidRDefault="00813DBB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25538E30-D32F-4DA5-A3B7-F0BCF5569D49}"/>
                      <w:text w:multiLine="1"/>
                    </w:sdtPr>
                    <w:sdtEndPr/>
                    <w:sdtContent>
                      <w:p w:rsidR="008065E8" w:rsidRPr="00411371" w:rsidRDefault="00813DBB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98208F">
      <w:trPr>
        <w:trHeight w:val="586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  <w:vAlign w:val="bottom"/>
        </w:tcPr>
        <w:p w:rsidR="00662409" w:rsidRPr="003108C0" w:rsidRDefault="00877743" w:rsidP="00D07D6E">
          <w:pPr>
            <w:pStyle w:val="InvisibleLine"/>
            <w:ind w:left="150"/>
            <w:rPr>
              <w:sz w:val="16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877743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813DBB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5590" cy="467995"/>
                <wp:effectExtent l="0" t="0" r="0" b="8255"/>
                <wp:wrapNone/>
                <wp:docPr id="6" name="ooImg_1334982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59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813DBB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877743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877743">
            <w:rPr>
              <w:rFonts w:asciiTheme="minorHAnsi" w:hAnsiTheme="minorHAnsi" w:cstheme="minorHAnsi"/>
              <w:noProof/>
              <w:sz w:val="24"/>
            </w:rPr>
            <w:t>4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25538E30-D32F-4DA5-A3B7-F0BCF5569D49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BE1EC4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 di minoranza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813DB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877743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813DB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877743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813DBB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877743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877743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25538E30-D32F-4DA5-A3B7-F0BCF5569D49}"/>
              <w:text w:multiLine="1"/>
            </w:sdtPr>
            <w:sdtEndPr/>
            <w:sdtContent>
              <w:r w:rsidR="00BE1EC4">
                <w:rPr>
                  <w:rFonts w:cstheme="minorHAnsi"/>
                  <w:b/>
                  <w:sz w:val="24"/>
                  <w:szCs w:val="24"/>
                </w:rPr>
                <w:t>7928 R2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25538E30-D32F-4DA5-A3B7-F0BCF5569D49}"/>
          <w:date w:fullDate="2022-02-21T01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BE1EC4" w:rsidP="00A532F6">
              <w:pPr>
                <w:pStyle w:val="Data"/>
              </w:pPr>
              <w:r>
                <w:rPr>
                  <w:sz w:val="24"/>
                </w:rPr>
                <w:t>21 febbraio 2022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877743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25538E30-D32F-4DA5-A3B7-F0BCF5569D49}"/>
              <w:text w:multiLine="1"/>
            </w:sdtPr>
            <w:sdtEndPr/>
            <w:sdtContent>
              <w:r w:rsidR="00BE1EC4">
                <w:rPr>
                  <w:smallCaps/>
                  <w:sz w:val="23"/>
                  <w:szCs w:val="23"/>
                </w:rPr>
                <w:t>Dipartimento delle istituzioni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877743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813DBB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8470" cy="467995"/>
          <wp:effectExtent l="0" t="0" r="0" b="8255"/>
          <wp:wrapNone/>
          <wp:docPr id="7" name="ooImg_993988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25538E30-D32F-4DA5-A3B7-F0BCF5569D49}"/>
                            <w:text w:multiLine="1"/>
                          </w:sdtPr>
                          <w:sdtEndPr/>
                          <w:sdtContent>
                            <w:p w:rsidR="00E93620" w:rsidRPr="00411371" w:rsidRDefault="00813DBB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25538E30-D32F-4DA5-A3B7-F0BCF5569D49}"/>
                      <w:text w:multiLine="1"/>
                    </w:sdtPr>
                    <w:sdtEndPr/>
                    <w:sdtContent>
                      <w:p w:rsidR="00E93620" w:rsidRPr="00411371" w:rsidRDefault="00813DBB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E01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A7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689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5C91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81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Titolo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Titolo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num w:numId="1">
    <w:abstractNumId w:val="11"/>
  </w:num>
  <w:num w:numId="2">
    <w:abstractNumId w:val="16"/>
    <w:lvlOverride w:ilvl="0">
      <w:lvl w:ilvl="0">
        <w:start w:val="1"/>
        <w:numFmt w:val="decimal"/>
        <w:pStyle w:val="Titolo1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51"/>
    <w:rsid w:val="002B5D9F"/>
    <w:rsid w:val="003A1E1F"/>
    <w:rsid w:val="003A3205"/>
    <w:rsid w:val="003B756D"/>
    <w:rsid w:val="00403ADB"/>
    <w:rsid w:val="00572FD3"/>
    <w:rsid w:val="00813DBB"/>
    <w:rsid w:val="008720C4"/>
    <w:rsid w:val="00877743"/>
    <w:rsid w:val="008F52AF"/>
    <w:rsid w:val="0098498C"/>
    <w:rsid w:val="009C5E5A"/>
    <w:rsid w:val="00A72D51"/>
    <w:rsid w:val="00AA1340"/>
    <w:rsid w:val="00AF0268"/>
    <w:rsid w:val="00BE1EC4"/>
    <w:rsid w:val="00BF0A1F"/>
    <w:rsid w:val="00D33940"/>
    <w:rsid w:val="00D600FD"/>
    <w:rsid w:val="00D649A8"/>
    <w:rsid w:val="00EB088A"/>
    <w:rsid w:val="00F6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0284A84"/>
  <w15:docId w15:val="{65F137A1-C3A2-412E-AA11-0CF77D0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D51"/>
    <w:pPr>
      <w:spacing w:after="160" w:line="259" w:lineRule="auto"/>
      <w:jc w:val="left"/>
    </w:pPr>
    <w:rPr>
      <w:rFonts w:cs="Mangal"/>
      <w:szCs w:val="20"/>
      <w:lang w:val="it-CH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0D42"/>
    <w:pPr>
      <w:keepNext/>
      <w:numPr>
        <w:numId w:val="2"/>
      </w:numPr>
      <w:spacing w:before="240" w:after="120" w:line="240" w:lineRule="auto"/>
      <w:outlineLvl w:val="0"/>
    </w:pPr>
    <w:rPr>
      <w:rFonts w:ascii="Arial" w:hAnsi="Arial" w:cstheme="minorBidi"/>
      <w:b/>
      <w:szCs w:val="22"/>
      <w:lang w:bidi="ar-SA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 w:after="0" w:line="240" w:lineRule="auto"/>
      <w:jc w:val="both"/>
      <w:outlineLvl w:val="4"/>
    </w:pPr>
    <w:rPr>
      <w:rFonts w:ascii="Arial" w:eastAsiaTheme="majorEastAsia" w:hAnsi="Arial" w:cstheme="majorBidi"/>
      <w:b/>
      <w:color w:val="365F91" w:themeColor="accent1" w:themeShade="BF"/>
      <w:szCs w:val="22"/>
      <w:lang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 w:after="0" w:line="240" w:lineRule="auto"/>
      <w:jc w:val="both"/>
      <w:outlineLvl w:val="5"/>
    </w:pPr>
    <w:rPr>
      <w:rFonts w:ascii="Arial" w:eastAsiaTheme="majorEastAsia" w:hAnsi="Arial" w:cstheme="majorBidi"/>
      <w:b/>
      <w:color w:val="243F60" w:themeColor="accent1" w:themeShade="7F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 w:after="0" w:line="240" w:lineRule="auto"/>
      <w:jc w:val="both"/>
      <w:outlineLvl w:val="6"/>
    </w:pPr>
    <w:rPr>
      <w:rFonts w:ascii="Arial" w:eastAsiaTheme="majorEastAsia" w:hAnsi="Arial" w:cstheme="majorBidi"/>
      <w:b/>
      <w:i/>
      <w:iCs/>
      <w:color w:val="243F60" w:themeColor="accent1" w:themeShade="7F"/>
      <w:szCs w:val="22"/>
      <w:lang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 w:after="0" w:line="240" w:lineRule="auto"/>
      <w:jc w:val="both"/>
      <w:outlineLvl w:val="7"/>
    </w:pPr>
    <w:rPr>
      <w:rFonts w:ascii="Arial" w:eastAsiaTheme="majorEastAsia" w:hAnsi="Arial" w:cstheme="majorBidi"/>
      <w:color w:val="272727" w:themeColor="text1" w:themeTint="D8"/>
      <w:szCs w:val="21"/>
      <w:lang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 w:after="0" w:line="240" w:lineRule="auto"/>
      <w:jc w:val="both"/>
      <w:outlineLvl w:val="8"/>
    </w:pPr>
    <w:rPr>
      <w:rFonts w:ascii="Arial" w:eastAsiaTheme="majorEastAsia" w:hAnsi="Arial" w:cstheme="majorBidi"/>
      <w:i/>
      <w:iCs/>
      <w:color w:val="272727" w:themeColor="text1" w:themeTint="D8"/>
      <w:szCs w:val="21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 w:line="240" w:lineRule="auto"/>
      <w:jc w:val="both"/>
    </w:pPr>
    <w:rPr>
      <w:rFonts w:ascii="Arial" w:hAnsi="Arial" w:cstheme="minorBidi"/>
      <w:b/>
      <w:szCs w:val="22"/>
      <w:lang w:bidi="ar-SA"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spacing w:after="0" w:line="240" w:lineRule="auto"/>
    </w:pPr>
    <w:rPr>
      <w:rFonts w:asciiTheme="majorHAnsi" w:hAnsiTheme="majorHAnsi" w:cstheme="minorBidi"/>
      <w:b/>
      <w:sz w:val="32"/>
      <w:szCs w:val="22"/>
      <w:lang w:bidi="ar-SA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 w:line="240" w:lineRule="auto"/>
    </w:pPr>
    <w:rPr>
      <w:rFonts w:asciiTheme="majorHAnsi" w:hAnsiTheme="majorHAnsi" w:cstheme="minorBidi"/>
      <w:b/>
      <w:szCs w:val="22"/>
      <w:lang w:bidi="ar-SA"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spacing w:after="0" w:line="240" w:lineRule="auto"/>
      <w:contextualSpacing/>
      <w:jc w:val="both"/>
    </w:pPr>
    <w:rPr>
      <w:rFonts w:ascii="Arial" w:hAnsi="Arial" w:cstheme="minorBidi"/>
      <w:szCs w:val="22"/>
      <w:lang w:bidi="ar-SA"/>
    </w:rPr>
  </w:style>
  <w:style w:type="paragraph" w:styleId="Paragrafoelenco">
    <w:name w:val="List Paragraph"/>
    <w:basedOn w:val="Normale"/>
    <w:uiPriority w:val="34"/>
    <w:rsid w:val="004D7849"/>
    <w:pPr>
      <w:spacing w:after="0" w:line="240" w:lineRule="auto"/>
      <w:ind w:left="720"/>
      <w:contextualSpacing/>
      <w:jc w:val="both"/>
    </w:pPr>
    <w:rPr>
      <w:rFonts w:ascii="Arial" w:hAnsi="Arial" w:cstheme="minorBidi"/>
      <w:szCs w:val="22"/>
      <w:lang w:bidi="ar-SA"/>
    </w:rPr>
  </w:style>
  <w:style w:type="paragraph" w:customStyle="1" w:styleId="ListNumeric">
    <w:name w:val="ListNumeric"/>
    <w:basedOn w:val="Normale"/>
    <w:rsid w:val="008C0661"/>
    <w:pPr>
      <w:numPr>
        <w:numId w:val="7"/>
      </w:numPr>
      <w:spacing w:after="0" w:line="240" w:lineRule="auto"/>
      <w:contextualSpacing/>
      <w:jc w:val="both"/>
    </w:pPr>
    <w:rPr>
      <w:rFonts w:ascii="Arial" w:hAnsi="Arial" w:cstheme="minorBidi"/>
      <w:szCs w:val="22"/>
      <w:lang w:bidi="ar-SA"/>
    </w:rPr>
  </w:style>
  <w:style w:type="paragraph" w:customStyle="1" w:styleId="ListLine">
    <w:name w:val="ListLine"/>
    <w:basedOn w:val="Normale"/>
    <w:rsid w:val="008C0661"/>
    <w:pPr>
      <w:numPr>
        <w:numId w:val="6"/>
      </w:numPr>
      <w:spacing w:after="0" w:line="240" w:lineRule="auto"/>
      <w:contextualSpacing/>
      <w:jc w:val="both"/>
    </w:pPr>
    <w:rPr>
      <w:rFonts w:ascii="Arial" w:hAnsi="Arial" w:cstheme="minorBidi"/>
      <w:szCs w:val="22"/>
      <w:lang w:bidi="ar-SA"/>
    </w:rPr>
  </w:style>
  <w:style w:type="paragraph" w:customStyle="1" w:styleId="ListBullet">
    <w:name w:val="ListBullet"/>
    <w:basedOn w:val="Normale"/>
    <w:rsid w:val="008C0661"/>
    <w:pPr>
      <w:numPr>
        <w:numId w:val="5"/>
      </w:numPr>
      <w:spacing w:after="0" w:line="240" w:lineRule="auto"/>
      <w:contextualSpacing/>
      <w:jc w:val="both"/>
    </w:pPr>
    <w:rPr>
      <w:rFonts w:ascii="Arial" w:hAnsi="Arial" w:cstheme="minorBidi"/>
      <w:szCs w:val="22"/>
      <w:lang w:bidi="ar-SA"/>
    </w:r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 w:line="240" w:lineRule="auto"/>
      <w:ind w:left="567" w:right="567" w:hanging="567"/>
    </w:pPr>
    <w:rPr>
      <w:rFonts w:ascii="Arial" w:hAnsi="Arial" w:cstheme="minorBidi"/>
      <w:b/>
      <w:szCs w:val="22"/>
      <w:lang w:bidi="ar-SA"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spacing w:after="0" w:line="240" w:lineRule="auto"/>
    </w:pPr>
    <w:rPr>
      <w:rFonts w:ascii="Arial" w:hAnsi="Arial" w:cstheme="minorBidi"/>
      <w:szCs w:val="22"/>
      <w:lang w:bidi="ar-SA"/>
    </w:r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spacing w:after="0" w:line="240" w:lineRule="auto"/>
    </w:pPr>
    <w:rPr>
      <w:rFonts w:ascii="Arial" w:hAnsi="Arial" w:cstheme="minorBidi"/>
      <w:szCs w:val="22"/>
      <w:lang w:bidi="ar-SA"/>
    </w:r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  <w:pPr>
      <w:spacing w:after="0" w:line="240" w:lineRule="auto"/>
      <w:jc w:val="both"/>
    </w:pPr>
    <w:rPr>
      <w:rFonts w:ascii="Arial" w:hAnsi="Arial" w:cstheme="minorBidi"/>
      <w:szCs w:val="22"/>
      <w:lang w:bidi="ar-SA"/>
    </w:rPr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  <w:pPr>
      <w:spacing w:after="0" w:line="240" w:lineRule="auto"/>
      <w:jc w:val="both"/>
    </w:pPr>
    <w:rPr>
      <w:rFonts w:ascii="Arial" w:hAnsi="Arial" w:cstheme="minorBidi"/>
      <w:szCs w:val="22"/>
      <w:lang w:bidi="ar-SA"/>
    </w:rPr>
  </w:style>
  <w:style w:type="paragraph" w:customStyle="1" w:styleId="Sender">
    <w:name w:val="Sender"/>
    <w:basedOn w:val="Normale"/>
    <w:rsid w:val="00B33B5E"/>
    <w:pPr>
      <w:spacing w:after="0" w:line="204" w:lineRule="auto"/>
      <w:jc w:val="right"/>
    </w:pPr>
    <w:rPr>
      <w:rFonts w:ascii="Gill Alt One MT Light" w:hAnsi="Gill Alt One MT Light" w:cstheme="minorBidi"/>
      <w:sz w:val="16"/>
      <w:szCs w:val="22"/>
      <w:lang w:bidi="ar-SA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</w:pPr>
    <w:rPr>
      <w:rFonts w:ascii="Arial" w:hAnsi="Arial" w:cstheme="minorBidi"/>
      <w:szCs w:val="22"/>
      <w:lang w:bidi="ar-SA"/>
    </w:r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spacing w:after="0" w:line="240" w:lineRule="auto"/>
    </w:pPr>
    <w:rPr>
      <w:rFonts w:ascii="Arial" w:hAnsi="Arial" w:cstheme="minorBidi"/>
      <w:szCs w:val="22"/>
      <w:lang w:bidi="ar-SA"/>
    </w:r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 w:line="240" w:lineRule="auto"/>
      <w:ind w:left="425" w:hanging="425"/>
    </w:pPr>
    <w:rPr>
      <w:rFonts w:ascii="Gill Sans MT Pro Light" w:hAnsi="Gill Sans MT Pro Light" w:cstheme="minorBidi"/>
      <w:sz w:val="16"/>
      <w:szCs w:val="22"/>
      <w:lang w:bidi="ar-SA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spacing w:after="0" w:line="240" w:lineRule="auto"/>
      <w:ind w:left="340"/>
    </w:pPr>
    <w:rPr>
      <w:rFonts w:ascii="Gill Sans Display MT Pro BdCn" w:hAnsi="Gill Sans Display MT Pro BdCn" w:cstheme="minorBidi"/>
      <w:szCs w:val="22"/>
      <w:lang w:bidi="ar-SA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spacing w:after="0" w:line="240" w:lineRule="auto"/>
    </w:pPr>
    <w:rPr>
      <w:rFonts w:ascii="Arial" w:hAnsi="Arial" w:cstheme="minorBidi"/>
      <w:szCs w:val="22"/>
      <w:lang w:bidi="ar-SA"/>
    </w:rPr>
  </w:style>
  <w:style w:type="paragraph" w:customStyle="1" w:styleId="StandardRisoluzionedelConsigliodiStato">
    <w:name w:val="StandardRisoluzionedelConsigliodiStato"/>
    <w:basedOn w:val="Normale"/>
    <w:qFormat/>
    <w:rsid w:val="00FA1872"/>
    <w:pPr>
      <w:spacing w:after="0" w:line="240" w:lineRule="auto"/>
      <w:jc w:val="both"/>
    </w:pPr>
    <w:rPr>
      <w:rFonts w:ascii="Arial" w:hAnsi="Arial" w:cstheme="minorBidi"/>
      <w:sz w:val="24"/>
      <w:szCs w:val="22"/>
      <w:lang w:bidi="ar-SA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character" w:styleId="Collegamentoipertestuale">
    <w:name w:val="Hyperlink"/>
    <w:basedOn w:val="Carpredefinitoparagrafo"/>
    <w:uiPriority w:val="99"/>
    <w:unhideWhenUsed/>
    <w:rsid w:val="003A1E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340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340"/>
    <w:rPr>
      <w:rFonts w:ascii="Segoe UI" w:hAnsi="Segoe UI" w:cs="Mangal"/>
      <w:sz w:val="18"/>
      <w:szCs w:val="16"/>
      <w:lang w:val="it-CH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at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xgc001\AppData\Local\Temp\OneOffixx\generated\bc446cc7-9b0c-4241-b8f4-b95fd36f8075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e 7 4 3 b 7 5 f - 3 6 8 7 - 4 7 6 4 - 9 f e 3 - 1 1 7 0 4 5 c 6 e f 2 3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2 - 0 2 - 2 5 T 1 2 : 4 8 : 1 7 . 9 8 3 9 9 2 8 Z "   m o d i f i e d m a j o r v e r s i o n = " 0 "   m o d i f i e d m i n o r v e r s i o n = " 0 "   m o d i f i e d = " 0 0 0 1 - 0 1 - 0 1 T 0 0 : 0 0 : 0 0 "   p r o f i l e = " 8 8 0 c a 6 9 9 - 0 3 5 4 - 4 c a 1 - b 3 2 5 - b d 2 0 7 9 5 1 6 b 4 8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8 0 c a 6 9 9 - 0 3 5 4 - 4 c a 1 - b 3 2 5 - b d 2 0 7 9 5 1 6 b 4 8 ] ] > < / T e x t >  
                 < T e x t   i d = " P r o f i l e . O r g a n i z a t i o n U n i t I d "   l a b e l = " P r o f i l e . O r g a n i z a t i o n U n i t I d " > < ! [ C D A T A [ d c 7 9 3 f c 0 - 4 0 a 3 - 4 a a b - b 1 d e - 7 7 b 2 d f c 5 8 3 c 2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S e r v i z i   d e l  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m a r i s a . m o r a n d i @ t i . c h ] ] > < / T e x t >  
                 < T e x t   i d = " P r o f i l e . U s e r . F i r s t N a m e "   l a b e l = " P r o f i l e . U s e r . F i r s t N a m e " > < ! [ C D A T A [ M a r i s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M o r a n d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7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m a r i s a . m o r a n d i @ t i . c h ] ] > < / T e x t >  
                 < T e x t   i d = " A u t h o r . U s e r . F i r s t N a m e "   l a b e l = " A u t h o r . U s e r . F i r s t N a m e " > < ! [ C D A T A [ M a r i s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M o r a n d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7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0 0 0 0 0 0 0 0 - 0 0 0 0 - 0 0 0 0 - 0 0 0 0 - 0 0 0 0 0 0 0 0 0 0 0 0 ] ] > < / T e x t >  
                 < T e x t   i d = " S i g n e r _ 0 . O r g a n i z a t i o n U n i t I d "   l a b e l = " S i g n e r _ 0 . O r g a n i z a t i o n U n i t I d " > < ! [ C D A T A [   ] ] > < / T e x t >  
                 < T e x t   i d = " S i g n e r _ 0 . O r g . E m a i l "   l a b e l = " S i g n e r _ 0 . O r g . E m a i l " > < ! [ C D A T A [   ] ] > < / T e x t >  
                 < T e x t   i d = " S i g n e r _ 0 . O r g . F a x "   l a b e l = " S i g n e r _ 0 . O r g . F a x " > < ! [ C D A T A [  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 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  ] ] > < / T e x t >  
                 < T e x t   i d = " S i g n e r _ 0 . O r g . P h o n e "   l a b e l = " S i g n e r _ 0 . O r g . P h o n e " > < ! [ C D A T A [   ] ] > < / T e x t >  
                 < T e x t   i d = " S i g n e r _ 0 . O r g . P o s t a l . C i t y "   l a b e l = " S i g n e r _ 0 . O r g . P o s t a l . C i t y " > < ! [ C D A T A [  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  ] ] > < / T e x t >  
                 < T e x t   i d = " S i g n e r _ 0 . O r g . P o s t a l . Z i p "   l a b e l = " S i g n e r _ 0 . O r g . P o s t a l . Z i p " > < ! [ C D A T A [  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  ] ] > < / T e x t >  
                 < T e x t   i d = " S i g n e r _ 0 . U s e r . F i r s t N a m e "   l a b e l = " S i g n e r _ 0 . U s e r . F i r s t N a m e " > < ! [ C D A T A [   ] ] > < / T e x t >  
                 < T e x t   i d = " S i g n e r _ 0 . U s e r . F u n c t i o n "   l a b e l = " S i g n e r _ 0 . U s e r . F u n c t i o n " > < ! [ C D A T A [   ] ] > < / T e x t >  
                 < T e x t   i d = " S i g n e r _ 0 . U s e r . L a s t N a m e "   l a b e l = " S i g n e r _ 0 . U s e r . L a s t N a m e " > < ! [ C D A T A [  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 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 2 0 2 2 - 0 2 - 2 1 T 0 0 : 0 0 : 0 0 Z < / D a t e T i m e >  
                 < T e x t   i d = " D o c P a r a m . N u m b e r " > < ! [ C D A T A [ 7 9 2 8   R 2 ] ] > < / T e x t >  
                 < T e x t   i d = " D o c P a r a m . D o c u m e n t o " > < ! [ C D A T A [ R a p p o r t o   d i   m i n o r a n z a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e   i s t i t u z i o n i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e   i s t i t u z i o n i ] ] > < / T e x t >  
                 < T e x t   i d = " C u s t o m E l e m e n t s . F i e l d s . T i t o l o 1 "   l a b e l = " C u s t o m E l e m e n t s . F i e l d s . T i t o l o 1 " > < ! [ C D A T A [ R a p p o r t o   d i   m i n o r a n z a ] ] > < / T e x t >  
                 < T e x t   i d = " C u s t o m E l e m e n t s . F i e l d s . T i t o l o 2 "   l a b e l = " C u s t o m E l e m e n t s . F i e l d s . T i t o l o 2 " > < ! [ C D A T A [ R a p p o r t o   d i   m i n o r a n z a   n .   7 9 2 8   R 2   d e l   2 1   f e b b r a i o   2 0 2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>
      </Group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c7fbb08f0a33672f3bdb4c56f6819a65</ImageHash>
    </ImageSizeDefinition>
    <ImageSizeDefinition>
      <Id>1334982032</Id>
      <Width>0</Width>
      <Height>0</Height>
      <XPath>//Image[@id='Profile.Org.WappenSW']</XPath>
      <ImageHash>175a27f480afd6acc77c371c027287b9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25538E30-D32F-4DA5-A3B7-F0BCF5569D49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6D1D282D-396D-45A1-A0D4-757EA5D4BAC3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bc446cc7-9b0c-4241-b8f4-b95fd36f8075.dotx</Template>
  <TotalTime>35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Morandi Marisa / kxgc001</dc:creator>
  <cp:lastModifiedBy>Morandi Marisa</cp:lastModifiedBy>
  <cp:revision>6</cp:revision>
  <cp:lastPrinted>2022-02-28T08:23:00Z</cp:lastPrinted>
  <dcterms:created xsi:type="dcterms:W3CDTF">2022-02-25T12:48:00Z</dcterms:created>
  <dcterms:modified xsi:type="dcterms:W3CDTF">2022-02-28T08:23:00Z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