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C9" w:rsidRPr="00BA4A57" w:rsidRDefault="008B5BC9" w:rsidP="008B5BC9">
      <w:pPr>
        <w:tabs>
          <w:tab w:val="left" w:pos="2127"/>
          <w:tab w:val="left" w:pos="4962"/>
        </w:tabs>
        <w:rPr>
          <w:b/>
          <w:sz w:val="28"/>
        </w:rPr>
      </w:pPr>
      <w:r w:rsidRPr="00BA4A57">
        <w:rPr>
          <w:b/>
          <w:sz w:val="28"/>
        </w:rPr>
        <w:t>dell'Ufficio p</w:t>
      </w:r>
      <w:r>
        <w:rPr>
          <w:b/>
          <w:sz w:val="28"/>
        </w:rPr>
        <w:t>residenziale del Gran Consiglio</w:t>
      </w:r>
    </w:p>
    <w:p w:rsidR="008B5BC9" w:rsidRPr="00921224" w:rsidRDefault="008B5BC9" w:rsidP="008B5BC9">
      <w:pPr>
        <w:rPr>
          <w:rFonts w:cs="Arial"/>
          <w:b/>
          <w:sz w:val="28"/>
          <w:szCs w:val="28"/>
        </w:rPr>
      </w:pPr>
      <w:r w:rsidRPr="00BA4A57">
        <w:rPr>
          <w:b/>
          <w:sz w:val="28"/>
        </w:rPr>
        <w:t xml:space="preserve">concernente la sostituzione </w:t>
      </w:r>
      <w:r>
        <w:rPr>
          <w:b/>
          <w:sz w:val="28"/>
        </w:rPr>
        <w:t xml:space="preserve">di </w:t>
      </w:r>
      <w:r w:rsidR="002D57E6">
        <w:rPr>
          <w:b/>
          <w:sz w:val="28"/>
        </w:rPr>
        <w:t xml:space="preserve">due </w:t>
      </w:r>
      <w:r>
        <w:rPr>
          <w:b/>
          <w:sz w:val="28"/>
        </w:rPr>
        <w:t>assessor</w:t>
      </w:r>
      <w:r w:rsidR="002D57E6">
        <w:rPr>
          <w:b/>
          <w:sz w:val="28"/>
        </w:rPr>
        <w:t>i</w:t>
      </w:r>
      <w:r>
        <w:rPr>
          <w:b/>
          <w:sz w:val="28"/>
        </w:rPr>
        <w:t>-giurat</w:t>
      </w:r>
      <w:r w:rsidR="002D57E6">
        <w:rPr>
          <w:b/>
          <w:sz w:val="28"/>
        </w:rPr>
        <w:t>i</w:t>
      </w:r>
      <w:bookmarkStart w:id="0" w:name="_GoBack"/>
      <w:bookmarkEnd w:id="0"/>
      <w:r>
        <w:rPr>
          <w:b/>
          <w:sz w:val="28"/>
        </w:rPr>
        <w:t xml:space="preserve"> per la Corte di appello e di revisione penale </w:t>
      </w:r>
      <w:r w:rsidRPr="00921224">
        <w:rPr>
          <w:b/>
          <w:sz w:val="28"/>
          <w:szCs w:val="28"/>
        </w:rPr>
        <w:t xml:space="preserve">per il periodo </w:t>
      </w:r>
      <w:r>
        <w:rPr>
          <w:b/>
          <w:sz w:val="28"/>
          <w:szCs w:val="28"/>
        </w:rPr>
        <w:t xml:space="preserve">fino al </w:t>
      </w:r>
      <w:r w:rsidRPr="00921224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1</w:t>
      </w:r>
      <w:r w:rsidRPr="00921224">
        <w:rPr>
          <w:rFonts w:cs="Arial"/>
          <w:b/>
          <w:sz w:val="28"/>
          <w:szCs w:val="28"/>
        </w:rPr>
        <w:t xml:space="preserve"> maggio 20</w:t>
      </w:r>
      <w:r>
        <w:rPr>
          <w:rFonts w:cs="Arial"/>
          <w:b/>
          <w:sz w:val="28"/>
          <w:szCs w:val="28"/>
        </w:rPr>
        <w:t>2</w:t>
      </w:r>
      <w:r w:rsidRPr="00921224">
        <w:rPr>
          <w:rFonts w:cs="Arial"/>
          <w:b/>
          <w:sz w:val="28"/>
          <w:szCs w:val="28"/>
        </w:rPr>
        <w:t>8</w:t>
      </w:r>
    </w:p>
    <w:p w:rsidR="008B5BC9" w:rsidRPr="0013309B" w:rsidRDefault="008B5BC9" w:rsidP="008B5BC9">
      <w:pPr>
        <w:rPr>
          <w:szCs w:val="24"/>
        </w:rPr>
      </w:pPr>
    </w:p>
    <w:p w:rsidR="008B5BC9" w:rsidRDefault="008B5BC9" w:rsidP="008B5BC9">
      <w:pPr>
        <w:rPr>
          <w:rFonts w:cs="Arial"/>
        </w:rPr>
      </w:pPr>
    </w:p>
    <w:p w:rsidR="008B5BC9" w:rsidRDefault="008B5BC9" w:rsidP="008B5BC9">
      <w:pPr>
        <w:tabs>
          <w:tab w:val="left" w:pos="426"/>
          <w:tab w:val="left" w:pos="709"/>
        </w:tabs>
        <w:ind w:left="426" w:hanging="426"/>
        <w:rPr>
          <w:rFonts w:cs="Arial"/>
          <w:szCs w:val="24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982478">
        <w:rPr>
          <w:rFonts w:cs="Arial"/>
        </w:rPr>
        <w:t>In segu</w:t>
      </w:r>
      <w:r>
        <w:rPr>
          <w:rFonts w:cs="Arial"/>
        </w:rPr>
        <w:t xml:space="preserve">ito alle dimissioni dell’assessore-giurato </w:t>
      </w:r>
      <w:r>
        <w:rPr>
          <w:rFonts w:cs="Arial"/>
        </w:rPr>
        <w:t>Katya Gamboni</w:t>
      </w:r>
      <w:r w:rsidR="002D57E6">
        <w:rPr>
          <w:rFonts w:cs="Arial"/>
        </w:rPr>
        <w:t xml:space="preserve"> e al decesso dell'assessore-giurato Stefano Gilardi</w:t>
      </w:r>
      <w:r>
        <w:rPr>
          <w:rFonts w:cs="Arial"/>
        </w:rPr>
        <w:t>,</w:t>
      </w:r>
      <w:r w:rsidRPr="00FF5B81">
        <w:rPr>
          <w:szCs w:val="24"/>
        </w:rPr>
        <w:t xml:space="preserve"> </w:t>
      </w:r>
      <w:r>
        <w:rPr>
          <w:szCs w:val="24"/>
        </w:rPr>
        <w:t xml:space="preserve">i Servizi </w:t>
      </w:r>
      <w:r w:rsidRPr="00BA4A57">
        <w:t>del Gran Consiglio ha</w:t>
      </w:r>
      <w:r>
        <w:t>nno</w:t>
      </w:r>
      <w:r w:rsidRPr="00BA4A57">
        <w:t xml:space="preserve"> dato avvio, giusta l'art. 23 LOG</w:t>
      </w:r>
      <w:r>
        <w:t>,</w:t>
      </w:r>
      <w:r w:rsidRPr="00BA4A57">
        <w:t xml:space="preserve"> alla procedura per </w:t>
      </w:r>
      <w:r>
        <w:t xml:space="preserve">la </w:t>
      </w:r>
      <w:r w:rsidR="002D57E6">
        <w:t>loro</w:t>
      </w:r>
      <w:r>
        <w:t xml:space="preserve"> </w:t>
      </w:r>
      <w:r w:rsidRPr="00BA4A57">
        <w:t>sostituzione</w:t>
      </w:r>
      <w:r>
        <w:t>.</w:t>
      </w:r>
    </w:p>
    <w:p w:rsidR="008B5BC9" w:rsidRDefault="008B5BC9" w:rsidP="008B5BC9">
      <w:pPr>
        <w:tabs>
          <w:tab w:val="left" w:pos="426"/>
          <w:tab w:val="left" w:pos="709"/>
        </w:tabs>
        <w:rPr>
          <w:rFonts w:cs="Arial"/>
          <w:szCs w:val="24"/>
        </w:rPr>
      </w:pPr>
    </w:p>
    <w:p w:rsidR="008B5BC9" w:rsidRDefault="008B5BC9" w:rsidP="002D57E6">
      <w:pPr>
        <w:tabs>
          <w:tab w:val="left" w:pos="426"/>
          <w:tab w:val="left" w:pos="709"/>
        </w:tabs>
        <w:spacing w:after="60"/>
        <w:ind w:left="425" w:hanging="425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I rappresentant</w:t>
      </w:r>
      <w:r w:rsidR="002D57E6">
        <w:rPr>
          <w:rFonts w:cs="Arial"/>
        </w:rPr>
        <w:t>i</w:t>
      </w:r>
      <w:r>
        <w:rPr>
          <w:rFonts w:cs="Arial"/>
        </w:rPr>
        <w:t xml:space="preserve"> dell</w:t>
      </w:r>
      <w:r w:rsidR="002D57E6">
        <w:rPr>
          <w:rFonts w:cs="Arial"/>
        </w:rPr>
        <w:t>e</w:t>
      </w:r>
      <w:r>
        <w:rPr>
          <w:rFonts w:cs="Arial"/>
        </w:rPr>
        <w:t xml:space="preserve"> list</w:t>
      </w:r>
      <w:r w:rsidR="002D57E6">
        <w:rPr>
          <w:rFonts w:cs="Arial"/>
        </w:rPr>
        <w:t>e</w:t>
      </w:r>
      <w:r>
        <w:rPr>
          <w:rFonts w:cs="Arial"/>
        </w:rPr>
        <w:t xml:space="preserve"> interessat</w:t>
      </w:r>
      <w:r w:rsidR="002D57E6">
        <w:rPr>
          <w:rFonts w:cs="Arial"/>
        </w:rPr>
        <w:t>e</w:t>
      </w:r>
      <w:r>
        <w:rPr>
          <w:rFonts w:cs="Arial"/>
        </w:rPr>
        <w:t xml:space="preserve"> ha</w:t>
      </w:r>
      <w:r w:rsidR="002D57E6">
        <w:rPr>
          <w:rFonts w:cs="Arial"/>
        </w:rPr>
        <w:t>nno</w:t>
      </w:r>
      <w:r>
        <w:rPr>
          <w:rFonts w:cs="Arial"/>
        </w:rPr>
        <w:t xml:space="preserve"> provveduto, alla luce dell’art. 7a LOG, a presentare, quale candidat</w:t>
      </w:r>
      <w:r w:rsidR="002D57E6">
        <w:rPr>
          <w:rFonts w:cs="Arial"/>
        </w:rPr>
        <w:t>i</w:t>
      </w:r>
      <w:r>
        <w:rPr>
          <w:rFonts w:cs="Arial"/>
        </w:rPr>
        <w:t xml:space="preserve"> alla carica di assessore-giurato per la Corte di appello e di revisione penale, per </w:t>
      </w:r>
      <w:r w:rsidRPr="00FF5B81">
        <w:rPr>
          <w:rFonts w:cs="Arial"/>
          <w:szCs w:val="24"/>
        </w:rPr>
        <w:t>il periodo di nom</w:t>
      </w:r>
      <w:r w:rsidRPr="00FF5B81">
        <w:rPr>
          <w:rFonts w:cs="Arial"/>
          <w:szCs w:val="24"/>
        </w:rPr>
        <w:t>i</w:t>
      </w:r>
      <w:r w:rsidRPr="00FF5B81">
        <w:rPr>
          <w:rFonts w:cs="Arial"/>
          <w:szCs w:val="24"/>
        </w:rPr>
        <w:t xml:space="preserve">na </w:t>
      </w:r>
      <w:r>
        <w:rPr>
          <w:rFonts w:cs="Arial"/>
          <w:szCs w:val="24"/>
        </w:rPr>
        <w:t>fino al 31 maggio 2028, i</w:t>
      </w:r>
      <w:r>
        <w:rPr>
          <w:rFonts w:cs="Arial"/>
        </w:rPr>
        <w:t xml:space="preserve"> signor</w:t>
      </w:r>
      <w:r w:rsidR="002D57E6">
        <w:rPr>
          <w:rFonts w:cs="Arial"/>
        </w:rPr>
        <w:t>i</w:t>
      </w:r>
    </w:p>
    <w:p w:rsidR="002D57E6" w:rsidRPr="002D57E6" w:rsidRDefault="008B5BC9" w:rsidP="002D57E6">
      <w:pPr>
        <w:pStyle w:val="Paragrafoelenco"/>
        <w:numPr>
          <w:ilvl w:val="0"/>
          <w:numId w:val="18"/>
        </w:numPr>
        <w:tabs>
          <w:tab w:val="left" w:pos="426"/>
          <w:tab w:val="left" w:pos="851"/>
        </w:tabs>
        <w:spacing w:after="60"/>
        <w:ind w:left="425" w:firstLine="0"/>
        <w:contextualSpacing w:val="0"/>
        <w:rPr>
          <w:b/>
        </w:rPr>
      </w:pPr>
      <w:r w:rsidRPr="002D57E6">
        <w:rPr>
          <w:b/>
        </w:rPr>
        <w:t xml:space="preserve">Marco </w:t>
      </w:r>
      <w:proofErr w:type="spellStart"/>
      <w:r w:rsidRPr="002D57E6">
        <w:rPr>
          <w:b/>
        </w:rPr>
        <w:t>Derighetti</w:t>
      </w:r>
      <w:proofErr w:type="spellEnd"/>
      <w:r w:rsidR="002D57E6" w:rsidRPr="002D57E6">
        <w:rPr>
          <w:b/>
        </w:rPr>
        <w:t xml:space="preserve"> </w:t>
      </w:r>
      <w:r w:rsidR="002D57E6" w:rsidRPr="002D57E6">
        <w:t>e</w:t>
      </w:r>
      <w:r w:rsidR="002D57E6" w:rsidRPr="002D57E6">
        <w:rPr>
          <w:b/>
        </w:rPr>
        <w:t xml:space="preserve"> </w:t>
      </w:r>
    </w:p>
    <w:p w:rsidR="008B5BC9" w:rsidRPr="002D57E6" w:rsidRDefault="002D57E6" w:rsidP="002D57E6">
      <w:pPr>
        <w:pStyle w:val="Paragrafoelenco"/>
        <w:numPr>
          <w:ilvl w:val="0"/>
          <w:numId w:val="18"/>
        </w:numPr>
        <w:tabs>
          <w:tab w:val="left" w:pos="426"/>
          <w:tab w:val="left" w:pos="851"/>
        </w:tabs>
        <w:ind w:hanging="720"/>
        <w:rPr>
          <w:b/>
        </w:rPr>
      </w:pPr>
      <w:r w:rsidRPr="002D57E6">
        <w:rPr>
          <w:b/>
        </w:rPr>
        <w:t xml:space="preserve">Roberto </w:t>
      </w:r>
      <w:proofErr w:type="spellStart"/>
      <w:r w:rsidRPr="002D57E6">
        <w:rPr>
          <w:b/>
        </w:rPr>
        <w:t>B</w:t>
      </w:r>
      <w:r>
        <w:rPr>
          <w:b/>
        </w:rPr>
        <w:t>alemi</w:t>
      </w:r>
      <w:proofErr w:type="spellEnd"/>
    </w:p>
    <w:p w:rsidR="008B5BC9" w:rsidRPr="0069672B" w:rsidRDefault="008B5BC9" w:rsidP="008B5BC9">
      <w:pPr>
        <w:tabs>
          <w:tab w:val="left" w:pos="426"/>
          <w:tab w:val="left" w:pos="709"/>
        </w:tabs>
        <w:rPr>
          <w:rFonts w:cs="Arial"/>
        </w:rPr>
      </w:pPr>
    </w:p>
    <w:p w:rsidR="008B5BC9" w:rsidRDefault="008B5BC9" w:rsidP="008B5BC9">
      <w:pPr>
        <w:tabs>
          <w:tab w:val="left" w:pos="426"/>
          <w:tab w:val="left" w:pos="709"/>
        </w:tabs>
        <w:ind w:left="426" w:hanging="426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Pr="00B657D9">
        <w:rPr>
          <w:rFonts w:cs="Arial"/>
        </w:rPr>
        <w:t>L’Ufficio presidenziale</w:t>
      </w:r>
      <w:r>
        <w:rPr>
          <w:rFonts w:cs="Arial"/>
        </w:rPr>
        <w:t>, preso atto dell</w:t>
      </w:r>
      <w:r w:rsidR="002D57E6">
        <w:rPr>
          <w:rFonts w:cs="Arial"/>
        </w:rPr>
        <w:t>e</w:t>
      </w:r>
      <w:r>
        <w:rPr>
          <w:rFonts w:cs="Arial"/>
        </w:rPr>
        <w:t xml:space="preserve"> candidatur</w:t>
      </w:r>
      <w:r w:rsidR="002D57E6">
        <w:rPr>
          <w:rFonts w:cs="Arial"/>
        </w:rPr>
        <w:t>e</w:t>
      </w:r>
      <w:r>
        <w:rPr>
          <w:rFonts w:cs="Arial"/>
        </w:rPr>
        <w:t xml:space="preserve"> e vagliata l’eleggibilità de</w:t>
      </w:r>
      <w:r w:rsidR="002D57E6">
        <w:rPr>
          <w:rFonts w:cs="Arial"/>
        </w:rPr>
        <w:t xml:space="preserve">i </w:t>
      </w:r>
      <w:r>
        <w:rPr>
          <w:rFonts w:cs="Arial"/>
        </w:rPr>
        <w:t>candidat</w:t>
      </w:r>
      <w:r w:rsidR="002D57E6">
        <w:rPr>
          <w:rFonts w:cs="Arial"/>
        </w:rPr>
        <w:t>i</w:t>
      </w:r>
      <w:r>
        <w:rPr>
          <w:rFonts w:cs="Arial"/>
        </w:rPr>
        <w:t xml:space="preserve"> giusta l’art. 7b LOG, ha deciso di proporne l’elezione alla carica di assessore-giurato per la Corte di appello e di revisione penale.</w:t>
      </w:r>
    </w:p>
    <w:p w:rsidR="008B5BC9" w:rsidRDefault="008B5BC9" w:rsidP="008B5BC9">
      <w:pPr>
        <w:rPr>
          <w:rFonts w:cs="Arial"/>
        </w:rPr>
      </w:pPr>
    </w:p>
    <w:p w:rsidR="008B5BC9" w:rsidRDefault="008B5BC9" w:rsidP="008B5BC9"/>
    <w:p w:rsidR="008B5BC9" w:rsidRPr="004C30FE" w:rsidRDefault="008B5BC9" w:rsidP="008B5BC9">
      <w:pPr>
        <w:spacing w:after="120"/>
        <w:ind w:right="-143"/>
        <w:rPr>
          <w:rFonts w:cs="Arial"/>
          <w:szCs w:val="24"/>
        </w:rPr>
      </w:pPr>
      <w:r w:rsidRPr="004C30FE">
        <w:rPr>
          <w:rFonts w:cs="Arial"/>
          <w:szCs w:val="24"/>
        </w:rPr>
        <w:t>Per l'Ufficio presidenziale:</w:t>
      </w:r>
    </w:p>
    <w:p w:rsidR="008B5BC9" w:rsidRPr="004C30FE" w:rsidRDefault="008B5BC9" w:rsidP="008B5BC9">
      <w:pPr>
        <w:ind w:right="-143"/>
        <w:rPr>
          <w:rFonts w:cs="Arial"/>
          <w:szCs w:val="24"/>
        </w:rPr>
      </w:pPr>
      <w:r>
        <w:rPr>
          <w:rFonts w:cs="Arial"/>
          <w:szCs w:val="24"/>
        </w:rPr>
        <w:t>Il</w:t>
      </w:r>
      <w:r w:rsidRPr="004C30FE">
        <w:rPr>
          <w:rFonts w:cs="Arial"/>
          <w:szCs w:val="24"/>
        </w:rPr>
        <w:t xml:space="preserve"> Presidente del Gran Consiglio,</w:t>
      </w:r>
      <w:r>
        <w:rPr>
          <w:rFonts w:cs="Arial"/>
          <w:szCs w:val="24"/>
        </w:rPr>
        <w:t xml:space="preserve"> Nicola Pini</w:t>
      </w:r>
    </w:p>
    <w:p w:rsidR="008B5BC9" w:rsidRPr="004C30FE" w:rsidRDefault="008B5BC9" w:rsidP="008B5BC9">
      <w:pPr>
        <w:ind w:right="-143"/>
        <w:rPr>
          <w:rFonts w:cs="Arial"/>
          <w:szCs w:val="24"/>
        </w:rPr>
      </w:pPr>
      <w:r w:rsidRPr="004C30FE">
        <w:rPr>
          <w:rFonts w:cs="Arial"/>
          <w:szCs w:val="24"/>
        </w:rPr>
        <w:t xml:space="preserve">Il Segretario generale del Gran Consiglio, </w:t>
      </w:r>
      <w:r>
        <w:rPr>
          <w:rFonts w:cs="Arial"/>
          <w:szCs w:val="24"/>
        </w:rPr>
        <w:t>Tiziano Veronelli</w:t>
      </w:r>
    </w:p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2D57E6" w:rsidRDefault="002D57E6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Pr="00D60585" w:rsidRDefault="008B5BC9" w:rsidP="008B5BC9">
      <w:pPr>
        <w:spacing w:after="60"/>
        <w:rPr>
          <w:b/>
          <w:sz w:val="22"/>
          <w:szCs w:val="22"/>
        </w:rPr>
      </w:pPr>
      <w:r w:rsidRPr="00D60585">
        <w:rPr>
          <w:b/>
          <w:sz w:val="22"/>
          <w:szCs w:val="22"/>
        </w:rPr>
        <w:t>N.B.:</w:t>
      </w:r>
    </w:p>
    <w:p w:rsidR="008F52AF" w:rsidRPr="008B5BC9" w:rsidRDefault="008B5BC9" w:rsidP="008B5BC9">
      <w:r w:rsidRPr="00D60585">
        <w:rPr>
          <w:sz w:val="23"/>
          <w:szCs w:val="23"/>
        </w:rPr>
        <w:t>La documentazione relativa all</w:t>
      </w:r>
      <w:r>
        <w:rPr>
          <w:sz w:val="23"/>
          <w:szCs w:val="23"/>
        </w:rPr>
        <w:t>a</w:t>
      </w:r>
      <w:r w:rsidRPr="00D60585">
        <w:rPr>
          <w:sz w:val="23"/>
          <w:szCs w:val="23"/>
        </w:rPr>
        <w:t xml:space="preserve"> candidatur</w:t>
      </w:r>
      <w:r>
        <w:rPr>
          <w:sz w:val="23"/>
          <w:szCs w:val="23"/>
        </w:rPr>
        <w:t>a</w:t>
      </w:r>
      <w:r w:rsidRPr="00D60585">
        <w:rPr>
          <w:sz w:val="23"/>
          <w:szCs w:val="23"/>
        </w:rPr>
        <w:t xml:space="preserve"> è consultabile </w:t>
      </w:r>
      <w:r>
        <w:rPr>
          <w:sz w:val="23"/>
          <w:szCs w:val="23"/>
        </w:rPr>
        <w:t xml:space="preserve">presso i Servizi </w:t>
      </w:r>
      <w:r w:rsidRPr="00D60585">
        <w:rPr>
          <w:sz w:val="23"/>
          <w:szCs w:val="23"/>
        </w:rPr>
        <w:t>del Gran Cons</w:t>
      </w:r>
      <w:r w:rsidRPr="00D60585">
        <w:rPr>
          <w:sz w:val="23"/>
          <w:szCs w:val="23"/>
        </w:rPr>
        <w:t>i</w:t>
      </w:r>
      <w:r w:rsidRPr="00D60585">
        <w:rPr>
          <w:sz w:val="23"/>
          <w:szCs w:val="23"/>
        </w:rPr>
        <w:t>glio</w:t>
      </w:r>
    </w:p>
    <w:sectPr w:rsidR="008F52AF" w:rsidRPr="008B5BC9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C9" w:rsidRDefault="008B5BC9" w:rsidP="00F657BF">
      <w:r>
        <w:separator/>
      </w:r>
    </w:p>
  </w:endnote>
  <w:endnote w:type="continuationSeparator" w:id="0">
    <w:p w:rsidR="008B5BC9" w:rsidRDefault="008B5BC9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035D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035DC3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035DC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035DC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035DC3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035DC3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C9" w:rsidRDefault="008B5BC9" w:rsidP="00F657BF">
      <w:r>
        <w:separator/>
      </w:r>
    </w:p>
  </w:footnote>
  <w:footnote w:type="continuationSeparator" w:id="0">
    <w:p w:rsidR="008B5BC9" w:rsidRDefault="008B5BC9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035D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9BF6B59E-D3F5-484B-9470-463D9F0142FB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CE054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Gran Consiglio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035DC3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2D57E6" w:rsidRPr="002D57E6">
            <w:rPr>
              <w:noProof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2D57E6" w:rsidRPr="002D57E6">
            <w:rPr>
              <w:noProof/>
            </w:rPr>
            <w:t>1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9BF6B59E-D3F5-484B-9470-463D9F0142FB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CE054B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2 marzo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035DC3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035DC3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9BF6B59E-D3F5-484B-9470-463D9F0142FB}"/>
                            <w:text w:multiLine="1"/>
                          </w:sdtPr>
                          <w:sdtEndPr/>
                          <w:sdtContent>
                            <w:p w:rsidR="008065E8" w:rsidRPr="00411371" w:rsidRDefault="00035DC3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9BF6B59E-D3F5-484B-9470-463D9F0142FB}"/>
                      <w:text w:multiLine="1"/>
                    </w:sdtPr>
                    <w:sdtEndPr/>
                    <w:sdtContent>
                      <w:p w:rsidR="008065E8" w:rsidRPr="00411371" w:rsidRDefault="00035DC3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035DC3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035DC3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035DC3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035DC3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2D57E6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2D57E6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9BF6B59E-D3F5-484B-9470-463D9F0142FB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CE054B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035DC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035DC3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035DC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035DC3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035DC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035DC3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035DC3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9BF6B59E-D3F5-484B-9470-463D9F0142FB}"/>
              <w:text w:multiLine="1"/>
            </w:sdtPr>
            <w:sdtEndPr/>
            <w:sdtContent>
              <w:r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9BF6B59E-D3F5-484B-9470-463D9F0142FB}"/>
          <w:date w:fullDate="2022-03-02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CE054B" w:rsidP="00A532F6">
              <w:pPr>
                <w:pStyle w:val="Data"/>
              </w:pPr>
              <w:r>
                <w:rPr>
                  <w:sz w:val="24"/>
                </w:rPr>
                <w:t>2 marzo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035DC3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9BF6B59E-D3F5-484B-9470-463D9F0142FB}"/>
              <w:text w:multiLine="1"/>
            </w:sdtPr>
            <w:sdtEndPr/>
            <w:sdtContent>
              <w:r w:rsidR="00CE054B">
                <w:rPr>
                  <w:smallCaps/>
                  <w:sz w:val="23"/>
                  <w:szCs w:val="23"/>
                </w:rPr>
                <w:t>Gran Consiglio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035DC3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035DC3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9BF6B59E-D3F5-484B-9470-463D9F0142FB}"/>
                            <w:text w:multiLine="1"/>
                          </w:sdtPr>
                          <w:sdtEndPr/>
                          <w:sdtContent>
                            <w:p w:rsidR="00E93620" w:rsidRPr="00411371" w:rsidRDefault="00035DC3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9BF6B59E-D3F5-484B-9470-463D9F0142FB}"/>
                      <w:text w:multiLine="1"/>
                    </w:sdtPr>
                    <w:sdtEndPr/>
                    <w:sdtContent>
                      <w:p w:rsidR="00E93620" w:rsidRPr="00411371" w:rsidRDefault="00035DC3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F6B212A"/>
    <w:multiLevelType w:val="hybridMultilevel"/>
    <w:tmpl w:val="7206F1CA"/>
    <w:lvl w:ilvl="0" w:tplc="08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9"/>
    <w:rsid w:val="002B5D9F"/>
    <w:rsid w:val="002D57E6"/>
    <w:rsid w:val="003B756D"/>
    <w:rsid w:val="00403ADB"/>
    <w:rsid w:val="00572FD3"/>
    <w:rsid w:val="008720C4"/>
    <w:rsid w:val="008B5BC9"/>
    <w:rsid w:val="008F52AF"/>
    <w:rsid w:val="009763E9"/>
    <w:rsid w:val="009C5E5A"/>
    <w:rsid w:val="00AF0268"/>
    <w:rsid w:val="00BF0A1F"/>
    <w:rsid w:val="00CE054B"/>
    <w:rsid w:val="00D33940"/>
    <w:rsid w:val="00D600FD"/>
    <w:rsid w:val="00D649A8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7F33EE"/>
  <w15:docId w15:val="{4B1C2608-DC70-4C51-ABCF-8F67014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BC9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rFonts w:eastAsiaTheme="minorHAnsi" w:cstheme="minorBidi"/>
      <w:b/>
      <w:sz w:val="22"/>
      <w:szCs w:val="22"/>
      <w:lang w:val="it-CH"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  <w:sz w:val="22"/>
      <w:szCs w:val="22"/>
      <w:lang w:val="it-CH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  <w:sz w:val="22"/>
      <w:szCs w:val="22"/>
      <w:lang w:val="it-CH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  <w:sz w:val="22"/>
      <w:szCs w:val="22"/>
      <w:lang w:val="it-CH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  <w:lang w:val="it-CH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rFonts w:eastAsiaTheme="minorHAnsi" w:cstheme="minorBidi"/>
      <w:b/>
      <w:sz w:val="22"/>
      <w:szCs w:val="22"/>
      <w:lang w:val="it-CH" w:eastAsia="en-US"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eastAsiaTheme="minorHAnsi" w:hAnsiTheme="majorHAnsi" w:cstheme="minorBidi"/>
      <w:b/>
      <w:sz w:val="32"/>
      <w:szCs w:val="22"/>
      <w:lang w:val="it-CH" w:eastAsia="en-US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eastAsiaTheme="minorHAnsi" w:hAnsiTheme="majorHAnsi" w:cstheme="minorBidi"/>
      <w:b/>
      <w:sz w:val="22"/>
      <w:szCs w:val="22"/>
      <w:lang w:val="it-CH" w:eastAsia="en-US"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rFonts w:eastAsiaTheme="minorHAnsi" w:cstheme="minorBidi"/>
      <w:b/>
      <w:sz w:val="22"/>
      <w:szCs w:val="22"/>
      <w:lang w:val="it-CH" w:eastAsia="en-US"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  <w:rPr>
      <w:rFonts w:eastAsiaTheme="minorHAnsi" w:cstheme="minorBidi"/>
      <w:sz w:val="22"/>
      <w:szCs w:val="22"/>
      <w:lang w:val="it-CH" w:eastAsia="en-US"/>
    </w:r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  <w:rPr>
      <w:rFonts w:eastAsiaTheme="minorHAnsi" w:cstheme="minorBidi"/>
      <w:sz w:val="22"/>
      <w:szCs w:val="22"/>
      <w:lang w:val="it-CH" w:eastAsia="en-US"/>
    </w:r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  <w:rPr>
      <w:rFonts w:eastAsiaTheme="minorHAnsi" w:cstheme="minorBidi"/>
      <w:sz w:val="22"/>
      <w:szCs w:val="22"/>
      <w:lang w:val="it-CH" w:eastAsia="en-US"/>
    </w:rPr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  <w:rPr>
      <w:rFonts w:eastAsiaTheme="minorHAnsi" w:cstheme="minorBidi"/>
      <w:sz w:val="22"/>
      <w:szCs w:val="22"/>
      <w:lang w:val="it-CH" w:eastAsia="en-US"/>
    </w:rPr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eastAsiaTheme="minorHAnsi" w:hAnsi="Gill Alt One MT Light" w:cstheme="minorBidi"/>
      <w:sz w:val="16"/>
      <w:szCs w:val="22"/>
      <w:lang w:val="it-CH" w:eastAsia="en-US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  <w:rPr>
      <w:rFonts w:eastAsiaTheme="minorHAnsi" w:cstheme="minorBidi"/>
      <w:sz w:val="22"/>
      <w:szCs w:val="22"/>
      <w:lang w:val="it-CH" w:eastAsia="en-US"/>
    </w:r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eastAsiaTheme="minorHAnsi" w:hAnsi="Gill Sans MT Pro Light" w:cstheme="minorBidi"/>
      <w:sz w:val="16"/>
      <w:szCs w:val="22"/>
      <w:lang w:val="it-CH" w:eastAsia="en-US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eastAsiaTheme="minorHAnsi" w:hAnsi="Gill Sans Display MT Pro BdCn" w:cstheme="minorBidi"/>
      <w:sz w:val="22"/>
      <w:szCs w:val="22"/>
      <w:lang w:val="it-CH" w:eastAsia="en-US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rFonts w:eastAsiaTheme="minorHAnsi" w:cstheme="minorBidi"/>
      <w:szCs w:val="22"/>
      <w:lang w:val="it-CH" w:eastAsia="en-US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7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7E6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gc001\AppData\Local\Temp\OneOffixx\generated\cf1f59ff-4ed3-4f6f-b5dc-0e1d8499df29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e f 6 a 9 1 8 2 - f 6 9 5 - 4 d 7 b - b 4 6 5 - a d e b 1 5 f e 8 f 2 a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2 3 T 1 0 : 2 2 : 5 3 . 2 0 3 7 2 5 7 Z "   m o d i f i e d m a j o r v e r s i o n = " 0 "   m o d i f i e d m i n o r v e r s i o n = " 0 "   m o d i f i e d = " 0 0 0 1 - 0 1 - 0 1 T 0 0 : 0 0 : 0 0 "   p r o f i l e = " 8 8 0 c a 6 9 9 - 0 3 5 4 - 4 c a 1 - b 3 2 5 - b d 2 0 7 9 5 1 6 b 4 8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8 0 c a 6 9 9 - 0 3 5 4 - 4 c a 1 - b 3 2 5 - b d 2 0 7 9 5 1 6 b 4 8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i s a . m o r a n d i @ t i . c h ] ] > < / T e x t >  
                 < T e x t   i d = " P r o f i l e . U s e r . F i r s t N a m e "   l a b e l = " P r o f i l e . U s e r . F i r s t N a m e " > < ! [ C D A T A [ M a r i s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M o r a n d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7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i s a . m o r a n d i @ t i . c h ] ] > < / T e x t >  
                 < T e x t   i d = " A u t h o r . U s e r . F i r s t N a m e "   l a b e l = " A u t h o r . U s e r . F i r s t N a m e " > < ! [ C D A T A [ M a r i s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M o r a n d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7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0 0 0 0 0 0 - 0 0 0 0 - 0 0 0 0 - 0 0 0 0 - 0 0 0 0 0 0 0 0 0 0 0 0 ] ] > < / T e x t >  
                 < T e x t   i d = " S i g n e r _ 0 . O r g a n i z a t i o n U n i t I d "   l a b e l = " S i g n e r _ 0 . O r g a n i z a t i o n U n i t I d " > < ! [ C D A T A [   ] ] > < / T e x t >  
                 < T e x t   i d = " S i g n e r _ 0 . O r g . E m a i l "   l a b e l = " S i g n e r _ 0 . O r g . E m a i l " > < ! [ C D A T A [  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 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  ] ] > < / T e x t >  
                 < T e x t   i d = " S i g n e r _ 0 . O r g . P h o n e "   l a b e l = " S i g n e r _ 0 . O r g . P h o n e " > < ! [ C D A T A [   ] ] > < / T e x t >  
                 < T e x t   i d = " S i g n e r _ 0 . O r g . P o s t a l . C i t y "   l a b e l = " S i g n e r _ 0 . O r g . P o s t a l . C i t y " > < ! [ C D A T A [  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  ] ] > < / T e x t >  
                 < T e x t   i d = " S i g n e r _ 0 . O r g . P o s t a l . Z i p "   l a b e l = " S i g n e r _ 0 . O r g . P o s t a l . Z i p " > < ! [ C D A T A [  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  ] ] > < / T e x t >  
                 < T e x t   i d = " S i g n e r _ 0 . U s e r . F i r s t N a m e "   l a b e l = " S i g n e r _ 0 . U s e r . F i r s t N a m e " > < ! [ C D A T A [   ] ] > < / T e x t >  
                 < T e x t   i d = " S i g n e r _ 0 . U s e r . F u n c t i o n "   l a b e l = " S i g n e r _ 0 . U s e r . F u n c t i o n " > < ! [ C D A T A [   ] ] > < / T e x t >  
                 < T e x t   i d = " S i g n e r _ 0 . U s e r . L a s t N a m e "   l a b e l = " S i g n e r _ 0 . U s e r . L a s t N a m e " > < ! [ C D A T A [  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 2 0 2 2 - 0 3 - 0 2 T 0 0 : 0 0 : 0 0 Z 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G r a n   C o n s i g l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G r a n   C o n s i g l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2   m a r z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4B52D102-5304-4587-9C6F-C95DC6799AF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BF6B59E-D3F5-484B-9470-463D9F0142FB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cf1f59ff-4ed3-4f6f-b5dc-0e1d8499df29.dotx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 Marisa / kxgc001</dc:creator>
  <cp:lastModifiedBy>Morandi Marisa</cp:lastModifiedBy>
  <cp:revision>2</cp:revision>
  <cp:lastPrinted>2022-02-23T10:40:00Z</cp:lastPrinted>
  <dcterms:created xsi:type="dcterms:W3CDTF">2022-02-23T10:45:00Z</dcterms:created>
  <dcterms:modified xsi:type="dcterms:W3CDTF">2022-02-23T10:45:00Z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