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75" w:rsidRPr="00EF0B75" w:rsidRDefault="00EF0B75" w:rsidP="005625DF">
      <w:pPr>
        <w:ind w:right="-1"/>
        <w:rPr>
          <w:rFonts w:eastAsia="Times New Roman" w:cs="Arial"/>
          <w:b/>
          <w:sz w:val="28"/>
          <w:szCs w:val="28"/>
          <w:lang w:eastAsia="it-IT"/>
        </w:rPr>
      </w:pPr>
      <w:r w:rsidRPr="00EF0B75">
        <w:rPr>
          <w:rFonts w:eastAsia="Times New Roman" w:cs="Arial"/>
          <w:b/>
          <w:sz w:val="28"/>
          <w:szCs w:val="28"/>
          <w:lang w:eastAsia="it-IT"/>
        </w:rPr>
        <w:t>della Commissione gestione e finanze</w:t>
      </w:r>
    </w:p>
    <w:p w:rsidR="00EF0B75" w:rsidRPr="00EF0B75" w:rsidRDefault="00EF0B75" w:rsidP="005625DF">
      <w:pPr>
        <w:ind w:right="-1"/>
        <w:rPr>
          <w:rFonts w:eastAsia="Times New Roman" w:cs="Arial"/>
          <w:b/>
          <w:sz w:val="28"/>
          <w:szCs w:val="28"/>
          <w:lang w:eastAsia="it-IT"/>
        </w:rPr>
      </w:pPr>
      <w:r>
        <w:rPr>
          <w:rFonts w:eastAsia="Times New Roman" w:cs="Arial"/>
          <w:b/>
          <w:sz w:val="28"/>
          <w:szCs w:val="28"/>
          <w:lang w:eastAsia="it-IT"/>
        </w:rPr>
        <w:t>sul m</w:t>
      </w:r>
      <w:r w:rsidRPr="00EF0B75">
        <w:rPr>
          <w:rFonts w:eastAsia="Times New Roman" w:cs="Arial"/>
          <w:b/>
          <w:sz w:val="28"/>
          <w:szCs w:val="28"/>
          <w:lang w:eastAsia="it-IT"/>
        </w:rPr>
        <w:t xml:space="preserve">essaggio </w:t>
      </w:r>
      <w:r>
        <w:rPr>
          <w:rFonts w:eastAsia="Times New Roman" w:cs="Arial"/>
          <w:b/>
          <w:sz w:val="28"/>
          <w:szCs w:val="28"/>
          <w:lang w:eastAsia="it-IT"/>
        </w:rPr>
        <w:t xml:space="preserve">16 febbraio 2022 </w:t>
      </w:r>
      <w:r w:rsidR="005625DF">
        <w:rPr>
          <w:rFonts w:eastAsia="Times New Roman" w:cs="Arial"/>
          <w:b/>
          <w:sz w:val="28"/>
          <w:szCs w:val="28"/>
          <w:lang w:eastAsia="it-IT"/>
        </w:rPr>
        <w:t>concernente</w:t>
      </w:r>
      <w:r w:rsidRPr="00EF0B75">
        <w:rPr>
          <w:rFonts w:eastAsia="Times New Roman" w:cs="Arial"/>
          <w:b/>
          <w:sz w:val="28"/>
          <w:szCs w:val="28"/>
          <w:lang w:eastAsia="it-IT"/>
        </w:rPr>
        <w:t xml:space="preserve"> la concessione al Comune di Lugano di un contributo unico a fondo perso di 1.9 milioni di franchi per le opere di ristrutturazione della Casa per anziani Centro l’Orizzonte di Lugano</w:t>
      </w:r>
    </w:p>
    <w:p w:rsidR="00EF0B75" w:rsidRPr="005625DF" w:rsidRDefault="00EF0B75" w:rsidP="005625DF">
      <w:pPr>
        <w:ind w:right="-1"/>
        <w:rPr>
          <w:rFonts w:asciiTheme="minorHAnsi" w:eastAsia="Times New Roman" w:hAnsiTheme="minorHAnsi" w:cstheme="minorHAnsi"/>
          <w:sz w:val="24"/>
          <w:szCs w:val="20"/>
          <w:lang w:eastAsia="it-IT"/>
        </w:rPr>
      </w:pPr>
    </w:p>
    <w:p w:rsidR="00EF0B75" w:rsidRPr="005625DF" w:rsidRDefault="00EF0B75" w:rsidP="00EF0B75">
      <w:pPr>
        <w:ind w:right="-1"/>
        <w:jc w:val="left"/>
        <w:rPr>
          <w:rFonts w:asciiTheme="minorHAnsi" w:eastAsia="Times New Roman" w:hAnsiTheme="minorHAnsi" w:cstheme="minorHAnsi"/>
          <w:sz w:val="24"/>
          <w:szCs w:val="20"/>
          <w:lang w:eastAsia="it-IT"/>
        </w:rPr>
      </w:pPr>
    </w:p>
    <w:p w:rsidR="00EF0B75" w:rsidRPr="00EF0B75" w:rsidRDefault="00EF0B75" w:rsidP="00EF0B75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EF0B75">
        <w:rPr>
          <w:rFonts w:eastAsia="Calibri" w:cs="Times New Roman"/>
          <w:caps/>
          <w:sz w:val="24"/>
          <w:szCs w:val="24"/>
          <w:lang w:val="it-IT" w:eastAsia="it-IT"/>
        </w:rPr>
        <w:t>1.</w:t>
      </w:r>
      <w:r w:rsidRPr="00EF0B75">
        <w:rPr>
          <w:rFonts w:eastAsia="Calibri" w:cs="Times New Roman"/>
          <w:caps/>
          <w:sz w:val="24"/>
          <w:szCs w:val="24"/>
          <w:lang w:val="it-IT" w:eastAsia="it-IT"/>
        </w:rPr>
        <w:tab/>
        <w:t>INTRODUZIONE</w:t>
      </w: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  <w:r w:rsidRPr="00EF0B75">
        <w:rPr>
          <w:rFonts w:eastAsia="Times New Roman" w:cs="Arial"/>
          <w:sz w:val="24"/>
          <w:szCs w:val="24"/>
          <w:lang w:eastAsia="it-IT"/>
        </w:rPr>
        <w:t>Il presente rapporto concerne il messaggio governativo con cui il Governo propone la concessione al Comune di Lugano di un contr</w:t>
      </w:r>
      <w:r w:rsidR="005625DF">
        <w:rPr>
          <w:rFonts w:eastAsia="Times New Roman" w:cs="Arial"/>
          <w:sz w:val="24"/>
          <w:szCs w:val="24"/>
          <w:lang w:eastAsia="it-IT"/>
        </w:rPr>
        <w:t>ibuto unico a fondo perso di</w:t>
      </w:r>
      <w:r w:rsidRPr="00EF0B75">
        <w:rPr>
          <w:rFonts w:eastAsia="Times New Roman" w:cs="Arial"/>
          <w:sz w:val="24"/>
          <w:szCs w:val="24"/>
          <w:lang w:eastAsia="it-IT"/>
        </w:rPr>
        <w:t xml:space="preserve"> 1.9 milioni </w:t>
      </w:r>
      <w:r w:rsidR="005625DF">
        <w:rPr>
          <w:rFonts w:eastAsia="Times New Roman" w:cs="Arial"/>
          <w:sz w:val="24"/>
          <w:szCs w:val="24"/>
          <w:lang w:eastAsia="it-IT"/>
        </w:rPr>
        <w:t xml:space="preserve">di franchi </w:t>
      </w:r>
      <w:r w:rsidRPr="00EF0B75">
        <w:rPr>
          <w:rFonts w:eastAsia="Times New Roman" w:cs="Arial"/>
          <w:sz w:val="24"/>
          <w:szCs w:val="24"/>
          <w:lang w:eastAsia="it-IT"/>
        </w:rPr>
        <w:t>per i lavori di ristrutturazione della Casa per anziani Centro l’Orizzonte di Lugano, quartiere Val Colla.</w:t>
      </w: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  <w:r w:rsidRPr="00EF0B75">
        <w:rPr>
          <w:rFonts w:eastAsia="Times New Roman" w:cs="Arial"/>
          <w:sz w:val="24"/>
          <w:szCs w:val="24"/>
          <w:lang w:eastAsia="it-IT"/>
        </w:rPr>
        <w:t>I lavori hanno lo scopo di ammodernare e razionalizzare la struttura, con particolare riguardo alla fruibilità di anziani e personale, oltre che agli aspetti energetici e d’impatto ambientale. Dal punto di vista del numero di posti letto non sono previste modifiche, non comportando quindi un impatto sull’offerta di posti letto.</w:t>
      </w:r>
    </w:p>
    <w:p w:rsid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EF0B75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EF0B75">
        <w:rPr>
          <w:rFonts w:eastAsia="Calibri" w:cs="Times New Roman"/>
          <w:caps/>
          <w:sz w:val="24"/>
          <w:szCs w:val="24"/>
          <w:lang w:val="it-IT" w:eastAsia="it-IT"/>
        </w:rPr>
        <w:t>2.</w:t>
      </w:r>
      <w:r w:rsidRPr="00EF0B75">
        <w:rPr>
          <w:rFonts w:eastAsia="Calibri" w:cs="Times New Roman"/>
          <w:caps/>
          <w:sz w:val="24"/>
          <w:szCs w:val="24"/>
          <w:lang w:val="it-IT" w:eastAsia="it-IT"/>
        </w:rPr>
        <w:tab/>
        <w:t>IL PROGETTO</w:t>
      </w: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  <w:r w:rsidRPr="00EF0B75">
        <w:rPr>
          <w:rFonts w:eastAsia="Times New Roman" w:cs="Arial"/>
          <w:sz w:val="24"/>
          <w:szCs w:val="24"/>
          <w:lang w:eastAsia="it-IT"/>
        </w:rPr>
        <w:t>Il progetto di ristrutturazione della Casa per anziani Centro l’Orizzonte di Colla è stato avviato in seguito ad alcune valutazioni sulla necessità di intervento sulla struttura, sia sul piano energetico sia sul piano più generale, dopo oltre 24 anni d’esercizio.</w:t>
      </w: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EF0B75">
      <w:pPr>
        <w:rPr>
          <w:rFonts w:eastAsia="Calibri" w:cs="Arial"/>
          <w:sz w:val="24"/>
          <w:szCs w:val="24"/>
        </w:rPr>
      </w:pPr>
      <w:r w:rsidRPr="00EF0B75">
        <w:rPr>
          <w:rFonts w:eastAsia="Times New Roman" w:cs="Arial"/>
          <w:sz w:val="24"/>
          <w:szCs w:val="24"/>
          <w:lang w:eastAsia="it-IT"/>
        </w:rPr>
        <w:t xml:space="preserve">Opportunità non trascurabile in termini di fattibilità del progetto è data dalla </w:t>
      </w:r>
      <w:r w:rsidRPr="00EF0B75">
        <w:rPr>
          <w:rFonts w:eastAsia="Calibri" w:cs="Arial"/>
          <w:sz w:val="24"/>
          <w:szCs w:val="24"/>
        </w:rPr>
        <w:t>possibilità di spostare temporaneamente tutti i residenti della Casa per anziani Centro l’Orizzonte presso la Residenza al Castagneto, anch’essa gestita dal LIS e in fase di dismissione, permettendo un avvio dei lavori già in maggio 2022 con la struttura vuota.</w:t>
      </w:r>
    </w:p>
    <w:p w:rsidR="00EF0B75" w:rsidRPr="00EF0B75" w:rsidRDefault="00EF0B75" w:rsidP="00EF0B75">
      <w:pPr>
        <w:rPr>
          <w:rFonts w:eastAsia="Calibri" w:cs="Arial"/>
          <w:sz w:val="24"/>
          <w:szCs w:val="24"/>
        </w:rPr>
      </w:pPr>
    </w:p>
    <w:p w:rsidR="00EF0B75" w:rsidRPr="00EF0B75" w:rsidRDefault="00EF0B75" w:rsidP="00EF0B75">
      <w:pPr>
        <w:rPr>
          <w:rFonts w:eastAsia="Calibri" w:cs="Arial"/>
          <w:sz w:val="24"/>
          <w:szCs w:val="24"/>
        </w:rPr>
      </w:pPr>
      <w:r w:rsidRPr="00EF0B75">
        <w:rPr>
          <w:rFonts w:eastAsia="Calibri" w:cs="Arial"/>
          <w:sz w:val="24"/>
          <w:szCs w:val="24"/>
        </w:rPr>
        <w:t>La proprietà della struttura è costituita dai Comuni di Lugano e Capriasca e la gestione dell’investimento è stata in buona parte affidata a Lugano, il cui Consiglio comuna</w:t>
      </w:r>
      <w:r w:rsidR="005625DF">
        <w:rPr>
          <w:rFonts w:eastAsia="Calibri" w:cs="Arial"/>
          <w:sz w:val="24"/>
          <w:szCs w:val="24"/>
        </w:rPr>
        <w:t>le ha anticipato un credito di</w:t>
      </w:r>
      <w:r w:rsidRPr="00EF0B75">
        <w:rPr>
          <w:rFonts w:eastAsia="Calibri" w:cs="Arial"/>
          <w:sz w:val="24"/>
          <w:szCs w:val="24"/>
        </w:rPr>
        <w:t xml:space="preserve"> 6.7 mi</w:t>
      </w:r>
      <w:r w:rsidR="005625DF">
        <w:rPr>
          <w:rFonts w:eastAsia="Calibri" w:cs="Arial"/>
          <w:sz w:val="24"/>
          <w:szCs w:val="24"/>
        </w:rPr>
        <w:t>lioni di franchi</w:t>
      </w:r>
      <w:r w:rsidRPr="00EF0B75">
        <w:rPr>
          <w:rFonts w:eastAsia="Calibri" w:cs="Arial"/>
          <w:sz w:val="24"/>
          <w:szCs w:val="24"/>
        </w:rPr>
        <w:t>.</w:t>
      </w:r>
    </w:p>
    <w:p w:rsidR="00EF0B75" w:rsidRPr="00EF0B75" w:rsidRDefault="00EF0B75" w:rsidP="00EF0B75">
      <w:pPr>
        <w:rPr>
          <w:rFonts w:eastAsia="Times New Roman" w:cs="Arial"/>
          <w:spacing w:val="-3"/>
          <w:sz w:val="24"/>
          <w:szCs w:val="24"/>
          <w:lang w:eastAsia="it-IT"/>
        </w:rPr>
      </w:pPr>
    </w:p>
    <w:p w:rsidR="00EF0B75" w:rsidRPr="00EF0B75" w:rsidRDefault="00EF0B75" w:rsidP="00EF0B75">
      <w:pPr>
        <w:pStyle w:val="Titolo2"/>
        <w:numPr>
          <w:ilvl w:val="0"/>
          <w:numId w:val="0"/>
        </w:numPr>
        <w:tabs>
          <w:tab w:val="left" w:pos="567"/>
        </w:tabs>
        <w:spacing w:before="0" w:after="120"/>
        <w:jc w:val="both"/>
        <w:rPr>
          <w:rFonts w:eastAsia="Times New Roman" w:cs="Arial"/>
          <w:sz w:val="24"/>
          <w:szCs w:val="24"/>
          <w:lang w:eastAsia="it-IT"/>
        </w:rPr>
      </w:pPr>
      <w:r w:rsidRPr="00EF0B75">
        <w:rPr>
          <w:rFonts w:eastAsia="Times New Roman" w:cs="Arial"/>
          <w:sz w:val="24"/>
          <w:szCs w:val="24"/>
          <w:lang w:eastAsia="it-IT"/>
        </w:rPr>
        <w:t>Interventi e impatto ambientale</w:t>
      </w:r>
    </w:p>
    <w:p w:rsidR="00EF0B75" w:rsidRPr="00EF0B75" w:rsidRDefault="00EF0B75" w:rsidP="00EF0B75">
      <w:pPr>
        <w:autoSpaceDE w:val="0"/>
        <w:autoSpaceDN w:val="0"/>
        <w:adjustRightInd w:val="0"/>
        <w:rPr>
          <w:rFonts w:eastAsia="Times New Roman" w:cs="Arial"/>
          <w:color w:val="1F2929"/>
          <w:sz w:val="24"/>
          <w:szCs w:val="24"/>
          <w:lang w:eastAsia="it-CH"/>
        </w:rPr>
      </w:pPr>
      <w:r w:rsidRPr="00EF0B75">
        <w:rPr>
          <w:rFonts w:eastAsia="Times New Roman" w:cs="Arial"/>
          <w:sz w:val="24"/>
          <w:szCs w:val="24"/>
          <w:lang w:eastAsia="it-IT"/>
        </w:rPr>
        <w:t xml:space="preserve">Gli interventi </w:t>
      </w:r>
      <w:r w:rsidRPr="00EF0B75">
        <w:rPr>
          <w:rFonts w:eastAsia="Times New Roman" w:cs="Arial"/>
          <w:color w:val="1F2929"/>
          <w:sz w:val="24"/>
          <w:szCs w:val="24"/>
          <w:lang w:eastAsia="it-CH"/>
        </w:rPr>
        <w:t>sono focalizzati sul risanamento delle parti d’opera danneggiate dall’usura o compromesse da problemi d’infiltrazione e sull’ammodernamento degli impianti, di trasporto, sanitario ed elettrico.</w:t>
      </w: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EF0B75">
      <w:pPr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it-IT"/>
        </w:rPr>
      </w:pPr>
      <w:r w:rsidRPr="00EF0B75">
        <w:rPr>
          <w:rFonts w:eastAsia="Times New Roman" w:cs="Arial"/>
          <w:sz w:val="24"/>
          <w:szCs w:val="24"/>
          <w:lang w:eastAsia="it-IT"/>
        </w:rPr>
        <w:t xml:space="preserve">Di particolare rilevanza sono gli interventi di profilo energetico, grazie ai quali è prevista una riduzione dell’impatto ambientale della struttura attraverso un miglioramento </w:t>
      </w:r>
      <w:r w:rsidRPr="00EF0B75">
        <w:rPr>
          <w:rFonts w:eastAsia="Times New Roman" w:cs="Arial"/>
          <w:sz w:val="24"/>
          <w:szCs w:val="24"/>
          <w:lang w:eastAsia="it-IT"/>
        </w:rPr>
        <w:lastRenderedPageBreak/>
        <w:t>dell’isolamento termico e un miglioramento della produzione di energia (ammodernamento dell’impianto di produzione calore e nuova installazione di un impianto ad energia solare).</w:t>
      </w:r>
    </w:p>
    <w:p w:rsidR="00EF0B75" w:rsidRPr="00EF0B75" w:rsidRDefault="00EF0B75" w:rsidP="00EF0B75">
      <w:pPr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EF0B75">
      <w:pPr>
        <w:autoSpaceDE w:val="0"/>
        <w:autoSpaceDN w:val="0"/>
        <w:adjustRightInd w:val="0"/>
        <w:rPr>
          <w:rFonts w:eastAsia="Times New Roman" w:cs="Arial"/>
          <w:color w:val="1F2929"/>
          <w:sz w:val="24"/>
          <w:szCs w:val="24"/>
          <w:highlight w:val="yellow"/>
          <w:lang w:eastAsia="it-CH"/>
        </w:rPr>
      </w:pPr>
    </w:p>
    <w:p w:rsidR="00EF0B75" w:rsidRPr="00EF0B75" w:rsidRDefault="00EF0B75" w:rsidP="00EF0B75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EF0B75">
        <w:rPr>
          <w:rFonts w:eastAsia="Calibri" w:cs="Times New Roman"/>
          <w:caps/>
          <w:sz w:val="24"/>
          <w:szCs w:val="24"/>
          <w:lang w:val="it-IT" w:eastAsia="it-IT"/>
        </w:rPr>
        <w:t>3.</w:t>
      </w:r>
      <w:r w:rsidRPr="00EF0B75">
        <w:rPr>
          <w:rFonts w:eastAsia="Calibri" w:cs="Times New Roman"/>
          <w:caps/>
          <w:sz w:val="24"/>
          <w:szCs w:val="24"/>
          <w:lang w:val="it-IT" w:eastAsia="it-IT"/>
        </w:rPr>
        <w:tab/>
        <w:t>COSTI DELLE OPERE E FINANZIAMENTO</w:t>
      </w: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  <w:r w:rsidRPr="00EF0B75">
        <w:rPr>
          <w:rFonts w:eastAsia="Times New Roman" w:cs="Arial"/>
          <w:sz w:val="24"/>
          <w:szCs w:val="24"/>
          <w:lang w:eastAsia="it-IT"/>
        </w:rPr>
        <w:t xml:space="preserve">Il preventivo di costo dettagliato (precisione +/-10% secondo Norma SIA 102) del </w:t>
      </w:r>
      <w:r w:rsidR="005625DF">
        <w:rPr>
          <w:rFonts w:eastAsia="Times New Roman" w:cs="Arial"/>
          <w:sz w:val="24"/>
          <w:szCs w:val="24"/>
          <w:lang w:eastAsia="it-IT"/>
        </w:rPr>
        <w:br/>
      </w:r>
      <w:r w:rsidRPr="00EF0B75">
        <w:rPr>
          <w:rFonts w:eastAsia="Times New Roman" w:cs="Arial"/>
          <w:sz w:val="24"/>
          <w:szCs w:val="24"/>
          <w:lang w:eastAsia="it-IT"/>
        </w:rPr>
        <w:t>6 settembre 2021 prevede un costo totale dell’investimento pari a fr. 6'820'980.00, IVA inclusa.</w:t>
      </w: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  <w:r w:rsidRPr="00EF0B75">
        <w:rPr>
          <w:rFonts w:eastAsia="Times New Roman" w:cs="Arial"/>
          <w:sz w:val="24"/>
          <w:szCs w:val="24"/>
          <w:lang w:eastAsia="it-IT"/>
        </w:rPr>
        <w:t>Secondo i parametri di riconoscimento e finanziamento degli investimenti stabiliti per questa tipologia di opere, è proposta la concessione di un contributo unico a fondo perso di 1.9 milioni</w:t>
      </w:r>
      <w:r w:rsidR="005625DF">
        <w:rPr>
          <w:rFonts w:eastAsia="Times New Roman" w:cs="Arial"/>
          <w:sz w:val="24"/>
          <w:szCs w:val="24"/>
          <w:lang w:eastAsia="it-IT"/>
        </w:rPr>
        <w:t xml:space="preserve"> di franchi</w:t>
      </w:r>
      <w:r w:rsidRPr="00EF0B75">
        <w:rPr>
          <w:rFonts w:eastAsia="Times New Roman" w:cs="Arial"/>
          <w:sz w:val="24"/>
          <w:szCs w:val="24"/>
          <w:lang w:eastAsia="it-IT"/>
        </w:rPr>
        <w:t>, pari al pari al 30% del costo riconosciuto di 6.3 mi</w:t>
      </w:r>
      <w:r w:rsidR="005625DF">
        <w:rPr>
          <w:rFonts w:eastAsia="Times New Roman" w:cs="Arial"/>
          <w:sz w:val="24"/>
          <w:szCs w:val="24"/>
          <w:lang w:eastAsia="it-IT"/>
        </w:rPr>
        <w:t xml:space="preserve">lioni di franchi </w:t>
      </w:r>
      <w:r w:rsidRPr="00EF0B75">
        <w:rPr>
          <w:rFonts w:eastAsia="Times New Roman" w:cs="Arial"/>
          <w:sz w:val="24"/>
          <w:szCs w:val="24"/>
          <w:lang w:eastAsia="it-IT"/>
        </w:rPr>
        <w:t>(parametro cantonale per le ristrutturazioni di fr. 150'000.00/posto letto per i 42 posti letto della struttura). Considerato il costo globale dell’investimento, fr. 520'980</w:t>
      </w:r>
      <w:r w:rsidR="005625DF">
        <w:rPr>
          <w:rFonts w:eastAsia="Times New Roman" w:cs="Arial"/>
          <w:sz w:val="24"/>
          <w:szCs w:val="24"/>
          <w:lang w:eastAsia="it-IT"/>
        </w:rPr>
        <w:t>.00 r</w:t>
      </w:r>
      <w:r w:rsidRPr="00EF0B75">
        <w:rPr>
          <w:rFonts w:eastAsia="Times New Roman" w:cs="Arial"/>
          <w:sz w:val="24"/>
          <w:szCs w:val="24"/>
          <w:lang w:eastAsia="it-IT"/>
        </w:rPr>
        <w:t>isultano rimanere a carico dei Comuni proprietari.</w:t>
      </w: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</w:p>
    <w:tbl>
      <w:tblPr>
        <w:tblStyle w:val="Grigliatabel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EF0B75" w:rsidRPr="00EF0B75" w:rsidTr="004335EC">
        <w:trPr>
          <w:trHeight w:val="284"/>
        </w:trPr>
        <w:tc>
          <w:tcPr>
            <w:tcW w:w="6771" w:type="dxa"/>
          </w:tcPr>
          <w:p w:rsidR="00EF0B75" w:rsidRPr="00EF0B75" w:rsidRDefault="00EF0B75" w:rsidP="00EF0B75">
            <w:pPr>
              <w:tabs>
                <w:tab w:val="left" w:pos="284"/>
                <w:tab w:val="left" w:pos="3969"/>
                <w:tab w:val="decimal" w:pos="5670"/>
              </w:tabs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</w:tcPr>
          <w:p w:rsidR="00EF0B75" w:rsidRPr="00EF0B75" w:rsidRDefault="00EF0B75" w:rsidP="00EF0B75">
            <w:pPr>
              <w:tabs>
                <w:tab w:val="left" w:pos="284"/>
                <w:tab w:val="left" w:pos="3969"/>
                <w:tab w:val="decimal" w:pos="5670"/>
              </w:tabs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EF0B75" w:rsidRPr="00EF0B75" w:rsidTr="004335EC">
        <w:trPr>
          <w:trHeight w:val="447"/>
        </w:trPr>
        <w:tc>
          <w:tcPr>
            <w:tcW w:w="6771" w:type="dxa"/>
          </w:tcPr>
          <w:p w:rsidR="00EF0B75" w:rsidRPr="00EF0B75" w:rsidRDefault="00EF0B75" w:rsidP="00EF0B75">
            <w:pPr>
              <w:tabs>
                <w:tab w:val="left" w:pos="284"/>
                <w:tab w:val="right" w:pos="6555"/>
              </w:tabs>
              <w:jc w:val="both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F0B75">
              <w:rPr>
                <w:rFonts w:cs="Arial"/>
                <w:b/>
                <w:sz w:val="24"/>
                <w:szCs w:val="24"/>
                <w:lang w:eastAsia="it-IT"/>
              </w:rPr>
              <w:t>Costo complessivo delle opere</w:t>
            </w:r>
            <w:r w:rsidRPr="00EF0B75">
              <w:rPr>
                <w:rFonts w:cs="Arial"/>
                <w:b/>
                <w:sz w:val="24"/>
                <w:szCs w:val="24"/>
                <w:lang w:eastAsia="it-IT"/>
              </w:rPr>
              <w:tab/>
            </w:r>
          </w:p>
        </w:tc>
        <w:tc>
          <w:tcPr>
            <w:tcW w:w="2409" w:type="dxa"/>
          </w:tcPr>
          <w:p w:rsidR="00EF0B75" w:rsidRPr="00EF0B75" w:rsidRDefault="00EF0B75" w:rsidP="00EF0B75">
            <w:pPr>
              <w:tabs>
                <w:tab w:val="left" w:pos="284"/>
                <w:tab w:val="left" w:pos="6804"/>
              </w:tabs>
              <w:jc w:val="both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F0B75">
              <w:rPr>
                <w:rFonts w:cs="Arial"/>
                <w:b/>
                <w:sz w:val="24"/>
                <w:szCs w:val="24"/>
                <w:lang w:eastAsia="it-IT"/>
              </w:rPr>
              <w:t>fr.  6'820'980.00</w:t>
            </w:r>
          </w:p>
        </w:tc>
      </w:tr>
      <w:tr w:rsidR="00EF0B75" w:rsidRPr="00EF0B75" w:rsidTr="004335EC">
        <w:trPr>
          <w:trHeight w:val="295"/>
        </w:trPr>
        <w:tc>
          <w:tcPr>
            <w:tcW w:w="6771" w:type="dxa"/>
          </w:tcPr>
          <w:p w:rsidR="00EF0B75" w:rsidRPr="00EF0B75" w:rsidRDefault="00EF0B75" w:rsidP="005625DF">
            <w:pPr>
              <w:tabs>
                <w:tab w:val="left" w:pos="284"/>
                <w:tab w:val="left" w:pos="5400"/>
              </w:tabs>
              <w:spacing w:after="60"/>
              <w:jc w:val="both"/>
              <w:rPr>
                <w:rFonts w:cs="Arial"/>
                <w:sz w:val="24"/>
                <w:szCs w:val="24"/>
                <w:lang w:eastAsia="it-IT"/>
              </w:rPr>
            </w:pPr>
            <w:r w:rsidRPr="00EF0B75">
              <w:rPr>
                <w:rFonts w:cs="Arial"/>
                <w:sz w:val="24"/>
                <w:szCs w:val="24"/>
                <w:lang w:eastAsia="it-IT"/>
              </w:rPr>
              <w:t>Contributo cantonale unico (30% di fr. 6.3 mio)</w:t>
            </w:r>
          </w:p>
        </w:tc>
        <w:tc>
          <w:tcPr>
            <w:tcW w:w="2409" w:type="dxa"/>
          </w:tcPr>
          <w:p w:rsidR="00EF0B75" w:rsidRPr="00EF0B75" w:rsidRDefault="00EF0B75" w:rsidP="005625DF">
            <w:pPr>
              <w:tabs>
                <w:tab w:val="left" w:pos="284"/>
                <w:tab w:val="left" w:pos="3969"/>
                <w:tab w:val="decimal" w:pos="5670"/>
              </w:tabs>
              <w:spacing w:after="60"/>
              <w:jc w:val="both"/>
              <w:rPr>
                <w:rFonts w:cs="Arial"/>
                <w:sz w:val="24"/>
                <w:szCs w:val="24"/>
                <w:lang w:eastAsia="it-IT"/>
              </w:rPr>
            </w:pPr>
            <w:r w:rsidRPr="00EF0B75">
              <w:rPr>
                <w:rFonts w:cs="Arial"/>
                <w:sz w:val="24"/>
                <w:szCs w:val="24"/>
                <w:lang w:eastAsia="it-IT"/>
              </w:rPr>
              <w:t>fr.  1’900'000.00</w:t>
            </w:r>
          </w:p>
        </w:tc>
      </w:tr>
      <w:tr w:rsidR="00EF0B75" w:rsidRPr="00EF0B75" w:rsidTr="004335EC">
        <w:trPr>
          <w:trHeight w:val="271"/>
        </w:trPr>
        <w:tc>
          <w:tcPr>
            <w:tcW w:w="6771" w:type="dxa"/>
          </w:tcPr>
          <w:p w:rsidR="00EF0B75" w:rsidRPr="00EF0B75" w:rsidRDefault="00EF0B75" w:rsidP="005625DF">
            <w:pPr>
              <w:tabs>
                <w:tab w:val="left" w:pos="284"/>
                <w:tab w:val="left" w:pos="3969"/>
                <w:tab w:val="decimal" w:pos="5670"/>
              </w:tabs>
              <w:spacing w:after="60"/>
              <w:jc w:val="both"/>
              <w:rPr>
                <w:rFonts w:cs="Arial"/>
                <w:sz w:val="24"/>
                <w:szCs w:val="24"/>
                <w:lang w:eastAsia="it-IT"/>
              </w:rPr>
            </w:pPr>
            <w:r w:rsidRPr="00EF0B75">
              <w:rPr>
                <w:rFonts w:cs="Arial"/>
                <w:sz w:val="24"/>
                <w:szCs w:val="24"/>
                <w:lang w:eastAsia="it-IT"/>
              </w:rPr>
              <w:t>Mutuo ipotecario aggiuntivo riconosciuto</w:t>
            </w:r>
          </w:p>
        </w:tc>
        <w:tc>
          <w:tcPr>
            <w:tcW w:w="2409" w:type="dxa"/>
          </w:tcPr>
          <w:p w:rsidR="00EF0B75" w:rsidRPr="00EF0B75" w:rsidRDefault="00EF0B75" w:rsidP="00EF0B75">
            <w:pPr>
              <w:tabs>
                <w:tab w:val="left" w:pos="284"/>
                <w:tab w:val="left" w:pos="3969"/>
                <w:tab w:val="decimal" w:pos="5670"/>
              </w:tabs>
              <w:jc w:val="both"/>
              <w:rPr>
                <w:rFonts w:cs="Arial"/>
                <w:sz w:val="24"/>
                <w:szCs w:val="24"/>
                <w:lang w:eastAsia="it-IT"/>
              </w:rPr>
            </w:pPr>
            <w:r w:rsidRPr="00EF0B75">
              <w:rPr>
                <w:rFonts w:cs="Arial"/>
                <w:sz w:val="24"/>
                <w:szCs w:val="24"/>
                <w:lang w:eastAsia="it-IT"/>
              </w:rPr>
              <w:t>fr.  4'400'000.00</w:t>
            </w:r>
          </w:p>
        </w:tc>
      </w:tr>
      <w:tr w:rsidR="00EF0B75" w:rsidRPr="00EF0B75" w:rsidTr="004335EC">
        <w:trPr>
          <w:trHeight w:val="365"/>
        </w:trPr>
        <w:tc>
          <w:tcPr>
            <w:tcW w:w="6771" w:type="dxa"/>
          </w:tcPr>
          <w:p w:rsidR="00EF0B75" w:rsidRPr="00EF0B75" w:rsidRDefault="00EF0B75" w:rsidP="00EF0B75">
            <w:pPr>
              <w:tabs>
                <w:tab w:val="left" w:pos="284"/>
                <w:tab w:val="left" w:pos="3969"/>
                <w:tab w:val="decimal" w:pos="5670"/>
              </w:tabs>
              <w:jc w:val="both"/>
              <w:rPr>
                <w:rFonts w:cs="Arial"/>
                <w:sz w:val="24"/>
                <w:szCs w:val="24"/>
                <w:lang w:eastAsia="it-IT"/>
              </w:rPr>
            </w:pPr>
            <w:r w:rsidRPr="00EF0B75">
              <w:rPr>
                <w:rFonts w:cs="Arial"/>
                <w:sz w:val="24"/>
                <w:szCs w:val="24"/>
                <w:lang w:eastAsia="it-IT"/>
              </w:rPr>
              <w:t>Importo eccedente a carico dei Comuni proprietari</w:t>
            </w:r>
          </w:p>
        </w:tc>
        <w:tc>
          <w:tcPr>
            <w:tcW w:w="2409" w:type="dxa"/>
          </w:tcPr>
          <w:p w:rsidR="00EF0B75" w:rsidRPr="00EF0B75" w:rsidRDefault="00EF0B75" w:rsidP="00EF0B75">
            <w:pPr>
              <w:tabs>
                <w:tab w:val="left" w:pos="284"/>
                <w:tab w:val="left" w:pos="3969"/>
                <w:tab w:val="decimal" w:pos="5670"/>
              </w:tabs>
              <w:jc w:val="both"/>
              <w:rPr>
                <w:rFonts w:cs="Arial"/>
                <w:sz w:val="24"/>
                <w:szCs w:val="24"/>
                <w:lang w:eastAsia="it-IT"/>
              </w:rPr>
            </w:pPr>
            <w:r w:rsidRPr="00EF0B75">
              <w:rPr>
                <w:rFonts w:cs="Arial"/>
                <w:sz w:val="24"/>
                <w:szCs w:val="24"/>
                <w:lang w:eastAsia="it-IT"/>
              </w:rPr>
              <w:t>fr.     520'980.00</w:t>
            </w:r>
          </w:p>
        </w:tc>
      </w:tr>
      <w:tr w:rsidR="00EF0B75" w:rsidRPr="00EF0B75" w:rsidTr="004335EC">
        <w:trPr>
          <w:trHeight w:val="326"/>
        </w:trPr>
        <w:tc>
          <w:tcPr>
            <w:tcW w:w="6771" w:type="dxa"/>
          </w:tcPr>
          <w:p w:rsidR="00EF0B75" w:rsidRPr="005625DF" w:rsidRDefault="00EF0B75" w:rsidP="00EF0B75">
            <w:pPr>
              <w:tabs>
                <w:tab w:val="left" w:pos="284"/>
                <w:tab w:val="left" w:pos="3969"/>
                <w:tab w:val="decimal" w:pos="5670"/>
              </w:tabs>
              <w:jc w:val="both"/>
              <w:rPr>
                <w:rFonts w:cs="Arial"/>
                <w:sz w:val="10"/>
                <w:szCs w:val="10"/>
                <w:lang w:eastAsia="it-IT"/>
              </w:rPr>
            </w:pPr>
            <w:bookmarkStart w:id="0" w:name="_GoBack"/>
            <w:bookmarkEnd w:id="0"/>
          </w:p>
          <w:p w:rsidR="00EF0B75" w:rsidRPr="00EF0B75" w:rsidRDefault="00EF0B75" w:rsidP="00EF0B75">
            <w:pPr>
              <w:tabs>
                <w:tab w:val="left" w:pos="284"/>
                <w:tab w:val="left" w:pos="3969"/>
                <w:tab w:val="decimal" w:pos="5670"/>
              </w:tabs>
              <w:jc w:val="both"/>
              <w:rPr>
                <w:rFonts w:cs="Arial"/>
                <w:sz w:val="24"/>
                <w:szCs w:val="24"/>
                <w:lang w:eastAsia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F0B75" w:rsidRPr="00EF0B75" w:rsidRDefault="00EF0B75" w:rsidP="00EF0B75">
            <w:pPr>
              <w:tabs>
                <w:tab w:val="left" w:pos="284"/>
                <w:tab w:val="left" w:pos="3969"/>
                <w:tab w:val="decimal" w:pos="5670"/>
              </w:tabs>
              <w:jc w:val="both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F0B75">
              <w:rPr>
                <w:rFonts w:cs="Arial"/>
                <w:b/>
                <w:sz w:val="24"/>
                <w:szCs w:val="24"/>
                <w:lang w:eastAsia="it-IT"/>
              </w:rPr>
              <w:t xml:space="preserve">fr. </w:t>
            </w:r>
            <w:r w:rsidRPr="00EF0B75">
              <w:rPr>
                <w:rFonts w:cs="Arial"/>
                <w:b/>
                <w:i/>
                <w:sz w:val="24"/>
                <w:szCs w:val="24"/>
                <w:lang w:eastAsia="it-IT"/>
              </w:rPr>
              <w:t xml:space="preserve"> </w:t>
            </w:r>
            <w:r w:rsidRPr="00EF0B75">
              <w:rPr>
                <w:rFonts w:cs="Arial"/>
                <w:b/>
                <w:sz w:val="24"/>
                <w:szCs w:val="24"/>
                <w:lang w:eastAsia="it-IT"/>
              </w:rPr>
              <w:t>6'820'980.00</w:t>
            </w:r>
          </w:p>
        </w:tc>
      </w:tr>
    </w:tbl>
    <w:p w:rsidR="005625DF" w:rsidRDefault="005625DF" w:rsidP="00EF0B75">
      <w:pPr>
        <w:tabs>
          <w:tab w:val="left" w:pos="4962"/>
          <w:tab w:val="left" w:pos="7513"/>
        </w:tabs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EF0B75">
      <w:pPr>
        <w:tabs>
          <w:tab w:val="left" w:pos="4962"/>
          <w:tab w:val="left" w:pos="7513"/>
        </w:tabs>
        <w:rPr>
          <w:rFonts w:eastAsia="Times New Roman" w:cs="Arial"/>
          <w:sz w:val="24"/>
          <w:szCs w:val="24"/>
          <w:lang w:eastAsia="it-IT"/>
        </w:rPr>
      </w:pPr>
      <w:r w:rsidRPr="00EF0B75">
        <w:rPr>
          <w:rFonts w:eastAsia="Times New Roman" w:cs="Arial"/>
          <w:sz w:val="24"/>
          <w:szCs w:val="24"/>
          <w:lang w:eastAsia="it-IT"/>
        </w:rPr>
        <w:t>Oltre al contributo unico a fondo perso, nell’ambito del contratto di prestazioni è previsto il finanziamento in gestione degli oneri ipotecari (interessi e ammortamenti) relativi al mutuo ipotecario riconosciuto, fino al massimale di fr. 20.00 per giornata di presenza e nei limiti previsti dall’art. 11 cpv. 2 del Regolamento d’applicazione della Legge concernente il promovimento, il coordinamento e il finanziamento delle attività a favore delle persone anziane (</w:t>
      </w:r>
      <w:proofErr w:type="spellStart"/>
      <w:r w:rsidRPr="00EF0B75">
        <w:rPr>
          <w:rFonts w:eastAsia="Times New Roman" w:cs="Arial"/>
          <w:sz w:val="24"/>
          <w:szCs w:val="24"/>
          <w:lang w:eastAsia="it-IT"/>
        </w:rPr>
        <w:t>RLAnz</w:t>
      </w:r>
      <w:proofErr w:type="spellEnd"/>
      <w:r w:rsidRPr="00EF0B75">
        <w:rPr>
          <w:rFonts w:eastAsia="Times New Roman" w:cs="Arial"/>
          <w:sz w:val="24"/>
          <w:szCs w:val="24"/>
          <w:lang w:eastAsia="it-IT"/>
        </w:rPr>
        <w:t>), del 22 agosto 2012.</w:t>
      </w:r>
    </w:p>
    <w:p w:rsidR="00EF0B75" w:rsidRPr="00EF0B75" w:rsidRDefault="00EF0B75" w:rsidP="00EF0B75">
      <w:pPr>
        <w:tabs>
          <w:tab w:val="left" w:pos="7020"/>
        </w:tabs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EF0B75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EF0B75">
        <w:rPr>
          <w:rFonts w:eastAsia="Calibri" w:cs="Times New Roman"/>
          <w:caps/>
          <w:sz w:val="24"/>
          <w:szCs w:val="24"/>
          <w:lang w:val="it-IT" w:eastAsia="it-IT"/>
        </w:rPr>
        <w:t xml:space="preserve">4. </w:t>
      </w:r>
      <w:r w:rsidRPr="00EF0B75">
        <w:rPr>
          <w:rFonts w:eastAsia="Calibri" w:cs="Times New Roman"/>
          <w:caps/>
          <w:sz w:val="24"/>
          <w:szCs w:val="24"/>
          <w:lang w:val="it-IT" w:eastAsia="it-IT"/>
        </w:rPr>
        <w:tab/>
        <w:t>ASPETTI INERENTI ALLA LEGISLAZIONE SULLE COMMESSE PUBBLICHE</w:t>
      </w:r>
    </w:p>
    <w:p w:rsidR="00EF0B75" w:rsidRDefault="00EF0B75" w:rsidP="00EF0B75">
      <w:pPr>
        <w:keepNext/>
        <w:rPr>
          <w:rFonts w:eastAsia="Times New Roman" w:cs="Arial"/>
          <w:sz w:val="24"/>
          <w:szCs w:val="24"/>
          <w:lang w:eastAsia="it-IT"/>
        </w:rPr>
      </w:pPr>
      <w:r w:rsidRPr="00EF0B75">
        <w:rPr>
          <w:rFonts w:eastAsia="Times New Roman" w:cs="Arial"/>
          <w:sz w:val="24"/>
          <w:szCs w:val="24"/>
          <w:lang w:eastAsia="it-IT"/>
        </w:rPr>
        <w:t>In virtù del finanziamento pubblico previsto, l’investimento è soggetto alle disposizioni della LCPubb e del Concordato intercantonale sugli appalti pubblici (CIAP), del 25 novembre 1994.</w:t>
      </w:r>
    </w:p>
    <w:p w:rsidR="00EF0B75" w:rsidRPr="00EF0B75" w:rsidRDefault="00EF0B75" w:rsidP="00EF0B75">
      <w:pPr>
        <w:keepNext/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  <w:r w:rsidRPr="00EF0B75">
        <w:rPr>
          <w:rFonts w:eastAsia="Times New Roman" w:cs="Arial"/>
          <w:sz w:val="24"/>
          <w:szCs w:val="24"/>
          <w:lang w:eastAsia="it-IT"/>
        </w:rPr>
        <w:t xml:space="preserve">Dopo consultazione con il Centro di competenza in materia di commesse pubbliche della Cancelleria dello Stato, il Dipartimento della sanità e della socialità, competente per il rilascio dell’autorizzazione preliminare alla progettazione secondo quanto previsto dal </w:t>
      </w:r>
      <w:proofErr w:type="spellStart"/>
      <w:r w:rsidRPr="00EF0B75">
        <w:rPr>
          <w:rFonts w:eastAsia="Times New Roman" w:cs="Arial"/>
          <w:sz w:val="24"/>
          <w:szCs w:val="24"/>
          <w:lang w:eastAsia="it-IT"/>
        </w:rPr>
        <w:t>RLAnz</w:t>
      </w:r>
      <w:proofErr w:type="spellEnd"/>
      <w:r w:rsidRPr="00EF0B75">
        <w:rPr>
          <w:rFonts w:eastAsia="Times New Roman" w:cs="Arial"/>
          <w:sz w:val="24"/>
          <w:szCs w:val="24"/>
          <w:lang w:eastAsia="it-IT"/>
        </w:rPr>
        <w:t>, ha esentato il Comune di Lugano dal nominare un consulente indipendente per la verifica della conformità delle procedure, ammettendo la presentazione di un’autocertificazione.</w:t>
      </w:r>
    </w:p>
    <w:p w:rsid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</w:p>
    <w:p w:rsidR="00EF0B75" w:rsidRDefault="00EF0B75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br w:type="page"/>
      </w:r>
    </w:p>
    <w:p w:rsidR="00EF0B75" w:rsidRPr="00EF0B75" w:rsidRDefault="00EF0B75" w:rsidP="00EF0B75">
      <w:pPr>
        <w:pStyle w:val="Titolo1"/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EF0B75">
        <w:rPr>
          <w:rFonts w:eastAsia="Calibri" w:cs="Times New Roman"/>
          <w:caps/>
          <w:sz w:val="24"/>
          <w:szCs w:val="24"/>
          <w:lang w:val="it-IT" w:eastAsia="it-IT"/>
        </w:rPr>
        <w:lastRenderedPageBreak/>
        <w:t>5.</w:t>
      </w:r>
      <w:r w:rsidRPr="00EF0B75">
        <w:rPr>
          <w:rFonts w:eastAsia="Calibri" w:cs="Times New Roman"/>
          <w:caps/>
          <w:sz w:val="24"/>
          <w:szCs w:val="24"/>
          <w:lang w:val="it-IT" w:eastAsia="it-IT"/>
        </w:rPr>
        <w:tab/>
        <w:t>PIANIFICAZIONE SETTORIALE E CONCLUSIONI</w:t>
      </w: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  <w:r w:rsidRPr="00EF0B75">
        <w:rPr>
          <w:rFonts w:eastAsia="Times New Roman" w:cs="Arial"/>
          <w:sz w:val="24"/>
          <w:szCs w:val="24"/>
          <w:lang w:eastAsia="it-IT"/>
        </w:rPr>
        <w:t xml:space="preserve">Come indicato nel messaggio, gli obiettivi del progetto rendono l’iniziativa coerente con la Pianificazione integrata </w:t>
      </w:r>
      <w:proofErr w:type="spellStart"/>
      <w:r w:rsidRPr="00EF0B75">
        <w:rPr>
          <w:rFonts w:eastAsia="Times New Roman" w:cs="Arial"/>
          <w:sz w:val="24"/>
          <w:szCs w:val="24"/>
          <w:lang w:eastAsia="it-IT"/>
        </w:rPr>
        <w:t>Lanz-LACD</w:t>
      </w:r>
      <w:proofErr w:type="spellEnd"/>
      <w:r w:rsidRPr="00EF0B75">
        <w:rPr>
          <w:rFonts w:eastAsia="Times New Roman" w:cs="Arial"/>
          <w:sz w:val="24"/>
          <w:szCs w:val="24"/>
          <w:lang w:eastAsia="it-IT"/>
        </w:rPr>
        <w:t xml:space="preserve"> 2021-2030.</w:t>
      </w: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9910B4">
      <w:pPr>
        <w:rPr>
          <w:rFonts w:eastAsia="Times New Roman" w:cs="Arial"/>
          <w:sz w:val="24"/>
          <w:szCs w:val="24"/>
          <w:lang w:eastAsia="it-IT"/>
        </w:rPr>
      </w:pPr>
      <w:r w:rsidRPr="00EF0B75">
        <w:rPr>
          <w:rFonts w:eastAsia="Times New Roman" w:cs="Arial"/>
          <w:sz w:val="24"/>
          <w:szCs w:val="24"/>
          <w:lang w:eastAsia="it-IT"/>
        </w:rPr>
        <w:t>Alla luce di quanto sopra e degli approfondimenti esperiti, la Commiss</w:t>
      </w:r>
      <w:r w:rsidR="009910B4">
        <w:rPr>
          <w:rFonts w:eastAsia="Times New Roman" w:cs="Arial"/>
          <w:sz w:val="24"/>
          <w:szCs w:val="24"/>
          <w:lang w:eastAsia="it-IT"/>
        </w:rPr>
        <w:t>ione si dichiara favorevole al m</w:t>
      </w:r>
      <w:r w:rsidRPr="00EF0B75">
        <w:rPr>
          <w:rFonts w:eastAsia="Times New Roman" w:cs="Arial"/>
          <w:sz w:val="24"/>
          <w:szCs w:val="24"/>
          <w:lang w:eastAsia="it-IT"/>
        </w:rPr>
        <w:t>essaggio e propone al Gran Consiglio di approvare il Decreto legislativo a esso allegato.</w:t>
      </w:r>
    </w:p>
    <w:p w:rsidR="00EF0B75" w:rsidRDefault="00EF0B75" w:rsidP="00EF0B75">
      <w:pPr>
        <w:jc w:val="left"/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EF0B75">
      <w:pPr>
        <w:jc w:val="left"/>
        <w:rPr>
          <w:rFonts w:eastAsia="Times New Roman" w:cs="Arial"/>
          <w:sz w:val="24"/>
          <w:szCs w:val="24"/>
          <w:lang w:eastAsia="it-IT"/>
        </w:rPr>
      </w:pPr>
    </w:p>
    <w:p w:rsidR="00EF0B75" w:rsidRPr="00EF0B75" w:rsidRDefault="00EF0B75" w:rsidP="00EF0B75">
      <w:pPr>
        <w:spacing w:after="120"/>
        <w:rPr>
          <w:rFonts w:eastAsia="Times New Roman" w:cs="Arial"/>
          <w:sz w:val="24"/>
          <w:szCs w:val="24"/>
          <w:lang w:eastAsia="it-IT"/>
        </w:rPr>
      </w:pPr>
      <w:r w:rsidRPr="00EF0B75">
        <w:rPr>
          <w:rFonts w:eastAsia="Times New Roman" w:cs="Arial"/>
          <w:sz w:val="24"/>
          <w:szCs w:val="24"/>
          <w:lang w:eastAsia="it-IT"/>
        </w:rPr>
        <w:t>Per la Commissione gestione e finanze:</w:t>
      </w:r>
    </w:p>
    <w:p w:rsid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Michele Guerra</w:t>
      </w:r>
      <w:r w:rsidRPr="00EF0B75">
        <w:rPr>
          <w:rFonts w:eastAsia="Times New Roman" w:cs="Arial"/>
          <w:sz w:val="24"/>
          <w:szCs w:val="24"/>
          <w:lang w:eastAsia="it-IT"/>
        </w:rPr>
        <w:t>, relatore</w:t>
      </w:r>
    </w:p>
    <w:p w:rsidR="00324A02" w:rsidRPr="00324A02" w:rsidRDefault="00324A02" w:rsidP="00324A02">
      <w:pPr>
        <w:rPr>
          <w:rFonts w:cs="Arial"/>
          <w:sz w:val="24"/>
          <w:szCs w:val="24"/>
        </w:rPr>
      </w:pPr>
      <w:bookmarkStart w:id="1" w:name="OLE_LINK1"/>
      <w:bookmarkStart w:id="2" w:name="OLE_LINK2"/>
      <w:r w:rsidRPr="00324A02">
        <w:rPr>
          <w:rFonts w:cs="Arial"/>
          <w:sz w:val="24"/>
          <w:szCs w:val="24"/>
        </w:rPr>
        <w:t xml:space="preserve">Agustoni - Balli - Bignasca - Biscossa - </w:t>
      </w:r>
    </w:p>
    <w:p w:rsidR="005625DF" w:rsidRDefault="00324A02" w:rsidP="00324A02">
      <w:pPr>
        <w:rPr>
          <w:rFonts w:cs="Arial"/>
          <w:sz w:val="24"/>
          <w:szCs w:val="24"/>
        </w:rPr>
      </w:pPr>
      <w:r w:rsidRPr="00324A02">
        <w:rPr>
          <w:rFonts w:cs="Arial"/>
          <w:sz w:val="24"/>
          <w:szCs w:val="24"/>
        </w:rPr>
        <w:t xml:space="preserve">Bourgoin </w:t>
      </w:r>
      <w:r>
        <w:rPr>
          <w:rFonts w:cs="Arial"/>
          <w:sz w:val="24"/>
          <w:szCs w:val="24"/>
        </w:rPr>
        <w:t xml:space="preserve">- </w:t>
      </w:r>
      <w:r w:rsidRPr="00324A02">
        <w:rPr>
          <w:rFonts w:cs="Arial"/>
          <w:sz w:val="24"/>
          <w:szCs w:val="24"/>
        </w:rPr>
        <w:t xml:space="preserve">Caverzasio - Dadò - Durisch </w:t>
      </w:r>
      <w:r w:rsidR="005625DF">
        <w:rPr>
          <w:rFonts w:cs="Arial"/>
          <w:sz w:val="24"/>
          <w:szCs w:val="24"/>
        </w:rPr>
        <w:t>-</w:t>
      </w:r>
    </w:p>
    <w:p w:rsidR="005625DF" w:rsidRDefault="00324A02" w:rsidP="00324A02">
      <w:pPr>
        <w:rPr>
          <w:rFonts w:cs="Arial"/>
          <w:sz w:val="24"/>
          <w:szCs w:val="24"/>
        </w:rPr>
      </w:pPr>
      <w:r w:rsidRPr="00324A02">
        <w:rPr>
          <w:rFonts w:cs="Arial"/>
          <w:sz w:val="24"/>
          <w:szCs w:val="24"/>
        </w:rPr>
        <w:t xml:space="preserve">Ferrara </w:t>
      </w:r>
      <w:r>
        <w:rPr>
          <w:rFonts w:cs="Arial"/>
          <w:sz w:val="24"/>
          <w:szCs w:val="24"/>
        </w:rPr>
        <w:t>-</w:t>
      </w:r>
      <w:r w:rsidRPr="00324A02">
        <w:rPr>
          <w:rFonts w:cs="Arial"/>
          <w:sz w:val="24"/>
          <w:szCs w:val="24"/>
        </w:rPr>
        <w:t xml:space="preserve"> Gianella Alessandra </w:t>
      </w:r>
      <w:r>
        <w:rPr>
          <w:rFonts w:cs="Arial"/>
          <w:sz w:val="24"/>
          <w:szCs w:val="24"/>
        </w:rPr>
        <w:t xml:space="preserve">- </w:t>
      </w:r>
      <w:r w:rsidRPr="00324A02">
        <w:rPr>
          <w:rFonts w:cs="Arial"/>
          <w:sz w:val="24"/>
          <w:szCs w:val="24"/>
        </w:rPr>
        <w:t xml:space="preserve">Jelmini </w:t>
      </w:r>
      <w:r w:rsidR="005625DF">
        <w:rPr>
          <w:rFonts w:cs="Arial"/>
          <w:sz w:val="24"/>
          <w:szCs w:val="24"/>
        </w:rPr>
        <w:t>-</w:t>
      </w:r>
      <w:r w:rsidRPr="00324A02">
        <w:rPr>
          <w:rFonts w:cs="Arial"/>
          <w:sz w:val="24"/>
          <w:szCs w:val="24"/>
        </w:rPr>
        <w:t xml:space="preserve"> </w:t>
      </w:r>
    </w:p>
    <w:p w:rsidR="00324A02" w:rsidRPr="00324A02" w:rsidRDefault="00324A02" w:rsidP="00324A02">
      <w:pPr>
        <w:rPr>
          <w:rFonts w:cs="Arial"/>
          <w:sz w:val="24"/>
          <w:szCs w:val="24"/>
        </w:rPr>
      </w:pPr>
      <w:r w:rsidRPr="00324A02">
        <w:rPr>
          <w:rFonts w:cs="Arial"/>
          <w:sz w:val="24"/>
          <w:szCs w:val="24"/>
        </w:rPr>
        <w:t xml:space="preserve">Pamini - Quadranti </w:t>
      </w:r>
      <w:bookmarkEnd w:id="1"/>
      <w:bookmarkEnd w:id="2"/>
      <w:r w:rsidRPr="00324A02">
        <w:rPr>
          <w:rFonts w:cs="Arial"/>
          <w:sz w:val="24"/>
          <w:szCs w:val="24"/>
        </w:rPr>
        <w:t>- Sirica</w:t>
      </w:r>
    </w:p>
    <w:p w:rsidR="00EF0B75" w:rsidRPr="00EF0B75" w:rsidRDefault="00EF0B75" w:rsidP="00EF0B75">
      <w:pPr>
        <w:rPr>
          <w:rFonts w:eastAsia="Times New Roman" w:cs="Arial"/>
          <w:sz w:val="24"/>
          <w:szCs w:val="24"/>
          <w:lang w:eastAsia="it-IT"/>
        </w:rPr>
      </w:pPr>
    </w:p>
    <w:sectPr w:rsidR="00EF0B75" w:rsidRPr="00EF0B75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75" w:rsidRDefault="00EF0B75" w:rsidP="00F657BF">
      <w:r>
        <w:separator/>
      </w:r>
    </w:p>
  </w:endnote>
  <w:endnote w:type="continuationSeparator" w:id="0">
    <w:p w:rsidR="00EF0B75" w:rsidRDefault="00EF0B75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5625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5625DF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796336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796336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5625DF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5625DF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75" w:rsidRDefault="00EF0B75" w:rsidP="00F657BF">
      <w:r>
        <w:separator/>
      </w:r>
    </w:p>
  </w:footnote>
  <w:footnote w:type="continuationSeparator" w:id="0">
    <w:p w:rsidR="00EF0B75" w:rsidRDefault="00EF0B75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5625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9D6011F6-F230-44BB-ADDA-C7601E08E349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E8146E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della sanità e della socialità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796336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5625DF">
            <w:rPr>
              <w:noProof/>
              <w:sz w:val="24"/>
            </w:rPr>
            <w:t>3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5625DF">
            <w:rPr>
              <w:noProof/>
              <w:sz w:val="24"/>
            </w:rPr>
            <w:t>3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9D6011F6-F230-44BB-ADDA-C7601E08E349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EF0B75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8115 R del 29 marzo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5625DF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796336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9D6011F6-F230-44BB-ADDA-C7601E08E349}"/>
                            <w:text w:multiLine="1"/>
                          </w:sdtPr>
                          <w:sdtEndPr/>
                          <w:sdtContent>
                            <w:p w:rsidR="008065E8" w:rsidRPr="00411371" w:rsidRDefault="00796336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9D6011F6-F230-44BB-ADDA-C7601E08E349}"/>
                      <w:text w:multiLine="1"/>
                    </w:sdtPr>
                    <w:sdtEndPr/>
                    <w:sdtContent>
                      <w:p w:rsidR="008065E8" w:rsidRPr="00411371" w:rsidRDefault="00796336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5625DF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5625DF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796336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6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796336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625DF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5625DF">
            <w:rPr>
              <w:rFonts w:asciiTheme="minorHAnsi" w:hAnsiTheme="minorHAnsi" w:cstheme="minorHAnsi"/>
              <w:noProof/>
              <w:sz w:val="24"/>
            </w:rPr>
            <w:t>3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9D6011F6-F230-44BB-ADDA-C7601E08E349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E8146E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796336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5625DF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796336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5625DF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796336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5625DF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5625DF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9D6011F6-F230-44BB-ADDA-C7601E08E349}"/>
              <w:text w:multiLine="1"/>
            </w:sdtPr>
            <w:sdtEndPr/>
            <w:sdtContent>
              <w:r w:rsidR="00EF0B75">
                <w:rPr>
                  <w:rFonts w:cstheme="minorHAnsi"/>
                  <w:b/>
                  <w:sz w:val="24"/>
                  <w:szCs w:val="24"/>
                </w:rPr>
                <w:t>8115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9D6011F6-F230-44BB-ADDA-C7601E08E349}"/>
          <w:date w:fullDate="2022-03-29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E8146E" w:rsidP="00A532F6">
              <w:pPr>
                <w:pStyle w:val="Data"/>
              </w:pPr>
              <w:r>
                <w:rPr>
                  <w:sz w:val="24"/>
                </w:rPr>
                <w:t>29 marzo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5625DF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9D6011F6-F230-44BB-ADDA-C7601E08E349}"/>
              <w:text w:multiLine="1"/>
            </w:sdtPr>
            <w:sdtEndPr/>
            <w:sdtContent>
              <w:r w:rsidR="00E8146E">
                <w:rPr>
                  <w:smallCaps/>
                  <w:sz w:val="23"/>
                  <w:szCs w:val="23"/>
                </w:rPr>
                <w:t>Dipartimento della sanità e della socialità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5625DF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796336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7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9D6011F6-F230-44BB-ADDA-C7601E08E349}"/>
                            <w:text w:multiLine="1"/>
                          </w:sdtPr>
                          <w:sdtEndPr/>
                          <w:sdtContent>
                            <w:p w:rsidR="00E93620" w:rsidRPr="00411371" w:rsidRDefault="00796336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9D6011F6-F230-44BB-ADDA-C7601E08E349}"/>
                      <w:text w:multiLine="1"/>
                    </w:sdtPr>
                    <w:sdtEndPr/>
                    <w:sdtContent>
                      <w:p w:rsidR="00E93620" w:rsidRPr="00411371" w:rsidRDefault="00796336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75"/>
    <w:rsid w:val="00023FBD"/>
    <w:rsid w:val="000F6595"/>
    <w:rsid w:val="002B5D9F"/>
    <w:rsid w:val="00324A02"/>
    <w:rsid w:val="003B756D"/>
    <w:rsid w:val="00403ADB"/>
    <w:rsid w:val="00435497"/>
    <w:rsid w:val="00477104"/>
    <w:rsid w:val="00534415"/>
    <w:rsid w:val="00545CAE"/>
    <w:rsid w:val="005625DF"/>
    <w:rsid w:val="00572FD3"/>
    <w:rsid w:val="00796336"/>
    <w:rsid w:val="008720C4"/>
    <w:rsid w:val="008F52AF"/>
    <w:rsid w:val="009910B4"/>
    <w:rsid w:val="009A772A"/>
    <w:rsid w:val="009C5E5A"/>
    <w:rsid w:val="00A05DD1"/>
    <w:rsid w:val="00A709E6"/>
    <w:rsid w:val="00AF0268"/>
    <w:rsid w:val="00BB487B"/>
    <w:rsid w:val="00BF0A1F"/>
    <w:rsid w:val="00D33940"/>
    <w:rsid w:val="00D600FD"/>
    <w:rsid w:val="00D649A8"/>
    <w:rsid w:val="00E8146E"/>
    <w:rsid w:val="00EB088A"/>
    <w:rsid w:val="00EC60A3"/>
    <w:rsid w:val="00ED4DE7"/>
    <w:rsid w:val="00EE346F"/>
    <w:rsid w:val="00EF0B75"/>
    <w:rsid w:val="00F657BF"/>
    <w:rsid w:val="00F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1FA05A0"/>
  <w15:docId w15:val="{7BDE6672-DFDE-48B5-AD6D-A65B6C72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table" w:styleId="Grigliatabella">
    <w:name w:val="Table Grid"/>
    <w:basedOn w:val="Tabellanormale"/>
    <w:rsid w:val="00EF0B75"/>
    <w:pPr>
      <w:jc w:val="left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4288c7ed-898b-4c63-a4d3-bb49975becfd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2 2 3 5 1 6 7 3 - 5 c b 4 - 4 9 0 d - 9 a 1 0 - 0 8 f e c 9 5 a a 7 3 6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3 - 2 9 T 1 1 : 3 6 : 5 9 . 6 1 0 5 9 2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a   s a n i t �   e   d e l l a   s o c i a l i t �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1 1 5   R   d e l   2 9   m a r z o   2 0 2 2 ] ] > < / T e x t >  
             < / S c r i p t i n g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 2 0 2 2 - 0 3 - 2 9 T 0 0 : 0 0 : 0 0 Z < / D a t e T i m e >  
                 < T e x t   i d = " D o c P a r a m . N u m b e r " > < ! [ C D A T A [ 8 1 1 5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a   s a n i t �   e   d e l l a   s o c i a l i t �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2154D4D7-A583-46CC-92E0-FABE64EAEDB4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9D6011F6-F230-44BB-ADDA-C7601E08E349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4288c7ed-898b-4c63-a4d3-bb49975becfd.dotx</Template>
  <TotalTime>17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Morandi Marisa</cp:lastModifiedBy>
  <cp:revision>19</cp:revision>
  <dcterms:created xsi:type="dcterms:W3CDTF">2022-03-29T11:37:00Z</dcterms:created>
  <dcterms:modified xsi:type="dcterms:W3CDTF">2022-03-29T12:17:00Z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