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D3F" w:rsidRPr="008B4137" w:rsidRDefault="00582D3F" w:rsidP="00582D3F">
      <w:pPr>
        <w:rPr>
          <w:rFonts w:cs="Arial"/>
          <w:b/>
          <w:sz w:val="28"/>
          <w:szCs w:val="28"/>
        </w:rPr>
      </w:pPr>
      <w:r w:rsidRPr="008B4137">
        <w:rPr>
          <w:rFonts w:cs="Arial"/>
          <w:b/>
          <w:sz w:val="28"/>
          <w:szCs w:val="28"/>
        </w:rPr>
        <w:t xml:space="preserve">della Commissione </w:t>
      </w:r>
      <w:r w:rsidRPr="00582D3F">
        <w:rPr>
          <w:rFonts w:cs="Arial"/>
          <w:b/>
          <w:sz w:val="28"/>
          <w:szCs w:val="28"/>
        </w:rPr>
        <w:t>gestione e finanze</w:t>
      </w:r>
    </w:p>
    <w:p w:rsidR="00582D3F" w:rsidRPr="00582D3F" w:rsidRDefault="00582D3F" w:rsidP="00582D3F">
      <w:pPr>
        <w:rPr>
          <w:rFonts w:cs="Arial"/>
          <w:b/>
          <w:sz w:val="26"/>
          <w:szCs w:val="26"/>
        </w:rPr>
      </w:pPr>
      <w:r w:rsidRPr="000D6BD0">
        <w:rPr>
          <w:rFonts w:cs="Arial"/>
          <w:b/>
          <w:sz w:val="28"/>
          <w:szCs w:val="28"/>
        </w:rPr>
        <w:t>sul</w:t>
      </w:r>
      <w:r>
        <w:rPr>
          <w:rFonts w:cs="Arial"/>
          <w:b/>
          <w:sz w:val="28"/>
          <w:szCs w:val="28"/>
        </w:rPr>
        <w:t xml:space="preserve"> messaggio</w:t>
      </w:r>
      <w:r w:rsidRPr="00582D3F">
        <w:rPr>
          <w:rFonts w:cs="Arial"/>
          <w:b/>
          <w:sz w:val="28"/>
          <w:szCs w:val="28"/>
        </w:rPr>
        <w:t xml:space="preserve"> 16 giugno 2021</w:t>
      </w:r>
      <w:r>
        <w:rPr>
          <w:rFonts w:cs="Arial"/>
          <w:b/>
          <w:sz w:val="28"/>
          <w:szCs w:val="28"/>
        </w:rPr>
        <w:t xml:space="preserve"> concernente la </w:t>
      </w:r>
      <w:r w:rsidR="00AB377D" w:rsidRPr="00AB377D">
        <w:rPr>
          <w:rFonts w:eastAsia="Times New Roman" w:cs="Arial"/>
          <w:b/>
          <w:sz w:val="28"/>
          <w:szCs w:val="28"/>
          <w:lang w:val="it-IT" w:eastAsia="it-IT"/>
        </w:rPr>
        <w:t>r</w:t>
      </w:r>
      <w:r w:rsidRPr="00AB377D">
        <w:rPr>
          <w:rFonts w:eastAsia="Times New Roman" w:cs="Arial"/>
          <w:b/>
          <w:sz w:val="28"/>
          <w:szCs w:val="28"/>
          <w:lang w:val="it-IT" w:eastAsia="it-IT"/>
        </w:rPr>
        <w:t>ichiesta</w:t>
      </w:r>
      <w:r w:rsidRPr="00582D3F">
        <w:rPr>
          <w:rFonts w:eastAsia="Times New Roman" w:cs="Arial"/>
          <w:b/>
          <w:sz w:val="28"/>
          <w:szCs w:val="28"/>
          <w:lang w:val="it-IT" w:eastAsia="it-IT"/>
        </w:rPr>
        <w:t xml:space="preserve"> di stanziamento di un credito d’investimento di 1</w:t>
      </w:r>
      <w:r w:rsidRPr="00582D3F">
        <w:rPr>
          <w:rFonts w:eastAsia="Times New Roman" w:cs="Arial"/>
          <w:sz w:val="28"/>
          <w:szCs w:val="28"/>
          <w:lang w:val="it-IT" w:eastAsia="it-CH"/>
        </w:rPr>
        <w:t>'</w:t>
      </w:r>
      <w:r w:rsidRPr="00582D3F">
        <w:rPr>
          <w:rFonts w:eastAsia="Times New Roman" w:cs="Arial"/>
          <w:b/>
          <w:sz w:val="28"/>
          <w:szCs w:val="28"/>
          <w:lang w:val="it-IT" w:eastAsia="it-IT"/>
        </w:rPr>
        <w:t>035</w:t>
      </w:r>
      <w:r w:rsidRPr="00582D3F">
        <w:rPr>
          <w:rFonts w:eastAsia="Times New Roman" w:cs="Arial"/>
          <w:sz w:val="28"/>
          <w:szCs w:val="28"/>
          <w:lang w:val="it-IT" w:eastAsia="it-CH"/>
        </w:rPr>
        <w:t>'</w:t>
      </w:r>
      <w:r w:rsidRPr="00582D3F">
        <w:rPr>
          <w:rFonts w:eastAsia="Times New Roman" w:cs="Arial"/>
          <w:b/>
          <w:sz w:val="28"/>
          <w:szCs w:val="28"/>
          <w:lang w:val="it-IT" w:eastAsia="it-IT"/>
        </w:rPr>
        <w:t>000.00 franchi per la riorganizzazione logistica nella nuova sede dell’Ufficio regionale di collocamento di Biasca presso il comparto FFS</w:t>
      </w:r>
    </w:p>
    <w:p w:rsidR="00582D3F" w:rsidRPr="007A1637" w:rsidRDefault="00582D3F" w:rsidP="00582D3F">
      <w:pPr>
        <w:ind w:right="-1"/>
        <w:contextualSpacing/>
        <w:mirrorIndents/>
        <w:rPr>
          <w:rFonts w:eastAsia="Times New Roman" w:cs="Arial"/>
          <w:sz w:val="24"/>
          <w:szCs w:val="24"/>
          <w:lang w:val="it-IT" w:eastAsia="it-IT"/>
        </w:rPr>
      </w:pPr>
    </w:p>
    <w:p w:rsidR="00582D3F" w:rsidRPr="007A1637" w:rsidRDefault="00582D3F" w:rsidP="00582D3F">
      <w:pPr>
        <w:ind w:right="-1"/>
        <w:contextualSpacing/>
        <w:mirrorIndents/>
        <w:rPr>
          <w:rFonts w:eastAsia="Times New Roman" w:cs="Arial"/>
          <w:sz w:val="24"/>
          <w:szCs w:val="24"/>
          <w:lang w:val="it-IT" w:eastAsia="it-IT"/>
        </w:rPr>
      </w:pPr>
    </w:p>
    <w:p w:rsidR="00582D3F" w:rsidRPr="00582D3F" w:rsidRDefault="00582D3F" w:rsidP="00582D3F">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582D3F">
        <w:rPr>
          <w:rFonts w:eastAsia="Calibri" w:cs="Times New Roman"/>
          <w:caps/>
          <w:sz w:val="24"/>
          <w:szCs w:val="24"/>
          <w:lang w:val="it-IT" w:eastAsia="it-IT"/>
        </w:rPr>
        <w:t>Introduzione</w:t>
      </w:r>
    </w:p>
    <w:p w:rsidR="00582D3F" w:rsidRPr="00582D3F" w:rsidRDefault="00582D3F" w:rsidP="00582D3F">
      <w:pPr>
        <w:contextualSpacing/>
        <w:mirrorIndents/>
        <w:rPr>
          <w:rFonts w:eastAsia="Times New Roman" w:cs="Times New Roman"/>
          <w:sz w:val="24"/>
          <w:szCs w:val="24"/>
          <w:lang w:eastAsia="it-IT"/>
        </w:rPr>
      </w:pPr>
      <w:r w:rsidRPr="00582D3F">
        <w:rPr>
          <w:rFonts w:eastAsia="Times New Roman" w:cs="Times New Roman"/>
          <w:sz w:val="24"/>
          <w:szCs w:val="24"/>
          <w:lang w:eastAsia="it-IT"/>
        </w:rPr>
        <w:t xml:space="preserve">L'Ufficio regionale di collocamento (URC) di </w:t>
      </w:r>
      <w:proofErr w:type="spellStart"/>
      <w:r w:rsidRPr="00582D3F">
        <w:rPr>
          <w:rFonts w:eastAsia="Times New Roman" w:cs="Times New Roman"/>
          <w:sz w:val="24"/>
          <w:szCs w:val="24"/>
          <w:lang w:eastAsia="it-IT"/>
        </w:rPr>
        <w:t>Biasca</w:t>
      </w:r>
      <w:proofErr w:type="spellEnd"/>
      <w:r w:rsidRPr="00582D3F">
        <w:rPr>
          <w:rFonts w:eastAsia="Times New Roman" w:cs="Times New Roman"/>
          <w:sz w:val="24"/>
          <w:szCs w:val="24"/>
          <w:lang w:eastAsia="it-IT"/>
        </w:rPr>
        <w:t xml:space="preserve"> è nella necessità di trovare una nuova collocazione. Ciò è dovuto ai limiti strutturali dei locali attualmente occupati oltre che ad esigenze organizzative e alla necessità di migliorare l'accessibilità dell'utenza, la sicurezza, la discrezionalità e la funzionalità interna. </w:t>
      </w:r>
    </w:p>
    <w:p w:rsidR="00582D3F" w:rsidRPr="00582D3F" w:rsidRDefault="00582D3F" w:rsidP="00582D3F">
      <w:pPr>
        <w:contextualSpacing/>
        <w:mirrorIndents/>
        <w:rPr>
          <w:rFonts w:eastAsia="Times New Roman" w:cs="Times New Roman"/>
          <w:sz w:val="24"/>
          <w:szCs w:val="24"/>
          <w:lang w:eastAsia="it-IT"/>
        </w:rPr>
      </w:pPr>
    </w:p>
    <w:p w:rsidR="00582D3F" w:rsidRPr="00582D3F" w:rsidRDefault="00582D3F" w:rsidP="00582D3F">
      <w:pPr>
        <w:contextualSpacing/>
        <w:mirrorIndents/>
        <w:rPr>
          <w:rFonts w:eastAsia="Times New Roman" w:cs="Times New Roman"/>
          <w:sz w:val="24"/>
          <w:szCs w:val="24"/>
          <w:lang w:eastAsia="it-IT"/>
        </w:rPr>
      </w:pPr>
      <w:r w:rsidRPr="00582D3F">
        <w:rPr>
          <w:rFonts w:eastAsia="Times New Roman" w:cs="Times New Roman"/>
          <w:sz w:val="24"/>
          <w:szCs w:val="24"/>
          <w:lang w:eastAsia="it-IT"/>
        </w:rPr>
        <w:t>Attualmente la sede dell’URC è ospitata presso lo stabile “Centro Borgo” in via Pini 32 a Biasca, in spazi amministrativi dislocati al 1° e al 3° piano. La locazione è regolata da contratti stipulati con tre distinte proprietà per piani (PPP).</w:t>
      </w:r>
    </w:p>
    <w:p w:rsidR="00582D3F" w:rsidRPr="00582D3F" w:rsidRDefault="00582D3F" w:rsidP="00582D3F">
      <w:pPr>
        <w:contextualSpacing/>
        <w:mirrorIndents/>
        <w:rPr>
          <w:rFonts w:eastAsia="Times New Roman" w:cs="Times New Roman"/>
          <w:sz w:val="24"/>
          <w:szCs w:val="24"/>
          <w:lang w:eastAsia="it-IT"/>
        </w:rPr>
      </w:pPr>
    </w:p>
    <w:p w:rsidR="00582D3F" w:rsidRPr="00582D3F" w:rsidRDefault="00582D3F" w:rsidP="00582D3F">
      <w:pPr>
        <w:contextualSpacing/>
        <w:mirrorIndents/>
        <w:rPr>
          <w:rFonts w:eastAsia="Times New Roman" w:cs="Times New Roman"/>
          <w:sz w:val="24"/>
          <w:szCs w:val="24"/>
          <w:lang w:eastAsia="it-IT"/>
        </w:rPr>
      </w:pPr>
      <w:r w:rsidRPr="00582D3F">
        <w:rPr>
          <w:rFonts w:eastAsia="Times New Roman" w:cs="Times New Roman"/>
          <w:sz w:val="24"/>
          <w:szCs w:val="24"/>
          <w:lang w:eastAsia="it-IT"/>
        </w:rPr>
        <w:t>Il Servizio reso dai collaboratori dell’URC presso la sede di Biasca è confrontato da diversi anni con problemi derivanti da mancanza di spazi funzionali ed in particolare:</w:t>
      </w:r>
    </w:p>
    <w:p w:rsidR="00582D3F" w:rsidRPr="00582D3F" w:rsidRDefault="00582D3F" w:rsidP="00EB2130">
      <w:pPr>
        <w:numPr>
          <w:ilvl w:val="0"/>
          <w:numId w:val="19"/>
        </w:numPr>
        <w:spacing w:before="120"/>
        <w:ind w:left="284" w:hanging="284"/>
        <w:mirrorIndents/>
        <w:rPr>
          <w:rFonts w:eastAsia="Times New Roman" w:cs="Times New Roman"/>
          <w:sz w:val="24"/>
          <w:szCs w:val="24"/>
          <w:lang w:eastAsia="it-IT"/>
        </w:rPr>
      </w:pPr>
      <w:r w:rsidRPr="00582D3F">
        <w:rPr>
          <w:rFonts w:eastAsia="Times New Roman" w:cs="Times New Roman"/>
          <w:sz w:val="24"/>
          <w:szCs w:val="24"/>
          <w:lang w:eastAsia="it-IT"/>
        </w:rPr>
        <w:t xml:space="preserve">gli uffici sono dislocati al primo e al terzo piano e il transito degli assicurati nel corpo scale è da sempre stato elemento di disturbo per gli altri inquilini dello stabile generando diverse reclamazioni; </w:t>
      </w:r>
    </w:p>
    <w:p w:rsidR="00582D3F" w:rsidRPr="00582D3F" w:rsidRDefault="00582D3F" w:rsidP="00EB2130">
      <w:pPr>
        <w:numPr>
          <w:ilvl w:val="0"/>
          <w:numId w:val="19"/>
        </w:numPr>
        <w:spacing w:before="120"/>
        <w:ind w:left="284" w:hanging="284"/>
        <w:mirrorIndents/>
        <w:rPr>
          <w:rFonts w:eastAsia="Times New Roman" w:cs="Times New Roman"/>
          <w:sz w:val="24"/>
          <w:szCs w:val="24"/>
          <w:lang w:eastAsia="it-IT"/>
        </w:rPr>
      </w:pPr>
      <w:r w:rsidRPr="00582D3F">
        <w:rPr>
          <w:rFonts w:eastAsia="Times New Roman" w:cs="Times New Roman"/>
          <w:sz w:val="24"/>
          <w:szCs w:val="24"/>
          <w:lang w:eastAsia="it-IT"/>
        </w:rPr>
        <w:t>l’operatività attuali dei due sportelli al primo piano risulta particolarmente limitata;</w:t>
      </w:r>
    </w:p>
    <w:p w:rsidR="00582D3F" w:rsidRPr="00582D3F" w:rsidRDefault="00582D3F" w:rsidP="00EB2130">
      <w:pPr>
        <w:numPr>
          <w:ilvl w:val="0"/>
          <w:numId w:val="19"/>
        </w:numPr>
        <w:spacing w:before="120"/>
        <w:ind w:left="284" w:hanging="284"/>
        <w:mirrorIndents/>
        <w:rPr>
          <w:rFonts w:eastAsia="Times New Roman" w:cs="Times New Roman"/>
          <w:sz w:val="24"/>
          <w:szCs w:val="24"/>
          <w:lang w:eastAsia="it-IT"/>
        </w:rPr>
      </w:pPr>
      <w:r w:rsidRPr="00582D3F">
        <w:rPr>
          <w:rFonts w:eastAsia="Times New Roman" w:cs="Times New Roman"/>
          <w:sz w:val="24"/>
          <w:szCs w:val="24"/>
          <w:lang w:eastAsia="it-IT"/>
        </w:rPr>
        <w:t>la superficie della sala d’attesa per l’utenza non garantisce la necessaria riservatezza presso l’area degli sportelli e la natura dei colloqui con i funzionari spesso crea imbarazzo agli assicurati. Inoltre, a seguito della modifica del processo d’iscrizione di persone in cerca d’impiego, avvenuto nel maggio 2017, nell’atrio d’attesa sono necessari spazi supplementari, arredati con tavoli e sedie, affinché le persone possano completare la documentazione necessaria per la ripresa dei dati nel sistema informatico di gestione della disoccupazione;</w:t>
      </w:r>
    </w:p>
    <w:p w:rsidR="00582D3F" w:rsidRPr="00582D3F" w:rsidRDefault="00582D3F" w:rsidP="00EB2130">
      <w:pPr>
        <w:numPr>
          <w:ilvl w:val="0"/>
          <w:numId w:val="19"/>
        </w:numPr>
        <w:spacing w:before="120"/>
        <w:ind w:left="284" w:hanging="284"/>
        <w:mirrorIndents/>
        <w:rPr>
          <w:rFonts w:eastAsia="Times New Roman" w:cs="Times New Roman"/>
          <w:sz w:val="24"/>
          <w:szCs w:val="24"/>
          <w:lang w:eastAsia="it-IT"/>
        </w:rPr>
      </w:pPr>
      <w:r w:rsidRPr="00582D3F">
        <w:rPr>
          <w:rFonts w:eastAsia="Times New Roman" w:cs="Times New Roman"/>
          <w:sz w:val="24"/>
          <w:szCs w:val="24"/>
          <w:lang w:eastAsia="it-IT"/>
        </w:rPr>
        <w:t>sono stati stipulati tre diversi contratti di locazione con altrettanti locatori; qualora uno dei tre proprietari decidesse di disdire il proprio contratto, si avrebbe come conseguenza l’inevitabile trasferimento dell’intero Ufficio presso un’altra sede;</w:t>
      </w:r>
    </w:p>
    <w:p w:rsidR="00582D3F" w:rsidRPr="00582D3F" w:rsidRDefault="00582D3F" w:rsidP="00EB2130">
      <w:pPr>
        <w:numPr>
          <w:ilvl w:val="0"/>
          <w:numId w:val="19"/>
        </w:numPr>
        <w:spacing w:before="120"/>
        <w:ind w:left="284" w:hanging="284"/>
        <w:mirrorIndents/>
        <w:rPr>
          <w:rFonts w:eastAsia="Times New Roman" w:cs="Times New Roman"/>
          <w:sz w:val="24"/>
          <w:szCs w:val="24"/>
          <w:lang w:eastAsia="it-IT"/>
        </w:rPr>
      </w:pPr>
      <w:r w:rsidRPr="00582D3F">
        <w:rPr>
          <w:rFonts w:eastAsia="Times New Roman" w:cs="Times New Roman"/>
          <w:sz w:val="24"/>
          <w:szCs w:val="24"/>
          <w:lang w:eastAsia="it-IT"/>
        </w:rPr>
        <w:t>attualmente tutti gli spazi sono occupati e non esiste nessuna possibilità di ricavare nuovi spazi nella necessità di potenziare l’organico.</w:t>
      </w:r>
    </w:p>
    <w:p w:rsidR="00582D3F" w:rsidRPr="00582D3F" w:rsidRDefault="00582D3F" w:rsidP="00582D3F">
      <w:pPr>
        <w:contextualSpacing/>
        <w:mirrorIndents/>
        <w:rPr>
          <w:rFonts w:eastAsia="Times New Roman" w:cs="Times New Roman"/>
          <w:sz w:val="24"/>
          <w:szCs w:val="24"/>
          <w:lang w:eastAsia="it-IT"/>
        </w:rPr>
      </w:pPr>
    </w:p>
    <w:p w:rsidR="00582D3F" w:rsidRDefault="00582D3F" w:rsidP="00582D3F">
      <w:pPr>
        <w:contextualSpacing/>
        <w:mirrorIndents/>
        <w:rPr>
          <w:rFonts w:eastAsia="Times New Roman" w:cs="Times New Roman"/>
          <w:sz w:val="24"/>
          <w:szCs w:val="24"/>
          <w:lang w:eastAsia="it-IT"/>
        </w:rPr>
      </w:pPr>
      <w:r w:rsidRPr="00582D3F">
        <w:rPr>
          <w:rFonts w:eastAsia="Times New Roman" w:cs="Times New Roman"/>
          <w:sz w:val="24"/>
          <w:szCs w:val="24"/>
          <w:lang w:eastAsia="it-IT"/>
        </w:rPr>
        <w:t xml:space="preserve">L'attuale organico dell'URC di </w:t>
      </w:r>
      <w:proofErr w:type="spellStart"/>
      <w:r w:rsidRPr="00582D3F">
        <w:rPr>
          <w:rFonts w:eastAsia="Times New Roman" w:cs="Times New Roman"/>
          <w:sz w:val="24"/>
          <w:szCs w:val="24"/>
          <w:lang w:eastAsia="it-IT"/>
        </w:rPr>
        <w:t>Biasca</w:t>
      </w:r>
      <w:proofErr w:type="spellEnd"/>
      <w:r w:rsidRPr="00582D3F">
        <w:rPr>
          <w:rFonts w:eastAsia="Times New Roman" w:cs="Times New Roman"/>
          <w:sz w:val="24"/>
          <w:szCs w:val="24"/>
          <w:lang w:eastAsia="it-IT"/>
        </w:rPr>
        <w:t xml:space="preserve"> è formato da 15 collaboratori e collaboratrici e la loro attività rappresenta un punto di riferimento per la Regione Tre Valli e per il Comune di Biasca. Le funzioni dell’organico sono così suddivise:</w:t>
      </w:r>
    </w:p>
    <w:p w:rsidR="00582D3F" w:rsidRPr="00582D3F" w:rsidRDefault="00582D3F" w:rsidP="00582D3F">
      <w:pPr>
        <w:numPr>
          <w:ilvl w:val="0"/>
          <w:numId w:val="20"/>
        </w:numPr>
        <w:spacing w:before="120"/>
        <w:ind w:left="284" w:hanging="284"/>
        <w:mirrorIndents/>
        <w:jc w:val="left"/>
        <w:rPr>
          <w:rFonts w:eastAsia="Calibri" w:cs="Arial"/>
          <w:sz w:val="24"/>
          <w:szCs w:val="24"/>
          <w:lang w:val="it-IT"/>
        </w:rPr>
      </w:pPr>
      <w:r w:rsidRPr="00582D3F">
        <w:rPr>
          <w:rFonts w:eastAsia="Calibri" w:cs="Arial"/>
          <w:sz w:val="24"/>
          <w:szCs w:val="24"/>
          <w:lang w:val="it-IT"/>
        </w:rPr>
        <w:lastRenderedPageBreak/>
        <w:t>1 Capo Servizio</w:t>
      </w:r>
    </w:p>
    <w:p w:rsidR="00582D3F" w:rsidRPr="00582D3F" w:rsidRDefault="00582D3F" w:rsidP="00582D3F">
      <w:pPr>
        <w:numPr>
          <w:ilvl w:val="0"/>
          <w:numId w:val="20"/>
        </w:numPr>
        <w:spacing w:before="80"/>
        <w:ind w:left="284" w:hanging="284"/>
        <w:mirrorIndents/>
        <w:jc w:val="left"/>
        <w:rPr>
          <w:rFonts w:eastAsia="Calibri" w:cs="Arial"/>
          <w:sz w:val="24"/>
          <w:szCs w:val="24"/>
          <w:lang w:val="it-IT"/>
        </w:rPr>
      </w:pPr>
      <w:r w:rsidRPr="00582D3F">
        <w:rPr>
          <w:rFonts w:eastAsia="Calibri" w:cs="Arial"/>
          <w:sz w:val="24"/>
          <w:szCs w:val="24"/>
          <w:lang w:val="it-IT"/>
        </w:rPr>
        <w:t>1 Consulente per le aziende</w:t>
      </w:r>
    </w:p>
    <w:p w:rsidR="00582D3F" w:rsidRPr="00582D3F" w:rsidRDefault="00582D3F" w:rsidP="00582D3F">
      <w:pPr>
        <w:numPr>
          <w:ilvl w:val="0"/>
          <w:numId w:val="20"/>
        </w:numPr>
        <w:spacing w:before="80"/>
        <w:ind w:left="284" w:hanging="284"/>
        <w:mirrorIndents/>
        <w:jc w:val="left"/>
        <w:rPr>
          <w:rFonts w:eastAsia="Calibri" w:cs="Arial"/>
          <w:sz w:val="24"/>
          <w:szCs w:val="24"/>
          <w:lang w:val="it-IT"/>
        </w:rPr>
      </w:pPr>
      <w:r w:rsidRPr="00582D3F">
        <w:rPr>
          <w:rFonts w:eastAsia="Calibri" w:cs="Arial"/>
          <w:sz w:val="24"/>
          <w:szCs w:val="24"/>
          <w:lang w:val="it-IT"/>
        </w:rPr>
        <w:t>8 Consulenti per gli assicurati</w:t>
      </w:r>
    </w:p>
    <w:p w:rsidR="00582D3F" w:rsidRPr="00582D3F" w:rsidRDefault="00582D3F" w:rsidP="00582D3F">
      <w:pPr>
        <w:numPr>
          <w:ilvl w:val="0"/>
          <w:numId w:val="20"/>
        </w:numPr>
        <w:spacing w:before="80"/>
        <w:ind w:left="284" w:hanging="284"/>
        <w:mirrorIndents/>
        <w:jc w:val="left"/>
        <w:rPr>
          <w:rFonts w:eastAsia="Calibri" w:cs="Arial"/>
          <w:sz w:val="24"/>
          <w:szCs w:val="24"/>
          <w:lang w:val="it-IT"/>
        </w:rPr>
      </w:pPr>
      <w:r w:rsidRPr="00582D3F">
        <w:rPr>
          <w:rFonts w:eastAsia="Calibri" w:cs="Arial"/>
          <w:sz w:val="24"/>
          <w:szCs w:val="24"/>
          <w:lang w:val="it-IT"/>
        </w:rPr>
        <w:t xml:space="preserve">1 Consulente Job </w:t>
      </w:r>
      <w:proofErr w:type="spellStart"/>
      <w:r w:rsidRPr="00582D3F">
        <w:rPr>
          <w:rFonts w:eastAsia="Calibri" w:cs="Arial"/>
          <w:sz w:val="24"/>
          <w:szCs w:val="24"/>
          <w:lang w:val="it-IT"/>
        </w:rPr>
        <w:t>mentor</w:t>
      </w:r>
      <w:proofErr w:type="spellEnd"/>
      <w:r w:rsidRPr="00582D3F">
        <w:rPr>
          <w:rFonts w:eastAsia="Calibri" w:cs="Arial"/>
          <w:sz w:val="24"/>
          <w:szCs w:val="24"/>
          <w:lang w:val="it-IT"/>
        </w:rPr>
        <w:t xml:space="preserve"> (per assicurati &gt; 50 anni)</w:t>
      </w:r>
    </w:p>
    <w:p w:rsidR="00582D3F" w:rsidRPr="00582D3F" w:rsidRDefault="00582D3F" w:rsidP="00582D3F">
      <w:pPr>
        <w:numPr>
          <w:ilvl w:val="0"/>
          <w:numId w:val="20"/>
        </w:numPr>
        <w:spacing w:before="80"/>
        <w:ind w:left="284" w:hanging="284"/>
        <w:mirrorIndents/>
        <w:jc w:val="left"/>
        <w:rPr>
          <w:rFonts w:eastAsia="Calibri" w:cs="Arial"/>
          <w:sz w:val="24"/>
          <w:szCs w:val="24"/>
          <w:lang w:val="it-IT"/>
        </w:rPr>
      </w:pPr>
      <w:r w:rsidRPr="00582D3F">
        <w:rPr>
          <w:rFonts w:eastAsia="Calibri" w:cs="Arial"/>
          <w:sz w:val="24"/>
          <w:szCs w:val="24"/>
          <w:lang w:val="it-IT"/>
        </w:rPr>
        <w:t>4 Collaboratori amministrativi</w:t>
      </w:r>
    </w:p>
    <w:p w:rsidR="00582D3F" w:rsidRPr="00EB2130" w:rsidRDefault="00582D3F" w:rsidP="00582D3F">
      <w:pPr>
        <w:contextualSpacing/>
        <w:mirrorIndents/>
        <w:rPr>
          <w:rFonts w:eastAsia="Times New Roman" w:cs="Times New Roman"/>
          <w:sz w:val="24"/>
          <w:szCs w:val="24"/>
          <w:lang w:eastAsia="it-IT"/>
        </w:rPr>
      </w:pPr>
    </w:p>
    <w:p w:rsidR="00582D3F" w:rsidRPr="00EB2130" w:rsidRDefault="00582D3F" w:rsidP="00582D3F">
      <w:pPr>
        <w:contextualSpacing/>
        <w:mirrorIndents/>
        <w:rPr>
          <w:rFonts w:eastAsia="Times New Roman" w:cs="Times New Roman"/>
          <w:sz w:val="24"/>
          <w:szCs w:val="24"/>
          <w:lang w:eastAsia="it-IT"/>
        </w:rPr>
      </w:pPr>
    </w:p>
    <w:p w:rsidR="00582D3F" w:rsidRPr="00582D3F" w:rsidRDefault="00582D3F" w:rsidP="00582D3F">
      <w:pPr>
        <w:pStyle w:val="Titolo1"/>
        <w:numPr>
          <w:ilvl w:val="0"/>
          <w:numId w:val="18"/>
        </w:numPr>
        <w:tabs>
          <w:tab w:val="left" w:pos="567"/>
        </w:tabs>
        <w:spacing w:before="0"/>
        <w:ind w:left="567" w:hanging="567"/>
        <w:jc w:val="both"/>
        <w:rPr>
          <w:rFonts w:eastAsia="Times New Roman" w:cs="Times New Roman"/>
          <w:sz w:val="24"/>
          <w:szCs w:val="24"/>
          <w:lang w:val="it-IT" w:eastAsia="it-IT"/>
        </w:rPr>
      </w:pPr>
      <w:r w:rsidRPr="00582D3F">
        <w:rPr>
          <w:rFonts w:eastAsia="Calibri" w:cs="Times New Roman"/>
          <w:caps/>
          <w:sz w:val="24"/>
          <w:szCs w:val="24"/>
          <w:lang w:val="it-IT" w:eastAsia="it-IT"/>
        </w:rPr>
        <w:t>Il progetto della nuova sede URC di Biasca</w:t>
      </w:r>
    </w:p>
    <w:p w:rsidR="00582D3F" w:rsidRPr="00582D3F" w:rsidRDefault="00582D3F" w:rsidP="00582D3F">
      <w:pPr>
        <w:contextualSpacing/>
        <w:mirrorIndents/>
        <w:rPr>
          <w:rFonts w:eastAsia="Times New Roman" w:cs="Times New Roman"/>
          <w:sz w:val="24"/>
          <w:szCs w:val="24"/>
          <w:lang w:eastAsia="it-IT"/>
        </w:rPr>
      </w:pPr>
      <w:r w:rsidRPr="00582D3F">
        <w:rPr>
          <w:rFonts w:eastAsia="Times New Roman" w:cs="Times New Roman"/>
          <w:sz w:val="24"/>
          <w:szCs w:val="24"/>
          <w:lang w:eastAsia="it-IT"/>
        </w:rPr>
        <w:t xml:space="preserve">Considerata la situazione in cui si trova la sede URC di </w:t>
      </w:r>
      <w:proofErr w:type="spellStart"/>
      <w:r w:rsidRPr="00582D3F">
        <w:rPr>
          <w:rFonts w:eastAsia="Times New Roman" w:cs="Times New Roman"/>
          <w:sz w:val="24"/>
          <w:szCs w:val="24"/>
          <w:lang w:eastAsia="it-IT"/>
        </w:rPr>
        <w:t>Biasca</w:t>
      </w:r>
      <w:proofErr w:type="spellEnd"/>
      <w:r w:rsidRPr="00582D3F">
        <w:rPr>
          <w:rFonts w:eastAsia="Times New Roman" w:cs="Times New Roman"/>
          <w:sz w:val="24"/>
          <w:szCs w:val="24"/>
          <w:lang w:eastAsia="it-IT"/>
        </w:rPr>
        <w:t>, è stata avviata una ricerca per una nuova sistemazione e, nell'impossibilità di insediare questo servizio presso spazi di proprietà dello Stato, la Sezione della logistica ha individuato alcuni locali presso la Stazione FFS di Biasca.</w:t>
      </w:r>
    </w:p>
    <w:p w:rsidR="00582D3F" w:rsidRPr="00EB2130" w:rsidRDefault="00582D3F" w:rsidP="00582D3F">
      <w:pPr>
        <w:contextualSpacing/>
        <w:mirrorIndents/>
        <w:rPr>
          <w:rFonts w:eastAsia="Times New Roman" w:cs="Times New Roman"/>
          <w:sz w:val="20"/>
          <w:szCs w:val="20"/>
          <w:lang w:eastAsia="it-IT"/>
        </w:rPr>
      </w:pPr>
    </w:p>
    <w:p w:rsidR="00582D3F" w:rsidRPr="00582D3F" w:rsidRDefault="00582D3F" w:rsidP="00582D3F">
      <w:pPr>
        <w:contextualSpacing/>
        <w:mirrorIndents/>
        <w:rPr>
          <w:rFonts w:eastAsia="Times New Roman" w:cs="Times New Roman"/>
          <w:sz w:val="24"/>
          <w:szCs w:val="24"/>
          <w:lang w:eastAsia="it-IT"/>
        </w:rPr>
      </w:pPr>
      <w:r w:rsidRPr="00582D3F">
        <w:rPr>
          <w:rFonts w:eastAsia="Times New Roman" w:cs="Times New Roman"/>
          <w:sz w:val="24"/>
          <w:szCs w:val="24"/>
          <w:lang w:eastAsia="it-IT"/>
        </w:rPr>
        <w:t>Nell’ambito della trasformazione delle stazioni FFS in Ticino, sulla base delle nuove esigenza, anche la stazione di Biasca è stata oggetto di un risanamento globale dell’edifici e all’inserimento di nuovi contenuti. L’edificio è costituito da due blocchi contigui, denominati blocco nord e blocco sud, ora completamente ristrutturati. Il blocco nord al piano terra, ospita un chiosco/market e l’Ufficio turistico di Biasca.</w:t>
      </w:r>
    </w:p>
    <w:p w:rsidR="00582D3F" w:rsidRPr="00EB2130" w:rsidRDefault="00582D3F" w:rsidP="00582D3F">
      <w:pPr>
        <w:contextualSpacing/>
        <w:mirrorIndents/>
        <w:rPr>
          <w:rFonts w:eastAsia="Times New Roman" w:cs="Times New Roman"/>
          <w:sz w:val="20"/>
          <w:szCs w:val="20"/>
          <w:lang w:eastAsia="it-IT"/>
        </w:rPr>
      </w:pPr>
    </w:p>
    <w:p w:rsidR="00582D3F" w:rsidRPr="00582D3F" w:rsidRDefault="00582D3F" w:rsidP="00582D3F">
      <w:pPr>
        <w:contextualSpacing/>
        <w:mirrorIndents/>
        <w:rPr>
          <w:rFonts w:eastAsia="Times New Roman" w:cs="Times New Roman"/>
          <w:sz w:val="24"/>
          <w:szCs w:val="24"/>
          <w:lang w:eastAsia="it-IT"/>
        </w:rPr>
      </w:pPr>
      <w:r w:rsidRPr="00582D3F">
        <w:rPr>
          <w:rFonts w:eastAsia="Times New Roman" w:cs="Times New Roman"/>
          <w:sz w:val="24"/>
          <w:szCs w:val="24"/>
          <w:lang w:eastAsia="it-IT"/>
        </w:rPr>
        <w:t>La soluzione proposta prevede la locazione presso il blocco sud che ospitava i locali viaggiatori della Stazione di Biasca e che verrebbe destinato esclusivamente alle attività dell'URC.</w:t>
      </w:r>
    </w:p>
    <w:p w:rsidR="00582D3F" w:rsidRPr="00EB2130" w:rsidRDefault="00582D3F" w:rsidP="00582D3F">
      <w:pPr>
        <w:contextualSpacing/>
        <w:mirrorIndents/>
        <w:rPr>
          <w:rFonts w:eastAsia="Times New Roman" w:cs="Times New Roman"/>
          <w:sz w:val="20"/>
          <w:szCs w:val="20"/>
          <w:lang w:eastAsia="it-IT"/>
        </w:rPr>
      </w:pPr>
    </w:p>
    <w:p w:rsidR="00582D3F" w:rsidRPr="00582D3F" w:rsidRDefault="00582D3F" w:rsidP="00582D3F">
      <w:pPr>
        <w:contextualSpacing/>
        <w:mirrorIndents/>
        <w:rPr>
          <w:rFonts w:eastAsia="Times New Roman" w:cs="Times New Roman"/>
          <w:sz w:val="24"/>
          <w:szCs w:val="24"/>
          <w:lang w:eastAsia="it-IT"/>
        </w:rPr>
      </w:pPr>
      <w:r w:rsidRPr="00582D3F">
        <w:rPr>
          <w:rFonts w:eastAsia="Times New Roman" w:cs="Times New Roman"/>
          <w:sz w:val="24"/>
          <w:szCs w:val="24"/>
          <w:lang w:eastAsia="it-IT"/>
        </w:rPr>
        <w:t>Si tratta di spazi distribuiti su tre piani che possono essere adattati alle esigenze del servizio, visto che al Piano terra, dove era collocata la biglietteria FFS, verrebbero insediati gli sportelli per accogliere gli assicurati, mentre gli altri spazi destinati alle funzioni amministrative, di segretariato, di consulenza e di direzione, saranno poste al primo e al secondo piano dello stabile.</w:t>
      </w:r>
    </w:p>
    <w:p w:rsidR="00582D3F" w:rsidRPr="00EB2130" w:rsidRDefault="00582D3F" w:rsidP="00582D3F">
      <w:pPr>
        <w:contextualSpacing/>
        <w:mirrorIndents/>
        <w:rPr>
          <w:rFonts w:eastAsia="Times New Roman" w:cs="Times New Roman"/>
          <w:sz w:val="20"/>
          <w:szCs w:val="20"/>
          <w:lang w:eastAsia="it-IT"/>
        </w:rPr>
      </w:pPr>
    </w:p>
    <w:p w:rsidR="00582D3F" w:rsidRPr="00582D3F" w:rsidRDefault="00582D3F" w:rsidP="00582D3F">
      <w:pPr>
        <w:contextualSpacing/>
        <w:mirrorIndents/>
        <w:rPr>
          <w:rFonts w:eastAsia="Times New Roman" w:cs="Times New Roman"/>
          <w:sz w:val="24"/>
          <w:szCs w:val="24"/>
          <w:lang w:eastAsia="it-IT"/>
        </w:rPr>
      </w:pPr>
      <w:r w:rsidRPr="00582D3F">
        <w:rPr>
          <w:rFonts w:eastAsia="Times New Roman" w:cs="Times New Roman"/>
          <w:sz w:val="24"/>
          <w:szCs w:val="24"/>
          <w:lang w:eastAsia="it-IT"/>
        </w:rPr>
        <w:t>Qui di seguito la tabella riassuntiva della distribuzione dei servizi nei locali.</w:t>
      </w:r>
    </w:p>
    <w:p w:rsidR="00582D3F" w:rsidRPr="00EB2130" w:rsidRDefault="00582D3F" w:rsidP="00582D3F">
      <w:pPr>
        <w:contextualSpacing/>
        <w:mirrorIndents/>
        <w:rPr>
          <w:rFonts w:eastAsia="Times New Roman" w:cs="Times New Roman"/>
          <w:sz w:val="20"/>
          <w:szCs w:val="20"/>
          <w:lang w:eastAsia="it-IT"/>
        </w:rPr>
      </w:pPr>
    </w:p>
    <w:p w:rsidR="00582D3F" w:rsidRPr="00582D3F" w:rsidRDefault="00582D3F" w:rsidP="00EB2130">
      <w:pPr>
        <w:tabs>
          <w:tab w:val="left" w:pos="1985"/>
        </w:tabs>
        <w:spacing w:after="80"/>
        <w:mirrorIndents/>
        <w:jc w:val="left"/>
        <w:rPr>
          <w:rFonts w:ascii="Calibri" w:eastAsia="Calibri" w:hAnsi="Calibri" w:cs="Arial"/>
          <w:b/>
          <w:szCs w:val="24"/>
          <w:lang w:eastAsia="it-CH"/>
        </w:rPr>
      </w:pPr>
      <w:r w:rsidRPr="00582D3F">
        <w:rPr>
          <w:rFonts w:ascii="Calibri" w:eastAsia="Calibri" w:hAnsi="Calibri" w:cs="Arial"/>
          <w:b/>
          <w:szCs w:val="24"/>
          <w:lang w:eastAsia="it-CH"/>
        </w:rPr>
        <w:t xml:space="preserve">Tabella di riepilogo delle superfici locative </w:t>
      </w:r>
    </w:p>
    <w:tbl>
      <w:tblPr>
        <w:tblStyle w:val="Grigliatabella1"/>
        <w:tblW w:w="949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38"/>
        <w:gridCol w:w="3924"/>
        <w:gridCol w:w="1559"/>
        <w:gridCol w:w="2977"/>
      </w:tblGrid>
      <w:tr w:rsidR="00582D3F" w:rsidRPr="00582D3F" w:rsidTr="00191076">
        <w:trPr>
          <w:trHeight w:val="411"/>
        </w:trPr>
        <w:tc>
          <w:tcPr>
            <w:tcW w:w="1038" w:type="dxa"/>
          </w:tcPr>
          <w:p w:rsidR="00582D3F" w:rsidRPr="00582D3F" w:rsidRDefault="00582D3F" w:rsidP="00582D3F">
            <w:pPr>
              <w:contextualSpacing/>
              <w:mirrorIndents/>
              <w:rPr>
                <w:rFonts w:eastAsia="Calibri" w:cs="Arial"/>
                <w:b/>
                <w:sz w:val="20"/>
                <w:szCs w:val="20"/>
              </w:rPr>
            </w:pPr>
            <w:r w:rsidRPr="00582D3F">
              <w:rPr>
                <w:rFonts w:eastAsia="Calibri" w:cs="Arial"/>
                <w:b/>
                <w:sz w:val="20"/>
                <w:szCs w:val="20"/>
              </w:rPr>
              <w:t>Piano</w:t>
            </w:r>
          </w:p>
        </w:tc>
        <w:tc>
          <w:tcPr>
            <w:tcW w:w="3924" w:type="dxa"/>
          </w:tcPr>
          <w:p w:rsidR="00582D3F" w:rsidRPr="00582D3F" w:rsidRDefault="00582D3F" w:rsidP="00582D3F">
            <w:pPr>
              <w:contextualSpacing/>
              <w:mirrorIndents/>
              <w:rPr>
                <w:rFonts w:eastAsia="Calibri" w:cs="Arial"/>
                <w:b/>
                <w:sz w:val="20"/>
                <w:szCs w:val="20"/>
              </w:rPr>
            </w:pPr>
            <w:r w:rsidRPr="00582D3F">
              <w:rPr>
                <w:rFonts w:eastAsia="Calibri" w:cs="Arial"/>
                <w:b/>
                <w:sz w:val="20"/>
                <w:szCs w:val="20"/>
              </w:rPr>
              <w:t>Tipologia spazi</w:t>
            </w:r>
          </w:p>
        </w:tc>
        <w:tc>
          <w:tcPr>
            <w:tcW w:w="1559" w:type="dxa"/>
          </w:tcPr>
          <w:p w:rsidR="00582D3F" w:rsidRPr="00582D3F" w:rsidRDefault="00582D3F" w:rsidP="00582D3F">
            <w:pPr>
              <w:contextualSpacing/>
              <w:mirrorIndents/>
              <w:rPr>
                <w:rFonts w:eastAsia="Calibri" w:cs="Arial"/>
                <w:b/>
                <w:sz w:val="20"/>
                <w:szCs w:val="20"/>
              </w:rPr>
            </w:pPr>
            <w:r w:rsidRPr="00582D3F">
              <w:rPr>
                <w:rFonts w:eastAsia="Calibri" w:cs="Arial"/>
                <w:b/>
                <w:sz w:val="20"/>
                <w:szCs w:val="20"/>
              </w:rPr>
              <w:t>Posti lavoro</w:t>
            </w:r>
          </w:p>
        </w:tc>
        <w:tc>
          <w:tcPr>
            <w:tcW w:w="2977" w:type="dxa"/>
          </w:tcPr>
          <w:p w:rsidR="00582D3F" w:rsidRPr="00582D3F" w:rsidRDefault="00582D3F" w:rsidP="00582D3F">
            <w:pPr>
              <w:contextualSpacing/>
              <w:mirrorIndents/>
              <w:jc w:val="center"/>
              <w:rPr>
                <w:rFonts w:eastAsia="Calibri" w:cs="Arial"/>
                <w:b/>
                <w:sz w:val="20"/>
                <w:szCs w:val="20"/>
              </w:rPr>
            </w:pPr>
            <w:r w:rsidRPr="00582D3F">
              <w:rPr>
                <w:rFonts w:eastAsia="Calibri" w:cs="Arial"/>
                <w:b/>
                <w:sz w:val="20"/>
                <w:szCs w:val="20"/>
              </w:rPr>
              <w:t>Superficie totale mq</w:t>
            </w:r>
          </w:p>
        </w:tc>
      </w:tr>
      <w:tr w:rsidR="00582D3F" w:rsidRPr="00582D3F" w:rsidTr="00191076">
        <w:trPr>
          <w:trHeight w:val="216"/>
        </w:trPr>
        <w:tc>
          <w:tcPr>
            <w:tcW w:w="1038" w:type="dxa"/>
            <w:vMerge w:val="restart"/>
          </w:tcPr>
          <w:p w:rsidR="00582D3F" w:rsidRPr="00582D3F" w:rsidRDefault="00582D3F" w:rsidP="00582D3F">
            <w:pPr>
              <w:contextualSpacing/>
              <w:mirrorIndents/>
              <w:rPr>
                <w:rFonts w:eastAsia="Calibri" w:cs="Arial"/>
                <w:sz w:val="20"/>
                <w:szCs w:val="20"/>
              </w:rPr>
            </w:pPr>
          </w:p>
          <w:p w:rsidR="00582D3F" w:rsidRPr="00582D3F" w:rsidRDefault="00582D3F" w:rsidP="00582D3F">
            <w:pPr>
              <w:contextualSpacing/>
              <w:mirrorIndents/>
              <w:rPr>
                <w:rFonts w:eastAsia="Calibri" w:cs="Arial"/>
                <w:sz w:val="20"/>
                <w:szCs w:val="20"/>
              </w:rPr>
            </w:pPr>
          </w:p>
          <w:p w:rsidR="00582D3F" w:rsidRPr="00582D3F" w:rsidRDefault="00582D3F" w:rsidP="00582D3F">
            <w:pPr>
              <w:contextualSpacing/>
              <w:mirrorIndents/>
              <w:rPr>
                <w:rFonts w:eastAsia="Calibri" w:cs="Arial"/>
                <w:sz w:val="20"/>
                <w:szCs w:val="20"/>
              </w:rPr>
            </w:pPr>
          </w:p>
          <w:p w:rsidR="00582D3F" w:rsidRPr="00582D3F" w:rsidRDefault="00582D3F" w:rsidP="00582D3F">
            <w:pPr>
              <w:contextualSpacing/>
              <w:mirrorIndents/>
              <w:rPr>
                <w:rFonts w:eastAsia="Calibri" w:cs="Arial"/>
                <w:sz w:val="20"/>
                <w:szCs w:val="20"/>
              </w:rPr>
            </w:pPr>
            <w:r w:rsidRPr="00582D3F">
              <w:rPr>
                <w:rFonts w:eastAsia="Calibri" w:cs="Arial"/>
                <w:sz w:val="20"/>
                <w:szCs w:val="20"/>
              </w:rPr>
              <w:t>Terreno</w:t>
            </w:r>
          </w:p>
          <w:p w:rsidR="00582D3F" w:rsidRPr="00582D3F"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r w:rsidRPr="00582D3F">
              <w:rPr>
                <w:rFonts w:eastAsia="Calibri" w:cs="Arial"/>
                <w:sz w:val="20"/>
                <w:szCs w:val="20"/>
              </w:rPr>
              <w:t>Atrio attesa assicurati</w:t>
            </w:r>
          </w:p>
        </w:tc>
        <w:tc>
          <w:tcPr>
            <w:tcW w:w="1559" w:type="dxa"/>
          </w:tcPr>
          <w:p w:rsidR="00582D3F" w:rsidRPr="00582D3F" w:rsidRDefault="00582D3F" w:rsidP="00582D3F">
            <w:pPr>
              <w:contextualSpacing/>
              <w:mirrorIndents/>
              <w:rPr>
                <w:rFonts w:eastAsia="Calibri" w:cs="Arial"/>
                <w:sz w:val="20"/>
                <w:szCs w:val="20"/>
              </w:rPr>
            </w:pPr>
          </w:p>
        </w:tc>
        <w:tc>
          <w:tcPr>
            <w:tcW w:w="2977" w:type="dxa"/>
            <w:vMerge w:val="restart"/>
          </w:tcPr>
          <w:p w:rsidR="00582D3F" w:rsidRPr="00582D3F" w:rsidRDefault="00582D3F" w:rsidP="00582D3F">
            <w:pPr>
              <w:contextualSpacing/>
              <w:mirrorIndents/>
              <w:jc w:val="center"/>
              <w:rPr>
                <w:rFonts w:eastAsia="Calibri" w:cs="Arial"/>
                <w:sz w:val="20"/>
                <w:szCs w:val="20"/>
              </w:rPr>
            </w:pPr>
          </w:p>
          <w:p w:rsidR="00582D3F" w:rsidRPr="00582D3F" w:rsidRDefault="00582D3F" w:rsidP="00582D3F">
            <w:pPr>
              <w:contextualSpacing/>
              <w:mirrorIndents/>
              <w:jc w:val="right"/>
              <w:rPr>
                <w:rFonts w:eastAsia="Calibri" w:cs="Arial"/>
                <w:sz w:val="20"/>
                <w:szCs w:val="20"/>
              </w:rPr>
            </w:pPr>
          </w:p>
          <w:p w:rsidR="00582D3F" w:rsidRPr="00582D3F" w:rsidRDefault="00582D3F" w:rsidP="00582D3F">
            <w:pPr>
              <w:contextualSpacing/>
              <w:mirrorIndents/>
              <w:jc w:val="right"/>
              <w:rPr>
                <w:rFonts w:eastAsia="Calibri" w:cs="Arial"/>
                <w:sz w:val="20"/>
                <w:szCs w:val="20"/>
              </w:rPr>
            </w:pPr>
          </w:p>
          <w:p w:rsidR="00582D3F" w:rsidRPr="00582D3F" w:rsidRDefault="00582D3F" w:rsidP="00582D3F">
            <w:pPr>
              <w:contextualSpacing/>
              <w:mirrorIndents/>
              <w:jc w:val="center"/>
              <w:rPr>
                <w:rFonts w:eastAsia="Calibri" w:cs="Arial"/>
                <w:sz w:val="20"/>
                <w:szCs w:val="20"/>
              </w:rPr>
            </w:pPr>
            <w:r w:rsidRPr="00582D3F">
              <w:rPr>
                <w:rFonts w:eastAsia="Calibri" w:cs="Arial"/>
                <w:sz w:val="20"/>
                <w:szCs w:val="20"/>
              </w:rPr>
              <w:t>190.00</w:t>
            </w:r>
          </w:p>
          <w:p w:rsidR="00582D3F" w:rsidRPr="00582D3F" w:rsidRDefault="00582D3F" w:rsidP="00582D3F">
            <w:pPr>
              <w:contextualSpacing/>
              <w:mirrorIndents/>
              <w:jc w:val="right"/>
              <w:rPr>
                <w:rFonts w:eastAsia="Calibri" w:cs="Arial"/>
                <w:sz w:val="20"/>
                <w:szCs w:val="20"/>
              </w:rPr>
            </w:pPr>
          </w:p>
          <w:p w:rsidR="00582D3F" w:rsidRPr="00582D3F" w:rsidRDefault="00582D3F" w:rsidP="00582D3F">
            <w:pPr>
              <w:contextualSpacing/>
              <w:mirrorIndents/>
              <w:jc w:val="right"/>
              <w:rPr>
                <w:rFonts w:eastAsia="Calibri" w:cs="Arial"/>
                <w:sz w:val="20"/>
                <w:szCs w:val="20"/>
              </w:rPr>
            </w:pPr>
          </w:p>
        </w:tc>
      </w:tr>
      <w:tr w:rsidR="00582D3F" w:rsidRPr="00582D3F" w:rsidTr="00191076">
        <w:trPr>
          <w:trHeight w:val="234"/>
        </w:trPr>
        <w:tc>
          <w:tcPr>
            <w:tcW w:w="1038" w:type="dxa"/>
            <w:vMerge/>
          </w:tcPr>
          <w:p w:rsidR="00582D3F" w:rsidRPr="00582D3F"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r w:rsidRPr="00582D3F">
              <w:rPr>
                <w:rFonts w:eastAsia="Calibri" w:cs="Arial"/>
                <w:sz w:val="20"/>
                <w:szCs w:val="20"/>
              </w:rPr>
              <w:t>Sportelli ricezione assicurati</w:t>
            </w:r>
          </w:p>
        </w:tc>
        <w:tc>
          <w:tcPr>
            <w:tcW w:w="1559" w:type="dxa"/>
          </w:tcPr>
          <w:p w:rsidR="00582D3F" w:rsidRPr="00582D3F" w:rsidRDefault="00582D3F" w:rsidP="00582D3F">
            <w:pPr>
              <w:contextualSpacing/>
              <w:mirrorIndents/>
              <w:jc w:val="center"/>
              <w:rPr>
                <w:rFonts w:eastAsia="Calibri" w:cs="Arial"/>
                <w:sz w:val="20"/>
                <w:szCs w:val="20"/>
              </w:rPr>
            </w:pPr>
          </w:p>
        </w:tc>
        <w:tc>
          <w:tcPr>
            <w:tcW w:w="2977" w:type="dxa"/>
            <w:vMerge/>
          </w:tcPr>
          <w:p w:rsidR="00582D3F" w:rsidRPr="00582D3F" w:rsidRDefault="00582D3F" w:rsidP="00582D3F">
            <w:pPr>
              <w:contextualSpacing/>
              <w:mirrorIndents/>
              <w:jc w:val="right"/>
              <w:rPr>
                <w:rFonts w:eastAsia="Calibri" w:cs="Arial"/>
                <w:sz w:val="20"/>
                <w:szCs w:val="20"/>
              </w:rPr>
            </w:pPr>
          </w:p>
        </w:tc>
      </w:tr>
      <w:tr w:rsidR="00582D3F" w:rsidRPr="00582D3F" w:rsidTr="00191076">
        <w:trPr>
          <w:trHeight w:val="234"/>
        </w:trPr>
        <w:tc>
          <w:tcPr>
            <w:tcW w:w="1038" w:type="dxa"/>
            <w:vMerge/>
          </w:tcPr>
          <w:p w:rsidR="00582D3F" w:rsidRPr="00582D3F" w:rsidDel="00031311"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r w:rsidRPr="00582D3F">
              <w:rPr>
                <w:rFonts w:eastAsia="Calibri" w:cs="Arial"/>
                <w:sz w:val="20"/>
                <w:szCs w:val="20"/>
              </w:rPr>
              <w:t>Uffici funzionari sportelli</w:t>
            </w:r>
          </w:p>
        </w:tc>
        <w:tc>
          <w:tcPr>
            <w:tcW w:w="1559" w:type="dxa"/>
          </w:tcPr>
          <w:p w:rsidR="00582D3F" w:rsidRPr="00582D3F" w:rsidRDefault="00582D3F" w:rsidP="00582D3F">
            <w:pPr>
              <w:contextualSpacing/>
              <w:mirrorIndents/>
              <w:jc w:val="center"/>
              <w:rPr>
                <w:rFonts w:eastAsia="Calibri" w:cs="Arial"/>
                <w:sz w:val="20"/>
                <w:szCs w:val="20"/>
              </w:rPr>
            </w:pPr>
            <w:r w:rsidRPr="00582D3F">
              <w:rPr>
                <w:rFonts w:eastAsia="Calibri" w:cs="Arial"/>
                <w:sz w:val="20"/>
                <w:szCs w:val="20"/>
              </w:rPr>
              <w:t>3</w:t>
            </w:r>
          </w:p>
        </w:tc>
        <w:tc>
          <w:tcPr>
            <w:tcW w:w="2977" w:type="dxa"/>
            <w:vMerge/>
          </w:tcPr>
          <w:p w:rsidR="00582D3F" w:rsidRPr="00582D3F" w:rsidRDefault="00582D3F" w:rsidP="00582D3F">
            <w:pPr>
              <w:contextualSpacing/>
              <w:mirrorIndents/>
              <w:jc w:val="right"/>
              <w:rPr>
                <w:rFonts w:eastAsia="Calibri" w:cs="Arial"/>
                <w:sz w:val="20"/>
                <w:szCs w:val="20"/>
              </w:rPr>
            </w:pPr>
          </w:p>
        </w:tc>
      </w:tr>
      <w:tr w:rsidR="00582D3F" w:rsidRPr="00582D3F" w:rsidTr="00191076">
        <w:trPr>
          <w:trHeight w:val="234"/>
        </w:trPr>
        <w:tc>
          <w:tcPr>
            <w:tcW w:w="1038" w:type="dxa"/>
            <w:vMerge/>
          </w:tcPr>
          <w:p w:rsidR="00582D3F" w:rsidRPr="00582D3F" w:rsidDel="00031311"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r w:rsidRPr="00582D3F">
              <w:rPr>
                <w:rFonts w:eastAsia="Calibri" w:cs="Arial"/>
                <w:sz w:val="20"/>
                <w:szCs w:val="20"/>
              </w:rPr>
              <w:t>Sala riunioni</w:t>
            </w:r>
          </w:p>
        </w:tc>
        <w:tc>
          <w:tcPr>
            <w:tcW w:w="1559" w:type="dxa"/>
          </w:tcPr>
          <w:p w:rsidR="00582D3F" w:rsidRPr="00582D3F" w:rsidRDefault="00582D3F" w:rsidP="00582D3F">
            <w:pPr>
              <w:contextualSpacing/>
              <w:mirrorIndents/>
              <w:jc w:val="center"/>
              <w:rPr>
                <w:rFonts w:eastAsia="Calibri" w:cs="Arial"/>
                <w:sz w:val="20"/>
                <w:szCs w:val="20"/>
              </w:rPr>
            </w:pPr>
          </w:p>
        </w:tc>
        <w:tc>
          <w:tcPr>
            <w:tcW w:w="2977" w:type="dxa"/>
            <w:vMerge/>
          </w:tcPr>
          <w:p w:rsidR="00582D3F" w:rsidRPr="00582D3F" w:rsidRDefault="00582D3F" w:rsidP="00582D3F">
            <w:pPr>
              <w:contextualSpacing/>
              <w:mirrorIndents/>
              <w:jc w:val="right"/>
              <w:rPr>
                <w:rFonts w:eastAsia="Calibri" w:cs="Arial"/>
                <w:sz w:val="20"/>
                <w:szCs w:val="20"/>
              </w:rPr>
            </w:pPr>
          </w:p>
        </w:tc>
      </w:tr>
      <w:tr w:rsidR="00582D3F" w:rsidRPr="00582D3F" w:rsidTr="00191076">
        <w:trPr>
          <w:trHeight w:val="234"/>
        </w:trPr>
        <w:tc>
          <w:tcPr>
            <w:tcW w:w="1038" w:type="dxa"/>
            <w:vMerge/>
          </w:tcPr>
          <w:p w:rsidR="00582D3F" w:rsidRPr="00582D3F" w:rsidDel="00031311"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r w:rsidRPr="00582D3F">
              <w:rPr>
                <w:rFonts w:eastAsia="Calibri" w:cs="Arial"/>
                <w:sz w:val="20"/>
                <w:szCs w:val="20"/>
              </w:rPr>
              <w:t>Locali accessori, tecnici e servizi sanitari</w:t>
            </w:r>
          </w:p>
        </w:tc>
        <w:tc>
          <w:tcPr>
            <w:tcW w:w="1559" w:type="dxa"/>
          </w:tcPr>
          <w:p w:rsidR="00582D3F" w:rsidRPr="00582D3F" w:rsidRDefault="00582D3F" w:rsidP="00582D3F">
            <w:pPr>
              <w:contextualSpacing/>
              <w:mirrorIndents/>
              <w:jc w:val="center"/>
              <w:rPr>
                <w:rFonts w:eastAsia="Calibri" w:cs="Arial"/>
                <w:sz w:val="20"/>
                <w:szCs w:val="20"/>
              </w:rPr>
            </w:pPr>
          </w:p>
        </w:tc>
        <w:tc>
          <w:tcPr>
            <w:tcW w:w="2977" w:type="dxa"/>
            <w:vMerge/>
          </w:tcPr>
          <w:p w:rsidR="00582D3F" w:rsidRPr="00582D3F" w:rsidRDefault="00582D3F" w:rsidP="00582D3F">
            <w:pPr>
              <w:contextualSpacing/>
              <w:mirrorIndents/>
              <w:jc w:val="right"/>
              <w:rPr>
                <w:rFonts w:eastAsia="Calibri" w:cs="Arial"/>
                <w:sz w:val="20"/>
                <w:szCs w:val="20"/>
              </w:rPr>
            </w:pPr>
          </w:p>
        </w:tc>
      </w:tr>
      <w:tr w:rsidR="00582D3F" w:rsidRPr="00582D3F" w:rsidTr="00191076">
        <w:trPr>
          <w:trHeight w:val="234"/>
        </w:trPr>
        <w:tc>
          <w:tcPr>
            <w:tcW w:w="1038" w:type="dxa"/>
            <w:vMerge/>
          </w:tcPr>
          <w:p w:rsidR="00582D3F" w:rsidRPr="00582D3F" w:rsidDel="00031311"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r w:rsidRPr="00582D3F">
              <w:rPr>
                <w:rFonts w:eastAsia="Calibri" w:cs="Arial"/>
                <w:sz w:val="20"/>
                <w:szCs w:val="20"/>
              </w:rPr>
              <w:t>Spazi di circolazione</w:t>
            </w:r>
          </w:p>
        </w:tc>
        <w:tc>
          <w:tcPr>
            <w:tcW w:w="1559" w:type="dxa"/>
          </w:tcPr>
          <w:p w:rsidR="00582D3F" w:rsidRPr="00582D3F" w:rsidRDefault="00582D3F" w:rsidP="00582D3F">
            <w:pPr>
              <w:contextualSpacing/>
              <w:mirrorIndents/>
              <w:jc w:val="center"/>
              <w:rPr>
                <w:rFonts w:eastAsia="Calibri" w:cs="Arial"/>
                <w:sz w:val="20"/>
                <w:szCs w:val="20"/>
              </w:rPr>
            </w:pPr>
          </w:p>
        </w:tc>
        <w:tc>
          <w:tcPr>
            <w:tcW w:w="2977" w:type="dxa"/>
            <w:vMerge/>
          </w:tcPr>
          <w:p w:rsidR="00582D3F" w:rsidRPr="00582D3F" w:rsidRDefault="00582D3F" w:rsidP="00582D3F">
            <w:pPr>
              <w:contextualSpacing/>
              <w:mirrorIndents/>
              <w:jc w:val="right"/>
              <w:rPr>
                <w:rFonts w:eastAsia="Calibri" w:cs="Arial"/>
                <w:sz w:val="20"/>
                <w:szCs w:val="20"/>
              </w:rPr>
            </w:pPr>
          </w:p>
        </w:tc>
      </w:tr>
      <w:tr w:rsidR="00582D3F" w:rsidRPr="00582D3F" w:rsidTr="00191076">
        <w:trPr>
          <w:trHeight w:val="234"/>
        </w:trPr>
        <w:tc>
          <w:tcPr>
            <w:tcW w:w="1038" w:type="dxa"/>
          </w:tcPr>
          <w:p w:rsidR="00582D3F" w:rsidRPr="00582D3F"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p>
        </w:tc>
        <w:tc>
          <w:tcPr>
            <w:tcW w:w="1559" w:type="dxa"/>
          </w:tcPr>
          <w:p w:rsidR="00582D3F" w:rsidRPr="00582D3F" w:rsidRDefault="00582D3F" w:rsidP="00582D3F">
            <w:pPr>
              <w:contextualSpacing/>
              <w:mirrorIndents/>
              <w:jc w:val="center"/>
              <w:rPr>
                <w:rFonts w:eastAsia="Calibri" w:cs="Arial"/>
                <w:sz w:val="20"/>
                <w:szCs w:val="20"/>
              </w:rPr>
            </w:pPr>
          </w:p>
        </w:tc>
        <w:tc>
          <w:tcPr>
            <w:tcW w:w="2977" w:type="dxa"/>
          </w:tcPr>
          <w:p w:rsidR="00582D3F" w:rsidRPr="00582D3F" w:rsidRDefault="00582D3F" w:rsidP="00582D3F">
            <w:pPr>
              <w:contextualSpacing/>
              <w:mirrorIndents/>
              <w:jc w:val="right"/>
              <w:rPr>
                <w:rFonts w:eastAsia="Calibri" w:cs="Arial"/>
                <w:sz w:val="20"/>
                <w:szCs w:val="20"/>
              </w:rPr>
            </w:pPr>
          </w:p>
        </w:tc>
      </w:tr>
      <w:tr w:rsidR="00582D3F" w:rsidRPr="00582D3F" w:rsidTr="00191076">
        <w:trPr>
          <w:trHeight w:val="234"/>
        </w:trPr>
        <w:tc>
          <w:tcPr>
            <w:tcW w:w="1038" w:type="dxa"/>
            <w:vMerge w:val="restart"/>
          </w:tcPr>
          <w:p w:rsidR="00582D3F" w:rsidRPr="00582D3F" w:rsidRDefault="00582D3F" w:rsidP="00582D3F">
            <w:pPr>
              <w:contextualSpacing/>
              <w:mirrorIndents/>
              <w:rPr>
                <w:rFonts w:eastAsia="Calibri" w:cs="Arial"/>
                <w:sz w:val="20"/>
                <w:szCs w:val="20"/>
              </w:rPr>
            </w:pPr>
          </w:p>
          <w:p w:rsidR="00582D3F" w:rsidRPr="00582D3F" w:rsidRDefault="00582D3F" w:rsidP="00582D3F">
            <w:pPr>
              <w:contextualSpacing/>
              <w:mirrorIndents/>
              <w:rPr>
                <w:rFonts w:eastAsia="Calibri" w:cs="Arial"/>
                <w:sz w:val="20"/>
                <w:szCs w:val="20"/>
              </w:rPr>
            </w:pPr>
            <w:r w:rsidRPr="00582D3F">
              <w:rPr>
                <w:rFonts w:eastAsia="Calibri" w:cs="Arial"/>
                <w:sz w:val="20"/>
                <w:szCs w:val="20"/>
              </w:rPr>
              <w:t>Primo</w:t>
            </w:r>
            <w:r w:rsidRPr="00582D3F" w:rsidDel="002C04B2">
              <w:rPr>
                <w:rFonts w:eastAsia="Calibri" w:cs="Arial"/>
                <w:sz w:val="20"/>
                <w:szCs w:val="20"/>
              </w:rPr>
              <w:t xml:space="preserve"> </w:t>
            </w:r>
          </w:p>
          <w:p w:rsidR="00582D3F" w:rsidRPr="00582D3F"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r w:rsidRPr="00582D3F">
              <w:rPr>
                <w:rFonts w:eastAsia="Calibri" w:cs="Arial"/>
                <w:sz w:val="20"/>
                <w:szCs w:val="20"/>
              </w:rPr>
              <w:t>Uffici della direzione e  consulenza</w:t>
            </w:r>
          </w:p>
        </w:tc>
        <w:tc>
          <w:tcPr>
            <w:tcW w:w="1559" w:type="dxa"/>
          </w:tcPr>
          <w:p w:rsidR="00582D3F" w:rsidRPr="00582D3F" w:rsidRDefault="00582D3F" w:rsidP="00582D3F">
            <w:pPr>
              <w:contextualSpacing/>
              <w:mirrorIndents/>
              <w:jc w:val="center"/>
              <w:rPr>
                <w:rFonts w:eastAsia="Calibri" w:cs="Arial"/>
                <w:sz w:val="20"/>
                <w:szCs w:val="20"/>
              </w:rPr>
            </w:pPr>
            <w:r w:rsidRPr="00582D3F">
              <w:rPr>
                <w:rFonts w:eastAsia="Calibri" w:cs="Arial"/>
                <w:sz w:val="20"/>
                <w:szCs w:val="20"/>
              </w:rPr>
              <w:t>9</w:t>
            </w:r>
          </w:p>
        </w:tc>
        <w:tc>
          <w:tcPr>
            <w:tcW w:w="2977" w:type="dxa"/>
            <w:vMerge w:val="restart"/>
          </w:tcPr>
          <w:p w:rsidR="00582D3F" w:rsidRPr="00582D3F" w:rsidRDefault="00582D3F" w:rsidP="00582D3F">
            <w:pPr>
              <w:contextualSpacing/>
              <w:mirrorIndents/>
              <w:jc w:val="center"/>
              <w:rPr>
                <w:rFonts w:eastAsia="Calibri" w:cs="Arial"/>
                <w:sz w:val="20"/>
                <w:szCs w:val="20"/>
              </w:rPr>
            </w:pPr>
          </w:p>
          <w:p w:rsidR="00582D3F" w:rsidRPr="00582D3F" w:rsidRDefault="00582D3F" w:rsidP="00582D3F">
            <w:pPr>
              <w:contextualSpacing/>
              <w:mirrorIndents/>
              <w:jc w:val="center"/>
              <w:rPr>
                <w:rFonts w:eastAsia="Calibri" w:cs="Arial"/>
                <w:sz w:val="20"/>
                <w:szCs w:val="20"/>
              </w:rPr>
            </w:pPr>
            <w:r w:rsidRPr="00582D3F">
              <w:rPr>
                <w:rFonts w:eastAsia="Calibri" w:cs="Arial"/>
                <w:sz w:val="20"/>
                <w:szCs w:val="20"/>
              </w:rPr>
              <w:t>243.00</w:t>
            </w:r>
          </w:p>
          <w:p w:rsidR="00582D3F" w:rsidRPr="00582D3F" w:rsidRDefault="00582D3F" w:rsidP="00582D3F">
            <w:pPr>
              <w:contextualSpacing/>
              <w:mirrorIndents/>
              <w:jc w:val="center"/>
              <w:rPr>
                <w:rFonts w:eastAsia="Calibri" w:cs="Arial"/>
                <w:sz w:val="20"/>
                <w:szCs w:val="20"/>
              </w:rPr>
            </w:pPr>
          </w:p>
        </w:tc>
      </w:tr>
      <w:tr w:rsidR="00582D3F" w:rsidRPr="00582D3F" w:rsidTr="00191076">
        <w:trPr>
          <w:trHeight w:val="234"/>
        </w:trPr>
        <w:tc>
          <w:tcPr>
            <w:tcW w:w="1038" w:type="dxa"/>
            <w:vMerge/>
          </w:tcPr>
          <w:p w:rsidR="00582D3F" w:rsidRPr="00582D3F"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r w:rsidRPr="00582D3F">
              <w:rPr>
                <w:rFonts w:eastAsia="Calibri" w:cs="Arial"/>
                <w:sz w:val="20"/>
                <w:szCs w:val="20"/>
              </w:rPr>
              <w:t>Locali accessori, tecnici e servizi sanitari</w:t>
            </w:r>
          </w:p>
        </w:tc>
        <w:tc>
          <w:tcPr>
            <w:tcW w:w="1559" w:type="dxa"/>
          </w:tcPr>
          <w:p w:rsidR="00582D3F" w:rsidRPr="00582D3F" w:rsidRDefault="00582D3F" w:rsidP="00582D3F">
            <w:pPr>
              <w:contextualSpacing/>
              <w:mirrorIndents/>
              <w:jc w:val="center"/>
              <w:rPr>
                <w:rFonts w:eastAsia="Calibri" w:cs="Arial"/>
                <w:sz w:val="20"/>
                <w:szCs w:val="20"/>
              </w:rPr>
            </w:pPr>
          </w:p>
        </w:tc>
        <w:tc>
          <w:tcPr>
            <w:tcW w:w="2977" w:type="dxa"/>
            <w:vMerge/>
          </w:tcPr>
          <w:p w:rsidR="00582D3F" w:rsidRPr="00582D3F" w:rsidRDefault="00582D3F" w:rsidP="00582D3F">
            <w:pPr>
              <w:contextualSpacing/>
              <w:mirrorIndents/>
              <w:jc w:val="right"/>
              <w:rPr>
                <w:rFonts w:eastAsia="Calibri" w:cs="Arial"/>
                <w:sz w:val="20"/>
                <w:szCs w:val="20"/>
              </w:rPr>
            </w:pPr>
          </w:p>
        </w:tc>
      </w:tr>
      <w:tr w:rsidR="00582D3F" w:rsidRPr="00582D3F" w:rsidTr="00191076">
        <w:trPr>
          <w:trHeight w:val="234"/>
        </w:trPr>
        <w:tc>
          <w:tcPr>
            <w:tcW w:w="1038" w:type="dxa"/>
            <w:vMerge/>
          </w:tcPr>
          <w:p w:rsidR="00582D3F" w:rsidRPr="00582D3F"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r w:rsidRPr="00582D3F">
              <w:rPr>
                <w:rFonts w:eastAsia="Calibri" w:cs="Arial"/>
                <w:sz w:val="20"/>
                <w:szCs w:val="20"/>
              </w:rPr>
              <w:t>Spazi di circolazione</w:t>
            </w:r>
            <w:r w:rsidRPr="00582D3F" w:rsidDel="002C04B2">
              <w:rPr>
                <w:rFonts w:eastAsia="Calibri" w:cs="Arial"/>
                <w:sz w:val="20"/>
                <w:szCs w:val="20"/>
              </w:rPr>
              <w:t xml:space="preserve"> </w:t>
            </w:r>
          </w:p>
        </w:tc>
        <w:tc>
          <w:tcPr>
            <w:tcW w:w="1559" w:type="dxa"/>
          </w:tcPr>
          <w:p w:rsidR="00582D3F" w:rsidRPr="00582D3F" w:rsidRDefault="00582D3F" w:rsidP="00582D3F">
            <w:pPr>
              <w:contextualSpacing/>
              <w:mirrorIndents/>
              <w:jc w:val="center"/>
              <w:rPr>
                <w:rFonts w:eastAsia="Calibri" w:cs="Arial"/>
                <w:sz w:val="20"/>
                <w:szCs w:val="20"/>
              </w:rPr>
            </w:pPr>
          </w:p>
        </w:tc>
        <w:tc>
          <w:tcPr>
            <w:tcW w:w="2977" w:type="dxa"/>
            <w:vMerge/>
          </w:tcPr>
          <w:p w:rsidR="00582D3F" w:rsidRPr="00582D3F" w:rsidRDefault="00582D3F" w:rsidP="00582D3F">
            <w:pPr>
              <w:contextualSpacing/>
              <w:mirrorIndents/>
              <w:jc w:val="right"/>
              <w:rPr>
                <w:rFonts w:eastAsia="Calibri" w:cs="Arial"/>
                <w:sz w:val="20"/>
                <w:szCs w:val="20"/>
              </w:rPr>
            </w:pPr>
          </w:p>
        </w:tc>
      </w:tr>
      <w:tr w:rsidR="00582D3F" w:rsidRPr="00582D3F" w:rsidTr="00191076">
        <w:trPr>
          <w:trHeight w:val="234"/>
        </w:trPr>
        <w:tc>
          <w:tcPr>
            <w:tcW w:w="1038" w:type="dxa"/>
          </w:tcPr>
          <w:p w:rsidR="00582D3F" w:rsidRPr="00582D3F"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p>
        </w:tc>
        <w:tc>
          <w:tcPr>
            <w:tcW w:w="1559" w:type="dxa"/>
          </w:tcPr>
          <w:p w:rsidR="00582D3F" w:rsidRPr="00582D3F" w:rsidRDefault="00582D3F" w:rsidP="00582D3F">
            <w:pPr>
              <w:contextualSpacing/>
              <w:mirrorIndents/>
              <w:jc w:val="center"/>
              <w:rPr>
                <w:rFonts w:eastAsia="Calibri" w:cs="Arial"/>
                <w:sz w:val="20"/>
                <w:szCs w:val="20"/>
              </w:rPr>
            </w:pPr>
          </w:p>
        </w:tc>
        <w:tc>
          <w:tcPr>
            <w:tcW w:w="2977" w:type="dxa"/>
          </w:tcPr>
          <w:p w:rsidR="00582D3F" w:rsidRPr="00582D3F" w:rsidRDefault="00582D3F" w:rsidP="00582D3F">
            <w:pPr>
              <w:contextualSpacing/>
              <w:mirrorIndents/>
              <w:rPr>
                <w:rFonts w:eastAsia="Calibri" w:cs="Arial"/>
                <w:sz w:val="20"/>
                <w:szCs w:val="20"/>
              </w:rPr>
            </w:pPr>
          </w:p>
        </w:tc>
      </w:tr>
      <w:tr w:rsidR="00582D3F" w:rsidRPr="00582D3F" w:rsidTr="00191076">
        <w:trPr>
          <w:trHeight w:val="234"/>
        </w:trPr>
        <w:tc>
          <w:tcPr>
            <w:tcW w:w="1038" w:type="dxa"/>
            <w:vMerge w:val="restart"/>
          </w:tcPr>
          <w:p w:rsidR="00582D3F" w:rsidRPr="00582D3F" w:rsidRDefault="00582D3F" w:rsidP="00582D3F">
            <w:pPr>
              <w:contextualSpacing/>
              <w:mirrorIndents/>
              <w:rPr>
                <w:rFonts w:eastAsia="Calibri" w:cs="Arial"/>
                <w:sz w:val="20"/>
                <w:szCs w:val="20"/>
              </w:rPr>
            </w:pPr>
          </w:p>
          <w:p w:rsidR="00582D3F" w:rsidRPr="00582D3F" w:rsidRDefault="00582D3F" w:rsidP="00582D3F">
            <w:pPr>
              <w:contextualSpacing/>
              <w:mirrorIndents/>
              <w:rPr>
                <w:rFonts w:eastAsia="Calibri" w:cs="Arial"/>
                <w:sz w:val="20"/>
                <w:szCs w:val="20"/>
              </w:rPr>
            </w:pPr>
            <w:r w:rsidRPr="00582D3F">
              <w:rPr>
                <w:rFonts w:eastAsia="Calibri" w:cs="Arial"/>
                <w:sz w:val="20"/>
                <w:szCs w:val="20"/>
              </w:rPr>
              <w:t xml:space="preserve">Secondo </w:t>
            </w:r>
          </w:p>
        </w:tc>
        <w:tc>
          <w:tcPr>
            <w:tcW w:w="3924" w:type="dxa"/>
          </w:tcPr>
          <w:p w:rsidR="00582D3F" w:rsidRPr="00582D3F" w:rsidRDefault="00582D3F" w:rsidP="00582D3F">
            <w:pPr>
              <w:contextualSpacing/>
              <w:mirrorIndents/>
              <w:rPr>
                <w:rFonts w:eastAsia="Calibri" w:cs="Arial"/>
                <w:sz w:val="20"/>
                <w:szCs w:val="20"/>
              </w:rPr>
            </w:pPr>
            <w:r w:rsidRPr="00582D3F">
              <w:rPr>
                <w:rFonts w:eastAsia="Calibri" w:cs="Arial"/>
                <w:sz w:val="20"/>
                <w:szCs w:val="20"/>
              </w:rPr>
              <w:t>Uffici funzionari</w:t>
            </w:r>
          </w:p>
        </w:tc>
        <w:tc>
          <w:tcPr>
            <w:tcW w:w="1559" w:type="dxa"/>
          </w:tcPr>
          <w:p w:rsidR="00582D3F" w:rsidRPr="00582D3F" w:rsidRDefault="00582D3F" w:rsidP="00582D3F">
            <w:pPr>
              <w:contextualSpacing/>
              <w:mirrorIndents/>
              <w:jc w:val="center"/>
              <w:rPr>
                <w:rFonts w:eastAsia="Calibri" w:cs="Arial"/>
                <w:sz w:val="20"/>
                <w:szCs w:val="20"/>
              </w:rPr>
            </w:pPr>
            <w:r w:rsidRPr="00582D3F">
              <w:rPr>
                <w:rFonts w:eastAsia="Calibri" w:cs="Arial"/>
                <w:sz w:val="20"/>
                <w:szCs w:val="20"/>
              </w:rPr>
              <w:t>3</w:t>
            </w:r>
          </w:p>
        </w:tc>
        <w:tc>
          <w:tcPr>
            <w:tcW w:w="2977" w:type="dxa"/>
            <w:vMerge w:val="restart"/>
          </w:tcPr>
          <w:p w:rsidR="00582D3F" w:rsidRPr="00582D3F" w:rsidRDefault="00582D3F" w:rsidP="00582D3F">
            <w:pPr>
              <w:contextualSpacing/>
              <w:mirrorIndents/>
              <w:jc w:val="center"/>
              <w:rPr>
                <w:rFonts w:eastAsia="Calibri" w:cs="Arial"/>
                <w:sz w:val="20"/>
                <w:szCs w:val="20"/>
              </w:rPr>
            </w:pPr>
          </w:p>
          <w:p w:rsidR="00582D3F" w:rsidRPr="00582D3F" w:rsidRDefault="00582D3F" w:rsidP="00582D3F">
            <w:pPr>
              <w:contextualSpacing/>
              <w:mirrorIndents/>
              <w:jc w:val="center"/>
              <w:rPr>
                <w:rFonts w:eastAsia="Calibri" w:cs="Arial"/>
                <w:sz w:val="20"/>
                <w:szCs w:val="20"/>
              </w:rPr>
            </w:pPr>
            <w:r w:rsidRPr="00582D3F">
              <w:rPr>
                <w:rFonts w:eastAsia="Calibri" w:cs="Arial"/>
                <w:sz w:val="20"/>
                <w:szCs w:val="20"/>
              </w:rPr>
              <w:t>139.00</w:t>
            </w:r>
          </w:p>
        </w:tc>
      </w:tr>
      <w:tr w:rsidR="00582D3F" w:rsidRPr="00582D3F" w:rsidTr="00191076">
        <w:trPr>
          <w:trHeight w:val="252"/>
        </w:trPr>
        <w:tc>
          <w:tcPr>
            <w:tcW w:w="1038" w:type="dxa"/>
            <w:vMerge/>
          </w:tcPr>
          <w:p w:rsidR="00582D3F" w:rsidRPr="00582D3F"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r w:rsidRPr="00582D3F">
              <w:rPr>
                <w:rFonts w:eastAsia="Calibri" w:cs="Arial"/>
                <w:sz w:val="20"/>
                <w:szCs w:val="20"/>
              </w:rPr>
              <w:t>Locali accessori e servizi igienici</w:t>
            </w:r>
            <w:r w:rsidRPr="00582D3F" w:rsidDel="002C04B2">
              <w:rPr>
                <w:rFonts w:eastAsia="Calibri" w:cs="Arial"/>
                <w:sz w:val="20"/>
                <w:szCs w:val="20"/>
              </w:rPr>
              <w:t xml:space="preserve"> </w:t>
            </w:r>
          </w:p>
        </w:tc>
        <w:tc>
          <w:tcPr>
            <w:tcW w:w="1559" w:type="dxa"/>
          </w:tcPr>
          <w:p w:rsidR="00582D3F" w:rsidRPr="00582D3F" w:rsidRDefault="00582D3F" w:rsidP="00582D3F">
            <w:pPr>
              <w:contextualSpacing/>
              <w:mirrorIndents/>
              <w:jc w:val="center"/>
              <w:rPr>
                <w:rFonts w:eastAsia="Calibri" w:cs="Arial"/>
                <w:sz w:val="20"/>
                <w:szCs w:val="20"/>
              </w:rPr>
            </w:pPr>
          </w:p>
        </w:tc>
        <w:tc>
          <w:tcPr>
            <w:tcW w:w="2977" w:type="dxa"/>
            <w:vMerge/>
          </w:tcPr>
          <w:p w:rsidR="00582D3F" w:rsidRPr="00582D3F" w:rsidRDefault="00582D3F" w:rsidP="00582D3F">
            <w:pPr>
              <w:contextualSpacing/>
              <w:mirrorIndents/>
              <w:rPr>
                <w:rFonts w:eastAsia="Calibri" w:cs="Arial"/>
                <w:sz w:val="20"/>
                <w:szCs w:val="20"/>
              </w:rPr>
            </w:pPr>
          </w:p>
        </w:tc>
      </w:tr>
      <w:tr w:rsidR="00582D3F" w:rsidRPr="00582D3F" w:rsidTr="00191076">
        <w:trPr>
          <w:trHeight w:val="234"/>
        </w:trPr>
        <w:tc>
          <w:tcPr>
            <w:tcW w:w="1038" w:type="dxa"/>
          </w:tcPr>
          <w:p w:rsidR="00582D3F" w:rsidRPr="00582D3F"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sz w:val="20"/>
                <w:szCs w:val="20"/>
              </w:rPr>
            </w:pPr>
          </w:p>
        </w:tc>
        <w:tc>
          <w:tcPr>
            <w:tcW w:w="1559" w:type="dxa"/>
          </w:tcPr>
          <w:p w:rsidR="00582D3F" w:rsidRPr="00582D3F" w:rsidRDefault="00582D3F" w:rsidP="00582D3F">
            <w:pPr>
              <w:contextualSpacing/>
              <w:mirrorIndents/>
              <w:rPr>
                <w:rFonts w:eastAsia="Calibri" w:cs="Arial"/>
                <w:sz w:val="20"/>
                <w:szCs w:val="20"/>
              </w:rPr>
            </w:pPr>
          </w:p>
        </w:tc>
        <w:tc>
          <w:tcPr>
            <w:tcW w:w="2977" w:type="dxa"/>
            <w:tcBorders>
              <w:bottom w:val="nil"/>
            </w:tcBorders>
          </w:tcPr>
          <w:p w:rsidR="00582D3F" w:rsidRPr="00582D3F" w:rsidRDefault="00582D3F" w:rsidP="00582D3F">
            <w:pPr>
              <w:contextualSpacing/>
              <w:mirrorIndents/>
              <w:rPr>
                <w:rFonts w:eastAsia="Calibri" w:cs="Arial"/>
                <w:sz w:val="20"/>
                <w:szCs w:val="20"/>
              </w:rPr>
            </w:pPr>
          </w:p>
        </w:tc>
      </w:tr>
      <w:tr w:rsidR="00582D3F" w:rsidRPr="00582D3F" w:rsidTr="00191076">
        <w:trPr>
          <w:trHeight w:val="234"/>
        </w:trPr>
        <w:tc>
          <w:tcPr>
            <w:tcW w:w="1038" w:type="dxa"/>
          </w:tcPr>
          <w:p w:rsidR="00582D3F" w:rsidRPr="00582D3F"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b/>
                <w:sz w:val="20"/>
                <w:szCs w:val="20"/>
              </w:rPr>
            </w:pPr>
            <w:r w:rsidRPr="00582D3F">
              <w:rPr>
                <w:rFonts w:eastAsia="Calibri" w:cs="Arial"/>
                <w:b/>
                <w:sz w:val="20"/>
                <w:szCs w:val="20"/>
              </w:rPr>
              <w:t>Totale posti di lavoro</w:t>
            </w:r>
          </w:p>
        </w:tc>
        <w:tc>
          <w:tcPr>
            <w:tcW w:w="1559" w:type="dxa"/>
          </w:tcPr>
          <w:p w:rsidR="00582D3F" w:rsidRPr="00582D3F" w:rsidRDefault="00582D3F" w:rsidP="00582D3F">
            <w:pPr>
              <w:contextualSpacing/>
              <w:mirrorIndents/>
              <w:jc w:val="center"/>
              <w:rPr>
                <w:rFonts w:eastAsia="Calibri" w:cs="Arial"/>
                <w:b/>
                <w:sz w:val="20"/>
                <w:szCs w:val="20"/>
              </w:rPr>
            </w:pPr>
            <w:r w:rsidRPr="00582D3F">
              <w:rPr>
                <w:rFonts w:eastAsia="Calibri" w:cs="Arial"/>
                <w:b/>
                <w:sz w:val="20"/>
                <w:szCs w:val="20"/>
              </w:rPr>
              <w:t>15</w:t>
            </w:r>
          </w:p>
        </w:tc>
        <w:tc>
          <w:tcPr>
            <w:tcW w:w="2977" w:type="dxa"/>
            <w:tcBorders>
              <w:top w:val="nil"/>
              <w:bottom w:val="single" w:sz="4" w:space="0" w:color="BFBFBF"/>
            </w:tcBorders>
          </w:tcPr>
          <w:p w:rsidR="00582D3F" w:rsidRPr="00582D3F" w:rsidRDefault="00582D3F" w:rsidP="00582D3F">
            <w:pPr>
              <w:contextualSpacing/>
              <w:mirrorIndents/>
              <w:jc w:val="center"/>
              <w:rPr>
                <w:rFonts w:eastAsia="Calibri" w:cs="Arial"/>
                <w:sz w:val="20"/>
                <w:szCs w:val="20"/>
              </w:rPr>
            </w:pPr>
          </w:p>
        </w:tc>
      </w:tr>
      <w:tr w:rsidR="00582D3F" w:rsidRPr="00582D3F" w:rsidTr="00191076">
        <w:trPr>
          <w:trHeight w:val="234"/>
        </w:trPr>
        <w:tc>
          <w:tcPr>
            <w:tcW w:w="1038" w:type="dxa"/>
          </w:tcPr>
          <w:p w:rsidR="00582D3F" w:rsidRPr="00582D3F" w:rsidRDefault="00582D3F" w:rsidP="00582D3F">
            <w:pPr>
              <w:contextualSpacing/>
              <w:mirrorIndents/>
              <w:rPr>
                <w:rFonts w:eastAsia="Calibri" w:cs="Arial"/>
                <w:sz w:val="20"/>
                <w:szCs w:val="20"/>
              </w:rPr>
            </w:pPr>
          </w:p>
        </w:tc>
        <w:tc>
          <w:tcPr>
            <w:tcW w:w="3924" w:type="dxa"/>
          </w:tcPr>
          <w:p w:rsidR="00582D3F" w:rsidRPr="00582D3F" w:rsidRDefault="00582D3F" w:rsidP="00582D3F">
            <w:pPr>
              <w:contextualSpacing/>
              <w:mirrorIndents/>
              <w:rPr>
                <w:rFonts w:eastAsia="Calibri" w:cs="Arial"/>
                <w:b/>
                <w:sz w:val="20"/>
                <w:szCs w:val="20"/>
              </w:rPr>
            </w:pPr>
            <w:r w:rsidRPr="00582D3F">
              <w:rPr>
                <w:rFonts w:eastAsia="Calibri" w:cs="Arial"/>
                <w:b/>
                <w:sz w:val="20"/>
                <w:szCs w:val="20"/>
              </w:rPr>
              <w:t>Totale superficie locativa</w:t>
            </w:r>
          </w:p>
        </w:tc>
        <w:tc>
          <w:tcPr>
            <w:tcW w:w="1559" w:type="dxa"/>
          </w:tcPr>
          <w:p w:rsidR="00582D3F" w:rsidRPr="00582D3F" w:rsidRDefault="00582D3F" w:rsidP="00582D3F">
            <w:pPr>
              <w:contextualSpacing/>
              <w:mirrorIndents/>
              <w:jc w:val="center"/>
              <w:rPr>
                <w:rFonts w:eastAsia="Calibri" w:cs="Arial"/>
                <w:sz w:val="20"/>
                <w:szCs w:val="20"/>
              </w:rPr>
            </w:pPr>
          </w:p>
        </w:tc>
        <w:tc>
          <w:tcPr>
            <w:tcW w:w="2977" w:type="dxa"/>
            <w:tcBorders>
              <w:top w:val="single" w:sz="4" w:space="0" w:color="BFBFBF"/>
            </w:tcBorders>
          </w:tcPr>
          <w:p w:rsidR="00582D3F" w:rsidRPr="00EB2130" w:rsidRDefault="00582D3F" w:rsidP="00582D3F">
            <w:pPr>
              <w:contextualSpacing/>
              <w:mirrorIndents/>
              <w:jc w:val="center"/>
              <w:rPr>
                <w:rFonts w:eastAsia="Calibri" w:cs="Arial"/>
                <w:b/>
                <w:sz w:val="20"/>
                <w:szCs w:val="20"/>
              </w:rPr>
            </w:pPr>
            <w:r w:rsidRPr="00582D3F">
              <w:rPr>
                <w:rFonts w:eastAsia="Calibri" w:cs="Arial"/>
                <w:b/>
                <w:sz w:val="20"/>
                <w:szCs w:val="20"/>
              </w:rPr>
              <w:t>572.00</w:t>
            </w:r>
          </w:p>
        </w:tc>
      </w:tr>
    </w:tbl>
    <w:p w:rsidR="00582D3F" w:rsidRPr="00582D3F" w:rsidRDefault="00582D3F" w:rsidP="00582D3F">
      <w:pPr>
        <w:contextualSpacing/>
        <w:mirrorIndents/>
        <w:rPr>
          <w:rFonts w:eastAsia="Times New Roman" w:cs="Times New Roman"/>
          <w:sz w:val="23"/>
          <w:szCs w:val="23"/>
          <w:lang w:eastAsia="it-IT"/>
        </w:rPr>
      </w:pPr>
      <w:r w:rsidRPr="00582D3F">
        <w:rPr>
          <w:rFonts w:eastAsia="Times New Roman" w:cs="Times New Roman"/>
          <w:sz w:val="23"/>
          <w:szCs w:val="23"/>
          <w:lang w:eastAsia="it-IT"/>
        </w:rPr>
        <w:lastRenderedPageBreak/>
        <w:t>Questa nuova sistemazione permetterà di gestire il servizio a beneficio dell'utenza con maggiore flessibilità e accoglienza, oltre ad essere situato in prossimità delle principali vie di collegamento e dei trasporti pubblici, sia a vantaggio degli assicurati che del personale. La nuova sistemazione prevede già la possibilità di ricavare nuovi spazi per potenziare, in caso di necessità l’organico.</w:t>
      </w:r>
    </w:p>
    <w:p w:rsidR="00582D3F" w:rsidRPr="00582D3F" w:rsidRDefault="00582D3F" w:rsidP="00582D3F">
      <w:pPr>
        <w:contextualSpacing/>
        <w:mirrorIndents/>
        <w:rPr>
          <w:rFonts w:eastAsia="Times New Roman" w:cs="Times New Roman"/>
          <w:sz w:val="23"/>
          <w:szCs w:val="23"/>
          <w:lang w:eastAsia="it-IT"/>
        </w:rPr>
      </w:pPr>
      <w:r w:rsidRPr="00582D3F">
        <w:rPr>
          <w:rFonts w:eastAsia="Times New Roman" w:cs="Times New Roman"/>
          <w:sz w:val="23"/>
          <w:szCs w:val="23"/>
          <w:lang w:eastAsia="it-IT"/>
        </w:rPr>
        <w:t xml:space="preserve">Per quanto riguarda gli interventi previsti per adattare gli spazi alle esigenze dell'ufficio, è stata avviata la trattativa con FFS Immobili che ha portato a stabilire l’ammontare dell’affitto e l’assunzione dei costi di ristrutturazione interna. </w:t>
      </w:r>
    </w:p>
    <w:p w:rsidR="00582D3F" w:rsidRPr="00582D3F" w:rsidRDefault="00582D3F" w:rsidP="00582D3F">
      <w:pPr>
        <w:contextualSpacing/>
        <w:mirrorIndents/>
        <w:rPr>
          <w:rFonts w:eastAsia="Times New Roman" w:cs="Times New Roman"/>
          <w:sz w:val="23"/>
          <w:szCs w:val="23"/>
          <w:lang w:eastAsia="it-IT"/>
        </w:rPr>
      </w:pPr>
    </w:p>
    <w:p w:rsidR="00582D3F" w:rsidRPr="00582D3F" w:rsidRDefault="00582D3F" w:rsidP="00582D3F">
      <w:pPr>
        <w:contextualSpacing/>
        <w:mirrorIndents/>
        <w:rPr>
          <w:rFonts w:eastAsia="Times New Roman" w:cs="Times New Roman"/>
          <w:sz w:val="24"/>
          <w:szCs w:val="20"/>
          <w:lang w:val="it-IT" w:eastAsia="it-IT"/>
        </w:rPr>
      </w:pPr>
      <w:r w:rsidRPr="00582D3F">
        <w:rPr>
          <w:rFonts w:eastAsia="Times New Roman" w:cs="Times New Roman"/>
          <w:sz w:val="24"/>
          <w:szCs w:val="20"/>
          <w:lang w:val="it-IT" w:eastAsia="it-IT"/>
        </w:rPr>
        <w:t>Gli interventi necessari sono in particolare per la formazione degli sportelli per l’accoglienza e l’assistenza diretta agli assicurati, la rete informatica, il sistema di controllo accessi, l’arredamento, le attrezzature e forniture varie.</w:t>
      </w:r>
    </w:p>
    <w:p w:rsidR="00582D3F" w:rsidRPr="00582D3F" w:rsidRDefault="00582D3F" w:rsidP="00582D3F">
      <w:pPr>
        <w:contextualSpacing/>
        <w:mirrorIndents/>
        <w:rPr>
          <w:rFonts w:eastAsia="Times New Roman" w:cs="Times New Roman"/>
          <w:sz w:val="24"/>
          <w:szCs w:val="20"/>
          <w:lang w:val="it-IT" w:eastAsia="it-IT"/>
        </w:rPr>
      </w:pPr>
    </w:p>
    <w:p w:rsidR="00582D3F" w:rsidRPr="00582D3F" w:rsidRDefault="00582D3F" w:rsidP="00582D3F">
      <w:pPr>
        <w:contextualSpacing/>
        <w:mirrorIndents/>
        <w:rPr>
          <w:rFonts w:eastAsia="Times New Roman" w:cs="Times New Roman"/>
          <w:sz w:val="23"/>
          <w:szCs w:val="23"/>
          <w:lang w:eastAsia="it-IT"/>
        </w:rPr>
      </w:pPr>
      <w:r w:rsidRPr="00582D3F">
        <w:rPr>
          <w:rFonts w:eastAsia="Times New Roman" w:cs="Times New Roman"/>
          <w:sz w:val="23"/>
          <w:szCs w:val="23"/>
          <w:lang w:eastAsia="it-IT"/>
        </w:rPr>
        <w:t>Il Cantone prenderà carico degli interventi relativi alla riorganizzazione interna. La locazione dei locali viene interamente presa a carico dalla Confederazione, ma è utile anche ricordare che per quanto riguarda l'investimento stesso, oggetto del presente messaggio, è verosimile che verrà anche preso carico dalla Confederazione</w:t>
      </w:r>
    </w:p>
    <w:p w:rsidR="00582D3F" w:rsidRPr="00582D3F" w:rsidRDefault="00582D3F" w:rsidP="00582D3F">
      <w:pPr>
        <w:contextualSpacing/>
        <w:mirrorIndents/>
        <w:rPr>
          <w:rFonts w:eastAsia="Times New Roman" w:cs="Times New Roman"/>
          <w:sz w:val="23"/>
          <w:szCs w:val="23"/>
          <w:lang w:eastAsia="it-IT"/>
        </w:rPr>
      </w:pPr>
    </w:p>
    <w:p w:rsidR="00582D3F" w:rsidRPr="00582D3F" w:rsidRDefault="00582D3F" w:rsidP="00582D3F">
      <w:pPr>
        <w:contextualSpacing/>
        <w:mirrorIndents/>
        <w:rPr>
          <w:rFonts w:eastAsia="Times New Roman" w:cs="Times New Roman"/>
          <w:sz w:val="23"/>
          <w:szCs w:val="23"/>
          <w:lang w:eastAsia="it-IT"/>
        </w:rPr>
      </w:pPr>
    </w:p>
    <w:p w:rsidR="00582D3F" w:rsidRPr="00582D3F" w:rsidRDefault="00582D3F" w:rsidP="00582D3F">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582D3F">
        <w:rPr>
          <w:rFonts w:eastAsia="Calibri" w:cs="Times New Roman"/>
          <w:caps/>
          <w:sz w:val="24"/>
          <w:szCs w:val="24"/>
          <w:lang w:val="it-IT" w:eastAsia="it-IT"/>
        </w:rPr>
        <w:t xml:space="preserve">I costi </w:t>
      </w:r>
    </w:p>
    <w:p w:rsidR="00582D3F" w:rsidRPr="00582D3F" w:rsidRDefault="00582D3F" w:rsidP="00582D3F">
      <w:pPr>
        <w:contextualSpacing/>
        <w:mirrorIndents/>
        <w:rPr>
          <w:rFonts w:eastAsia="Times New Roman" w:cs="Arial"/>
          <w:sz w:val="24"/>
          <w:szCs w:val="20"/>
          <w:lang w:val="it-IT" w:eastAsia="it-IT"/>
        </w:rPr>
      </w:pPr>
      <w:r w:rsidRPr="00582D3F">
        <w:rPr>
          <w:rFonts w:eastAsia="Times New Roman" w:cs="Arial"/>
          <w:sz w:val="24"/>
          <w:szCs w:val="20"/>
          <w:lang w:val="it-IT" w:eastAsia="it-IT"/>
        </w:rPr>
        <w:t xml:space="preserve">Qui di seguito viene riportata la tabella relativa ai costi, ripartiti tra importi relativi agli interventi di adattamento necessari al collocamento del Servizio e gli importi relativi agli interventi di finitura interna a completamento della ristrutturazione. </w:t>
      </w:r>
    </w:p>
    <w:p w:rsidR="00582D3F" w:rsidRPr="00582D3F" w:rsidRDefault="00582D3F" w:rsidP="00582D3F">
      <w:pPr>
        <w:contextualSpacing/>
        <w:mirrorIndents/>
        <w:rPr>
          <w:rFonts w:eastAsia="Times New Roman" w:cs="Arial"/>
          <w:sz w:val="24"/>
          <w:szCs w:val="24"/>
          <w:lang w:val="it-IT" w:eastAsia="it-CH"/>
        </w:rPr>
      </w:pPr>
    </w:p>
    <w:p w:rsidR="00582D3F" w:rsidRPr="00582D3F" w:rsidRDefault="00582D3F" w:rsidP="00582D3F">
      <w:pPr>
        <w:contextualSpacing/>
        <w:mirrorIndents/>
        <w:rPr>
          <w:rFonts w:eastAsia="Calibri" w:cs="Arial"/>
          <w:sz w:val="24"/>
          <w:szCs w:val="24"/>
          <w:lang w:val="it-IT" w:eastAsia="it-IT"/>
        </w:rPr>
      </w:pPr>
      <w:r w:rsidRPr="00582D3F">
        <w:rPr>
          <w:rFonts w:eastAsia="Times New Roman" w:cs="Arial"/>
          <w:sz w:val="24"/>
          <w:szCs w:val="24"/>
          <w:lang w:val="it-IT" w:eastAsia="it-CH"/>
        </w:rPr>
        <w:t xml:space="preserve">Per la sistemazione logistica si prevede un investimento di fr. 1'035'000.00 e un onere complessivo per spese a gestione corrente di fr. 120'296.00 annui. </w:t>
      </w:r>
    </w:p>
    <w:p w:rsidR="00582D3F" w:rsidRPr="00582D3F" w:rsidRDefault="00582D3F" w:rsidP="00582D3F">
      <w:pPr>
        <w:contextualSpacing/>
        <w:mirrorIndents/>
        <w:rPr>
          <w:rFonts w:eastAsia="Calibri" w:cs="Arial"/>
          <w:sz w:val="24"/>
          <w:szCs w:val="24"/>
          <w:lang w:val="it-IT" w:eastAsia="it-IT"/>
        </w:rPr>
      </w:pPr>
    </w:p>
    <w:p w:rsidR="00582D3F" w:rsidRPr="00582D3F" w:rsidRDefault="00582D3F" w:rsidP="00582D3F">
      <w:pPr>
        <w:contextualSpacing/>
        <w:mirrorIndents/>
        <w:rPr>
          <w:rFonts w:eastAsia="Calibri" w:cs="Arial"/>
          <w:sz w:val="24"/>
          <w:szCs w:val="24"/>
          <w:lang w:val="it-IT" w:eastAsia="it-IT"/>
        </w:rPr>
      </w:pPr>
      <w:r w:rsidRPr="00582D3F">
        <w:rPr>
          <w:rFonts w:eastAsia="Calibri" w:cs="Arial"/>
          <w:sz w:val="24"/>
          <w:szCs w:val="24"/>
          <w:lang w:val="it-IT" w:eastAsia="it-IT"/>
        </w:rPr>
        <w:t>Occorre precisare che le modalità di finanziamento della SECO sono riepilogate nelle Direttive finanziarie Legge federale Assicurazione Disoccupazione. Queste direttive prevedono contributi ai costi di investimento che tuttavia, ad oggi, non è possibile determinare in maniera precisa ma che si presume andranno a coprire più della metà dell’intero investimento. Il contributo definitivo sarà calcolato solo a fine cantiere sulla base del consuntivo.</w:t>
      </w:r>
    </w:p>
    <w:p w:rsidR="00582D3F" w:rsidRPr="00582D3F" w:rsidRDefault="00582D3F" w:rsidP="00582D3F">
      <w:pPr>
        <w:contextualSpacing/>
        <w:mirrorIndents/>
        <w:rPr>
          <w:rFonts w:eastAsia="Calibri" w:cs="Arial"/>
          <w:sz w:val="24"/>
          <w:szCs w:val="24"/>
          <w:lang w:val="it-IT" w:eastAsia="it-IT"/>
        </w:rPr>
      </w:pPr>
    </w:p>
    <w:p w:rsidR="00582D3F" w:rsidRPr="00582D3F" w:rsidRDefault="00582D3F" w:rsidP="00582D3F">
      <w:pPr>
        <w:contextualSpacing/>
        <w:mirrorIndents/>
        <w:rPr>
          <w:rFonts w:eastAsia="Calibri" w:cs="Arial"/>
          <w:sz w:val="24"/>
          <w:szCs w:val="24"/>
          <w:lang w:val="it-IT" w:eastAsia="it-IT"/>
        </w:rPr>
      </w:pPr>
      <w:r w:rsidRPr="00582D3F">
        <w:rPr>
          <w:rFonts w:eastAsia="Calibri" w:cs="Arial"/>
          <w:sz w:val="24"/>
          <w:szCs w:val="24"/>
          <w:lang w:val="it-IT" w:eastAsia="it-IT"/>
        </w:rPr>
        <w:t>Per quanto concerne le locazioni i costi, come oggi, saranno interamente finanziati dalla Confederazione.</w:t>
      </w:r>
    </w:p>
    <w:p w:rsidR="00582D3F" w:rsidRPr="00582D3F" w:rsidRDefault="00582D3F" w:rsidP="00582D3F">
      <w:pPr>
        <w:contextualSpacing/>
        <w:mirrorIndents/>
        <w:rPr>
          <w:rFonts w:eastAsia="Times New Roman" w:cs="Arial"/>
          <w:sz w:val="24"/>
          <w:szCs w:val="20"/>
          <w:lang w:val="it-IT" w:eastAsia="it-IT"/>
        </w:rPr>
      </w:pPr>
    </w:p>
    <w:p w:rsidR="00582D3F" w:rsidRPr="00582D3F" w:rsidRDefault="00582D3F" w:rsidP="00582D3F">
      <w:pPr>
        <w:contextualSpacing/>
        <w:mirrorIndents/>
        <w:rPr>
          <w:rFonts w:eastAsia="Times New Roman" w:cs="Arial"/>
          <w:sz w:val="24"/>
          <w:szCs w:val="20"/>
          <w:lang w:val="it-IT" w:eastAsia="it-IT"/>
        </w:rPr>
      </w:pPr>
    </w:p>
    <w:bookmarkStart w:id="0" w:name="_MON_1650794213"/>
    <w:bookmarkEnd w:id="0"/>
    <w:p w:rsidR="00582D3F" w:rsidRPr="00582D3F" w:rsidRDefault="00582D3F" w:rsidP="00EB2130">
      <w:pPr>
        <w:contextualSpacing/>
        <w:mirrorIndents/>
        <w:jc w:val="left"/>
        <w:rPr>
          <w:rFonts w:eastAsia="Times New Roman" w:cs="Arial"/>
          <w:sz w:val="24"/>
          <w:szCs w:val="20"/>
          <w:lang w:val="it-IT" w:eastAsia="it-IT"/>
        </w:rPr>
      </w:pPr>
      <w:r w:rsidRPr="00582D3F">
        <w:rPr>
          <w:rFonts w:eastAsia="Times New Roman" w:cs="Arial"/>
          <w:sz w:val="24"/>
          <w:szCs w:val="20"/>
          <w:lang w:val="it-IT" w:eastAsia="it-IT"/>
        </w:rPr>
        <w:object w:dxaOrig="10043" w:dyaOrig="1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19.75pt" o:ole="">
            <v:imagedata r:id="rId11" o:title=""/>
          </v:shape>
          <o:OLEObject Type="Embed" ProgID="Excel.Sheet.12" ShapeID="_x0000_i1025" DrawAspect="Content" ObjectID="_1710066915" r:id="rId12"/>
        </w:object>
      </w:r>
    </w:p>
    <w:p w:rsidR="00582D3F" w:rsidRPr="00582D3F" w:rsidRDefault="00582D3F" w:rsidP="00582D3F">
      <w:pPr>
        <w:contextualSpacing/>
        <w:mirrorIndents/>
        <w:rPr>
          <w:rFonts w:eastAsia="Times New Roman" w:cs="Times New Roman"/>
          <w:sz w:val="23"/>
          <w:szCs w:val="23"/>
          <w:lang w:eastAsia="it-IT"/>
        </w:rPr>
      </w:pPr>
    </w:p>
    <w:p w:rsidR="00582D3F" w:rsidRPr="00582D3F" w:rsidRDefault="00582D3F" w:rsidP="00582D3F">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582D3F">
        <w:rPr>
          <w:rFonts w:eastAsia="Calibri" w:cs="Times New Roman"/>
          <w:caps/>
          <w:sz w:val="24"/>
          <w:szCs w:val="24"/>
          <w:lang w:val="it-IT" w:eastAsia="it-IT"/>
        </w:rPr>
        <w:t>Spese di gestione corrente</w:t>
      </w:r>
    </w:p>
    <w:p w:rsidR="00582D3F" w:rsidRPr="00582D3F" w:rsidRDefault="00582D3F" w:rsidP="00582D3F">
      <w:pPr>
        <w:contextualSpacing/>
        <w:mirrorIndents/>
        <w:rPr>
          <w:rFonts w:eastAsia="Calibri" w:cs="Arial"/>
          <w:sz w:val="24"/>
          <w:szCs w:val="24"/>
          <w:lang w:val="it-IT" w:eastAsia="it-IT"/>
        </w:rPr>
      </w:pPr>
      <w:r w:rsidRPr="00582D3F">
        <w:rPr>
          <w:rFonts w:eastAsia="Times New Roman" w:cs="Times New Roman"/>
          <w:sz w:val="24"/>
          <w:szCs w:val="20"/>
          <w:lang w:val="it-IT" w:eastAsia="it-IT"/>
        </w:rPr>
        <w:t xml:space="preserve">Attualmente per la locazione degli attuali spazi amministrativi attribuiti all’URC in Via Pini 32, per un totale di mq 389, gli oneri a gestione corrente annuali ammontano a fr. </w:t>
      </w:r>
      <w:r w:rsidRPr="00582D3F">
        <w:rPr>
          <w:rFonts w:eastAsia="Calibri" w:cs="Arial"/>
          <w:sz w:val="24"/>
          <w:szCs w:val="24"/>
          <w:lang w:val="it-IT" w:eastAsia="it-IT"/>
        </w:rPr>
        <w:t>62'029.80 per la pigione, fr. 4'920.00 per spese accessorie, fr. 9'530.45 per le spese di pulizia e fr. 2'015.00 per spese ricorrenti CSI. Sono costi interamente finanziati dalla Confederazione.</w:t>
      </w:r>
    </w:p>
    <w:p w:rsidR="00582D3F" w:rsidRPr="00582D3F" w:rsidRDefault="00582D3F" w:rsidP="00582D3F">
      <w:pPr>
        <w:contextualSpacing/>
        <w:mirrorIndents/>
        <w:jc w:val="left"/>
        <w:rPr>
          <w:rFonts w:eastAsia="Times New Roman" w:cs="Arial"/>
          <w:sz w:val="24"/>
          <w:szCs w:val="24"/>
          <w:lang w:val="it-IT" w:eastAsia="it-CH"/>
        </w:rPr>
      </w:pPr>
    </w:p>
    <w:p w:rsidR="00582D3F" w:rsidRPr="00582D3F" w:rsidRDefault="00582D3F" w:rsidP="00582D3F">
      <w:pPr>
        <w:contextualSpacing/>
        <w:mirrorIndents/>
        <w:rPr>
          <w:rFonts w:eastAsia="Calibri" w:cs="Arial"/>
          <w:sz w:val="24"/>
          <w:szCs w:val="24"/>
          <w:lang w:val="it-IT" w:eastAsia="it-IT"/>
        </w:rPr>
      </w:pPr>
      <w:r w:rsidRPr="00582D3F">
        <w:rPr>
          <w:rFonts w:eastAsia="Calibri" w:cs="Arial"/>
          <w:sz w:val="24"/>
          <w:szCs w:val="24"/>
          <w:lang w:val="it-IT" w:eastAsia="it-IT"/>
        </w:rPr>
        <w:t xml:space="preserve">La nuova sistemazione presso il fabbricato viaggiatori della stazione di Biasca prevede, per un totale di mq 572, oneri a gestione corrente annuali pari a fr. 80'040.00 per la pigione, fr. 14'300.00 per le spese accessorie, a fr. 12'000.00 per le spese di pulizia, e a </w:t>
      </w:r>
      <w:r w:rsidR="00EB2130">
        <w:rPr>
          <w:rFonts w:eastAsia="Calibri" w:cs="Arial"/>
          <w:sz w:val="24"/>
          <w:szCs w:val="24"/>
          <w:lang w:val="it-IT" w:eastAsia="it-IT"/>
        </w:rPr>
        <w:br/>
      </w:r>
      <w:r w:rsidRPr="00582D3F">
        <w:rPr>
          <w:rFonts w:eastAsia="Calibri" w:cs="Arial"/>
          <w:sz w:val="24"/>
          <w:szCs w:val="24"/>
          <w:lang w:val="it-IT" w:eastAsia="it-IT"/>
        </w:rPr>
        <w:t xml:space="preserve">fr. 13'956.00 per spese ricorrenti CSI. Questi costi saranno pure interamente finanziati </w:t>
      </w:r>
      <w:r w:rsidRPr="00582D3F">
        <w:rPr>
          <w:rFonts w:eastAsia="Calibri" w:cs="Arial"/>
          <w:sz w:val="24"/>
          <w:szCs w:val="24"/>
          <w:lang w:val="it-IT" w:eastAsia="it-IT"/>
        </w:rPr>
        <w:lastRenderedPageBreak/>
        <w:t>dalla Confederazione. La maggior superficie che l’URC potrà beneficiare per garantire le esigenze operative e tecniche, di mq 183, giustificano i maggiori oneri.</w:t>
      </w:r>
    </w:p>
    <w:p w:rsidR="00582D3F" w:rsidRPr="00582D3F" w:rsidRDefault="00582D3F" w:rsidP="00582D3F">
      <w:pPr>
        <w:contextualSpacing/>
        <w:mirrorIndents/>
        <w:rPr>
          <w:rFonts w:eastAsia="Calibri" w:cs="Arial"/>
          <w:sz w:val="24"/>
          <w:szCs w:val="24"/>
          <w:lang w:val="it-IT" w:eastAsia="it-IT"/>
        </w:rPr>
      </w:pPr>
    </w:p>
    <w:p w:rsidR="00582D3F" w:rsidRPr="00582D3F" w:rsidRDefault="00582D3F" w:rsidP="00582D3F">
      <w:pPr>
        <w:contextualSpacing/>
        <w:mirrorIndents/>
        <w:rPr>
          <w:rFonts w:eastAsia="Calibri" w:cs="Arial"/>
          <w:sz w:val="24"/>
          <w:szCs w:val="24"/>
          <w:lang w:val="it-IT" w:eastAsia="it-IT"/>
        </w:rPr>
      </w:pPr>
      <w:r w:rsidRPr="00582D3F">
        <w:rPr>
          <w:rFonts w:eastAsia="Calibri" w:cs="Arial"/>
          <w:sz w:val="24"/>
          <w:szCs w:val="24"/>
          <w:lang w:val="it-IT" w:eastAsia="it-IT"/>
        </w:rPr>
        <w:t>Come indicato, le spese di locazione verranno coperte totalmente dalla Confederazione e pertanto la sottoscrizione del contratto di locazione non richiede l’approvazione del Parlamento.</w:t>
      </w:r>
    </w:p>
    <w:p w:rsidR="00582D3F" w:rsidRDefault="00582D3F" w:rsidP="00582D3F">
      <w:pPr>
        <w:contextualSpacing/>
        <w:mirrorIndents/>
        <w:rPr>
          <w:rFonts w:eastAsia="Times New Roman" w:cs="Times New Roman"/>
          <w:sz w:val="24"/>
          <w:szCs w:val="20"/>
          <w:lang w:val="it-IT" w:eastAsia="it-IT"/>
        </w:rPr>
      </w:pPr>
    </w:p>
    <w:p w:rsidR="00582D3F" w:rsidRPr="00582D3F" w:rsidRDefault="00582D3F" w:rsidP="00582D3F">
      <w:pPr>
        <w:contextualSpacing/>
        <w:mirrorIndents/>
        <w:rPr>
          <w:rFonts w:eastAsia="Times New Roman" w:cs="Times New Roman"/>
          <w:sz w:val="24"/>
          <w:szCs w:val="20"/>
          <w:lang w:val="it-IT" w:eastAsia="it-IT"/>
        </w:rPr>
      </w:pPr>
    </w:p>
    <w:p w:rsidR="00582D3F" w:rsidRPr="00582D3F" w:rsidRDefault="00582D3F" w:rsidP="00582D3F">
      <w:pPr>
        <w:pStyle w:val="Titolo1"/>
        <w:numPr>
          <w:ilvl w:val="0"/>
          <w:numId w:val="18"/>
        </w:numPr>
        <w:tabs>
          <w:tab w:val="left" w:pos="567"/>
        </w:tabs>
        <w:spacing w:before="0"/>
        <w:ind w:left="567" w:hanging="567"/>
        <w:jc w:val="both"/>
        <w:rPr>
          <w:rFonts w:eastAsia="Times New Roman" w:cs="Times New Roman"/>
          <w:sz w:val="24"/>
          <w:szCs w:val="20"/>
          <w:lang w:val="it-IT" w:eastAsia="it-IT"/>
        </w:rPr>
      </w:pPr>
      <w:r w:rsidRPr="00582D3F">
        <w:rPr>
          <w:rFonts w:eastAsia="Calibri" w:cs="Times New Roman"/>
          <w:caps/>
          <w:sz w:val="24"/>
          <w:szCs w:val="24"/>
          <w:lang w:val="it-IT" w:eastAsia="it-IT"/>
        </w:rPr>
        <w:t>Conclusioni</w:t>
      </w:r>
    </w:p>
    <w:p w:rsidR="00582D3F" w:rsidRPr="00582D3F" w:rsidRDefault="00582D3F" w:rsidP="00582D3F">
      <w:pPr>
        <w:contextualSpacing/>
        <w:mirrorIndents/>
        <w:rPr>
          <w:rFonts w:eastAsia="Calibri" w:cs="Arial"/>
          <w:sz w:val="24"/>
          <w:szCs w:val="24"/>
        </w:rPr>
      </w:pPr>
      <w:r w:rsidRPr="00582D3F">
        <w:rPr>
          <w:rFonts w:eastAsia="Calibri" w:cs="Arial"/>
          <w:sz w:val="24"/>
          <w:szCs w:val="24"/>
          <w:lang w:val="it-IT" w:eastAsia="it-IT"/>
        </w:rPr>
        <w:t xml:space="preserve">Considerate le indicazioni riportate nel messaggio dal Governo e le motivazioni che giustificano la ricerca di una soluzione alternativa per garantire operatività alla sede dell’URC di </w:t>
      </w:r>
      <w:proofErr w:type="spellStart"/>
      <w:r w:rsidRPr="00582D3F">
        <w:rPr>
          <w:rFonts w:eastAsia="Calibri" w:cs="Arial"/>
          <w:sz w:val="24"/>
          <w:szCs w:val="24"/>
          <w:lang w:val="it-IT" w:eastAsia="it-IT"/>
        </w:rPr>
        <w:t>Biasca</w:t>
      </w:r>
      <w:proofErr w:type="spellEnd"/>
      <w:r w:rsidRPr="00582D3F">
        <w:rPr>
          <w:rFonts w:eastAsia="Calibri" w:cs="Arial"/>
          <w:sz w:val="24"/>
          <w:szCs w:val="24"/>
          <w:lang w:val="it-IT" w:eastAsia="it-IT"/>
        </w:rPr>
        <w:t xml:space="preserve">, </w:t>
      </w:r>
      <w:r w:rsidRPr="00582D3F">
        <w:rPr>
          <w:rFonts w:eastAsia="Calibri" w:cs="Arial"/>
          <w:sz w:val="24"/>
          <w:szCs w:val="24"/>
        </w:rPr>
        <w:t xml:space="preserve">la Commissione </w:t>
      </w:r>
      <w:r w:rsidR="00EB2130">
        <w:rPr>
          <w:rFonts w:eastAsia="Calibri" w:cs="Arial"/>
          <w:sz w:val="24"/>
          <w:szCs w:val="24"/>
        </w:rPr>
        <w:t>g</w:t>
      </w:r>
      <w:r w:rsidRPr="00582D3F">
        <w:rPr>
          <w:rFonts w:eastAsia="Calibri" w:cs="Arial"/>
          <w:sz w:val="24"/>
          <w:szCs w:val="24"/>
        </w:rPr>
        <w:t xml:space="preserve">estione e </w:t>
      </w:r>
      <w:r w:rsidR="00EB2130">
        <w:rPr>
          <w:rFonts w:eastAsia="Calibri" w:cs="Arial"/>
          <w:sz w:val="24"/>
          <w:szCs w:val="24"/>
        </w:rPr>
        <w:t>f</w:t>
      </w:r>
      <w:r w:rsidRPr="00582D3F">
        <w:rPr>
          <w:rFonts w:eastAsia="Calibri" w:cs="Arial"/>
          <w:sz w:val="24"/>
          <w:szCs w:val="24"/>
        </w:rPr>
        <w:t>inanze propone di accogliere la richiesta di stanziamento di un credito d’investimento di 1'035'000.00 franchi per la riorganizzazione logistica nella nuova sede dell’Ufficio regionale di collocamento di Biasca presso il comparto FFS e il</w:t>
      </w:r>
      <w:r w:rsidR="00CE4A32">
        <w:rPr>
          <w:rFonts w:eastAsia="Calibri" w:cs="Arial"/>
          <w:sz w:val="24"/>
          <w:szCs w:val="24"/>
        </w:rPr>
        <w:t xml:space="preserve"> d</w:t>
      </w:r>
      <w:r w:rsidRPr="00582D3F">
        <w:rPr>
          <w:rFonts w:eastAsia="Calibri" w:cs="Arial"/>
          <w:sz w:val="24"/>
          <w:szCs w:val="24"/>
        </w:rPr>
        <w:t>ecreto legislativo allegato al messaggio.</w:t>
      </w:r>
    </w:p>
    <w:p w:rsidR="00582D3F" w:rsidRDefault="00582D3F" w:rsidP="00582D3F">
      <w:pPr>
        <w:contextualSpacing/>
        <w:mirrorIndents/>
        <w:rPr>
          <w:rFonts w:eastAsia="Calibri" w:cs="Arial"/>
          <w:sz w:val="24"/>
          <w:szCs w:val="24"/>
        </w:rPr>
      </w:pPr>
    </w:p>
    <w:p w:rsidR="00AA296C" w:rsidRPr="00582D3F" w:rsidRDefault="00AA296C" w:rsidP="00582D3F">
      <w:pPr>
        <w:contextualSpacing/>
        <w:mirrorIndents/>
        <w:rPr>
          <w:rFonts w:eastAsia="Calibri" w:cs="Arial"/>
          <w:sz w:val="24"/>
          <w:szCs w:val="24"/>
        </w:rPr>
      </w:pPr>
    </w:p>
    <w:p w:rsidR="00AA296C" w:rsidRPr="00AA296C" w:rsidRDefault="00AA296C" w:rsidP="00AA296C">
      <w:pPr>
        <w:spacing w:after="120"/>
        <w:rPr>
          <w:rFonts w:cs="Arial"/>
          <w:sz w:val="24"/>
          <w:szCs w:val="24"/>
        </w:rPr>
      </w:pPr>
      <w:r w:rsidRPr="00AA296C">
        <w:rPr>
          <w:rFonts w:cs="Arial"/>
          <w:sz w:val="24"/>
          <w:szCs w:val="24"/>
        </w:rPr>
        <w:t>Per la Commissione gestione e finanze:</w:t>
      </w:r>
      <w:bookmarkStart w:id="1" w:name="_GoBack"/>
      <w:bookmarkEnd w:id="1"/>
    </w:p>
    <w:p w:rsidR="00AA296C" w:rsidRPr="00AB590A" w:rsidRDefault="00AA296C" w:rsidP="00AA296C">
      <w:pPr>
        <w:rPr>
          <w:rFonts w:cs="Arial"/>
          <w:sz w:val="24"/>
          <w:szCs w:val="24"/>
        </w:rPr>
      </w:pPr>
      <w:r w:rsidRPr="00AB590A">
        <w:rPr>
          <w:rFonts w:cs="Arial"/>
          <w:sz w:val="24"/>
          <w:szCs w:val="24"/>
        </w:rPr>
        <w:t>Lorenzo Jelmini, relatore</w:t>
      </w:r>
    </w:p>
    <w:p w:rsidR="00CE4A32" w:rsidRPr="00AB590A" w:rsidRDefault="00CE4A32" w:rsidP="00CE4A32">
      <w:pPr>
        <w:rPr>
          <w:rFonts w:cs="Arial"/>
          <w:sz w:val="24"/>
          <w:szCs w:val="24"/>
        </w:rPr>
      </w:pPr>
      <w:bookmarkStart w:id="2" w:name="OLE_LINK1"/>
      <w:bookmarkStart w:id="3" w:name="OLE_LINK2"/>
      <w:r w:rsidRPr="00AB590A">
        <w:rPr>
          <w:rFonts w:cs="Arial"/>
          <w:sz w:val="24"/>
          <w:szCs w:val="24"/>
        </w:rPr>
        <w:t xml:space="preserve">Agustoni - Balli - Bignasca - Biscossa - </w:t>
      </w:r>
    </w:p>
    <w:p w:rsidR="00CE4A32" w:rsidRPr="00AB590A" w:rsidRDefault="00CE4A32" w:rsidP="00CE4A32">
      <w:pPr>
        <w:rPr>
          <w:rFonts w:cs="Arial"/>
          <w:sz w:val="24"/>
          <w:szCs w:val="24"/>
        </w:rPr>
      </w:pPr>
      <w:r w:rsidRPr="00AB590A">
        <w:rPr>
          <w:rFonts w:cs="Arial"/>
          <w:sz w:val="24"/>
          <w:szCs w:val="24"/>
        </w:rPr>
        <w:t xml:space="preserve">Bourgoin - Caprara - Caverzasio - Dadò - </w:t>
      </w:r>
    </w:p>
    <w:p w:rsidR="00CE4A32" w:rsidRPr="00AB590A" w:rsidRDefault="00CE4A32" w:rsidP="00CE4A32">
      <w:pPr>
        <w:rPr>
          <w:rFonts w:cs="Arial"/>
          <w:sz w:val="24"/>
          <w:szCs w:val="24"/>
        </w:rPr>
      </w:pPr>
      <w:r w:rsidRPr="00AB590A">
        <w:rPr>
          <w:rFonts w:cs="Arial"/>
          <w:sz w:val="24"/>
          <w:szCs w:val="24"/>
        </w:rPr>
        <w:t xml:space="preserve">Durisch - Ferrara - Gianella Alessandra - </w:t>
      </w:r>
    </w:p>
    <w:p w:rsidR="00CE4A32" w:rsidRPr="00CE4A32" w:rsidRDefault="00CE4A32" w:rsidP="00CE4A32">
      <w:pPr>
        <w:rPr>
          <w:rFonts w:cs="Arial"/>
          <w:sz w:val="24"/>
          <w:szCs w:val="24"/>
        </w:rPr>
      </w:pPr>
      <w:r w:rsidRPr="00AB590A">
        <w:rPr>
          <w:rFonts w:cs="Arial"/>
          <w:sz w:val="24"/>
          <w:szCs w:val="24"/>
        </w:rPr>
        <w:t xml:space="preserve">Guerra - Jelmini - Pamini - Quadranti </w:t>
      </w:r>
      <w:bookmarkEnd w:id="2"/>
      <w:bookmarkEnd w:id="3"/>
      <w:r w:rsidRPr="00AB590A">
        <w:rPr>
          <w:rFonts w:cs="Arial"/>
          <w:sz w:val="24"/>
          <w:szCs w:val="24"/>
        </w:rPr>
        <w:t>- Sirica</w:t>
      </w:r>
    </w:p>
    <w:p w:rsidR="00D649A8" w:rsidRPr="00582D3F" w:rsidRDefault="00D649A8" w:rsidP="00582D3F">
      <w:pPr>
        <w:pStyle w:val="StandardRisoluzionedelConsigliodiStato"/>
        <w:ind w:right="-1"/>
        <w:contextualSpacing/>
        <w:mirrorIndents/>
      </w:pPr>
    </w:p>
    <w:sectPr w:rsidR="00D649A8" w:rsidRPr="00582D3F" w:rsidSect="00375115">
      <w:headerReference w:type="default"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3F" w:rsidRDefault="00582D3F" w:rsidP="00F657BF">
      <w:r>
        <w:separator/>
      </w:r>
    </w:p>
  </w:endnote>
  <w:endnote w:type="continuationSeparator" w:id="0">
    <w:p w:rsidR="00582D3F" w:rsidRDefault="00582D3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F4699" w:rsidP="00912E34">
          <w:pPr>
            <w:tabs>
              <w:tab w:val="center" w:pos="2382"/>
            </w:tabs>
          </w:pPr>
        </w:p>
      </w:tc>
      <w:tc>
        <w:tcPr>
          <w:tcW w:w="721" w:type="dxa"/>
        </w:tcPr>
        <w:p w:rsidR="00912E34" w:rsidRPr="003D1008" w:rsidRDefault="00B3287F"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3287F"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F4699"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F469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3F" w:rsidRDefault="00582D3F" w:rsidP="00F657BF">
      <w:r>
        <w:separator/>
      </w:r>
    </w:p>
  </w:footnote>
  <w:footnote w:type="continuationSeparator" w:id="0">
    <w:p w:rsidR="00582D3F" w:rsidRDefault="00582D3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BFDF38F-940B-4BB7-A941-9BCBC8EF6979}"/>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56864"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B3287F"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54786">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54786">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BFDF38F-940B-4BB7-A941-9BCBC8EF6979}"/>
          <w:text w:multiLine="1"/>
        </w:sdtPr>
        <w:sdtEndPr/>
        <w:sdtContent>
          <w:tc>
            <w:tcPr>
              <w:tcW w:w="8383" w:type="dxa"/>
              <w:tcBorders>
                <w:left w:val="single" w:sz="4" w:space="0" w:color="auto"/>
              </w:tcBorders>
              <w:tcMar>
                <w:top w:w="0" w:type="dxa"/>
                <w:left w:w="142" w:type="dxa"/>
              </w:tcMar>
            </w:tcPr>
            <w:p w:rsidR="005012EC" w:rsidRPr="00E8185F" w:rsidRDefault="00D56864"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8011 R del 22 marzo 2022</w:t>
              </w:r>
            </w:p>
          </w:tc>
        </w:sdtContent>
      </w:sdt>
      <w:tc>
        <w:tcPr>
          <w:tcW w:w="1710" w:type="dxa"/>
          <w:tcBorders>
            <w:top w:val="single" w:sz="4" w:space="0" w:color="auto"/>
          </w:tcBorders>
        </w:tcPr>
        <w:p w:rsidR="005012EC" w:rsidRPr="00E043A3" w:rsidRDefault="006F4699" w:rsidP="00662409">
          <w:pPr>
            <w:pStyle w:val="InvisibleLine"/>
            <w:rPr>
              <w:lang w:val="de-DE"/>
            </w:rPr>
          </w:pPr>
        </w:p>
      </w:tc>
    </w:tr>
  </w:tbl>
  <w:p w:rsidR="00F657BF" w:rsidRPr="00980362" w:rsidRDefault="00B3287F"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BFDF38F-940B-4BB7-A941-9BCBC8EF6979}"/>
                            <w:text w:multiLine="1"/>
                          </w:sdtPr>
                          <w:sdtEndPr/>
                          <w:sdtContent>
                            <w:p w:rsidR="008065E8" w:rsidRPr="00411371" w:rsidRDefault="00B3287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BFDF38F-940B-4BB7-A941-9BCBC8EF6979}"/>
                      <w:text w:multiLine="1"/>
                    </w:sdtPr>
                    <w:sdtEndPr/>
                    <w:sdtContent>
                      <w:p w:rsidR="008065E8" w:rsidRPr="00411371" w:rsidRDefault="00B3287F"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F4699" w:rsidP="00D07D6E">
          <w:pPr>
            <w:pStyle w:val="InvisibleLine"/>
            <w:ind w:left="150"/>
            <w:rPr>
              <w:sz w:val="16"/>
            </w:rPr>
          </w:pPr>
        </w:p>
      </w:tc>
      <w:tc>
        <w:tcPr>
          <w:tcW w:w="373" w:type="pct"/>
          <w:tcBorders>
            <w:top w:val="nil"/>
            <w:bottom w:val="single" w:sz="4" w:space="0" w:color="auto"/>
          </w:tcBorders>
          <w:vAlign w:val="bottom"/>
        </w:tcPr>
        <w:p w:rsidR="00662409" w:rsidRPr="003108C0" w:rsidRDefault="006F4699" w:rsidP="00D07D6E">
          <w:pPr>
            <w:pStyle w:val="Level"/>
            <w:ind w:left="150"/>
            <w:rPr>
              <w:sz w:val="16"/>
            </w:rPr>
          </w:pPr>
        </w:p>
      </w:tc>
      <w:tc>
        <w:tcPr>
          <w:tcW w:w="209" w:type="pct"/>
          <w:tcBorders>
            <w:top w:val="nil"/>
            <w:bottom w:val="single" w:sz="4" w:space="0" w:color="auto"/>
          </w:tcBorders>
        </w:tcPr>
        <w:p w:rsidR="00662409" w:rsidRDefault="00B3287F"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582D3F" w:rsidRDefault="00B3287F" w:rsidP="00D07D6E">
          <w:pPr>
            <w:pStyle w:val="HeaderDecisione"/>
            <w:spacing w:after="60"/>
            <w:ind w:left="150"/>
            <w:jc w:val="right"/>
            <w:rPr>
              <w:rFonts w:asciiTheme="minorHAnsi" w:hAnsiTheme="minorHAnsi" w:cstheme="minorHAnsi"/>
              <w:sz w:val="24"/>
            </w:rPr>
          </w:pPr>
          <w:r w:rsidRPr="00582D3F">
            <w:rPr>
              <w:rFonts w:asciiTheme="minorHAnsi" w:hAnsiTheme="minorHAnsi" w:cstheme="minorHAnsi"/>
              <w:sz w:val="24"/>
            </w:rPr>
            <w:fldChar w:fldCharType="begin"/>
          </w:r>
          <w:r w:rsidRPr="00582D3F">
            <w:rPr>
              <w:rFonts w:asciiTheme="minorHAnsi" w:hAnsiTheme="minorHAnsi" w:cstheme="minorHAnsi"/>
              <w:sz w:val="24"/>
            </w:rPr>
            <w:instrText xml:space="preserve"> PAGE   \* MERGEFORMAT </w:instrText>
          </w:r>
          <w:r w:rsidRPr="00582D3F">
            <w:rPr>
              <w:rFonts w:asciiTheme="minorHAnsi" w:hAnsiTheme="minorHAnsi" w:cstheme="minorHAnsi"/>
              <w:sz w:val="24"/>
            </w:rPr>
            <w:fldChar w:fldCharType="separate"/>
          </w:r>
          <w:r w:rsidR="00454786">
            <w:rPr>
              <w:rFonts w:asciiTheme="minorHAnsi" w:hAnsiTheme="minorHAnsi" w:cstheme="minorHAnsi"/>
              <w:noProof/>
              <w:sz w:val="24"/>
            </w:rPr>
            <w:t>1</w:t>
          </w:r>
          <w:r w:rsidRPr="00582D3F">
            <w:rPr>
              <w:rFonts w:asciiTheme="minorHAnsi" w:hAnsiTheme="minorHAnsi" w:cstheme="minorHAnsi"/>
              <w:sz w:val="24"/>
            </w:rPr>
            <w:fldChar w:fldCharType="end"/>
          </w:r>
          <w:r w:rsidRPr="00582D3F">
            <w:rPr>
              <w:rFonts w:asciiTheme="minorHAnsi" w:hAnsiTheme="minorHAnsi" w:cstheme="minorHAnsi"/>
              <w:sz w:val="24"/>
            </w:rPr>
            <w:t xml:space="preserve"> di </w:t>
          </w:r>
          <w:r w:rsidRPr="00582D3F">
            <w:rPr>
              <w:rFonts w:asciiTheme="minorHAnsi" w:hAnsiTheme="minorHAnsi" w:cstheme="minorHAnsi"/>
              <w:sz w:val="24"/>
            </w:rPr>
            <w:fldChar w:fldCharType="begin"/>
          </w:r>
          <w:r w:rsidRPr="00582D3F">
            <w:rPr>
              <w:rFonts w:asciiTheme="minorHAnsi" w:hAnsiTheme="minorHAnsi" w:cstheme="minorHAnsi"/>
              <w:sz w:val="24"/>
            </w:rPr>
            <w:instrText xml:space="preserve"> NUMPAGES   \* MERGEFORMAT </w:instrText>
          </w:r>
          <w:r w:rsidRPr="00582D3F">
            <w:rPr>
              <w:rFonts w:asciiTheme="minorHAnsi" w:hAnsiTheme="minorHAnsi" w:cstheme="minorHAnsi"/>
              <w:sz w:val="24"/>
            </w:rPr>
            <w:fldChar w:fldCharType="separate"/>
          </w:r>
          <w:r w:rsidR="00454786">
            <w:rPr>
              <w:rFonts w:asciiTheme="minorHAnsi" w:hAnsiTheme="minorHAnsi" w:cstheme="minorHAnsi"/>
              <w:noProof/>
              <w:sz w:val="24"/>
            </w:rPr>
            <w:t>5</w:t>
          </w:r>
          <w:r w:rsidRPr="00582D3F">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BFDF38F-940B-4BB7-A941-9BCBC8EF6979}"/>
          <w:text w:multiLine="1"/>
        </w:sdtPr>
        <w:sdtEndPr/>
        <w:sdtContent>
          <w:tc>
            <w:tcPr>
              <w:tcW w:w="5000" w:type="pct"/>
              <w:gridSpan w:val="6"/>
              <w:tcBorders>
                <w:left w:val="nil"/>
                <w:right w:val="nil"/>
              </w:tcBorders>
              <w:noWrap/>
              <w:tcMar>
                <w:top w:w="0" w:type="dxa"/>
              </w:tcMar>
              <w:vAlign w:val="bottom"/>
            </w:tcPr>
            <w:p w:rsidR="00662409" w:rsidRPr="008C03B5" w:rsidRDefault="00D5686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3287F"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F469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3287F"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F469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3287F"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F469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582D3F" w:rsidRDefault="006F4699"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4BFDF38F-940B-4BB7-A941-9BCBC8EF6979}"/>
              <w:text w:multiLine="1"/>
            </w:sdtPr>
            <w:sdtEndPr>
              <w:rPr>
                <w:rFonts w:cstheme="minorBidi"/>
              </w:rPr>
            </w:sdtEndPr>
            <w:sdtContent>
              <w:r w:rsidR="00D56864" w:rsidRPr="00582D3F">
                <w:rPr>
                  <w:b/>
                  <w:sz w:val="24"/>
                  <w:szCs w:val="24"/>
                </w:rPr>
                <w:t>8011 R</w:t>
              </w:r>
            </w:sdtContent>
          </w:sdt>
        </w:p>
      </w:tc>
      <w:sdt>
        <w:sdtPr>
          <w:rPr>
            <w:sz w:val="24"/>
          </w:rPr>
          <w:alias w:val="DocParam.Date"/>
          <w:id w:val="-464426178"/>
          <w:dataBinding w:xpath="//DateTime[@id='DocParam.Date']" w:storeItemID="{4BFDF38F-940B-4BB7-A941-9BCBC8EF6979}"/>
          <w:date w:fullDate="2022-03-2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56864" w:rsidP="00A532F6">
              <w:pPr>
                <w:pStyle w:val="Data"/>
              </w:pPr>
              <w:r>
                <w:rPr>
                  <w:sz w:val="24"/>
                </w:rPr>
                <w:t>22 marzo 2022</w:t>
              </w:r>
            </w:p>
          </w:tc>
        </w:sdtContent>
      </w:sdt>
      <w:tc>
        <w:tcPr>
          <w:tcW w:w="3218" w:type="pct"/>
          <w:gridSpan w:val="4"/>
          <w:tcBorders>
            <w:top w:val="nil"/>
            <w:left w:val="nil"/>
            <w:bottom w:val="nil"/>
            <w:right w:val="nil"/>
          </w:tcBorders>
        </w:tcPr>
        <w:p w:rsidR="008C03B5" w:rsidRPr="00582D3F" w:rsidRDefault="006F4699"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4BFDF38F-940B-4BB7-A941-9BCBC8EF6979}"/>
              <w:text w:multiLine="1"/>
            </w:sdtPr>
            <w:sdtEndPr/>
            <w:sdtContent>
              <w:r w:rsidR="00D56864">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F4699" w:rsidP="00D07D6E">
          <w:pPr>
            <w:pStyle w:val="Level"/>
            <w:ind w:left="150"/>
            <w:rPr>
              <w:rFonts w:ascii="Gill Alt One MT Light" w:hAnsi="Gill Alt One MT Light"/>
              <w:sz w:val="16"/>
              <w:szCs w:val="16"/>
            </w:rPr>
          </w:pPr>
        </w:p>
      </w:tc>
    </w:tr>
  </w:tbl>
  <w:p w:rsidR="00F657BF" w:rsidRPr="00DA2879" w:rsidRDefault="00B3287F"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BFDF38F-940B-4BB7-A941-9BCBC8EF6979}"/>
                            <w:text w:multiLine="1"/>
                          </w:sdtPr>
                          <w:sdtEndPr/>
                          <w:sdtContent>
                            <w:p w:rsidR="00E93620" w:rsidRPr="00411371" w:rsidRDefault="00B3287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BFDF38F-940B-4BB7-A941-9BCBC8EF6979}"/>
                      <w:text w:multiLine="1"/>
                    </w:sdtPr>
                    <w:sdtEndPr/>
                    <w:sdtContent>
                      <w:p w:rsidR="00E93620" w:rsidRPr="00411371" w:rsidRDefault="00B3287F"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610750"/>
    <w:multiLevelType w:val="hybridMultilevel"/>
    <w:tmpl w:val="6E3ED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78D27AF"/>
    <w:multiLevelType w:val="multilevel"/>
    <w:tmpl w:val="1DB04CAE"/>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4F193A9A"/>
    <w:multiLevelType w:val="hybridMultilevel"/>
    <w:tmpl w:val="9EACBBDC"/>
    <w:lvl w:ilvl="0" w:tplc="04100001">
      <w:start w:val="1"/>
      <w:numFmt w:val="bullet"/>
      <w:lvlText w:val=""/>
      <w:lvlJc w:val="left"/>
      <w:pPr>
        <w:ind w:left="4973" w:hanging="360"/>
      </w:pPr>
      <w:rPr>
        <w:rFonts w:ascii="Symbol" w:hAnsi="Symbol" w:hint="default"/>
      </w:rPr>
    </w:lvl>
    <w:lvl w:ilvl="1" w:tplc="04100003" w:tentative="1">
      <w:start w:val="1"/>
      <w:numFmt w:val="bullet"/>
      <w:lvlText w:val="o"/>
      <w:lvlJc w:val="left"/>
      <w:pPr>
        <w:ind w:left="5693" w:hanging="360"/>
      </w:pPr>
      <w:rPr>
        <w:rFonts w:ascii="Courier New" w:hAnsi="Courier New" w:cs="Courier New" w:hint="default"/>
      </w:rPr>
    </w:lvl>
    <w:lvl w:ilvl="2" w:tplc="04100005" w:tentative="1">
      <w:start w:val="1"/>
      <w:numFmt w:val="bullet"/>
      <w:lvlText w:val=""/>
      <w:lvlJc w:val="left"/>
      <w:pPr>
        <w:ind w:left="6413" w:hanging="360"/>
      </w:pPr>
      <w:rPr>
        <w:rFonts w:ascii="Wingdings" w:hAnsi="Wingdings" w:hint="default"/>
      </w:rPr>
    </w:lvl>
    <w:lvl w:ilvl="3" w:tplc="04100001" w:tentative="1">
      <w:start w:val="1"/>
      <w:numFmt w:val="bullet"/>
      <w:lvlText w:val=""/>
      <w:lvlJc w:val="left"/>
      <w:pPr>
        <w:ind w:left="7133" w:hanging="360"/>
      </w:pPr>
      <w:rPr>
        <w:rFonts w:ascii="Symbol" w:hAnsi="Symbol" w:hint="default"/>
      </w:rPr>
    </w:lvl>
    <w:lvl w:ilvl="4" w:tplc="04100003" w:tentative="1">
      <w:start w:val="1"/>
      <w:numFmt w:val="bullet"/>
      <w:lvlText w:val="o"/>
      <w:lvlJc w:val="left"/>
      <w:pPr>
        <w:ind w:left="7853" w:hanging="360"/>
      </w:pPr>
      <w:rPr>
        <w:rFonts w:ascii="Courier New" w:hAnsi="Courier New" w:cs="Courier New" w:hint="default"/>
      </w:rPr>
    </w:lvl>
    <w:lvl w:ilvl="5" w:tplc="04100005" w:tentative="1">
      <w:start w:val="1"/>
      <w:numFmt w:val="bullet"/>
      <w:lvlText w:val=""/>
      <w:lvlJc w:val="left"/>
      <w:pPr>
        <w:ind w:left="8573" w:hanging="360"/>
      </w:pPr>
      <w:rPr>
        <w:rFonts w:ascii="Wingdings" w:hAnsi="Wingdings" w:hint="default"/>
      </w:rPr>
    </w:lvl>
    <w:lvl w:ilvl="6" w:tplc="04100001" w:tentative="1">
      <w:start w:val="1"/>
      <w:numFmt w:val="bullet"/>
      <w:lvlText w:val=""/>
      <w:lvlJc w:val="left"/>
      <w:pPr>
        <w:ind w:left="9293" w:hanging="360"/>
      </w:pPr>
      <w:rPr>
        <w:rFonts w:ascii="Symbol" w:hAnsi="Symbol" w:hint="default"/>
      </w:rPr>
    </w:lvl>
    <w:lvl w:ilvl="7" w:tplc="04100003" w:tentative="1">
      <w:start w:val="1"/>
      <w:numFmt w:val="bullet"/>
      <w:lvlText w:val="o"/>
      <w:lvlJc w:val="left"/>
      <w:pPr>
        <w:ind w:left="10013" w:hanging="360"/>
      </w:pPr>
      <w:rPr>
        <w:rFonts w:ascii="Courier New" w:hAnsi="Courier New" w:cs="Courier New" w:hint="default"/>
      </w:rPr>
    </w:lvl>
    <w:lvl w:ilvl="8" w:tplc="04100005" w:tentative="1">
      <w:start w:val="1"/>
      <w:numFmt w:val="bullet"/>
      <w:lvlText w:val=""/>
      <w:lvlJc w:val="left"/>
      <w:pPr>
        <w:ind w:left="10733" w:hanging="360"/>
      </w:pPr>
      <w:rPr>
        <w:rFonts w:ascii="Wingdings" w:hAnsi="Wingdings" w:hint="default"/>
      </w:rPr>
    </w:lvl>
  </w:abstractNum>
  <w:num w:numId="1">
    <w:abstractNumId w:val="11"/>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19"/>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3F"/>
    <w:rsid w:val="002B5D9F"/>
    <w:rsid w:val="003B756D"/>
    <w:rsid w:val="00403ADB"/>
    <w:rsid w:val="00454786"/>
    <w:rsid w:val="00477DFC"/>
    <w:rsid w:val="00572FD3"/>
    <w:rsid w:val="00582D3F"/>
    <w:rsid w:val="00596A03"/>
    <w:rsid w:val="007A1637"/>
    <w:rsid w:val="008720C4"/>
    <w:rsid w:val="008F52AF"/>
    <w:rsid w:val="009C5E5A"/>
    <w:rsid w:val="009F31C1"/>
    <w:rsid w:val="00AA296C"/>
    <w:rsid w:val="00AB377D"/>
    <w:rsid w:val="00AB590A"/>
    <w:rsid w:val="00AF0268"/>
    <w:rsid w:val="00B3287F"/>
    <w:rsid w:val="00BF0A1F"/>
    <w:rsid w:val="00CC5354"/>
    <w:rsid w:val="00CE4A32"/>
    <w:rsid w:val="00D33940"/>
    <w:rsid w:val="00D56864"/>
    <w:rsid w:val="00D600FD"/>
    <w:rsid w:val="00D649A8"/>
    <w:rsid w:val="00E0644A"/>
    <w:rsid w:val="00EB088A"/>
    <w:rsid w:val="00EB2130"/>
    <w:rsid w:val="00F235C6"/>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D38A8F5-758D-4352-8187-1CDB8BCF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59"/>
    <w:rsid w:val="00582D3F"/>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58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547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78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Foglio_di_lavoro_di_Microsoft_Excel.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80c6942-976f-4494-bf25-7a420ffc231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i = " h t t p : / / w w w . w 3 . o r g / 2 0 0 1 / X M L S c h e m a - i n s t a n c e "   x m l n s : x s d = " h t t p : / / w w w . w 3 . o r g / 2 0 0 1 / X M L S c h e m a "   i d = " 3 6 f 4 b 1 e 7 - 4 7 b 3 - 4 e c d - a f e 0 - 6 c 9 1 c e d 8 0 3 3 b "   t I d = " a 3 6 2 a 5 d 4 - 9 5 8 9 - 4 1 b f - a 4 e 6 - 4 f 8 7 c 4 e 4 1 2 3 9 "   i n t e r n a l T I d = " 9 0 6 4 c c 7 f - 3 1 6 d - 4 6 b 1 - a 4 a c - 7 4 8 6 0 c 3 f 8 a 5 b "   m t I d = " 2 7 5 a f 3 2 e - b c 4 0 - 4 5 c 2 - 8 5 b 7 - a f b 1 c 0 3 8 2 6 5 3 "   r e v i s i o n = " 0 "   c r e a t e d m a j o r v e r s i o n = " 0 "   c r e a t e d m i n o r v e r s i o n = " 0 "   c r e a t e d = " 2 0 2 2 - 0 3 - 2 3 T 0 9 : 0 0 : 5 6 . 6 4 6 0 4 9 6 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 2 0 2 2 - 0 3 - 2 2 T 0 0 : 0 0 : 0 0 Z < / D a t e T i m e >  
                 < T e x t   i d = " D o c P a r a m . N u m b e r " > < ! [ C D A T A [ 8 0 1 1 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0 1 1   R   d e l   2 2   m a r z 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32A0F181-8C81-4E4E-9E30-A224B288D25B}">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4BFDF38F-940B-4BB7-A941-9BCBC8EF6979}">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580c6942-976f-4494-bf25-7a420ffc231c.dotx</Template>
  <TotalTime>54</TotalTime>
  <Pages>5</Pages>
  <Words>1275</Words>
  <Characters>7578</Characters>
  <Application>Microsoft Office Word</Application>
  <DocSecurity>0</DocSecurity>
  <Lines>189</Lines>
  <Paragraphs>69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17</cp:revision>
  <cp:lastPrinted>2022-03-29T11:48:00Z</cp:lastPrinted>
  <dcterms:created xsi:type="dcterms:W3CDTF">2022-03-23T09:01:00Z</dcterms:created>
  <dcterms:modified xsi:type="dcterms:W3CDTF">2022-03-29T11:48:00Z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