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7B60" w:rsidRPr="005974F2" w:rsidRDefault="00ED7B60" w:rsidP="00ED7B60">
      <w:pPr>
        <w:jc w:val="left"/>
        <w:rPr>
          <w:rFonts w:ascii="Gill Sans MT" w:eastAsia="Times New Roman" w:hAnsi="Gill Sans MT"/>
          <w:b/>
          <w:sz w:val="56"/>
          <w:szCs w:val="56"/>
          <w:lang w:eastAsia="it-IT"/>
        </w:rPr>
      </w:pPr>
      <w:r w:rsidRPr="005974F2">
        <w:rPr>
          <w:rFonts w:ascii="Gill Sans MT" w:eastAsia="Times New Roman" w:hAnsi="Gill Sans MT"/>
          <w:b/>
          <w:sz w:val="56"/>
          <w:szCs w:val="56"/>
          <w:lang w:eastAsia="it-IT"/>
        </w:rPr>
        <w:t>Rapporto</w:t>
      </w:r>
    </w:p>
    <w:p w:rsidR="00B860C2" w:rsidRPr="00D37A6D" w:rsidRDefault="00B860C2" w:rsidP="00B860C2">
      <w:pPr>
        <w:rPr>
          <w:rFonts w:cs="Arial"/>
          <w:sz w:val="26"/>
          <w:szCs w:val="26"/>
        </w:rPr>
      </w:pPr>
    </w:p>
    <w:p w:rsidR="00D37A6D" w:rsidRPr="00D37A6D" w:rsidRDefault="00EC5775" w:rsidP="00EC5775">
      <w:pPr>
        <w:spacing w:before="120"/>
        <w:rPr>
          <w:rFonts w:cs="Arial"/>
          <w:sz w:val="26"/>
          <w:szCs w:val="26"/>
        </w:rPr>
      </w:pPr>
      <w:r w:rsidRPr="001C63E0">
        <w:rPr>
          <w:rFonts w:cs="Arial"/>
          <w:b/>
          <w:sz w:val="28"/>
          <w:szCs w:val="28"/>
        </w:rPr>
        <w:t>7784</w:t>
      </w:r>
      <w:r w:rsidR="00357DAC">
        <w:rPr>
          <w:rFonts w:cs="Arial"/>
          <w:b/>
          <w:sz w:val="28"/>
          <w:szCs w:val="28"/>
        </w:rPr>
        <w:t xml:space="preserve"> </w:t>
      </w:r>
      <w:r w:rsidRPr="001C63E0">
        <w:rPr>
          <w:rFonts w:cs="Arial"/>
          <w:b/>
          <w:sz w:val="28"/>
          <w:szCs w:val="28"/>
        </w:rPr>
        <w:t>R</w:t>
      </w:r>
    </w:p>
    <w:p w:rsidR="00B860C2" w:rsidRDefault="001C63E0" w:rsidP="00B860C2">
      <w:pPr>
        <w:tabs>
          <w:tab w:val="left" w:pos="2098"/>
          <w:tab w:val="left" w:pos="4933"/>
        </w:tabs>
        <w:rPr>
          <w:rFonts w:cs="Arial"/>
          <w:szCs w:val="24"/>
        </w:rPr>
      </w:pPr>
      <w:r w:rsidRPr="001C63E0">
        <w:rPr>
          <w:rFonts w:cs="Arial"/>
          <w:b/>
          <w:sz w:val="28"/>
          <w:szCs w:val="28"/>
        </w:rPr>
        <w:t>7784</w:t>
      </w:r>
      <w:r>
        <w:rPr>
          <w:rFonts w:cs="Arial"/>
          <w:b/>
          <w:sz w:val="28"/>
          <w:szCs w:val="28"/>
        </w:rPr>
        <w:t xml:space="preserve"> C</w:t>
      </w:r>
      <w:r>
        <w:rPr>
          <w:rFonts w:cs="Arial"/>
          <w:b/>
          <w:sz w:val="32"/>
          <w:szCs w:val="32"/>
        </w:rPr>
        <w:t xml:space="preserve"> </w:t>
      </w:r>
      <w:r w:rsidR="00C574C4" w:rsidRPr="00C574C4">
        <w:rPr>
          <w:rFonts w:cs="Arial"/>
          <w:b/>
          <w:sz w:val="28"/>
          <w:szCs w:val="28"/>
        </w:rPr>
        <w:t>R</w:t>
      </w:r>
      <w:r w:rsidR="00B860C2" w:rsidRPr="008B4137">
        <w:rPr>
          <w:rFonts w:cs="Arial"/>
          <w:sz w:val="28"/>
          <w:szCs w:val="28"/>
        </w:rPr>
        <w:tab/>
      </w:r>
      <w:r w:rsidR="00320E8F">
        <w:rPr>
          <w:rFonts w:cs="Arial"/>
          <w:sz w:val="28"/>
          <w:szCs w:val="28"/>
        </w:rPr>
        <w:t>29 marzo 2022</w:t>
      </w:r>
      <w:r w:rsidR="00B860C2" w:rsidRPr="008B4137">
        <w:rPr>
          <w:rFonts w:cs="Arial"/>
          <w:sz w:val="28"/>
          <w:szCs w:val="28"/>
        </w:rPr>
        <w:tab/>
      </w:r>
      <w:r w:rsidR="00320E8F">
        <w:rPr>
          <w:sz w:val="28"/>
        </w:rPr>
        <w:t>CONSIGLIO DI STATO</w:t>
      </w:r>
    </w:p>
    <w:p w:rsidR="00B860C2" w:rsidRDefault="00B860C2" w:rsidP="00D37A6D">
      <w:pPr>
        <w:rPr>
          <w:rFonts w:cs="Arial"/>
          <w:szCs w:val="24"/>
        </w:rPr>
      </w:pPr>
    </w:p>
    <w:p w:rsidR="00320E8F" w:rsidRDefault="00320E8F" w:rsidP="00D37A6D">
      <w:pPr>
        <w:rPr>
          <w:rFonts w:cs="Arial"/>
          <w:szCs w:val="24"/>
        </w:rPr>
      </w:pPr>
    </w:p>
    <w:p w:rsidR="00320E8F" w:rsidRPr="00320E8F" w:rsidRDefault="00320E8F" w:rsidP="00D37A6D">
      <w:pPr>
        <w:rPr>
          <w:rFonts w:cs="Arial"/>
          <w:b/>
          <w:sz w:val="28"/>
        </w:rPr>
      </w:pPr>
      <w:r>
        <w:rPr>
          <w:rFonts w:cs="Arial"/>
          <w:b/>
          <w:sz w:val="28"/>
        </w:rPr>
        <w:t>della Sottocommissione Finanze</w:t>
      </w:r>
      <w:r w:rsidRPr="00320E8F">
        <w:rPr>
          <w:rFonts w:cs="Arial"/>
          <w:b/>
          <w:sz w:val="28"/>
        </w:rPr>
        <w:t xml:space="preserve"> della Commissione gestione finanze</w:t>
      </w:r>
    </w:p>
    <w:p w:rsidR="00320E8F" w:rsidRPr="00320E8F" w:rsidRDefault="00320E8F" w:rsidP="00357DAC">
      <w:pPr>
        <w:numPr>
          <w:ilvl w:val="0"/>
          <w:numId w:val="11"/>
        </w:numPr>
        <w:spacing w:before="80"/>
        <w:ind w:left="284" w:hanging="284"/>
        <w:rPr>
          <w:rFonts w:cs="Arial"/>
          <w:b/>
          <w:sz w:val="26"/>
          <w:szCs w:val="26"/>
        </w:rPr>
      </w:pPr>
      <w:r w:rsidRPr="00320E8F">
        <w:rPr>
          <w:rFonts w:cs="Arial"/>
          <w:b/>
          <w:sz w:val="28"/>
        </w:rPr>
        <w:t>sul messaggio 15 gennaio 2020 concernente l’attribuzione all’Istituto di previdenza del Cantone Ticino (IPCT) di un contributo integrativo di CHF</w:t>
      </w:r>
      <w:r w:rsidR="00B717CF">
        <w:rPr>
          <w:rFonts w:cs="Arial"/>
          <w:b/>
          <w:sz w:val="28"/>
        </w:rPr>
        <w:t xml:space="preserve"> </w:t>
      </w:r>
      <w:r w:rsidRPr="00320E8F">
        <w:rPr>
          <w:rFonts w:cs="Arial"/>
          <w:b/>
          <w:sz w:val="28"/>
        </w:rPr>
        <w:t>500 milioni per la copertura del costo supplementare delle garanzie di pensione concesse agli assicurati con più di 50 anni nell’ambito della riforma dell’IPCT entrata in vigore il 1° gennaio 2013; nuovo cpv. 5 dell’art. 16 de</w:t>
      </w:r>
      <w:r>
        <w:rPr>
          <w:rFonts w:cs="Arial"/>
          <w:b/>
          <w:sz w:val="28"/>
        </w:rPr>
        <w:t xml:space="preserve">lla </w:t>
      </w:r>
      <w:proofErr w:type="spellStart"/>
      <w:r>
        <w:rPr>
          <w:rFonts w:cs="Arial"/>
          <w:b/>
          <w:sz w:val="28"/>
        </w:rPr>
        <w:t>Lipct</w:t>
      </w:r>
      <w:proofErr w:type="spellEnd"/>
    </w:p>
    <w:p w:rsidR="00320E8F" w:rsidRPr="00D37DD1" w:rsidRDefault="00320E8F" w:rsidP="00357DAC">
      <w:pPr>
        <w:numPr>
          <w:ilvl w:val="0"/>
          <w:numId w:val="11"/>
        </w:numPr>
        <w:spacing w:before="80"/>
        <w:ind w:left="284" w:hanging="284"/>
        <w:rPr>
          <w:rFonts w:cs="Arial"/>
          <w:b/>
          <w:sz w:val="26"/>
          <w:szCs w:val="26"/>
        </w:rPr>
      </w:pPr>
      <w:r w:rsidRPr="00320E8F">
        <w:rPr>
          <w:rFonts w:cs="Arial"/>
          <w:b/>
          <w:sz w:val="28"/>
        </w:rPr>
        <w:t>sul rapporto complementare al messaggio 30 settembre 2021 relativo all’ipotesi di una riserva di contributi del datore di lavoro (RCDL)</w:t>
      </w:r>
    </w:p>
    <w:p w:rsidR="001C63E0" w:rsidRPr="001C63E0" w:rsidRDefault="001C63E0" w:rsidP="00357DAC">
      <w:pPr>
        <w:spacing w:before="240"/>
        <w:rPr>
          <w:rFonts w:cs="Arial"/>
        </w:rPr>
      </w:pPr>
      <w:r w:rsidRPr="001C63E0">
        <w:rPr>
          <w:rFonts w:cs="Arial"/>
          <w:b/>
        </w:rPr>
        <w:t>Indice</w:t>
      </w:r>
    </w:p>
    <w:sdt>
      <w:sdtPr>
        <w:rPr>
          <w:rFonts w:cs="Arial"/>
        </w:rPr>
        <w:id w:val="-65257476"/>
        <w:docPartObj>
          <w:docPartGallery w:val="Table of Contents"/>
          <w:docPartUnique/>
        </w:docPartObj>
      </w:sdtPr>
      <w:sdtEndPr>
        <w:rPr>
          <w:b/>
          <w:bCs/>
        </w:rPr>
      </w:sdtEndPr>
      <w:sdtContent>
        <w:p w:rsidR="001C63E0" w:rsidRPr="00624547" w:rsidRDefault="001C63E0" w:rsidP="00624547">
          <w:pPr>
            <w:tabs>
              <w:tab w:val="left" w:pos="709"/>
              <w:tab w:val="right" w:leader="dot" w:pos="9628"/>
            </w:tabs>
            <w:spacing w:before="120"/>
            <w:ind w:left="709" w:hanging="709"/>
            <w:jc w:val="left"/>
            <w:rPr>
              <w:rFonts w:ascii="Calibri" w:eastAsia="DengXian" w:hAnsi="Calibri" w:cs="Arial"/>
              <w:noProof/>
              <w:sz w:val="22"/>
              <w:lang w:eastAsia="it-CH"/>
            </w:rPr>
          </w:pPr>
          <w:r w:rsidRPr="001C63E0">
            <w:rPr>
              <w:rFonts w:cs="Arial"/>
              <w:caps/>
              <w:noProof/>
              <w:sz w:val="22"/>
              <w:szCs w:val="24"/>
              <w:lang w:val="it-IT"/>
            </w:rPr>
            <w:fldChar w:fldCharType="begin"/>
          </w:r>
          <w:r w:rsidRPr="001C63E0">
            <w:rPr>
              <w:rFonts w:cs="Arial"/>
              <w:caps/>
              <w:noProof/>
              <w:sz w:val="22"/>
              <w:lang w:val="it-IT"/>
            </w:rPr>
            <w:instrText xml:space="preserve"> TOC \o "1-3" \h \z \u </w:instrText>
          </w:r>
          <w:r w:rsidRPr="001C63E0">
            <w:rPr>
              <w:rFonts w:cs="Arial"/>
              <w:caps/>
              <w:noProof/>
              <w:sz w:val="22"/>
              <w:szCs w:val="24"/>
              <w:lang w:val="it-IT"/>
            </w:rPr>
            <w:fldChar w:fldCharType="separate"/>
          </w:r>
          <w:hyperlink w:anchor="_Toc98976078" w:history="1">
            <w:r w:rsidRPr="00624547">
              <w:rPr>
                <w:caps/>
                <w:noProof/>
                <w:sz w:val="22"/>
                <w:lang w:val="it-IT"/>
              </w:rPr>
              <w:t>RIASSUNTO BREVE E STRUTTURA DEL RAPPORTO</w:t>
            </w:r>
            <w:r w:rsidRPr="00624547">
              <w:rPr>
                <w:caps/>
                <w:noProof/>
                <w:webHidden/>
                <w:sz w:val="22"/>
                <w:lang w:val="it-IT"/>
              </w:rPr>
              <w:tab/>
            </w:r>
            <w:r w:rsidRPr="00624547">
              <w:rPr>
                <w:caps/>
                <w:noProof/>
                <w:webHidden/>
                <w:sz w:val="22"/>
                <w:lang w:val="it-IT"/>
              </w:rPr>
              <w:fldChar w:fldCharType="begin"/>
            </w:r>
            <w:r w:rsidRPr="00624547">
              <w:rPr>
                <w:caps/>
                <w:noProof/>
                <w:webHidden/>
                <w:sz w:val="22"/>
                <w:lang w:val="it-IT"/>
              </w:rPr>
              <w:instrText xml:space="preserve"> PAGEREF _Toc98976078 \h </w:instrText>
            </w:r>
            <w:r w:rsidRPr="00624547">
              <w:rPr>
                <w:caps/>
                <w:noProof/>
                <w:webHidden/>
                <w:sz w:val="22"/>
                <w:lang w:val="it-IT"/>
              </w:rPr>
            </w:r>
            <w:r w:rsidRPr="00624547">
              <w:rPr>
                <w:caps/>
                <w:noProof/>
                <w:webHidden/>
                <w:sz w:val="22"/>
                <w:lang w:val="it-IT"/>
              </w:rPr>
              <w:fldChar w:fldCharType="separate"/>
            </w:r>
            <w:r w:rsidR="00ED7B60">
              <w:rPr>
                <w:caps/>
                <w:noProof/>
                <w:webHidden/>
                <w:sz w:val="22"/>
                <w:lang w:val="it-IT"/>
              </w:rPr>
              <w:t>3</w:t>
            </w:r>
            <w:r w:rsidRPr="00624547">
              <w:rPr>
                <w:caps/>
                <w:noProof/>
                <w:webHidden/>
                <w:sz w:val="22"/>
                <w:lang w:val="it-IT"/>
              </w:rPr>
              <w:fldChar w:fldCharType="end"/>
            </w:r>
          </w:hyperlink>
        </w:p>
        <w:p w:rsidR="001C63E0" w:rsidRPr="00624547" w:rsidRDefault="00C533FF" w:rsidP="00624547">
          <w:pPr>
            <w:tabs>
              <w:tab w:val="left" w:pos="709"/>
              <w:tab w:val="right" w:leader="dot" w:pos="9628"/>
            </w:tabs>
            <w:spacing w:before="120"/>
            <w:ind w:left="709" w:hanging="709"/>
            <w:jc w:val="left"/>
            <w:rPr>
              <w:rFonts w:ascii="Calibri" w:eastAsia="DengXian" w:hAnsi="Calibri" w:cs="Arial"/>
              <w:noProof/>
              <w:sz w:val="22"/>
              <w:lang w:eastAsia="it-CH"/>
            </w:rPr>
          </w:pPr>
          <w:hyperlink w:anchor="_Toc98976079" w:history="1">
            <w:r w:rsidR="001C63E0" w:rsidRPr="00624547">
              <w:rPr>
                <w:caps/>
                <w:noProof/>
                <w:sz w:val="22"/>
                <w:lang w:val="it-IT"/>
              </w:rPr>
              <w:t>PARTE PRIMA – VALUTAZIONE NEL 2020 DELLA SITUAZIONE COMPLESSIVA</w:t>
            </w:r>
            <w:r w:rsidR="001C63E0" w:rsidRPr="00624547">
              <w:rPr>
                <w:caps/>
                <w:noProof/>
                <w:webHidden/>
                <w:sz w:val="22"/>
                <w:lang w:val="it-IT"/>
              </w:rPr>
              <w:tab/>
            </w:r>
            <w:r w:rsidR="001C63E0" w:rsidRPr="00624547">
              <w:rPr>
                <w:caps/>
                <w:noProof/>
                <w:webHidden/>
                <w:sz w:val="22"/>
                <w:lang w:val="it-IT"/>
              </w:rPr>
              <w:fldChar w:fldCharType="begin"/>
            </w:r>
            <w:r w:rsidR="001C63E0" w:rsidRPr="00624547">
              <w:rPr>
                <w:caps/>
                <w:noProof/>
                <w:webHidden/>
                <w:sz w:val="22"/>
                <w:lang w:val="it-IT"/>
              </w:rPr>
              <w:instrText xml:space="preserve"> PAGEREF _Toc98976079 \h </w:instrText>
            </w:r>
            <w:r w:rsidR="001C63E0" w:rsidRPr="00624547">
              <w:rPr>
                <w:caps/>
                <w:noProof/>
                <w:webHidden/>
                <w:sz w:val="22"/>
                <w:lang w:val="it-IT"/>
              </w:rPr>
            </w:r>
            <w:r w:rsidR="001C63E0" w:rsidRPr="00624547">
              <w:rPr>
                <w:caps/>
                <w:noProof/>
                <w:webHidden/>
                <w:sz w:val="22"/>
                <w:lang w:val="it-IT"/>
              </w:rPr>
              <w:fldChar w:fldCharType="separate"/>
            </w:r>
            <w:r w:rsidR="00ED7B60">
              <w:rPr>
                <w:caps/>
                <w:noProof/>
                <w:webHidden/>
                <w:sz w:val="22"/>
                <w:lang w:val="it-IT"/>
              </w:rPr>
              <w:t>4</w:t>
            </w:r>
            <w:r w:rsidR="001C63E0" w:rsidRPr="00624547">
              <w:rPr>
                <w:caps/>
                <w:noProof/>
                <w:webHidden/>
                <w:sz w:val="22"/>
                <w:lang w:val="it-IT"/>
              </w:rPr>
              <w:fldChar w:fldCharType="end"/>
            </w:r>
          </w:hyperlink>
        </w:p>
        <w:p w:rsidR="001C63E0" w:rsidRPr="00624547" w:rsidRDefault="00C533FF" w:rsidP="00624547">
          <w:pPr>
            <w:tabs>
              <w:tab w:val="left" w:pos="709"/>
              <w:tab w:val="right" w:leader="dot" w:pos="9628"/>
            </w:tabs>
            <w:spacing w:before="120"/>
            <w:ind w:left="709" w:hanging="709"/>
            <w:jc w:val="left"/>
            <w:rPr>
              <w:rFonts w:ascii="Calibri" w:eastAsia="DengXian" w:hAnsi="Calibri" w:cs="Arial"/>
              <w:noProof/>
              <w:sz w:val="22"/>
              <w:lang w:eastAsia="it-CH"/>
            </w:rPr>
          </w:pPr>
          <w:hyperlink w:anchor="_Toc98976080" w:history="1">
            <w:r w:rsidR="001C63E0" w:rsidRPr="00624547">
              <w:rPr>
                <w:caps/>
                <w:noProof/>
                <w:sz w:val="22"/>
                <w:lang w:val="it-IT"/>
              </w:rPr>
              <w:t>1.</w:t>
            </w:r>
            <w:r w:rsidR="001C63E0" w:rsidRPr="00624547">
              <w:rPr>
                <w:rFonts w:ascii="Calibri" w:eastAsia="DengXian" w:hAnsi="Calibri" w:cs="Arial"/>
                <w:noProof/>
                <w:sz w:val="22"/>
                <w:lang w:eastAsia="it-CH"/>
              </w:rPr>
              <w:tab/>
            </w:r>
            <w:r w:rsidR="001C63E0" w:rsidRPr="00624547">
              <w:rPr>
                <w:caps/>
                <w:noProof/>
                <w:sz w:val="22"/>
                <w:lang w:val="it-IT"/>
              </w:rPr>
              <w:t>PREMESSA STORICA E POLITICA: IL PIANO DI RISANAMENTO VOTATO NEL NOVEMBRE 2012</w:t>
            </w:r>
            <w:r w:rsidR="001C63E0" w:rsidRPr="00624547">
              <w:rPr>
                <w:caps/>
                <w:noProof/>
                <w:webHidden/>
                <w:sz w:val="22"/>
                <w:lang w:val="it-IT"/>
              </w:rPr>
              <w:tab/>
            </w:r>
            <w:r w:rsidR="001C63E0" w:rsidRPr="00624547">
              <w:rPr>
                <w:caps/>
                <w:noProof/>
                <w:webHidden/>
                <w:sz w:val="22"/>
                <w:lang w:val="it-IT"/>
              </w:rPr>
              <w:fldChar w:fldCharType="begin"/>
            </w:r>
            <w:r w:rsidR="001C63E0" w:rsidRPr="00624547">
              <w:rPr>
                <w:caps/>
                <w:noProof/>
                <w:webHidden/>
                <w:sz w:val="22"/>
                <w:lang w:val="it-IT"/>
              </w:rPr>
              <w:instrText xml:space="preserve"> PAGEREF _Toc98976080 \h </w:instrText>
            </w:r>
            <w:r w:rsidR="001C63E0" w:rsidRPr="00624547">
              <w:rPr>
                <w:caps/>
                <w:noProof/>
                <w:webHidden/>
                <w:sz w:val="22"/>
                <w:lang w:val="it-IT"/>
              </w:rPr>
            </w:r>
            <w:r w:rsidR="001C63E0" w:rsidRPr="00624547">
              <w:rPr>
                <w:caps/>
                <w:noProof/>
                <w:webHidden/>
                <w:sz w:val="22"/>
                <w:lang w:val="it-IT"/>
              </w:rPr>
              <w:fldChar w:fldCharType="separate"/>
            </w:r>
            <w:r w:rsidR="00ED7B60">
              <w:rPr>
                <w:caps/>
                <w:noProof/>
                <w:webHidden/>
                <w:sz w:val="22"/>
                <w:lang w:val="it-IT"/>
              </w:rPr>
              <w:t>4</w:t>
            </w:r>
            <w:r w:rsidR="001C63E0" w:rsidRPr="00624547">
              <w:rPr>
                <w:caps/>
                <w:noProof/>
                <w:webHidden/>
                <w:sz w:val="22"/>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081" w:history="1">
            <w:r w:rsidR="001C63E0" w:rsidRPr="00624547">
              <w:rPr>
                <w:noProof/>
                <w:sz w:val="22"/>
                <w:lang w:val="it-IT"/>
              </w:rPr>
              <w:t>1.1</w:t>
            </w:r>
            <w:r w:rsidR="001C63E0" w:rsidRPr="00624547">
              <w:rPr>
                <w:rFonts w:ascii="Calibri" w:eastAsia="DengXian" w:hAnsi="Calibri" w:cs="Arial"/>
                <w:noProof/>
                <w:sz w:val="22"/>
                <w:lang w:eastAsia="it-CH"/>
              </w:rPr>
              <w:tab/>
            </w:r>
            <w:r w:rsidR="001C63E0" w:rsidRPr="00624547">
              <w:rPr>
                <w:noProof/>
                <w:sz w:val="22"/>
                <w:lang w:val="it-IT"/>
              </w:rPr>
              <w:t>Le riforme conosciute dal 1995 dall’allora Cassa pensioni dei dipendenti dello Stato</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_Toc98976081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4</w:t>
            </w:r>
            <w:r w:rsidR="001C63E0" w:rsidRPr="00624547">
              <w:rPr>
                <w:noProof/>
                <w:webHidden/>
                <w:sz w:val="22"/>
                <w:lang w:val="it-IT"/>
              </w:rPr>
              <w:fldChar w:fldCharType="end"/>
            </w:r>
          </w:hyperlink>
        </w:p>
        <w:p w:rsidR="001C63E0" w:rsidRPr="00624547" w:rsidRDefault="00C533FF" w:rsidP="00624547">
          <w:pPr>
            <w:tabs>
              <w:tab w:val="left" w:pos="709"/>
              <w:tab w:val="right" w:leader="dot" w:pos="9628"/>
            </w:tabs>
            <w:spacing w:before="20"/>
            <w:ind w:left="709" w:hanging="709"/>
            <w:jc w:val="left"/>
            <w:rPr>
              <w:rFonts w:ascii="Calibri" w:eastAsia="DengXian" w:hAnsi="Calibri" w:cs="Arial"/>
              <w:noProof/>
              <w:sz w:val="22"/>
              <w:lang w:eastAsia="it-CH"/>
            </w:rPr>
          </w:pPr>
          <w:hyperlink w:anchor="_Toc98976082" w:history="1">
            <w:r w:rsidR="001C63E0" w:rsidRPr="00624547">
              <w:rPr>
                <w:noProof/>
                <w:sz w:val="20"/>
                <w:szCs w:val="20"/>
                <w:lang w:val="it-IT"/>
              </w:rPr>
              <w:t>1.1.1</w:t>
            </w:r>
            <w:r w:rsidR="001C63E0" w:rsidRPr="00624547">
              <w:rPr>
                <w:rFonts w:ascii="Calibri" w:eastAsia="DengXian" w:hAnsi="Calibri" w:cs="Arial"/>
                <w:noProof/>
                <w:sz w:val="22"/>
                <w:lang w:eastAsia="it-CH"/>
              </w:rPr>
              <w:tab/>
            </w:r>
            <w:r w:rsidR="001C63E0" w:rsidRPr="00624547">
              <w:rPr>
                <w:noProof/>
                <w:sz w:val="20"/>
                <w:szCs w:val="20"/>
                <w:lang w:val="it-IT"/>
              </w:rPr>
              <w:t>Prima riforma, entrata in vigore il 1° gennaio 1995</w:t>
            </w:r>
            <w:r w:rsidR="001C63E0" w:rsidRPr="00624547">
              <w:rPr>
                <w:noProof/>
                <w:webHidden/>
                <w:sz w:val="20"/>
                <w:szCs w:val="20"/>
                <w:lang w:val="it-IT"/>
              </w:rPr>
              <w:tab/>
            </w:r>
            <w:r w:rsidR="001C63E0" w:rsidRPr="00624547">
              <w:rPr>
                <w:noProof/>
                <w:webHidden/>
                <w:sz w:val="20"/>
                <w:szCs w:val="20"/>
                <w:lang w:val="it-IT"/>
              </w:rPr>
              <w:fldChar w:fldCharType="begin"/>
            </w:r>
            <w:r w:rsidR="001C63E0" w:rsidRPr="00624547">
              <w:rPr>
                <w:noProof/>
                <w:webHidden/>
                <w:sz w:val="20"/>
                <w:szCs w:val="20"/>
                <w:lang w:val="it-IT"/>
              </w:rPr>
              <w:instrText xml:space="preserve"> PAGEREF _Toc98976082 \h </w:instrText>
            </w:r>
            <w:r w:rsidR="001C63E0" w:rsidRPr="00624547">
              <w:rPr>
                <w:noProof/>
                <w:webHidden/>
                <w:sz w:val="20"/>
                <w:szCs w:val="20"/>
                <w:lang w:val="it-IT"/>
              </w:rPr>
            </w:r>
            <w:r w:rsidR="001C63E0" w:rsidRPr="00624547">
              <w:rPr>
                <w:noProof/>
                <w:webHidden/>
                <w:sz w:val="20"/>
                <w:szCs w:val="20"/>
                <w:lang w:val="it-IT"/>
              </w:rPr>
              <w:fldChar w:fldCharType="separate"/>
            </w:r>
            <w:r w:rsidR="00ED7B60">
              <w:rPr>
                <w:noProof/>
                <w:webHidden/>
                <w:sz w:val="20"/>
                <w:szCs w:val="20"/>
                <w:lang w:val="it-IT"/>
              </w:rPr>
              <w:t>4</w:t>
            </w:r>
            <w:r w:rsidR="001C63E0" w:rsidRPr="00624547">
              <w:rPr>
                <w:noProof/>
                <w:webHidden/>
                <w:sz w:val="20"/>
                <w:szCs w:val="20"/>
                <w:lang w:val="it-IT"/>
              </w:rPr>
              <w:fldChar w:fldCharType="end"/>
            </w:r>
          </w:hyperlink>
        </w:p>
        <w:p w:rsidR="001C63E0" w:rsidRPr="00624547" w:rsidRDefault="00C533FF" w:rsidP="00624547">
          <w:pPr>
            <w:tabs>
              <w:tab w:val="left" w:pos="709"/>
              <w:tab w:val="right" w:leader="dot" w:pos="9628"/>
            </w:tabs>
            <w:spacing w:before="20"/>
            <w:ind w:left="709" w:hanging="709"/>
            <w:jc w:val="left"/>
            <w:rPr>
              <w:rFonts w:ascii="Calibri" w:eastAsia="DengXian" w:hAnsi="Calibri" w:cs="Arial"/>
              <w:noProof/>
              <w:sz w:val="22"/>
              <w:lang w:eastAsia="it-CH"/>
            </w:rPr>
          </w:pPr>
          <w:hyperlink w:anchor="_Toc98976083" w:history="1">
            <w:r w:rsidR="001C63E0" w:rsidRPr="00624547">
              <w:rPr>
                <w:noProof/>
                <w:sz w:val="20"/>
                <w:szCs w:val="20"/>
                <w:lang w:val="it-IT"/>
              </w:rPr>
              <w:t>1.1.2</w:t>
            </w:r>
            <w:r w:rsidR="001C63E0" w:rsidRPr="00624547">
              <w:rPr>
                <w:rFonts w:ascii="Calibri" w:eastAsia="DengXian" w:hAnsi="Calibri" w:cs="Arial"/>
                <w:noProof/>
                <w:sz w:val="22"/>
                <w:lang w:eastAsia="it-CH"/>
              </w:rPr>
              <w:tab/>
            </w:r>
            <w:r w:rsidR="001C63E0" w:rsidRPr="00624547">
              <w:rPr>
                <w:noProof/>
                <w:sz w:val="20"/>
                <w:szCs w:val="20"/>
                <w:lang w:val="it-IT"/>
              </w:rPr>
              <w:t>Seconda riforma, entrata in vigore il 1° gennaio 1997</w:t>
            </w:r>
            <w:r w:rsidR="001C63E0" w:rsidRPr="00624547">
              <w:rPr>
                <w:noProof/>
                <w:webHidden/>
                <w:sz w:val="20"/>
                <w:szCs w:val="20"/>
                <w:lang w:val="it-IT"/>
              </w:rPr>
              <w:tab/>
            </w:r>
            <w:r w:rsidR="001C63E0" w:rsidRPr="00624547">
              <w:rPr>
                <w:noProof/>
                <w:webHidden/>
                <w:sz w:val="20"/>
                <w:szCs w:val="20"/>
                <w:lang w:val="it-IT"/>
              </w:rPr>
              <w:fldChar w:fldCharType="begin"/>
            </w:r>
            <w:r w:rsidR="001C63E0" w:rsidRPr="00624547">
              <w:rPr>
                <w:noProof/>
                <w:webHidden/>
                <w:sz w:val="20"/>
                <w:szCs w:val="20"/>
                <w:lang w:val="it-IT"/>
              </w:rPr>
              <w:instrText xml:space="preserve"> PAGEREF _Toc98976083 \h </w:instrText>
            </w:r>
            <w:r w:rsidR="001C63E0" w:rsidRPr="00624547">
              <w:rPr>
                <w:noProof/>
                <w:webHidden/>
                <w:sz w:val="20"/>
                <w:szCs w:val="20"/>
                <w:lang w:val="it-IT"/>
              </w:rPr>
            </w:r>
            <w:r w:rsidR="001C63E0" w:rsidRPr="00624547">
              <w:rPr>
                <w:noProof/>
                <w:webHidden/>
                <w:sz w:val="20"/>
                <w:szCs w:val="20"/>
                <w:lang w:val="it-IT"/>
              </w:rPr>
              <w:fldChar w:fldCharType="separate"/>
            </w:r>
            <w:r w:rsidR="00ED7B60">
              <w:rPr>
                <w:noProof/>
                <w:webHidden/>
                <w:sz w:val="20"/>
                <w:szCs w:val="20"/>
                <w:lang w:val="it-IT"/>
              </w:rPr>
              <w:t>5</w:t>
            </w:r>
            <w:r w:rsidR="001C63E0" w:rsidRPr="00624547">
              <w:rPr>
                <w:noProof/>
                <w:webHidden/>
                <w:sz w:val="20"/>
                <w:szCs w:val="20"/>
                <w:lang w:val="it-IT"/>
              </w:rPr>
              <w:fldChar w:fldCharType="end"/>
            </w:r>
          </w:hyperlink>
        </w:p>
        <w:p w:rsidR="001C63E0" w:rsidRPr="00624547" w:rsidRDefault="00C533FF" w:rsidP="00624547">
          <w:pPr>
            <w:tabs>
              <w:tab w:val="left" w:pos="709"/>
              <w:tab w:val="right" w:leader="dot" w:pos="9628"/>
            </w:tabs>
            <w:spacing w:before="20"/>
            <w:ind w:left="709" w:hanging="709"/>
            <w:jc w:val="left"/>
            <w:rPr>
              <w:rFonts w:ascii="Calibri" w:eastAsia="DengXian" w:hAnsi="Calibri" w:cs="Arial"/>
              <w:noProof/>
              <w:sz w:val="22"/>
              <w:lang w:eastAsia="it-CH"/>
            </w:rPr>
          </w:pPr>
          <w:hyperlink w:anchor="_Toc98976084" w:history="1">
            <w:r w:rsidR="001C63E0" w:rsidRPr="00624547">
              <w:rPr>
                <w:noProof/>
                <w:sz w:val="20"/>
                <w:szCs w:val="20"/>
                <w:lang w:val="it-IT"/>
              </w:rPr>
              <w:t>1.1.3</w:t>
            </w:r>
            <w:r w:rsidR="001C63E0" w:rsidRPr="00624547">
              <w:rPr>
                <w:rFonts w:ascii="Calibri" w:eastAsia="DengXian" w:hAnsi="Calibri" w:cs="Arial"/>
                <w:noProof/>
                <w:sz w:val="22"/>
                <w:lang w:eastAsia="it-CH"/>
              </w:rPr>
              <w:tab/>
            </w:r>
            <w:r w:rsidR="001C63E0" w:rsidRPr="00624547">
              <w:rPr>
                <w:noProof/>
                <w:sz w:val="20"/>
                <w:szCs w:val="20"/>
                <w:lang w:val="it-IT"/>
              </w:rPr>
              <w:t>Terza riforma, entrata in vigore il 1° gennaio 1998</w:t>
            </w:r>
            <w:r w:rsidR="001C63E0" w:rsidRPr="00624547">
              <w:rPr>
                <w:noProof/>
                <w:webHidden/>
                <w:sz w:val="20"/>
                <w:szCs w:val="20"/>
                <w:lang w:val="it-IT"/>
              </w:rPr>
              <w:tab/>
            </w:r>
            <w:r w:rsidR="001C63E0" w:rsidRPr="00624547">
              <w:rPr>
                <w:noProof/>
                <w:webHidden/>
                <w:sz w:val="20"/>
                <w:szCs w:val="20"/>
                <w:lang w:val="it-IT"/>
              </w:rPr>
              <w:fldChar w:fldCharType="begin"/>
            </w:r>
            <w:r w:rsidR="001C63E0" w:rsidRPr="00624547">
              <w:rPr>
                <w:noProof/>
                <w:webHidden/>
                <w:sz w:val="20"/>
                <w:szCs w:val="20"/>
                <w:lang w:val="it-IT"/>
              </w:rPr>
              <w:instrText xml:space="preserve"> PAGEREF _Toc98976084 \h </w:instrText>
            </w:r>
            <w:r w:rsidR="001C63E0" w:rsidRPr="00624547">
              <w:rPr>
                <w:noProof/>
                <w:webHidden/>
                <w:sz w:val="20"/>
                <w:szCs w:val="20"/>
                <w:lang w:val="it-IT"/>
              </w:rPr>
            </w:r>
            <w:r w:rsidR="001C63E0" w:rsidRPr="00624547">
              <w:rPr>
                <w:noProof/>
                <w:webHidden/>
                <w:sz w:val="20"/>
                <w:szCs w:val="20"/>
                <w:lang w:val="it-IT"/>
              </w:rPr>
              <w:fldChar w:fldCharType="separate"/>
            </w:r>
            <w:r w:rsidR="00ED7B60">
              <w:rPr>
                <w:noProof/>
                <w:webHidden/>
                <w:sz w:val="20"/>
                <w:szCs w:val="20"/>
                <w:lang w:val="it-IT"/>
              </w:rPr>
              <w:t>5</w:t>
            </w:r>
            <w:r w:rsidR="001C63E0" w:rsidRPr="00624547">
              <w:rPr>
                <w:noProof/>
                <w:webHidden/>
                <w:sz w:val="20"/>
                <w:szCs w:val="20"/>
                <w:lang w:val="it-IT"/>
              </w:rPr>
              <w:fldChar w:fldCharType="end"/>
            </w:r>
          </w:hyperlink>
        </w:p>
        <w:p w:rsidR="001C63E0" w:rsidRPr="00624547" w:rsidRDefault="00C533FF" w:rsidP="00624547">
          <w:pPr>
            <w:tabs>
              <w:tab w:val="left" w:pos="709"/>
              <w:tab w:val="right" w:leader="dot" w:pos="9628"/>
            </w:tabs>
            <w:spacing w:before="20"/>
            <w:ind w:left="709" w:hanging="709"/>
            <w:jc w:val="left"/>
            <w:rPr>
              <w:rFonts w:ascii="Calibri" w:eastAsia="DengXian" w:hAnsi="Calibri" w:cs="Arial"/>
              <w:noProof/>
              <w:sz w:val="22"/>
              <w:lang w:eastAsia="it-CH"/>
            </w:rPr>
          </w:pPr>
          <w:hyperlink w:anchor="_Toc98976085" w:history="1">
            <w:r w:rsidR="001C63E0" w:rsidRPr="00624547">
              <w:rPr>
                <w:noProof/>
                <w:sz w:val="20"/>
                <w:szCs w:val="20"/>
                <w:lang w:val="it-IT"/>
              </w:rPr>
              <w:t>1.1.4</w:t>
            </w:r>
            <w:r w:rsidR="001C63E0" w:rsidRPr="00624547">
              <w:rPr>
                <w:rFonts w:ascii="Calibri" w:eastAsia="DengXian" w:hAnsi="Calibri" w:cs="Arial"/>
                <w:noProof/>
                <w:sz w:val="22"/>
                <w:lang w:eastAsia="it-CH"/>
              </w:rPr>
              <w:tab/>
            </w:r>
            <w:r w:rsidR="001C63E0" w:rsidRPr="00624547">
              <w:rPr>
                <w:noProof/>
                <w:sz w:val="20"/>
                <w:szCs w:val="20"/>
                <w:lang w:val="it-IT"/>
              </w:rPr>
              <w:t>Quarta riforma, entrata in vigore il 1° gennaio 1999</w:t>
            </w:r>
            <w:r w:rsidR="001C63E0" w:rsidRPr="00624547">
              <w:rPr>
                <w:noProof/>
                <w:webHidden/>
                <w:sz w:val="20"/>
                <w:szCs w:val="20"/>
                <w:lang w:val="it-IT"/>
              </w:rPr>
              <w:tab/>
            </w:r>
            <w:r w:rsidR="001C63E0" w:rsidRPr="00624547">
              <w:rPr>
                <w:noProof/>
                <w:webHidden/>
                <w:sz w:val="20"/>
                <w:szCs w:val="20"/>
                <w:lang w:val="it-IT"/>
              </w:rPr>
              <w:fldChar w:fldCharType="begin"/>
            </w:r>
            <w:r w:rsidR="001C63E0" w:rsidRPr="00624547">
              <w:rPr>
                <w:noProof/>
                <w:webHidden/>
                <w:sz w:val="20"/>
                <w:szCs w:val="20"/>
                <w:lang w:val="it-IT"/>
              </w:rPr>
              <w:instrText xml:space="preserve"> PAGEREF _Toc98976085 \h </w:instrText>
            </w:r>
            <w:r w:rsidR="001C63E0" w:rsidRPr="00624547">
              <w:rPr>
                <w:noProof/>
                <w:webHidden/>
                <w:sz w:val="20"/>
                <w:szCs w:val="20"/>
                <w:lang w:val="it-IT"/>
              </w:rPr>
            </w:r>
            <w:r w:rsidR="001C63E0" w:rsidRPr="00624547">
              <w:rPr>
                <w:noProof/>
                <w:webHidden/>
                <w:sz w:val="20"/>
                <w:szCs w:val="20"/>
                <w:lang w:val="it-IT"/>
              </w:rPr>
              <w:fldChar w:fldCharType="separate"/>
            </w:r>
            <w:r w:rsidR="00ED7B60">
              <w:rPr>
                <w:noProof/>
                <w:webHidden/>
                <w:sz w:val="20"/>
                <w:szCs w:val="20"/>
                <w:lang w:val="it-IT"/>
              </w:rPr>
              <w:t>5</w:t>
            </w:r>
            <w:r w:rsidR="001C63E0" w:rsidRPr="00624547">
              <w:rPr>
                <w:noProof/>
                <w:webHidden/>
                <w:sz w:val="20"/>
                <w:szCs w:val="20"/>
                <w:lang w:val="it-IT"/>
              </w:rPr>
              <w:fldChar w:fldCharType="end"/>
            </w:r>
          </w:hyperlink>
        </w:p>
        <w:p w:rsidR="001C63E0" w:rsidRPr="00624547" w:rsidRDefault="00C533FF" w:rsidP="00624547">
          <w:pPr>
            <w:tabs>
              <w:tab w:val="left" w:pos="709"/>
              <w:tab w:val="right" w:leader="dot" w:pos="9628"/>
            </w:tabs>
            <w:spacing w:before="20"/>
            <w:ind w:left="709" w:hanging="709"/>
            <w:jc w:val="left"/>
            <w:rPr>
              <w:rFonts w:ascii="Calibri" w:eastAsia="DengXian" w:hAnsi="Calibri" w:cs="Arial"/>
              <w:noProof/>
              <w:sz w:val="22"/>
              <w:lang w:eastAsia="it-CH"/>
            </w:rPr>
          </w:pPr>
          <w:hyperlink w:anchor="_Toc98976086" w:history="1">
            <w:r w:rsidR="001C63E0" w:rsidRPr="00624547">
              <w:rPr>
                <w:noProof/>
                <w:sz w:val="20"/>
                <w:szCs w:val="20"/>
                <w:lang w:val="it-IT"/>
              </w:rPr>
              <w:t>1.1.5</w:t>
            </w:r>
            <w:r w:rsidR="001C63E0" w:rsidRPr="00624547">
              <w:rPr>
                <w:rFonts w:ascii="Calibri" w:eastAsia="DengXian" w:hAnsi="Calibri" w:cs="Arial"/>
                <w:noProof/>
                <w:sz w:val="22"/>
                <w:lang w:eastAsia="it-CH"/>
              </w:rPr>
              <w:tab/>
            </w:r>
            <w:r w:rsidR="001C63E0" w:rsidRPr="00624547">
              <w:rPr>
                <w:noProof/>
                <w:sz w:val="20"/>
                <w:szCs w:val="20"/>
                <w:lang w:val="it-IT"/>
              </w:rPr>
              <w:t>Quinta riforma, entrata in vigore il 1° ottobre 2000</w:t>
            </w:r>
            <w:r w:rsidR="001C63E0" w:rsidRPr="00624547">
              <w:rPr>
                <w:noProof/>
                <w:webHidden/>
                <w:sz w:val="20"/>
                <w:szCs w:val="20"/>
                <w:lang w:val="it-IT"/>
              </w:rPr>
              <w:tab/>
            </w:r>
            <w:r w:rsidR="001C63E0" w:rsidRPr="00624547">
              <w:rPr>
                <w:noProof/>
                <w:webHidden/>
                <w:sz w:val="20"/>
                <w:szCs w:val="20"/>
                <w:lang w:val="it-IT"/>
              </w:rPr>
              <w:fldChar w:fldCharType="begin"/>
            </w:r>
            <w:r w:rsidR="001C63E0" w:rsidRPr="00624547">
              <w:rPr>
                <w:noProof/>
                <w:webHidden/>
                <w:sz w:val="20"/>
                <w:szCs w:val="20"/>
                <w:lang w:val="it-IT"/>
              </w:rPr>
              <w:instrText xml:space="preserve"> PAGEREF _Toc98976086 \h </w:instrText>
            </w:r>
            <w:r w:rsidR="001C63E0" w:rsidRPr="00624547">
              <w:rPr>
                <w:noProof/>
                <w:webHidden/>
                <w:sz w:val="20"/>
                <w:szCs w:val="20"/>
                <w:lang w:val="it-IT"/>
              </w:rPr>
            </w:r>
            <w:r w:rsidR="001C63E0" w:rsidRPr="00624547">
              <w:rPr>
                <w:noProof/>
                <w:webHidden/>
                <w:sz w:val="20"/>
                <w:szCs w:val="20"/>
                <w:lang w:val="it-IT"/>
              </w:rPr>
              <w:fldChar w:fldCharType="separate"/>
            </w:r>
            <w:r w:rsidR="00ED7B60">
              <w:rPr>
                <w:noProof/>
                <w:webHidden/>
                <w:sz w:val="20"/>
                <w:szCs w:val="20"/>
                <w:lang w:val="it-IT"/>
              </w:rPr>
              <w:t>6</w:t>
            </w:r>
            <w:r w:rsidR="001C63E0" w:rsidRPr="00624547">
              <w:rPr>
                <w:noProof/>
                <w:webHidden/>
                <w:sz w:val="20"/>
                <w:szCs w:val="20"/>
                <w:lang w:val="it-IT"/>
              </w:rPr>
              <w:fldChar w:fldCharType="end"/>
            </w:r>
          </w:hyperlink>
        </w:p>
        <w:p w:rsidR="001C63E0" w:rsidRPr="00624547" w:rsidRDefault="00C533FF" w:rsidP="00624547">
          <w:pPr>
            <w:tabs>
              <w:tab w:val="left" w:pos="709"/>
              <w:tab w:val="right" w:leader="dot" w:pos="9628"/>
            </w:tabs>
            <w:spacing w:before="20"/>
            <w:ind w:left="709" w:hanging="709"/>
            <w:jc w:val="left"/>
            <w:rPr>
              <w:rFonts w:ascii="Calibri" w:eastAsia="DengXian" w:hAnsi="Calibri" w:cs="Arial"/>
              <w:noProof/>
              <w:sz w:val="22"/>
              <w:lang w:eastAsia="it-CH"/>
            </w:rPr>
          </w:pPr>
          <w:hyperlink w:anchor="_Toc98976087" w:history="1">
            <w:r w:rsidR="001C63E0" w:rsidRPr="00624547">
              <w:rPr>
                <w:noProof/>
                <w:sz w:val="20"/>
                <w:szCs w:val="20"/>
                <w:lang w:val="it-IT"/>
              </w:rPr>
              <w:t>1.1.6</w:t>
            </w:r>
            <w:r w:rsidR="001C63E0" w:rsidRPr="00624547">
              <w:rPr>
                <w:rFonts w:ascii="Calibri" w:eastAsia="DengXian" w:hAnsi="Calibri" w:cs="Arial"/>
                <w:noProof/>
                <w:sz w:val="22"/>
                <w:lang w:eastAsia="it-CH"/>
              </w:rPr>
              <w:tab/>
            </w:r>
            <w:r w:rsidR="001C63E0" w:rsidRPr="00624547">
              <w:rPr>
                <w:noProof/>
                <w:sz w:val="20"/>
                <w:szCs w:val="20"/>
                <w:lang w:val="it-IT"/>
              </w:rPr>
              <w:t>Sesta riforma, entrata in vigore il 1° gennaio 2005</w:t>
            </w:r>
            <w:r w:rsidR="001C63E0" w:rsidRPr="00624547">
              <w:rPr>
                <w:noProof/>
                <w:webHidden/>
                <w:sz w:val="20"/>
                <w:szCs w:val="20"/>
                <w:lang w:val="it-IT"/>
              </w:rPr>
              <w:tab/>
            </w:r>
            <w:r w:rsidR="001C63E0" w:rsidRPr="00624547">
              <w:rPr>
                <w:noProof/>
                <w:webHidden/>
                <w:sz w:val="20"/>
                <w:szCs w:val="20"/>
                <w:lang w:val="it-IT"/>
              </w:rPr>
              <w:fldChar w:fldCharType="begin"/>
            </w:r>
            <w:r w:rsidR="001C63E0" w:rsidRPr="00624547">
              <w:rPr>
                <w:noProof/>
                <w:webHidden/>
                <w:sz w:val="20"/>
                <w:szCs w:val="20"/>
                <w:lang w:val="it-IT"/>
              </w:rPr>
              <w:instrText xml:space="preserve"> PAGEREF _Toc98976087 \h </w:instrText>
            </w:r>
            <w:r w:rsidR="001C63E0" w:rsidRPr="00624547">
              <w:rPr>
                <w:noProof/>
                <w:webHidden/>
                <w:sz w:val="20"/>
                <w:szCs w:val="20"/>
                <w:lang w:val="it-IT"/>
              </w:rPr>
            </w:r>
            <w:r w:rsidR="001C63E0" w:rsidRPr="00624547">
              <w:rPr>
                <w:noProof/>
                <w:webHidden/>
                <w:sz w:val="20"/>
                <w:szCs w:val="20"/>
                <w:lang w:val="it-IT"/>
              </w:rPr>
              <w:fldChar w:fldCharType="separate"/>
            </w:r>
            <w:r w:rsidR="00ED7B60">
              <w:rPr>
                <w:noProof/>
                <w:webHidden/>
                <w:sz w:val="20"/>
                <w:szCs w:val="20"/>
                <w:lang w:val="it-IT"/>
              </w:rPr>
              <w:t>6</w:t>
            </w:r>
            <w:r w:rsidR="001C63E0" w:rsidRPr="00624547">
              <w:rPr>
                <w:noProof/>
                <w:webHidden/>
                <w:sz w:val="20"/>
                <w:szCs w:val="20"/>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088" w:history="1">
            <w:r w:rsidR="001C63E0" w:rsidRPr="00624547">
              <w:rPr>
                <w:noProof/>
                <w:sz w:val="22"/>
                <w:lang w:val="it-IT"/>
              </w:rPr>
              <w:t>1.2.</w:t>
            </w:r>
            <w:r w:rsidR="001C63E0" w:rsidRPr="00624547">
              <w:rPr>
                <w:rFonts w:ascii="Calibri" w:eastAsia="DengXian" w:hAnsi="Calibri" w:cs="Arial"/>
                <w:noProof/>
                <w:sz w:val="22"/>
                <w:lang w:eastAsia="it-CH"/>
              </w:rPr>
              <w:tab/>
            </w:r>
            <w:r w:rsidR="001C63E0" w:rsidRPr="00624547">
              <w:rPr>
                <w:noProof/>
                <w:sz w:val="22"/>
                <w:lang w:val="it-IT"/>
              </w:rPr>
              <w:t>Il piano di risanamento propriamente detto</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_Toc98976088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6</w:t>
            </w:r>
            <w:r w:rsidR="001C63E0" w:rsidRPr="00624547">
              <w:rPr>
                <w:noProof/>
                <w:webHidden/>
                <w:sz w:val="22"/>
                <w:lang w:val="it-IT"/>
              </w:rPr>
              <w:fldChar w:fldCharType="end"/>
            </w:r>
          </w:hyperlink>
        </w:p>
        <w:p w:rsidR="001C63E0" w:rsidRPr="00624547" w:rsidRDefault="00C533FF" w:rsidP="00624547">
          <w:pPr>
            <w:tabs>
              <w:tab w:val="left" w:pos="709"/>
              <w:tab w:val="right" w:leader="dot" w:pos="9628"/>
            </w:tabs>
            <w:spacing w:before="20"/>
            <w:ind w:left="709" w:hanging="709"/>
            <w:jc w:val="left"/>
            <w:rPr>
              <w:rFonts w:ascii="Calibri" w:eastAsia="DengXian" w:hAnsi="Calibri" w:cs="Arial"/>
              <w:noProof/>
              <w:sz w:val="22"/>
              <w:lang w:eastAsia="it-CH"/>
            </w:rPr>
          </w:pPr>
          <w:hyperlink w:anchor="_Toc98976089" w:history="1">
            <w:r w:rsidR="001C63E0" w:rsidRPr="00624547">
              <w:rPr>
                <w:noProof/>
                <w:sz w:val="20"/>
                <w:szCs w:val="20"/>
                <w:lang w:val="it-IT"/>
              </w:rPr>
              <w:t>1.2.1</w:t>
            </w:r>
            <w:r w:rsidR="001C63E0" w:rsidRPr="00624547">
              <w:rPr>
                <w:rFonts w:ascii="Calibri" w:eastAsia="DengXian" w:hAnsi="Calibri" w:cs="Arial"/>
                <w:noProof/>
                <w:sz w:val="22"/>
                <w:lang w:eastAsia="it-CH"/>
              </w:rPr>
              <w:tab/>
            </w:r>
            <w:r w:rsidR="001C63E0" w:rsidRPr="00624547">
              <w:rPr>
                <w:noProof/>
                <w:sz w:val="20"/>
                <w:szCs w:val="20"/>
                <w:lang w:val="it-IT"/>
              </w:rPr>
              <w:t>Contesto nel quale è avvenuto il piano di risanamento</w:t>
            </w:r>
            <w:r w:rsidR="001C63E0" w:rsidRPr="00624547">
              <w:rPr>
                <w:noProof/>
                <w:webHidden/>
                <w:sz w:val="20"/>
                <w:szCs w:val="20"/>
                <w:lang w:val="it-IT"/>
              </w:rPr>
              <w:tab/>
            </w:r>
            <w:r w:rsidR="001C63E0" w:rsidRPr="00624547">
              <w:rPr>
                <w:noProof/>
                <w:webHidden/>
                <w:sz w:val="20"/>
                <w:szCs w:val="20"/>
                <w:lang w:val="it-IT"/>
              </w:rPr>
              <w:fldChar w:fldCharType="begin"/>
            </w:r>
            <w:r w:rsidR="001C63E0" w:rsidRPr="00624547">
              <w:rPr>
                <w:noProof/>
                <w:webHidden/>
                <w:sz w:val="20"/>
                <w:szCs w:val="20"/>
                <w:lang w:val="it-IT"/>
              </w:rPr>
              <w:instrText xml:space="preserve"> PAGEREF _Toc98976089 \h </w:instrText>
            </w:r>
            <w:r w:rsidR="001C63E0" w:rsidRPr="00624547">
              <w:rPr>
                <w:noProof/>
                <w:webHidden/>
                <w:sz w:val="20"/>
                <w:szCs w:val="20"/>
                <w:lang w:val="it-IT"/>
              </w:rPr>
            </w:r>
            <w:r w:rsidR="001C63E0" w:rsidRPr="00624547">
              <w:rPr>
                <w:noProof/>
                <w:webHidden/>
                <w:sz w:val="20"/>
                <w:szCs w:val="20"/>
                <w:lang w:val="it-IT"/>
              </w:rPr>
              <w:fldChar w:fldCharType="separate"/>
            </w:r>
            <w:r w:rsidR="00ED7B60">
              <w:rPr>
                <w:noProof/>
                <w:webHidden/>
                <w:sz w:val="20"/>
                <w:szCs w:val="20"/>
                <w:lang w:val="it-IT"/>
              </w:rPr>
              <w:t>6</w:t>
            </w:r>
            <w:r w:rsidR="001C63E0" w:rsidRPr="00624547">
              <w:rPr>
                <w:noProof/>
                <w:webHidden/>
                <w:sz w:val="20"/>
                <w:szCs w:val="20"/>
                <w:lang w:val="it-IT"/>
              </w:rPr>
              <w:fldChar w:fldCharType="end"/>
            </w:r>
          </w:hyperlink>
        </w:p>
        <w:p w:rsidR="001C63E0" w:rsidRPr="00624547" w:rsidRDefault="00C533FF" w:rsidP="00624547">
          <w:pPr>
            <w:tabs>
              <w:tab w:val="left" w:pos="709"/>
              <w:tab w:val="right" w:leader="dot" w:pos="9628"/>
            </w:tabs>
            <w:spacing w:before="20"/>
            <w:ind w:left="709" w:hanging="709"/>
            <w:jc w:val="left"/>
            <w:rPr>
              <w:rFonts w:ascii="Calibri" w:eastAsia="DengXian" w:hAnsi="Calibri" w:cs="Arial"/>
              <w:noProof/>
              <w:sz w:val="22"/>
              <w:lang w:eastAsia="it-CH"/>
            </w:rPr>
          </w:pPr>
          <w:hyperlink w:anchor="_Toc98976090" w:history="1">
            <w:r w:rsidR="001C63E0" w:rsidRPr="00624547">
              <w:rPr>
                <w:noProof/>
                <w:sz w:val="20"/>
                <w:szCs w:val="20"/>
                <w:lang w:val="it-IT"/>
              </w:rPr>
              <w:t>1.2.2</w:t>
            </w:r>
            <w:r w:rsidR="001C63E0" w:rsidRPr="00624547">
              <w:rPr>
                <w:rFonts w:ascii="Calibri" w:eastAsia="DengXian" w:hAnsi="Calibri" w:cs="Arial"/>
                <w:noProof/>
                <w:sz w:val="22"/>
                <w:lang w:eastAsia="it-CH"/>
              </w:rPr>
              <w:tab/>
            </w:r>
            <w:r w:rsidR="001C63E0" w:rsidRPr="00624547">
              <w:rPr>
                <w:noProof/>
                <w:sz w:val="20"/>
                <w:szCs w:val="20"/>
                <w:lang w:val="it-IT"/>
              </w:rPr>
              <w:t>Le misure di risanamento</w:t>
            </w:r>
            <w:r w:rsidR="001C63E0" w:rsidRPr="00624547">
              <w:rPr>
                <w:noProof/>
                <w:webHidden/>
                <w:sz w:val="20"/>
                <w:szCs w:val="20"/>
                <w:lang w:val="it-IT"/>
              </w:rPr>
              <w:tab/>
            </w:r>
            <w:r w:rsidR="001C63E0" w:rsidRPr="00624547">
              <w:rPr>
                <w:noProof/>
                <w:webHidden/>
                <w:sz w:val="20"/>
                <w:szCs w:val="20"/>
                <w:lang w:val="it-IT"/>
              </w:rPr>
              <w:fldChar w:fldCharType="begin"/>
            </w:r>
            <w:r w:rsidR="001C63E0" w:rsidRPr="00624547">
              <w:rPr>
                <w:noProof/>
                <w:webHidden/>
                <w:sz w:val="20"/>
                <w:szCs w:val="20"/>
                <w:lang w:val="it-IT"/>
              </w:rPr>
              <w:instrText xml:space="preserve"> PAGEREF _Toc98976090 \h </w:instrText>
            </w:r>
            <w:r w:rsidR="001C63E0" w:rsidRPr="00624547">
              <w:rPr>
                <w:noProof/>
                <w:webHidden/>
                <w:sz w:val="20"/>
                <w:szCs w:val="20"/>
                <w:lang w:val="it-IT"/>
              </w:rPr>
            </w:r>
            <w:r w:rsidR="001C63E0" w:rsidRPr="00624547">
              <w:rPr>
                <w:noProof/>
                <w:webHidden/>
                <w:sz w:val="20"/>
                <w:szCs w:val="20"/>
                <w:lang w:val="it-IT"/>
              </w:rPr>
              <w:fldChar w:fldCharType="separate"/>
            </w:r>
            <w:r w:rsidR="00ED7B60">
              <w:rPr>
                <w:noProof/>
                <w:webHidden/>
                <w:sz w:val="20"/>
                <w:szCs w:val="20"/>
                <w:lang w:val="it-IT"/>
              </w:rPr>
              <w:t>7</w:t>
            </w:r>
            <w:r w:rsidR="001C63E0" w:rsidRPr="00624547">
              <w:rPr>
                <w:noProof/>
                <w:webHidden/>
                <w:sz w:val="20"/>
                <w:szCs w:val="20"/>
                <w:lang w:val="it-IT"/>
              </w:rPr>
              <w:fldChar w:fldCharType="end"/>
            </w:r>
          </w:hyperlink>
        </w:p>
        <w:p w:rsidR="001C63E0" w:rsidRPr="00624547" w:rsidRDefault="00C533FF" w:rsidP="00624547">
          <w:pPr>
            <w:tabs>
              <w:tab w:val="left" w:pos="709"/>
              <w:tab w:val="right" w:leader="dot" w:pos="9628"/>
            </w:tabs>
            <w:spacing w:before="20"/>
            <w:ind w:left="709" w:hanging="709"/>
            <w:jc w:val="left"/>
            <w:rPr>
              <w:rFonts w:ascii="Calibri" w:eastAsia="DengXian" w:hAnsi="Calibri" w:cs="Arial"/>
              <w:noProof/>
              <w:sz w:val="22"/>
              <w:lang w:eastAsia="it-CH"/>
            </w:rPr>
          </w:pPr>
          <w:hyperlink w:anchor="_Toc98976091" w:history="1">
            <w:r w:rsidR="001C63E0" w:rsidRPr="00624547">
              <w:rPr>
                <w:noProof/>
                <w:sz w:val="20"/>
                <w:szCs w:val="20"/>
                <w:lang w:val="it-IT"/>
              </w:rPr>
              <w:t>1.2.3</w:t>
            </w:r>
            <w:r w:rsidR="001C63E0" w:rsidRPr="00624547">
              <w:rPr>
                <w:rFonts w:ascii="Calibri" w:eastAsia="DengXian" w:hAnsi="Calibri" w:cs="Arial"/>
                <w:noProof/>
                <w:sz w:val="22"/>
                <w:lang w:eastAsia="it-CH"/>
              </w:rPr>
              <w:tab/>
            </w:r>
            <w:r w:rsidR="001C63E0" w:rsidRPr="00624547">
              <w:rPr>
                <w:noProof/>
                <w:sz w:val="20"/>
                <w:szCs w:val="20"/>
                <w:lang w:val="it-IT"/>
              </w:rPr>
              <w:t>Il costo del piano di risanamento</w:t>
            </w:r>
            <w:r w:rsidR="001C63E0" w:rsidRPr="00624547">
              <w:rPr>
                <w:noProof/>
                <w:webHidden/>
                <w:sz w:val="20"/>
                <w:szCs w:val="20"/>
                <w:lang w:val="it-IT"/>
              </w:rPr>
              <w:tab/>
            </w:r>
            <w:r w:rsidR="001C63E0" w:rsidRPr="00624547">
              <w:rPr>
                <w:noProof/>
                <w:webHidden/>
                <w:sz w:val="20"/>
                <w:szCs w:val="20"/>
                <w:lang w:val="it-IT"/>
              </w:rPr>
              <w:fldChar w:fldCharType="begin"/>
            </w:r>
            <w:r w:rsidR="001C63E0" w:rsidRPr="00624547">
              <w:rPr>
                <w:noProof/>
                <w:webHidden/>
                <w:sz w:val="20"/>
                <w:szCs w:val="20"/>
                <w:lang w:val="it-IT"/>
              </w:rPr>
              <w:instrText xml:space="preserve"> PAGEREF _Toc98976091 \h </w:instrText>
            </w:r>
            <w:r w:rsidR="001C63E0" w:rsidRPr="00624547">
              <w:rPr>
                <w:noProof/>
                <w:webHidden/>
                <w:sz w:val="20"/>
                <w:szCs w:val="20"/>
                <w:lang w:val="it-IT"/>
              </w:rPr>
            </w:r>
            <w:r w:rsidR="001C63E0" w:rsidRPr="00624547">
              <w:rPr>
                <w:noProof/>
                <w:webHidden/>
                <w:sz w:val="20"/>
                <w:szCs w:val="20"/>
                <w:lang w:val="it-IT"/>
              </w:rPr>
              <w:fldChar w:fldCharType="separate"/>
            </w:r>
            <w:r w:rsidR="00ED7B60">
              <w:rPr>
                <w:noProof/>
                <w:webHidden/>
                <w:sz w:val="20"/>
                <w:szCs w:val="20"/>
                <w:lang w:val="it-IT"/>
              </w:rPr>
              <w:t>8</w:t>
            </w:r>
            <w:r w:rsidR="001C63E0" w:rsidRPr="00624547">
              <w:rPr>
                <w:noProof/>
                <w:webHidden/>
                <w:sz w:val="20"/>
                <w:szCs w:val="20"/>
                <w:lang w:val="it-IT"/>
              </w:rPr>
              <w:fldChar w:fldCharType="end"/>
            </w:r>
          </w:hyperlink>
        </w:p>
        <w:p w:rsidR="001C63E0" w:rsidRPr="00624547" w:rsidRDefault="00C533FF" w:rsidP="00624547">
          <w:pPr>
            <w:tabs>
              <w:tab w:val="left" w:pos="709"/>
              <w:tab w:val="right" w:leader="dot" w:pos="9628"/>
            </w:tabs>
            <w:spacing w:before="20"/>
            <w:ind w:left="709" w:hanging="709"/>
            <w:jc w:val="left"/>
            <w:rPr>
              <w:rFonts w:ascii="Calibri" w:eastAsia="DengXian" w:hAnsi="Calibri" w:cs="Arial"/>
              <w:noProof/>
              <w:sz w:val="22"/>
              <w:lang w:eastAsia="it-CH"/>
            </w:rPr>
          </w:pPr>
          <w:hyperlink w:anchor="_Toc98976092" w:history="1">
            <w:r w:rsidR="001C63E0" w:rsidRPr="00624547">
              <w:rPr>
                <w:noProof/>
                <w:sz w:val="20"/>
                <w:szCs w:val="20"/>
                <w:lang w:val="it-IT"/>
              </w:rPr>
              <w:t>1.2.4</w:t>
            </w:r>
            <w:r w:rsidR="001C63E0" w:rsidRPr="00624547">
              <w:rPr>
                <w:rFonts w:ascii="Calibri" w:eastAsia="DengXian" w:hAnsi="Calibri" w:cs="Arial"/>
                <w:noProof/>
                <w:sz w:val="22"/>
                <w:lang w:eastAsia="it-CH"/>
              </w:rPr>
              <w:tab/>
            </w:r>
            <w:r w:rsidR="001C63E0" w:rsidRPr="00624547">
              <w:rPr>
                <w:noProof/>
                <w:sz w:val="20"/>
                <w:szCs w:val="20"/>
                <w:lang w:val="it-IT"/>
              </w:rPr>
              <w:t>Nuova ripartizione dei contributi tra affiliati attivi e datori di lavoro dal 1° gennaio 2013</w:t>
            </w:r>
            <w:r w:rsidR="001C63E0" w:rsidRPr="00624547">
              <w:rPr>
                <w:noProof/>
                <w:webHidden/>
                <w:sz w:val="20"/>
                <w:szCs w:val="20"/>
                <w:lang w:val="it-IT"/>
              </w:rPr>
              <w:tab/>
            </w:r>
            <w:r w:rsidR="001C63E0" w:rsidRPr="00624547">
              <w:rPr>
                <w:noProof/>
                <w:webHidden/>
                <w:sz w:val="20"/>
                <w:szCs w:val="20"/>
                <w:lang w:val="it-IT"/>
              </w:rPr>
              <w:fldChar w:fldCharType="begin"/>
            </w:r>
            <w:r w:rsidR="001C63E0" w:rsidRPr="00624547">
              <w:rPr>
                <w:noProof/>
                <w:webHidden/>
                <w:sz w:val="20"/>
                <w:szCs w:val="20"/>
                <w:lang w:val="it-IT"/>
              </w:rPr>
              <w:instrText xml:space="preserve"> PAGEREF _Toc98976092 \h </w:instrText>
            </w:r>
            <w:r w:rsidR="001C63E0" w:rsidRPr="00624547">
              <w:rPr>
                <w:noProof/>
                <w:webHidden/>
                <w:sz w:val="20"/>
                <w:szCs w:val="20"/>
                <w:lang w:val="it-IT"/>
              </w:rPr>
            </w:r>
            <w:r w:rsidR="001C63E0" w:rsidRPr="00624547">
              <w:rPr>
                <w:noProof/>
                <w:webHidden/>
                <w:sz w:val="20"/>
                <w:szCs w:val="20"/>
                <w:lang w:val="it-IT"/>
              </w:rPr>
              <w:fldChar w:fldCharType="separate"/>
            </w:r>
            <w:r w:rsidR="00ED7B60">
              <w:rPr>
                <w:noProof/>
                <w:webHidden/>
                <w:sz w:val="20"/>
                <w:szCs w:val="20"/>
                <w:lang w:val="it-IT"/>
              </w:rPr>
              <w:t>10</w:t>
            </w:r>
            <w:r w:rsidR="001C63E0" w:rsidRPr="00624547">
              <w:rPr>
                <w:noProof/>
                <w:webHidden/>
                <w:sz w:val="20"/>
                <w:szCs w:val="20"/>
                <w:lang w:val="it-IT"/>
              </w:rPr>
              <w:fldChar w:fldCharType="end"/>
            </w:r>
          </w:hyperlink>
        </w:p>
        <w:p w:rsidR="001C63E0" w:rsidRPr="00624547" w:rsidRDefault="00C533FF" w:rsidP="00624547">
          <w:pPr>
            <w:tabs>
              <w:tab w:val="left" w:pos="709"/>
              <w:tab w:val="right" w:leader="dot" w:pos="9628"/>
            </w:tabs>
            <w:spacing w:before="20"/>
            <w:ind w:left="709" w:hanging="709"/>
            <w:jc w:val="left"/>
            <w:rPr>
              <w:rFonts w:ascii="Calibri" w:eastAsia="DengXian" w:hAnsi="Calibri" w:cs="Arial"/>
              <w:noProof/>
              <w:sz w:val="22"/>
              <w:lang w:eastAsia="it-CH"/>
            </w:rPr>
          </w:pPr>
          <w:hyperlink w:anchor="_Toc98976093" w:history="1">
            <w:r w:rsidR="001C63E0" w:rsidRPr="00624547">
              <w:rPr>
                <w:noProof/>
                <w:sz w:val="20"/>
                <w:szCs w:val="20"/>
                <w:lang w:val="it-IT"/>
              </w:rPr>
              <w:t>1.2.5</w:t>
            </w:r>
            <w:r w:rsidR="001C63E0" w:rsidRPr="00624547">
              <w:rPr>
                <w:rFonts w:ascii="Calibri" w:eastAsia="DengXian" w:hAnsi="Calibri" w:cs="Arial"/>
                <w:noProof/>
                <w:sz w:val="22"/>
                <w:lang w:eastAsia="it-CH"/>
              </w:rPr>
              <w:tab/>
            </w:r>
            <w:r w:rsidR="001C63E0" w:rsidRPr="00624547">
              <w:rPr>
                <w:noProof/>
                <w:sz w:val="20"/>
                <w:szCs w:val="20"/>
                <w:lang w:val="it-IT"/>
              </w:rPr>
              <w:t>Nuova suddivisione delle competenze tra IPCT (Consiglio di amministrazione) e Gran Consiglio dal 1° gennaio 2013</w:t>
            </w:r>
            <w:r w:rsidR="001C63E0" w:rsidRPr="00624547">
              <w:rPr>
                <w:noProof/>
                <w:webHidden/>
                <w:sz w:val="20"/>
                <w:szCs w:val="20"/>
                <w:lang w:val="it-IT"/>
              </w:rPr>
              <w:tab/>
            </w:r>
            <w:r w:rsidR="001C63E0" w:rsidRPr="00624547">
              <w:rPr>
                <w:noProof/>
                <w:webHidden/>
                <w:sz w:val="20"/>
                <w:szCs w:val="20"/>
                <w:lang w:val="it-IT"/>
              </w:rPr>
              <w:fldChar w:fldCharType="begin"/>
            </w:r>
            <w:r w:rsidR="001C63E0" w:rsidRPr="00624547">
              <w:rPr>
                <w:noProof/>
                <w:webHidden/>
                <w:sz w:val="20"/>
                <w:szCs w:val="20"/>
                <w:lang w:val="it-IT"/>
              </w:rPr>
              <w:instrText xml:space="preserve"> PAGEREF _Toc98976093 \h </w:instrText>
            </w:r>
            <w:r w:rsidR="001C63E0" w:rsidRPr="00624547">
              <w:rPr>
                <w:noProof/>
                <w:webHidden/>
                <w:sz w:val="20"/>
                <w:szCs w:val="20"/>
                <w:lang w:val="it-IT"/>
              </w:rPr>
            </w:r>
            <w:r w:rsidR="001C63E0" w:rsidRPr="00624547">
              <w:rPr>
                <w:noProof/>
                <w:webHidden/>
                <w:sz w:val="20"/>
                <w:szCs w:val="20"/>
                <w:lang w:val="it-IT"/>
              </w:rPr>
              <w:fldChar w:fldCharType="separate"/>
            </w:r>
            <w:r w:rsidR="00ED7B60">
              <w:rPr>
                <w:noProof/>
                <w:webHidden/>
                <w:sz w:val="20"/>
                <w:szCs w:val="20"/>
                <w:lang w:val="it-IT"/>
              </w:rPr>
              <w:t>11</w:t>
            </w:r>
            <w:r w:rsidR="001C63E0" w:rsidRPr="00624547">
              <w:rPr>
                <w:noProof/>
                <w:webHidden/>
                <w:sz w:val="20"/>
                <w:szCs w:val="20"/>
                <w:lang w:val="it-IT"/>
              </w:rPr>
              <w:fldChar w:fldCharType="end"/>
            </w:r>
          </w:hyperlink>
        </w:p>
        <w:p w:rsidR="001C63E0" w:rsidRPr="00624547" w:rsidRDefault="00C533FF" w:rsidP="00624547">
          <w:pPr>
            <w:tabs>
              <w:tab w:val="left" w:pos="709"/>
              <w:tab w:val="right" w:leader="dot" w:pos="9628"/>
            </w:tabs>
            <w:spacing w:before="120"/>
            <w:ind w:left="709" w:hanging="709"/>
            <w:jc w:val="left"/>
            <w:rPr>
              <w:rFonts w:ascii="Calibri" w:eastAsia="DengXian" w:hAnsi="Calibri" w:cs="Arial"/>
              <w:noProof/>
              <w:sz w:val="22"/>
              <w:lang w:eastAsia="it-CH"/>
            </w:rPr>
          </w:pPr>
          <w:hyperlink w:anchor="_Toc98976094" w:history="1">
            <w:r w:rsidR="001C63E0" w:rsidRPr="00624547">
              <w:rPr>
                <w:caps/>
                <w:noProof/>
                <w:sz w:val="22"/>
                <w:lang w:val="it-IT"/>
              </w:rPr>
              <w:t>2.</w:t>
            </w:r>
            <w:r w:rsidR="001C63E0" w:rsidRPr="00624547">
              <w:rPr>
                <w:rFonts w:ascii="Calibri" w:eastAsia="DengXian" w:hAnsi="Calibri" w:cs="Arial"/>
                <w:noProof/>
                <w:sz w:val="22"/>
                <w:lang w:eastAsia="it-CH"/>
              </w:rPr>
              <w:tab/>
            </w:r>
            <w:r w:rsidR="001C63E0" w:rsidRPr="00624547">
              <w:rPr>
                <w:caps/>
                <w:noProof/>
                <w:sz w:val="22"/>
                <w:lang w:val="it-IT"/>
              </w:rPr>
              <w:t>IL CONTRIBUTO INTEGRATIVO DI CHF</w:t>
            </w:r>
            <w:r w:rsidR="00DF2942">
              <w:rPr>
                <w:caps/>
                <w:noProof/>
                <w:sz w:val="22"/>
                <w:lang w:val="it-IT"/>
              </w:rPr>
              <w:t xml:space="preserve"> </w:t>
            </w:r>
            <w:r w:rsidR="001C63E0" w:rsidRPr="00624547">
              <w:rPr>
                <w:caps/>
                <w:noProof/>
                <w:sz w:val="22"/>
                <w:lang w:val="it-IT"/>
              </w:rPr>
              <w:t>500 MILIONI RICHIESTO CON IL MESSAGGIO N. 7784</w:t>
            </w:r>
            <w:r w:rsidR="001C63E0" w:rsidRPr="00624547">
              <w:rPr>
                <w:caps/>
                <w:noProof/>
                <w:webHidden/>
                <w:sz w:val="22"/>
                <w:lang w:val="it-IT"/>
              </w:rPr>
              <w:tab/>
            </w:r>
            <w:r w:rsidR="001C63E0" w:rsidRPr="00624547">
              <w:rPr>
                <w:caps/>
                <w:noProof/>
                <w:webHidden/>
                <w:sz w:val="22"/>
                <w:lang w:val="it-IT"/>
              </w:rPr>
              <w:fldChar w:fldCharType="begin"/>
            </w:r>
            <w:r w:rsidR="001C63E0" w:rsidRPr="00624547">
              <w:rPr>
                <w:caps/>
                <w:noProof/>
                <w:webHidden/>
                <w:sz w:val="22"/>
                <w:lang w:val="it-IT"/>
              </w:rPr>
              <w:instrText xml:space="preserve"> PAGEREF _Toc98976094 \h </w:instrText>
            </w:r>
            <w:r w:rsidR="001C63E0" w:rsidRPr="00624547">
              <w:rPr>
                <w:caps/>
                <w:noProof/>
                <w:webHidden/>
                <w:sz w:val="22"/>
                <w:lang w:val="it-IT"/>
              </w:rPr>
            </w:r>
            <w:r w:rsidR="001C63E0" w:rsidRPr="00624547">
              <w:rPr>
                <w:caps/>
                <w:noProof/>
                <w:webHidden/>
                <w:sz w:val="22"/>
                <w:lang w:val="it-IT"/>
              </w:rPr>
              <w:fldChar w:fldCharType="separate"/>
            </w:r>
            <w:r w:rsidR="00ED7B60">
              <w:rPr>
                <w:caps/>
                <w:noProof/>
                <w:webHidden/>
                <w:sz w:val="22"/>
                <w:lang w:val="it-IT"/>
              </w:rPr>
              <w:t>11</w:t>
            </w:r>
            <w:r w:rsidR="001C63E0" w:rsidRPr="00624547">
              <w:rPr>
                <w:caps/>
                <w:noProof/>
                <w:webHidden/>
                <w:sz w:val="22"/>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095" w:history="1">
            <w:r w:rsidR="001C63E0" w:rsidRPr="00624547">
              <w:rPr>
                <w:noProof/>
                <w:sz w:val="22"/>
                <w:lang w:val="it-IT"/>
              </w:rPr>
              <w:t>2.1</w:t>
            </w:r>
            <w:r w:rsidR="001C63E0" w:rsidRPr="00624547">
              <w:rPr>
                <w:rFonts w:ascii="Calibri" w:eastAsia="DengXian" w:hAnsi="Calibri" w:cs="Arial"/>
                <w:noProof/>
                <w:sz w:val="22"/>
                <w:lang w:eastAsia="it-CH"/>
              </w:rPr>
              <w:tab/>
            </w:r>
            <w:r w:rsidR="001C63E0" w:rsidRPr="00624547">
              <w:rPr>
                <w:noProof/>
                <w:sz w:val="22"/>
                <w:lang w:val="it-IT"/>
              </w:rPr>
              <w:t>Motivi di questa nuova immissione di denaro pubblico nell’IPCT</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_Toc98976095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11</w:t>
            </w:r>
            <w:r w:rsidR="001C63E0" w:rsidRPr="00624547">
              <w:rPr>
                <w:noProof/>
                <w:webHidden/>
                <w:sz w:val="22"/>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096" w:history="1">
            <w:r w:rsidR="001C63E0" w:rsidRPr="00624547">
              <w:rPr>
                <w:noProof/>
                <w:sz w:val="22"/>
                <w:lang w:val="it-IT"/>
              </w:rPr>
              <w:t>2.2</w:t>
            </w:r>
            <w:r w:rsidR="001C63E0" w:rsidRPr="00624547">
              <w:rPr>
                <w:rFonts w:ascii="Calibri" w:eastAsia="DengXian" w:hAnsi="Calibri" w:cs="Arial"/>
                <w:noProof/>
                <w:sz w:val="22"/>
                <w:lang w:eastAsia="it-CH"/>
              </w:rPr>
              <w:tab/>
            </w:r>
            <w:r w:rsidR="001C63E0" w:rsidRPr="00624547">
              <w:rPr>
                <w:noProof/>
                <w:sz w:val="22"/>
                <w:lang w:val="it-IT"/>
              </w:rPr>
              <w:t>Le conseguenze della mancata concessione del contributo supplementare</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_Toc98976096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12</w:t>
            </w:r>
            <w:r w:rsidR="001C63E0" w:rsidRPr="00624547">
              <w:rPr>
                <w:noProof/>
                <w:webHidden/>
                <w:sz w:val="22"/>
                <w:lang w:val="it-IT"/>
              </w:rPr>
              <w:fldChar w:fldCharType="end"/>
            </w:r>
          </w:hyperlink>
        </w:p>
        <w:p w:rsidR="001C63E0" w:rsidRPr="00624547" w:rsidRDefault="00C533FF" w:rsidP="00624547">
          <w:pPr>
            <w:tabs>
              <w:tab w:val="left" w:pos="709"/>
              <w:tab w:val="right" w:leader="dot" w:pos="9628"/>
            </w:tabs>
            <w:spacing w:before="120"/>
            <w:ind w:left="709" w:hanging="709"/>
            <w:jc w:val="left"/>
            <w:rPr>
              <w:rFonts w:ascii="Calibri" w:eastAsia="DengXian" w:hAnsi="Calibri" w:cs="Arial"/>
              <w:noProof/>
              <w:sz w:val="22"/>
              <w:lang w:eastAsia="it-CH"/>
            </w:rPr>
          </w:pPr>
          <w:hyperlink w:anchor="_Toc98976097" w:history="1">
            <w:r w:rsidR="001C63E0" w:rsidRPr="00624547">
              <w:rPr>
                <w:caps/>
                <w:noProof/>
                <w:sz w:val="22"/>
                <w:lang w:val="it-IT"/>
              </w:rPr>
              <w:t>3.</w:t>
            </w:r>
            <w:r w:rsidR="001C63E0" w:rsidRPr="00624547">
              <w:rPr>
                <w:rFonts w:ascii="Calibri" w:eastAsia="DengXian" w:hAnsi="Calibri" w:cs="Arial"/>
                <w:noProof/>
                <w:sz w:val="22"/>
                <w:lang w:eastAsia="it-CH"/>
              </w:rPr>
              <w:tab/>
            </w:r>
            <w:r w:rsidR="001C63E0" w:rsidRPr="00624547">
              <w:rPr>
                <w:caps/>
                <w:noProof/>
                <w:sz w:val="22"/>
                <w:lang w:val="it-IT"/>
              </w:rPr>
              <w:t>QUESTIONI TECNICHE GENERALI DISCUSSE DURANTE L’AUDIZIONE SOTTOCOMMISSIONALE DEL 21 LUGLIO 2020</w:t>
            </w:r>
            <w:r w:rsidR="001C63E0" w:rsidRPr="00624547">
              <w:rPr>
                <w:caps/>
                <w:noProof/>
                <w:webHidden/>
                <w:sz w:val="22"/>
                <w:lang w:val="it-IT"/>
              </w:rPr>
              <w:tab/>
            </w:r>
            <w:r w:rsidR="001C63E0" w:rsidRPr="00624547">
              <w:rPr>
                <w:caps/>
                <w:noProof/>
                <w:webHidden/>
                <w:sz w:val="22"/>
                <w:lang w:val="it-IT"/>
              </w:rPr>
              <w:fldChar w:fldCharType="begin"/>
            </w:r>
            <w:r w:rsidR="001C63E0" w:rsidRPr="00624547">
              <w:rPr>
                <w:caps/>
                <w:noProof/>
                <w:webHidden/>
                <w:sz w:val="22"/>
                <w:lang w:val="it-IT"/>
              </w:rPr>
              <w:instrText xml:space="preserve"> PAGEREF _Toc98976097 \h </w:instrText>
            </w:r>
            <w:r w:rsidR="001C63E0" w:rsidRPr="00624547">
              <w:rPr>
                <w:caps/>
                <w:noProof/>
                <w:webHidden/>
                <w:sz w:val="22"/>
                <w:lang w:val="it-IT"/>
              </w:rPr>
            </w:r>
            <w:r w:rsidR="001C63E0" w:rsidRPr="00624547">
              <w:rPr>
                <w:caps/>
                <w:noProof/>
                <w:webHidden/>
                <w:sz w:val="22"/>
                <w:lang w:val="it-IT"/>
              </w:rPr>
              <w:fldChar w:fldCharType="separate"/>
            </w:r>
            <w:r w:rsidR="00ED7B60">
              <w:rPr>
                <w:caps/>
                <w:noProof/>
                <w:webHidden/>
                <w:sz w:val="22"/>
                <w:lang w:val="it-IT"/>
              </w:rPr>
              <w:t>13</w:t>
            </w:r>
            <w:r w:rsidR="001C63E0" w:rsidRPr="00624547">
              <w:rPr>
                <w:caps/>
                <w:noProof/>
                <w:webHidden/>
                <w:sz w:val="22"/>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098" w:history="1">
            <w:r w:rsidR="001C63E0" w:rsidRPr="00624547">
              <w:rPr>
                <w:noProof/>
                <w:sz w:val="22"/>
                <w:lang w:val="it-IT"/>
              </w:rPr>
              <w:t>3.1</w:t>
            </w:r>
            <w:r w:rsidR="001C63E0" w:rsidRPr="00624547">
              <w:rPr>
                <w:rFonts w:ascii="Calibri" w:eastAsia="DengXian" w:hAnsi="Calibri" w:cs="Arial"/>
                <w:noProof/>
                <w:sz w:val="22"/>
                <w:lang w:eastAsia="it-CH"/>
              </w:rPr>
              <w:tab/>
            </w:r>
            <w:r w:rsidR="001C63E0" w:rsidRPr="00624547">
              <w:rPr>
                <w:noProof/>
                <w:sz w:val="22"/>
                <w:lang w:val="it-IT"/>
              </w:rPr>
              <w:t>Tassi di mercato, capacità di rischio dell’IPCT e modalità di riconoscimento del contributo supplementare di CHF 500 milioni da parte del Cantone</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_Toc98976098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13</w:t>
            </w:r>
            <w:r w:rsidR="001C63E0" w:rsidRPr="00624547">
              <w:rPr>
                <w:noProof/>
                <w:webHidden/>
                <w:sz w:val="22"/>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099" w:history="1">
            <w:r w:rsidR="001C63E0" w:rsidRPr="00624547">
              <w:rPr>
                <w:noProof/>
                <w:sz w:val="22"/>
                <w:lang w:val="it-IT"/>
              </w:rPr>
              <w:t>3.2</w:t>
            </w:r>
            <w:r w:rsidR="001C63E0" w:rsidRPr="00624547">
              <w:rPr>
                <w:rFonts w:ascii="Calibri" w:eastAsia="DengXian" w:hAnsi="Calibri" w:cs="Arial"/>
                <w:noProof/>
                <w:sz w:val="22"/>
                <w:lang w:eastAsia="it-CH"/>
              </w:rPr>
              <w:tab/>
            </w:r>
            <w:r w:rsidR="001C63E0" w:rsidRPr="00624547">
              <w:rPr>
                <w:noProof/>
                <w:sz w:val="22"/>
                <w:lang w:val="it-IT"/>
              </w:rPr>
              <w:t>La questione del tasso tecnico, tra passato (piano di risanamento del 2012), presente e futuro</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_Toc98976099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14</w:t>
            </w:r>
            <w:r w:rsidR="001C63E0" w:rsidRPr="00624547">
              <w:rPr>
                <w:noProof/>
                <w:webHidden/>
                <w:sz w:val="22"/>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100" w:history="1">
            <w:r w:rsidR="001C63E0" w:rsidRPr="00624547">
              <w:rPr>
                <w:noProof/>
                <w:sz w:val="22"/>
                <w:lang w:val="it-IT"/>
              </w:rPr>
              <w:t>3.3</w:t>
            </w:r>
            <w:r w:rsidR="001C63E0" w:rsidRPr="00624547">
              <w:rPr>
                <w:rFonts w:ascii="Calibri" w:eastAsia="DengXian" w:hAnsi="Calibri" w:cs="Arial"/>
                <w:noProof/>
                <w:sz w:val="22"/>
                <w:lang w:eastAsia="it-CH"/>
              </w:rPr>
              <w:tab/>
            </w:r>
            <w:r w:rsidR="001C63E0" w:rsidRPr="00624547">
              <w:rPr>
                <w:noProof/>
                <w:sz w:val="22"/>
                <w:lang w:val="it-IT"/>
              </w:rPr>
              <w:t>L’eventualità di richiedere ulteriori futuri contributi</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_Toc98976100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15</w:t>
            </w:r>
            <w:r w:rsidR="001C63E0" w:rsidRPr="00624547">
              <w:rPr>
                <w:noProof/>
                <w:webHidden/>
                <w:sz w:val="22"/>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101" w:history="1">
            <w:r w:rsidR="001C63E0" w:rsidRPr="00624547">
              <w:rPr>
                <w:noProof/>
                <w:sz w:val="22"/>
                <w:lang w:val="it-IT"/>
              </w:rPr>
              <w:t>3.4</w:t>
            </w:r>
            <w:r w:rsidR="001C63E0" w:rsidRPr="00624547">
              <w:rPr>
                <w:rFonts w:ascii="Calibri" w:eastAsia="DengXian" w:hAnsi="Calibri" w:cs="Arial"/>
                <w:noProof/>
                <w:sz w:val="22"/>
                <w:lang w:eastAsia="it-CH"/>
              </w:rPr>
              <w:tab/>
            </w:r>
            <w:r w:rsidR="001C63E0" w:rsidRPr="00624547">
              <w:rPr>
                <w:noProof/>
                <w:sz w:val="22"/>
                <w:lang w:val="it-IT"/>
              </w:rPr>
              <w:t>Sintesi delle ragioni a monte della situazione attuale</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_Toc98976101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16</w:t>
            </w:r>
            <w:r w:rsidR="001C63E0" w:rsidRPr="00624547">
              <w:rPr>
                <w:noProof/>
                <w:webHidden/>
                <w:sz w:val="22"/>
                <w:lang w:val="it-IT"/>
              </w:rPr>
              <w:fldChar w:fldCharType="end"/>
            </w:r>
          </w:hyperlink>
        </w:p>
        <w:p w:rsidR="001C63E0" w:rsidRPr="00624547" w:rsidRDefault="00C533FF" w:rsidP="00624547">
          <w:pPr>
            <w:tabs>
              <w:tab w:val="left" w:pos="709"/>
              <w:tab w:val="right" w:leader="dot" w:pos="9628"/>
            </w:tabs>
            <w:spacing w:before="120"/>
            <w:ind w:left="709" w:hanging="709"/>
            <w:jc w:val="left"/>
            <w:rPr>
              <w:rFonts w:ascii="Calibri" w:eastAsia="DengXian" w:hAnsi="Calibri" w:cs="Arial"/>
              <w:noProof/>
              <w:sz w:val="22"/>
              <w:lang w:eastAsia="it-CH"/>
            </w:rPr>
          </w:pPr>
          <w:hyperlink w:anchor="_Toc98976102" w:history="1">
            <w:r w:rsidR="001C63E0" w:rsidRPr="00624547">
              <w:rPr>
                <w:caps/>
                <w:noProof/>
                <w:sz w:val="22"/>
                <w:lang w:val="it-IT"/>
              </w:rPr>
              <w:t>4.</w:t>
            </w:r>
            <w:r w:rsidR="001C63E0" w:rsidRPr="00624547">
              <w:rPr>
                <w:rFonts w:ascii="Calibri" w:eastAsia="DengXian" w:hAnsi="Calibri" w:cs="Arial"/>
                <w:noProof/>
                <w:sz w:val="22"/>
                <w:lang w:eastAsia="it-CH"/>
              </w:rPr>
              <w:tab/>
            </w:r>
            <w:r w:rsidR="001C63E0" w:rsidRPr="00624547">
              <w:rPr>
                <w:i/>
                <w:caps/>
                <w:noProof/>
                <w:sz w:val="22"/>
                <w:lang w:val="it-IT"/>
              </w:rPr>
              <w:t>CONTINUUM</w:t>
            </w:r>
            <w:r w:rsidR="001C63E0" w:rsidRPr="00624547">
              <w:rPr>
                <w:caps/>
                <w:noProof/>
                <w:sz w:val="22"/>
                <w:lang w:val="it-IT"/>
              </w:rPr>
              <w:t xml:space="preserve"> DI SCENARI</w:t>
            </w:r>
            <w:r w:rsidR="001C63E0" w:rsidRPr="00624547">
              <w:rPr>
                <w:caps/>
                <w:noProof/>
                <w:webHidden/>
                <w:sz w:val="22"/>
                <w:lang w:val="it-IT"/>
              </w:rPr>
              <w:tab/>
            </w:r>
            <w:r w:rsidR="001C63E0" w:rsidRPr="00624547">
              <w:rPr>
                <w:caps/>
                <w:noProof/>
                <w:webHidden/>
                <w:sz w:val="22"/>
                <w:lang w:val="it-IT"/>
              </w:rPr>
              <w:fldChar w:fldCharType="begin"/>
            </w:r>
            <w:r w:rsidR="001C63E0" w:rsidRPr="00624547">
              <w:rPr>
                <w:caps/>
                <w:noProof/>
                <w:webHidden/>
                <w:sz w:val="22"/>
                <w:lang w:val="it-IT"/>
              </w:rPr>
              <w:instrText xml:space="preserve"> PAGEREF _Toc98976102 \h </w:instrText>
            </w:r>
            <w:r w:rsidR="001C63E0" w:rsidRPr="00624547">
              <w:rPr>
                <w:caps/>
                <w:noProof/>
                <w:webHidden/>
                <w:sz w:val="22"/>
                <w:lang w:val="it-IT"/>
              </w:rPr>
            </w:r>
            <w:r w:rsidR="001C63E0" w:rsidRPr="00624547">
              <w:rPr>
                <w:caps/>
                <w:noProof/>
                <w:webHidden/>
                <w:sz w:val="22"/>
                <w:lang w:val="it-IT"/>
              </w:rPr>
              <w:fldChar w:fldCharType="separate"/>
            </w:r>
            <w:r w:rsidR="00ED7B60">
              <w:rPr>
                <w:caps/>
                <w:noProof/>
                <w:webHidden/>
                <w:sz w:val="22"/>
                <w:lang w:val="it-IT"/>
              </w:rPr>
              <w:t>18</w:t>
            </w:r>
            <w:r w:rsidR="001C63E0" w:rsidRPr="00624547">
              <w:rPr>
                <w:caps/>
                <w:noProof/>
                <w:webHidden/>
                <w:sz w:val="22"/>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103" w:history="1">
            <w:r w:rsidR="001C63E0" w:rsidRPr="00624547">
              <w:rPr>
                <w:noProof/>
                <w:sz w:val="22"/>
                <w:lang w:val="it-IT"/>
              </w:rPr>
              <w:t>4.1</w:t>
            </w:r>
            <w:r w:rsidR="001C63E0" w:rsidRPr="00624547">
              <w:rPr>
                <w:rFonts w:ascii="Calibri" w:eastAsia="DengXian" w:hAnsi="Calibri" w:cs="Arial"/>
                <w:noProof/>
                <w:sz w:val="22"/>
                <w:lang w:eastAsia="it-CH"/>
              </w:rPr>
              <w:tab/>
            </w:r>
            <w:r w:rsidR="001C63E0" w:rsidRPr="00624547">
              <w:rPr>
                <w:noProof/>
                <w:sz w:val="22"/>
                <w:lang w:val="it-IT"/>
              </w:rPr>
              <w:t>Adesione, al contributo integrativo di CHF 500 milioni e continuazione del "cammino di finanziamento" votato dal Parlamento cantonale nel novembre 2012</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_Toc98976103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18</w:t>
            </w:r>
            <w:r w:rsidR="001C63E0" w:rsidRPr="00624547">
              <w:rPr>
                <w:noProof/>
                <w:webHidden/>
                <w:sz w:val="22"/>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104" w:history="1">
            <w:r w:rsidR="001C63E0" w:rsidRPr="00624547">
              <w:rPr>
                <w:noProof/>
                <w:sz w:val="22"/>
                <w:lang w:val="it-IT"/>
              </w:rPr>
              <w:t>4.2</w:t>
            </w:r>
            <w:r w:rsidR="001C63E0" w:rsidRPr="00624547">
              <w:rPr>
                <w:rFonts w:ascii="Calibri" w:eastAsia="DengXian" w:hAnsi="Calibri" w:cs="Arial"/>
                <w:noProof/>
                <w:sz w:val="22"/>
                <w:lang w:eastAsia="it-CH"/>
              </w:rPr>
              <w:tab/>
            </w:r>
            <w:r w:rsidR="001C63E0" w:rsidRPr="00624547">
              <w:rPr>
                <w:noProof/>
                <w:sz w:val="22"/>
                <w:lang w:val="it-IT"/>
              </w:rPr>
              <w:t>Respingimento (in aula o, a seguito di un referendum, in votazione popolare) del contributo integrativo di CHF</w:t>
            </w:r>
            <w:r w:rsidR="00DF2942">
              <w:rPr>
                <w:noProof/>
                <w:sz w:val="22"/>
                <w:lang w:val="it-IT"/>
              </w:rPr>
              <w:t xml:space="preserve"> </w:t>
            </w:r>
            <w:r w:rsidR="001C63E0" w:rsidRPr="00624547">
              <w:rPr>
                <w:noProof/>
                <w:sz w:val="22"/>
                <w:lang w:val="it-IT"/>
              </w:rPr>
              <w:t>500 milioni richiesto con il messaggio n.</w:t>
            </w:r>
            <w:r w:rsidR="00DF2942">
              <w:rPr>
                <w:noProof/>
                <w:sz w:val="22"/>
                <w:lang w:val="it-IT"/>
              </w:rPr>
              <w:t xml:space="preserve"> </w:t>
            </w:r>
            <w:r w:rsidR="001C63E0" w:rsidRPr="00624547">
              <w:rPr>
                <w:noProof/>
                <w:sz w:val="22"/>
                <w:lang w:val="it-IT"/>
              </w:rPr>
              <w:t>7784, così come di ulteriori successivi contributi</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_Toc98976104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19</w:t>
            </w:r>
            <w:r w:rsidR="001C63E0" w:rsidRPr="00624547">
              <w:rPr>
                <w:noProof/>
                <w:webHidden/>
                <w:sz w:val="22"/>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105" w:history="1">
            <w:r w:rsidR="001C63E0" w:rsidRPr="00624547">
              <w:rPr>
                <w:noProof/>
                <w:sz w:val="22"/>
                <w:lang w:val="it-IT"/>
              </w:rPr>
              <w:t>4.3</w:t>
            </w:r>
            <w:r w:rsidR="001C63E0" w:rsidRPr="00624547">
              <w:rPr>
                <w:rFonts w:ascii="Calibri" w:eastAsia="DengXian" w:hAnsi="Calibri" w:cs="Arial"/>
                <w:noProof/>
                <w:sz w:val="22"/>
                <w:lang w:eastAsia="it-CH"/>
              </w:rPr>
              <w:tab/>
            </w:r>
            <w:r w:rsidR="001C63E0" w:rsidRPr="00624547">
              <w:rPr>
                <w:noProof/>
                <w:sz w:val="22"/>
                <w:lang w:val="it-IT"/>
              </w:rPr>
              <w:t>Abbassamento dall’85% all’80% dell’obiettivo del grado di copertura da raggiungere entro il 2051</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_Toc98976105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20</w:t>
            </w:r>
            <w:r w:rsidR="001C63E0" w:rsidRPr="00624547">
              <w:rPr>
                <w:noProof/>
                <w:webHidden/>
                <w:sz w:val="22"/>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106" w:history="1">
            <w:r w:rsidR="001C63E0" w:rsidRPr="00624547">
              <w:rPr>
                <w:noProof/>
                <w:sz w:val="22"/>
                <w:lang w:val="it-IT"/>
              </w:rPr>
              <w:t>4.4</w:t>
            </w:r>
            <w:r w:rsidR="001C63E0" w:rsidRPr="00624547">
              <w:rPr>
                <w:rFonts w:ascii="Calibri" w:eastAsia="DengXian" w:hAnsi="Calibri" w:cs="Arial"/>
                <w:noProof/>
                <w:sz w:val="22"/>
                <w:lang w:eastAsia="it-CH"/>
              </w:rPr>
              <w:tab/>
            </w:r>
            <w:r w:rsidR="001C63E0" w:rsidRPr="00624547">
              <w:rPr>
                <w:noProof/>
                <w:sz w:val="22"/>
                <w:lang w:val="it-IT"/>
              </w:rPr>
              <w:t>Istituzione di un piano previdenziale separato all’interno dell’IPCT o creazione di un nuovo istituto previdenziale disgiunto dall’IPCT, nel quale confluirebbero i nuovi dipendenti, ma anche, su base volontaria e secondo modalità da definire, gli attuali salariati</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_Toc98976106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23</w:t>
            </w:r>
            <w:r w:rsidR="001C63E0" w:rsidRPr="00624547">
              <w:rPr>
                <w:noProof/>
                <w:webHidden/>
                <w:sz w:val="22"/>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107" w:history="1">
            <w:r w:rsidR="001C63E0" w:rsidRPr="00624547">
              <w:rPr>
                <w:noProof/>
                <w:sz w:val="22"/>
                <w:lang w:val="it-IT"/>
              </w:rPr>
              <w:t>4.5</w:t>
            </w:r>
            <w:r w:rsidR="001C63E0" w:rsidRPr="00624547">
              <w:rPr>
                <w:rFonts w:ascii="Calibri" w:eastAsia="DengXian" w:hAnsi="Calibri" w:cs="Arial"/>
                <w:noProof/>
                <w:sz w:val="22"/>
                <w:lang w:eastAsia="it-CH"/>
              </w:rPr>
              <w:tab/>
            </w:r>
            <w:r w:rsidR="001C63E0" w:rsidRPr="00624547">
              <w:rPr>
                <w:noProof/>
                <w:sz w:val="22"/>
                <w:lang w:val="it-IT"/>
              </w:rPr>
              <w:t>Ricapitalizzazione dell’IPCT, con abbandono della garanzia dello Stato e raggiungimento di un grado di copertura del 115% oppure senza abbandono della garanzia dello Stato e raggiungimento di un grado di copertura del 100%</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_Toc98976107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24</w:t>
            </w:r>
            <w:r w:rsidR="001C63E0" w:rsidRPr="00624547">
              <w:rPr>
                <w:noProof/>
                <w:webHidden/>
                <w:sz w:val="22"/>
                <w:lang w:val="it-IT"/>
              </w:rPr>
              <w:fldChar w:fldCharType="end"/>
            </w:r>
          </w:hyperlink>
        </w:p>
        <w:p w:rsidR="001C63E0" w:rsidRPr="00624547" w:rsidRDefault="00C533FF" w:rsidP="00624547">
          <w:pPr>
            <w:tabs>
              <w:tab w:val="left" w:pos="709"/>
              <w:tab w:val="right" w:leader="dot" w:pos="9628"/>
            </w:tabs>
            <w:spacing w:before="120"/>
            <w:ind w:left="709" w:hanging="709"/>
            <w:jc w:val="left"/>
            <w:rPr>
              <w:rFonts w:ascii="Calibri" w:eastAsia="DengXian" w:hAnsi="Calibri" w:cs="Arial"/>
              <w:noProof/>
              <w:sz w:val="22"/>
              <w:lang w:eastAsia="it-CH"/>
            </w:rPr>
          </w:pPr>
          <w:hyperlink w:anchor="_Toc98976108" w:history="1">
            <w:r w:rsidR="001C63E0" w:rsidRPr="00624547">
              <w:rPr>
                <w:caps/>
                <w:noProof/>
                <w:sz w:val="22"/>
                <w:lang w:val="it-IT"/>
              </w:rPr>
              <w:t>5.</w:t>
            </w:r>
            <w:r w:rsidR="001C63E0" w:rsidRPr="00624547">
              <w:rPr>
                <w:rFonts w:ascii="Calibri" w:eastAsia="DengXian" w:hAnsi="Calibri" w:cs="Arial"/>
                <w:noProof/>
                <w:sz w:val="22"/>
                <w:lang w:eastAsia="it-CH"/>
              </w:rPr>
              <w:tab/>
            </w:r>
            <w:r w:rsidR="001C63E0" w:rsidRPr="00624547">
              <w:rPr>
                <w:caps/>
                <w:noProof/>
                <w:sz w:val="22"/>
                <w:lang w:val="it-IT"/>
              </w:rPr>
              <w:t>TEMI PUNTUALI EMERSI DURANTE I LAVORI DELLA SOTTOCOMMISSIONE</w:t>
            </w:r>
            <w:r w:rsidR="001C63E0" w:rsidRPr="00624547">
              <w:rPr>
                <w:caps/>
                <w:noProof/>
                <w:webHidden/>
                <w:sz w:val="22"/>
                <w:lang w:val="it-IT"/>
              </w:rPr>
              <w:tab/>
            </w:r>
            <w:r w:rsidR="001C63E0" w:rsidRPr="00624547">
              <w:rPr>
                <w:caps/>
                <w:noProof/>
                <w:webHidden/>
                <w:sz w:val="22"/>
                <w:lang w:val="it-IT"/>
              </w:rPr>
              <w:fldChar w:fldCharType="begin"/>
            </w:r>
            <w:r w:rsidR="001C63E0" w:rsidRPr="00624547">
              <w:rPr>
                <w:caps/>
                <w:noProof/>
                <w:webHidden/>
                <w:sz w:val="22"/>
                <w:lang w:val="it-IT"/>
              </w:rPr>
              <w:instrText xml:space="preserve"> PAGEREF _Toc98976108 \h </w:instrText>
            </w:r>
            <w:r w:rsidR="001C63E0" w:rsidRPr="00624547">
              <w:rPr>
                <w:caps/>
                <w:noProof/>
                <w:webHidden/>
                <w:sz w:val="22"/>
                <w:lang w:val="it-IT"/>
              </w:rPr>
            </w:r>
            <w:r w:rsidR="001C63E0" w:rsidRPr="00624547">
              <w:rPr>
                <w:caps/>
                <w:noProof/>
                <w:webHidden/>
                <w:sz w:val="22"/>
                <w:lang w:val="it-IT"/>
              </w:rPr>
              <w:fldChar w:fldCharType="separate"/>
            </w:r>
            <w:r w:rsidR="00ED7B60">
              <w:rPr>
                <w:caps/>
                <w:noProof/>
                <w:webHidden/>
                <w:sz w:val="22"/>
                <w:lang w:val="it-IT"/>
              </w:rPr>
              <w:t>26</w:t>
            </w:r>
            <w:r w:rsidR="001C63E0" w:rsidRPr="00624547">
              <w:rPr>
                <w:caps/>
                <w:noProof/>
                <w:webHidden/>
                <w:sz w:val="22"/>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109" w:history="1">
            <w:r w:rsidR="001C63E0" w:rsidRPr="00624547">
              <w:rPr>
                <w:noProof/>
                <w:sz w:val="22"/>
                <w:lang w:val="it-IT"/>
              </w:rPr>
              <w:t>5.1</w:t>
            </w:r>
            <w:r w:rsidR="001C63E0" w:rsidRPr="00624547">
              <w:rPr>
                <w:rFonts w:ascii="Calibri" w:eastAsia="DengXian" w:hAnsi="Calibri" w:cs="Arial"/>
                <w:noProof/>
                <w:sz w:val="22"/>
                <w:lang w:eastAsia="it-CH"/>
              </w:rPr>
              <w:tab/>
            </w:r>
            <w:r w:rsidR="001C63E0" w:rsidRPr="00624547">
              <w:rPr>
                <w:noProof/>
                <w:sz w:val="22"/>
                <w:lang w:val="it-IT"/>
              </w:rPr>
              <w:t>La questione delle garanzie di pensione (diritti acquisiti)</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_Toc98976109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26</w:t>
            </w:r>
            <w:r w:rsidR="001C63E0" w:rsidRPr="00624547">
              <w:rPr>
                <w:noProof/>
                <w:webHidden/>
                <w:sz w:val="22"/>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110" w:history="1">
            <w:r w:rsidR="001C63E0" w:rsidRPr="00624547">
              <w:rPr>
                <w:noProof/>
                <w:sz w:val="22"/>
                <w:lang w:val="it-IT"/>
              </w:rPr>
              <w:t>5.2</w:t>
            </w:r>
            <w:r w:rsidR="001C63E0" w:rsidRPr="00624547">
              <w:rPr>
                <w:rFonts w:ascii="Calibri" w:eastAsia="DengXian" w:hAnsi="Calibri" w:cs="Arial"/>
                <w:noProof/>
                <w:sz w:val="22"/>
                <w:lang w:eastAsia="it-CH"/>
              </w:rPr>
              <w:tab/>
            </w:r>
            <w:r w:rsidR="001C63E0" w:rsidRPr="00624547">
              <w:rPr>
                <w:noProof/>
                <w:sz w:val="22"/>
                <w:lang w:val="it-IT"/>
              </w:rPr>
              <w:t>L’eventualità di sospendere, a titolo eccezionale, i prepensionamenti</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_Toc98976110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27</w:t>
            </w:r>
            <w:r w:rsidR="001C63E0" w:rsidRPr="00624547">
              <w:rPr>
                <w:noProof/>
                <w:webHidden/>
                <w:sz w:val="22"/>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111" w:history="1">
            <w:r w:rsidR="001C63E0" w:rsidRPr="00624547">
              <w:rPr>
                <w:noProof/>
                <w:sz w:val="22"/>
                <w:lang w:val="it-IT"/>
              </w:rPr>
              <w:t>5.3</w:t>
            </w:r>
            <w:r w:rsidR="001C63E0" w:rsidRPr="00624547">
              <w:rPr>
                <w:rFonts w:ascii="Calibri" w:eastAsia="DengXian" w:hAnsi="Calibri" w:cs="Arial"/>
                <w:noProof/>
                <w:sz w:val="22"/>
                <w:lang w:eastAsia="it-CH"/>
              </w:rPr>
              <w:tab/>
            </w:r>
            <w:r w:rsidR="001C63E0" w:rsidRPr="00624547">
              <w:rPr>
                <w:noProof/>
                <w:sz w:val="22"/>
                <w:lang w:val="it-IT"/>
              </w:rPr>
              <w:t>La sospensione della remunerazione del capitale degli assicurati attivi</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_Toc98976111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30</w:t>
            </w:r>
            <w:r w:rsidR="001C63E0" w:rsidRPr="00624547">
              <w:rPr>
                <w:noProof/>
                <w:webHidden/>
                <w:sz w:val="22"/>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112" w:history="1">
            <w:r w:rsidR="001C63E0" w:rsidRPr="00624547">
              <w:rPr>
                <w:noProof/>
                <w:sz w:val="22"/>
                <w:lang w:val="it-IT"/>
              </w:rPr>
              <w:t>5.4</w:t>
            </w:r>
            <w:r w:rsidR="001C63E0" w:rsidRPr="00624547">
              <w:rPr>
                <w:rFonts w:ascii="Calibri" w:eastAsia="DengXian" w:hAnsi="Calibri" w:cs="Arial"/>
                <w:noProof/>
                <w:sz w:val="22"/>
                <w:lang w:eastAsia="it-CH"/>
              </w:rPr>
              <w:tab/>
            </w:r>
            <w:r w:rsidR="001C63E0" w:rsidRPr="00624547">
              <w:rPr>
                <w:noProof/>
                <w:sz w:val="22"/>
                <w:lang w:val="it-IT"/>
              </w:rPr>
              <w:t>La questione degli "investimenti alternativi" o "verdi"</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_Toc98976112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32</w:t>
            </w:r>
            <w:r w:rsidR="001C63E0" w:rsidRPr="00624547">
              <w:rPr>
                <w:noProof/>
                <w:webHidden/>
                <w:sz w:val="22"/>
                <w:lang w:val="it-IT"/>
              </w:rPr>
              <w:fldChar w:fldCharType="end"/>
            </w:r>
          </w:hyperlink>
        </w:p>
        <w:p w:rsidR="001C63E0" w:rsidRPr="00624547" w:rsidRDefault="00C533FF" w:rsidP="00624547">
          <w:pPr>
            <w:tabs>
              <w:tab w:val="left" w:pos="709"/>
              <w:tab w:val="right" w:leader="dot" w:pos="9628"/>
            </w:tabs>
            <w:spacing w:before="120"/>
            <w:ind w:left="709" w:hanging="709"/>
            <w:jc w:val="left"/>
            <w:rPr>
              <w:rFonts w:ascii="Calibri" w:eastAsia="DengXian" w:hAnsi="Calibri" w:cs="Arial"/>
              <w:noProof/>
              <w:sz w:val="22"/>
              <w:lang w:eastAsia="it-CH"/>
            </w:rPr>
          </w:pPr>
          <w:hyperlink w:anchor="_Toc98976113" w:history="1">
            <w:r w:rsidR="001C63E0" w:rsidRPr="00624547">
              <w:rPr>
                <w:caps/>
                <w:noProof/>
                <w:sz w:val="22"/>
                <w:lang w:val="it-IT"/>
              </w:rPr>
              <w:t>PARTE SECONDA – FORMULAZIONE NEL 2021 DELLA VIA DI RISANAMENTO</w:t>
            </w:r>
            <w:r w:rsidR="001C63E0" w:rsidRPr="00624547">
              <w:rPr>
                <w:caps/>
                <w:noProof/>
                <w:webHidden/>
                <w:sz w:val="22"/>
                <w:lang w:val="it-IT"/>
              </w:rPr>
              <w:tab/>
            </w:r>
            <w:r w:rsidR="001C63E0" w:rsidRPr="00624547">
              <w:rPr>
                <w:caps/>
                <w:noProof/>
                <w:webHidden/>
                <w:sz w:val="22"/>
                <w:lang w:val="it-IT"/>
              </w:rPr>
              <w:fldChar w:fldCharType="begin"/>
            </w:r>
            <w:r w:rsidR="001C63E0" w:rsidRPr="00624547">
              <w:rPr>
                <w:caps/>
                <w:noProof/>
                <w:webHidden/>
                <w:sz w:val="22"/>
                <w:lang w:val="it-IT"/>
              </w:rPr>
              <w:instrText xml:space="preserve"> PAGEREF _Toc98976113 \h </w:instrText>
            </w:r>
            <w:r w:rsidR="001C63E0" w:rsidRPr="00624547">
              <w:rPr>
                <w:caps/>
                <w:noProof/>
                <w:webHidden/>
                <w:sz w:val="22"/>
                <w:lang w:val="it-IT"/>
              </w:rPr>
            </w:r>
            <w:r w:rsidR="001C63E0" w:rsidRPr="00624547">
              <w:rPr>
                <w:caps/>
                <w:noProof/>
                <w:webHidden/>
                <w:sz w:val="22"/>
                <w:lang w:val="it-IT"/>
              </w:rPr>
              <w:fldChar w:fldCharType="separate"/>
            </w:r>
            <w:r w:rsidR="00ED7B60">
              <w:rPr>
                <w:caps/>
                <w:noProof/>
                <w:webHidden/>
                <w:sz w:val="22"/>
                <w:lang w:val="it-IT"/>
              </w:rPr>
              <w:t>33</w:t>
            </w:r>
            <w:r w:rsidR="001C63E0" w:rsidRPr="00624547">
              <w:rPr>
                <w:caps/>
                <w:noProof/>
                <w:webHidden/>
                <w:sz w:val="22"/>
                <w:lang w:val="it-IT"/>
              </w:rPr>
              <w:fldChar w:fldCharType="end"/>
            </w:r>
          </w:hyperlink>
        </w:p>
        <w:p w:rsidR="001C63E0" w:rsidRPr="00624547" w:rsidRDefault="00C533FF" w:rsidP="00624547">
          <w:pPr>
            <w:tabs>
              <w:tab w:val="left" w:pos="709"/>
              <w:tab w:val="right" w:leader="dot" w:pos="9628"/>
            </w:tabs>
            <w:spacing w:before="120"/>
            <w:ind w:left="709" w:hanging="709"/>
            <w:jc w:val="left"/>
            <w:rPr>
              <w:rFonts w:ascii="Calibri" w:eastAsia="DengXian" w:hAnsi="Calibri" w:cs="Arial"/>
              <w:noProof/>
              <w:sz w:val="22"/>
              <w:lang w:eastAsia="it-CH"/>
            </w:rPr>
          </w:pPr>
          <w:hyperlink w:anchor="_Toc98976114" w:history="1">
            <w:r w:rsidR="001C63E0" w:rsidRPr="00624547">
              <w:rPr>
                <w:caps/>
                <w:noProof/>
                <w:sz w:val="22"/>
                <w:lang w:val="it-IT"/>
              </w:rPr>
              <w:t>6.</w:t>
            </w:r>
            <w:r w:rsidR="001C63E0" w:rsidRPr="00624547">
              <w:rPr>
                <w:rFonts w:ascii="Calibri" w:eastAsia="DengXian" w:hAnsi="Calibri" w:cs="Arial"/>
                <w:noProof/>
                <w:sz w:val="22"/>
                <w:lang w:eastAsia="it-CH"/>
              </w:rPr>
              <w:tab/>
            </w:r>
            <w:r w:rsidR="001C63E0" w:rsidRPr="00624547">
              <w:rPr>
                <w:caps/>
                <w:noProof/>
                <w:sz w:val="22"/>
                <w:lang w:val="it-IT"/>
              </w:rPr>
              <w:t>L’IPOTESI DI UN INVESTIMENTO FINANZIARIO A LUNGO TERMINE SOSTENUTO DA UN DEBITO OBBLIGAZIONARIO</w:t>
            </w:r>
            <w:r w:rsidR="001C63E0" w:rsidRPr="00624547">
              <w:rPr>
                <w:caps/>
                <w:noProof/>
                <w:webHidden/>
                <w:sz w:val="22"/>
                <w:lang w:val="it-IT"/>
              </w:rPr>
              <w:tab/>
            </w:r>
            <w:r w:rsidR="001C63E0" w:rsidRPr="00624547">
              <w:rPr>
                <w:caps/>
                <w:noProof/>
                <w:webHidden/>
                <w:sz w:val="22"/>
                <w:lang w:val="it-IT"/>
              </w:rPr>
              <w:fldChar w:fldCharType="begin"/>
            </w:r>
            <w:r w:rsidR="001C63E0" w:rsidRPr="00624547">
              <w:rPr>
                <w:caps/>
                <w:noProof/>
                <w:webHidden/>
                <w:sz w:val="22"/>
                <w:lang w:val="it-IT"/>
              </w:rPr>
              <w:instrText xml:space="preserve"> PAGEREF _Toc98976114 \h </w:instrText>
            </w:r>
            <w:r w:rsidR="001C63E0" w:rsidRPr="00624547">
              <w:rPr>
                <w:caps/>
                <w:noProof/>
                <w:webHidden/>
                <w:sz w:val="22"/>
                <w:lang w:val="it-IT"/>
              </w:rPr>
            </w:r>
            <w:r w:rsidR="001C63E0" w:rsidRPr="00624547">
              <w:rPr>
                <w:caps/>
                <w:noProof/>
                <w:webHidden/>
                <w:sz w:val="22"/>
                <w:lang w:val="it-IT"/>
              </w:rPr>
              <w:fldChar w:fldCharType="separate"/>
            </w:r>
            <w:r w:rsidR="00ED7B60">
              <w:rPr>
                <w:caps/>
                <w:noProof/>
                <w:webHidden/>
                <w:sz w:val="22"/>
                <w:lang w:val="it-IT"/>
              </w:rPr>
              <w:t>33</w:t>
            </w:r>
            <w:r w:rsidR="001C63E0" w:rsidRPr="00624547">
              <w:rPr>
                <w:caps/>
                <w:noProof/>
                <w:webHidden/>
                <w:sz w:val="22"/>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115" w:history="1">
            <w:r w:rsidR="001C63E0" w:rsidRPr="00624547">
              <w:rPr>
                <w:noProof/>
                <w:sz w:val="22"/>
                <w:lang w:val="it-IT"/>
              </w:rPr>
              <w:t>6.1</w:t>
            </w:r>
            <w:r w:rsidR="001C63E0" w:rsidRPr="00624547">
              <w:rPr>
                <w:rFonts w:ascii="Calibri" w:eastAsia="DengXian" w:hAnsi="Calibri" w:cs="Arial"/>
                <w:noProof/>
                <w:sz w:val="22"/>
                <w:lang w:eastAsia="it-CH"/>
              </w:rPr>
              <w:tab/>
            </w:r>
            <w:r w:rsidR="001C63E0" w:rsidRPr="00624547">
              <w:rPr>
                <w:noProof/>
                <w:sz w:val="22"/>
                <w:lang w:val="it-IT"/>
              </w:rPr>
              <w:t>Premesse</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_Toc98976115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33</w:t>
            </w:r>
            <w:r w:rsidR="001C63E0" w:rsidRPr="00624547">
              <w:rPr>
                <w:noProof/>
                <w:webHidden/>
                <w:sz w:val="22"/>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116" w:history="1">
            <w:r w:rsidR="001C63E0" w:rsidRPr="00624547">
              <w:rPr>
                <w:noProof/>
                <w:sz w:val="22"/>
                <w:lang w:val="it-IT"/>
              </w:rPr>
              <w:t>6.2</w:t>
            </w:r>
            <w:r w:rsidR="001C63E0" w:rsidRPr="00624547">
              <w:rPr>
                <w:rFonts w:ascii="Calibri" w:eastAsia="DengXian" w:hAnsi="Calibri" w:cs="Arial"/>
                <w:noProof/>
                <w:sz w:val="22"/>
                <w:lang w:eastAsia="it-CH"/>
              </w:rPr>
              <w:tab/>
            </w:r>
            <w:r w:rsidR="001C63E0" w:rsidRPr="00624547">
              <w:rPr>
                <w:noProof/>
                <w:sz w:val="22"/>
                <w:lang w:val="it-IT"/>
              </w:rPr>
              <w:t>L’idea di fondo</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_Toc98976116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34</w:t>
            </w:r>
            <w:r w:rsidR="001C63E0" w:rsidRPr="00624547">
              <w:rPr>
                <w:noProof/>
                <w:webHidden/>
                <w:sz w:val="22"/>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117" w:history="1">
            <w:r w:rsidR="001C63E0" w:rsidRPr="00624547">
              <w:rPr>
                <w:noProof/>
                <w:sz w:val="22"/>
                <w:lang w:val="it-IT"/>
              </w:rPr>
              <w:t>6.3</w:t>
            </w:r>
            <w:r w:rsidR="001C63E0" w:rsidRPr="00624547">
              <w:rPr>
                <w:rFonts w:ascii="Calibri" w:eastAsia="DengXian" w:hAnsi="Calibri" w:cs="Arial"/>
                <w:noProof/>
                <w:sz w:val="22"/>
                <w:lang w:eastAsia="it-CH"/>
              </w:rPr>
              <w:tab/>
            </w:r>
            <w:r w:rsidR="001C63E0" w:rsidRPr="00624547">
              <w:rPr>
                <w:noProof/>
                <w:sz w:val="22"/>
                <w:lang w:val="it-IT"/>
              </w:rPr>
              <w:t>Richieste al Consiglio di Stato e all’IPCT</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_Toc98976117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35</w:t>
            </w:r>
            <w:r w:rsidR="001C63E0" w:rsidRPr="00624547">
              <w:rPr>
                <w:noProof/>
                <w:webHidden/>
                <w:sz w:val="22"/>
                <w:lang w:val="it-IT"/>
              </w:rPr>
              <w:fldChar w:fldCharType="end"/>
            </w:r>
          </w:hyperlink>
        </w:p>
        <w:p w:rsidR="001C63E0" w:rsidRPr="00624547" w:rsidRDefault="00C533FF" w:rsidP="00624547">
          <w:pPr>
            <w:tabs>
              <w:tab w:val="left" w:pos="709"/>
              <w:tab w:val="right" w:leader="dot" w:pos="9628"/>
            </w:tabs>
            <w:spacing w:before="120"/>
            <w:ind w:left="709" w:hanging="709"/>
            <w:jc w:val="left"/>
            <w:rPr>
              <w:rFonts w:ascii="Calibri" w:eastAsia="DengXian" w:hAnsi="Calibri" w:cs="Arial"/>
              <w:noProof/>
              <w:sz w:val="22"/>
              <w:lang w:eastAsia="it-CH"/>
            </w:rPr>
          </w:pPr>
          <w:hyperlink w:anchor="_Toc98976118" w:history="1">
            <w:r w:rsidR="001C63E0" w:rsidRPr="00624547">
              <w:rPr>
                <w:caps/>
                <w:noProof/>
                <w:sz w:val="22"/>
                <w:lang w:val="it-IT"/>
              </w:rPr>
              <w:t>7.</w:t>
            </w:r>
            <w:r w:rsidR="001C63E0" w:rsidRPr="00624547">
              <w:rPr>
                <w:rFonts w:ascii="Calibri" w:eastAsia="DengXian" w:hAnsi="Calibri" w:cs="Arial"/>
                <w:noProof/>
                <w:sz w:val="22"/>
                <w:lang w:eastAsia="it-CH"/>
              </w:rPr>
              <w:tab/>
            </w:r>
            <w:r w:rsidR="001C63E0" w:rsidRPr="00624547">
              <w:rPr>
                <w:caps/>
                <w:noProof/>
                <w:sz w:val="22"/>
                <w:lang w:val="it-IT"/>
              </w:rPr>
              <w:t>ANALISI COMPARATA DELLE SOLUZIONI IPOTIZZATE</w:t>
            </w:r>
            <w:r w:rsidR="001C63E0" w:rsidRPr="00624547">
              <w:rPr>
                <w:caps/>
                <w:noProof/>
                <w:webHidden/>
                <w:sz w:val="22"/>
                <w:lang w:val="it-IT"/>
              </w:rPr>
              <w:tab/>
            </w:r>
            <w:r w:rsidR="001C63E0" w:rsidRPr="00624547">
              <w:rPr>
                <w:caps/>
                <w:noProof/>
                <w:webHidden/>
                <w:sz w:val="22"/>
                <w:lang w:val="it-IT"/>
              </w:rPr>
              <w:fldChar w:fldCharType="begin"/>
            </w:r>
            <w:r w:rsidR="001C63E0" w:rsidRPr="00624547">
              <w:rPr>
                <w:caps/>
                <w:noProof/>
                <w:webHidden/>
                <w:sz w:val="22"/>
                <w:lang w:val="it-IT"/>
              </w:rPr>
              <w:instrText xml:space="preserve"> PAGEREF _Toc98976118 \h </w:instrText>
            </w:r>
            <w:r w:rsidR="001C63E0" w:rsidRPr="00624547">
              <w:rPr>
                <w:caps/>
                <w:noProof/>
                <w:webHidden/>
                <w:sz w:val="22"/>
                <w:lang w:val="it-IT"/>
              </w:rPr>
            </w:r>
            <w:r w:rsidR="001C63E0" w:rsidRPr="00624547">
              <w:rPr>
                <w:caps/>
                <w:noProof/>
                <w:webHidden/>
                <w:sz w:val="22"/>
                <w:lang w:val="it-IT"/>
              </w:rPr>
              <w:fldChar w:fldCharType="separate"/>
            </w:r>
            <w:r w:rsidR="00ED7B60">
              <w:rPr>
                <w:caps/>
                <w:noProof/>
                <w:webHidden/>
                <w:sz w:val="22"/>
                <w:lang w:val="it-IT"/>
              </w:rPr>
              <w:t>36</w:t>
            </w:r>
            <w:r w:rsidR="001C63E0" w:rsidRPr="00624547">
              <w:rPr>
                <w:caps/>
                <w:noProof/>
                <w:webHidden/>
                <w:sz w:val="22"/>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119" w:history="1">
            <w:r w:rsidR="001C63E0" w:rsidRPr="00624547">
              <w:rPr>
                <w:noProof/>
                <w:sz w:val="22"/>
                <w:lang w:val="it-IT"/>
              </w:rPr>
              <w:t>7.1</w:t>
            </w:r>
            <w:r w:rsidR="001C63E0" w:rsidRPr="00624547">
              <w:rPr>
                <w:rFonts w:ascii="Calibri" w:eastAsia="DengXian" w:hAnsi="Calibri" w:cs="Arial"/>
                <w:noProof/>
                <w:sz w:val="22"/>
                <w:lang w:eastAsia="it-CH"/>
              </w:rPr>
              <w:tab/>
            </w:r>
            <w:r w:rsidR="001C63E0" w:rsidRPr="00624547">
              <w:rPr>
                <w:noProof/>
                <w:sz w:val="22"/>
                <w:lang w:val="it-IT"/>
              </w:rPr>
              <w:t>Prestito dal Cantone all’IPCT con riconoscimento di debito</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_Toc98976119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37</w:t>
            </w:r>
            <w:r w:rsidR="001C63E0" w:rsidRPr="00624547">
              <w:rPr>
                <w:noProof/>
                <w:webHidden/>
                <w:sz w:val="22"/>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120" w:history="1">
            <w:r w:rsidR="001C63E0" w:rsidRPr="00624547">
              <w:rPr>
                <w:noProof/>
                <w:sz w:val="22"/>
                <w:lang w:val="it-IT"/>
              </w:rPr>
              <w:t>7.2</w:t>
            </w:r>
            <w:r w:rsidR="001C63E0" w:rsidRPr="00624547">
              <w:rPr>
                <w:rFonts w:ascii="Calibri" w:eastAsia="DengXian" w:hAnsi="Calibri" w:cs="Arial"/>
                <w:noProof/>
                <w:sz w:val="22"/>
                <w:lang w:eastAsia="it-CH"/>
              </w:rPr>
              <w:tab/>
            </w:r>
            <w:r w:rsidR="001C63E0" w:rsidRPr="00624547">
              <w:rPr>
                <w:noProof/>
                <w:sz w:val="22"/>
                <w:lang w:val="it-IT"/>
              </w:rPr>
              <w:t>Fondo sovrano o Fondazione di finanziamento con riconoscimento di debito</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_Toc98976120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38</w:t>
            </w:r>
            <w:r w:rsidR="001C63E0" w:rsidRPr="00624547">
              <w:rPr>
                <w:noProof/>
                <w:webHidden/>
                <w:sz w:val="22"/>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121" w:history="1">
            <w:r w:rsidR="001C63E0" w:rsidRPr="00624547">
              <w:rPr>
                <w:noProof/>
                <w:sz w:val="22"/>
                <w:lang w:val="it-IT"/>
              </w:rPr>
              <w:t>7.3</w:t>
            </w:r>
            <w:r w:rsidR="001C63E0" w:rsidRPr="00624547">
              <w:rPr>
                <w:rFonts w:ascii="Calibri" w:eastAsia="DengXian" w:hAnsi="Calibri" w:cs="Arial"/>
                <w:noProof/>
                <w:sz w:val="22"/>
                <w:lang w:eastAsia="it-CH"/>
              </w:rPr>
              <w:tab/>
            </w:r>
            <w:r w:rsidR="001C63E0" w:rsidRPr="00624547">
              <w:rPr>
                <w:noProof/>
                <w:sz w:val="22"/>
                <w:lang w:val="it-IT"/>
              </w:rPr>
              <w:t>Riserva di contributi del datore di lavoro (RCDL)</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_Toc98976121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39</w:t>
            </w:r>
            <w:r w:rsidR="001C63E0" w:rsidRPr="00624547">
              <w:rPr>
                <w:noProof/>
                <w:webHidden/>
                <w:sz w:val="22"/>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122" w:history="1">
            <w:r w:rsidR="001C63E0" w:rsidRPr="00624547">
              <w:rPr>
                <w:noProof/>
                <w:sz w:val="22"/>
                <w:lang w:val="it-IT"/>
              </w:rPr>
              <w:t>7.4</w:t>
            </w:r>
            <w:r w:rsidR="001C63E0" w:rsidRPr="00624547">
              <w:rPr>
                <w:rFonts w:ascii="Calibri" w:eastAsia="DengXian" w:hAnsi="Calibri" w:cs="Arial"/>
                <w:noProof/>
                <w:sz w:val="22"/>
                <w:lang w:eastAsia="it-CH"/>
              </w:rPr>
              <w:tab/>
            </w:r>
            <w:r w:rsidR="001C63E0" w:rsidRPr="00624547">
              <w:rPr>
                <w:noProof/>
                <w:sz w:val="22"/>
                <w:lang w:val="it-IT"/>
              </w:rPr>
              <w:t>Conclusione – Optare per la Riserva di contributi del datore di lavoro</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_Toc98976122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40</w:t>
            </w:r>
            <w:r w:rsidR="001C63E0" w:rsidRPr="00624547">
              <w:rPr>
                <w:noProof/>
                <w:webHidden/>
                <w:sz w:val="22"/>
                <w:lang w:val="it-IT"/>
              </w:rPr>
              <w:fldChar w:fldCharType="end"/>
            </w:r>
          </w:hyperlink>
        </w:p>
        <w:p w:rsidR="001C63E0" w:rsidRPr="00624547" w:rsidRDefault="00C533FF" w:rsidP="00624547">
          <w:pPr>
            <w:tabs>
              <w:tab w:val="left" w:pos="709"/>
              <w:tab w:val="right" w:leader="dot" w:pos="9628"/>
            </w:tabs>
            <w:spacing w:before="120"/>
            <w:ind w:left="709" w:hanging="709"/>
            <w:jc w:val="left"/>
            <w:rPr>
              <w:rFonts w:ascii="Calibri" w:eastAsia="DengXian" w:hAnsi="Calibri" w:cs="Arial"/>
              <w:noProof/>
              <w:sz w:val="22"/>
              <w:lang w:eastAsia="it-CH"/>
            </w:rPr>
          </w:pPr>
          <w:hyperlink w:anchor="_Toc98976123" w:history="1">
            <w:r w:rsidR="001C63E0" w:rsidRPr="00624547">
              <w:rPr>
                <w:caps/>
                <w:noProof/>
                <w:sz w:val="22"/>
                <w:lang w:val="it-IT"/>
              </w:rPr>
              <w:t>8.</w:t>
            </w:r>
            <w:r w:rsidR="001C63E0" w:rsidRPr="00624547">
              <w:rPr>
                <w:rFonts w:ascii="Calibri" w:eastAsia="DengXian" w:hAnsi="Calibri" w:cs="Arial"/>
                <w:noProof/>
                <w:sz w:val="22"/>
                <w:lang w:eastAsia="it-CH"/>
              </w:rPr>
              <w:tab/>
            </w:r>
            <w:r w:rsidR="001C63E0" w:rsidRPr="00624547">
              <w:rPr>
                <w:caps/>
                <w:noProof/>
                <w:sz w:val="22"/>
                <w:lang w:val="it-IT"/>
              </w:rPr>
              <w:t>LA SOLUZIONE PROPOSTA IN DETTAGLIO</w:t>
            </w:r>
            <w:r w:rsidR="001C63E0" w:rsidRPr="00624547">
              <w:rPr>
                <w:caps/>
                <w:noProof/>
                <w:webHidden/>
                <w:sz w:val="22"/>
                <w:lang w:val="it-IT"/>
              </w:rPr>
              <w:tab/>
            </w:r>
            <w:r w:rsidR="001C63E0" w:rsidRPr="00624547">
              <w:rPr>
                <w:caps/>
                <w:noProof/>
                <w:webHidden/>
                <w:sz w:val="22"/>
                <w:lang w:val="it-IT"/>
              </w:rPr>
              <w:fldChar w:fldCharType="begin"/>
            </w:r>
            <w:r w:rsidR="001C63E0" w:rsidRPr="00624547">
              <w:rPr>
                <w:caps/>
                <w:noProof/>
                <w:webHidden/>
                <w:sz w:val="22"/>
                <w:lang w:val="it-IT"/>
              </w:rPr>
              <w:instrText xml:space="preserve"> PAGEREF _Toc98976123 \h </w:instrText>
            </w:r>
            <w:r w:rsidR="001C63E0" w:rsidRPr="00624547">
              <w:rPr>
                <w:caps/>
                <w:noProof/>
                <w:webHidden/>
                <w:sz w:val="22"/>
                <w:lang w:val="it-IT"/>
              </w:rPr>
            </w:r>
            <w:r w:rsidR="001C63E0" w:rsidRPr="00624547">
              <w:rPr>
                <w:caps/>
                <w:noProof/>
                <w:webHidden/>
                <w:sz w:val="22"/>
                <w:lang w:val="it-IT"/>
              </w:rPr>
              <w:fldChar w:fldCharType="separate"/>
            </w:r>
            <w:r w:rsidR="00ED7B60">
              <w:rPr>
                <w:caps/>
                <w:noProof/>
                <w:webHidden/>
                <w:sz w:val="22"/>
                <w:lang w:val="it-IT"/>
              </w:rPr>
              <w:t>40</w:t>
            </w:r>
            <w:r w:rsidR="001C63E0" w:rsidRPr="00624547">
              <w:rPr>
                <w:caps/>
                <w:noProof/>
                <w:webHidden/>
                <w:sz w:val="22"/>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124" w:history="1">
            <w:r w:rsidR="001C63E0" w:rsidRPr="00624547">
              <w:rPr>
                <w:noProof/>
                <w:sz w:val="22"/>
                <w:lang w:val="it-IT"/>
              </w:rPr>
              <w:t>8.1</w:t>
            </w:r>
            <w:r w:rsidR="001C63E0" w:rsidRPr="00624547">
              <w:rPr>
                <w:rFonts w:ascii="Calibri" w:eastAsia="DengXian" w:hAnsi="Calibri" w:cs="Arial"/>
                <w:noProof/>
                <w:sz w:val="22"/>
                <w:lang w:eastAsia="it-CH"/>
              </w:rPr>
              <w:tab/>
            </w:r>
            <w:r w:rsidR="001C63E0" w:rsidRPr="00624547">
              <w:rPr>
                <w:noProof/>
                <w:sz w:val="22"/>
                <w:lang w:val="it-IT"/>
              </w:rPr>
              <w:t>RCDL e visione globale della proposta</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_Toc98976124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40</w:t>
            </w:r>
            <w:r w:rsidR="001C63E0" w:rsidRPr="00624547">
              <w:rPr>
                <w:noProof/>
                <w:webHidden/>
                <w:sz w:val="22"/>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125" w:history="1">
            <w:r w:rsidR="001C63E0" w:rsidRPr="00624547">
              <w:rPr>
                <w:noProof/>
                <w:sz w:val="22"/>
                <w:lang w:val="it-IT"/>
              </w:rPr>
              <w:t>8.2</w:t>
            </w:r>
            <w:r w:rsidR="001C63E0" w:rsidRPr="00624547">
              <w:rPr>
                <w:rFonts w:ascii="Calibri" w:eastAsia="DengXian" w:hAnsi="Calibri" w:cs="Arial"/>
                <w:noProof/>
                <w:sz w:val="22"/>
                <w:lang w:eastAsia="it-CH"/>
              </w:rPr>
              <w:tab/>
            </w:r>
            <w:r w:rsidR="001C63E0" w:rsidRPr="00624547">
              <w:rPr>
                <w:noProof/>
                <w:sz w:val="22"/>
                <w:lang w:val="it-IT"/>
              </w:rPr>
              <w:t>Analisi della proposta agli occhi del Cantone</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_Toc98976125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42</w:t>
            </w:r>
            <w:r w:rsidR="001C63E0" w:rsidRPr="00624547">
              <w:rPr>
                <w:noProof/>
                <w:webHidden/>
                <w:sz w:val="22"/>
                <w:lang w:val="it-IT"/>
              </w:rPr>
              <w:fldChar w:fldCharType="end"/>
            </w:r>
          </w:hyperlink>
        </w:p>
        <w:p w:rsidR="001C63E0" w:rsidRPr="00624547" w:rsidRDefault="00C533FF" w:rsidP="00624547">
          <w:pPr>
            <w:tabs>
              <w:tab w:val="left" w:pos="709"/>
              <w:tab w:val="right" w:leader="dot" w:pos="9628"/>
            </w:tabs>
            <w:spacing w:before="60"/>
            <w:ind w:left="709" w:hanging="709"/>
            <w:jc w:val="left"/>
            <w:rPr>
              <w:rFonts w:ascii="Calibri" w:eastAsia="DengXian" w:hAnsi="Calibri" w:cs="Arial"/>
              <w:noProof/>
              <w:sz w:val="22"/>
              <w:lang w:eastAsia="it-CH"/>
            </w:rPr>
          </w:pPr>
          <w:hyperlink w:anchor="_Toc98976126" w:history="1">
            <w:r w:rsidR="001C63E0" w:rsidRPr="00624547">
              <w:rPr>
                <w:noProof/>
                <w:sz w:val="22"/>
                <w:lang w:val="it-IT"/>
              </w:rPr>
              <w:t>8.3</w:t>
            </w:r>
            <w:r w:rsidR="001C63E0" w:rsidRPr="00624547">
              <w:rPr>
                <w:rFonts w:ascii="Calibri" w:eastAsia="DengXian" w:hAnsi="Calibri" w:cs="Arial"/>
                <w:noProof/>
                <w:sz w:val="22"/>
                <w:lang w:eastAsia="it-CH"/>
              </w:rPr>
              <w:tab/>
            </w:r>
            <w:r w:rsidR="001C63E0" w:rsidRPr="00624547">
              <w:rPr>
                <w:noProof/>
                <w:sz w:val="22"/>
                <w:lang w:val="it-IT"/>
              </w:rPr>
              <w:t>Analisi della proposta agli occhi dell’IPCT</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_Toc98976126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43</w:t>
            </w:r>
            <w:r w:rsidR="001C63E0" w:rsidRPr="00624547">
              <w:rPr>
                <w:noProof/>
                <w:webHidden/>
                <w:sz w:val="22"/>
                <w:lang w:val="it-IT"/>
              </w:rPr>
              <w:fldChar w:fldCharType="end"/>
            </w:r>
          </w:hyperlink>
        </w:p>
        <w:p w:rsidR="001C63E0" w:rsidRPr="00624547" w:rsidRDefault="00C533FF" w:rsidP="001C63E0">
          <w:pPr>
            <w:tabs>
              <w:tab w:val="left" w:pos="709"/>
              <w:tab w:val="right" w:leader="dot" w:pos="9628"/>
            </w:tabs>
            <w:spacing w:before="120"/>
            <w:ind w:left="709" w:hanging="709"/>
            <w:jc w:val="left"/>
            <w:rPr>
              <w:rFonts w:ascii="Calibri" w:eastAsia="DengXian" w:hAnsi="Calibri" w:cs="Arial"/>
              <w:noProof/>
              <w:sz w:val="22"/>
              <w:lang w:eastAsia="it-CH"/>
            </w:rPr>
          </w:pPr>
          <w:hyperlink w:anchor="_Toc98976127" w:history="1">
            <w:r w:rsidR="001C63E0" w:rsidRPr="00624547">
              <w:rPr>
                <w:caps/>
                <w:noProof/>
                <w:sz w:val="22"/>
                <w:lang w:val="it-IT"/>
              </w:rPr>
              <w:t>9.</w:t>
            </w:r>
            <w:r w:rsidR="001C63E0" w:rsidRPr="00624547">
              <w:rPr>
                <w:rFonts w:ascii="Calibri" w:eastAsia="DengXian" w:hAnsi="Calibri" w:cs="Arial"/>
                <w:noProof/>
                <w:sz w:val="22"/>
                <w:lang w:eastAsia="it-CH"/>
              </w:rPr>
              <w:tab/>
            </w:r>
            <w:r w:rsidR="001C63E0" w:rsidRPr="00624547">
              <w:rPr>
                <w:caps/>
                <w:noProof/>
                <w:sz w:val="22"/>
                <w:lang w:val="it-IT"/>
              </w:rPr>
              <w:t>ULTERIORI CONSIDERAZIONI</w:t>
            </w:r>
            <w:r w:rsidR="001C63E0" w:rsidRPr="00624547">
              <w:rPr>
                <w:caps/>
                <w:noProof/>
                <w:webHidden/>
                <w:sz w:val="22"/>
                <w:lang w:val="it-IT"/>
              </w:rPr>
              <w:tab/>
            </w:r>
            <w:r w:rsidR="001C63E0" w:rsidRPr="00624547">
              <w:rPr>
                <w:caps/>
                <w:noProof/>
                <w:webHidden/>
                <w:sz w:val="22"/>
                <w:lang w:val="it-IT"/>
              </w:rPr>
              <w:fldChar w:fldCharType="begin"/>
            </w:r>
            <w:r w:rsidR="001C63E0" w:rsidRPr="00624547">
              <w:rPr>
                <w:caps/>
                <w:noProof/>
                <w:webHidden/>
                <w:sz w:val="22"/>
                <w:lang w:val="it-IT"/>
              </w:rPr>
              <w:instrText xml:space="preserve"> PAGEREF _Toc98976127 \h </w:instrText>
            </w:r>
            <w:r w:rsidR="001C63E0" w:rsidRPr="00624547">
              <w:rPr>
                <w:caps/>
                <w:noProof/>
                <w:webHidden/>
                <w:sz w:val="22"/>
                <w:lang w:val="it-IT"/>
              </w:rPr>
            </w:r>
            <w:r w:rsidR="001C63E0" w:rsidRPr="00624547">
              <w:rPr>
                <w:caps/>
                <w:noProof/>
                <w:webHidden/>
                <w:sz w:val="22"/>
                <w:lang w:val="it-IT"/>
              </w:rPr>
              <w:fldChar w:fldCharType="separate"/>
            </w:r>
            <w:r w:rsidR="00ED7B60">
              <w:rPr>
                <w:caps/>
                <w:noProof/>
                <w:webHidden/>
                <w:sz w:val="22"/>
                <w:lang w:val="it-IT"/>
              </w:rPr>
              <w:t>44</w:t>
            </w:r>
            <w:r w:rsidR="001C63E0" w:rsidRPr="00624547">
              <w:rPr>
                <w:caps/>
                <w:noProof/>
                <w:webHidden/>
                <w:sz w:val="22"/>
                <w:lang w:val="it-IT"/>
              </w:rPr>
              <w:fldChar w:fldCharType="end"/>
            </w:r>
          </w:hyperlink>
        </w:p>
        <w:p w:rsidR="001C63E0" w:rsidRPr="00624547" w:rsidRDefault="00C533FF" w:rsidP="001C63E0">
          <w:pPr>
            <w:tabs>
              <w:tab w:val="left" w:pos="709"/>
              <w:tab w:val="right" w:leader="dot" w:pos="9628"/>
            </w:tabs>
            <w:spacing w:before="60"/>
            <w:ind w:left="709" w:hanging="709"/>
            <w:jc w:val="left"/>
            <w:rPr>
              <w:rFonts w:ascii="Calibri" w:eastAsia="DengXian" w:hAnsi="Calibri" w:cs="Arial"/>
              <w:noProof/>
              <w:sz w:val="22"/>
              <w:lang w:eastAsia="it-CH"/>
            </w:rPr>
          </w:pPr>
          <w:hyperlink w:anchor="_Toc98976128" w:history="1">
            <w:r w:rsidR="001C63E0" w:rsidRPr="00624547">
              <w:rPr>
                <w:noProof/>
                <w:sz w:val="22"/>
                <w:lang w:val="it-IT"/>
              </w:rPr>
              <w:t>9.1</w:t>
            </w:r>
            <w:r w:rsidR="001C63E0" w:rsidRPr="00624547">
              <w:rPr>
                <w:rFonts w:ascii="Calibri" w:eastAsia="DengXian" w:hAnsi="Calibri" w:cs="Arial"/>
                <w:noProof/>
                <w:sz w:val="22"/>
                <w:lang w:eastAsia="it-CH"/>
              </w:rPr>
              <w:tab/>
            </w:r>
            <w:r w:rsidR="001C63E0" w:rsidRPr="00624547">
              <w:rPr>
                <w:noProof/>
                <w:sz w:val="22"/>
                <w:lang w:val="it-IT"/>
              </w:rPr>
              <w:t>Plausibilizzazione delle proiezioni finanziarie prodotte dall’IPCT e dal CdS</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_Toc98976128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44</w:t>
            </w:r>
            <w:r w:rsidR="001C63E0" w:rsidRPr="00624547">
              <w:rPr>
                <w:noProof/>
                <w:webHidden/>
                <w:sz w:val="22"/>
                <w:lang w:val="it-IT"/>
              </w:rPr>
              <w:fldChar w:fldCharType="end"/>
            </w:r>
          </w:hyperlink>
        </w:p>
        <w:p w:rsidR="001C63E0" w:rsidRPr="00624547" w:rsidRDefault="00C533FF" w:rsidP="001C63E0">
          <w:pPr>
            <w:tabs>
              <w:tab w:val="left" w:pos="709"/>
              <w:tab w:val="right" w:leader="dot" w:pos="9628"/>
            </w:tabs>
            <w:spacing w:before="20"/>
            <w:ind w:left="709" w:hanging="709"/>
            <w:rPr>
              <w:rFonts w:ascii="Calibri" w:eastAsia="DengXian" w:hAnsi="Calibri" w:cs="Arial"/>
              <w:noProof/>
              <w:sz w:val="22"/>
              <w:lang w:eastAsia="it-CH"/>
            </w:rPr>
          </w:pPr>
          <w:hyperlink w:anchor="_Toc98976129" w:history="1">
            <w:r w:rsidR="001C63E0" w:rsidRPr="00624547">
              <w:rPr>
                <w:noProof/>
                <w:sz w:val="20"/>
                <w:szCs w:val="20"/>
                <w:lang w:val="it-IT"/>
              </w:rPr>
              <w:t>9.1.1</w:t>
            </w:r>
            <w:r w:rsidR="001C63E0" w:rsidRPr="00624547">
              <w:rPr>
                <w:rFonts w:ascii="Calibri" w:eastAsia="DengXian" w:hAnsi="Calibri" w:cs="Arial"/>
                <w:noProof/>
                <w:sz w:val="22"/>
                <w:lang w:eastAsia="it-CH"/>
              </w:rPr>
              <w:tab/>
            </w:r>
            <w:r w:rsidR="001C63E0" w:rsidRPr="00624547">
              <w:rPr>
                <w:noProof/>
                <w:sz w:val="20"/>
                <w:szCs w:val="20"/>
                <w:lang w:val="it-IT"/>
              </w:rPr>
              <w:t>Prevista evoluzione del grado di copertura a corto e a lungo termine</w:t>
            </w:r>
            <w:r w:rsidR="001C63E0" w:rsidRPr="00624547">
              <w:rPr>
                <w:noProof/>
                <w:webHidden/>
                <w:sz w:val="20"/>
                <w:szCs w:val="20"/>
                <w:lang w:val="it-IT"/>
              </w:rPr>
              <w:tab/>
            </w:r>
            <w:r w:rsidR="001C63E0" w:rsidRPr="00624547">
              <w:rPr>
                <w:noProof/>
                <w:webHidden/>
                <w:sz w:val="20"/>
                <w:szCs w:val="20"/>
                <w:lang w:val="it-IT"/>
              </w:rPr>
              <w:fldChar w:fldCharType="begin"/>
            </w:r>
            <w:r w:rsidR="001C63E0" w:rsidRPr="00624547">
              <w:rPr>
                <w:noProof/>
                <w:webHidden/>
                <w:sz w:val="20"/>
                <w:szCs w:val="20"/>
                <w:lang w:val="it-IT"/>
              </w:rPr>
              <w:instrText xml:space="preserve"> PAGEREF _Toc98976129 \h </w:instrText>
            </w:r>
            <w:r w:rsidR="001C63E0" w:rsidRPr="00624547">
              <w:rPr>
                <w:noProof/>
                <w:webHidden/>
                <w:sz w:val="20"/>
                <w:szCs w:val="20"/>
                <w:lang w:val="it-IT"/>
              </w:rPr>
            </w:r>
            <w:r w:rsidR="001C63E0" w:rsidRPr="00624547">
              <w:rPr>
                <w:noProof/>
                <w:webHidden/>
                <w:sz w:val="20"/>
                <w:szCs w:val="20"/>
                <w:lang w:val="it-IT"/>
              </w:rPr>
              <w:fldChar w:fldCharType="separate"/>
            </w:r>
            <w:r w:rsidR="00ED7B60">
              <w:rPr>
                <w:noProof/>
                <w:webHidden/>
                <w:sz w:val="20"/>
                <w:szCs w:val="20"/>
                <w:lang w:val="it-IT"/>
              </w:rPr>
              <w:t>45</w:t>
            </w:r>
            <w:r w:rsidR="001C63E0" w:rsidRPr="00624547">
              <w:rPr>
                <w:noProof/>
                <w:webHidden/>
                <w:sz w:val="20"/>
                <w:szCs w:val="20"/>
                <w:lang w:val="it-IT"/>
              </w:rPr>
              <w:fldChar w:fldCharType="end"/>
            </w:r>
          </w:hyperlink>
        </w:p>
        <w:p w:rsidR="001C63E0" w:rsidRPr="00624547" w:rsidRDefault="00C533FF" w:rsidP="001C63E0">
          <w:pPr>
            <w:tabs>
              <w:tab w:val="left" w:pos="709"/>
              <w:tab w:val="right" w:leader="dot" w:pos="9628"/>
            </w:tabs>
            <w:spacing w:before="20"/>
            <w:ind w:left="709" w:hanging="709"/>
            <w:rPr>
              <w:rFonts w:ascii="Calibri" w:eastAsia="DengXian" w:hAnsi="Calibri" w:cs="Arial"/>
              <w:noProof/>
              <w:sz w:val="22"/>
              <w:lang w:eastAsia="it-CH"/>
            </w:rPr>
          </w:pPr>
          <w:hyperlink w:anchor="_Toc98976130" w:history="1">
            <w:r w:rsidR="001C63E0" w:rsidRPr="00624547">
              <w:rPr>
                <w:noProof/>
                <w:sz w:val="20"/>
                <w:szCs w:val="20"/>
                <w:lang w:val="it-IT"/>
              </w:rPr>
              <w:t>9.1.2</w:t>
            </w:r>
            <w:r w:rsidR="001C63E0" w:rsidRPr="00624547">
              <w:rPr>
                <w:rFonts w:ascii="Calibri" w:eastAsia="DengXian" w:hAnsi="Calibri" w:cs="Arial"/>
                <w:noProof/>
                <w:sz w:val="22"/>
                <w:lang w:eastAsia="it-CH"/>
              </w:rPr>
              <w:tab/>
            </w:r>
            <w:r w:rsidR="001C63E0" w:rsidRPr="00624547">
              <w:rPr>
                <w:noProof/>
                <w:sz w:val="20"/>
                <w:szCs w:val="20"/>
                <w:lang w:val="it-IT"/>
              </w:rPr>
              <w:t>Rendimenti azionari ipotizzati alla base delle proiezioni del CdS e dell’IPCT</w:t>
            </w:r>
            <w:r w:rsidR="001C63E0" w:rsidRPr="00624547">
              <w:rPr>
                <w:noProof/>
                <w:webHidden/>
                <w:sz w:val="20"/>
                <w:szCs w:val="20"/>
                <w:lang w:val="it-IT"/>
              </w:rPr>
              <w:tab/>
            </w:r>
            <w:r w:rsidR="001C63E0" w:rsidRPr="00624547">
              <w:rPr>
                <w:noProof/>
                <w:webHidden/>
                <w:sz w:val="20"/>
                <w:szCs w:val="20"/>
                <w:lang w:val="it-IT"/>
              </w:rPr>
              <w:fldChar w:fldCharType="begin"/>
            </w:r>
            <w:r w:rsidR="001C63E0" w:rsidRPr="00624547">
              <w:rPr>
                <w:noProof/>
                <w:webHidden/>
                <w:sz w:val="20"/>
                <w:szCs w:val="20"/>
                <w:lang w:val="it-IT"/>
              </w:rPr>
              <w:instrText xml:space="preserve"> PAGEREF _Toc98976130 \h </w:instrText>
            </w:r>
            <w:r w:rsidR="001C63E0" w:rsidRPr="00624547">
              <w:rPr>
                <w:noProof/>
                <w:webHidden/>
                <w:sz w:val="20"/>
                <w:szCs w:val="20"/>
                <w:lang w:val="it-IT"/>
              </w:rPr>
            </w:r>
            <w:r w:rsidR="001C63E0" w:rsidRPr="00624547">
              <w:rPr>
                <w:noProof/>
                <w:webHidden/>
                <w:sz w:val="20"/>
                <w:szCs w:val="20"/>
                <w:lang w:val="it-IT"/>
              </w:rPr>
              <w:fldChar w:fldCharType="separate"/>
            </w:r>
            <w:r w:rsidR="00ED7B60">
              <w:rPr>
                <w:noProof/>
                <w:webHidden/>
                <w:sz w:val="20"/>
                <w:szCs w:val="20"/>
                <w:lang w:val="it-IT"/>
              </w:rPr>
              <w:t>46</w:t>
            </w:r>
            <w:r w:rsidR="001C63E0" w:rsidRPr="00624547">
              <w:rPr>
                <w:noProof/>
                <w:webHidden/>
                <w:sz w:val="20"/>
                <w:szCs w:val="20"/>
                <w:lang w:val="it-IT"/>
              </w:rPr>
              <w:fldChar w:fldCharType="end"/>
            </w:r>
          </w:hyperlink>
        </w:p>
        <w:p w:rsidR="001C63E0" w:rsidRPr="00624547" w:rsidRDefault="00C533FF" w:rsidP="001C63E0">
          <w:pPr>
            <w:tabs>
              <w:tab w:val="left" w:pos="709"/>
              <w:tab w:val="right" w:leader="dot" w:pos="9628"/>
            </w:tabs>
            <w:spacing w:before="60"/>
            <w:ind w:left="709" w:hanging="709"/>
            <w:jc w:val="left"/>
            <w:rPr>
              <w:rFonts w:ascii="Calibri" w:eastAsia="DengXian" w:hAnsi="Calibri" w:cs="Arial"/>
              <w:noProof/>
              <w:sz w:val="22"/>
              <w:lang w:eastAsia="it-CH"/>
            </w:rPr>
          </w:pPr>
          <w:hyperlink w:anchor="_Toc98976131" w:history="1">
            <w:r w:rsidR="001C63E0" w:rsidRPr="00624547">
              <w:rPr>
                <w:noProof/>
                <w:sz w:val="22"/>
                <w:lang w:val="it-IT"/>
              </w:rPr>
              <w:t>9.2</w:t>
            </w:r>
            <w:r w:rsidR="001C63E0" w:rsidRPr="00624547">
              <w:rPr>
                <w:rFonts w:ascii="Calibri" w:eastAsia="DengXian" w:hAnsi="Calibri" w:cs="Arial"/>
                <w:noProof/>
                <w:sz w:val="22"/>
                <w:lang w:eastAsia="it-CH"/>
              </w:rPr>
              <w:tab/>
            </w:r>
            <w:r w:rsidR="001C63E0" w:rsidRPr="00624547">
              <w:rPr>
                <w:noProof/>
                <w:sz w:val="22"/>
                <w:lang w:val="it-IT"/>
              </w:rPr>
              <w:t>Investimenti sostenibili</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_Toc98976131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47</w:t>
            </w:r>
            <w:r w:rsidR="001C63E0" w:rsidRPr="00624547">
              <w:rPr>
                <w:noProof/>
                <w:webHidden/>
                <w:sz w:val="22"/>
                <w:lang w:val="it-IT"/>
              </w:rPr>
              <w:fldChar w:fldCharType="end"/>
            </w:r>
          </w:hyperlink>
        </w:p>
        <w:p w:rsidR="001C63E0" w:rsidRPr="00624547" w:rsidRDefault="00C533FF" w:rsidP="001C63E0">
          <w:pPr>
            <w:tabs>
              <w:tab w:val="left" w:pos="709"/>
              <w:tab w:val="right" w:leader="dot" w:pos="9628"/>
            </w:tabs>
            <w:spacing w:before="20"/>
            <w:ind w:left="709" w:hanging="709"/>
            <w:rPr>
              <w:rFonts w:ascii="Calibri" w:eastAsia="DengXian" w:hAnsi="Calibri" w:cs="Arial"/>
              <w:noProof/>
              <w:sz w:val="22"/>
              <w:lang w:eastAsia="it-CH"/>
            </w:rPr>
          </w:pPr>
          <w:hyperlink w:anchor="_Toc98976132" w:history="1">
            <w:r w:rsidR="001C63E0" w:rsidRPr="00624547">
              <w:rPr>
                <w:noProof/>
                <w:sz w:val="20"/>
                <w:szCs w:val="20"/>
                <w:lang w:val="it-IT"/>
              </w:rPr>
              <w:t>9.2.1</w:t>
            </w:r>
            <w:r w:rsidR="001C63E0" w:rsidRPr="00624547">
              <w:rPr>
                <w:rFonts w:ascii="Calibri" w:eastAsia="DengXian" w:hAnsi="Calibri" w:cs="Arial"/>
                <w:noProof/>
                <w:sz w:val="22"/>
                <w:lang w:eastAsia="it-CH"/>
              </w:rPr>
              <w:tab/>
            </w:r>
            <w:r w:rsidR="001C63E0" w:rsidRPr="00624547">
              <w:rPr>
                <w:noProof/>
                <w:sz w:val="20"/>
                <w:szCs w:val="20"/>
                <w:lang w:val="it-IT"/>
              </w:rPr>
              <w:t>Clima e mercato finanziario</w:t>
            </w:r>
            <w:r w:rsidR="001C63E0" w:rsidRPr="00624547">
              <w:rPr>
                <w:noProof/>
                <w:webHidden/>
                <w:sz w:val="20"/>
                <w:szCs w:val="20"/>
                <w:lang w:val="it-IT"/>
              </w:rPr>
              <w:tab/>
            </w:r>
            <w:r w:rsidR="001C63E0" w:rsidRPr="00624547">
              <w:rPr>
                <w:noProof/>
                <w:webHidden/>
                <w:sz w:val="20"/>
                <w:szCs w:val="20"/>
                <w:lang w:val="it-IT"/>
              </w:rPr>
              <w:fldChar w:fldCharType="begin"/>
            </w:r>
            <w:r w:rsidR="001C63E0" w:rsidRPr="00624547">
              <w:rPr>
                <w:noProof/>
                <w:webHidden/>
                <w:sz w:val="20"/>
                <w:szCs w:val="20"/>
                <w:lang w:val="it-IT"/>
              </w:rPr>
              <w:instrText xml:space="preserve"> PAGEREF _Toc98976132 \h </w:instrText>
            </w:r>
            <w:r w:rsidR="001C63E0" w:rsidRPr="00624547">
              <w:rPr>
                <w:noProof/>
                <w:webHidden/>
                <w:sz w:val="20"/>
                <w:szCs w:val="20"/>
                <w:lang w:val="it-IT"/>
              </w:rPr>
            </w:r>
            <w:r w:rsidR="001C63E0" w:rsidRPr="00624547">
              <w:rPr>
                <w:noProof/>
                <w:webHidden/>
                <w:sz w:val="20"/>
                <w:szCs w:val="20"/>
                <w:lang w:val="it-IT"/>
              </w:rPr>
              <w:fldChar w:fldCharType="separate"/>
            </w:r>
            <w:r w:rsidR="00ED7B60">
              <w:rPr>
                <w:noProof/>
                <w:webHidden/>
                <w:sz w:val="20"/>
                <w:szCs w:val="20"/>
                <w:lang w:val="it-IT"/>
              </w:rPr>
              <w:t>47</w:t>
            </w:r>
            <w:r w:rsidR="001C63E0" w:rsidRPr="00624547">
              <w:rPr>
                <w:noProof/>
                <w:webHidden/>
                <w:sz w:val="20"/>
                <w:szCs w:val="20"/>
                <w:lang w:val="it-IT"/>
              </w:rPr>
              <w:fldChar w:fldCharType="end"/>
            </w:r>
          </w:hyperlink>
        </w:p>
        <w:p w:rsidR="001C63E0" w:rsidRPr="00624547" w:rsidRDefault="00C533FF" w:rsidP="001C63E0">
          <w:pPr>
            <w:tabs>
              <w:tab w:val="left" w:pos="709"/>
              <w:tab w:val="right" w:leader="dot" w:pos="9628"/>
            </w:tabs>
            <w:spacing w:before="20"/>
            <w:ind w:left="709" w:hanging="709"/>
            <w:rPr>
              <w:rFonts w:ascii="Calibri" w:eastAsia="DengXian" w:hAnsi="Calibri" w:cs="Arial"/>
              <w:noProof/>
              <w:sz w:val="22"/>
              <w:lang w:eastAsia="it-CH"/>
            </w:rPr>
          </w:pPr>
          <w:hyperlink w:anchor="_Toc98976133" w:history="1">
            <w:r w:rsidR="001C63E0" w:rsidRPr="00624547">
              <w:rPr>
                <w:noProof/>
                <w:sz w:val="20"/>
                <w:szCs w:val="20"/>
                <w:lang w:val="it-IT"/>
              </w:rPr>
              <w:t>9.2.2</w:t>
            </w:r>
            <w:r w:rsidR="001C63E0" w:rsidRPr="00624547">
              <w:rPr>
                <w:rFonts w:ascii="Calibri" w:eastAsia="DengXian" w:hAnsi="Calibri" w:cs="Arial"/>
                <w:noProof/>
                <w:sz w:val="22"/>
                <w:lang w:eastAsia="it-CH"/>
              </w:rPr>
              <w:tab/>
            </w:r>
            <w:r w:rsidR="001C63E0" w:rsidRPr="00624547">
              <w:rPr>
                <w:noProof/>
                <w:sz w:val="20"/>
                <w:szCs w:val="20"/>
                <w:lang w:val="it-IT"/>
              </w:rPr>
              <w:t>Indicazioni</w:t>
            </w:r>
            <w:r w:rsidR="001C63E0" w:rsidRPr="00624547">
              <w:rPr>
                <w:noProof/>
                <w:webHidden/>
                <w:sz w:val="20"/>
                <w:szCs w:val="20"/>
                <w:lang w:val="it-IT"/>
              </w:rPr>
              <w:tab/>
            </w:r>
            <w:r w:rsidR="001C63E0" w:rsidRPr="00624547">
              <w:rPr>
                <w:noProof/>
                <w:webHidden/>
                <w:sz w:val="20"/>
                <w:szCs w:val="20"/>
                <w:lang w:val="it-IT"/>
              </w:rPr>
              <w:fldChar w:fldCharType="begin"/>
            </w:r>
            <w:r w:rsidR="001C63E0" w:rsidRPr="00624547">
              <w:rPr>
                <w:noProof/>
                <w:webHidden/>
                <w:sz w:val="20"/>
                <w:szCs w:val="20"/>
                <w:lang w:val="it-IT"/>
              </w:rPr>
              <w:instrText xml:space="preserve"> PAGEREF _Toc98976133 \h </w:instrText>
            </w:r>
            <w:r w:rsidR="001C63E0" w:rsidRPr="00624547">
              <w:rPr>
                <w:noProof/>
                <w:webHidden/>
                <w:sz w:val="20"/>
                <w:szCs w:val="20"/>
                <w:lang w:val="it-IT"/>
              </w:rPr>
            </w:r>
            <w:r w:rsidR="001C63E0" w:rsidRPr="00624547">
              <w:rPr>
                <w:noProof/>
                <w:webHidden/>
                <w:sz w:val="20"/>
                <w:szCs w:val="20"/>
                <w:lang w:val="it-IT"/>
              </w:rPr>
              <w:fldChar w:fldCharType="separate"/>
            </w:r>
            <w:r w:rsidR="00ED7B60">
              <w:rPr>
                <w:noProof/>
                <w:webHidden/>
                <w:sz w:val="20"/>
                <w:szCs w:val="20"/>
                <w:lang w:val="it-IT"/>
              </w:rPr>
              <w:t>48</w:t>
            </w:r>
            <w:r w:rsidR="001C63E0" w:rsidRPr="00624547">
              <w:rPr>
                <w:noProof/>
                <w:webHidden/>
                <w:sz w:val="20"/>
                <w:szCs w:val="20"/>
                <w:lang w:val="it-IT"/>
              </w:rPr>
              <w:fldChar w:fldCharType="end"/>
            </w:r>
          </w:hyperlink>
        </w:p>
        <w:p w:rsidR="001C63E0" w:rsidRPr="00624547" w:rsidRDefault="00C533FF" w:rsidP="001C63E0">
          <w:pPr>
            <w:tabs>
              <w:tab w:val="left" w:pos="709"/>
              <w:tab w:val="right" w:leader="dot" w:pos="9628"/>
            </w:tabs>
            <w:spacing w:before="60"/>
            <w:ind w:left="709" w:hanging="709"/>
            <w:jc w:val="left"/>
            <w:rPr>
              <w:rFonts w:ascii="Calibri" w:eastAsia="DengXian" w:hAnsi="Calibri" w:cs="Arial"/>
              <w:noProof/>
              <w:sz w:val="22"/>
              <w:lang w:eastAsia="it-CH"/>
            </w:rPr>
          </w:pPr>
          <w:hyperlink w:anchor="_Toc98976134" w:history="1">
            <w:r w:rsidR="001C63E0" w:rsidRPr="00624547">
              <w:rPr>
                <w:noProof/>
                <w:sz w:val="22"/>
                <w:lang w:val="it-IT"/>
              </w:rPr>
              <w:t>9.3</w:t>
            </w:r>
            <w:r w:rsidR="001C63E0" w:rsidRPr="00624547">
              <w:rPr>
                <w:rFonts w:ascii="Calibri" w:eastAsia="DengXian" w:hAnsi="Calibri" w:cs="Arial"/>
                <w:noProof/>
                <w:sz w:val="22"/>
                <w:lang w:eastAsia="it-CH"/>
              </w:rPr>
              <w:tab/>
            </w:r>
            <w:r w:rsidR="001C63E0" w:rsidRPr="00624547">
              <w:rPr>
                <w:noProof/>
                <w:sz w:val="22"/>
                <w:lang w:val="it-IT"/>
              </w:rPr>
              <w:t>Riduzione del tasso di conversione</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_Toc98976134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49</w:t>
            </w:r>
            <w:r w:rsidR="001C63E0" w:rsidRPr="00624547">
              <w:rPr>
                <w:noProof/>
                <w:webHidden/>
                <w:sz w:val="22"/>
                <w:lang w:val="it-IT"/>
              </w:rPr>
              <w:fldChar w:fldCharType="end"/>
            </w:r>
          </w:hyperlink>
        </w:p>
        <w:p w:rsidR="001C63E0" w:rsidRPr="00624547" w:rsidRDefault="00C533FF" w:rsidP="001C63E0">
          <w:pPr>
            <w:tabs>
              <w:tab w:val="left" w:pos="709"/>
              <w:tab w:val="right" w:leader="dot" w:pos="9628"/>
            </w:tabs>
            <w:spacing w:before="120"/>
            <w:ind w:left="709" w:hanging="709"/>
            <w:jc w:val="left"/>
            <w:rPr>
              <w:rFonts w:ascii="Calibri" w:eastAsia="DengXian" w:hAnsi="Calibri" w:cs="Arial"/>
              <w:noProof/>
              <w:sz w:val="22"/>
              <w:lang w:eastAsia="it-CH"/>
            </w:rPr>
          </w:pPr>
          <w:hyperlink w:anchor="_Toc98976135" w:history="1">
            <w:r w:rsidR="001C63E0" w:rsidRPr="00624547">
              <w:rPr>
                <w:caps/>
                <w:noProof/>
                <w:sz w:val="22"/>
                <w:lang w:val="it-IT"/>
              </w:rPr>
              <w:t>10.</w:t>
            </w:r>
            <w:r w:rsidR="001C63E0" w:rsidRPr="00624547">
              <w:rPr>
                <w:rFonts w:ascii="Calibri" w:eastAsia="DengXian" w:hAnsi="Calibri" w:cs="Arial"/>
                <w:noProof/>
                <w:sz w:val="22"/>
                <w:lang w:eastAsia="it-CH"/>
              </w:rPr>
              <w:tab/>
            </w:r>
            <w:r w:rsidR="001C63E0" w:rsidRPr="00624547">
              <w:rPr>
                <w:caps/>
                <w:noProof/>
                <w:sz w:val="22"/>
                <w:lang w:val="it-IT"/>
              </w:rPr>
              <w:t>ATTI FORMALI DA INTRAPRENDERE E CONCLUSIONI</w:t>
            </w:r>
            <w:r w:rsidR="001C63E0" w:rsidRPr="00624547">
              <w:rPr>
                <w:caps/>
                <w:noProof/>
                <w:webHidden/>
                <w:sz w:val="22"/>
                <w:lang w:val="it-IT"/>
              </w:rPr>
              <w:tab/>
            </w:r>
            <w:r w:rsidR="001C63E0" w:rsidRPr="00624547">
              <w:rPr>
                <w:caps/>
                <w:noProof/>
                <w:webHidden/>
                <w:sz w:val="22"/>
                <w:lang w:val="it-IT"/>
              </w:rPr>
              <w:fldChar w:fldCharType="begin"/>
            </w:r>
            <w:r w:rsidR="001C63E0" w:rsidRPr="00624547">
              <w:rPr>
                <w:caps/>
                <w:noProof/>
                <w:webHidden/>
                <w:sz w:val="22"/>
                <w:lang w:val="it-IT"/>
              </w:rPr>
              <w:instrText xml:space="preserve"> PAGEREF _Toc98976135 \h </w:instrText>
            </w:r>
            <w:r w:rsidR="001C63E0" w:rsidRPr="00624547">
              <w:rPr>
                <w:caps/>
                <w:noProof/>
                <w:webHidden/>
                <w:sz w:val="22"/>
                <w:lang w:val="it-IT"/>
              </w:rPr>
            </w:r>
            <w:r w:rsidR="001C63E0" w:rsidRPr="00624547">
              <w:rPr>
                <w:caps/>
                <w:noProof/>
                <w:webHidden/>
                <w:sz w:val="22"/>
                <w:lang w:val="it-IT"/>
              </w:rPr>
              <w:fldChar w:fldCharType="separate"/>
            </w:r>
            <w:r w:rsidR="00ED7B60">
              <w:rPr>
                <w:caps/>
                <w:noProof/>
                <w:webHidden/>
                <w:sz w:val="22"/>
                <w:lang w:val="it-IT"/>
              </w:rPr>
              <w:t>53</w:t>
            </w:r>
            <w:r w:rsidR="001C63E0" w:rsidRPr="00624547">
              <w:rPr>
                <w:caps/>
                <w:noProof/>
                <w:webHidden/>
                <w:sz w:val="22"/>
                <w:lang w:val="it-IT"/>
              </w:rPr>
              <w:fldChar w:fldCharType="end"/>
            </w:r>
          </w:hyperlink>
        </w:p>
        <w:p w:rsidR="001C63E0" w:rsidRPr="00624547" w:rsidRDefault="00C533FF" w:rsidP="001C63E0">
          <w:pPr>
            <w:tabs>
              <w:tab w:val="left" w:pos="709"/>
              <w:tab w:val="right" w:leader="dot" w:pos="9628"/>
            </w:tabs>
            <w:spacing w:before="120"/>
            <w:ind w:left="709" w:hanging="709"/>
            <w:jc w:val="left"/>
            <w:rPr>
              <w:rFonts w:ascii="Calibri" w:eastAsia="DengXian" w:hAnsi="Calibri" w:cs="Arial"/>
              <w:noProof/>
              <w:sz w:val="22"/>
              <w:lang w:eastAsia="it-CH"/>
            </w:rPr>
          </w:pPr>
          <w:hyperlink w:anchor="_Toc98976136" w:history="1">
            <w:r w:rsidR="001C63E0" w:rsidRPr="00624547">
              <w:rPr>
                <w:caps/>
                <w:noProof/>
                <w:sz w:val="22"/>
                <w:lang w:val="it-IT"/>
              </w:rPr>
              <w:t>APPENDICE – RENDIMENTI AZIONARI MONDIALI 1926-2020</w:t>
            </w:r>
            <w:r w:rsidR="001C63E0" w:rsidRPr="00624547">
              <w:rPr>
                <w:caps/>
                <w:noProof/>
                <w:webHidden/>
                <w:sz w:val="22"/>
                <w:lang w:val="it-IT"/>
              </w:rPr>
              <w:tab/>
            </w:r>
            <w:r w:rsidR="001C63E0" w:rsidRPr="00624547">
              <w:rPr>
                <w:caps/>
                <w:noProof/>
                <w:webHidden/>
                <w:sz w:val="22"/>
                <w:lang w:val="it-IT"/>
              </w:rPr>
              <w:fldChar w:fldCharType="begin"/>
            </w:r>
            <w:r w:rsidR="001C63E0" w:rsidRPr="00624547">
              <w:rPr>
                <w:caps/>
                <w:noProof/>
                <w:webHidden/>
                <w:sz w:val="22"/>
                <w:lang w:val="it-IT"/>
              </w:rPr>
              <w:instrText xml:space="preserve"> PAGEREF _Toc98976136 \h </w:instrText>
            </w:r>
            <w:r w:rsidR="001C63E0" w:rsidRPr="00624547">
              <w:rPr>
                <w:caps/>
                <w:noProof/>
                <w:webHidden/>
                <w:sz w:val="22"/>
                <w:lang w:val="it-IT"/>
              </w:rPr>
            </w:r>
            <w:r w:rsidR="001C63E0" w:rsidRPr="00624547">
              <w:rPr>
                <w:caps/>
                <w:noProof/>
                <w:webHidden/>
                <w:sz w:val="22"/>
                <w:lang w:val="it-IT"/>
              </w:rPr>
              <w:fldChar w:fldCharType="separate"/>
            </w:r>
            <w:r w:rsidR="00ED7B60">
              <w:rPr>
                <w:caps/>
                <w:noProof/>
                <w:webHidden/>
                <w:sz w:val="22"/>
                <w:lang w:val="it-IT"/>
              </w:rPr>
              <w:t>55</w:t>
            </w:r>
            <w:r w:rsidR="001C63E0" w:rsidRPr="00624547">
              <w:rPr>
                <w:caps/>
                <w:noProof/>
                <w:webHidden/>
                <w:sz w:val="22"/>
                <w:lang w:val="it-IT"/>
              </w:rPr>
              <w:fldChar w:fldCharType="end"/>
            </w:r>
          </w:hyperlink>
        </w:p>
        <w:p w:rsidR="001C63E0" w:rsidRPr="00624547" w:rsidRDefault="00C533FF" w:rsidP="001C63E0">
          <w:pPr>
            <w:tabs>
              <w:tab w:val="left" w:pos="709"/>
              <w:tab w:val="right" w:leader="dot" w:pos="9628"/>
            </w:tabs>
            <w:spacing w:before="60"/>
            <w:ind w:left="709" w:hanging="709"/>
            <w:jc w:val="left"/>
            <w:rPr>
              <w:rFonts w:ascii="Calibri" w:eastAsia="DengXian" w:hAnsi="Calibri" w:cs="Arial"/>
              <w:noProof/>
              <w:sz w:val="22"/>
              <w:lang w:eastAsia="it-CH"/>
            </w:rPr>
          </w:pPr>
          <w:hyperlink w:anchor="_Toc98976137" w:history="1">
            <w:r w:rsidR="001C63E0" w:rsidRPr="00624547">
              <w:rPr>
                <w:noProof/>
                <w:sz w:val="22"/>
                <w:lang w:val="it-IT"/>
              </w:rPr>
              <w:t>A.1</w:t>
            </w:r>
            <w:r w:rsidR="001C63E0" w:rsidRPr="00624547">
              <w:rPr>
                <w:rFonts w:ascii="Calibri" w:eastAsia="DengXian" w:hAnsi="Calibri" w:cs="Arial"/>
                <w:noProof/>
                <w:sz w:val="22"/>
                <w:lang w:eastAsia="it-CH"/>
              </w:rPr>
              <w:tab/>
            </w:r>
            <w:r w:rsidR="001C63E0" w:rsidRPr="00624547">
              <w:rPr>
                <w:noProof/>
                <w:sz w:val="22"/>
                <w:lang w:val="it-IT"/>
              </w:rPr>
              <w:t>Dispersione storica (1926-2020) dei rendimenti borsistici mondiali</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_Toc98976137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55</w:t>
            </w:r>
            <w:r w:rsidR="001C63E0" w:rsidRPr="00624547">
              <w:rPr>
                <w:noProof/>
                <w:webHidden/>
                <w:sz w:val="22"/>
                <w:lang w:val="it-IT"/>
              </w:rPr>
              <w:fldChar w:fldCharType="end"/>
            </w:r>
          </w:hyperlink>
        </w:p>
        <w:p w:rsidR="001C63E0" w:rsidRPr="00624547" w:rsidRDefault="00C533FF" w:rsidP="001C63E0">
          <w:pPr>
            <w:tabs>
              <w:tab w:val="left" w:pos="709"/>
              <w:tab w:val="right" w:leader="dot" w:pos="9628"/>
            </w:tabs>
            <w:spacing w:before="60"/>
            <w:ind w:left="709" w:hanging="709"/>
            <w:jc w:val="left"/>
            <w:rPr>
              <w:rFonts w:ascii="Calibri" w:eastAsia="DengXian" w:hAnsi="Calibri" w:cs="Arial"/>
              <w:noProof/>
              <w:sz w:val="22"/>
              <w:lang w:eastAsia="it-CH"/>
            </w:rPr>
          </w:pPr>
          <w:hyperlink w:anchor="_Toc98976138" w:history="1">
            <w:r w:rsidR="001C63E0" w:rsidRPr="00624547">
              <w:rPr>
                <w:noProof/>
                <w:sz w:val="22"/>
                <w:lang w:val="it-IT"/>
              </w:rPr>
              <w:t>A.2</w:t>
            </w:r>
            <w:r w:rsidR="001C63E0" w:rsidRPr="00624547">
              <w:rPr>
                <w:rFonts w:ascii="Calibri" w:eastAsia="DengXian" w:hAnsi="Calibri" w:cs="Arial"/>
                <w:noProof/>
                <w:sz w:val="22"/>
                <w:lang w:eastAsia="it-CH"/>
              </w:rPr>
              <w:tab/>
            </w:r>
            <w:r w:rsidR="001C63E0" w:rsidRPr="00624547">
              <w:rPr>
                <w:noProof/>
                <w:sz w:val="22"/>
                <w:lang w:val="it-IT"/>
              </w:rPr>
              <w:t>Possibili approcci di contenimento delle perdite massime (</w:t>
            </w:r>
            <w:r w:rsidR="001C63E0" w:rsidRPr="00624547">
              <w:rPr>
                <w:i/>
                <w:iCs/>
                <w:noProof/>
                <w:sz w:val="22"/>
                <w:lang w:val="it-IT"/>
              </w:rPr>
              <w:t>drawdown</w:t>
            </w:r>
            <w:r w:rsidR="001C63E0" w:rsidRPr="00624547">
              <w:rPr>
                <w:noProof/>
                <w:sz w:val="22"/>
                <w:lang w:val="it-IT"/>
              </w:rPr>
              <w:t>)</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_Toc98976138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59</w:t>
            </w:r>
            <w:r w:rsidR="001C63E0" w:rsidRPr="00624547">
              <w:rPr>
                <w:noProof/>
                <w:webHidden/>
                <w:sz w:val="22"/>
                <w:lang w:val="it-IT"/>
              </w:rPr>
              <w:fldChar w:fldCharType="end"/>
            </w:r>
          </w:hyperlink>
        </w:p>
        <w:p w:rsidR="00407CC6" w:rsidRDefault="00C533FF" w:rsidP="00EC5775">
          <w:pPr>
            <w:tabs>
              <w:tab w:val="left" w:pos="709"/>
              <w:tab w:val="right" w:leader="dot" w:pos="9628"/>
            </w:tabs>
            <w:spacing w:before="60"/>
            <w:ind w:left="709" w:hanging="709"/>
            <w:jc w:val="left"/>
            <w:rPr>
              <w:rFonts w:cs="Arial"/>
              <w:b/>
              <w:bCs/>
            </w:rPr>
          </w:pPr>
          <w:hyperlink w:anchor="_Toc98976139" w:history="1">
            <w:r w:rsidR="001C63E0" w:rsidRPr="00624547">
              <w:rPr>
                <w:noProof/>
                <w:sz w:val="22"/>
                <w:lang w:val="it-IT"/>
              </w:rPr>
              <w:t>A.3</w:t>
            </w:r>
            <w:r w:rsidR="001C63E0" w:rsidRPr="00624547">
              <w:rPr>
                <w:rFonts w:ascii="Calibri" w:eastAsia="DengXian" w:hAnsi="Calibri" w:cs="Arial"/>
                <w:noProof/>
                <w:sz w:val="22"/>
                <w:lang w:eastAsia="it-CH"/>
              </w:rPr>
              <w:tab/>
            </w:r>
            <w:r w:rsidR="001C63E0" w:rsidRPr="00624547">
              <w:rPr>
                <w:noProof/>
                <w:sz w:val="22"/>
                <w:lang w:val="it-IT"/>
              </w:rPr>
              <w:t>Ulteriori possibili sviluppi</w:t>
            </w:r>
            <w:r w:rsidR="001C63E0" w:rsidRPr="00624547">
              <w:rPr>
                <w:noProof/>
                <w:webHidden/>
                <w:sz w:val="22"/>
                <w:lang w:val="it-IT"/>
              </w:rPr>
              <w:tab/>
            </w:r>
            <w:r w:rsidR="001C63E0" w:rsidRPr="00624547">
              <w:rPr>
                <w:noProof/>
                <w:webHidden/>
                <w:sz w:val="22"/>
                <w:lang w:val="it-IT"/>
              </w:rPr>
              <w:fldChar w:fldCharType="begin"/>
            </w:r>
            <w:r w:rsidR="001C63E0" w:rsidRPr="00624547">
              <w:rPr>
                <w:noProof/>
                <w:webHidden/>
                <w:sz w:val="22"/>
                <w:lang w:val="it-IT"/>
              </w:rPr>
              <w:instrText xml:space="preserve"> PAGEREF _Toc98976139 \h </w:instrText>
            </w:r>
            <w:r w:rsidR="001C63E0" w:rsidRPr="00624547">
              <w:rPr>
                <w:noProof/>
                <w:webHidden/>
                <w:sz w:val="22"/>
                <w:lang w:val="it-IT"/>
              </w:rPr>
            </w:r>
            <w:r w:rsidR="001C63E0" w:rsidRPr="00624547">
              <w:rPr>
                <w:noProof/>
                <w:webHidden/>
                <w:sz w:val="22"/>
                <w:lang w:val="it-IT"/>
              </w:rPr>
              <w:fldChar w:fldCharType="separate"/>
            </w:r>
            <w:r w:rsidR="00ED7B60">
              <w:rPr>
                <w:noProof/>
                <w:webHidden/>
                <w:sz w:val="22"/>
                <w:lang w:val="it-IT"/>
              </w:rPr>
              <w:t>65</w:t>
            </w:r>
            <w:r w:rsidR="001C63E0" w:rsidRPr="00624547">
              <w:rPr>
                <w:noProof/>
                <w:webHidden/>
                <w:sz w:val="22"/>
                <w:lang w:val="it-IT"/>
              </w:rPr>
              <w:fldChar w:fldCharType="end"/>
            </w:r>
          </w:hyperlink>
          <w:r w:rsidR="001C63E0" w:rsidRPr="001C63E0">
            <w:rPr>
              <w:rFonts w:cs="Arial"/>
              <w:b/>
              <w:bCs/>
              <w:lang w:val="it-IT"/>
            </w:rPr>
            <w:fldChar w:fldCharType="end"/>
          </w:r>
        </w:p>
      </w:sdtContent>
    </w:sdt>
    <w:bookmarkStart w:id="0" w:name="_Toc98976078" w:displacedByCustomXml="prev"/>
    <w:p w:rsidR="001C63E0" w:rsidRPr="001C63E0" w:rsidRDefault="001C63E0" w:rsidP="00407CC6">
      <w:pPr>
        <w:spacing w:before="120"/>
        <w:rPr>
          <w:rFonts w:cs="Arial"/>
        </w:rPr>
      </w:pPr>
      <w:r w:rsidRPr="001C63E0">
        <w:rPr>
          <w:rFonts w:cs="Arial"/>
          <w:b/>
          <w:szCs w:val="24"/>
          <w:lang w:val="it-IT" w:eastAsia="it-IT"/>
        </w:rPr>
        <w:lastRenderedPageBreak/>
        <w:t>RIASSUNTO BREVE E STRUTTURA DEL RAPPORTO</w:t>
      </w:r>
      <w:bookmarkEnd w:id="0"/>
    </w:p>
    <w:p w:rsidR="001C63E0" w:rsidRPr="001C63E0" w:rsidRDefault="00C574C4" w:rsidP="001C63E0">
      <w:pPr>
        <w:spacing w:before="120"/>
        <w:rPr>
          <w:rFonts w:cs="Arial"/>
          <w:lang w:eastAsia="it-IT"/>
        </w:rPr>
      </w:pPr>
      <w:r>
        <w:rPr>
          <w:rFonts w:cs="Arial"/>
          <w:lang w:eastAsia="it-IT"/>
        </w:rPr>
        <w:t xml:space="preserve">Con il messaggio n. 7784 del 15 </w:t>
      </w:r>
      <w:r w:rsidR="001C63E0" w:rsidRPr="001C63E0">
        <w:rPr>
          <w:rFonts w:cs="Arial"/>
          <w:lang w:eastAsia="it-IT"/>
        </w:rPr>
        <w:t>gennaio 2020, il Consiglio di Stato ha posto formalmente sul tavolo del Gran Consiglio e della sua Commissione gestione e finanze il tema della necessità di risanamento finanziario dell’Istituto di previdenza del Cantone Ticino (IPCT).</w:t>
      </w:r>
    </w:p>
    <w:p w:rsidR="001C63E0" w:rsidRPr="001C63E0" w:rsidRDefault="001C63E0" w:rsidP="001C63E0">
      <w:pPr>
        <w:spacing w:before="120"/>
        <w:rPr>
          <w:rFonts w:cs="Arial"/>
          <w:lang w:eastAsia="it-IT"/>
        </w:rPr>
      </w:pPr>
      <w:r w:rsidRPr="001C63E0">
        <w:rPr>
          <w:rFonts w:cs="Arial"/>
          <w:lang w:eastAsia="it-IT"/>
        </w:rPr>
        <w:t>Il presente rapporto riassume quasi due anni di approfonditi lavori di analisi e confronto svoltisi di concerto tra le forze politiche, le parti sociali, il Consiglio di Stato e l’IPCT stesso. Il presente documento è strutturato in due parti che ricalcano l’evoluzione dei lavori, la prima nel 2020 e la seconda nel 2021.</w:t>
      </w:r>
    </w:p>
    <w:p w:rsidR="001C63E0" w:rsidRPr="001C63E0" w:rsidRDefault="00F925ED" w:rsidP="00EC5775">
      <w:pPr>
        <w:numPr>
          <w:ilvl w:val="0"/>
          <w:numId w:val="14"/>
        </w:numPr>
        <w:spacing w:before="120"/>
        <w:ind w:left="284" w:hanging="284"/>
        <w:rPr>
          <w:rFonts w:cs="Arial"/>
          <w:lang w:eastAsia="it-IT"/>
        </w:rPr>
      </w:pPr>
      <w:r>
        <w:rPr>
          <w:rFonts w:cs="Arial"/>
          <w:lang w:eastAsia="it-IT"/>
        </w:rPr>
        <w:t xml:space="preserve">A valle del messaggio n. </w:t>
      </w:r>
      <w:r w:rsidR="001C63E0" w:rsidRPr="001C63E0">
        <w:rPr>
          <w:rFonts w:cs="Arial"/>
          <w:lang w:eastAsia="it-IT"/>
        </w:rPr>
        <w:t>7784 del 15</w:t>
      </w:r>
      <w:r>
        <w:rPr>
          <w:rFonts w:cs="Arial"/>
          <w:lang w:eastAsia="it-IT"/>
        </w:rPr>
        <w:t xml:space="preserve"> </w:t>
      </w:r>
      <w:r w:rsidR="001C63E0" w:rsidRPr="001C63E0">
        <w:rPr>
          <w:rFonts w:cs="Arial"/>
          <w:lang w:eastAsia="it-IT"/>
        </w:rPr>
        <w:t>gennaio 2020, la Commissione gestione e finanze e la sua Sottocommissione “Finanze” hanno svolto tra febbraio e ottobre 2020 svariate e approfondite analisi tese a valutare la situazione complessiva relativa al risanamento dell’Istituto di previdenza del Cantone Ticino (IPCT). Tali lavori, riassunti nella prima parte di questo rapporto, si sono dapprima incentrati sulla comprensione delle vicende storiche pregresse a partire dagli anni ’90 che hanno condotto alla situazione attuale, hanno poi approfondito la proposta del messaggio n.</w:t>
      </w:r>
      <w:r>
        <w:rPr>
          <w:rFonts w:cs="Arial"/>
          <w:lang w:eastAsia="it-IT"/>
        </w:rPr>
        <w:t xml:space="preserve"> </w:t>
      </w:r>
      <w:r w:rsidR="001C63E0" w:rsidRPr="001C63E0">
        <w:rPr>
          <w:rFonts w:cs="Arial"/>
          <w:lang w:eastAsia="it-IT"/>
        </w:rPr>
        <w:t>7784 e hanno infine condotto alla formulazione di un ventaglio di possibili scenari d’azione che spaziassero tra i due casi estremi di una totale inazione verso il raggiungimento di un grado di copertura del 115% e l’abbandono della garanzia dello Stato.</w:t>
      </w:r>
    </w:p>
    <w:p w:rsidR="001C63E0" w:rsidRPr="001C63E0" w:rsidRDefault="001C63E0" w:rsidP="00EC5775">
      <w:pPr>
        <w:numPr>
          <w:ilvl w:val="0"/>
          <w:numId w:val="14"/>
        </w:numPr>
        <w:spacing w:before="120"/>
        <w:ind w:left="284" w:hanging="284"/>
        <w:rPr>
          <w:rFonts w:cs="Arial"/>
          <w:lang w:eastAsia="it-IT"/>
        </w:rPr>
      </w:pPr>
      <w:r w:rsidRPr="001C63E0">
        <w:rPr>
          <w:rFonts w:cs="Arial"/>
          <w:lang w:eastAsia="it-IT"/>
        </w:rPr>
        <w:t>Nel corso del 2021, visti i risultati delle analisi dell’anno precedente e la stasi decisionale causata dall’assenza di concordia tra le forze politiche nella direzione da perseguire, la Commissione gestione e finanze ha nel corso dei mesi primaverili sviluppato una via di risanamento alternativa che poggiasse sull’ipotesi di un investimento finanziario di lunga durata (25 o 30 anni) finanziato dalla raccolta di fondi sul mercato dei capitali. Questa soluzione, progressivamente approfondita ed affinata dal DFE nel corso dell’estate e dell’autunno 2021, ha il pregio di evitare che il risanamento dell’IPCT gravi sulla gestione corrente dello Stato (e di riflesso sui contribuenti ticinesi) e tantomeno causi ulteriori prelievi salariali in capo ai dipendenti dello Stato. La seconda parte del presente rapporto si concentra su tali lavori.</w:t>
      </w:r>
    </w:p>
    <w:p w:rsidR="001C63E0" w:rsidRPr="001C63E0" w:rsidRDefault="001C63E0" w:rsidP="001C63E0">
      <w:pPr>
        <w:spacing w:before="120"/>
        <w:rPr>
          <w:rFonts w:cs="Arial"/>
          <w:lang w:eastAsia="it-IT"/>
        </w:rPr>
      </w:pPr>
      <w:r w:rsidRPr="001C63E0">
        <w:rPr>
          <w:rFonts w:cs="Arial"/>
          <w:lang w:eastAsia="it-IT"/>
        </w:rPr>
        <w:t xml:space="preserve">In conclusione, la soluzione qui dettagliatamente descritta e commentata prevede in primo luogo la raccolta sul mercato dei capitali di circa CHF 700 mio. tramite l’emissione di una o più </w:t>
      </w:r>
      <w:proofErr w:type="spellStart"/>
      <w:r w:rsidRPr="001C63E0">
        <w:rPr>
          <w:rFonts w:cs="Arial"/>
          <w:lang w:eastAsia="it-IT"/>
        </w:rPr>
        <w:t>tranches</w:t>
      </w:r>
      <w:proofErr w:type="spellEnd"/>
      <w:r w:rsidRPr="001C63E0">
        <w:rPr>
          <w:rFonts w:cs="Arial"/>
          <w:lang w:eastAsia="it-IT"/>
        </w:rPr>
        <w:t xml:space="preserve"> obbligazionarie da parte del Cantone. Tali averi verrebbero contribuiti nell’IPCT da parte del Cantone quale riserva dei contributi del datore di lavoro (RCDL) e investiti dall’IPCT nel quadro delle possibilità e delle restrizioni che la Legge federale sulla previdenza professionale (LPP) pone, di concerto con i professionisti che sostengono l’istituto nella definizione delle strategie di investimento e dei profili di rischio che possono essere assunti. I ricavi finanziari che si prevede ottenere nell’arco di vari decenni grazie alle plusvalenze, agli interessi e ai dividendi guadagnati andranno a beneficio dell’IPCT, permettendone pertanto in prospettiva il risanamento. Con l’avvicinarsi della scadenza del prestito obbligazionario, lo Stato potrà cessare (in tutto o in parte) di pagare i contributi previdenziali come datore di lavoro, attingere a tal fine dalla RCDL, e parallelamente destinare al rimborso del debito i flussi di tesoreria così preservati. Tale ipotesi, per raggiungere gli obiettivi che si propone, necessita di una stabilità dei rendimenti. In altre parole, il minor costo a gestione corrente viene pagato con un maggior rischio a carico dell’Istituto.</w:t>
      </w:r>
    </w:p>
    <w:p w:rsidR="001C63E0" w:rsidRPr="001C63E0" w:rsidRDefault="001C63E0" w:rsidP="001C63E0">
      <w:pPr>
        <w:spacing w:before="120"/>
        <w:rPr>
          <w:rFonts w:cs="Arial"/>
          <w:lang w:eastAsia="it-IT"/>
        </w:rPr>
      </w:pPr>
      <w:r w:rsidRPr="001C63E0">
        <w:rPr>
          <w:rFonts w:cs="Arial"/>
          <w:lang w:eastAsia="it-IT"/>
        </w:rPr>
        <w:t xml:space="preserve">La suddetta soluzione concertata tra le forze politiche e le parti sociali non necessita formalmente di alcun atto legislativo da parte del Gran Consiglio, trattandosi di una serie di decisioni e azioni che possono essere espletate su mera base amministrativa nonché contrattuale tra il Consiglio di Stato e il Consiglio di amministrazione dell’IPCT. Tuttavia, considerata la materialità finanziaria dell’operazione, le sue implicazioni per i contribuenti nonché per i dipendenti dello Stato, e di conseguenza la sua portata politica, con il presente </w:t>
      </w:r>
      <w:r w:rsidRPr="001C63E0">
        <w:rPr>
          <w:rFonts w:cs="Arial"/>
          <w:lang w:eastAsia="it-IT"/>
        </w:rPr>
        <w:lastRenderedPageBreak/>
        <w:t>rapporto – allestito per la Commissione gestione e finanze da parte dei sei membri della Sottocommissione Finanze – si intende mettere il Legislatore nella posizione di avvallare politicamente la via proposta e di documentare a futura memoria quali siano stati i retroscena e le informazioni sulla cui base gli scriventi si sono mossi.</w:t>
      </w:r>
    </w:p>
    <w:p w:rsidR="001C63E0" w:rsidRPr="001C63E0" w:rsidRDefault="001C63E0" w:rsidP="00F925ED">
      <w:pPr>
        <w:spacing w:before="120" w:after="120"/>
        <w:rPr>
          <w:rFonts w:cs="Arial"/>
          <w:szCs w:val="24"/>
          <w:lang w:eastAsia="it-IT"/>
        </w:rPr>
      </w:pPr>
      <w:r w:rsidRPr="001C63E0">
        <w:rPr>
          <w:rFonts w:cs="Arial"/>
          <w:lang w:eastAsia="it-IT"/>
        </w:rPr>
        <w:t>Con la proposta qui descritta, confidiamo che il maggiore istituto previdenziale ticinese possa – armato di pazienza, disciplina e presto anche dei necessari mezzi finanziari – progressivamente incamminarsi verso il suo risanamento. Qualora il futuro volesse riservare delle sorprese positive, potrebbe anche essere possibile raggiungere l’abbandono della garanzia dello Stato.</w:t>
      </w:r>
    </w:p>
    <w:p w:rsidR="001C63E0" w:rsidRDefault="001C63E0" w:rsidP="00512C97">
      <w:pPr>
        <w:rPr>
          <w:rFonts w:cs="Arial"/>
          <w:lang w:eastAsia="it-IT"/>
        </w:rPr>
      </w:pPr>
    </w:p>
    <w:p w:rsidR="00512C97" w:rsidRPr="001C63E0" w:rsidRDefault="00512C97" w:rsidP="00512C97">
      <w:pPr>
        <w:rPr>
          <w:rFonts w:cs="Arial"/>
          <w:lang w:eastAsia="it-IT"/>
        </w:rPr>
      </w:pPr>
    </w:p>
    <w:p w:rsidR="001C63E0" w:rsidRPr="001C63E0" w:rsidRDefault="001C63E0" w:rsidP="00EC5775">
      <w:pPr>
        <w:keepNext/>
        <w:tabs>
          <w:tab w:val="left" w:pos="709"/>
        </w:tabs>
        <w:spacing w:after="240"/>
        <w:ind w:left="709" w:hanging="709"/>
        <w:outlineLvl w:val="0"/>
        <w:rPr>
          <w:rFonts w:cs="Arial"/>
          <w:b/>
          <w:szCs w:val="24"/>
          <w:lang w:eastAsia="it-IT"/>
        </w:rPr>
      </w:pPr>
      <w:bookmarkStart w:id="1" w:name="_Toc98976079"/>
      <w:r w:rsidRPr="001C63E0">
        <w:rPr>
          <w:rFonts w:cs="Arial"/>
          <w:b/>
          <w:szCs w:val="24"/>
          <w:lang w:val="it-IT" w:eastAsia="it-IT"/>
        </w:rPr>
        <w:t>PARTE PRIMA – VALUTAZIONE NEL 2020 DELLA SITUAZIONE COMPLESSIVA</w:t>
      </w:r>
      <w:bookmarkEnd w:id="1"/>
    </w:p>
    <w:p w:rsidR="001C63E0" w:rsidRPr="001C63E0" w:rsidRDefault="001C63E0" w:rsidP="00512C97">
      <w:pPr>
        <w:keepNext/>
        <w:tabs>
          <w:tab w:val="left" w:pos="567"/>
        </w:tabs>
        <w:spacing w:before="120"/>
        <w:ind w:left="567" w:hanging="567"/>
        <w:outlineLvl w:val="0"/>
        <w:rPr>
          <w:rFonts w:cs="Arial"/>
          <w:b/>
          <w:szCs w:val="24"/>
          <w:lang w:val="it-IT" w:eastAsia="it-IT"/>
        </w:rPr>
      </w:pPr>
      <w:bookmarkStart w:id="2" w:name="_Toc98976080"/>
      <w:r w:rsidRPr="001C63E0">
        <w:rPr>
          <w:rFonts w:cs="Arial"/>
          <w:b/>
          <w:szCs w:val="24"/>
          <w:lang w:val="it-IT" w:eastAsia="it-IT"/>
        </w:rPr>
        <w:t>1.</w:t>
      </w:r>
      <w:r w:rsidRPr="001C63E0">
        <w:rPr>
          <w:rFonts w:cs="Arial"/>
          <w:b/>
          <w:szCs w:val="24"/>
          <w:lang w:val="it-IT" w:eastAsia="it-IT"/>
        </w:rPr>
        <w:tab/>
        <w:t>PREMESSA STORICA E POLITICA: IL PIANO DI RISANAMENTO VOTATO NEL NOVEMBRE 2012</w:t>
      </w:r>
      <w:bookmarkEnd w:id="2"/>
    </w:p>
    <w:p w:rsidR="001C63E0" w:rsidRPr="001C63E0" w:rsidRDefault="001C63E0" w:rsidP="001C63E0">
      <w:pPr>
        <w:spacing w:before="120"/>
        <w:rPr>
          <w:rFonts w:cs="Arial"/>
        </w:rPr>
      </w:pPr>
      <w:r w:rsidRPr="001C63E0">
        <w:rPr>
          <w:rFonts w:cs="Arial"/>
        </w:rPr>
        <w:t>Il 6 novembre 2012</w:t>
      </w:r>
      <w:r w:rsidRPr="001C63E0">
        <w:rPr>
          <w:rFonts w:cs="Arial"/>
          <w:vertAlign w:val="superscript"/>
        </w:rPr>
        <w:footnoteReference w:id="1"/>
      </w:r>
      <w:r w:rsidRPr="001C63E0">
        <w:rPr>
          <w:rFonts w:cs="Arial"/>
        </w:rPr>
        <w:t xml:space="preserve"> il Gran Consiglio ha accolto a larga maggioranza (con 50 voti favorevoli, 16 contrari e 8 astensioni per quanto concerne l’entrata in materia) il </w:t>
      </w:r>
      <w:hyperlink r:id="rId8" w:history="1">
        <w:r w:rsidRPr="001C63E0">
          <w:rPr>
            <w:rFonts w:cs="Arial"/>
            <w:color w:val="0000FF"/>
            <w:u w:val="single"/>
          </w:rPr>
          <w:t>rapporto di maggioranza</w:t>
        </w:r>
      </w:hyperlink>
      <w:r w:rsidRPr="001C63E0">
        <w:rPr>
          <w:rFonts w:cs="Arial"/>
        </w:rPr>
        <w:t xml:space="preserve"> del 23 ottobre 2012 di Sergio Savoia (per la Commissione della gestione e delle finanze)</w:t>
      </w:r>
      <w:r w:rsidRPr="001C63E0">
        <w:rPr>
          <w:rFonts w:cs="Arial"/>
          <w:vertAlign w:val="superscript"/>
        </w:rPr>
        <w:footnoteReference w:id="2"/>
      </w:r>
      <w:r w:rsidRPr="001C63E0">
        <w:rPr>
          <w:rFonts w:cs="Arial"/>
        </w:rPr>
        <w:t xml:space="preserve"> favorevole al messaggio n. </w:t>
      </w:r>
      <w:hyperlink r:id="rId9" w:history="1">
        <w:r w:rsidRPr="001C63E0">
          <w:rPr>
            <w:rFonts w:cs="Arial"/>
            <w:color w:val="0000FF"/>
            <w:u w:val="single"/>
          </w:rPr>
          <w:t>6666</w:t>
        </w:r>
      </w:hyperlink>
      <w:r w:rsidRPr="001C63E0">
        <w:rPr>
          <w:rFonts w:cs="Arial"/>
        </w:rPr>
        <w:t xml:space="preserve"> (10 luglio 2012) "Nuova legge sull’Istituto di previdenza dei dipendenti dello Stato, modifica della legge sull’ordinamento degli impiegati dello Stato e dei docenti del 15 marzo 1995, della legge sugli stipendi degli impiegati e dei docenti del 5 novembre 1954, della legge sugli onorari dei magistrati del 14 maggio 1973, della legge sull’onorario e sulle previdenze a favore dei membri del Consiglio di Stato del 19 dicembre 1963 e del decreto legislativo concernente la previdenza a favore dei magistrati dell’ordine giudiziario dell’11 dicembre 1985 (ex Legge Cassa pensioni)".</w:t>
      </w:r>
    </w:p>
    <w:p w:rsidR="001C63E0" w:rsidRPr="001C63E0" w:rsidRDefault="001C63E0" w:rsidP="001C63E0">
      <w:pPr>
        <w:spacing w:before="120"/>
        <w:rPr>
          <w:rFonts w:cs="Arial"/>
        </w:rPr>
      </w:pPr>
      <w:r w:rsidRPr="001C63E0">
        <w:rPr>
          <w:rFonts w:cs="Arial"/>
        </w:rPr>
        <w:t>Il messaggio n. 6666 contemplava essenzialmente due parti:</w:t>
      </w:r>
    </w:p>
    <w:p w:rsidR="001C63E0" w:rsidRPr="001C63E0" w:rsidRDefault="001C63E0" w:rsidP="001C63E0">
      <w:pPr>
        <w:tabs>
          <w:tab w:val="left" w:pos="284"/>
        </w:tabs>
        <w:spacing w:before="60"/>
        <w:ind w:left="284" w:hanging="284"/>
        <w:rPr>
          <w:rFonts w:cs="Arial"/>
        </w:rPr>
      </w:pPr>
      <w:r w:rsidRPr="001C63E0">
        <w:rPr>
          <w:rFonts w:cs="Arial"/>
        </w:rPr>
        <w:t>-</w:t>
      </w:r>
      <w:r w:rsidRPr="001C63E0">
        <w:rPr>
          <w:rFonts w:cs="Arial"/>
        </w:rPr>
        <w:tab/>
        <w:t>il piano di risanamento</w:t>
      </w:r>
      <w:r w:rsidRPr="001C63E0">
        <w:rPr>
          <w:rFonts w:cs="Arial"/>
          <w:vertAlign w:val="superscript"/>
        </w:rPr>
        <w:footnoteReference w:id="3"/>
      </w:r>
      <w:r w:rsidRPr="001C63E0">
        <w:rPr>
          <w:rFonts w:cs="Arial"/>
        </w:rPr>
        <w:t>;</w:t>
      </w:r>
    </w:p>
    <w:p w:rsidR="001C63E0" w:rsidRPr="001C63E0" w:rsidRDefault="001C63E0" w:rsidP="001C63E0">
      <w:pPr>
        <w:tabs>
          <w:tab w:val="left" w:pos="284"/>
        </w:tabs>
        <w:spacing w:before="60"/>
        <w:ind w:left="284" w:hanging="284"/>
        <w:rPr>
          <w:rFonts w:cs="Arial"/>
        </w:rPr>
      </w:pPr>
      <w:r w:rsidRPr="001C63E0">
        <w:rPr>
          <w:rFonts w:cs="Arial"/>
        </w:rPr>
        <w:t>-</w:t>
      </w:r>
      <w:r w:rsidRPr="001C63E0">
        <w:rPr>
          <w:rFonts w:cs="Arial"/>
        </w:rPr>
        <w:tab/>
        <w:t xml:space="preserve">la Legge che istituiva l’Istituto di previdenza del Cantone Ticino sulla base delle nuove disposizioni della </w:t>
      </w:r>
      <w:hyperlink r:id="rId10" w:history="1">
        <w:r w:rsidRPr="001C63E0">
          <w:rPr>
            <w:rFonts w:cs="Arial"/>
            <w:color w:val="0000FF"/>
            <w:u w:val="single"/>
          </w:rPr>
          <w:t>Legge federale sulla previdenza professionale per la vecchiaia, i superstiti e l’invalidità</w:t>
        </w:r>
      </w:hyperlink>
      <w:r w:rsidRPr="001C63E0">
        <w:rPr>
          <w:rFonts w:cs="Arial"/>
        </w:rPr>
        <w:t xml:space="preserve"> (LPP) adottate dalle Camere federali il 17 dicembre 2010.</w:t>
      </w:r>
    </w:p>
    <w:p w:rsidR="001C63E0" w:rsidRDefault="001C63E0" w:rsidP="00EC5775">
      <w:pPr>
        <w:rPr>
          <w:rFonts w:cs="Arial"/>
        </w:rPr>
      </w:pPr>
    </w:p>
    <w:p w:rsidR="00DB632E" w:rsidRPr="001C63E0" w:rsidRDefault="00DB632E" w:rsidP="00EC5775">
      <w:pPr>
        <w:rPr>
          <w:rFonts w:cs="Arial"/>
        </w:rPr>
      </w:pPr>
    </w:p>
    <w:p w:rsidR="001C63E0" w:rsidRPr="001C63E0" w:rsidRDefault="001C63E0" w:rsidP="00EC5775">
      <w:pPr>
        <w:keepNext/>
        <w:tabs>
          <w:tab w:val="left" w:pos="567"/>
        </w:tabs>
        <w:ind w:left="360" w:hanging="360"/>
        <w:outlineLvl w:val="1"/>
        <w:rPr>
          <w:rFonts w:cs="Arial"/>
          <w:b/>
          <w:lang w:val="it-IT" w:eastAsia="it-IT"/>
        </w:rPr>
      </w:pPr>
      <w:bookmarkStart w:id="3" w:name="_Toc98976081"/>
      <w:r w:rsidRPr="001C63E0">
        <w:rPr>
          <w:rFonts w:cs="Arial"/>
          <w:b/>
          <w:lang w:val="it-IT" w:eastAsia="it-IT"/>
        </w:rPr>
        <w:t>1.1</w:t>
      </w:r>
      <w:r w:rsidRPr="001C63E0">
        <w:rPr>
          <w:rFonts w:cs="Arial"/>
          <w:b/>
          <w:lang w:val="it-IT" w:eastAsia="it-IT"/>
        </w:rPr>
        <w:tab/>
      </w:r>
      <w:r w:rsidR="00512C97">
        <w:rPr>
          <w:rFonts w:cs="Arial"/>
          <w:b/>
          <w:lang w:val="it-IT" w:eastAsia="it-IT"/>
        </w:rPr>
        <w:tab/>
      </w:r>
      <w:r w:rsidRPr="001C63E0">
        <w:rPr>
          <w:rFonts w:cs="Arial"/>
          <w:b/>
          <w:lang w:val="it-IT" w:eastAsia="it-IT"/>
        </w:rPr>
        <w:t xml:space="preserve">Le riforme conosciute dal 1995 dall’allora Cassa pensioni dei dipendenti dello </w:t>
      </w:r>
      <w:r w:rsidR="00512C97">
        <w:rPr>
          <w:rFonts w:cs="Arial"/>
          <w:b/>
          <w:lang w:val="it-IT" w:eastAsia="it-IT"/>
        </w:rPr>
        <w:tab/>
      </w:r>
      <w:r w:rsidRPr="001C63E0">
        <w:rPr>
          <w:rFonts w:cs="Arial"/>
          <w:b/>
          <w:lang w:val="it-IT" w:eastAsia="it-IT"/>
        </w:rPr>
        <w:t>Stato</w:t>
      </w:r>
      <w:r w:rsidRPr="001C63E0">
        <w:rPr>
          <w:rFonts w:cs="Arial"/>
          <w:vertAlign w:val="superscript"/>
          <w:lang w:val="it-IT" w:eastAsia="it-IT"/>
        </w:rPr>
        <w:footnoteReference w:id="4"/>
      </w:r>
      <w:bookmarkEnd w:id="3"/>
    </w:p>
    <w:p w:rsidR="001C63E0" w:rsidRPr="001C63E0" w:rsidRDefault="001C63E0" w:rsidP="001C63E0">
      <w:pPr>
        <w:spacing w:before="120"/>
        <w:rPr>
          <w:rFonts w:cs="Arial"/>
        </w:rPr>
      </w:pPr>
      <w:r w:rsidRPr="001C63E0">
        <w:rPr>
          <w:rFonts w:cs="Arial"/>
        </w:rPr>
        <w:t xml:space="preserve">Il piano di risanamento del 2012 non è stato il </w:t>
      </w:r>
      <w:r w:rsidRPr="001C63E0">
        <w:rPr>
          <w:rFonts w:cs="Arial"/>
          <w:szCs w:val="24"/>
        </w:rPr>
        <w:t>primo tentativo di risanamento della Cassa pensioni dei dipendenti dello Stato (CPDS); dal 1995 si sono infatti</w:t>
      </w:r>
      <w:r w:rsidRPr="001C63E0">
        <w:rPr>
          <w:rFonts w:cs="Arial"/>
        </w:rPr>
        <w:t xml:space="preserve"> susseguite sei riforme, di cui si dà conto qui di seguito, fornendo per ognuna un breve riassunto dei cambiamenti più significativi.</w:t>
      </w:r>
    </w:p>
    <w:p w:rsidR="001C63E0" w:rsidRPr="001C63E0" w:rsidRDefault="001C63E0" w:rsidP="00EC5775">
      <w:pPr>
        <w:rPr>
          <w:rFonts w:cs="Arial"/>
        </w:rPr>
      </w:pPr>
    </w:p>
    <w:p w:rsidR="001C63E0" w:rsidRPr="001C63E0" w:rsidRDefault="001C63E0" w:rsidP="00EC5775">
      <w:pPr>
        <w:pStyle w:val="Titolo3"/>
      </w:pPr>
      <w:bookmarkStart w:id="4" w:name="_Toc338423448"/>
      <w:bookmarkStart w:id="5" w:name="_Toc338764607"/>
      <w:bookmarkStart w:id="6" w:name="_Toc338764750"/>
      <w:bookmarkStart w:id="7" w:name="_Toc98976082"/>
      <w:r w:rsidRPr="001C63E0">
        <w:t>1.1.1</w:t>
      </w:r>
      <w:r w:rsidRPr="001C63E0">
        <w:tab/>
        <w:t>Prima riforma, entrata in vigore il 1° gennaio 1995</w:t>
      </w:r>
      <w:bookmarkEnd w:id="4"/>
      <w:bookmarkEnd w:id="5"/>
      <w:bookmarkEnd w:id="6"/>
      <w:bookmarkEnd w:id="7"/>
    </w:p>
    <w:p w:rsidR="00056BEE" w:rsidRDefault="001C63E0" w:rsidP="00DB632E">
      <w:pPr>
        <w:spacing w:before="120"/>
        <w:rPr>
          <w:rFonts w:cs="Arial"/>
          <w:u w:val="single"/>
        </w:rPr>
      </w:pPr>
      <w:r w:rsidRPr="001C63E0">
        <w:rPr>
          <w:rFonts w:cs="Arial"/>
          <w:i/>
          <w:szCs w:val="24"/>
        </w:rPr>
        <w:t xml:space="preserve">Messaggio n. </w:t>
      </w:r>
      <w:hyperlink r:id="rId11" w:history="1">
        <w:r w:rsidRPr="001C63E0">
          <w:rPr>
            <w:rFonts w:cs="Arial"/>
            <w:i/>
            <w:color w:val="0000FF"/>
            <w:szCs w:val="24"/>
            <w:u w:val="single"/>
          </w:rPr>
          <w:t>4279</w:t>
        </w:r>
      </w:hyperlink>
      <w:r w:rsidRPr="001C63E0">
        <w:rPr>
          <w:rFonts w:cs="Arial"/>
          <w:i/>
          <w:szCs w:val="24"/>
        </w:rPr>
        <w:t xml:space="preserve"> (12 agosto 1994) "Nuova LORD e modifica della Legge sulla CPDS, della </w:t>
      </w:r>
      <w:proofErr w:type="spellStart"/>
      <w:r w:rsidRPr="001C63E0">
        <w:rPr>
          <w:rFonts w:cs="Arial"/>
          <w:i/>
          <w:szCs w:val="24"/>
        </w:rPr>
        <w:t>LStip</w:t>
      </w:r>
      <w:proofErr w:type="spellEnd"/>
      <w:r w:rsidRPr="001C63E0">
        <w:rPr>
          <w:rFonts w:cs="Arial"/>
          <w:i/>
          <w:szCs w:val="24"/>
        </w:rPr>
        <w:t>, della Legge sugli onorari dei magistrati e della LOC", approvato dal Gran Consiglio il 20 dicembre 1994.</w:t>
      </w:r>
      <w:r w:rsidR="00056BEE">
        <w:rPr>
          <w:rFonts w:cs="Arial"/>
          <w:u w:val="single"/>
        </w:rPr>
        <w:br w:type="page"/>
      </w:r>
    </w:p>
    <w:p w:rsidR="001C63E0" w:rsidRPr="001C63E0" w:rsidRDefault="001C63E0" w:rsidP="001C63E0">
      <w:pPr>
        <w:spacing w:before="120"/>
        <w:rPr>
          <w:rFonts w:cs="Arial"/>
        </w:rPr>
      </w:pPr>
      <w:r w:rsidRPr="001C63E0">
        <w:rPr>
          <w:rFonts w:cs="Arial"/>
          <w:u w:val="single"/>
        </w:rPr>
        <w:lastRenderedPageBreak/>
        <w:t>Principali modifiche</w:t>
      </w:r>
      <w:r w:rsidRPr="001C63E0">
        <w:rPr>
          <w:rFonts w:cs="Arial"/>
        </w:rPr>
        <w:t>:</w:t>
      </w:r>
    </w:p>
    <w:p w:rsidR="001C63E0" w:rsidRPr="001C63E0" w:rsidRDefault="001C63E0" w:rsidP="001C63E0">
      <w:pPr>
        <w:tabs>
          <w:tab w:val="left" w:pos="284"/>
        </w:tabs>
        <w:spacing w:before="60"/>
        <w:ind w:left="284" w:hanging="284"/>
        <w:rPr>
          <w:rFonts w:cs="Arial"/>
        </w:rPr>
      </w:pPr>
      <w:r w:rsidRPr="001C63E0">
        <w:rPr>
          <w:rFonts w:cs="Arial"/>
        </w:rPr>
        <w:t>-</w:t>
      </w:r>
      <w:r w:rsidRPr="001C63E0">
        <w:rPr>
          <w:rFonts w:cs="Arial"/>
        </w:rPr>
        <w:tab/>
        <w:t>riduzione dello stipendio assicurato: aumento della quota di coordinamento deducibile dallo stipendio base dai 2/3 ai 3/3 della rendita semplice massima AVS), per gli affiliati alla CPDS dopo il 1° gennaio 1995;</w:t>
      </w:r>
    </w:p>
    <w:p w:rsidR="001C63E0" w:rsidRPr="001C63E0" w:rsidRDefault="001C63E0" w:rsidP="001C63E0">
      <w:pPr>
        <w:tabs>
          <w:tab w:val="left" w:pos="284"/>
        </w:tabs>
        <w:spacing w:before="60"/>
        <w:ind w:left="284" w:hanging="284"/>
        <w:rPr>
          <w:rFonts w:cs="Arial"/>
        </w:rPr>
      </w:pPr>
      <w:r w:rsidRPr="001C63E0">
        <w:rPr>
          <w:rFonts w:cs="Arial"/>
        </w:rPr>
        <w:t>-</w:t>
      </w:r>
      <w:r w:rsidRPr="001C63E0">
        <w:rPr>
          <w:rFonts w:cs="Arial"/>
        </w:rPr>
        <w:tab/>
        <w:t>parità uomo/donna: parità per l’età di pensionamento flessibile e anticipato, parità nelle modalità di versamento della prestazione di libero passaggio;</w:t>
      </w:r>
    </w:p>
    <w:p w:rsidR="001C63E0" w:rsidRPr="001C63E0" w:rsidRDefault="001C63E0" w:rsidP="001C63E0">
      <w:pPr>
        <w:tabs>
          <w:tab w:val="left" w:pos="284"/>
        </w:tabs>
        <w:spacing w:before="60"/>
        <w:ind w:left="284" w:hanging="284"/>
        <w:rPr>
          <w:rFonts w:cs="Arial"/>
        </w:rPr>
      </w:pPr>
      <w:r w:rsidRPr="001C63E0">
        <w:rPr>
          <w:rFonts w:cs="Arial"/>
        </w:rPr>
        <w:t>-</w:t>
      </w:r>
      <w:r w:rsidRPr="001C63E0">
        <w:rPr>
          <w:rFonts w:cs="Arial"/>
        </w:rPr>
        <w:tab/>
        <w:t>adeguamento delle prestazioni di libero passaggio alla legge federale sul libero passaggio;</w:t>
      </w:r>
    </w:p>
    <w:p w:rsidR="001C63E0" w:rsidRPr="001C63E0" w:rsidRDefault="001C63E0" w:rsidP="001C63E0">
      <w:pPr>
        <w:tabs>
          <w:tab w:val="left" w:pos="284"/>
        </w:tabs>
        <w:spacing w:before="60"/>
        <w:ind w:left="284" w:hanging="284"/>
        <w:rPr>
          <w:rFonts w:cs="Arial"/>
        </w:rPr>
      </w:pPr>
      <w:r w:rsidRPr="001C63E0">
        <w:rPr>
          <w:rFonts w:cs="Arial"/>
        </w:rPr>
        <w:t>-</w:t>
      </w:r>
      <w:r w:rsidRPr="001C63E0">
        <w:rPr>
          <w:rFonts w:cs="Arial"/>
        </w:rPr>
        <w:tab/>
        <w:t>adeguamento alla Legge federale sulla promozione della proprietà d’abitazioni mediante i fondi della previdenza professionale;</w:t>
      </w:r>
    </w:p>
    <w:p w:rsidR="001C63E0" w:rsidRPr="001C63E0" w:rsidRDefault="001C63E0" w:rsidP="001C63E0">
      <w:pPr>
        <w:tabs>
          <w:tab w:val="left" w:pos="284"/>
        </w:tabs>
        <w:spacing w:before="60"/>
        <w:ind w:left="284" w:hanging="284"/>
        <w:rPr>
          <w:rFonts w:cs="Arial"/>
        </w:rPr>
      </w:pPr>
      <w:r w:rsidRPr="001C63E0">
        <w:rPr>
          <w:rFonts w:cs="Arial"/>
        </w:rPr>
        <w:t>-</w:t>
      </w:r>
      <w:r w:rsidRPr="001C63E0">
        <w:rPr>
          <w:rFonts w:cs="Arial"/>
        </w:rPr>
        <w:tab/>
        <w:t>introduzione della possibilità di riscattare anni d’assicurazione in ogni momento;</w:t>
      </w:r>
    </w:p>
    <w:p w:rsidR="001C63E0" w:rsidRPr="001C63E0" w:rsidRDefault="001C63E0" w:rsidP="001C63E0">
      <w:pPr>
        <w:tabs>
          <w:tab w:val="left" w:pos="284"/>
        </w:tabs>
        <w:spacing w:before="60"/>
        <w:ind w:left="284" w:hanging="284"/>
        <w:rPr>
          <w:rFonts w:cs="Arial"/>
        </w:rPr>
      </w:pPr>
      <w:r w:rsidRPr="001C63E0">
        <w:rPr>
          <w:rFonts w:cs="Arial"/>
        </w:rPr>
        <w:t>-</w:t>
      </w:r>
      <w:r w:rsidRPr="001C63E0">
        <w:rPr>
          <w:rFonts w:cs="Arial"/>
        </w:rPr>
        <w:tab/>
        <w:t>concessione del pensionamento flessibile fra i 60 e i 65 anni, indipendentemente dagli anni di servizio;</w:t>
      </w:r>
    </w:p>
    <w:p w:rsidR="001C63E0" w:rsidRPr="001C63E0" w:rsidRDefault="001C63E0" w:rsidP="001C63E0">
      <w:pPr>
        <w:tabs>
          <w:tab w:val="left" w:pos="284"/>
        </w:tabs>
        <w:spacing w:before="60"/>
        <w:ind w:left="284" w:hanging="284"/>
        <w:rPr>
          <w:rFonts w:cs="Arial"/>
        </w:rPr>
      </w:pPr>
      <w:r w:rsidRPr="001C63E0">
        <w:rPr>
          <w:rFonts w:cs="Arial"/>
        </w:rPr>
        <w:t>-</w:t>
      </w:r>
      <w:r w:rsidRPr="001C63E0">
        <w:rPr>
          <w:rFonts w:cs="Arial"/>
        </w:rPr>
        <w:tab/>
        <w:t>introduzione del pensionamento anticipato a 58 anni, con riduzione proporzionale delle prestazioni;</w:t>
      </w:r>
    </w:p>
    <w:p w:rsidR="001C63E0" w:rsidRPr="001C63E0" w:rsidRDefault="001C63E0" w:rsidP="001C63E0">
      <w:pPr>
        <w:tabs>
          <w:tab w:val="left" w:pos="284"/>
        </w:tabs>
        <w:spacing w:before="60"/>
        <w:ind w:left="284" w:hanging="284"/>
        <w:rPr>
          <w:rFonts w:cs="Arial"/>
        </w:rPr>
      </w:pPr>
      <w:r w:rsidRPr="001C63E0">
        <w:rPr>
          <w:rFonts w:cs="Arial"/>
        </w:rPr>
        <w:t>-</w:t>
      </w:r>
      <w:r w:rsidRPr="001C63E0">
        <w:rPr>
          <w:rFonts w:cs="Arial"/>
        </w:rPr>
        <w:tab/>
        <w:t>introduzione della possibilità del pensionamento parziale;</w:t>
      </w:r>
    </w:p>
    <w:p w:rsidR="001C63E0" w:rsidRPr="001C63E0" w:rsidRDefault="001C63E0" w:rsidP="001C63E0">
      <w:pPr>
        <w:tabs>
          <w:tab w:val="left" w:pos="284"/>
        </w:tabs>
        <w:spacing w:before="60"/>
        <w:ind w:left="284" w:hanging="284"/>
        <w:rPr>
          <w:rFonts w:cs="Arial"/>
        </w:rPr>
      </w:pPr>
      <w:r w:rsidRPr="001C63E0">
        <w:rPr>
          <w:rFonts w:cs="Arial"/>
        </w:rPr>
        <w:t>-</w:t>
      </w:r>
      <w:r w:rsidRPr="001C63E0">
        <w:rPr>
          <w:rFonts w:cs="Arial"/>
        </w:rPr>
        <w:tab/>
        <w:t>possibilità di continuare un’attività professionale fino a 70 anni, secondo criteri restrittivi, con aumento della percentuale di pensione;</w:t>
      </w:r>
    </w:p>
    <w:p w:rsidR="001C63E0" w:rsidRPr="001C63E0" w:rsidRDefault="001C63E0" w:rsidP="001C63E0">
      <w:pPr>
        <w:tabs>
          <w:tab w:val="left" w:pos="284"/>
        </w:tabs>
        <w:spacing w:before="60"/>
        <w:ind w:left="284" w:hanging="284"/>
        <w:rPr>
          <w:rFonts w:cs="Arial"/>
        </w:rPr>
      </w:pPr>
      <w:r w:rsidRPr="001C63E0">
        <w:rPr>
          <w:rFonts w:cs="Arial"/>
        </w:rPr>
        <w:t>-</w:t>
      </w:r>
      <w:r w:rsidRPr="001C63E0">
        <w:rPr>
          <w:rFonts w:cs="Arial"/>
        </w:rPr>
        <w:tab/>
        <w:t>abbassamento del limite della sovra assicurazione al 90% dello stipendio lordo perso;</w:t>
      </w:r>
    </w:p>
    <w:p w:rsidR="001C63E0" w:rsidRPr="001C63E0" w:rsidRDefault="001C63E0" w:rsidP="001C63E0">
      <w:pPr>
        <w:tabs>
          <w:tab w:val="left" w:pos="284"/>
        </w:tabs>
        <w:spacing w:before="60"/>
        <w:ind w:left="284" w:hanging="284"/>
        <w:rPr>
          <w:rFonts w:cs="Arial"/>
        </w:rPr>
      </w:pPr>
      <w:r w:rsidRPr="001C63E0">
        <w:rPr>
          <w:rFonts w:cs="Arial"/>
        </w:rPr>
        <w:t>-</w:t>
      </w:r>
      <w:r w:rsidRPr="001C63E0">
        <w:rPr>
          <w:rFonts w:cs="Arial"/>
        </w:rPr>
        <w:tab/>
        <w:t>ampliamento della possibilità di capitalizzare parte della rendita;</w:t>
      </w:r>
    </w:p>
    <w:p w:rsidR="001C63E0" w:rsidRPr="001C63E0" w:rsidRDefault="001C63E0" w:rsidP="001C63E0">
      <w:pPr>
        <w:tabs>
          <w:tab w:val="left" w:pos="284"/>
        </w:tabs>
        <w:spacing w:before="60"/>
        <w:ind w:left="284" w:hanging="284"/>
        <w:rPr>
          <w:rFonts w:cs="Arial"/>
        </w:rPr>
      </w:pPr>
      <w:r w:rsidRPr="001C63E0">
        <w:rPr>
          <w:rFonts w:cs="Arial"/>
        </w:rPr>
        <w:t>-</w:t>
      </w:r>
      <w:r w:rsidRPr="001C63E0">
        <w:rPr>
          <w:rFonts w:cs="Arial"/>
        </w:rPr>
        <w:tab/>
        <w:t>il massimo della pensione di vecchiaia è raggiunto dopo 40 anni d’assicurazione (in precedenza dopo 30 anni d’assicurazione), per gli affiliati alla CPDS dopo il 1° gennaio 1995;</w:t>
      </w:r>
    </w:p>
    <w:p w:rsidR="001C63E0" w:rsidRPr="001C63E0" w:rsidRDefault="001C63E0" w:rsidP="001C63E0">
      <w:pPr>
        <w:tabs>
          <w:tab w:val="left" w:pos="284"/>
        </w:tabs>
        <w:spacing w:before="60"/>
        <w:ind w:left="284" w:hanging="284"/>
        <w:rPr>
          <w:rFonts w:cs="Arial"/>
        </w:rPr>
      </w:pPr>
      <w:r w:rsidRPr="001C63E0">
        <w:rPr>
          <w:rFonts w:cs="Arial"/>
        </w:rPr>
        <w:t>-</w:t>
      </w:r>
      <w:r w:rsidRPr="001C63E0">
        <w:rPr>
          <w:rFonts w:cs="Arial"/>
        </w:rPr>
        <w:tab/>
        <w:t>esonero dal pagamento dei contributi per gli affiliati con 40 anni di contribuzioni e 60 anni d’età.</w:t>
      </w:r>
    </w:p>
    <w:p w:rsidR="001C63E0" w:rsidRPr="001C63E0" w:rsidRDefault="001C63E0" w:rsidP="00EC5775">
      <w:pPr>
        <w:rPr>
          <w:rFonts w:cs="Arial"/>
          <w:szCs w:val="24"/>
        </w:rPr>
      </w:pPr>
    </w:p>
    <w:p w:rsidR="001C63E0" w:rsidRPr="001C63E0" w:rsidRDefault="001C63E0" w:rsidP="00EC5775">
      <w:pPr>
        <w:pStyle w:val="Titolo3"/>
      </w:pPr>
      <w:bookmarkStart w:id="8" w:name="_Toc338423449"/>
      <w:bookmarkStart w:id="9" w:name="_Toc338764608"/>
      <w:bookmarkStart w:id="10" w:name="_Toc338764751"/>
      <w:bookmarkStart w:id="11" w:name="_Toc98976083"/>
      <w:r w:rsidRPr="001C63E0">
        <w:t>1.1.2</w:t>
      </w:r>
      <w:r w:rsidRPr="001C63E0">
        <w:tab/>
        <w:t>Seconda riforma, entrata in vigore il 1° gennaio 1997</w:t>
      </w:r>
      <w:bookmarkEnd w:id="8"/>
      <w:bookmarkEnd w:id="9"/>
      <w:bookmarkEnd w:id="10"/>
      <w:bookmarkEnd w:id="11"/>
    </w:p>
    <w:p w:rsidR="001C63E0" w:rsidRPr="001C63E0" w:rsidRDefault="001C63E0" w:rsidP="001C63E0">
      <w:pPr>
        <w:spacing w:before="120"/>
        <w:rPr>
          <w:rFonts w:cs="Arial"/>
          <w:i/>
          <w:szCs w:val="24"/>
        </w:rPr>
      </w:pPr>
      <w:r w:rsidRPr="001C63E0">
        <w:rPr>
          <w:rFonts w:cs="Arial"/>
          <w:i/>
          <w:szCs w:val="24"/>
        </w:rPr>
        <w:t xml:space="preserve">Messaggio n. </w:t>
      </w:r>
      <w:hyperlink r:id="rId12" w:history="1">
        <w:r w:rsidRPr="001C63E0">
          <w:rPr>
            <w:rFonts w:cs="Arial"/>
            <w:i/>
            <w:color w:val="0000FF"/>
            <w:szCs w:val="24"/>
            <w:u w:val="single"/>
          </w:rPr>
          <w:t>4502</w:t>
        </w:r>
      </w:hyperlink>
      <w:r w:rsidRPr="001C63E0">
        <w:rPr>
          <w:rFonts w:cs="Arial"/>
          <w:i/>
          <w:szCs w:val="24"/>
        </w:rPr>
        <w:t xml:space="preserve"> (14 marzo 1996) "1° pacchetto di misure di correzione della tendenza di Piano finanziario 1996-99" (Decreto legislativo volto a modificare l’art 12a cpv. 2 della Legge sulla CPDS), approvato dal Gran Consiglio il 26 giugno 1996.</w:t>
      </w:r>
    </w:p>
    <w:p w:rsidR="001C63E0" w:rsidRPr="001C63E0" w:rsidRDefault="001C63E0" w:rsidP="00EC5775">
      <w:pPr>
        <w:rPr>
          <w:rFonts w:cs="Arial"/>
          <w:szCs w:val="24"/>
        </w:rPr>
      </w:pPr>
    </w:p>
    <w:p w:rsidR="001C63E0" w:rsidRPr="001C63E0" w:rsidRDefault="001C63E0" w:rsidP="00EC5775">
      <w:pPr>
        <w:rPr>
          <w:rFonts w:cs="Arial"/>
          <w:szCs w:val="24"/>
        </w:rPr>
      </w:pPr>
      <w:r w:rsidRPr="001C63E0">
        <w:rPr>
          <w:rFonts w:cs="Arial"/>
          <w:szCs w:val="24"/>
          <w:u w:val="single"/>
        </w:rPr>
        <w:t>Principali modifiche</w:t>
      </w:r>
      <w:r w:rsidRPr="001C63E0">
        <w:rPr>
          <w:rFonts w:cs="Arial"/>
          <w:szCs w:val="24"/>
        </w:rPr>
        <w:t>:</w:t>
      </w:r>
    </w:p>
    <w:p w:rsidR="001C63E0" w:rsidRPr="001C63E0" w:rsidRDefault="001C63E0" w:rsidP="001C63E0">
      <w:pPr>
        <w:tabs>
          <w:tab w:val="left" w:pos="284"/>
        </w:tabs>
        <w:spacing w:before="60"/>
        <w:ind w:left="284" w:hanging="284"/>
        <w:rPr>
          <w:rFonts w:cs="Arial"/>
          <w:szCs w:val="24"/>
        </w:rPr>
      </w:pPr>
      <w:r w:rsidRPr="001C63E0">
        <w:rPr>
          <w:rFonts w:cs="Arial"/>
          <w:szCs w:val="24"/>
        </w:rPr>
        <w:t>-</w:t>
      </w:r>
      <w:r w:rsidRPr="001C63E0">
        <w:rPr>
          <w:rFonts w:cs="Arial"/>
          <w:szCs w:val="24"/>
        </w:rPr>
        <w:tab/>
        <w:t>riduzione del contributo a carico dei datori di lavoro (dal 14.7% al 13.65%);</w:t>
      </w:r>
    </w:p>
    <w:p w:rsidR="001C63E0" w:rsidRPr="001C63E0" w:rsidRDefault="001C63E0" w:rsidP="001C63E0">
      <w:pPr>
        <w:tabs>
          <w:tab w:val="left" w:pos="284"/>
        </w:tabs>
        <w:spacing w:before="60"/>
        <w:ind w:left="284" w:hanging="284"/>
        <w:rPr>
          <w:rFonts w:cs="Arial"/>
          <w:szCs w:val="24"/>
        </w:rPr>
      </w:pPr>
      <w:r w:rsidRPr="001C63E0">
        <w:rPr>
          <w:rFonts w:cs="Arial"/>
          <w:szCs w:val="24"/>
        </w:rPr>
        <w:t>-</w:t>
      </w:r>
      <w:r w:rsidRPr="001C63E0">
        <w:rPr>
          <w:rFonts w:cs="Arial"/>
          <w:szCs w:val="24"/>
        </w:rPr>
        <w:tab/>
        <w:t>aumento del contributo degli assicurati (dal 8.4% al 9.45%).</w:t>
      </w:r>
    </w:p>
    <w:p w:rsidR="001C63E0" w:rsidRPr="001C63E0" w:rsidRDefault="001C63E0" w:rsidP="00EC5775">
      <w:pPr>
        <w:rPr>
          <w:rFonts w:cs="Arial"/>
          <w:szCs w:val="24"/>
        </w:rPr>
      </w:pPr>
    </w:p>
    <w:p w:rsidR="001C63E0" w:rsidRPr="001C63E0" w:rsidRDefault="001C63E0" w:rsidP="00EC5775">
      <w:pPr>
        <w:pStyle w:val="Titolo3"/>
      </w:pPr>
      <w:bookmarkStart w:id="12" w:name="_Toc338423450"/>
      <w:bookmarkStart w:id="13" w:name="_Toc338764609"/>
      <w:bookmarkStart w:id="14" w:name="_Toc338764752"/>
      <w:bookmarkStart w:id="15" w:name="_Toc98976084"/>
      <w:r w:rsidRPr="001C63E0">
        <w:t>1.1.3</w:t>
      </w:r>
      <w:r w:rsidRPr="001C63E0">
        <w:tab/>
        <w:t>Terza riforma, entrata in vigore il 1° gennaio 1998</w:t>
      </w:r>
      <w:bookmarkEnd w:id="12"/>
      <w:bookmarkEnd w:id="13"/>
      <w:bookmarkEnd w:id="14"/>
      <w:bookmarkEnd w:id="15"/>
    </w:p>
    <w:p w:rsidR="001C63E0" w:rsidRDefault="001C63E0" w:rsidP="002E2298">
      <w:pPr>
        <w:spacing w:before="120"/>
        <w:rPr>
          <w:rFonts w:cs="Arial"/>
          <w:i/>
          <w:szCs w:val="24"/>
        </w:rPr>
      </w:pPr>
      <w:r w:rsidRPr="001C63E0">
        <w:rPr>
          <w:rFonts w:cs="Arial"/>
          <w:i/>
          <w:szCs w:val="24"/>
        </w:rPr>
        <w:t xml:space="preserve">Messaggio n. </w:t>
      </w:r>
      <w:hyperlink r:id="rId13" w:history="1">
        <w:r w:rsidRPr="001C63E0">
          <w:rPr>
            <w:rFonts w:cs="Arial"/>
            <w:i/>
            <w:color w:val="0000FF"/>
            <w:szCs w:val="24"/>
            <w:u w:val="single"/>
          </w:rPr>
          <w:t>4695A</w:t>
        </w:r>
      </w:hyperlink>
      <w:r w:rsidRPr="001C63E0">
        <w:rPr>
          <w:rFonts w:cs="Arial"/>
          <w:i/>
          <w:szCs w:val="24"/>
        </w:rPr>
        <w:t xml:space="preserve"> (4 novembre 1997) "Riparto paritetico dei premi Cassa pensioni", approvato dal Gran Consiglio il 16 dicembre 1997.</w:t>
      </w:r>
    </w:p>
    <w:p w:rsidR="002E2298" w:rsidRPr="001C63E0" w:rsidRDefault="002E2298" w:rsidP="002E2298">
      <w:pPr>
        <w:rPr>
          <w:rFonts w:cs="Arial"/>
          <w:i/>
          <w:szCs w:val="24"/>
        </w:rPr>
      </w:pPr>
    </w:p>
    <w:p w:rsidR="001C63E0" w:rsidRPr="001C63E0" w:rsidRDefault="001C63E0" w:rsidP="002E2298">
      <w:pPr>
        <w:tabs>
          <w:tab w:val="left" w:pos="284"/>
        </w:tabs>
        <w:ind w:left="284" w:hanging="284"/>
        <w:rPr>
          <w:rFonts w:cs="Arial"/>
          <w:szCs w:val="24"/>
        </w:rPr>
      </w:pPr>
      <w:r w:rsidRPr="001C63E0">
        <w:rPr>
          <w:rFonts w:cs="Arial"/>
          <w:szCs w:val="24"/>
          <w:u w:val="single"/>
        </w:rPr>
        <w:t>Principali modifiche</w:t>
      </w:r>
      <w:r w:rsidRPr="001C63E0">
        <w:rPr>
          <w:rFonts w:cs="Arial"/>
          <w:szCs w:val="24"/>
        </w:rPr>
        <w:t>:</w:t>
      </w:r>
    </w:p>
    <w:p w:rsidR="001C63E0" w:rsidRPr="001C63E0" w:rsidRDefault="001C63E0" w:rsidP="001C63E0">
      <w:pPr>
        <w:tabs>
          <w:tab w:val="left" w:pos="284"/>
        </w:tabs>
        <w:spacing w:before="60"/>
        <w:ind w:left="284" w:hanging="284"/>
        <w:rPr>
          <w:rFonts w:cs="Arial"/>
          <w:szCs w:val="24"/>
        </w:rPr>
      </w:pPr>
      <w:r w:rsidRPr="001C63E0">
        <w:rPr>
          <w:rFonts w:cs="Arial"/>
          <w:szCs w:val="24"/>
        </w:rPr>
        <w:t>-</w:t>
      </w:r>
      <w:r w:rsidRPr="001C63E0">
        <w:rPr>
          <w:rFonts w:cs="Arial"/>
          <w:szCs w:val="24"/>
        </w:rPr>
        <w:tab/>
        <w:t>riduzione del contributo a carico dei datori di lavoro (dal 13.65% al 12.6%);</w:t>
      </w:r>
    </w:p>
    <w:p w:rsidR="001C63E0" w:rsidRPr="001C63E0" w:rsidRDefault="001C63E0" w:rsidP="001C63E0">
      <w:pPr>
        <w:tabs>
          <w:tab w:val="left" w:pos="284"/>
        </w:tabs>
        <w:spacing w:before="60"/>
        <w:ind w:left="284" w:hanging="284"/>
        <w:rPr>
          <w:rFonts w:cs="Arial"/>
          <w:szCs w:val="24"/>
        </w:rPr>
      </w:pPr>
      <w:r w:rsidRPr="001C63E0">
        <w:rPr>
          <w:rFonts w:cs="Arial"/>
          <w:szCs w:val="24"/>
        </w:rPr>
        <w:t>-</w:t>
      </w:r>
      <w:r w:rsidRPr="001C63E0">
        <w:rPr>
          <w:rFonts w:cs="Arial"/>
          <w:szCs w:val="24"/>
        </w:rPr>
        <w:tab/>
        <w:t>aumento del contributo degli assicurati (dal 9.45% al 10.5%).</w:t>
      </w:r>
    </w:p>
    <w:p w:rsidR="001C63E0" w:rsidRPr="001C63E0" w:rsidRDefault="001C63E0" w:rsidP="00EC5775">
      <w:pPr>
        <w:rPr>
          <w:rFonts w:cs="Arial"/>
          <w:szCs w:val="24"/>
        </w:rPr>
      </w:pPr>
    </w:p>
    <w:p w:rsidR="001C63E0" w:rsidRPr="001C63E0" w:rsidRDefault="001C63E0" w:rsidP="00EC5775">
      <w:pPr>
        <w:pStyle w:val="Titolo3"/>
      </w:pPr>
      <w:bookmarkStart w:id="16" w:name="_Toc338423451"/>
      <w:bookmarkStart w:id="17" w:name="_Toc338764610"/>
      <w:bookmarkStart w:id="18" w:name="_Toc338764753"/>
      <w:bookmarkStart w:id="19" w:name="_Toc98976085"/>
      <w:r w:rsidRPr="001C63E0">
        <w:t>1.1.4</w:t>
      </w:r>
      <w:r w:rsidRPr="001C63E0">
        <w:tab/>
        <w:t>Quarta riforma, entrata in vigore il 1° gennaio 1999</w:t>
      </w:r>
      <w:bookmarkEnd w:id="16"/>
      <w:bookmarkEnd w:id="17"/>
      <w:bookmarkEnd w:id="18"/>
      <w:bookmarkEnd w:id="19"/>
    </w:p>
    <w:p w:rsidR="001C63E0" w:rsidRPr="001C63E0" w:rsidRDefault="001C63E0" w:rsidP="001C63E0">
      <w:pPr>
        <w:tabs>
          <w:tab w:val="left" w:pos="567"/>
        </w:tabs>
        <w:spacing w:before="120"/>
        <w:rPr>
          <w:rFonts w:cs="Arial"/>
          <w:i/>
          <w:szCs w:val="24"/>
        </w:rPr>
      </w:pPr>
      <w:r w:rsidRPr="001C63E0">
        <w:rPr>
          <w:rFonts w:cs="Arial"/>
          <w:i/>
          <w:szCs w:val="24"/>
        </w:rPr>
        <w:t xml:space="preserve">Messaggio n. </w:t>
      </w:r>
      <w:hyperlink r:id="rId14" w:history="1">
        <w:r w:rsidRPr="001C63E0">
          <w:rPr>
            <w:rFonts w:cs="Arial"/>
            <w:i/>
            <w:color w:val="0000FF"/>
            <w:szCs w:val="24"/>
            <w:u w:val="single"/>
          </w:rPr>
          <w:t>4804</w:t>
        </w:r>
      </w:hyperlink>
      <w:r w:rsidRPr="001C63E0">
        <w:rPr>
          <w:rFonts w:cs="Arial"/>
          <w:i/>
          <w:szCs w:val="24"/>
        </w:rPr>
        <w:t xml:space="preserve"> (27 ottobre 1998) "Modifica della Legge sulla CPDS e della Legge concernente l’adeguamento degli stipendi e delle pensioni statali al rincaro (10 giugno 1985)", approvato dal Gran Consiglio il 16 dicembre 1998.</w:t>
      </w:r>
    </w:p>
    <w:p w:rsidR="001C63E0" w:rsidRPr="001C63E0" w:rsidRDefault="001C63E0" w:rsidP="001C63E0">
      <w:pPr>
        <w:tabs>
          <w:tab w:val="left" w:pos="284"/>
        </w:tabs>
        <w:spacing w:before="120"/>
        <w:ind w:left="284" w:hanging="284"/>
        <w:rPr>
          <w:rFonts w:cs="Arial"/>
          <w:szCs w:val="24"/>
        </w:rPr>
      </w:pPr>
      <w:r w:rsidRPr="001C63E0">
        <w:rPr>
          <w:rFonts w:cs="Arial"/>
          <w:szCs w:val="24"/>
          <w:u w:val="single"/>
        </w:rPr>
        <w:lastRenderedPageBreak/>
        <w:t>Principali modifiche</w:t>
      </w:r>
      <w:r w:rsidRPr="001C63E0">
        <w:rPr>
          <w:rFonts w:cs="Arial"/>
          <w:szCs w:val="24"/>
        </w:rPr>
        <w:t>:</w:t>
      </w:r>
    </w:p>
    <w:p w:rsidR="001C63E0" w:rsidRPr="001C63E0" w:rsidRDefault="001C63E0" w:rsidP="001C63E0">
      <w:pPr>
        <w:tabs>
          <w:tab w:val="left" w:pos="284"/>
        </w:tabs>
        <w:spacing w:before="60"/>
        <w:ind w:left="284" w:hanging="284"/>
        <w:rPr>
          <w:rFonts w:cs="Arial"/>
          <w:szCs w:val="24"/>
        </w:rPr>
      </w:pPr>
      <w:r w:rsidRPr="001C63E0">
        <w:rPr>
          <w:rFonts w:cs="Arial"/>
          <w:szCs w:val="24"/>
        </w:rPr>
        <w:t>-</w:t>
      </w:r>
      <w:r w:rsidRPr="001C63E0">
        <w:rPr>
          <w:rFonts w:cs="Arial"/>
          <w:szCs w:val="24"/>
        </w:rPr>
        <w:tab/>
        <w:t>riduzione del contributo a carico dei datori di lavoro (dal 12.6% al 11.6%);</w:t>
      </w:r>
    </w:p>
    <w:p w:rsidR="001C63E0" w:rsidRPr="001C63E0" w:rsidRDefault="001C63E0" w:rsidP="001C63E0">
      <w:pPr>
        <w:tabs>
          <w:tab w:val="left" w:pos="284"/>
        </w:tabs>
        <w:spacing w:before="60"/>
        <w:ind w:left="284" w:hanging="284"/>
        <w:rPr>
          <w:rFonts w:cs="Arial"/>
        </w:rPr>
      </w:pPr>
      <w:r w:rsidRPr="001C63E0">
        <w:rPr>
          <w:rFonts w:cs="Arial"/>
          <w:szCs w:val="24"/>
        </w:rPr>
        <w:t>-</w:t>
      </w:r>
      <w:r w:rsidRPr="001C63E0">
        <w:rPr>
          <w:rFonts w:cs="Arial"/>
          <w:szCs w:val="24"/>
        </w:rPr>
        <w:tab/>
        <w:t>sospensione temporanea dell’adeguamento al rincaro delle rendite sino al limite cumulato d</w:t>
      </w:r>
      <w:r w:rsidRPr="001C63E0">
        <w:rPr>
          <w:rFonts w:cs="Arial"/>
        </w:rPr>
        <w:t>el 5%.</w:t>
      </w:r>
    </w:p>
    <w:p w:rsidR="001C63E0" w:rsidRPr="001C63E0" w:rsidRDefault="001C63E0" w:rsidP="00EC5775">
      <w:pPr>
        <w:tabs>
          <w:tab w:val="left" w:pos="284"/>
        </w:tabs>
        <w:rPr>
          <w:rFonts w:cs="Arial"/>
        </w:rPr>
      </w:pPr>
    </w:p>
    <w:p w:rsidR="001C63E0" w:rsidRPr="001C63E0" w:rsidRDefault="001C63E0" w:rsidP="00EC5775">
      <w:pPr>
        <w:pStyle w:val="Titolo3"/>
      </w:pPr>
      <w:bookmarkStart w:id="20" w:name="_Toc338423452"/>
      <w:bookmarkStart w:id="21" w:name="_Toc338764611"/>
      <w:bookmarkStart w:id="22" w:name="_Toc338764754"/>
      <w:bookmarkStart w:id="23" w:name="_Toc98976086"/>
      <w:r w:rsidRPr="001C63E0">
        <w:t>1.1.5</w:t>
      </w:r>
      <w:r w:rsidRPr="001C63E0">
        <w:tab/>
        <w:t>Quinta riforma, entrata in vigore il 1° ottobre 2000</w:t>
      </w:r>
      <w:bookmarkEnd w:id="20"/>
      <w:bookmarkEnd w:id="21"/>
      <w:bookmarkEnd w:id="22"/>
      <w:bookmarkEnd w:id="23"/>
      <w:r w:rsidRPr="001C63E0">
        <w:t xml:space="preserve"> </w:t>
      </w:r>
    </w:p>
    <w:p w:rsidR="001C63E0" w:rsidRPr="001C63E0" w:rsidRDefault="001C63E0" w:rsidP="001C63E0">
      <w:pPr>
        <w:spacing w:before="120"/>
        <w:rPr>
          <w:rFonts w:cs="Arial"/>
          <w:i/>
          <w:szCs w:val="24"/>
        </w:rPr>
      </w:pPr>
      <w:r w:rsidRPr="001C63E0">
        <w:rPr>
          <w:rFonts w:cs="Arial"/>
          <w:i/>
          <w:szCs w:val="24"/>
        </w:rPr>
        <w:t xml:space="preserve">Messaggio n. </w:t>
      </w:r>
      <w:hyperlink r:id="rId15" w:history="1">
        <w:r w:rsidRPr="001C63E0">
          <w:rPr>
            <w:rFonts w:cs="Arial"/>
            <w:i/>
            <w:color w:val="0000FF"/>
            <w:szCs w:val="24"/>
            <w:u w:val="single"/>
          </w:rPr>
          <w:t>4877</w:t>
        </w:r>
      </w:hyperlink>
      <w:r w:rsidRPr="001C63E0">
        <w:rPr>
          <w:rFonts w:cs="Arial"/>
          <w:i/>
          <w:szCs w:val="24"/>
        </w:rPr>
        <w:t xml:space="preserve"> (8 aprile 1999) "Modifica della Legge sulla CPDS", approvato dal Gran Consiglio il 14 dicembre 1999.</w:t>
      </w:r>
    </w:p>
    <w:p w:rsidR="001C63E0" w:rsidRPr="001C63E0" w:rsidRDefault="001C63E0" w:rsidP="00EC5775">
      <w:pPr>
        <w:rPr>
          <w:rFonts w:cs="Arial"/>
          <w:szCs w:val="24"/>
        </w:rPr>
      </w:pPr>
    </w:p>
    <w:p w:rsidR="001C63E0" w:rsidRPr="001C63E0" w:rsidRDefault="001C63E0" w:rsidP="00EC5775">
      <w:pPr>
        <w:tabs>
          <w:tab w:val="left" w:pos="284"/>
        </w:tabs>
        <w:rPr>
          <w:rFonts w:cs="Arial"/>
          <w:szCs w:val="24"/>
        </w:rPr>
      </w:pPr>
      <w:r w:rsidRPr="001C63E0">
        <w:rPr>
          <w:rFonts w:cs="Arial"/>
          <w:szCs w:val="24"/>
          <w:u w:val="single"/>
        </w:rPr>
        <w:t>Principali modifiche</w:t>
      </w:r>
      <w:r w:rsidRPr="001C63E0">
        <w:rPr>
          <w:rFonts w:cs="Arial"/>
          <w:szCs w:val="24"/>
        </w:rPr>
        <w:t>:</w:t>
      </w:r>
    </w:p>
    <w:p w:rsidR="001C63E0" w:rsidRPr="001C63E0" w:rsidRDefault="001C63E0" w:rsidP="001C63E0">
      <w:pPr>
        <w:tabs>
          <w:tab w:val="left" w:pos="284"/>
        </w:tabs>
        <w:spacing w:before="60"/>
        <w:ind w:left="284" w:hanging="284"/>
        <w:rPr>
          <w:rFonts w:cs="Arial"/>
          <w:szCs w:val="24"/>
        </w:rPr>
      </w:pPr>
      <w:r w:rsidRPr="001C63E0">
        <w:rPr>
          <w:rFonts w:cs="Arial"/>
          <w:szCs w:val="24"/>
        </w:rPr>
        <w:t>-</w:t>
      </w:r>
      <w:r w:rsidRPr="001C63E0">
        <w:rPr>
          <w:rFonts w:cs="Arial"/>
          <w:szCs w:val="24"/>
        </w:rPr>
        <w:tab/>
        <w:t>introduzione del calcolo delle prestazioni di vecchiaia sulla base dello stipendio medio degli ultimi 10 anni, ritenuto tuttavia che lo stipendio determinante non può essere inferiore al 90% dell’ultimo stipendio assicurato;</w:t>
      </w:r>
    </w:p>
    <w:p w:rsidR="001C63E0" w:rsidRPr="001C63E0" w:rsidRDefault="001C63E0" w:rsidP="001C63E0">
      <w:pPr>
        <w:tabs>
          <w:tab w:val="left" w:pos="284"/>
        </w:tabs>
        <w:spacing w:before="60"/>
        <w:ind w:left="284" w:hanging="284"/>
        <w:rPr>
          <w:rFonts w:cs="Arial"/>
          <w:szCs w:val="24"/>
        </w:rPr>
      </w:pPr>
      <w:r w:rsidRPr="001C63E0">
        <w:rPr>
          <w:rFonts w:cs="Arial"/>
          <w:szCs w:val="24"/>
        </w:rPr>
        <w:t>-</w:t>
      </w:r>
      <w:r w:rsidRPr="001C63E0">
        <w:rPr>
          <w:rFonts w:cs="Arial"/>
          <w:szCs w:val="24"/>
        </w:rPr>
        <w:tab/>
        <w:t>soppressione del supplemento sostitutivo della rendita AVS/AI per la moglie per i pensionati coniugati;</w:t>
      </w:r>
    </w:p>
    <w:p w:rsidR="001C63E0" w:rsidRPr="001C63E0" w:rsidRDefault="001C63E0" w:rsidP="001C63E0">
      <w:pPr>
        <w:tabs>
          <w:tab w:val="left" w:pos="284"/>
        </w:tabs>
        <w:spacing w:before="60"/>
        <w:ind w:left="284" w:hanging="284"/>
        <w:rPr>
          <w:rFonts w:cs="Arial"/>
          <w:szCs w:val="24"/>
        </w:rPr>
      </w:pPr>
      <w:r w:rsidRPr="001C63E0">
        <w:rPr>
          <w:rFonts w:cs="Arial"/>
          <w:szCs w:val="24"/>
        </w:rPr>
        <w:t>-</w:t>
      </w:r>
      <w:r w:rsidRPr="001C63E0">
        <w:rPr>
          <w:rFonts w:cs="Arial"/>
          <w:szCs w:val="24"/>
        </w:rPr>
        <w:tab/>
        <w:t>introduzione del grado di occupazione medio per la determinazione del supplemento sostitutivo;</w:t>
      </w:r>
    </w:p>
    <w:p w:rsidR="001C63E0" w:rsidRPr="001C63E0" w:rsidRDefault="001C63E0" w:rsidP="001C63E0">
      <w:pPr>
        <w:tabs>
          <w:tab w:val="left" w:pos="284"/>
        </w:tabs>
        <w:spacing w:before="60"/>
        <w:ind w:left="284" w:hanging="284"/>
        <w:rPr>
          <w:rFonts w:cs="Arial"/>
          <w:szCs w:val="24"/>
        </w:rPr>
      </w:pPr>
      <w:r w:rsidRPr="001C63E0">
        <w:rPr>
          <w:rFonts w:cs="Arial"/>
          <w:szCs w:val="24"/>
        </w:rPr>
        <w:t>-</w:t>
      </w:r>
      <w:r w:rsidRPr="001C63E0">
        <w:rPr>
          <w:rFonts w:cs="Arial"/>
          <w:szCs w:val="24"/>
        </w:rPr>
        <w:tab/>
        <w:t>adeguamento del supplemento sostitutivo alle norme della 10</w:t>
      </w:r>
      <w:r w:rsidRPr="001C63E0">
        <w:rPr>
          <w:rFonts w:cs="Arial"/>
          <w:szCs w:val="24"/>
          <w:vertAlign w:val="superscript"/>
        </w:rPr>
        <w:t>a</w:t>
      </w:r>
      <w:r w:rsidRPr="001C63E0">
        <w:rPr>
          <w:rFonts w:cs="Arial"/>
          <w:szCs w:val="24"/>
        </w:rPr>
        <w:t xml:space="preserve"> revisione AVS (riduzione del supplemento sostitutivo per gli uomini di 63 e 64 anni e introduzione del supplemento sostitutivo per le donne di 62 e 63 anni);</w:t>
      </w:r>
    </w:p>
    <w:p w:rsidR="001C63E0" w:rsidRPr="001C63E0" w:rsidRDefault="001C63E0" w:rsidP="001C63E0">
      <w:pPr>
        <w:tabs>
          <w:tab w:val="left" w:pos="284"/>
        </w:tabs>
        <w:spacing w:before="60"/>
        <w:ind w:left="284" w:hanging="284"/>
        <w:rPr>
          <w:rFonts w:cs="Arial"/>
          <w:szCs w:val="24"/>
        </w:rPr>
      </w:pPr>
      <w:r w:rsidRPr="001C63E0">
        <w:rPr>
          <w:rFonts w:cs="Arial"/>
          <w:szCs w:val="24"/>
        </w:rPr>
        <w:t>-</w:t>
      </w:r>
      <w:r w:rsidRPr="001C63E0">
        <w:rPr>
          <w:rFonts w:cs="Arial"/>
          <w:szCs w:val="24"/>
        </w:rPr>
        <w:tab/>
        <w:t>estensione della copertura assicurativa per gli invalidi parziali.</w:t>
      </w:r>
    </w:p>
    <w:p w:rsidR="001C63E0" w:rsidRPr="001C63E0" w:rsidRDefault="001C63E0" w:rsidP="00EC5775">
      <w:pPr>
        <w:rPr>
          <w:rFonts w:cs="Arial"/>
          <w:szCs w:val="24"/>
        </w:rPr>
      </w:pPr>
    </w:p>
    <w:p w:rsidR="001C63E0" w:rsidRPr="001C63E0" w:rsidRDefault="001C63E0" w:rsidP="00EC5775">
      <w:pPr>
        <w:pStyle w:val="Titolo3"/>
      </w:pPr>
      <w:bookmarkStart w:id="24" w:name="_Toc338423453"/>
      <w:bookmarkStart w:id="25" w:name="_Toc338764612"/>
      <w:bookmarkStart w:id="26" w:name="_Toc338764755"/>
      <w:bookmarkStart w:id="27" w:name="_Toc98976087"/>
      <w:r w:rsidRPr="001C63E0">
        <w:t>1.1.6</w:t>
      </w:r>
      <w:r w:rsidRPr="001C63E0">
        <w:tab/>
        <w:t>Sesta riforma, entrata in vigore il 1° gennaio 2005</w:t>
      </w:r>
      <w:bookmarkEnd w:id="24"/>
      <w:bookmarkEnd w:id="25"/>
      <w:bookmarkEnd w:id="26"/>
      <w:bookmarkEnd w:id="27"/>
      <w:r w:rsidRPr="001C63E0">
        <w:t xml:space="preserve"> </w:t>
      </w:r>
    </w:p>
    <w:p w:rsidR="001C63E0" w:rsidRPr="001C63E0" w:rsidRDefault="001C63E0" w:rsidP="001C63E0">
      <w:pPr>
        <w:spacing w:before="120"/>
        <w:rPr>
          <w:rFonts w:cs="Arial"/>
          <w:i/>
          <w:szCs w:val="24"/>
        </w:rPr>
      </w:pPr>
      <w:r w:rsidRPr="001C63E0">
        <w:rPr>
          <w:rFonts w:cs="Arial"/>
          <w:i/>
          <w:szCs w:val="24"/>
        </w:rPr>
        <w:t xml:space="preserve">Messaggio n. </w:t>
      </w:r>
      <w:hyperlink r:id="rId16" w:history="1">
        <w:r w:rsidRPr="001C63E0">
          <w:rPr>
            <w:rFonts w:cs="Arial"/>
            <w:i/>
            <w:color w:val="0000FF"/>
            <w:szCs w:val="24"/>
            <w:u w:val="single"/>
          </w:rPr>
          <w:t>5526</w:t>
        </w:r>
      </w:hyperlink>
      <w:r w:rsidRPr="001C63E0">
        <w:rPr>
          <w:rFonts w:cs="Arial"/>
          <w:i/>
          <w:szCs w:val="24"/>
        </w:rPr>
        <w:t xml:space="preserve"> (26 maggio 2004) e </w:t>
      </w:r>
      <w:hyperlink r:id="rId17" w:history="1">
        <w:r w:rsidRPr="001C63E0">
          <w:rPr>
            <w:rFonts w:cs="Arial"/>
            <w:i/>
            <w:color w:val="0000FF"/>
            <w:szCs w:val="24"/>
            <w:u w:val="single"/>
          </w:rPr>
          <w:t>5526A</w:t>
        </w:r>
      </w:hyperlink>
      <w:r w:rsidRPr="001C63E0">
        <w:rPr>
          <w:rFonts w:cs="Arial"/>
          <w:i/>
          <w:szCs w:val="24"/>
        </w:rPr>
        <w:t xml:space="preserve"> (26 ottobre 2004) "Modifica della Legge sulla CPDS e della Legge concernente l’adeguamento degli stipendi e delle pensioni statali al rincaro (10 giugno 1985)", approvato dal Gran Consiglio il 9 novembre 2004.</w:t>
      </w:r>
    </w:p>
    <w:p w:rsidR="001C63E0" w:rsidRPr="001C63E0" w:rsidRDefault="001C63E0" w:rsidP="00EC5775">
      <w:pPr>
        <w:rPr>
          <w:rFonts w:cs="Arial"/>
          <w:szCs w:val="24"/>
        </w:rPr>
      </w:pPr>
    </w:p>
    <w:p w:rsidR="001C63E0" w:rsidRPr="001C63E0" w:rsidRDefault="001C63E0" w:rsidP="00EC5775">
      <w:pPr>
        <w:tabs>
          <w:tab w:val="left" w:pos="284"/>
        </w:tabs>
        <w:rPr>
          <w:rFonts w:cs="Arial"/>
          <w:szCs w:val="24"/>
        </w:rPr>
      </w:pPr>
      <w:r w:rsidRPr="001C63E0">
        <w:rPr>
          <w:rFonts w:cs="Arial"/>
          <w:szCs w:val="24"/>
          <w:u w:val="single"/>
        </w:rPr>
        <w:t>Principali modifiche</w:t>
      </w:r>
      <w:r w:rsidRPr="001C63E0">
        <w:rPr>
          <w:rFonts w:cs="Arial"/>
          <w:szCs w:val="24"/>
        </w:rPr>
        <w:t>:</w:t>
      </w:r>
    </w:p>
    <w:p w:rsidR="001C63E0" w:rsidRPr="001C63E0" w:rsidRDefault="001C63E0" w:rsidP="001C63E0">
      <w:pPr>
        <w:tabs>
          <w:tab w:val="left" w:pos="284"/>
        </w:tabs>
        <w:spacing w:before="60"/>
        <w:ind w:left="284" w:hanging="284"/>
        <w:rPr>
          <w:rFonts w:cs="Arial"/>
          <w:szCs w:val="24"/>
        </w:rPr>
      </w:pPr>
      <w:r w:rsidRPr="001C63E0">
        <w:rPr>
          <w:rFonts w:cs="Arial"/>
          <w:szCs w:val="24"/>
        </w:rPr>
        <w:t>-</w:t>
      </w:r>
      <w:r w:rsidRPr="001C63E0">
        <w:rPr>
          <w:rFonts w:cs="Arial"/>
          <w:szCs w:val="24"/>
        </w:rPr>
        <w:tab/>
        <w:t>nuova modalità del finanziamento del supplemento sostitutivo: 25% a carico della CPDS e 75% a carico dei datori di lavoro e dei beneficiari della pensione con ripartizione dell’onere del finanziamento a dipendenza dell’ammontare della pensione e fissazione del supplemento sostitutivo all’80% della rendita massima AVS/AI;</w:t>
      </w:r>
    </w:p>
    <w:p w:rsidR="001C63E0" w:rsidRPr="001C63E0" w:rsidRDefault="001C63E0" w:rsidP="001C63E0">
      <w:pPr>
        <w:tabs>
          <w:tab w:val="left" w:pos="284"/>
        </w:tabs>
        <w:spacing w:before="60"/>
        <w:ind w:left="284" w:hanging="284"/>
        <w:rPr>
          <w:rFonts w:cs="Arial"/>
          <w:szCs w:val="24"/>
        </w:rPr>
      </w:pPr>
      <w:r w:rsidRPr="001C63E0">
        <w:rPr>
          <w:rFonts w:cs="Arial"/>
          <w:szCs w:val="24"/>
        </w:rPr>
        <w:t>-</w:t>
      </w:r>
      <w:r w:rsidRPr="001C63E0">
        <w:rPr>
          <w:rFonts w:cs="Arial"/>
          <w:szCs w:val="24"/>
        </w:rPr>
        <w:tab/>
        <w:t>riduzione dell’adeguamento delle pensioni all’evoluzione dell’indice nazionale dei prezzi al consumo dal 100% al 50%;</w:t>
      </w:r>
    </w:p>
    <w:p w:rsidR="001C63E0" w:rsidRDefault="001C63E0" w:rsidP="00AA023B">
      <w:pPr>
        <w:tabs>
          <w:tab w:val="left" w:pos="284"/>
        </w:tabs>
        <w:spacing w:before="60"/>
        <w:ind w:left="284" w:hanging="284"/>
        <w:rPr>
          <w:rFonts w:cs="Arial"/>
          <w:szCs w:val="24"/>
        </w:rPr>
      </w:pPr>
      <w:r w:rsidRPr="001C63E0">
        <w:rPr>
          <w:rFonts w:cs="Arial"/>
          <w:szCs w:val="24"/>
        </w:rPr>
        <w:t>-</w:t>
      </w:r>
      <w:r w:rsidRPr="001C63E0">
        <w:rPr>
          <w:rFonts w:cs="Arial"/>
          <w:szCs w:val="24"/>
        </w:rPr>
        <w:tab/>
        <w:t>introduzione di un contributo straordinario del 4% a carico dei datori di lavoro e dell’1% a carico degli assicurati.</w:t>
      </w:r>
    </w:p>
    <w:p w:rsidR="00EC5775" w:rsidRDefault="00EC5775" w:rsidP="00EC5775">
      <w:pPr>
        <w:tabs>
          <w:tab w:val="left" w:pos="284"/>
        </w:tabs>
        <w:ind w:left="284" w:hanging="284"/>
        <w:rPr>
          <w:rFonts w:cs="Arial"/>
          <w:szCs w:val="24"/>
        </w:rPr>
      </w:pPr>
    </w:p>
    <w:p w:rsidR="00EC5775" w:rsidRPr="001C63E0" w:rsidRDefault="00EC5775" w:rsidP="00EC5775">
      <w:pPr>
        <w:tabs>
          <w:tab w:val="left" w:pos="284"/>
        </w:tabs>
        <w:ind w:left="284" w:hanging="284"/>
        <w:rPr>
          <w:rFonts w:cs="Arial"/>
          <w:szCs w:val="24"/>
        </w:rPr>
      </w:pPr>
    </w:p>
    <w:p w:rsidR="001C63E0" w:rsidRPr="001C63E0" w:rsidRDefault="00AA023B" w:rsidP="00EC5775">
      <w:pPr>
        <w:keepNext/>
        <w:tabs>
          <w:tab w:val="left" w:pos="709"/>
        </w:tabs>
        <w:ind w:left="360" w:hanging="360"/>
        <w:outlineLvl w:val="1"/>
        <w:rPr>
          <w:rFonts w:cs="Arial"/>
          <w:b/>
          <w:lang w:val="it-IT" w:eastAsia="it-IT"/>
        </w:rPr>
      </w:pPr>
      <w:bookmarkStart w:id="28" w:name="_Toc98976088"/>
      <w:r>
        <w:rPr>
          <w:rFonts w:cs="Arial"/>
          <w:b/>
          <w:lang w:val="it-IT" w:eastAsia="it-IT"/>
        </w:rPr>
        <w:t>1.2</w:t>
      </w:r>
      <w:r>
        <w:rPr>
          <w:rFonts w:cs="Arial"/>
          <w:b/>
          <w:lang w:val="it-IT" w:eastAsia="it-IT"/>
        </w:rPr>
        <w:tab/>
      </w:r>
      <w:r w:rsidR="001C63E0" w:rsidRPr="001C63E0">
        <w:rPr>
          <w:rFonts w:cs="Arial"/>
          <w:b/>
          <w:lang w:val="it-IT" w:eastAsia="it-IT"/>
        </w:rPr>
        <w:tab/>
        <w:t>Il piano di risanamento propriamente detto</w:t>
      </w:r>
      <w:bookmarkEnd w:id="28"/>
    </w:p>
    <w:p w:rsidR="001C63E0" w:rsidRPr="001C63E0" w:rsidRDefault="001C63E0" w:rsidP="00EC5775">
      <w:pPr>
        <w:pStyle w:val="Titolo3"/>
      </w:pPr>
      <w:bookmarkStart w:id="29" w:name="_Toc98976089"/>
      <w:r w:rsidRPr="001C63E0">
        <w:t>1.2.1</w:t>
      </w:r>
      <w:r w:rsidRPr="001C63E0">
        <w:tab/>
        <w:t>Contesto nel quale è avvenuto il piano di risanamento</w:t>
      </w:r>
      <w:bookmarkEnd w:id="29"/>
    </w:p>
    <w:p w:rsidR="001C63E0" w:rsidRPr="001C63E0" w:rsidRDefault="001C63E0" w:rsidP="001C63E0">
      <w:pPr>
        <w:spacing w:before="120"/>
        <w:rPr>
          <w:rFonts w:cs="Arial"/>
          <w:szCs w:val="24"/>
        </w:rPr>
      </w:pPr>
      <w:r w:rsidRPr="001C63E0">
        <w:rPr>
          <w:rFonts w:cs="Arial"/>
          <w:szCs w:val="24"/>
        </w:rPr>
        <w:t>Le modifiche alla LPP</w:t>
      </w:r>
      <w:r w:rsidRPr="001C63E0">
        <w:rPr>
          <w:rFonts w:cs="Arial"/>
          <w:szCs w:val="24"/>
          <w:vertAlign w:val="superscript"/>
        </w:rPr>
        <w:footnoteReference w:id="5"/>
      </w:r>
      <w:r w:rsidRPr="001C63E0">
        <w:rPr>
          <w:rFonts w:cs="Arial"/>
          <w:szCs w:val="24"/>
        </w:rPr>
        <w:t xml:space="preserve"> accolte dalle Camere federali il 17 dicembre 2010, riguardanti esclusivamente gli istituti di previdenza delle corporazioni di diritto pubblico, hanno introdotto nuove norme di finanziamento e nuove disposizioni organizzative allo scopo di rendere gli istituti pubblici di previdenza indipendenti dall’ente pubblico; più precisamente:</w:t>
      </w:r>
    </w:p>
    <w:p w:rsidR="001C63E0" w:rsidRPr="001C63E0" w:rsidRDefault="001C63E0" w:rsidP="00056BEE">
      <w:pPr>
        <w:numPr>
          <w:ilvl w:val="7"/>
          <w:numId w:val="12"/>
        </w:numPr>
        <w:spacing w:before="60"/>
        <w:ind w:left="284" w:hanging="284"/>
        <w:rPr>
          <w:rFonts w:eastAsia="MS Mincho" w:cs="Arial"/>
          <w:szCs w:val="24"/>
          <w:lang w:val="it-IT"/>
        </w:rPr>
      </w:pPr>
      <w:r w:rsidRPr="001C63E0">
        <w:rPr>
          <w:rFonts w:eastAsia="MS Mincho" w:cs="Arial"/>
          <w:szCs w:val="24"/>
          <w:lang w:val="it-IT"/>
        </w:rPr>
        <w:lastRenderedPageBreak/>
        <w:t>un istituto pubblico di previdenza deve lavorare in capitalizzazione sufficiente (almeno l’80% di copertura);</w:t>
      </w:r>
    </w:p>
    <w:p w:rsidR="001C63E0" w:rsidRPr="001C63E0" w:rsidRDefault="001C63E0" w:rsidP="00056BEE">
      <w:pPr>
        <w:numPr>
          <w:ilvl w:val="7"/>
          <w:numId w:val="12"/>
        </w:numPr>
        <w:spacing w:before="60"/>
        <w:ind w:left="284" w:hanging="284"/>
        <w:rPr>
          <w:rFonts w:eastAsia="MS Mincho" w:cs="Arial"/>
          <w:szCs w:val="24"/>
          <w:lang w:val="it-IT"/>
        </w:rPr>
      </w:pPr>
      <w:r w:rsidRPr="001C63E0">
        <w:rPr>
          <w:rFonts w:eastAsia="MS Mincho" w:cs="Arial"/>
          <w:szCs w:val="24"/>
          <w:lang w:val="it-IT"/>
        </w:rPr>
        <w:t>nel caso in cui la copertura fosse insufficiente, esso deve chiedere l’autorizzazione a operare in regime di capitalizzazione parziale;</w:t>
      </w:r>
    </w:p>
    <w:p w:rsidR="001C63E0" w:rsidRPr="001C63E0" w:rsidRDefault="001C63E0" w:rsidP="00056BEE">
      <w:pPr>
        <w:numPr>
          <w:ilvl w:val="7"/>
          <w:numId w:val="12"/>
        </w:numPr>
        <w:spacing w:before="60"/>
        <w:ind w:left="284" w:hanging="284"/>
        <w:rPr>
          <w:rFonts w:eastAsia="MS Mincho" w:cs="Arial"/>
          <w:szCs w:val="24"/>
          <w:lang w:val="it-IT"/>
        </w:rPr>
      </w:pPr>
      <w:r w:rsidRPr="001C63E0">
        <w:rPr>
          <w:rFonts w:eastAsia="MS Mincho" w:cs="Arial"/>
          <w:szCs w:val="24"/>
          <w:lang w:val="it-IT"/>
        </w:rPr>
        <w:t>la concessione di tale autorizzazione dipende dalla garanzia dello Stato – gli istituti di previdenza privati devono avere una capitalizzazione del 100% – e dalla presentazione di un piano di risanamento credibile;</w:t>
      </w:r>
    </w:p>
    <w:p w:rsidR="001C63E0" w:rsidRPr="001C63E0" w:rsidRDefault="001C63E0" w:rsidP="00056BEE">
      <w:pPr>
        <w:numPr>
          <w:ilvl w:val="7"/>
          <w:numId w:val="12"/>
        </w:numPr>
        <w:spacing w:before="60"/>
        <w:ind w:left="284" w:hanging="284"/>
        <w:rPr>
          <w:rFonts w:eastAsia="MS Mincho" w:cs="Arial"/>
          <w:szCs w:val="24"/>
          <w:lang w:val="it-IT"/>
        </w:rPr>
      </w:pPr>
      <w:r w:rsidRPr="001C63E0">
        <w:rPr>
          <w:rFonts w:eastAsia="MS Mincho" w:cs="Arial"/>
          <w:szCs w:val="24"/>
          <w:lang w:val="it-IT"/>
        </w:rPr>
        <w:t>l’Autorità di vigilanza richiede una verifica dell’andamento del risanamento, proiettato a lungo termine, ogni cinque anni.</w:t>
      </w:r>
    </w:p>
    <w:p w:rsidR="001C63E0" w:rsidRPr="001C63E0" w:rsidRDefault="001C63E0" w:rsidP="00056BEE">
      <w:pPr>
        <w:spacing w:before="120"/>
        <w:rPr>
          <w:rFonts w:cs="Arial"/>
        </w:rPr>
      </w:pPr>
      <w:r w:rsidRPr="001C63E0">
        <w:rPr>
          <w:rFonts w:cs="Arial"/>
        </w:rPr>
        <w:t>È in tale contesto che si è svolto lo sforzo di risanamento della CPDS, cioè con l’obbligo imposto dalla Confederazione di adeguare le normative cantonali in materia previdenziale alle nuove disposizioni federali entro il 31 dicembre 2013.</w:t>
      </w:r>
    </w:p>
    <w:p w:rsidR="001C63E0" w:rsidRPr="001C63E0" w:rsidRDefault="001C63E0" w:rsidP="00EC5775">
      <w:pPr>
        <w:rPr>
          <w:rFonts w:cs="Arial"/>
        </w:rPr>
      </w:pPr>
    </w:p>
    <w:p w:rsidR="001C63E0" w:rsidRPr="001C63E0" w:rsidRDefault="001C63E0" w:rsidP="00EC5775">
      <w:pPr>
        <w:pStyle w:val="Titolo3"/>
      </w:pPr>
      <w:bookmarkStart w:id="30" w:name="_Toc98976090"/>
      <w:r w:rsidRPr="001C63E0">
        <w:t>1.2.2</w:t>
      </w:r>
      <w:r w:rsidRPr="001C63E0">
        <w:tab/>
        <w:t>Le misure di risanamento</w:t>
      </w:r>
      <w:bookmarkEnd w:id="30"/>
    </w:p>
    <w:p w:rsidR="001C63E0" w:rsidRPr="001C63E0" w:rsidRDefault="001C63E0" w:rsidP="001C63E0">
      <w:pPr>
        <w:spacing w:before="120" w:after="60"/>
        <w:rPr>
          <w:rFonts w:cs="Arial"/>
        </w:rPr>
      </w:pPr>
      <w:r w:rsidRPr="001C63E0">
        <w:rPr>
          <w:rFonts w:cs="Arial"/>
        </w:rPr>
        <w:t>Il piano di risanamento del 2012 prevedeva quattro categorie di misure:</w:t>
      </w:r>
    </w:p>
    <w:p w:rsidR="001C63E0" w:rsidRPr="001C63E0" w:rsidRDefault="001C63E0" w:rsidP="001C63E0">
      <w:pPr>
        <w:tabs>
          <w:tab w:val="left" w:pos="426"/>
        </w:tabs>
        <w:spacing w:before="120"/>
        <w:rPr>
          <w:rFonts w:cs="Arial"/>
        </w:rPr>
      </w:pPr>
      <w:r w:rsidRPr="001C63E0">
        <w:rPr>
          <w:rFonts w:cs="Arial"/>
        </w:rPr>
        <w:t>1.</w:t>
      </w:r>
      <w:r w:rsidRPr="001C63E0">
        <w:rPr>
          <w:rFonts w:cs="Arial"/>
        </w:rPr>
        <w:tab/>
        <w:t xml:space="preserve">a carico degli </w:t>
      </w:r>
      <w:r w:rsidRPr="001C63E0">
        <w:rPr>
          <w:rFonts w:cs="Arial"/>
          <w:u w:val="single"/>
        </w:rPr>
        <w:t>affiliati attivi</w:t>
      </w:r>
    </w:p>
    <w:p w:rsidR="001C63E0" w:rsidRPr="001C63E0" w:rsidRDefault="001C63E0" w:rsidP="001C63E0">
      <w:pPr>
        <w:tabs>
          <w:tab w:val="left" w:pos="426"/>
          <w:tab w:val="left" w:pos="851"/>
        </w:tabs>
        <w:spacing w:before="60"/>
        <w:ind w:left="851" w:hanging="851"/>
        <w:rPr>
          <w:rFonts w:cs="Arial"/>
        </w:rPr>
      </w:pPr>
      <w:r w:rsidRPr="001C63E0">
        <w:rPr>
          <w:rFonts w:cs="Arial"/>
        </w:rPr>
        <w:tab/>
        <w:t>-</w:t>
      </w:r>
      <w:r w:rsidRPr="001C63E0">
        <w:rPr>
          <w:rFonts w:cs="Arial"/>
        </w:rPr>
        <w:tab/>
        <w:t>passaggio, al 1° gennaio 2013, di tutti gli assicurati dal piano in primato delle prestazioni al piano in primato dei contributi; questa misura ha ridotto mediamente del 20% le aspettative pensionistiche degli assicurati attivi e proprio per questo «</w:t>
      </w:r>
      <w:r w:rsidRPr="001C63E0">
        <w:rPr>
          <w:rFonts w:cs="Arial"/>
          <w:i/>
        </w:rPr>
        <w:t>contribuirà maggiormente al mantenimento dell’equilibrio finanziario</w:t>
      </w:r>
      <w:r w:rsidRPr="001C63E0">
        <w:rPr>
          <w:rFonts w:cs="Arial"/>
        </w:rPr>
        <w:t>»</w:t>
      </w:r>
      <w:r w:rsidRPr="001C63E0">
        <w:rPr>
          <w:rFonts w:cs="Arial"/>
          <w:vertAlign w:val="superscript"/>
        </w:rPr>
        <w:footnoteReference w:id="6"/>
      </w:r>
      <w:r w:rsidRPr="001C63E0">
        <w:rPr>
          <w:rFonts w:cs="Arial"/>
        </w:rPr>
        <w:t xml:space="preserve"> dell’</w:t>
      </w:r>
      <w:hyperlink r:id="rId18" w:history="1">
        <w:r w:rsidRPr="001C63E0">
          <w:rPr>
            <w:rFonts w:cs="Arial"/>
            <w:color w:val="0000FF"/>
            <w:u w:val="single"/>
          </w:rPr>
          <w:t>Istituto di previdenza del Cantone Ticino</w:t>
        </w:r>
      </w:hyperlink>
      <w:r w:rsidRPr="001C63E0">
        <w:rPr>
          <w:rFonts w:cs="Arial"/>
        </w:rPr>
        <w:t xml:space="preserve"> (IPCT). L’aspetto fondamentale – che concerne del resto strettamente l’oggetto del messaggio n. </w:t>
      </w:r>
      <w:hyperlink r:id="rId19" w:history="1">
        <w:r w:rsidRPr="001C63E0">
          <w:rPr>
            <w:rFonts w:cs="Arial"/>
            <w:color w:val="0000FF"/>
            <w:u w:val="single"/>
          </w:rPr>
          <w:t>7784</w:t>
        </w:r>
      </w:hyperlink>
      <w:r w:rsidRPr="001C63E0">
        <w:rPr>
          <w:rFonts w:cs="Arial"/>
        </w:rPr>
        <w:t xml:space="preserve"> – consiste nel fatto che gli assicurati che al 31 dicembre 2012 avevano compiuto 50 anni</w:t>
      </w:r>
      <w:r w:rsidRPr="001C63E0">
        <w:rPr>
          <w:rFonts w:cs="Arial"/>
          <w:vertAlign w:val="superscript"/>
        </w:rPr>
        <w:footnoteReference w:id="7"/>
      </w:r>
      <w:r w:rsidRPr="001C63E0">
        <w:rPr>
          <w:rFonts w:cs="Arial"/>
        </w:rPr>
        <w:t xml:space="preserve"> hanno beneficiato di garanzie di pensione, «</w:t>
      </w:r>
      <w:r w:rsidRPr="001C63E0">
        <w:rPr>
          <w:rFonts w:cs="Arial"/>
          <w:i/>
        </w:rPr>
        <w:t>ritenendo che, altrimenti, il passaggio al piano in primato dei contributi avrebbe ridotto eccessivamente le rendite in aspettativa, quando raffrontate con il vecchio piano pensionistico (con l’argomentazione per cui gli assicurati non avrebbero avuto il tempo necessario per mettere in atto delle misure adeguate di compensazione delle riduzioni)</w:t>
      </w:r>
      <w:r w:rsidRPr="001C63E0">
        <w:rPr>
          <w:rFonts w:cs="Arial"/>
        </w:rPr>
        <w:t>»</w:t>
      </w:r>
      <w:r w:rsidRPr="001C63E0">
        <w:rPr>
          <w:rFonts w:cs="Arial"/>
          <w:vertAlign w:val="superscript"/>
        </w:rPr>
        <w:footnoteReference w:id="8"/>
      </w:r>
      <w:r w:rsidRPr="001C63E0">
        <w:rPr>
          <w:rFonts w:cs="Arial"/>
        </w:rPr>
        <w:t>;</w:t>
      </w:r>
    </w:p>
    <w:p w:rsidR="001C63E0" w:rsidRPr="001C63E0" w:rsidRDefault="001C63E0" w:rsidP="001C63E0">
      <w:pPr>
        <w:tabs>
          <w:tab w:val="left" w:pos="426"/>
          <w:tab w:val="left" w:pos="851"/>
        </w:tabs>
        <w:spacing w:before="60"/>
        <w:ind w:left="851" w:hanging="851"/>
        <w:rPr>
          <w:rFonts w:cs="Arial"/>
        </w:rPr>
      </w:pPr>
      <w:r w:rsidRPr="001C63E0">
        <w:rPr>
          <w:rFonts w:cs="Arial"/>
        </w:rPr>
        <w:tab/>
        <w:t>-</w:t>
      </w:r>
      <w:r w:rsidRPr="001C63E0">
        <w:rPr>
          <w:rFonts w:cs="Arial"/>
        </w:rPr>
        <w:tab/>
        <w:t>aumento della quota (mediamente il 50%) per il finanziamento del supplemento sostitutivo AVS/AI (in precedenza una quota del 25% era presa a carico dall’IPCT)</w:t>
      </w:r>
      <w:r w:rsidRPr="001C63E0">
        <w:rPr>
          <w:rFonts w:cs="Arial"/>
          <w:vertAlign w:val="superscript"/>
        </w:rPr>
        <w:footnoteReference w:id="9"/>
      </w:r>
      <w:r w:rsidRPr="001C63E0">
        <w:rPr>
          <w:rFonts w:cs="Arial"/>
        </w:rPr>
        <w:t>;</w:t>
      </w:r>
    </w:p>
    <w:p w:rsidR="001C63E0" w:rsidRDefault="001C63E0" w:rsidP="001C63E0">
      <w:pPr>
        <w:tabs>
          <w:tab w:val="left" w:pos="426"/>
          <w:tab w:val="left" w:pos="851"/>
        </w:tabs>
        <w:spacing w:before="60"/>
        <w:ind w:left="851" w:hanging="851"/>
        <w:rPr>
          <w:rFonts w:cs="Arial"/>
          <w:szCs w:val="24"/>
        </w:rPr>
      </w:pPr>
      <w:r w:rsidRPr="001C63E0">
        <w:rPr>
          <w:rFonts w:cs="Arial"/>
        </w:rPr>
        <w:tab/>
        <w:t>-</w:t>
      </w:r>
      <w:r w:rsidRPr="001C63E0">
        <w:rPr>
          <w:rFonts w:cs="Arial"/>
        </w:rPr>
        <w:tab/>
        <w:t>trasformazione</w:t>
      </w:r>
      <w:r w:rsidRPr="001C63E0">
        <w:rPr>
          <w:rFonts w:cs="Arial"/>
          <w:szCs w:val="24"/>
        </w:rPr>
        <w:t xml:space="preserve"> del contributo straordinario del 1% a carico degli assicurati (introdotto a partire dal 1° gennaio 2005) in contributo di risanamento e quindi non più conteggiato nel calcolo della prestazione di libero passaggio; quindi, a un assicurato – in caso di uscita dall’IPCT – è riconosciuto nella prestazione di libero passaggio il 10.5% e non l’11.5%.</w:t>
      </w:r>
    </w:p>
    <w:p w:rsidR="00EC5775" w:rsidRDefault="00EC5775" w:rsidP="001C63E0">
      <w:pPr>
        <w:tabs>
          <w:tab w:val="left" w:pos="426"/>
          <w:tab w:val="left" w:pos="851"/>
        </w:tabs>
        <w:spacing w:before="60"/>
        <w:ind w:left="851" w:hanging="851"/>
        <w:rPr>
          <w:rFonts w:cs="Arial"/>
          <w:szCs w:val="24"/>
        </w:rPr>
      </w:pPr>
    </w:p>
    <w:p w:rsidR="00EC5775" w:rsidRPr="001C63E0" w:rsidRDefault="00EC5775" w:rsidP="001C63E0">
      <w:pPr>
        <w:tabs>
          <w:tab w:val="left" w:pos="426"/>
          <w:tab w:val="left" w:pos="851"/>
        </w:tabs>
        <w:spacing w:before="60"/>
        <w:ind w:left="851" w:hanging="851"/>
        <w:rPr>
          <w:rFonts w:cs="Arial"/>
          <w:szCs w:val="24"/>
        </w:rPr>
      </w:pPr>
    </w:p>
    <w:p w:rsidR="001C63E0" w:rsidRPr="001C63E0" w:rsidRDefault="001C63E0" w:rsidP="001C63E0">
      <w:pPr>
        <w:tabs>
          <w:tab w:val="left" w:pos="426"/>
        </w:tabs>
        <w:spacing w:before="120"/>
        <w:rPr>
          <w:rFonts w:cs="Arial"/>
          <w:u w:val="single"/>
        </w:rPr>
      </w:pPr>
      <w:r w:rsidRPr="001C63E0">
        <w:rPr>
          <w:rFonts w:cs="Arial"/>
        </w:rPr>
        <w:lastRenderedPageBreak/>
        <w:t>2.</w:t>
      </w:r>
      <w:r w:rsidRPr="001C63E0">
        <w:rPr>
          <w:rFonts w:cs="Arial"/>
        </w:rPr>
        <w:tab/>
        <w:t xml:space="preserve">a carico degli </w:t>
      </w:r>
      <w:r w:rsidRPr="001C63E0">
        <w:rPr>
          <w:rFonts w:cs="Arial"/>
          <w:u w:val="single"/>
        </w:rPr>
        <w:t>assicurati pensionati</w:t>
      </w:r>
    </w:p>
    <w:p w:rsidR="001C63E0" w:rsidRPr="001C63E0" w:rsidRDefault="001C63E0" w:rsidP="001C63E0">
      <w:pPr>
        <w:tabs>
          <w:tab w:val="left" w:pos="426"/>
          <w:tab w:val="left" w:pos="851"/>
        </w:tabs>
        <w:spacing w:before="40"/>
        <w:ind w:left="851" w:hanging="851"/>
        <w:rPr>
          <w:rFonts w:cs="Arial"/>
        </w:rPr>
      </w:pPr>
      <w:r w:rsidRPr="001C63E0">
        <w:rPr>
          <w:rFonts w:cs="Arial"/>
        </w:rPr>
        <w:tab/>
        <w:t>-</w:t>
      </w:r>
      <w:r w:rsidRPr="001C63E0">
        <w:rPr>
          <w:rFonts w:cs="Arial"/>
        </w:rPr>
        <w:tab/>
        <w:t>sospensione, a partire dal 1° gennaio 2013, dell’adeguamento delle pensioni al rincaro sino al raggiungimento di un aumento del 15% dell’indice dei prezzi al consumo in base al valore dell’indice di novembre 2012. Dal dicembre 2012 al dicembre 2019 non si è verificato alcun rincaro, per cui l’unica misura presa a carico dei pensionati, che avrebbe dovuto consentire all’IPCT un risparmio sulle rendite, non ha sinora sortito alcun effetto</w:t>
      </w:r>
      <w:r w:rsidRPr="001C63E0">
        <w:rPr>
          <w:rFonts w:cs="Arial"/>
          <w:vertAlign w:val="superscript"/>
        </w:rPr>
        <w:footnoteReference w:id="10"/>
      </w:r>
      <w:r w:rsidRPr="001C63E0">
        <w:rPr>
          <w:rFonts w:cs="Arial"/>
        </w:rPr>
        <w:t>.</w:t>
      </w:r>
    </w:p>
    <w:p w:rsidR="001C63E0" w:rsidRPr="001C63E0" w:rsidRDefault="001C63E0" w:rsidP="001C63E0">
      <w:pPr>
        <w:tabs>
          <w:tab w:val="left" w:pos="426"/>
        </w:tabs>
        <w:spacing w:before="120"/>
        <w:rPr>
          <w:rFonts w:cs="Arial"/>
        </w:rPr>
      </w:pPr>
      <w:r w:rsidRPr="001C63E0">
        <w:rPr>
          <w:rFonts w:cs="Arial"/>
        </w:rPr>
        <w:t>3.</w:t>
      </w:r>
      <w:r w:rsidRPr="001C63E0">
        <w:rPr>
          <w:rFonts w:cs="Arial"/>
        </w:rPr>
        <w:tab/>
        <w:t xml:space="preserve">a carico dei </w:t>
      </w:r>
      <w:r w:rsidRPr="001C63E0">
        <w:rPr>
          <w:rFonts w:cs="Arial"/>
          <w:u w:val="single"/>
        </w:rPr>
        <w:t>datori di lavoro</w:t>
      </w:r>
      <w:r w:rsidRPr="001C63E0">
        <w:rPr>
          <w:rFonts w:cs="Arial"/>
        </w:rPr>
        <w:t xml:space="preserve"> (Cantone ed enti esterni affiliati)</w:t>
      </w:r>
    </w:p>
    <w:p w:rsidR="001C63E0" w:rsidRPr="001C63E0" w:rsidRDefault="001C63E0" w:rsidP="001C63E0">
      <w:pPr>
        <w:tabs>
          <w:tab w:val="left" w:pos="426"/>
          <w:tab w:val="left" w:pos="851"/>
        </w:tabs>
        <w:spacing w:before="40"/>
        <w:ind w:left="851" w:hanging="851"/>
        <w:rPr>
          <w:rFonts w:cs="Arial"/>
        </w:rPr>
      </w:pPr>
      <w:r w:rsidRPr="001C63E0">
        <w:rPr>
          <w:rFonts w:cs="Arial"/>
        </w:rPr>
        <w:tab/>
        <w:t>-</w:t>
      </w:r>
      <w:r w:rsidRPr="001C63E0">
        <w:rPr>
          <w:rFonts w:cs="Arial"/>
        </w:rPr>
        <w:tab/>
        <w:t>contributo di risanamento del 2% degli stipendi assicurati</w:t>
      </w:r>
      <w:r w:rsidRPr="001C63E0">
        <w:rPr>
          <w:rFonts w:cs="Arial"/>
          <w:vertAlign w:val="superscript"/>
        </w:rPr>
        <w:footnoteReference w:id="11"/>
      </w:r>
      <w:r w:rsidRPr="001C63E0">
        <w:rPr>
          <w:rFonts w:cs="Arial"/>
        </w:rPr>
        <w:t>;</w:t>
      </w:r>
    </w:p>
    <w:p w:rsidR="001C63E0" w:rsidRPr="001C63E0" w:rsidRDefault="001C63E0" w:rsidP="001C63E0">
      <w:pPr>
        <w:tabs>
          <w:tab w:val="left" w:pos="426"/>
          <w:tab w:val="left" w:pos="851"/>
        </w:tabs>
        <w:spacing w:before="40"/>
        <w:ind w:left="851" w:hanging="851"/>
        <w:rPr>
          <w:rFonts w:cs="Arial"/>
        </w:rPr>
      </w:pPr>
      <w:r w:rsidRPr="001C63E0">
        <w:rPr>
          <w:rFonts w:cs="Arial"/>
        </w:rPr>
        <w:tab/>
        <w:t>-</w:t>
      </w:r>
      <w:r w:rsidRPr="001C63E0">
        <w:rPr>
          <w:rFonts w:cs="Arial"/>
        </w:rPr>
        <w:tab/>
        <w:t>aumento della quota per il finanziamento del supplemento sostitutivo AVS/AI (precedentemente una quota del 25% era presa a carico dall’IPCT).</w:t>
      </w:r>
    </w:p>
    <w:p w:rsidR="001C63E0" w:rsidRPr="001C63E0" w:rsidRDefault="001C63E0" w:rsidP="001C63E0">
      <w:pPr>
        <w:tabs>
          <w:tab w:val="left" w:pos="426"/>
        </w:tabs>
        <w:spacing w:before="120"/>
        <w:rPr>
          <w:rFonts w:cs="Arial"/>
        </w:rPr>
      </w:pPr>
      <w:r w:rsidRPr="001C63E0">
        <w:rPr>
          <w:rFonts w:cs="Arial"/>
        </w:rPr>
        <w:t>4.</w:t>
      </w:r>
      <w:r w:rsidRPr="001C63E0">
        <w:rPr>
          <w:rFonts w:cs="Arial"/>
        </w:rPr>
        <w:tab/>
        <w:t xml:space="preserve">a carico del </w:t>
      </w:r>
      <w:r w:rsidRPr="001C63E0">
        <w:rPr>
          <w:rFonts w:cs="Arial"/>
          <w:u w:val="single"/>
        </w:rPr>
        <w:t>solo Cantone</w:t>
      </w:r>
    </w:p>
    <w:p w:rsidR="001C63E0" w:rsidRPr="001C63E0" w:rsidRDefault="001C63E0" w:rsidP="001C63E0">
      <w:pPr>
        <w:tabs>
          <w:tab w:val="left" w:pos="426"/>
          <w:tab w:val="left" w:pos="851"/>
        </w:tabs>
        <w:spacing w:before="40"/>
        <w:ind w:left="851" w:hanging="851"/>
        <w:rPr>
          <w:rFonts w:cs="Arial"/>
        </w:rPr>
      </w:pPr>
      <w:r w:rsidRPr="001C63E0">
        <w:rPr>
          <w:rFonts w:cs="Arial"/>
        </w:rPr>
        <w:tab/>
        <w:t>-</w:t>
      </w:r>
      <w:r w:rsidRPr="001C63E0">
        <w:rPr>
          <w:rFonts w:cs="Arial"/>
        </w:rPr>
        <w:tab/>
        <w:t>versamento da parte del Cantone, al fine di contribuire alla ricapitalizzazione parziale dell’IPCT, di un importo di CHF</w:t>
      </w:r>
      <w:r w:rsidR="00DF2942">
        <w:rPr>
          <w:rFonts w:cs="Arial"/>
        </w:rPr>
        <w:t xml:space="preserve"> </w:t>
      </w:r>
      <w:r w:rsidRPr="001C63E0">
        <w:rPr>
          <w:rFonts w:cs="Arial"/>
        </w:rPr>
        <w:t>454.5 milioni in 39 rate annuali di CHF</w:t>
      </w:r>
      <w:r w:rsidR="00DF2942">
        <w:rPr>
          <w:rFonts w:cs="Arial"/>
        </w:rPr>
        <w:t xml:space="preserve"> </w:t>
      </w:r>
      <w:r w:rsidRPr="001C63E0">
        <w:rPr>
          <w:rFonts w:cs="Arial"/>
        </w:rPr>
        <w:t>21.5 milioni comprendenti l’interesse del 3.5%.</w:t>
      </w:r>
    </w:p>
    <w:p w:rsidR="001C63E0" w:rsidRPr="001C63E0" w:rsidRDefault="001C63E0" w:rsidP="00EC5775">
      <w:pPr>
        <w:rPr>
          <w:rFonts w:cs="Arial"/>
        </w:rPr>
      </w:pPr>
    </w:p>
    <w:p w:rsidR="001C63E0" w:rsidRPr="00EC5775" w:rsidRDefault="001C63E0" w:rsidP="00EC5775">
      <w:pPr>
        <w:keepNext/>
        <w:tabs>
          <w:tab w:val="left" w:pos="709"/>
        </w:tabs>
        <w:spacing w:after="120"/>
        <w:outlineLvl w:val="2"/>
        <w:rPr>
          <w:rFonts w:cs="Arial"/>
          <w:b/>
          <w:i/>
          <w:szCs w:val="24"/>
          <w:lang w:val="it-IT" w:eastAsia="it-IT"/>
        </w:rPr>
      </w:pPr>
      <w:bookmarkStart w:id="31" w:name="_Toc98976091"/>
      <w:r w:rsidRPr="00EC5775">
        <w:rPr>
          <w:rFonts w:cs="Arial"/>
          <w:b/>
          <w:i/>
          <w:szCs w:val="24"/>
          <w:lang w:val="it-IT" w:eastAsia="it-IT"/>
        </w:rPr>
        <w:t>1.2.3</w:t>
      </w:r>
      <w:r w:rsidRPr="00EC5775">
        <w:rPr>
          <w:rFonts w:cs="Arial"/>
          <w:b/>
          <w:i/>
          <w:szCs w:val="24"/>
          <w:lang w:val="it-IT" w:eastAsia="it-IT"/>
        </w:rPr>
        <w:tab/>
        <w:t>Il costo del piano di risanamento</w:t>
      </w:r>
      <w:bookmarkEnd w:id="31"/>
    </w:p>
    <w:p w:rsidR="001C63E0" w:rsidRPr="001C63E0" w:rsidRDefault="001C63E0" w:rsidP="001C63E0">
      <w:pPr>
        <w:spacing w:before="120" w:after="120"/>
        <w:rPr>
          <w:rFonts w:cs="Arial"/>
          <w:noProof/>
          <w:lang w:eastAsia="it-CH"/>
        </w:rPr>
      </w:pPr>
      <w:r w:rsidRPr="001C63E0">
        <w:rPr>
          <w:rFonts w:cs="Arial"/>
          <w:noProof/>
          <w:lang w:eastAsia="it-CH"/>
        </w:rPr>
        <w:t>Il costo del piano di risanamento – più in particolare il contributo di ricapitalizzazione del Cantone – è basato sulla decisione del Consiglio di Stato, poi avallata dalla Commissione della gestione e delle finanze, di raggiungere il grado di copertura dell’85%</w:t>
      </w:r>
      <w:r w:rsidRPr="001C63E0">
        <w:rPr>
          <w:rFonts w:cs="Arial"/>
          <w:noProof/>
          <w:vertAlign w:val="superscript"/>
          <w:lang w:eastAsia="it-CH"/>
        </w:rPr>
        <w:footnoteReference w:id="12"/>
      </w:r>
      <w:r w:rsidRPr="001C63E0">
        <w:rPr>
          <w:rFonts w:cs="Arial"/>
          <w:noProof/>
          <w:lang w:eastAsia="it-CH"/>
        </w:rPr>
        <w:t xml:space="preserve"> entro il 31 dicembre 2051. È stata introdotta tale percentuale – e non quella dell’80%</w:t>
      </w:r>
      <w:r w:rsidRPr="001C63E0">
        <w:rPr>
          <w:rFonts w:cs="Arial"/>
          <w:noProof/>
          <w:vertAlign w:val="superscript"/>
          <w:lang w:eastAsia="it-CH"/>
        </w:rPr>
        <w:footnoteReference w:id="13"/>
      </w:r>
      <w:r w:rsidRPr="001C63E0">
        <w:rPr>
          <w:rFonts w:cs="Arial"/>
          <w:noProof/>
          <w:lang w:eastAsia="it-CH"/>
        </w:rPr>
        <w:t xml:space="preserve"> – allo scopo di «</w:t>
      </w:r>
      <w:r w:rsidRPr="001C63E0">
        <w:rPr>
          <w:rFonts w:cs="Arial"/>
          <w:i/>
          <w:noProof/>
          <w:lang w:eastAsia="it-CH"/>
        </w:rPr>
        <w:t>stabilizzare questa percentuale dell’80%</w:t>
      </w:r>
      <w:r w:rsidRPr="001C63E0">
        <w:rPr>
          <w:rFonts w:cs="Arial"/>
          <w:noProof/>
          <w:lang w:eastAsia="it-CH"/>
        </w:rPr>
        <w:t>», ciò che poteva «</w:t>
      </w:r>
      <w:r w:rsidRPr="001C63E0">
        <w:rPr>
          <w:rFonts w:cs="Arial"/>
          <w:i/>
          <w:noProof/>
          <w:lang w:eastAsia="it-CH"/>
        </w:rPr>
        <w:t>avvenire solo in presenza di un minimo di riserva di fluttuazione</w:t>
      </w:r>
      <w:r w:rsidRPr="001C63E0">
        <w:rPr>
          <w:rFonts w:cs="Arial"/>
          <w:noProof/>
          <w:lang w:eastAsia="it-CH"/>
        </w:rPr>
        <w:t>»</w:t>
      </w:r>
      <w:r w:rsidRPr="001C63E0">
        <w:rPr>
          <w:rFonts w:cs="Arial"/>
          <w:noProof/>
          <w:vertAlign w:val="superscript"/>
          <w:lang w:eastAsia="it-CH"/>
        </w:rPr>
        <w:footnoteReference w:id="14"/>
      </w:r>
      <w:r w:rsidRPr="001C63E0">
        <w:rPr>
          <w:rFonts w:cs="Arial"/>
          <w:noProof/>
          <w:lang w:eastAsia="it-CH"/>
        </w:rPr>
        <w:t>.</w:t>
      </w:r>
    </w:p>
    <w:p w:rsidR="001C63E0" w:rsidRPr="001C63E0" w:rsidRDefault="001C63E0" w:rsidP="001C63E0">
      <w:pPr>
        <w:spacing w:before="120"/>
        <w:rPr>
          <w:rFonts w:cs="Arial"/>
          <w:noProof/>
          <w:lang w:eastAsia="it-CH"/>
        </w:rPr>
      </w:pPr>
      <w:r w:rsidRPr="001C63E0">
        <w:rPr>
          <w:rFonts w:cs="Arial"/>
          <w:noProof/>
          <w:sz w:val="34"/>
          <w:szCs w:val="34"/>
          <w:lang w:eastAsia="it-CH"/>
        </w:rPr>
        <w:lastRenderedPageBreak/>
        <w:drawing>
          <wp:inline distT="0" distB="0" distL="0" distR="0" wp14:anchorId="431C204A" wp14:editId="290F8376">
            <wp:extent cx="6120000" cy="215333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000" cy="2153333"/>
                    </a:xfrm>
                    <a:prstGeom prst="rect">
                      <a:avLst/>
                    </a:prstGeom>
                    <a:noFill/>
                    <a:ln>
                      <a:noFill/>
                    </a:ln>
                  </pic:spPr>
                </pic:pic>
              </a:graphicData>
            </a:graphic>
          </wp:inline>
        </w:drawing>
      </w:r>
    </w:p>
    <w:p w:rsidR="001C63E0" w:rsidRPr="001C63E0" w:rsidRDefault="001C63E0" w:rsidP="00EC5775">
      <w:pPr>
        <w:spacing w:before="240"/>
        <w:rPr>
          <w:rFonts w:cs="Arial"/>
        </w:rPr>
      </w:pPr>
      <w:r w:rsidRPr="001C63E0">
        <w:rPr>
          <w:rFonts w:cs="Arial"/>
        </w:rPr>
        <w:t>Nella tabella figura un contributo di ricapitalizzazione a carico del Cantone di CHF 477.6 milioni; in realtà, a seguito della decisione commissionale di mantenere la quota di coordinamento dei 2/3 della rendita massima AVS/AI per gli assi</w:t>
      </w:r>
      <w:r w:rsidR="00EC5775">
        <w:rPr>
          <w:rFonts w:cs="Arial"/>
        </w:rPr>
        <w:t xml:space="preserve">curati affiliatisi prima del </w:t>
      </w:r>
      <w:r w:rsidR="00EC5775">
        <w:rPr>
          <w:rFonts w:cs="Arial"/>
        </w:rPr>
        <w:br/>
        <w:t xml:space="preserve">1° </w:t>
      </w:r>
      <w:r w:rsidRPr="001C63E0">
        <w:rPr>
          <w:rFonts w:cs="Arial"/>
        </w:rPr>
        <w:t>gennaio 1995, esso è passato a CHF</w:t>
      </w:r>
      <w:r w:rsidR="002E2298">
        <w:rPr>
          <w:rFonts w:cs="Arial"/>
        </w:rPr>
        <w:t xml:space="preserve"> </w:t>
      </w:r>
      <w:r w:rsidRPr="001C63E0">
        <w:rPr>
          <w:rFonts w:cs="Arial"/>
        </w:rPr>
        <w:t>454.5 milioni</w:t>
      </w:r>
      <w:r w:rsidRPr="001C63E0">
        <w:rPr>
          <w:rFonts w:cs="Arial"/>
          <w:vertAlign w:val="superscript"/>
        </w:rPr>
        <w:footnoteReference w:id="15"/>
      </w:r>
      <w:r w:rsidRPr="001C63E0">
        <w:rPr>
          <w:rFonts w:cs="Arial"/>
        </w:rPr>
        <w:t>.</w:t>
      </w:r>
    </w:p>
    <w:p w:rsidR="001C63E0" w:rsidRPr="001C63E0" w:rsidRDefault="001C63E0" w:rsidP="001C63E0">
      <w:pPr>
        <w:spacing w:before="120"/>
        <w:rPr>
          <w:rFonts w:cs="Arial"/>
        </w:rPr>
      </w:pPr>
      <w:r w:rsidRPr="001C63E0">
        <w:rPr>
          <w:rFonts w:cs="Arial"/>
        </w:rPr>
        <w:t>Lo sforzo di risanamento – ossia l’ammanco del patrimonio al 31.12.2012 (valutato) rispetto al grado di copertura dell’85% da raggiungere entro il 31 dicembre 2051 – ammontava pertanto a CHF</w:t>
      </w:r>
      <w:r w:rsidR="00DF2942">
        <w:rPr>
          <w:rFonts w:cs="Arial"/>
        </w:rPr>
        <w:t xml:space="preserve"> </w:t>
      </w:r>
      <w:r w:rsidRPr="001C63E0">
        <w:rPr>
          <w:rFonts w:cs="Arial"/>
        </w:rPr>
        <w:t xml:space="preserve">1’722.9 milioni, ripartito (quasi) pariteticamente tra datori di lavoro </w:t>
      </w:r>
      <w:r w:rsidR="00DF2942">
        <w:rPr>
          <w:rFonts w:cs="Arial"/>
        </w:rPr>
        <w:br/>
      </w:r>
      <w:r w:rsidRPr="001C63E0">
        <w:rPr>
          <w:rFonts w:cs="Arial"/>
        </w:rPr>
        <w:t>(CHF</w:t>
      </w:r>
      <w:r w:rsidR="00DF2942">
        <w:rPr>
          <w:rFonts w:cs="Arial"/>
        </w:rPr>
        <w:t xml:space="preserve"> </w:t>
      </w:r>
      <w:r w:rsidRPr="001C63E0">
        <w:rPr>
          <w:rFonts w:cs="Arial"/>
        </w:rPr>
        <w:t>8</w:t>
      </w:r>
      <w:r w:rsidR="002E2298">
        <w:rPr>
          <w:rFonts w:cs="Arial"/>
        </w:rPr>
        <w:t xml:space="preserve">57.7 milioni) e assicurati (CHF </w:t>
      </w:r>
      <w:r w:rsidRPr="001C63E0">
        <w:rPr>
          <w:rFonts w:cs="Arial"/>
        </w:rPr>
        <w:t>865.2 milioni); in realtà la bilancia pende, seppure in maniera minima, a sfavore di questi ultimi.</w:t>
      </w:r>
    </w:p>
    <w:p w:rsidR="001C63E0" w:rsidRPr="001C63E0" w:rsidRDefault="001C63E0" w:rsidP="001C63E0">
      <w:pPr>
        <w:spacing w:before="120"/>
        <w:rPr>
          <w:rFonts w:cs="Arial"/>
        </w:rPr>
      </w:pPr>
      <w:r w:rsidRPr="001C63E0">
        <w:rPr>
          <w:rFonts w:cs="Arial"/>
        </w:rPr>
        <w:t>È importante sottolineare che il contributo al risanamento degli assicurati – poco più avanti si specificherà meglio chi sono gli appartenenti effettivi a tale categoria – «</w:t>
      </w:r>
      <w:r w:rsidRPr="001C63E0">
        <w:rPr>
          <w:rFonts w:cs="Arial"/>
          <w:i/>
        </w:rPr>
        <w:t>consiste nel margine sui contributi che corrisponde alla differenza tra i contributi incassati dalla CPDS e il costo per il finanziamento delle prestazioni previste dal nuovo piano (che sono inferiori rispetto all’attuale). Infatti i contributi totali incassati dalla CPDS (senza il contributo di risanamento del 2% a carico dei datori di lavoro) ammontano al 27.1% degli stipendi assicurati, mentre il nuovo piano ha un costo del 20.49% degli stipendi assicurati. Il margine sui contributi inizialmente ammonta al 6.61% e potrà variare nel tempo a dipendenza ad esempio della struttura d’età degli assicurati</w:t>
      </w:r>
      <w:r w:rsidRPr="001C63E0">
        <w:rPr>
          <w:rFonts w:cs="Arial"/>
        </w:rPr>
        <w:t>»</w:t>
      </w:r>
      <w:r w:rsidRPr="001C63E0">
        <w:rPr>
          <w:rFonts w:cs="Arial"/>
          <w:vertAlign w:val="superscript"/>
        </w:rPr>
        <w:footnoteReference w:id="16"/>
      </w:r>
      <w:r w:rsidRPr="001C63E0">
        <w:rPr>
          <w:rFonts w:cs="Arial"/>
        </w:rPr>
        <w:t xml:space="preserve">. Nel messaggio n. </w:t>
      </w:r>
      <w:hyperlink r:id="rId21" w:history="1">
        <w:r w:rsidRPr="001C63E0">
          <w:rPr>
            <w:rFonts w:cs="Arial"/>
            <w:color w:val="0000FF"/>
            <w:u w:val="single"/>
          </w:rPr>
          <w:t>7784</w:t>
        </w:r>
      </w:hyperlink>
      <w:r w:rsidRPr="001C63E0">
        <w:rPr>
          <w:rFonts w:cs="Arial"/>
        </w:rPr>
        <w:t xml:space="preserve"> (p. 6) si rimarca a tal proposito – finalmente in maniera chiara da parte del Consiglio di Stato (anche se con otto anni di ritardo) – che «</w:t>
      </w:r>
      <w:r w:rsidRPr="001C63E0">
        <w:rPr>
          <w:rFonts w:cs="Arial"/>
          <w:i/>
        </w:rPr>
        <w:t>le aspettative pensionistiche degli assicurati attivi</w:t>
      </w:r>
      <w:r w:rsidRPr="001C63E0">
        <w:rPr>
          <w:rFonts w:cs="Arial"/>
        </w:rPr>
        <w:t>» non beneficianti delle garanzie, con «</w:t>
      </w:r>
      <w:r w:rsidRPr="001C63E0">
        <w:rPr>
          <w:rFonts w:cs="Arial"/>
          <w:i/>
        </w:rPr>
        <w:t>il passaggio al piano in primato dei contributi, rispetto al piano in primato delle prestazioni</w:t>
      </w:r>
      <w:r w:rsidRPr="001C63E0">
        <w:rPr>
          <w:rFonts w:cs="Arial"/>
        </w:rPr>
        <w:t>», si sono «</w:t>
      </w:r>
      <w:r w:rsidRPr="001C63E0">
        <w:rPr>
          <w:rFonts w:cs="Arial"/>
          <w:i/>
        </w:rPr>
        <w:t>ridotte in media del 20%, con particolari ripercussioni nel caso di pensionamento anticipato</w:t>
      </w:r>
      <w:r w:rsidRPr="001C63E0">
        <w:rPr>
          <w:rFonts w:cs="Arial"/>
        </w:rPr>
        <w:t>».</w:t>
      </w:r>
    </w:p>
    <w:p w:rsidR="001C63E0" w:rsidRPr="001C63E0" w:rsidRDefault="001C63E0" w:rsidP="001C63E0">
      <w:pPr>
        <w:spacing w:before="120"/>
        <w:rPr>
          <w:rFonts w:cs="Arial"/>
        </w:rPr>
      </w:pPr>
      <w:r w:rsidRPr="001C63E0">
        <w:rPr>
          <w:rFonts w:cs="Arial"/>
        </w:rPr>
        <w:t xml:space="preserve">In tal senso si reputa inaccettabile l’affermazione presente a p. 7 del messaggio n. </w:t>
      </w:r>
      <w:hyperlink r:id="rId22" w:history="1">
        <w:r w:rsidRPr="001C63E0">
          <w:rPr>
            <w:rFonts w:cs="Arial"/>
            <w:color w:val="0000FF"/>
            <w:u w:val="single"/>
          </w:rPr>
          <w:t>7784</w:t>
        </w:r>
      </w:hyperlink>
      <w:r w:rsidRPr="001C63E0">
        <w:rPr>
          <w:rFonts w:cs="Arial"/>
        </w:rPr>
        <w:t xml:space="preserve"> secondo cui la «</w:t>
      </w:r>
      <w:r w:rsidRPr="001C63E0">
        <w:rPr>
          <w:rFonts w:cs="Arial"/>
          <w:i/>
        </w:rPr>
        <w:t>riforma dell’IPCT […] ha toccato tutti gli attori in gioco (assicurati, pensionati, enti affiliati e Stato) in modo molto incisivo</w:t>
      </w:r>
      <w:r w:rsidRPr="001C63E0">
        <w:rPr>
          <w:rFonts w:cs="Arial"/>
        </w:rPr>
        <w:t xml:space="preserve">»: di sicuro ha toccato in maniera incisiva il Cantone e gli enti affiliati (quindi i contribuenti), ma non i pensionati né gli assicurati attivi che al 31 dicembre 2012 avevano 50 anni; e si tratta di un numero non certo irrisorio. In effetti, consultando semplicemente il </w:t>
      </w:r>
      <w:hyperlink r:id="rId23" w:history="1">
        <w:r w:rsidRPr="001C63E0">
          <w:rPr>
            <w:rFonts w:cs="Arial"/>
            <w:color w:val="0000FF"/>
            <w:u w:val="single"/>
          </w:rPr>
          <w:t>Rendiconto annuale 2012</w:t>
        </w:r>
      </w:hyperlink>
      <w:r w:rsidRPr="001C63E0">
        <w:rPr>
          <w:rFonts w:cs="Arial"/>
        </w:rPr>
        <w:t xml:space="preserve"> dell’IPCT, si evince – non chiaramente perché questo dato è in qualche modo "nascosto" – che al 31 dicembre 2012 vi erano 7’002 «</w:t>
      </w:r>
      <w:r w:rsidRPr="001C63E0">
        <w:rPr>
          <w:rFonts w:cs="Arial"/>
          <w:i/>
        </w:rPr>
        <w:t>beneficiari di rendita</w:t>
      </w:r>
      <w:r w:rsidRPr="001C63E0">
        <w:rPr>
          <w:rFonts w:cs="Arial"/>
        </w:rPr>
        <w:t>», cioè pensionati, e 14’571 «</w:t>
      </w:r>
      <w:r w:rsidRPr="001C63E0">
        <w:rPr>
          <w:rFonts w:cs="Arial"/>
          <w:i/>
        </w:rPr>
        <w:t>assicurati attivi</w:t>
      </w:r>
      <w:r w:rsidRPr="001C63E0">
        <w:rPr>
          <w:rFonts w:cs="Arial"/>
        </w:rPr>
        <w:t xml:space="preserve">», dei quali </w:t>
      </w:r>
      <w:r w:rsidRPr="001C63E0">
        <w:rPr>
          <w:rFonts w:cs="Arial"/>
        </w:rPr>
        <w:lastRenderedPageBreak/>
        <w:t>poco meno di 5’000 beneficianti delle garanzie di pensione</w:t>
      </w:r>
      <w:r w:rsidRPr="001C63E0">
        <w:rPr>
          <w:rFonts w:cs="Arial"/>
          <w:vertAlign w:val="superscript"/>
        </w:rPr>
        <w:footnoteReference w:id="17"/>
      </w:r>
      <w:r w:rsidRPr="001C63E0">
        <w:rPr>
          <w:rFonts w:cs="Arial"/>
        </w:rPr>
        <w:t xml:space="preserve"> (ossia che avevano più di 50 anni). Il calcolo è presto fatto: su un totale di 21’573 affiliati all’IPCT a quel momento, lo sforzo di risanamento è ricaduto integralmente su circa 9’600 persone, pari al 44% degli affiliati all’IPCT. L’unico aspetto che relativizza in parte quanto precede consiste nella </w:t>
      </w:r>
      <w:r w:rsidRPr="001C63E0">
        <w:rPr>
          <w:rFonts w:cs="Arial"/>
          <w:lang w:val="it-IT" w:eastAsia="it-IT"/>
        </w:rPr>
        <w:t>riduzione delle pensioni vedovili in aspettativa in capo ai pensionati dell’IPCT.</w:t>
      </w:r>
    </w:p>
    <w:p w:rsidR="001C63E0" w:rsidRPr="001C63E0" w:rsidRDefault="001C63E0" w:rsidP="00EC5775">
      <w:pPr>
        <w:rPr>
          <w:rFonts w:cs="Arial"/>
        </w:rPr>
      </w:pPr>
    </w:p>
    <w:p w:rsidR="001C63E0" w:rsidRPr="001C63E0" w:rsidRDefault="001C63E0" w:rsidP="00EC5775">
      <w:pPr>
        <w:pStyle w:val="Titolo3"/>
      </w:pPr>
      <w:bookmarkStart w:id="32" w:name="_Toc98976092"/>
      <w:r w:rsidRPr="001C63E0">
        <w:t>1.2.4</w:t>
      </w:r>
      <w:r w:rsidRPr="001C63E0">
        <w:tab/>
        <w:t xml:space="preserve">Nuova ripartizione dei contributi tra affiliati attivi e datori di lavoro dal 1° gennaio </w:t>
      </w:r>
      <w:r w:rsidR="00AA023B">
        <w:tab/>
      </w:r>
      <w:r w:rsidRPr="001C63E0">
        <w:t>2013</w:t>
      </w:r>
      <w:bookmarkEnd w:id="32"/>
    </w:p>
    <w:p w:rsidR="001C63E0" w:rsidRPr="001C63E0" w:rsidRDefault="001C63E0" w:rsidP="001C63E0">
      <w:pPr>
        <w:spacing w:before="120"/>
        <w:rPr>
          <w:rFonts w:cs="Arial"/>
        </w:rPr>
      </w:pPr>
      <w:r w:rsidRPr="001C63E0">
        <w:rPr>
          <w:rFonts w:cs="Arial"/>
          <w:u w:val="single"/>
        </w:rPr>
        <w:t>A carico degli assicurati</w:t>
      </w:r>
      <w:r w:rsidRPr="001C63E0">
        <w:rPr>
          <w:rFonts w:cs="Arial"/>
        </w:rPr>
        <w:t xml:space="preserve"> i contributi ammontano all’11.5%, di cui il 10.5% di contributo ordinario e l’1% di contributo di risanamento (non computabile nella </w:t>
      </w:r>
      <w:r w:rsidRPr="001C63E0">
        <w:rPr>
          <w:rFonts w:cs="Arial"/>
          <w:szCs w:val="24"/>
        </w:rPr>
        <w:t>prestazione di libero passaggio</w:t>
      </w:r>
      <w:r w:rsidRPr="001C63E0">
        <w:rPr>
          <w:rFonts w:cs="Arial"/>
        </w:rPr>
        <w:t xml:space="preserve">), mentre </w:t>
      </w:r>
      <w:r w:rsidRPr="001C63E0">
        <w:rPr>
          <w:rFonts w:cs="Arial"/>
          <w:u w:val="single"/>
        </w:rPr>
        <w:t>a carico dei datori di lavoro</w:t>
      </w:r>
      <w:r w:rsidRPr="001C63E0">
        <w:rPr>
          <w:rFonts w:cs="Arial"/>
        </w:rPr>
        <w:t xml:space="preserve"> i contributi sono pari al 17.6% (11.6% di contributo ordinario, 4% di contributo straordinario e 2% di contributo di risanamento).</w:t>
      </w:r>
    </w:p>
    <w:p w:rsidR="001C63E0" w:rsidRPr="001C63E0" w:rsidRDefault="001C63E0" w:rsidP="001C63E0">
      <w:pPr>
        <w:spacing w:before="120"/>
        <w:rPr>
          <w:rFonts w:cs="Arial"/>
        </w:rPr>
      </w:pPr>
      <w:r w:rsidRPr="001C63E0">
        <w:rPr>
          <w:rFonts w:cs="Arial"/>
        </w:rPr>
        <w:t xml:space="preserve">A fare stato è l’art. 11 ["Contributi ordinari, straordinari, contributi di risanamento, ammontare e ripartizione"] </w:t>
      </w:r>
      <w:hyperlink r:id="rId24" w:history="1">
        <w:r w:rsidRPr="001C63E0">
          <w:rPr>
            <w:rFonts w:cs="Arial"/>
            <w:color w:val="0000FF"/>
            <w:u w:val="single"/>
          </w:rPr>
          <w:t>Legge sull’Istituto di previdenza del Cantone Ticino</w:t>
        </w:r>
      </w:hyperlink>
    </w:p>
    <w:p w:rsidR="001C63E0" w:rsidRPr="001C63E0" w:rsidRDefault="001C63E0" w:rsidP="001C63E0">
      <w:pPr>
        <w:spacing w:before="120"/>
        <w:ind w:left="567" w:right="567"/>
        <w:rPr>
          <w:rFonts w:cs="Arial"/>
          <w:sz w:val="22"/>
        </w:rPr>
      </w:pPr>
      <w:r w:rsidRPr="001C63E0">
        <w:rPr>
          <w:rFonts w:cs="Arial"/>
          <w:sz w:val="22"/>
          <w:vertAlign w:val="superscript"/>
        </w:rPr>
        <w:t>1</w:t>
      </w:r>
      <w:r w:rsidRPr="001C63E0">
        <w:rPr>
          <w:rFonts w:cs="Arial"/>
          <w:sz w:val="22"/>
        </w:rPr>
        <w:t>L’Istituto di previdenza preleva dagli assicurati e dai datori di lavoro i contributi necessari a finanziare le pensioni e le prestazioni previste dalla presente legge, le spese amministrative e il fondo di garanzia LPP.</w:t>
      </w:r>
    </w:p>
    <w:p w:rsidR="001C63E0" w:rsidRPr="001C63E0" w:rsidRDefault="001C63E0" w:rsidP="001C63E0">
      <w:pPr>
        <w:spacing w:before="120"/>
        <w:ind w:left="567" w:right="567"/>
        <w:rPr>
          <w:rFonts w:cs="Arial"/>
          <w:sz w:val="22"/>
        </w:rPr>
      </w:pPr>
      <w:r w:rsidRPr="001C63E0">
        <w:rPr>
          <w:rFonts w:cs="Arial"/>
          <w:sz w:val="22"/>
          <w:vertAlign w:val="superscript"/>
        </w:rPr>
        <w:t>2</w:t>
      </w:r>
      <w:r w:rsidRPr="001C63E0">
        <w:rPr>
          <w:rFonts w:cs="Arial"/>
          <w:sz w:val="22"/>
        </w:rPr>
        <w:t xml:space="preserve">Il </w:t>
      </w:r>
      <w:r w:rsidRPr="001C63E0">
        <w:rPr>
          <w:rFonts w:cs="Arial"/>
          <w:sz w:val="22"/>
          <w:u w:val="single"/>
        </w:rPr>
        <w:t>contributo ordinario</w:t>
      </w:r>
      <w:r w:rsidRPr="001C63E0">
        <w:rPr>
          <w:rFonts w:cs="Arial"/>
          <w:sz w:val="22"/>
        </w:rPr>
        <w:t xml:space="preserve"> totale è pari al 22.1%, dello stipendio assicurato, di cui l’11.6% a carico dei datori di lavoro e il 10.5% a carico degli assicurati.</w:t>
      </w:r>
    </w:p>
    <w:p w:rsidR="001C63E0" w:rsidRPr="001C63E0" w:rsidRDefault="001C63E0" w:rsidP="001C63E0">
      <w:pPr>
        <w:spacing w:before="120"/>
        <w:ind w:left="567" w:right="567"/>
        <w:rPr>
          <w:rFonts w:cs="Arial"/>
          <w:sz w:val="22"/>
        </w:rPr>
      </w:pPr>
      <w:r w:rsidRPr="001C63E0">
        <w:rPr>
          <w:rFonts w:cs="Arial"/>
          <w:sz w:val="22"/>
          <w:vertAlign w:val="superscript"/>
        </w:rPr>
        <w:t>3</w:t>
      </w:r>
      <w:r w:rsidRPr="001C63E0">
        <w:rPr>
          <w:rFonts w:cs="Arial"/>
          <w:sz w:val="22"/>
        </w:rPr>
        <w:t xml:space="preserve">Il </w:t>
      </w:r>
      <w:r w:rsidRPr="001C63E0">
        <w:rPr>
          <w:rFonts w:cs="Arial"/>
          <w:sz w:val="22"/>
          <w:u w:val="single"/>
        </w:rPr>
        <w:t>contributo straordinario</w:t>
      </w:r>
      <w:r w:rsidRPr="001C63E0">
        <w:rPr>
          <w:rFonts w:cs="Arial"/>
          <w:sz w:val="22"/>
        </w:rPr>
        <w:t xml:space="preserve"> è del 4% dello stipendio assicurato ed è a carico dei datori di lavoro.</w:t>
      </w:r>
    </w:p>
    <w:p w:rsidR="001C63E0" w:rsidRPr="001C63E0" w:rsidRDefault="001C63E0" w:rsidP="001C63E0">
      <w:pPr>
        <w:spacing w:before="120"/>
        <w:ind w:left="567" w:right="567"/>
        <w:rPr>
          <w:rFonts w:cs="Arial"/>
          <w:sz w:val="22"/>
        </w:rPr>
      </w:pPr>
      <w:r w:rsidRPr="001C63E0">
        <w:rPr>
          <w:rFonts w:cs="Arial"/>
          <w:sz w:val="22"/>
          <w:vertAlign w:val="superscript"/>
        </w:rPr>
        <w:t>4</w:t>
      </w:r>
      <w:r w:rsidRPr="001C63E0">
        <w:rPr>
          <w:rFonts w:cs="Arial"/>
          <w:sz w:val="22"/>
        </w:rPr>
        <w:t>Per gli assicurati con meno di 20 anni sono prelevati solo i premi per l’assicurazione contro i rischi di invalidità e decesso, pari allo 0.9% dello stipendio assicurato per gli assicurati e allo 1.3% per i datori di lavoro.</w:t>
      </w:r>
    </w:p>
    <w:p w:rsidR="001C63E0" w:rsidRPr="001C63E0" w:rsidRDefault="001C63E0" w:rsidP="001C63E0">
      <w:pPr>
        <w:spacing w:before="120"/>
        <w:ind w:left="567" w:right="567"/>
        <w:rPr>
          <w:rFonts w:cs="Arial"/>
          <w:sz w:val="22"/>
        </w:rPr>
      </w:pPr>
      <w:r w:rsidRPr="001C63E0">
        <w:rPr>
          <w:rFonts w:cs="Arial"/>
          <w:sz w:val="22"/>
          <w:vertAlign w:val="superscript"/>
        </w:rPr>
        <w:t>5</w:t>
      </w:r>
      <w:r w:rsidRPr="001C63E0">
        <w:rPr>
          <w:rFonts w:cs="Arial"/>
          <w:sz w:val="22"/>
        </w:rPr>
        <w:t xml:space="preserve">Il </w:t>
      </w:r>
      <w:r w:rsidRPr="001C63E0">
        <w:rPr>
          <w:rFonts w:cs="Arial"/>
          <w:sz w:val="22"/>
          <w:u w:val="single"/>
        </w:rPr>
        <w:t>contributo di risanamento</w:t>
      </w:r>
      <w:r w:rsidRPr="001C63E0">
        <w:rPr>
          <w:rFonts w:cs="Arial"/>
          <w:sz w:val="22"/>
        </w:rPr>
        <w:t xml:space="preserve"> sullo stipendio assicurato </w:t>
      </w:r>
      <w:r w:rsidRPr="001C63E0">
        <w:rPr>
          <w:rFonts w:cs="Arial"/>
          <w:sz w:val="22"/>
          <w:u w:val="single"/>
        </w:rPr>
        <w:t>a carico dei datori di lavoro</w:t>
      </w:r>
      <w:r w:rsidRPr="001C63E0">
        <w:rPr>
          <w:rFonts w:cs="Arial"/>
          <w:sz w:val="22"/>
        </w:rPr>
        <w:t xml:space="preserve"> corrisponde al 2% degli stipendi assicurati ed è versato dall’entrata in vigore della legge e fino al 31.12.2051.</w:t>
      </w:r>
    </w:p>
    <w:p w:rsidR="001C63E0" w:rsidRPr="001C63E0" w:rsidRDefault="001C63E0" w:rsidP="001C63E0">
      <w:pPr>
        <w:spacing w:before="120"/>
        <w:ind w:left="567" w:right="567"/>
        <w:rPr>
          <w:rFonts w:cs="Arial"/>
          <w:sz w:val="22"/>
        </w:rPr>
      </w:pPr>
      <w:r w:rsidRPr="001C63E0">
        <w:rPr>
          <w:rFonts w:cs="Arial"/>
          <w:sz w:val="22"/>
          <w:vertAlign w:val="superscript"/>
        </w:rPr>
        <w:t>6</w:t>
      </w:r>
      <w:r w:rsidRPr="001C63E0">
        <w:rPr>
          <w:rFonts w:cs="Arial"/>
          <w:sz w:val="22"/>
        </w:rPr>
        <w:t xml:space="preserve">Il </w:t>
      </w:r>
      <w:r w:rsidRPr="001C63E0">
        <w:rPr>
          <w:rFonts w:cs="Arial"/>
          <w:sz w:val="22"/>
          <w:u w:val="single"/>
        </w:rPr>
        <w:t>contributo di risanamento</w:t>
      </w:r>
      <w:r w:rsidRPr="001C63E0">
        <w:rPr>
          <w:rFonts w:cs="Arial"/>
          <w:sz w:val="22"/>
        </w:rPr>
        <w:t xml:space="preserve"> </w:t>
      </w:r>
      <w:r w:rsidRPr="001C63E0">
        <w:rPr>
          <w:rFonts w:cs="Arial"/>
          <w:sz w:val="22"/>
          <w:u w:val="single"/>
        </w:rPr>
        <w:t>a carico degli assicurati</w:t>
      </w:r>
      <w:r w:rsidRPr="001C63E0">
        <w:rPr>
          <w:rFonts w:cs="Arial"/>
          <w:sz w:val="22"/>
        </w:rPr>
        <w:t xml:space="preserve"> corrisponde all’1% dello stipendio assicurato. Il contributo di risanamento non viene considerato nei contributi personali determinanti per il calcolo della prestazione di libero passaggio secondo l’art. 17 della legge federale sul libero passaggio nella previdenza professionale per la vecchiaia, i superstiti e l’invalidità del 17 dicembre 1993.</w:t>
      </w:r>
    </w:p>
    <w:p w:rsidR="001C63E0" w:rsidRPr="001C63E0" w:rsidRDefault="001C63E0" w:rsidP="001C63E0">
      <w:pPr>
        <w:spacing w:before="120"/>
        <w:ind w:left="567" w:right="567"/>
        <w:rPr>
          <w:rFonts w:cs="Arial"/>
          <w:sz w:val="22"/>
        </w:rPr>
      </w:pPr>
      <w:r w:rsidRPr="001C63E0">
        <w:rPr>
          <w:rFonts w:cs="Arial"/>
          <w:sz w:val="22"/>
          <w:vertAlign w:val="superscript"/>
        </w:rPr>
        <w:t>7</w:t>
      </w:r>
      <w:r w:rsidRPr="001C63E0">
        <w:rPr>
          <w:rFonts w:cs="Arial"/>
          <w:sz w:val="22"/>
        </w:rPr>
        <w:t>L’Istituto di previdenza preleva i contributi sino al compimento dei 65 anni di età degli assicurati.</w:t>
      </w:r>
    </w:p>
    <w:p w:rsidR="001C63E0" w:rsidRPr="001C63E0" w:rsidRDefault="001C63E0" w:rsidP="001C63E0">
      <w:pPr>
        <w:spacing w:before="120"/>
        <w:rPr>
          <w:rFonts w:cs="Arial"/>
        </w:rPr>
      </w:pPr>
      <w:r w:rsidRPr="001C63E0">
        <w:rPr>
          <w:rFonts w:cs="Arial"/>
        </w:rPr>
        <w:t>Al riguardo, in occasione dell’audizione tenutasi in seno alla Sottocommissione "Finanze" martedì 21 luglio 2020, il neo Direttore dell’IPCT Daniele Rotanzi, rispondendo a una domanda sulle prospettive pensionistiche che avrebbero gli affiliati ancora attivi che non beneficiano delle garanzie, ha affermato in modo molto trasparente quanto segue:</w:t>
      </w:r>
    </w:p>
    <w:p w:rsidR="001C63E0" w:rsidRPr="001C63E0" w:rsidRDefault="001C63E0" w:rsidP="001C63E0">
      <w:pPr>
        <w:spacing w:before="120"/>
        <w:ind w:left="567" w:right="567"/>
        <w:rPr>
          <w:rFonts w:cs="Arial"/>
          <w:sz w:val="22"/>
        </w:rPr>
      </w:pPr>
      <w:r w:rsidRPr="001C63E0">
        <w:rPr>
          <w:rFonts w:cs="Arial"/>
          <w:sz w:val="22"/>
        </w:rPr>
        <w:t>«</w:t>
      </w:r>
      <w:r w:rsidRPr="001C63E0">
        <w:rPr>
          <w:rFonts w:cs="Arial"/>
          <w:i/>
          <w:sz w:val="22"/>
        </w:rPr>
        <w:t xml:space="preserve">prendendo a titolo di esempio la </w:t>
      </w:r>
      <w:hyperlink r:id="rId25" w:history="1">
        <w:r w:rsidRPr="001C63E0">
          <w:rPr>
            <w:rFonts w:cs="Arial"/>
            <w:i/>
            <w:color w:val="0000FF"/>
            <w:sz w:val="22"/>
            <w:u w:val="single"/>
          </w:rPr>
          <w:t>Cassa pensioni di Lugano</w:t>
        </w:r>
      </w:hyperlink>
      <w:r w:rsidRPr="001C63E0">
        <w:rPr>
          <w:rFonts w:cs="Arial"/>
          <w:i/>
          <w:sz w:val="22"/>
        </w:rPr>
        <w:t xml:space="preserve"> o il </w:t>
      </w:r>
      <w:hyperlink r:id="rId26" w:history="1">
        <w:r w:rsidRPr="001C63E0">
          <w:rPr>
            <w:rFonts w:cs="Arial"/>
            <w:i/>
            <w:color w:val="0000FF"/>
            <w:sz w:val="22"/>
            <w:u w:val="single"/>
          </w:rPr>
          <w:t>Fondo di Previdenza per il Personale EOC</w:t>
        </w:r>
      </w:hyperlink>
      <w:r w:rsidRPr="001C63E0">
        <w:rPr>
          <w:rFonts w:cs="Arial"/>
          <w:i/>
          <w:sz w:val="22"/>
        </w:rPr>
        <w:t>, ma guardando anche ad altre casse pensioni, penso di poter dire che, a livello di prestazioni erogate, l’IPCT sia attualmente nella media. Per contro è sicuramente sotto la media rispetto a quanto si paga: il contributo totale è del 29.1%, ma il 7% dello stesso (di cui però solo l’1% a carico degli assicurati) – cioè più di un quarto – è destinato al risanamento, invece di andare a risparmio. L’IPCT ha veramente il fardello enorme dei contributi di risanamento.</w:t>
      </w:r>
    </w:p>
    <w:p w:rsidR="001C63E0" w:rsidRPr="001C63E0" w:rsidRDefault="001C63E0" w:rsidP="001C63E0">
      <w:pPr>
        <w:spacing w:before="120"/>
        <w:ind w:left="567" w:right="567"/>
        <w:rPr>
          <w:rFonts w:cs="Arial"/>
          <w:sz w:val="22"/>
        </w:rPr>
      </w:pPr>
      <w:r w:rsidRPr="001C63E0">
        <w:rPr>
          <w:rFonts w:cs="Arial"/>
          <w:i/>
          <w:sz w:val="22"/>
        </w:rPr>
        <w:lastRenderedPageBreak/>
        <w:t>Oltretutto esiste anche la stortura secondo cui i contributi sono uguali indipendentemente dall’età, mentre gli accrediti di vecchiaia aumentano con l’età</w:t>
      </w:r>
      <w:r w:rsidRPr="001C63E0">
        <w:rPr>
          <w:rFonts w:cs="Arial"/>
          <w:i/>
          <w:sz w:val="22"/>
          <w:vertAlign w:val="superscript"/>
        </w:rPr>
        <w:footnoteReference w:id="18"/>
      </w:r>
      <w:r w:rsidRPr="001C63E0">
        <w:rPr>
          <w:rFonts w:cs="Arial"/>
          <w:i/>
          <w:sz w:val="22"/>
        </w:rPr>
        <w:t>. Ad esempio un trentenne versa l’11.5%, il suo datore di lavoro il 17.6%, ma riceve solo il 13%; invece un sessantenne paga lo stesso, ma percepisce il</w:t>
      </w:r>
      <w:r w:rsidRPr="001C63E0">
        <w:rPr>
          <w:rFonts w:cs="Arial"/>
          <w:sz w:val="22"/>
        </w:rPr>
        <w:t xml:space="preserve"> </w:t>
      </w:r>
      <w:r w:rsidRPr="001C63E0">
        <w:rPr>
          <w:rFonts w:cs="Arial"/>
          <w:i/>
          <w:sz w:val="22"/>
        </w:rPr>
        <w:t>22%. Questo accentua ancora di più il problema della ridistribuzione tra giovani e meno giovani generazioni</w:t>
      </w:r>
      <w:r w:rsidRPr="001C63E0">
        <w:rPr>
          <w:rFonts w:cs="Arial"/>
          <w:sz w:val="22"/>
        </w:rPr>
        <w:t>»</w:t>
      </w:r>
      <w:r w:rsidRPr="001C63E0">
        <w:rPr>
          <w:rFonts w:cs="Arial"/>
          <w:sz w:val="22"/>
          <w:vertAlign w:val="superscript"/>
        </w:rPr>
        <w:footnoteReference w:id="19"/>
      </w:r>
      <w:r w:rsidRPr="001C63E0">
        <w:rPr>
          <w:rFonts w:cs="Arial"/>
          <w:sz w:val="22"/>
        </w:rPr>
        <w:t>.</w:t>
      </w:r>
    </w:p>
    <w:p w:rsidR="001C63E0" w:rsidRPr="001C63E0" w:rsidRDefault="001C63E0" w:rsidP="00EC5775">
      <w:pPr>
        <w:rPr>
          <w:rFonts w:cs="Arial"/>
        </w:rPr>
      </w:pPr>
    </w:p>
    <w:p w:rsidR="001C63E0" w:rsidRPr="002E2298" w:rsidRDefault="001C63E0" w:rsidP="002E2298">
      <w:pPr>
        <w:keepNext/>
        <w:tabs>
          <w:tab w:val="left" w:pos="709"/>
        </w:tabs>
        <w:spacing w:after="120"/>
        <w:ind w:left="709" w:hanging="709"/>
        <w:outlineLvl w:val="2"/>
        <w:rPr>
          <w:rFonts w:cs="Arial"/>
          <w:b/>
          <w:i/>
          <w:szCs w:val="24"/>
          <w:lang w:val="it-IT" w:eastAsia="it-IT"/>
        </w:rPr>
      </w:pPr>
      <w:bookmarkStart w:id="33" w:name="_Toc98976093"/>
      <w:r w:rsidRPr="002E2298">
        <w:rPr>
          <w:rFonts w:cs="Arial"/>
          <w:b/>
          <w:i/>
          <w:szCs w:val="24"/>
          <w:lang w:val="it-IT" w:eastAsia="it-IT"/>
        </w:rPr>
        <w:t>1.2.5</w:t>
      </w:r>
      <w:r w:rsidRPr="002E2298">
        <w:rPr>
          <w:rFonts w:cs="Arial"/>
          <w:b/>
          <w:i/>
          <w:szCs w:val="24"/>
          <w:lang w:val="it-IT" w:eastAsia="it-IT"/>
        </w:rPr>
        <w:tab/>
        <w:t>Nuova suddivisione delle competenze tra IPCT (Consiglio di amministrazione) e Gran Consiglio dal 1° gennaio 2013</w:t>
      </w:r>
      <w:bookmarkEnd w:id="33"/>
    </w:p>
    <w:p w:rsidR="001C63E0" w:rsidRPr="001C63E0" w:rsidRDefault="001C63E0" w:rsidP="001C63E0">
      <w:pPr>
        <w:spacing w:before="120"/>
        <w:rPr>
          <w:rFonts w:cs="Arial"/>
        </w:rPr>
      </w:pPr>
      <w:r w:rsidRPr="001C63E0">
        <w:rPr>
          <w:rFonts w:cs="Arial"/>
        </w:rPr>
        <w:t>La situazione determinatasi a seguito delle nuove disposizioni federali, aventi l’obiettivo di rendere le corporazioni di diritto pubblico indipendenti dall’ente pubblico, ha di fatto stabilito che:</w:t>
      </w:r>
    </w:p>
    <w:p w:rsidR="001C63E0" w:rsidRPr="001C63E0" w:rsidRDefault="001C63E0" w:rsidP="001C63E0">
      <w:pPr>
        <w:tabs>
          <w:tab w:val="left" w:pos="426"/>
        </w:tabs>
        <w:spacing w:before="40"/>
        <w:ind w:left="426" w:hanging="426"/>
        <w:rPr>
          <w:rFonts w:cs="Arial"/>
        </w:rPr>
      </w:pPr>
      <w:r w:rsidRPr="001C63E0">
        <w:rPr>
          <w:rFonts w:cs="Arial"/>
        </w:rPr>
        <w:t>-</w:t>
      </w:r>
      <w:r w:rsidRPr="001C63E0">
        <w:rPr>
          <w:rFonts w:cs="Arial"/>
        </w:rPr>
        <w:tab/>
        <w:t>da una parte, il Consiglio di amministrazione dell’IPCT è competente per la fissazione delle prestazioni previdenziali (sia del tasso di interesse sugli averi di vecchiaia sia delle rendite)</w:t>
      </w:r>
      <w:r w:rsidRPr="001C63E0">
        <w:rPr>
          <w:rFonts w:cs="Arial"/>
          <w:vertAlign w:val="superscript"/>
        </w:rPr>
        <w:footnoteReference w:id="20"/>
      </w:r>
      <w:r w:rsidRPr="001C63E0">
        <w:rPr>
          <w:rFonts w:cs="Arial"/>
        </w:rPr>
        <w:t>, così come per l’approvazione dei conti, che prima spettava al Parlamento cantonale;</w:t>
      </w:r>
    </w:p>
    <w:p w:rsidR="001C63E0" w:rsidRPr="001C63E0" w:rsidRDefault="001C63E0" w:rsidP="002E2298">
      <w:pPr>
        <w:tabs>
          <w:tab w:val="left" w:pos="426"/>
        </w:tabs>
        <w:spacing w:before="100"/>
        <w:ind w:left="425" w:hanging="425"/>
        <w:rPr>
          <w:rFonts w:cs="Arial"/>
        </w:rPr>
      </w:pPr>
      <w:r w:rsidRPr="001C63E0">
        <w:rPr>
          <w:rFonts w:cs="Arial"/>
        </w:rPr>
        <w:t>-</w:t>
      </w:r>
      <w:r w:rsidRPr="001C63E0">
        <w:rPr>
          <w:rFonts w:cs="Arial"/>
        </w:rPr>
        <w:tab/>
        <w:t>dall’altra, il Gran Consiglio è competente per la determinazione dei contributi previdenziali</w:t>
      </w:r>
      <w:r w:rsidRPr="001C63E0">
        <w:rPr>
          <w:rFonts w:cs="Arial"/>
          <w:vertAlign w:val="superscript"/>
        </w:rPr>
        <w:footnoteReference w:id="21"/>
      </w:r>
      <w:r w:rsidRPr="001C63E0">
        <w:rPr>
          <w:rFonts w:cs="Arial"/>
        </w:rPr>
        <w:t xml:space="preserve">. </w:t>
      </w:r>
    </w:p>
    <w:p w:rsidR="001C63E0" w:rsidRDefault="001C63E0" w:rsidP="00AA023B">
      <w:pPr>
        <w:rPr>
          <w:rFonts w:cs="Arial"/>
        </w:rPr>
      </w:pPr>
    </w:p>
    <w:p w:rsidR="00AA023B" w:rsidRPr="001C63E0" w:rsidRDefault="00AA023B" w:rsidP="00AA023B">
      <w:pPr>
        <w:rPr>
          <w:rFonts w:cs="Arial"/>
        </w:rPr>
      </w:pPr>
    </w:p>
    <w:p w:rsidR="001C63E0" w:rsidRPr="001C63E0" w:rsidRDefault="001C63E0" w:rsidP="00AA023B">
      <w:pPr>
        <w:keepNext/>
        <w:tabs>
          <w:tab w:val="left" w:pos="709"/>
        </w:tabs>
        <w:ind w:left="709" w:hanging="709"/>
        <w:outlineLvl w:val="0"/>
        <w:rPr>
          <w:rFonts w:cs="Arial"/>
          <w:b/>
          <w:szCs w:val="24"/>
          <w:lang w:val="it-IT" w:eastAsia="it-IT"/>
        </w:rPr>
      </w:pPr>
      <w:bookmarkStart w:id="34" w:name="_Toc98976094"/>
      <w:r w:rsidRPr="001C63E0">
        <w:rPr>
          <w:rFonts w:cs="Arial"/>
          <w:b/>
          <w:szCs w:val="24"/>
          <w:lang w:val="it-IT" w:eastAsia="it-IT"/>
        </w:rPr>
        <w:t>2.</w:t>
      </w:r>
      <w:r w:rsidRPr="001C63E0">
        <w:rPr>
          <w:rFonts w:cs="Arial"/>
          <w:b/>
          <w:szCs w:val="24"/>
          <w:lang w:val="it-IT" w:eastAsia="it-IT"/>
        </w:rPr>
        <w:tab/>
        <w:t>IL CONTRIBUTO INTEGRATIVO DI CHF 500 MILIONI RICHIESTO CON IL MESSAGGIO N. 7784</w:t>
      </w:r>
      <w:bookmarkEnd w:id="34"/>
    </w:p>
    <w:p w:rsidR="001C63E0" w:rsidRPr="001C63E0" w:rsidRDefault="001C63E0" w:rsidP="001C63E0">
      <w:pPr>
        <w:keepNext/>
        <w:tabs>
          <w:tab w:val="left" w:pos="709"/>
        </w:tabs>
        <w:spacing w:before="120"/>
        <w:ind w:left="360" w:hanging="360"/>
        <w:outlineLvl w:val="1"/>
        <w:rPr>
          <w:rFonts w:cs="Arial"/>
          <w:b/>
          <w:lang w:val="it-IT" w:eastAsia="it-IT"/>
        </w:rPr>
      </w:pPr>
      <w:bookmarkStart w:id="35" w:name="_Toc98976095"/>
      <w:r w:rsidRPr="001C63E0">
        <w:rPr>
          <w:rFonts w:cs="Arial"/>
          <w:b/>
          <w:lang w:val="it-IT" w:eastAsia="it-IT"/>
        </w:rPr>
        <w:t>2.1</w:t>
      </w:r>
      <w:r w:rsidRPr="001C63E0">
        <w:rPr>
          <w:rFonts w:cs="Arial"/>
          <w:b/>
          <w:lang w:val="it-IT" w:eastAsia="it-IT"/>
        </w:rPr>
        <w:tab/>
      </w:r>
      <w:r w:rsidR="00AA023B">
        <w:rPr>
          <w:rFonts w:cs="Arial"/>
          <w:b/>
          <w:lang w:val="it-IT" w:eastAsia="it-IT"/>
        </w:rPr>
        <w:tab/>
      </w:r>
      <w:r w:rsidRPr="001C63E0">
        <w:rPr>
          <w:rFonts w:cs="Arial"/>
          <w:b/>
          <w:lang w:val="it-IT" w:eastAsia="it-IT"/>
        </w:rPr>
        <w:t>Motivi di questa nuova immissione di denaro pubblico nell’IPCT</w:t>
      </w:r>
      <w:bookmarkEnd w:id="35"/>
    </w:p>
    <w:p w:rsidR="001C63E0" w:rsidRPr="002E2298" w:rsidRDefault="001C63E0" w:rsidP="001C63E0">
      <w:pPr>
        <w:spacing w:before="120"/>
        <w:rPr>
          <w:rFonts w:cs="Arial"/>
          <w:sz w:val="18"/>
          <w:szCs w:val="18"/>
        </w:rPr>
      </w:pPr>
    </w:p>
    <w:tbl>
      <w:tblPr>
        <w:tblW w:w="9584" w:type="dxa"/>
        <w:tblInd w:w="55" w:type="dxa"/>
        <w:tblCellMar>
          <w:left w:w="70" w:type="dxa"/>
          <w:right w:w="70" w:type="dxa"/>
        </w:tblCellMar>
        <w:tblLook w:val="04A0" w:firstRow="1" w:lastRow="0" w:firstColumn="1" w:lastColumn="0" w:noHBand="0" w:noVBand="1"/>
      </w:tblPr>
      <w:tblGrid>
        <w:gridCol w:w="1480"/>
        <w:gridCol w:w="1584"/>
        <w:gridCol w:w="1736"/>
        <w:gridCol w:w="1241"/>
        <w:gridCol w:w="1275"/>
        <w:gridCol w:w="993"/>
        <w:gridCol w:w="1275"/>
      </w:tblGrid>
      <w:tr w:rsidR="001C63E0" w:rsidRPr="001C63E0" w:rsidTr="00892579">
        <w:trPr>
          <w:trHeight w:val="1395"/>
        </w:trPr>
        <w:tc>
          <w:tcPr>
            <w:tcW w:w="1480" w:type="dxa"/>
            <w:tcBorders>
              <w:top w:val="single" w:sz="8" w:space="0" w:color="000000"/>
              <w:left w:val="nil"/>
              <w:bottom w:val="single" w:sz="8" w:space="0" w:color="000000"/>
              <w:right w:val="nil"/>
            </w:tcBorders>
            <w:shd w:val="clear" w:color="auto" w:fill="auto"/>
            <w:vAlign w:val="center"/>
            <w:hideMark/>
          </w:tcPr>
          <w:p w:rsidR="001C63E0" w:rsidRPr="001C63E0" w:rsidRDefault="001C63E0" w:rsidP="001C63E0">
            <w:pPr>
              <w:spacing w:before="120"/>
              <w:jc w:val="center"/>
              <w:rPr>
                <w:rFonts w:cs="Arial"/>
                <w:b/>
                <w:bCs/>
                <w:color w:val="000000"/>
                <w:sz w:val="20"/>
                <w:lang w:eastAsia="it-CH"/>
              </w:rPr>
            </w:pPr>
            <w:r w:rsidRPr="001C63E0">
              <w:rPr>
                <w:rFonts w:cs="Arial"/>
                <w:b/>
                <w:bCs/>
                <w:color w:val="000000"/>
                <w:sz w:val="20"/>
                <w:lang w:eastAsia="it-CH"/>
              </w:rPr>
              <w:t>Data</w:t>
            </w:r>
          </w:p>
        </w:tc>
        <w:tc>
          <w:tcPr>
            <w:tcW w:w="1584" w:type="dxa"/>
            <w:tcBorders>
              <w:top w:val="single" w:sz="8" w:space="0" w:color="000000"/>
              <w:left w:val="nil"/>
              <w:bottom w:val="single" w:sz="8" w:space="0" w:color="000000"/>
              <w:right w:val="nil"/>
            </w:tcBorders>
            <w:shd w:val="clear" w:color="auto" w:fill="auto"/>
            <w:vAlign w:val="center"/>
            <w:hideMark/>
          </w:tcPr>
          <w:p w:rsidR="001C63E0" w:rsidRPr="001C63E0" w:rsidRDefault="001C63E0" w:rsidP="001C63E0">
            <w:pPr>
              <w:spacing w:before="120"/>
              <w:jc w:val="center"/>
              <w:rPr>
                <w:rFonts w:cs="Arial"/>
                <w:b/>
                <w:bCs/>
                <w:color w:val="000000"/>
                <w:sz w:val="20"/>
                <w:lang w:eastAsia="it-CH"/>
              </w:rPr>
            </w:pPr>
            <w:r w:rsidRPr="001C63E0">
              <w:rPr>
                <w:rFonts w:cs="Arial"/>
                <w:b/>
                <w:bCs/>
                <w:color w:val="000000"/>
                <w:sz w:val="20"/>
                <w:lang w:eastAsia="it-CH"/>
              </w:rPr>
              <w:t>Impegni previsti dal piano di finanziamento (CHF mio)</w:t>
            </w:r>
          </w:p>
        </w:tc>
        <w:tc>
          <w:tcPr>
            <w:tcW w:w="1736" w:type="dxa"/>
            <w:tcBorders>
              <w:top w:val="single" w:sz="8" w:space="0" w:color="000000"/>
              <w:left w:val="nil"/>
              <w:bottom w:val="single" w:sz="8" w:space="0" w:color="000000"/>
              <w:right w:val="nil"/>
            </w:tcBorders>
            <w:shd w:val="clear" w:color="auto" w:fill="auto"/>
            <w:vAlign w:val="center"/>
            <w:hideMark/>
          </w:tcPr>
          <w:p w:rsidR="001C63E0" w:rsidRPr="001C63E0" w:rsidRDefault="001C63E0" w:rsidP="001C63E0">
            <w:pPr>
              <w:spacing w:before="120"/>
              <w:jc w:val="center"/>
              <w:rPr>
                <w:rFonts w:cs="Arial"/>
                <w:b/>
                <w:bCs/>
                <w:color w:val="000000"/>
                <w:sz w:val="20"/>
                <w:lang w:eastAsia="it-CH"/>
              </w:rPr>
            </w:pPr>
            <w:r w:rsidRPr="001C63E0">
              <w:rPr>
                <w:rFonts w:cs="Arial"/>
                <w:b/>
                <w:bCs/>
                <w:color w:val="000000"/>
                <w:sz w:val="20"/>
                <w:lang w:eastAsia="it-CH"/>
              </w:rPr>
              <w:t>Aumento cumulato previsto dal piano di finanziamento</w:t>
            </w:r>
          </w:p>
        </w:tc>
        <w:tc>
          <w:tcPr>
            <w:tcW w:w="1241" w:type="dxa"/>
            <w:tcBorders>
              <w:top w:val="single" w:sz="8" w:space="0" w:color="000000"/>
              <w:left w:val="nil"/>
              <w:bottom w:val="single" w:sz="8" w:space="0" w:color="000000"/>
              <w:right w:val="nil"/>
            </w:tcBorders>
            <w:shd w:val="clear" w:color="auto" w:fill="auto"/>
            <w:vAlign w:val="center"/>
            <w:hideMark/>
          </w:tcPr>
          <w:p w:rsidR="001C63E0" w:rsidRPr="001C63E0" w:rsidRDefault="001C63E0" w:rsidP="001C63E0">
            <w:pPr>
              <w:spacing w:before="120"/>
              <w:jc w:val="center"/>
              <w:rPr>
                <w:rFonts w:cs="Arial"/>
                <w:b/>
                <w:bCs/>
                <w:color w:val="000000"/>
                <w:sz w:val="20"/>
                <w:lang w:eastAsia="it-CH"/>
              </w:rPr>
            </w:pPr>
            <w:r w:rsidRPr="001C63E0">
              <w:rPr>
                <w:rFonts w:cs="Arial"/>
                <w:b/>
                <w:bCs/>
                <w:color w:val="000000"/>
                <w:sz w:val="20"/>
                <w:lang w:eastAsia="it-CH"/>
              </w:rPr>
              <w:t>Impegni effettivi (CHF mio)</w:t>
            </w:r>
          </w:p>
        </w:tc>
        <w:tc>
          <w:tcPr>
            <w:tcW w:w="1275" w:type="dxa"/>
            <w:tcBorders>
              <w:top w:val="single" w:sz="8" w:space="0" w:color="000000"/>
              <w:left w:val="nil"/>
              <w:bottom w:val="single" w:sz="8" w:space="0" w:color="000000"/>
              <w:right w:val="nil"/>
            </w:tcBorders>
            <w:shd w:val="clear" w:color="auto" w:fill="auto"/>
            <w:vAlign w:val="center"/>
            <w:hideMark/>
          </w:tcPr>
          <w:p w:rsidR="001C63E0" w:rsidRPr="001C63E0" w:rsidRDefault="001C63E0" w:rsidP="001C63E0">
            <w:pPr>
              <w:spacing w:before="120"/>
              <w:jc w:val="center"/>
              <w:rPr>
                <w:rFonts w:cs="Arial"/>
                <w:b/>
                <w:bCs/>
                <w:color w:val="000000"/>
                <w:sz w:val="20"/>
                <w:lang w:eastAsia="it-CH"/>
              </w:rPr>
            </w:pPr>
            <w:r w:rsidRPr="001C63E0">
              <w:rPr>
                <w:rFonts w:cs="Arial"/>
                <w:b/>
                <w:bCs/>
                <w:color w:val="000000"/>
                <w:sz w:val="20"/>
                <w:lang w:eastAsia="it-CH"/>
              </w:rPr>
              <w:t>Aumento cumulato effettivo</w:t>
            </w:r>
          </w:p>
        </w:tc>
        <w:tc>
          <w:tcPr>
            <w:tcW w:w="993" w:type="dxa"/>
            <w:tcBorders>
              <w:top w:val="single" w:sz="8" w:space="0" w:color="000000"/>
              <w:left w:val="nil"/>
              <w:bottom w:val="single" w:sz="8" w:space="0" w:color="000000"/>
              <w:right w:val="nil"/>
            </w:tcBorders>
            <w:shd w:val="clear" w:color="auto" w:fill="auto"/>
            <w:vAlign w:val="center"/>
            <w:hideMark/>
          </w:tcPr>
          <w:p w:rsidR="001C63E0" w:rsidRPr="001C63E0" w:rsidRDefault="001C63E0" w:rsidP="001C63E0">
            <w:pPr>
              <w:spacing w:before="120"/>
              <w:jc w:val="center"/>
              <w:rPr>
                <w:rFonts w:cs="Arial"/>
                <w:b/>
                <w:bCs/>
                <w:color w:val="000000"/>
                <w:sz w:val="20"/>
                <w:lang w:eastAsia="it-CH"/>
              </w:rPr>
            </w:pPr>
            <w:r w:rsidRPr="001C63E0">
              <w:rPr>
                <w:rFonts w:cs="Arial"/>
                <w:b/>
                <w:bCs/>
                <w:color w:val="000000"/>
                <w:sz w:val="20"/>
                <w:lang w:eastAsia="it-CH"/>
              </w:rPr>
              <w:t>Tasso tecnico</w:t>
            </w:r>
          </w:p>
        </w:tc>
        <w:tc>
          <w:tcPr>
            <w:tcW w:w="1275" w:type="dxa"/>
            <w:tcBorders>
              <w:top w:val="single" w:sz="8" w:space="0" w:color="000000"/>
              <w:left w:val="nil"/>
              <w:bottom w:val="single" w:sz="8" w:space="0" w:color="000000"/>
              <w:right w:val="nil"/>
            </w:tcBorders>
            <w:shd w:val="clear" w:color="auto" w:fill="auto"/>
            <w:vAlign w:val="center"/>
            <w:hideMark/>
          </w:tcPr>
          <w:p w:rsidR="001C63E0" w:rsidRPr="001C63E0" w:rsidRDefault="001C63E0" w:rsidP="001C63E0">
            <w:pPr>
              <w:spacing w:before="120"/>
              <w:jc w:val="center"/>
              <w:rPr>
                <w:rFonts w:cs="Arial"/>
                <w:b/>
                <w:bCs/>
                <w:color w:val="000000"/>
                <w:sz w:val="20"/>
                <w:lang w:eastAsia="it-CH"/>
              </w:rPr>
            </w:pPr>
            <w:r w:rsidRPr="001C63E0">
              <w:rPr>
                <w:rFonts w:cs="Arial"/>
                <w:b/>
                <w:bCs/>
                <w:color w:val="000000"/>
                <w:sz w:val="20"/>
                <w:lang w:eastAsia="it-CH"/>
              </w:rPr>
              <w:t>Tasso di interesse su avere di vecchiaia</w:t>
            </w:r>
          </w:p>
        </w:tc>
      </w:tr>
      <w:tr w:rsidR="001C63E0" w:rsidRPr="001C63E0" w:rsidTr="00892579">
        <w:trPr>
          <w:trHeight w:val="300"/>
        </w:trPr>
        <w:tc>
          <w:tcPr>
            <w:tcW w:w="1480" w:type="dxa"/>
            <w:tcBorders>
              <w:top w:val="nil"/>
              <w:left w:val="nil"/>
              <w:bottom w:val="nil"/>
              <w:right w:val="nil"/>
            </w:tcBorders>
            <w:shd w:val="clear" w:color="000000" w:fill="C0C0C0"/>
            <w:vAlign w:val="center"/>
            <w:hideMark/>
          </w:tcPr>
          <w:p w:rsidR="001C63E0" w:rsidRPr="001C63E0" w:rsidRDefault="001C63E0" w:rsidP="001C63E0">
            <w:pPr>
              <w:spacing w:before="120"/>
              <w:jc w:val="center"/>
              <w:rPr>
                <w:rFonts w:cs="Arial"/>
                <w:b/>
                <w:bCs/>
                <w:color w:val="000000"/>
                <w:sz w:val="20"/>
                <w:lang w:eastAsia="it-CH"/>
              </w:rPr>
            </w:pPr>
            <w:r w:rsidRPr="001C63E0">
              <w:rPr>
                <w:rFonts w:cs="Arial"/>
                <w:b/>
                <w:bCs/>
                <w:color w:val="000000"/>
                <w:sz w:val="20"/>
                <w:lang w:eastAsia="it-CH"/>
              </w:rPr>
              <w:t>01.01.2013</w:t>
            </w:r>
          </w:p>
        </w:tc>
        <w:tc>
          <w:tcPr>
            <w:tcW w:w="1584" w:type="dxa"/>
            <w:tcBorders>
              <w:top w:val="nil"/>
              <w:left w:val="nil"/>
              <w:bottom w:val="nil"/>
              <w:right w:val="nil"/>
            </w:tcBorders>
            <w:shd w:val="clear" w:color="000000" w:fill="C0C0C0"/>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6’044.0</w:t>
            </w:r>
          </w:p>
        </w:tc>
        <w:tc>
          <w:tcPr>
            <w:tcW w:w="1736" w:type="dxa"/>
            <w:tcBorders>
              <w:top w:val="nil"/>
              <w:left w:val="nil"/>
              <w:bottom w:val="nil"/>
              <w:right w:val="nil"/>
            </w:tcBorders>
            <w:shd w:val="clear" w:color="000000" w:fill="C0C0C0"/>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 </w:t>
            </w:r>
          </w:p>
        </w:tc>
        <w:tc>
          <w:tcPr>
            <w:tcW w:w="1241" w:type="dxa"/>
            <w:tcBorders>
              <w:top w:val="nil"/>
              <w:left w:val="nil"/>
              <w:bottom w:val="nil"/>
              <w:right w:val="nil"/>
            </w:tcBorders>
            <w:shd w:val="clear" w:color="000000" w:fill="C0C0C0"/>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6’091.6</w:t>
            </w:r>
          </w:p>
        </w:tc>
        <w:tc>
          <w:tcPr>
            <w:tcW w:w="1275" w:type="dxa"/>
            <w:tcBorders>
              <w:top w:val="nil"/>
              <w:left w:val="nil"/>
              <w:bottom w:val="nil"/>
              <w:right w:val="nil"/>
            </w:tcBorders>
            <w:shd w:val="clear" w:color="000000" w:fill="C0C0C0"/>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 </w:t>
            </w:r>
          </w:p>
        </w:tc>
        <w:tc>
          <w:tcPr>
            <w:tcW w:w="993" w:type="dxa"/>
            <w:tcBorders>
              <w:top w:val="nil"/>
              <w:left w:val="nil"/>
              <w:bottom w:val="nil"/>
              <w:right w:val="nil"/>
            </w:tcBorders>
            <w:shd w:val="clear" w:color="000000" w:fill="C0C0C0"/>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3.50%</w:t>
            </w:r>
          </w:p>
        </w:tc>
        <w:tc>
          <w:tcPr>
            <w:tcW w:w="1275" w:type="dxa"/>
            <w:tcBorders>
              <w:top w:val="nil"/>
              <w:left w:val="nil"/>
              <w:bottom w:val="nil"/>
              <w:right w:val="nil"/>
            </w:tcBorders>
            <w:shd w:val="clear" w:color="000000" w:fill="C0C0C0"/>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 </w:t>
            </w:r>
          </w:p>
        </w:tc>
      </w:tr>
      <w:tr w:rsidR="001C63E0" w:rsidRPr="001C63E0" w:rsidTr="00892579">
        <w:trPr>
          <w:trHeight w:val="300"/>
        </w:trPr>
        <w:tc>
          <w:tcPr>
            <w:tcW w:w="1480" w:type="dxa"/>
            <w:tcBorders>
              <w:top w:val="nil"/>
              <w:left w:val="nil"/>
              <w:bottom w:val="nil"/>
              <w:right w:val="nil"/>
            </w:tcBorders>
            <w:shd w:val="clear" w:color="auto" w:fill="auto"/>
            <w:vAlign w:val="center"/>
            <w:hideMark/>
          </w:tcPr>
          <w:p w:rsidR="001C63E0" w:rsidRPr="001C63E0" w:rsidRDefault="001C63E0" w:rsidP="001C63E0">
            <w:pPr>
              <w:spacing w:before="120"/>
              <w:jc w:val="center"/>
              <w:rPr>
                <w:rFonts w:cs="Arial"/>
                <w:b/>
                <w:bCs/>
                <w:color w:val="000000"/>
                <w:sz w:val="20"/>
                <w:lang w:eastAsia="it-CH"/>
              </w:rPr>
            </w:pPr>
            <w:r w:rsidRPr="001C63E0">
              <w:rPr>
                <w:rFonts w:cs="Arial"/>
                <w:b/>
                <w:bCs/>
                <w:color w:val="000000"/>
                <w:sz w:val="20"/>
                <w:lang w:eastAsia="it-CH"/>
              </w:rPr>
              <w:t>31.12.2013</w:t>
            </w:r>
          </w:p>
        </w:tc>
        <w:tc>
          <w:tcPr>
            <w:tcW w:w="1584" w:type="dxa"/>
            <w:tcBorders>
              <w:top w:val="nil"/>
              <w:left w:val="nil"/>
              <w:bottom w:val="nil"/>
              <w:right w:val="nil"/>
            </w:tcBorders>
            <w:shd w:val="clear" w:color="auto" w:fill="auto"/>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6’150.0</w:t>
            </w:r>
          </w:p>
        </w:tc>
        <w:tc>
          <w:tcPr>
            <w:tcW w:w="1736" w:type="dxa"/>
            <w:tcBorders>
              <w:top w:val="nil"/>
              <w:left w:val="nil"/>
              <w:bottom w:val="nil"/>
              <w:right w:val="nil"/>
            </w:tcBorders>
            <w:shd w:val="clear" w:color="auto" w:fill="auto"/>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106.0</w:t>
            </w:r>
          </w:p>
        </w:tc>
        <w:tc>
          <w:tcPr>
            <w:tcW w:w="1241" w:type="dxa"/>
            <w:tcBorders>
              <w:top w:val="nil"/>
              <w:left w:val="nil"/>
              <w:bottom w:val="nil"/>
              <w:right w:val="nil"/>
            </w:tcBorders>
            <w:shd w:val="clear" w:color="auto" w:fill="auto"/>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6’207.1</w:t>
            </w:r>
          </w:p>
        </w:tc>
        <w:tc>
          <w:tcPr>
            <w:tcW w:w="1275" w:type="dxa"/>
            <w:tcBorders>
              <w:top w:val="nil"/>
              <w:left w:val="nil"/>
              <w:bottom w:val="nil"/>
              <w:right w:val="nil"/>
            </w:tcBorders>
            <w:shd w:val="clear" w:color="auto" w:fill="auto"/>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115.5</w:t>
            </w:r>
          </w:p>
        </w:tc>
        <w:tc>
          <w:tcPr>
            <w:tcW w:w="993" w:type="dxa"/>
            <w:tcBorders>
              <w:top w:val="nil"/>
              <w:left w:val="nil"/>
              <w:bottom w:val="nil"/>
              <w:right w:val="nil"/>
            </w:tcBorders>
            <w:shd w:val="clear" w:color="auto" w:fill="auto"/>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3.50%</w:t>
            </w:r>
          </w:p>
        </w:tc>
        <w:tc>
          <w:tcPr>
            <w:tcW w:w="1275" w:type="dxa"/>
            <w:tcBorders>
              <w:top w:val="nil"/>
              <w:left w:val="nil"/>
              <w:bottom w:val="nil"/>
              <w:right w:val="nil"/>
            </w:tcBorders>
            <w:shd w:val="clear" w:color="auto" w:fill="auto"/>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1.50%</w:t>
            </w:r>
          </w:p>
        </w:tc>
      </w:tr>
      <w:tr w:rsidR="001C63E0" w:rsidRPr="001C63E0" w:rsidTr="00892579">
        <w:trPr>
          <w:trHeight w:val="300"/>
        </w:trPr>
        <w:tc>
          <w:tcPr>
            <w:tcW w:w="1480" w:type="dxa"/>
            <w:tcBorders>
              <w:top w:val="nil"/>
              <w:left w:val="nil"/>
              <w:bottom w:val="nil"/>
              <w:right w:val="nil"/>
            </w:tcBorders>
            <w:shd w:val="clear" w:color="000000" w:fill="C0C0C0"/>
            <w:vAlign w:val="center"/>
            <w:hideMark/>
          </w:tcPr>
          <w:p w:rsidR="001C63E0" w:rsidRPr="001C63E0" w:rsidRDefault="001C63E0" w:rsidP="001C63E0">
            <w:pPr>
              <w:spacing w:before="120"/>
              <w:jc w:val="center"/>
              <w:rPr>
                <w:rFonts w:cs="Arial"/>
                <w:b/>
                <w:bCs/>
                <w:color w:val="000000"/>
                <w:sz w:val="20"/>
                <w:lang w:eastAsia="it-CH"/>
              </w:rPr>
            </w:pPr>
            <w:r w:rsidRPr="001C63E0">
              <w:rPr>
                <w:rFonts w:cs="Arial"/>
                <w:b/>
                <w:bCs/>
                <w:color w:val="000000"/>
                <w:sz w:val="20"/>
                <w:lang w:eastAsia="it-CH"/>
              </w:rPr>
              <w:t>31.12.2014</w:t>
            </w:r>
          </w:p>
        </w:tc>
        <w:tc>
          <w:tcPr>
            <w:tcW w:w="1584" w:type="dxa"/>
            <w:tcBorders>
              <w:top w:val="nil"/>
              <w:left w:val="nil"/>
              <w:bottom w:val="nil"/>
              <w:right w:val="nil"/>
            </w:tcBorders>
            <w:shd w:val="clear" w:color="000000" w:fill="C0C0C0"/>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6’259.0</w:t>
            </w:r>
          </w:p>
        </w:tc>
        <w:tc>
          <w:tcPr>
            <w:tcW w:w="1736" w:type="dxa"/>
            <w:tcBorders>
              <w:top w:val="nil"/>
              <w:left w:val="nil"/>
              <w:bottom w:val="nil"/>
              <w:right w:val="nil"/>
            </w:tcBorders>
            <w:shd w:val="clear" w:color="000000" w:fill="C0C0C0"/>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215.0</w:t>
            </w:r>
          </w:p>
        </w:tc>
        <w:tc>
          <w:tcPr>
            <w:tcW w:w="1241" w:type="dxa"/>
            <w:tcBorders>
              <w:top w:val="nil"/>
              <w:left w:val="nil"/>
              <w:bottom w:val="nil"/>
              <w:right w:val="nil"/>
            </w:tcBorders>
            <w:shd w:val="clear" w:color="000000" w:fill="C0C0C0"/>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6’527.1</w:t>
            </w:r>
          </w:p>
        </w:tc>
        <w:tc>
          <w:tcPr>
            <w:tcW w:w="1275" w:type="dxa"/>
            <w:tcBorders>
              <w:top w:val="nil"/>
              <w:left w:val="nil"/>
              <w:bottom w:val="nil"/>
              <w:right w:val="nil"/>
            </w:tcBorders>
            <w:shd w:val="clear" w:color="000000" w:fill="C0C0C0"/>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435.5</w:t>
            </w:r>
          </w:p>
        </w:tc>
        <w:tc>
          <w:tcPr>
            <w:tcW w:w="993" w:type="dxa"/>
            <w:tcBorders>
              <w:top w:val="nil"/>
              <w:left w:val="nil"/>
              <w:bottom w:val="nil"/>
              <w:right w:val="nil"/>
            </w:tcBorders>
            <w:shd w:val="clear" w:color="000000" w:fill="C0C0C0"/>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3.50%</w:t>
            </w:r>
          </w:p>
        </w:tc>
        <w:tc>
          <w:tcPr>
            <w:tcW w:w="1275" w:type="dxa"/>
            <w:tcBorders>
              <w:top w:val="nil"/>
              <w:left w:val="nil"/>
              <w:bottom w:val="nil"/>
              <w:right w:val="nil"/>
            </w:tcBorders>
            <w:shd w:val="clear" w:color="000000" w:fill="C0C0C0"/>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1.75%</w:t>
            </w:r>
          </w:p>
        </w:tc>
      </w:tr>
      <w:tr w:rsidR="001C63E0" w:rsidRPr="001C63E0" w:rsidTr="00892579">
        <w:trPr>
          <w:trHeight w:val="300"/>
        </w:trPr>
        <w:tc>
          <w:tcPr>
            <w:tcW w:w="1480" w:type="dxa"/>
            <w:tcBorders>
              <w:top w:val="nil"/>
              <w:left w:val="nil"/>
              <w:bottom w:val="nil"/>
              <w:right w:val="nil"/>
            </w:tcBorders>
            <w:shd w:val="clear" w:color="auto" w:fill="auto"/>
            <w:vAlign w:val="center"/>
            <w:hideMark/>
          </w:tcPr>
          <w:p w:rsidR="001C63E0" w:rsidRPr="001C63E0" w:rsidRDefault="001C63E0" w:rsidP="001C63E0">
            <w:pPr>
              <w:spacing w:before="120"/>
              <w:jc w:val="center"/>
              <w:rPr>
                <w:rFonts w:cs="Arial"/>
                <w:b/>
                <w:bCs/>
                <w:color w:val="000000"/>
                <w:sz w:val="20"/>
                <w:lang w:eastAsia="it-CH"/>
              </w:rPr>
            </w:pPr>
            <w:r w:rsidRPr="001C63E0">
              <w:rPr>
                <w:rFonts w:cs="Arial"/>
                <w:b/>
                <w:bCs/>
                <w:color w:val="000000"/>
                <w:sz w:val="20"/>
                <w:lang w:eastAsia="it-CH"/>
              </w:rPr>
              <w:t>31.12.2015</w:t>
            </w:r>
          </w:p>
        </w:tc>
        <w:tc>
          <w:tcPr>
            <w:tcW w:w="1584" w:type="dxa"/>
            <w:tcBorders>
              <w:top w:val="nil"/>
              <w:left w:val="nil"/>
              <w:bottom w:val="nil"/>
              <w:right w:val="nil"/>
            </w:tcBorders>
            <w:shd w:val="clear" w:color="auto" w:fill="auto"/>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6’353.0</w:t>
            </w:r>
          </w:p>
        </w:tc>
        <w:tc>
          <w:tcPr>
            <w:tcW w:w="1736" w:type="dxa"/>
            <w:tcBorders>
              <w:top w:val="nil"/>
              <w:left w:val="nil"/>
              <w:bottom w:val="nil"/>
              <w:right w:val="nil"/>
            </w:tcBorders>
            <w:shd w:val="clear" w:color="auto" w:fill="auto"/>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309.0</w:t>
            </w:r>
          </w:p>
        </w:tc>
        <w:tc>
          <w:tcPr>
            <w:tcW w:w="1241" w:type="dxa"/>
            <w:tcBorders>
              <w:top w:val="nil"/>
              <w:left w:val="nil"/>
              <w:bottom w:val="nil"/>
              <w:right w:val="nil"/>
            </w:tcBorders>
            <w:shd w:val="clear" w:color="auto" w:fill="auto"/>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6’741.0</w:t>
            </w:r>
          </w:p>
        </w:tc>
        <w:tc>
          <w:tcPr>
            <w:tcW w:w="1275" w:type="dxa"/>
            <w:tcBorders>
              <w:top w:val="nil"/>
              <w:left w:val="nil"/>
              <w:bottom w:val="nil"/>
              <w:right w:val="nil"/>
            </w:tcBorders>
            <w:shd w:val="clear" w:color="auto" w:fill="auto"/>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649.4</w:t>
            </w:r>
          </w:p>
        </w:tc>
        <w:tc>
          <w:tcPr>
            <w:tcW w:w="993" w:type="dxa"/>
            <w:tcBorders>
              <w:top w:val="nil"/>
              <w:left w:val="nil"/>
              <w:bottom w:val="nil"/>
              <w:right w:val="nil"/>
            </w:tcBorders>
            <w:shd w:val="clear" w:color="auto" w:fill="auto"/>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3.00%</w:t>
            </w:r>
          </w:p>
        </w:tc>
        <w:tc>
          <w:tcPr>
            <w:tcW w:w="1275" w:type="dxa"/>
            <w:tcBorders>
              <w:top w:val="nil"/>
              <w:left w:val="nil"/>
              <w:bottom w:val="nil"/>
              <w:right w:val="nil"/>
            </w:tcBorders>
            <w:shd w:val="clear" w:color="auto" w:fill="auto"/>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1.75%</w:t>
            </w:r>
          </w:p>
        </w:tc>
      </w:tr>
      <w:tr w:rsidR="001C63E0" w:rsidRPr="001C63E0" w:rsidTr="00892579">
        <w:trPr>
          <w:trHeight w:val="300"/>
        </w:trPr>
        <w:tc>
          <w:tcPr>
            <w:tcW w:w="1480" w:type="dxa"/>
            <w:tcBorders>
              <w:top w:val="nil"/>
              <w:left w:val="nil"/>
              <w:bottom w:val="nil"/>
              <w:right w:val="nil"/>
            </w:tcBorders>
            <w:shd w:val="clear" w:color="000000" w:fill="C0C0C0"/>
            <w:vAlign w:val="center"/>
            <w:hideMark/>
          </w:tcPr>
          <w:p w:rsidR="001C63E0" w:rsidRPr="001C63E0" w:rsidRDefault="001C63E0" w:rsidP="001C63E0">
            <w:pPr>
              <w:spacing w:before="120"/>
              <w:jc w:val="center"/>
              <w:rPr>
                <w:rFonts w:cs="Arial"/>
                <w:b/>
                <w:bCs/>
                <w:color w:val="000000"/>
                <w:sz w:val="20"/>
                <w:lang w:eastAsia="it-CH"/>
              </w:rPr>
            </w:pPr>
            <w:r w:rsidRPr="001C63E0">
              <w:rPr>
                <w:rFonts w:cs="Arial"/>
                <w:b/>
                <w:bCs/>
                <w:color w:val="000000"/>
                <w:sz w:val="20"/>
                <w:lang w:eastAsia="it-CH"/>
              </w:rPr>
              <w:t>31.12.2016</w:t>
            </w:r>
          </w:p>
        </w:tc>
        <w:tc>
          <w:tcPr>
            <w:tcW w:w="1584" w:type="dxa"/>
            <w:tcBorders>
              <w:top w:val="nil"/>
              <w:left w:val="nil"/>
              <w:bottom w:val="nil"/>
              <w:right w:val="nil"/>
            </w:tcBorders>
            <w:shd w:val="clear" w:color="000000" w:fill="C0C0C0"/>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6’437.0</w:t>
            </w:r>
          </w:p>
        </w:tc>
        <w:tc>
          <w:tcPr>
            <w:tcW w:w="1736" w:type="dxa"/>
            <w:tcBorders>
              <w:top w:val="nil"/>
              <w:left w:val="nil"/>
              <w:bottom w:val="nil"/>
              <w:right w:val="nil"/>
            </w:tcBorders>
            <w:shd w:val="clear" w:color="000000" w:fill="C0C0C0"/>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393.0</w:t>
            </w:r>
          </w:p>
        </w:tc>
        <w:tc>
          <w:tcPr>
            <w:tcW w:w="1241" w:type="dxa"/>
            <w:tcBorders>
              <w:top w:val="nil"/>
              <w:left w:val="nil"/>
              <w:bottom w:val="nil"/>
              <w:right w:val="nil"/>
            </w:tcBorders>
            <w:shd w:val="clear" w:color="000000" w:fill="C0C0C0"/>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7’177.9</w:t>
            </w:r>
          </w:p>
        </w:tc>
        <w:tc>
          <w:tcPr>
            <w:tcW w:w="1275" w:type="dxa"/>
            <w:tcBorders>
              <w:top w:val="nil"/>
              <w:left w:val="nil"/>
              <w:bottom w:val="nil"/>
              <w:right w:val="nil"/>
            </w:tcBorders>
            <w:shd w:val="clear" w:color="000000" w:fill="C0C0C0"/>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1’086.3</w:t>
            </w:r>
          </w:p>
        </w:tc>
        <w:tc>
          <w:tcPr>
            <w:tcW w:w="993" w:type="dxa"/>
            <w:tcBorders>
              <w:top w:val="nil"/>
              <w:left w:val="nil"/>
              <w:bottom w:val="nil"/>
              <w:right w:val="nil"/>
            </w:tcBorders>
            <w:shd w:val="clear" w:color="000000" w:fill="C0C0C0"/>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2.25%</w:t>
            </w:r>
          </w:p>
        </w:tc>
        <w:tc>
          <w:tcPr>
            <w:tcW w:w="1275" w:type="dxa"/>
            <w:tcBorders>
              <w:top w:val="nil"/>
              <w:left w:val="nil"/>
              <w:bottom w:val="nil"/>
              <w:right w:val="nil"/>
            </w:tcBorders>
            <w:shd w:val="clear" w:color="000000" w:fill="C0C0C0"/>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1.25%</w:t>
            </w:r>
          </w:p>
        </w:tc>
      </w:tr>
      <w:tr w:rsidR="001C63E0" w:rsidRPr="001C63E0" w:rsidTr="00892579">
        <w:trPr>
          <w:trHeight w:val="300"/>
        </w:trPr>
        <w:tc>
          <w:tcPr>
            <w:tcW w:w="1480" w:type="dxa"/>
            <w:tcBorders>
              <w:top w:val="nil"/>
              <w:left w:val="nil"/>
              <w:bottom w:val="nil"/>
              <w:right w:val="nil"/>
            </w:tcBorders>
            <w:shd w:val="clear" w:color="auto" w:fill="auto"/>
            <w:vAlign w:val="center"/>
            <w:hideMark/>
          </w:tcPr>
          <w:p w:rsidR="001C63E0" w:rsidRPr="001C63E0" w:rsidRDefault="001C63E0" w:rsidP="001C63E0">
            <w:pPr>
              <w:spacing w:before="120"/>
              <w:jc w:val="center"/>
              <w:rPr>
                <w:rFonts w:cs="Arial"/>
                <w:b/>
                <w:bCs/>
                <w:color w:val="000000"/>
                <w:sz w:val="20"/>
                <w:lang w:eastAsia="it-CH"/>
              </w:rPr>
            </w:pPr>
            <w:r w:rsidRPr="001C63E0">
              <w:rPr>
                <w:rFonts w:cs="Arial"/>
                <w:b/>
                <w:bCs/>
                <w:color w:val="000000"/>
                <w:sz w:val="20"/>
                <w:lang w:eastAsia="it-CH"/>
              </w:rPr>
              <w:t>31.12.2017</w:t>
            </w:r>
          </w:p>
        </w:tc>
        <w:tc>
          <w:tcPr>
            <w:tcW w:w="1584" w:type="dxa"/>
            <w:tcBorders>
              <w:top w:val="nil"/>
              <w:left w:val="nil"/>
              <w:bottom w:val="nil"/>
              <w:right w:val="nil"/>
            </w:tcBorders>
            <w:shd w:val="clear" w:color="auto" w:fill="auto"/>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6’509.0</w:t>
            </w:r>
          </w:p>
        </w:tc>
        <w:tc>
          <w:tcPr>
            <w:tcW w:w="1736" w:type="dxa"/>
            <w:tcBorders>
              <w:top w:val="nil"/>
              <w:left w:val="nil"/>
              <w:bottom w:val="nil"/>
              <w:right w:val="nil"/>
            </w:tcBorders>
            <w:shd w:val="clear" w:color="auto" w:fill="auto"/>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465.0</w:t>
            </w:r>
          </w:p>
        </w:tc>
        <w:tc>
          <w:tcPr>
            <w:tcW w:w="1241" w:type="dxa"/>
            <w:tcBorders>
              <w:top w:val="nil"/>
              <w:left w:val="nil"/>
              <w:bottom w:val="nil"/>
              <w:right w:val="nil"/>
            </w:tcBorders>
            <w:shd w:val="clear" w:color="auto" w:fill="auto"/>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7’458.2</w:t>
            </w:r>
          </w:p>
        </w:tc>
        <w:tc>
          <w:tcPr>
            <w:tcW w:w="1275" w:type="dxa"/>
            <w:tcBorders>
              <w:top w:val="nil"/>
              <w:left w:val="nil"/>
              <w:bottom w:val="nil"/>
              <w:right w:val="nil"/>
            </w:tcBorders>
            <w:shd w:val="clear" w:color="auto" w:fill="auto"/>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1’366.6</w:t>
            </w:r>
          </w:p>
        </w:tc>
        <w:tc>
          <w:tcPr>
            <w:tcW w:w="993" w:type="dxa"/>
            <w:tcBorders>
              <w:top w:val="nil"/>
              <w:left w:val="nil"/>
              <w:bottom w:val="nil"/>
              <w:right w:val="nil"/>
            </w:tcBorders>
            <w:shd w:val="clear" w:color="auto" w:fill="auto"/>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2.00%</w:t>
            </w:r>
          </w:p>
        </w:tc>
        <w:tc>
          <w:tcPr>
            <w:tcW w:w="1275" w:type="dxa"/>
            <w:tcBorders>
              <w:top w:val="nil"/>
              <w:left w:val="nil"/>
              <w:bottom w:val="nil"/>
              <w:right w:val="nil"/>
            </w:tcBorders>
            <w:shd w:val="clear" w:color="auto" w:fill="auto"/>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1.00%</w:t>
            </w:r>
          </w:p>
        </w:tc>
      </w:tr>
      <w:tr w:rsidR="001C63E0" w:rsidRPr="001C63E0" w:rsidTr="00892579">
        <w:trPr>
          <w:trHeight w:val="285"/>
        </w:trPr>
        <w:tc>
          <w:tcPr>
            <w:tcW w:w="1480" w:type="dxa"/>
            <w:tcBorders>
              <w:top w:val="nil"/>
              <w:left w:val="nil"/>
              <w:bottom w:val="single" w:sz="8" w:space="0" w:color="000000"/>
              <w:right w:val="nil"/>
            </w:tcBorders>
            <w:shd w:val="clear" w:color="000000" w:fill="C0C0C0"/>
            <w:vAlign w:val="center"/>
            <w:hideMark/>
          </w:tcPr>
          <w:p w:rsidR="001C63E0" w:rsidRPr="001C63E0" w:rsidRDefault="001C63E0" w:rsidP="001C63E0">
            <w:pPr>
              <w:spacing w:before="120"/>
              <w:jc w:val="center"/>
              <w:rPr>
                <w:rFonts w:cs="Arial"/>
                <w:b/>
                <w:bCs/>
                <w:color w:val="000000"/>
                <w:sz w:val="20"/>
                <w:lang w:eastAsia="it-CH"/>
              </w:rPr>
            </w:pPr>
            <w:r w:rsidRPr="001C63E0">
              <w:rPr>
                <w:rFonts w:cs="Arial"/>
                <w:b/>
                <w:bCs/>
                <w:color w:val="000000"/>
                <w:sz w:val="20"/>
                <w:lang w:eastAsia="it-CH"/>
              </w:rPr>
              <w:t>31.12.2018</w:t>
            </w:r>
          </w:p>
        </w:tc>
        <w:tc>
          <w:tcPr>
            <w:tcW w:w="1584" w:type="dxa"/>
            <w:tcBorders>
              <w:top w:val="nil"/>
              <w:left w:val="nil"/>
              <w:bottom w:val="single" w:sz="8" w:space="0" w:color="000000"/>
              <w:right w:val="nil"/>
            </w:tcBorders>
            <w:shd w:val="clear" w:color="000000" w:fill="C0C0C0"/>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6’567.0</w:t>
            </w:r>
          </w:p>
        </w:tc>
        <w:tc>
          <w:tcPr>
            <w:tcW w:w="1736" w:type="dxa"/>
            <w:tcBorders>
              <w:top w:val="nil"/>
              <w:left w:val="nil"/>
              <w:bottom w:val="single" w:sz="8" w:space="0" w:color="000000"/>
              <w:right w:val="nil"/>
            </w:tcBorders>
            <w:shd w:val="clear" w:color="000000" w:fill="C0C0C0"/>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523.0</w:t>
            </w:r>
          </w:p>
        </w:tc>
        <w:tc>
          <w:tcPr>
            <w:tcW w:w="1241" w:type="dxa"/>
            <w:tcBorders>
              <w:top w:val="nil"/>
              <w:left w:val="nil"/>
              <w:bottom w:val="single" w:sz="8" w:space="0" w:color="000000"/>
              <w:right w:val="nil"/>
            </w:tcBorders>
            <w:shd w:val="clear" w:color="000000" w:fill="C0C0C0"/>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7’505.0</w:t>
            </w:r>
          </w:p>
        </w:tc>
        <w:tc>
          <w:tcPr>
            <w:tcW w:w="1275" w:type="dxa"/>
            <w:tcBorders>
              <w:top w:val="nil"/>
              <w:left w:val="nil"/>
              <w:bottom w:val="single" w:sz="8" w:space="0" w:color="000000"/>
              <w:right w:val="nil"/>
            </w:tcBorders>
            <w:shd w:val="clear" w:color="000000" w:fill="C0C0C0"/>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1’413.4</w:t>
            </w:r>
          </w:p>
        </w:tc>
        <w:tc>
          <w:tcPr>
            <w:tcW w:w="993" w:type="dxa"/>
            <w:tcBorders>
              <w:top w:val="nil"/>
              <w:left w:val="nil"/>
              <w:bottom w:val="single" w:sz="8" w:space="0" w:color="000000"/>
              <w:right w:val="nil"/>
            </w:tcBorders>
            <w:shd w:val="clear" w:color="000000" w:fill="C0C0C0"/>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2.00%</w:t>
            </w:r>
          </w:p>
        </w:tc>
        <w:tc>
          <w:tcPr>
            <w:tcW w:w="1275" w:type="dxa"/>
            <w:tcBorders>
              <w:top w:val="nil"/>
              <w:left w:val="nil"/>
              <w:bottom w:val="single" w:sz="8" w:space="0" w:color="000000"/>
              <w:right w:val="nil"/>
            </w:tcBorders>
            <w:shd w:val="clear" w:color="000000" w:fill="C0C0C0"/>
            <w:vAlign w:val="center"/>
            <w:hideMark/>
          </w:tcPr>
          <w:p w:rsidR="001C63E0" w:rsidRPr="001C63E0" w:rsidRDefault="001C63E0" w:rsidP="001C63E0">
            <w:pPr>
              <w:spacing w:before="120"/>
              <w:jc w:val="center"/>
              <w:rPr>
                <w:rFonts w:cs="Arial"/>
                <w:color w:val="000000"/>
                <w:sz w:val="20"/>
                <w:lang w:eastAsia="it-CH"/>
              </w:rPr>
            </w:pPr>
            <w:r w:rsidRPr="001C63E0">
              <w:rPr>
                <w:rFonts w:cs="Arial"/>
                <w:color w:val="000000"/>
                <w:sz w:val="20"/>
                <w:lang w:eastAsia="it-CH"/>
              </w:rPr>
              <w:t>1.00%</w:t>
            </w:r>
          </w:p>
        </w:tc>
      </w:tr>
    </w:tbl>
    <w:p w:rsidR="001C63E0" w:rsidRPr="001C63E0" w:rsidRDefault="001C63E0" w:rsidP="00EC5775">
      <w:pPr>
        <w:spacing w:before="240"/>
        <w:rPr>
          <w:rFonts w:cs="Arial"/>
          <w:bCs/>
          <w:szCs w:val="24"/>
        </w:rPr>
      </w:pPr>
      <w:r w:rsidRPr="001C63E0">
        <w:rPr>
          <w:rFonts w:cs="Arial"/>
          <w:szCs w:val="24"/>
        </w:rPr>
        <w:t>Dal 1° gennaio 2013 il tasso tecnico ha conosciuto, come si può vedere dalla tabella qui sopra, una progressiva riduzione dal 3.50% al 2.00%, ciò che ha avuto come conseguenza per l’IPCT un costo superiore a CHF</w:t>
      </w:r>
      <w:r w:rsidR="00DF2942">
        <w:rPr>
          <w:rFonts w:cs="Arial"/>
          <w:szCs w:val="24"/>
        </w:rPr>
        <w:t xml:space="preserve"> </w:t>
      </w:r>
      <w:r w:rsidRPr="001C63E0">
        <w:rPr>
          <w:rFonts w:cs="Arial"/>
          <w:szCs w:val="24"/>
        </w:rPr>
        <w:t>1 miliardo, di cui oltre CHF</w:t>
      </w:r>
      <w:r w:rsidR="00DF2942">
        <w:rPr>
          <w:rFonts w:cs="Arial"/>
          <w:szCs w:val="24"/>
        </w:rPr>
        <w:t xml:space="preserve"> </w:t>
      </w:r>
      <w:r w:rsidRPr="001C63E0">
        <w:rPr>
          <w:rFonts w:cs="Arial"/>
          <w:szCs w:val="24"/>
        </w:rPr>
        <w:t>500 milioni per le sole garanzie di pensione conferite dalla legge agli assicurati che al 31 dicembre 2012 avevano già compiuto 50 anni</w:t>
      </w:r>
      <w:r w:rsidRPr="001C63E0">
        <w:rPr>
          <w:rFonts w:cs="Arial"/>
          <w:szCs w:val="24"/>
          <w:vertAlign w:val="superscript"/>
        </w:rPr>
        <w:footnoteReference w:id="22"/>
      </w:r>
      <w:r w:rsidRPr="001C63E0">
        <w:rPr>
          <w:rFonts w:cs="Arial"/>
          <w:bCs/>
          <w:szCs w:val="24"/>
        </w:rPr>
        <w:t xml:space="preserve">. Come affermato dal neo Direttore dell’IPCT Daniele Rotanzi durante </w:t>
      </w:r>
      <w:r w:rsidRPr="001C63E0">
        <w:rPr>
          <w:rFonts w:cs="Arial"/>
        </w:rPr>
        <w:lastRenderedPageBreak/>
        <w:t>l’audizione tenutasi in seno alla Sottocommissione "Finanze" martedì 21</w:t>
      </w:r>
      <w:r w:rsidR="00DF2942">
        <w:rPr>
          <w:rFonts w:cs="Arial"/>
        </w:rPr>
        <w:t xml:space="preserve"> </w:t>
      </w:r>
      <w:r w:rsidRPr="001C63E0">
        <w:rPr>
          <w:rFonts w:cs="Arial"/>
        </w:rPr>
        <w:t>luglio 2020, «</w:t>
      </w:r>
      <w:r w:rsidRPr="001C63E0">
        <w:rPr>
          <w:rFonts w:cs="Arial"/>
          <w:i/>
        </w:rPr>
        <w:t>è stato chiesto "solo" un importo di CHF 500 milioni legato alle garanzie di pensione conferite dalla legge agli assicurati che al 31.12.2012 avevano già compiuto 50</w:t>
      </w:r>
      <w:r w:rsidR="00DF2942">
        <w:rPr>
          <w:rFonts w:cs="Arial"/>
          <w:i/>
        </w:rPr>
        <w:t xml:space="preserve"> </w:t>
      </w:r>
      <w:r w:rsidRPr="001C63E0">
        <w:rPr>
          <w:rFonts w:cs="Arial"/>
          <w:i/>
        </w:rPr>
        <w:t>anni, questo perché i restanti CHF</w:t>
      </w:r>
      <w:r w:rsidR="00DF2942">
        <w:rPr>
          <w:rFonts w:cs="Arial"/>
          <w:i/>
        </w:rPr>
        <w:t xml:space="preserve"> </w:t>
      </w:r>
      <w:r w:rsidRPr="001C63E0">
        <w:rPr>
          <w:rFonts w:cs="Arial"/>
          <w:i/>
        </w:rPr>
        <w:t>500 milioni sono stati coperti dai rendimenti molto buoni realizzati dall’IPCT</w:t>
      </w:r>
      <w:r w:rsidRPr="001C63E0">
        <w:rPr>
          <w:rFonts w:cs="Arial"/>
        </w:rPr>
        <w:t>»</w:t>
      </w:r>
      <w:r w:rsidRPr="001C63E0">
        <w:rPr>
          <w:rFonts w:cs="Arial"/>
          <w:vertAlign w:val="superscript"/>
        </w:rPr>
        <w:footnoteReference w:id="23"/>
      </w:r>
      <w:r w:rsidRPr="001C63E0">
        <w:rPr>
          <w:rFonts w:cs="Arial"/>
        </w:rPr>
        <w:t>.</w:t>
      </w:r>
    </w:p>
    <w:p w:rsidR="001C63E0" w:rsidRPr="001C63E0" w:rsidRDefault="001C63E0" w:rsidP="001C63E0">
      <w:pPr>
        <w:spacing w:before="120"/>
        <w:rPr>
          <w:rFonts w:cs="Arial"/>
          <w:szCs w:val="24"/>
        </w:rPr>
      </w:pPr>
      <w:r w:rsidRPr="001C63E0">
        <w:rPr>
          <w:rFonts w:cs="Arial"/>
          <w:szCs w:val="24"/>
        </w:rPr>
        <w:t xml:space="preserve">In buona sostanza, come riportato a p. 1 del messaggio n. </w:t>
      </w:r>
      <w:hyperlink r:id="rId27" w:history="1">
        <w:r w:rsidRPr="001C63E0">
          <w:rPr>
            <w:rFonts w:cs="Arial"/>
            <w:color w:val="0000FF"/>
            <w:szCs w:val="24"/>
            <w:u w:val="single"/>
          </w:rPr>
          <w:t>7784</w:t>
        </w:r>
      </w:hyperlink>
      <w:r w:rsidRPr="001C63E0">
        <w:rPr>
          <w:rFonts w:cs="Arial"/>
          <w:szCs w:val="24"/>
        </w:rPr>
        <w:t>, «</w:t>
      </w:r>
      <w:r w:rsidRPr="001C63E0">
        <w:rPr>
          <w:rFonts w:cs="Arial"/>
          <w:i/>
          <w:szCs w:val="24"/>
        </w:rPr>
        <w:t>il Consiglio di amministrazione dell’IPCT si è visto costretto ad aumentare il valore a bilancio degli impegni verso i beneficiari delle garanzie di pensione per (attuali) CHF</w:t>
      </w:r>
      <w:r w:rsidR="00DF2942">
        <w:rPr>
          <w:rFonts w:cs="Arial"/>
          <w:i/>
          <w:szCs w:val="24"/>
        </w:rPr>
        <w:t xml:space="preserve"> </w:t>
      </w:r>
      <w:r w:rsidRPr="001C63E0">
        <w:rPr>
          <w:rFonts w:cs="Arial"/>
          <w:i/>
          <w:szCs w:val="24"/>
        </w:rPr>
        <w:t>500 milioni e ciò ha compromesso il rispetto del cosiddetto "cammino di finanziamento", che prevede di giungere ad un grado di copertura del’85% a fine 2051</w:t>
      </w:r>
      <w:r w:rsidRPr="001C63E0">
        <w:rPr>
          <w:rFonts w:cs="Arial"/>
          <w:szCs w:val="24"/>
        </w:rPr>
        <w:t>».</w:t>
      </w:r>
    </w:p>
    <w:p w:rsidR="001C63E0" w:rsidRPr="001C63E0" w:rsidRDefault="001C63E0" w:rsidP="001C63E0">
      <w:pPr>
        <w:spacing w:before="120"/>
        <w:rPr>
          <w:rFonts w:cs="Arial"/>
        </w:rPr>
      </w:pPr>
      <w:r w:rsidRPr="001C63E0">
        <w:rPr>
          <w:rFonts w:cs="Arial"/>
          <w:szCs w:val="24"/>
        </w:rPr>
        <w:t>Una parte importante dei costi dovuti alla diminuzione del tasso tecnico – circa CHF</w:t>
      </w:r>
      <w:r w:rsidR="00DF2942">
        <w:rPr>
          <w:rFonts w:cs="Arial"/>
          <w:szCs w:val="24"/>
        </w:rPr>
        <w:t xml:space="preserve"> </w:t>
      </w:r>
      <w:r w:rsidRPr="001C63E0">
        <w:rPr>
          <w:rFonts w:cs="Arial"/>
          <w:szCs w:val="24"/>
        </w:rPr>
        <w:t xml:space="preserve">120 milioni – è stata assunta dagli assicurati attivi, visto che in questi anni </w:t>
      </w:r>
      <w:r w:rsidRPr="001C63E0">
        <w:rPr>
          <w:rFonts w:cs="Arial"/>
        </w:rPr>
        <w:t>è stato riconosciuto sui loro capitali solo l’interesse minimo LPP, e cioè «</w:t>
      </w:r>
      <w:r w:rsidRPr="001C63E0">
        <w:rPr>
          <w:rFonts w:cs="Arial"/>
          <w:i/>
        </w:rPr>
        <w:t>molto meno di quanto previsto dal piano di finanziamento alla base della riforma entrata in vigore con l’1.1.2013, e pure molto meno dei rendimenti del patrimonio conseguiti dall’IPCT dal 2012</w:t>
      </w:r>
      <w:r w:rsidRPr="001C63E0">
        <w:rPr>
          <w:rFonts w:cs="Arial"/>
        </w:rPr>
        <w:t>»</w:t>
      </w:r>
      <w:r w:rsidRPr="001C63E0">
        <w:rPr>
          <w:rFonts w:cs="Arial"/>
          <w:vertAlign w:val="superscript"/>
        </w:rPr>
        <w:footnoteReference w:id="24"/>
      </w:r>
      <w:r w:rsidRPr="001C63E0">
        <w:rPr>
          <w:rFonts w:cs="Arial"/>
        </w:rPr>
        <w:t>.</w:t>
      </w:r>
    </w:p>
    <w:p w:rsidR="001C63E0" w:rsidRPr="001C63E0" w:rsidRDefault="001C63E0" w:rsidP="001C63E0">
      <w:pPr>
        <w:spacing w:before="120"/>
        <w:rPr>
          <w:rFonts w:cs="Arial"/>
        </w:rPr>
      </w:pPr>
      <w:r w:rsidRPr="001C63E0">
        <w:rPr>
          <w:rFonts w:cs="Arial"/>
        </w:rPr>
        <w:t>Il Cantone, in qualità di ente garante dell’IPCT, si assumerà interamente il costo del nuovo contributo di finanziamento.</w:t>
      </w:r>
    </w:p>
    <w:p w:rsidR="001C63E0" w:rsidRDefault="001C63E0" w:rsidP="00AA023B">
      <w:pPr>
        <w:rPr>
          <w:rFonts w:cs="Arial"/>
        </w:rPr>
      </w:pPr>
    </w:p>
    <w:p w:rsidR="00AA023B" w:rsidRPr="001C63E0" w:rsidRDefault="00AA023B" w:rsidP="00AA023B">
      <w:pPr>
        <w:rPr>
          <w:rFonts w:cs="Arial"/>
        </w:rPr>
      </w:pPr>
    </w:p>
    <w:p w:rsidR="001C63E0" w:rsidRPr="001C63E0" w:rsidRDefault="001C63E0" w:rsidP="00AA023B">
      <w:pPr>
        <w:keepNext/>
        <w:tabs>
          <w:tab w:val="left" w:pos="709"/>
        </w:tabs>
        <w:ind w:left="357" w:hanging="357"/>
        <w:outlineLvl w:val="1"/>
        <w:rPr>
          <w:rFonts w:cs="Arial"/>
          <w:b/>
          <w:lang w:val="it-IT" w:eastAsia="it-IT"/>
        </w:rPr>
      </w:pPr>
      <w:bookmarkStart w:id="36" w:name="_Toc98976096"/>
      <w:r w:rsidRPr="001C63E0">
        <w:rPr>
          <w:rFonts w:cs="Arial"/>
          <w:b/>
          <w:lang w:val="it-IT" w:eastAsia="it-IT"/>
        </w:rPr>
        <w:t>2.2</w:t>
      </w:r>
      <w:r w:rsidRPr="001C63E0">
        <w:rPr>
          <w:rFonts w:cs="Arial"/>
          <w:b/>
          <w:lang w:val="it-IT" w:eastAsia="it-IT"/>
        </w:rPr>
        <w:tab/>
      </w:r>
      <w:r w:rsidR="00AA023B">
        <w:rPr>
          <w:rFonts w:cs="Arial"/>
          <w:b/>
          <w:lang w:val="it-IT" w:eastAsia="it-IT"/>
        </w:rPr>
        <w:tab/>
      </w:r>
      <w:r w:rsidRPr="001C63E0">
        <w:rPr>
          <w:rFonts w:cs="Arial"/>
          <w:b/>
          <w:lang w:val="it-IT" w:eastAsia="it-IT"/>
        </w:rPr>
        <w:t>Le conseguenze della mancata concessione del contributo supplementare</w:t>
      </w:r>
      <w:bookmarkEnd w:id="36"/>
    </w:p>
    <w:p w:rsidR="001C63E0" w:rsidRPr="001C63E0" w:rsidRDefault="001C63E0" w:rsidP="001C63E0">
      <w:pPr>
        <w:spacing w:before="120"/>
        <w:rPr>
          <w:rFonts w:cs="Arial"/>
        </w:rPr>
      </w:pPr>
      <w:r w:rsidRPr="001C63E0">
        <w:rPr>
          <w:rFonts w:cs="Arial"/>
        </w:rPr>
        <w:t xml:space="preserve">Nel messaggio n. </w:t>
      </w:r>
      <w:hyperlink r:id="rId28" w:history="1">
        <w:r w:rsidRPr="001C63E0">
          <w:rPr>
            <w:rFonts w:cs="Arial"/>
            <w:color w:val="0000FF"/>
            <w:u w:val="single"/>
          </w:rPr>
          <w:t>7784</w:t>
        </w:r>
      </w:hyperlink>
      <w:r w:rsidRPr="001C63E0">
        <w:rPr>
          <w:rFonts w:cs="Arial"/>
        </w:rPr>
        <w:t xml:space="preserve"> si può leggere al riguardo:</w:t>
      </w:r>
    </w:p>
    <w:p w:rsidR="001C63E0" w:rsidRPr="001C63E0" w:rsidRDefault="001C63E0" w:rsidP="00016451">
      <w:pPr>
        <w:tabs>
          <w:tab w:val="left" w:pos="284"/>
        </w:tabs>
        <w:spacing w:before="40"/>
        <w:ind w:left="284" w:hanging="284"/>
        <w:rPr>
          <w:rFonts w:cs="Arial"/>
        </w:rPr>
      </w:pPr>
      <w:r w:rsidRPr="001C63E0">
        <w:rPr>
          <w:rFonts w:cs="Arial"/>
        </w:rPr>
        <w:t>-</w:t>
      </w:r>
      <w:r w:rsidRPr="001C63E0">
        <w:rPr>
          <w:rFonts w:cs="Arial"/>
        </w:rPr>
        <w:tab/>
        <w:t>a p. 1: «</w:t>
      </w:r>
      <w:r w:rsidRPr="001C63E0">
        <w:rPr>
          <w:rFonts w:cs="Arial"/>
          <w:i/>
        </w:rPr>
        <w:t>la già avvenuta riduzione del tasso tecnico al 2%, richiederà l’abbassamento del tasso di conversione dal 2021, che, se non verrà compensato, causerà una diminuzione delle future pensioni del 20% circa, degli assicurati che non beneficiano delle garanzie</w:t>
      </w:r>
      <w:r w:rsidRPr="001C63E0">
        <w:rPr>
          <w:rFonts w:cs="Arial"/>
        </w:rPr>
        <w:t>»;</w:t>
      </w:r>
    </w:p>
    <w:p w:rsidR="001C63E0" w:rsidRPr="001C63E0" w:rsidRDefault="001C63E0" w:rsidP="00016451">
      <w:pPr>
        <w:tabs>
          <w:tab w:val="left" w:pos="284"/>
        </w:tabs>
        <w:spacing w:before="40"/>
        <w:ind w:left="284" w:hanging="284"/>
        <w:rPr>
          <w:rFonts w:cs="Arial"/>
        </w:rPr>
      </w:pPr>
      <w:r w:rsidRPr="001C63E0">
        <w:rPr>
          <w:rFonts w:cs="Arial"/>
        </w:rPr>
        <w:t>-</w:t>
      </w:r>
      <w:r w:rsidRPr="001C63E0">
        <w:rPr>
          <w:rFonts w:cs="Arial"/>
        </w:rPr>
        <w:tab/>
        <w:t>a p. 14: «</w:t>
      </w:r>
      <w:r w:rsidRPr="001C63E0">
        <w:rPr>
          <w:rFonts w:cs="Arial"/>
          <w:i/>
        </w:rPr>
        <w:t>ritenuto l’aggravio della situazione finanziaria generata dalla sotto-stima del costo delle garanzie conferite agli over50, è difficilmente ipotizzabile di “chiamare alla cassa” gli assicurati attivi più giovani. Infatti, proprio questi, con la riforma, hanno già dovuto sopportare un taglio delle prestazioni attese di, mediamente, il 20% circa</w:t>
      </w:r>
      <w:r w:rsidRPr="001C63E0">
        <w:rPr>
          <w:rFonts w:cs="Arial"/>
        </w:rPr>
        <w:t>»;</w:t>
      </w:r>
    </w:p>
    <w:p w:rsidR="001C63E0" w:rsidRPr="001C63E0" w:rsidRDefault="001C63E0" w:rsidP="00016451">
      <w:pPr>
        <w:tabs>
          <w:tab w:val="left" w:pos="284"/>
        </w:tabs>
        <w:spacing w:before="40"/>
        <w:ind w:left="284" w:hanging="284"/>
        <w:rPr>
          <w:rFonts w:cs="Arial"/>
          <w:i/>
        </w:rPr>
      </w:pPr>
      <w:r w:rsidRPr="001C63E0">
        <w:rPr>
          <w:rFonts w:cs="Arial"/>
        </w:rPr>
        <w:t>-</w:t>
      </w:r>
      <w:r w:rsidRPr="001C63E0">
        <w:rPr>
          <w:rFonts w:cs="Arial"/>
        </w:rPr>
        <w:tab/>
        <w:t>a p. 15: «</w:t>
      </w:r>
      <w:r w:rsidRPr="001C63E0">
        <w:rPr>
          <w:rFonts w:cs="Arial"/>
          <w:i/>
        </w:rPr>
        <w:t>se il contributo supplementare di finanziamento non fosse concesso, dal 31.12.2030, lo Stato sarà chiamato a versare all’IPCT, sullo scoperto, che potrebbe essere superiore a CHF</w:t>
      </w:r>
      <w:r w:rsidR="00DF2942">
        <w:rPr>
          <w:rFonts w:cs="Arial"/>
          <w:i/>
        </w:rPr>
        <w:t xml:space="preserve"> </w:t>
      </w:r>
      <w:r w:rsidRPr="001C63E0">
        <w:rPr>
          <w:rFonts w:cs="Arial"/>
          <w:i/>
        </w:rPr>
        <w:t>500 milioni, un interesse ad un tasso che ora non è prevedibile, per un importo annuo che potrebbe essere superiore a quanto previsto con il presente Messaggio.</w:t>
      </w:r>
    </w:p>
    <w:p w:rsidR="001C63E0" w:rsidRPr="001C63E0" w:rsidRDefault="001C63E0" w:rsidP="00016451">
      <w:pPr>
        <w:tabs>
          <w:tab w:val="left" w:pos="284"/>
        </w:tabs>
        <w:spacing w:before="120"/>
        <w:ind w:left="284" w:hanging="284"/>
        <w:rPr>
          <w:rFonts w:cs="Arial"/>
          <w:i/>
        </w:rPr>
      </w:pPr>
      <w:r w:rsidRPr="001C63E0">
        <w:rPr>
          <w:rFonts w:cs="Arial"/>
          <w:i/>
        </w:rPr>
        <w:tab/>
        <w:t>Un intervento immediato potrà quindi permettere di evitare maggiori esborsi in futuro.</w:t>
      </w:r>
    </w:p>
    <w:p w:rsidR="001C63E0" w:rsidRPr="001C63E0" w:rsidRDefault="001C63E0" w:rsidP="00016451">
      <w:pPr>
        <w:tabs>
          <w:tab w:val="left" w:pos="284"/>
        </w:tabs>
        <w:spacing w:before="120"/>
        <w:ind w:left="284" w:hanging="284"/>
        <w:rPr>
          <w:rFonts w:cs="Arial"/>
        </w:rPr>
      </w:pPr>
      <w:r w:rsidRPr="001C63E0">
        <w:rPr>
          <w:rFonts w:cs="Arial"/>
          <w:i/>
        </w:rPr>
        <w:tab/>
        <w:t>Inoltre la mancata concessione del contributo supplementare, a più breve termine, avrà come conseguenza l’allontanamento marcato e prolungato nel tempo dal cosiddetto “cammino di finanziamento”. Questo stato di cose potrebbe indurre l’Autorità di vigilanza a imporre all’IPCT delle misure di rientro molto incisive che andrebbero a colpire gli assicurati attivi quali ad esempio la sospensione dell’attribuzione di interessi sull’avere di vecchiaia e il prelievo di contributi supplementari (che sarebbero pure a carico dello Stato e dei datori di lavoro affiliati)</w:t>
      </w:r>
      <w:r w:rsidRPr="001C63E0">
        <w:rPr>
          <w:rFonts w:cs="Arial"/>
        </w:rPr>
        <w:t>».</w:t>
      </w:r>
    </w:p>
    <w:p w:rsidR="001C63E0" w:rsidRPr="001C63E0" w:rsidRDefault="001C63E0" w:rsidP="00EC5775">
      <w:pPr>
        <w:tabs>
          <w:tab w:val="left" w:pos="426"/>
        </w:tabs>
        <w:ind w:left="425" w:hanging="425"/>
        <w:rPr>
          <w:rFonts w:cs="Arial"/>
          <w:iCs/>
        </w:rPr>
      </w:pPr>
    </w:p>
    <w:p w:rsidR="00F925ED" w:rsidRDefault="001C63E0" w:rsidP="00EC5775">
      <w:pPr>
        <w:rPr>
          <w:rFonts w:cs="Arial"/>
          <w:iCs/>
        </w:rPr>
      </w:pPr>
      <w:r w:rsidRPr="001C63E0">
        <w:rPr>
          <w:rFonts w:cs="Arial"/>
          <w:iCs/>
        </w:rPr>
        <w:t xml:space="preserve">Per la precisione, va osservato che l’abbassamento del tasso di conversione menzionato a p. 1 del messaggio non sarebbe una conseguenza della mancata concessione dei CHF 500 milioni. In effetti, l’abbassamento dei tassi di conversione avverrà a prescindere da questo contributo integrativo (a causa della riduzione del tasso tecnico adottato dall’IPCT, passato </w:t>
      </w:r>
      <w:r w:rsidR="00F925ED">
        <w:rPr>
          <w:rFonts w:cs="Arial"/>
          <w:iCs/>
        </w:rPr>
        <w:br/>
      </w:r>
    </w:p>
    <w:p w:rsidR="001C63E0" w:rsidRPr="001C63E0" w:rsidRDefault="001C63E0" w:rsidP="00EC5775">
      <w:pPr>
        <w:rPr>
          <w:rFonts w:cs="Arial"/>
          <w:iCs/>
        </w:rPr>
      </w:pPr>
      <w:r w:rsidRPr="001C63E0">
        <w:rPr>
          <w:rFonts w:cs="Arial"/>
          <w:iCs/>
        </w:rPr>
        <w:lastRenderedPageBreak/>
        <w:t>dal 3.50% al 2.00% con prospettiva di ulteriore riduzione), così come le relative misure di compensazione saranno, per quanto di competenza del Gran Consiglio, in ogni caso oggetto di un Messaggio separato da parte del Consiglio di Stato all’attenzione del Gran Consiglio (cfr. p.</w:t>
      </w:r>
      <w:r w:rsidR="00DF2942">
        <w:rPr>
          <w:rFonts w:cs="Arial"/>
          <w:iCs/>
        </w:rPr>
        <w:t xml:space="preserve"> </w:t>
      </w:r>
      <w:r w:rsidRPr="001C63E0">
        <w:rPr>
          <w:rFonts w:cs="Arial"/>
          <w:iCs/>
        </w:rPr>
        <w:t>2 in fondo e p.</w:t>
      </w:r>
      <w:r w:rsidR="00DF2942">
        <w:rPr>
          <w:rFonts w:cs="Arial"/>
          <w:iCs/>
        </w:rPr>
        <w:t xml:space="preserve"> </w:t>
      </w:r>
      <w:r w:rsidRPr="001C63E0">
        <w:rPr>
          <w:rFonts w:cs="Arial"/>
          <w:iCs/>
        </w:rPr>
        <w:t xml:space="preserve">18 in cima del M7784). È invece vero è che senza i CHF 500 milioni le eventuali misure di compensazione di competenza del </w:t>
      </w:r>
      <w:proofErr w:type="spellStart"/>
      <w:r w:rsidRPr="001C63E0">
        <w:rPr>
          <w:rFonts w:cs="Arial"/>
          <w:iCs/>
        </w:rPr>
        <w:t>CdA</w:t>
      </w:r>
      <w:proofErr w:type="spellEnd"/>
      <w:r w:rsidRPr="001C63E0">
        <w:rPr>
          <w:rFonts w:cs="Arial"/>
          <w:iCs/>
        </w:rPr>
        <w:t xml:space="preserve"> IPCT (ad esempio una remunerazione degli averi di vecchiaia superiore al minimo LPP negli anni in cui il rendimento del patrimonio è sufficientemente buono) non potranno essere altrettanto incisive (o non potranno esserci del tutto).</w:t>
      </w:r>
    </w:p>
    <w:p w:rsidR="001C63E0" w:rsidRDefault="001C63E0" w:rsidP="00016451">
      <w:pPr>
        <w:rPr>
          <w:rFonts w:cs="Arial"/>
        </w:rPr>
      </w:pPr>
    </w:p>
    <w:p w:rsidR="00016451" w:rsidRPr="001C63E0" w:rsidRDefault="00016451" w:rsidP="00016451">
      <w:pPr>
        <w:rPr>
          <w:rFonts w:cs="Arial"/>
        </w:rPr>
      </w:pPr>
    </w:p>
    <w:p w:rsidR="001C63E0" w:rsidRPr="001C63E0" w:rsidRDefault="001C63E0" w:rsidP="00016451">
      <w:pPr>
        <w:keepNext/>
        <w:tabs>
          <w:tab w:val="left" w:pos="709"/>
        </w:tabs>
        <w:ind w:left="709" w:hanging="709"/>
        <w:outlineLvl w:val="0"/>
        <w:rPr>
          <w:rFonts w:cs="Arial"/>
          <w:b/>
          <w:szCs w:val="24"/>
          <w:lang w:val="it-IT" w:eastAsia="it-IT"/>
        </w:rPr>
      </w:pPr>
      <w:bookmarkStart w:id="37" w:name="_Toc98976097"/>
      <w:r w:rsidRPr="001C63E0">
        <w:rPr>
          <w:rFonts w:cs="Arial"/>
          <w:b/>
          <w:szCs w:val="24"/>
          <w:lang w:val="it-IT" w:eastAsia="it-IT"/>
        </w:rPr>
        <w:t>3.</w:t>
      </w:r>
      <w:r w:rsidRPr="001C63E0">
        <w:rPr>
          <w:rFonts w:cs="Arial"/>
          <w:b/>
          <w:szCs w:val="24"/>
          <w:lang w:val="it-IT" w:eastAsia="it-IT"/>
        </w:rPr>
        <w:tab/>
        <w:t>QUESTIONI TECNICHE GENERALI DISCUSSE DURANTE L’AUDIZIONE SOTTOCOMMISSIONALE DEL 21 LUGLIO 2020</w:t>
      </w:r>
      <w:r w:rsidRPr="001C63E0">
        <w:rPr>
          <w:rFonts w:cs="Arial"/>
          <w:b/>
          <w:szCs w:val="24"/>
          <w:vertAlign w:val="superscript"/>
          <w:lang w:val="it-IT" w:eastAsia="it-IT"/>
        </w:rPr>
        <w:footnoteReference w:id="25"/>
      </w:r>
      <w:bookmarkEnd w:id="37"/>
    </w:p>
    <w:p w:rsidR="001C63E0" w:rsidRPr="001C63E0" w:rsidRDefault="001C63E0" w:rsidP="001C63E0">
      <w:pPr>
        <w:keepNext/>
        <w:tabs>
          <w:tab w:val="left" w:pos="709"/>
        </w:tabs>
        <w:spacing w:before="120"/>
        <w:ind w:left="360" w:hanging="360"/>
        <w:outlineLvl w:val="1"/>
        <w:rPr>
          <w:rFonts w:cs="Arial"/>
          <w:b/>
          <w:lang w:val="it-IT" w:eastAsia="it-IT"/>
        </w:rPr>
      </w:pPr>
      <w:bookmarkStart w:id="38" w:name="_Toc98976098"/>
      <w:r w:rsidRPr="001C63E0">
        <w:rPr>
          <w:rFonts w:cs="Arial"/>
          <w:b/>
          <w:lang w:val="it-IT" w:eastAsia="it-IT"/>
        </w:rPr>
        <w:t>3.1</w:t>
      </w:r>
      <w:r w:rsidR="00016451">
        <w:rPr>
          <w:rFonts w:cs="Arial"/>
          <w:b/>
          <w:lang w:val="it-IT" w:eastAsia="it-IT"/>
        </w:rPr>
        <w:tab/>
      </w:r>
      <w:r w:rsidRPr="001C63E0">
        <w:rPr>
          <w:rFonts w:cs="Arial"/>
          <w:b/>
          <w:lang w:val="it-IT" w:eastAsia="it-IT"/>
        </w:rPr>
        <w:tab/>
        <w:t xml:space="preserve">Tassi di mercato, capacità di rischio dell’IPCT e modalità di riconoscimento del </w:t>
      </w:r>
      <w:r w:rsidR="00016451">
        <w:rPr>
          <w:rFonts w:cs="Arial"/>
          <w:b/>
          <w:lang w:val="it-IT" w:eastAsia="it-IT"/>
        </w:rPr>
        <w:tab/>
      </w:r>
      <w:r w:rsidRPr="001C63E0">
        <w:rPr>
          <w:rFonts w:cs="Arial"/>
          <w:b/>
          <w:lang w:val="it-IT" w:eastAsia="it-IT"/>
        </w:rPr>
        <w:t>contributo supplementare di CHF 500 milioni da parte del Cantone</w:t>
      </w:r>
      <w:bookmarkEnd w:id="38"/>
    </w:p>
    <w:p w:rsidR="001C63E0" w:rsidRPr="001C63E0" w:rsidRDefault="001C63E0" w:rsidP="001C63E0">
      <w:pPr>
        <w:spacing w:before="120"/>
        <w:rPr>
          <w:rFonts w:cs="Arial"/>
        </w:rPr>
      </w:pPr>
      <w:r w:rsidRPr="001C63E0">
        <w:rPr>
          <w:rFonts w:cs="Arial"/>
        </w:rPr>
        <w:t>A differenza del contributo stanziato nel 2012, nel presente caso il Cantone verserà soltanto «</w:t>
      </w:r>
      <w:r w:rsidRPr="001C63E0">
        <w:rPr>
          <w:rFonts w:cs="Arial"/>
          <w:i/>
        </w:rPr>
        <w:t>una rimunerazione annua sul valore del contributo supplementare […]. Contabilmente, la registrazione del contributo supplementare avverrà in modo analogo a quanto avvenuto con il precedente contributo di risanamento. Il Cantone iscriverà in questo senso nel suo bilancio un riconoscimento di debito nei confronti dell’IPCT. Sul debito residuo effettivo del Cantone nei confronti dell’IPCT sarà garantito un rendimento complessivo pari al tasso tecnico più un supplemento dello 0.5% necessario per il finanziamento dei costi pensionistici a seguito dell’aumento atteso della longevità. Essendo attualmente il tasso tecnico pari al 2% all’IPCT sarebbe riconosciuto inizialmente un tasso di interesse del 2.5% pari a CHF</w:t>
      </w:r>
      <w:r w:rsidR="00DF2942">
        <w:rPr>
          <w:rFonts w:cs="Arial"/>
          <w:i/>
        </w:rPr>
        <w:t xml:space="preserve"> </w:t>
      </w:r>
      <w:r w:rsidRPr="001C63E0">
        <w:rPr>
          <w:rFonts w:cs="Arial"/>
          <w:i/>
        </w:rPr>
        <w:t>12.5 milioni</w:t>
      </w:r>
      <w:r w:rsidRPr="001C63E0">
        <w:rPr>
          <w:rFonts w:cs="Arial"/>
        </w:rPr>
        <w:t>»</w:t>
      </w:r>
      <w:r w:rsidRPr="001C63E0">
        <w:rPr>
          <w:rFonts w:cs="Arial"/>
          <w:vertAlign w:val="superscript"/>
        </w:rPr>
        <w:footnoteReference w:id="26"/>
      </w:r>
      <w:r w:rsidRPr="001C63E0">
        <w:rPr>
          <w:rFonts w:cs="Arial"/>
        </w:rPr>
        <w:t>.</w:t>
      </w:r>
    </w:p>
    <w:p w:rsidR="001C63E0" w:rsidRPr="001C63E0" w:rsidRDefault="001C63E0" w:rsidP="001C63E0">
      <w:pPr>
        <w:spacing w:before="120"/>
        <w:rPr>
          <w:rFonts w:cs="Arial"/>
        </w:rPr>
      </w:pPr>
      <w:r w:rsidRPr="001C63E0">
        <w:rPr>
          <w:rFonts w:cs="Arial"/>
        </w:rPr>
        <w:t>Il riconoscimento di un rendimento supplementare rispetto alle condizioni di mercato «</w:t>
      </w:r>
      <w:r w:rsidRPr="001C63E0">
        <w:rPr>
          <w:rFonts w:cs="Arial"/>
          <w:i/>
        </w:rPr>
        <w:t>persegue lo scopo di sostenere l’IPCT in questa fase di risanamento, che interviene in un contesto di rendimenti di mercato che si situano a livelli molto bassi</w:t>
      </w:r>
      <w:r w:rsidRPr="001C63E0">
        <w:rPr>
          <w:rFonts w:cs="Arial"/>
        </w:rPr>
        <w:t>»</w:t>
      </w:r>
      <w:r w:rsidRPr="001C63E0">
        <w:rPr>
          <w:rFonts w:cs="Arial"/>
          <w:vertAlign w:val="superscript"/>
        </w:rPr>
        <w:footnoteReference w:id="27"/>
      </w:r>
      <w:r w:rsidRPr="001C63E0">
        <w:rPr>
          <w:rFonts w:cs="Arial"/>
        </w:rPr>
        <w:t>.</w:t>
      </w:r>
    </w:p>
    <w:p w:rsidR="001C63E0" w:rsidRPr="001C63E0" w:rsidRDefault="001C63E0" w:rsidP="001C63E0">
      <w:pPr>
        <w:spacing w:before="120"/>
        <w:rPr>
          <w:rFonts w:cs="Arial"/>
        </w:rPr>
      </w:pPr>
      <w:r w:rsidRPr="001C63E0">
        <w:rPr>
          <w:rFonts w:cs="Arial"/>
        </w:rPr>
        <w:t xml:space="preserve">Durante l’audizione della Sottocommissione "Finanze" del 21 luglio 2020 questo aspetto è stato tematizzato e approfondito con attenzione. Visto che </w:t>
      </w:r>
      <w:r w:rsidRPr="001C63E0">
        <w:rPr>
          <w:rFonts w:cs="Arial"/>
          <w:szCs w:val="24"/>
        </w:rPr>
        <w:t>l’IPCT ha realizzato dalla sua istituzione (2013) rendimenti medi del 4% – definiti, «</w:t>
      </w:r>
      <w:r w:rsidRPr="001C63E0">
        <w:rPr>
          <w:rFonts w:cs="Arial"/>
          <w:i/>
          <w:szCs w:val="24"/>
        </w:rPr>
        <w:t>sia a livello assoluto sia sul piano relativo in confronto con altre casse pensioni in Svizzera, estremamente buoni, se non addirittura eccezionali</w:t>
      </w:r>
      <w:r w:rsidRPr="001C63E0">
        <w:rPr>
          <w:rFonts w:cs="Arial"/>
          <w:szCs w:val="24"/>
        </w:rPr>
        <w:t>»</w:t>
      </w:r>
      <w:r w:rsidRPr="001C63E0">
        <w:rPr>
          <w:rFonts w:cs="Arial"/>
          <w:szCs w:val="24"/>
          <w:vertAlign w:val="superscript"/>
        </w:rPr>
        <w:footnoteReference w:id="28"/>
      </w:r>
      <w:r w:rsidRPr="001C63E0">
        <w:rPr>
          <w:rFonts w:cs="Arial"/>
          <w:szCs w:val="24"/>
        </w:rPr>
        <w:t xml:space="preserve"> dal Consulente per gli investimenti mobiliari Alfredo Fusetti (</w:t>
      </w:r>
      <w:proofErr w:type="spellStart"/>
      <w:r w:rsidR="00DF2942">
        <w:fldChar w:fldCharType="begin"/>
      </w:r>
      <w:r w:rsidR="00DF2942">
        <w:instrText xml:space="preserve"> HYPERLINK "https://www.ppcmetrics.ch/fr/accueil/" </w:instrText>
      </w:r>
      <w:r w:rsidR="00DF2942">
        <w:fldChar w:fldCharType="separate"/>
      </w:r>
      <w:r w:rsidRPr="001C63E0">
        <w:rPr>
          <w:rFonts w:cs="Arial"/>
          <w:color w:val="0000FF"/>
          <w:szCs w:val="24"/>
          <w:u w:val="single"/>
        </w:rPr>
        <w:t>PPCmetrics</w:t>
      </w:r>
      <w:proofErr w:type="spellEnd"/>
      <w:r w:rsidR="00DF2942">
        <w:rPr>
          <w:rFonts w:cs="Arial"/>
          <w:color w:val="0000FF"/>
          <w:szCs w:val="24"/>
          <w:u w:val="single"/>
        </w:rPr>
        <w:fldChar w:fldCharType="end"/>
      </w:r>
      <w:r w:rsidRPr="001C63E0">
        <w:rPr>
          <w:rFonts w:cs="Arial"/>
          <w:szCs w:val="24"/>
        </w:rPr>
        <w:t xml:space="preserve"> Zurigo) – è emersa l’eventualità che l’importo di CHF</w:t>
      </w:r>
      <w:r w:rsidR="00DF2942">
        <w:rPr>
          <w:rFonts w:cs="Arial"/>
          <w:szCs w:val="24"/>
        </w:rPr>
        <w:t xml:space="preserve"> </w:t>
      </w:r>
      <w:r w:rsidRPr="001C63E0">
        <w:rPr>
          <w:rFonts w:cs="Arial"/>
          <w:szCs w:val="24"/>
        </w:rPr>
        <w:t xml:space="preserve">500 milioni venga versato </w:t>
      </w:r>
      <w:r w:rsidRPr="001C63E0">
        <w:rPr>
          <w:rFonts w:cs="Arial"/>
        </w:rPr>
        <w:t xml:space="preserve">direttamente all’IPCT, il quale dovrebbe poi gestirlo sul mercato; questo appunto perché esso ha dimostrato importanti capacità a livello di </w:t>
      </w:r>
      <w:proofErr w:type="spellStart"/>
      <w:r w:rsidRPr="001C63E0">
        <w:rPr>
          <w:rFonts w:cs="Arial"/>
          <w:i/>
        </w:rPr>
        <w:t>asset</w:t>
      </w:r>
      <w:proofErr w:type="spellEnd"/>
      <w:r w:rsidRPr="001C63E0">
        <w:rPr>
          <w:rFonts w:cs="Arial"/>
          <w:i/>
        </w:rPr>
        <w:t xml:space="preserve"> management</w:t>
      </w:r>
      <w:r w:rsidRPr="001C63E0">
        <w:rPr>
          <w:rFonts w:cs="Arial"/>
        </w:rPr>
        <w:t>. Il problema è infatti che dal 2013 il Cantone sta remunerando il capitale senza rischio, a interessi ben superiori di quelli di mercato, che addirittura sono negativi (-0.5%) sulle obbligazioni decennali della Confederazione.</w:t>
      </w:r>
    </w:p>
    <w:p w:rsidR="00F925ED" w:rsidRDefault="001C63E0" w:rsidP="001C63E0">
      <w:pPr>
        <w:spacing w:before="120"/>
        <w:rPr>
          <w:rFonts w:cs="Arial"/>
          <w:i/>
        </w:rPr>
      </w:pPr>
      <w:r w:rsidRPr="001C63E0">
        <w:rPr>
          <w:rFonts w:cs="Arial"/>
        </w:rPr>
        <w:t>I vertici dell’IPCT hanno sostenuto che «</w:t>
      </w:r>
      <w:r w:rsidRPr="001C63E0">
        <w:rPr>
          <w:rFonts w:cs="Arial"/>
          <w:i/>
        </w:rPr>
        <w:t>il fatto di chiedere allo Stato la remunerazione al tasso tecnico è semplicemente perché per noi è una sicurezza in più. Ipotizziamo che avessimo ricevuto questo contributo nel mese di gennaio, ne avremmo perso subito un quarto a seguito del crollo dei mercati dovuto al coronavirus. Entrare con CHF</w:t>
      </w:r>
      <w:r w:rsidR="00DF2942">
        <w:rPr>
          <w:rFonts w:cs="Arial"/>
          <w:i/>
        </w:rPr>
        <w:t xml:space="preserve"> </w:t>
      </w:r>
      <w:r w:rsidRPr="001C63E0">
        <w:rPr>
          <w:rFonts w:cs="Arial"/>
          <w:i/>
        </w:rPr>
        <w:t xml:space="preserve">500 milioni sul mercato, a dipendenza della fase in cui ci si trova, potrebbe essere un rischio. […] </w:t>
      </w:r>
      <w:r w:rsidRPr="001C63E0">
        <w:rPr>
          <w:rFonts w:cs="Arial"/>
          <w:i/>
        </w:rPr>
        <w:br/>
      </w:r>
    </w:p>
    <w:p w:rsidR="001C63E0" w:rsidRPr="001C63E0" w:rsidRDefault="001C63E0" w:rsidP="001C63E0">
      <w:pPr>
        <w:spacing w:before="120"/>
        <w:rPr>
          <w:rFonts w:cs="Arial"/>
        </w:rPr>
      </w:pPr>
      <w:r w:rsidRPr="001C63E0">
        <w:rPr>
          <w:rFonts w:cs="Arial"/>
          <w:i/>
        </w:rPr>
        <w:lastRenderedPageBreak/>
        <w:t>Se l’importo di CHF</w:t>
      </w:r>
      <w:r w:rsidR="00DF2942">
        <w:rPr>
          <w:rFonts w:cs="Arial"/>
          <w:i/>
        </w:rPr>
        <w:t xml:space="preserve"> </w:t>
      </w:r>
      <w:r w:rsidRPr="001C63E0">
        <w:rPr>
          <w:rFonts w:cs="Arial"/>
          <w:i/>
        </w:rPr>
        <w:t>500 milioni rende in futuro nel mercato come il tasso tecnico, non è necessaria una somma superiore, perché il risultato è identico. Il problema è che non sarà così: il rendimento futuro non è garantito perché la volatilità dei mercati è estremamente alta; è quindi probabile che l’IPCT verrà a chiedere nuove risorse. Invece le modalità previste nel M7784 per dare questo contributo permettono di stabilizzare il grado di copertura della cassa; è questo il grandissimo vantaggio per l’IPCT di poter disporre di CHF 500 milioni "ex bilancio"</w:t>
      </w:r>
      <w:r w:rsidRPr="001C63E0">
        <w:rPr>
          <w:rFonts w:cs="Arial"/>
        </w:rPr>
        <w:t>»</w:t>
      </w:r>
      <w:r w:rsidRPr="001C63E0">
        <w:rPr>
          <w:rFonts w:cs="Arial"/>
          <w:szCs w:val="24"/>
          <w:vertAlign w:val="superscript"/>
        </w:rPr>
        <w:footnoteReference w:id="29"/>
      </w:r>
      <w:r w:rsidRPr="001C63E0">
        <w:rPr>
          <w:rFonts w:cs="Arial"/>
        </w:rPr>
        <w:t xml:space="preserve">. </w:t>
      </w:r>
    </w:p>
    <w:p w:rsidR="001C63E0" w:rsidRPr="001C63E0" w:rsidRDefault="001C63E0" w:rsidP="001C63E0">
      <w:pPr>
        <w:spacing w:before="120"/>
        <w:rPr>
          <w:rFonts w:cs="Arial"/>
        </w:rPr>
      </w:pPr>
      <w:r w:rsidRPr="001C63E0">
        <w:rPr>
          <w:rFonts w:cs="Arial"/>
        </w:rPr>
        <w:t>Circa il tema della capacità di rischio dell’IPCT, quest’ultimo ha, a livello di bilancio, una parte del patrimonio che è legata ai pensionati, un’altra che riguarda i beneficiari delle garanzie e un’altra ancora che concerne gli assicurati attivi. Ogni tre o quattro anni viene effettuato, in collaborazione con</w:t>
      </w:r>
      <w:r w:rsidRPr="001C63E0">
        <w:rPr>
          <w:rFonts w:cs="Arial"/>
          <w:szCs w:val="24"/>
        </w:rPr>
        <w:t xml:space="preserve"> il Consulente per gli investimenti mobiliari Alfredo Fusetti</w:t>
      </w:r>
      <w:r w:rsidRPr="001C63E0">
        <w:rPr>
          <w:rFonts w:cs="Arial"/>
        </w:rPr>
        <w:t>, uno studio ALM (</w:t>
      </w:r>
      <w:proofErr w:type="spellStart"/>
      <w:r w:rsidRPr="001C63E0">
        <w:rPr>
          <w:rFonts w:cs="Arial"/>
          <w:i/>
        </w:rPr>
        <w:t>asset</w:t>
      </w:r>
      <w:proofErr w:type="spellEnd"/>
      <w:r w:rsidRPr="001C63E0">
        <w:rPr>
          <w:rFonts w:cs="Arial"/>
          <w:i/>
        </w:rPr>
        <w:t xml:space="preserve"> </w:t>
      </w:r>
      <w:proofErr w:type="spellStart"/>
      <w:r w:rsidRPr="001C63E0">
        <w:rPr>
          <w:rFonts w:cs="Arial"/>
          <w:i/>
        </w:rPr>
        <w:t>liability</w:t>
      </w:r>
      <w:proofErr w:type="spellEnd"/>
      <w:r w:rsidRPr="001C63E0">
        <w:rPr>
          <w:rFonts w:cs="Arial"/>
          <w:i/>
        </w:rPr>
        <w:t xml:space="preserve"> management</w:t>
      </w:r>
      <w:r w:rsidRPr="001C63E0">
        <w:rPr>
          <w:rFonts w:cs="Arial"/>
        </w:rPr>
        <w:t>), allo scopo di capire qual è la capacità di rischio dell’IPCT. L’ultimo studio ALM risale a due anni or sono: guardando unicamente le cifre, l’IPCT, dato che ha il 60-70% di pensionati e si trova in una situazione di sotto-copertura, ha una capacità di rischio quasi pari a zero. Bisognerebbe allora utilizzare le obbligazioni della Confederazione, che hanno però un rendimento pari a -0.5%, di modo che si aumenterebbe il deficit di altri 2 miliardi. L’IPCT gode però della garanzia dello Stato, un elemento fondamentale dal quale origina la sua capacità di rischio. Il mercato continua a dare rendimenti, anche se non sono più quelli di qualche anno fa. Nessuno sa come sarà il futuro, ma occorre prendersi dei rischi per poter continuare a conseguire un rendimento decente – cioè del 2% – a medio e lungo termine. La cassa pensione ha sempre vissuto di tre pilastri: l’assicurato, il datore di lavoro e il rendimento dei capitali (o il terzo contribuente)</w:t>
      </w:r>
      <w:r w:rsidRPr="001C63E0">
        <w:rPr>
          <w:rFonts w:cs="Arial"/>
          <w:vertAlign w:val="superscript"/>
        </w:rPr>
        <w:footnoteReference w:id="30"/>
      </w:r>
      <w:r w:rsidRPr="001C63E0">
        <w:rPr>
          <w:rFonts w:cs="Arial"/>
        </w:rPr>
        <w:t>.</w:t>
      </w:r>
    </w:p>
    <w:p w:rsidR="001C63E0" w:rsidRDefault="001C63E0" w:rsidP="00EC5775">
      <w:pPr>
        <w:rPr>
          <w:rFonts w:cs="Arial"/>
          <w:lang w:val="it-IT" w:eastAsia="it-IT"/>
        </w:rPr>
      </w:pPr>
    </w:p>
    <w:p w:rsidR="00EC5775" w:rsidRPr="001C63E0" w:rsidRDefault="00EC5775" w:rsidP="00EC5775">
      <w:pPr>
        <w:rPr>
          <w:rFonts w:cs="Arial"/>
          <w:lang w:val="it-IT" w:eastAsia="it-IT"/>
        </w:rPr>
      </w:pPr>
    </w:p>
    <w:p w:rsidR="001C63E0" w:rsidRPr="001C63E0" w:rsidRDefault="001C63E0" w:rsidP="00EC5775">
      <w:pPr>
        <w:keepNext/>
        <w:tabs>
          <w:tab w:val="left" w:pos="709"/>
        </w:tabs>
        <w:ind w:left="360" w:hanging="360"/>
        <w:outlineLvl w:val="1"/>
        <w:rPr>
          <w:rFonts w:cs="Arial"/>
          <w:b/>
          <w:lang w:val="it-IT" w:eastAsia="it-IT"/>
        </w:rPr>
      </w:pPr>
      <w:bookmarkStart w:id="39" w:name="_Toc98976099"/>
      <w:r w:rsidRPr="001C63E0">
        <w:rPr>
          <w:rFonts w:cs="Arial"/>
          <w:b/>
          <w:lang w:val="it-IT" w:eastAsia="it-IT"/>
        </w:rPr>
        <w:t>3.2</w:t>
      </w:r>
      <w:r w:rsidRPr="001C63E0">
        <w:rPr>
          <w:rFonts w:cs="Arial"/>
          <w:b/>
          <w:lang w:val="it-IT" w:eastAsia="it-IT"/>
        </w:rPr>
        <w:tab/>
      </w:r>
      <w:r w:rsidR="00D92CC6">
        <w:rPr>
          <w:rFonts w:cs="Arial"/>
          <w:b/>
          <w:lang w:val="it-IT" w:eastAsia="it-IT"/>
        </w:rPr>
        <w:tab/>
      </w:r>
      <w:r w:rsidRPr="001C63E0">
        <w:rPr>
          <w:rFonts w:cs="Arial"/>
          <w:b/>
          <w:lang w:val="it-IT" w:eastAsia="it-IT"/>
        </w:rPr>
        <w:t xml:space="preserve">La questione del tasso tecnico, tra passato (piano di risanamento del 2012), </w:t>
      </w:r>
      <w:r w:rsidR="00D92CC6">
        <w:rPr>
          <w:rFonts w:cs="Arial"/>
          <w:b/>
          <w:lang w:val="it-IT" w:eastAsia="it-IT"/>
        </w:rPr>
        <w:tab/>
      </w:r>
      <w:r w:rsidRPr="001C63E0">
        <w:rPr>
          <w:rFonts w:cs="Arial"/>
          <w:b/>
          <w:lang w:val="it-IT" w:eastAsia="it-IT"/>
        </w:rPr>
        <w:t>presente e futuro</w:t>
      </w:r>
      <w:bookmarkEnd w:id="39"/>
    </w:p>
    <w:p w:rsidR="001C63E0" w:rsidRPr="001C63E0" w:rsidRDefault="001C63E0" w:rsidP="001C63E0">
      <w:pPr>
        <w:spacing w:before="120"/>
        <w:rPr>
          <w:rFonts w:cs="Arial"/>
        </w:rPr>
      </w:pPr>
      <w:r w:rsidRPr="001C63E0">
        <w:rPr>
          <w:rFonts w:cs="Arial"/>
        </w:rPr>
        <w:t>A titolo di premessa, per quanto riguarda il tasso tecnico, occorre precisare che:</w:t>
      </w:r>
    </w:p>
    <w:p w:rsidR="001C63E0" w:rsidRPr="001C63E0" w:rsidRDefault="001C63E0" w:rsidP="001C63E0">
      <w:pPr>
        <w:tabs>
          <w:tab w:val="left" w:pos="426"/>
        </w:tabs>
        <w:spacing w:before="60"/>
        <w:ind w:left="425" w:hanging="425"/>
        <w:rPr>
          <w:rFonts w:cs="Arial"/>
        </w:rPr>
      </w:pPr>
      <w:r w:rsidRPr="001C63E0">
        <w:rPr>
          <w:rFonts w:cs="Arial"/>
        </w:rPr>
        <w:t>-</w:t>
      </w:r>
      <w:r w:rsidRPr="001C63E0">
        <w:rPr>
          <w:rFonts w:cs="Arial"/>
        </w:rPr>
        <w:tab/>
        <w:t>da una parte, ogni mezzo punto percentuale di riduzione dello stesso corrisponde per l’IPCT a un costo ammontante tra i CHF</w:t>
      </w:r>
      <w:r w:rsidR="00DF2942">
        <w:rPr>
          <w:rFonts w:cs="Arial"/>
        </w:rPr>
        <w:t xml:space="preserve"> </w:t>
      </w:r>
      <w:r w:rsidRPr="001C63E0">
        <w:rPr>
          <w:rFonts w:cs="Arial"/>
        </w:rPr>
        <w:t>300 milioni e i CHF</w:t>
      </w:r>
      <w:r w:rsidR="00DF2942">
        <w:rPr>
          <w:rFonts w:cs="Arial"/>
        </w:rPr>
        <w:t xml:space="preserve"> </w:t>
      </w:r>
      <w:r w:rsidRPr="001C63E0">
        <w:rPr>
          <w:rFonts w:cs="Arial"/>
        </w:rPr>
        <w:t>350 milioni;</w:t>
      </w:r>
    </w:p>
    <w:p w:rsidR="001C63E0" w:rsidRPr="001C63E0" w:rsidRDefault="001C63E0" w:rsidP="001C63E0">
      <w:pPr>
        <w:tabs>
          <w:tab w:val="left" w:pos="426"/>
        </w:tabs>
        <w:spacing w:before="60"/>
        <w:ind w:left="425" w:hanging="425"/>
        <w:rPr>
          <w:rFonts w:cs="Arial"/>
        </w:rPr>
      </w:pPr>
      <w:r w:rsidRPr="001C63E0">
        <w:rPr>
          <w:rFonts w:cs="Arial"/>
        </w:rPr>
        <w:t>-</w:t>
      </w:r>
      <w:r w:rsidRPr="001C63E0">
        <w:rPr>
          <w:rFonts w:cs="Arial"/>
        </w:rPr>
        <w:tab/>
        <w:t xml:space="preserve">dall’altra, la </w:t>
      </w:r>
      <w:hyperlink r:id="rId29" w:history="1">
        <w:r w:rsidRPr="001C63E0">
          <w:rPr>
            <w:rFonts w:cs="Arial"/>
            <w:color w:val="0000FF"/>
            <w:u w:val="single"/>
          </w:rPr>
          <w:t>Camera svizzera degli esperti in casse pensioni</w:t>
        </w:r>
      </w:hyperlink>
      <w:r w:rsidRPr="001C63E0">
        <w:rPr>
          <w:rFonts w:cs="Arial"/>
        </w:rPr>
        <w:t xml:space="preserve"> ha pubblicato una nuova direttiva</w:t>
      </w:r>
      <w:r w:rsidRPr="001C63E0">
        <w:rPr>
          <w:rFonts w:cs="Arial"/>
          <w:vertAlign w:val="superscript"/>
        </w:rPr>
        <w:footnoteReference w:id="31"/>
      </w:r>
      <w:r w:rsidRPr="001C63E0">
        <w:rPr>
          <w:rFonts w:cs="Arial"/>
        </w:rPr>
        <w:t xml:space="preserve"> che stabilisce che il tasso tecnico da una parte deve essere inferiore al rendimento atteso, dall’altra deve considerare la capacità di rischio strutturale dell’istituto di previdenza. Più una cassa pensione ha beneficiari di rendita, meno ha possibilità di risanamento, perché la sua capacità di rischio è limitata (deve essere il più vicino possibile al </w:t>
      </w:r>
      <w:proofErr w:type="spellStart"/>
      <w:r w:rsidRPr="001C63E0">
        <w:rPr>
          <w:rFonts w:cs="Arial"/>
          <w:i/>
        </w:rPr>
        <w:t>risk</w:t>
      </w:r>
      <w:proofErr w:type="spellEnd"/>
      <w:r w:rsidRPr="001C63E0">
        <w:rPr>
          <w:rFonts w:cs="Arial"/>
          <w:i/>
        </w:rPr>
        <w:t xml:space="preserve"> free</w:t>
      </w:r>
      <w:r w:rsidRPr="001C63E0">
        <w:rPr>
          <w:rFonts w:cs="Arial"/>
        </w:rPr>
        <w:t xml:space="preserve">), ciò che schiaccia il tasso tecnico tendenzialmente verso il basso. Lo spazio di manovra si situa praticamente tra il rendimento atteso e il </w:t>
      </w:r>
      <w:proofErr w:type="spellStart"/>
      <w:r w:rsidRPr="001C63E0">
        <w:rPr>
          <w:rFonts w:cs="Arial"/>
          <w:i/>
        </w:rPr>
        <w:t>risk</w:t>
      </w:r>
      <w:proofErr w:type="spellEnd"/>
      <w:r w:rsidRPr="001C63E0">
        <w:rPr>
          <w:rFonts w:cs="Arial"/>
          <w:i/>
        </w:rPr>
        <w:t xml:space="preserve"> free</w:t>
      </w:r>
      <w:r w:rsidRPr="001C63E0">
        <w:rPr>
          <w:rFonts w:cs="Arial"/>
        </w:rPr>
        <w:t>, che si traduce al momento attuale, semplificando, tra lo 0% e il 2.5%. All’interno di questo spread bisogna muoversi in base alla capacità di rischio strutturale, che viene valutata insieme all’attuario. Nel contesto attuale per giunta, il tasso senza rischio (limite inferiore della suddetta banda) è addirittura negativo, corrispondendo abitualmente al rendimento delle obbligazioni decennali della Confederazione (-0.5%).</w:t>
      </w:r>
    </w:p>
    <w:p w:rsidR="001C63E0" w:rsidRPr="001C63E0" w:rsidRDefault="001C63E0" w:rsidP="001C63E0">
      <w:pPr>
        <w:tabs>
          <w:tab w:val="left" w:pos="426"/>
        </w:tabs>
        <w:spacing w:before="120"/>
        <w:ind w:left="425" w:hanging="425"/>
        <w:rPr>
          <w:rFonts w:cs="Arial"/>
        </w:rPr>
      </w:pPr>
      <w:r w:rsidRPr="001C63E0">
        <w:rPr>
          <w:rFonts w:cs="Arial"/>
        </w:rPr>
        <w:tab/>
        <w:t>Questa direttiva definisce anche il limite massimo che il tasso tecnico non dovrebbe oltrepassare: al rendimento delle obbligazioni decennali della Confederazione (-0.5%), occorre aggiungere il 2.2%, per cui attualmente si è attorno all’1.7%; poi, ovviamente, bisogna anche considerare la capacità di rischio e la struttura dei pensionati.</w:t>
      </w:r>
    </w:p>
    <w:p w:rsidR="001C63E0" w:rsidRPr="001C63E0" w:rsidRDefault="001C63E0" w:rsidP="001C63E0">
      <w:pPr>
        <w:spacing w:before="120"/>
        <w:rPr>
          <w:rFonts w:cs="Arial"/>
        </w:rPr>
      </w:pPr>
      <w:r w:rsidRPr="001C63E0">
        <w:rPr>
          <w:rFonts w:cs="Arial"/>
        </w:rPr>
        <w:lastRenderedPageBreak/>
        <w:t xml:space="preserve">Durante l’audizione è stata posta la seguente domanda: il tasso tecnico utilizzato per l’allestimento del piano di risanamento votato nel 2012 – che era pari al 3.5% e aveva ricevuto l’avallo di AON </w:t>
      </w:r>
      <w:proofErr w:type="spellStart"/>
      <w:r w:rsidRPr="001C63E0">
        <w:rPr>
          <w:rFonts w:cs="Arial"/>
        </w:rPr>
        <w:t>Suisse</w:t>
      </w:r>
      <w:proofErr w:type="spellEnd"/>
      <w:r w:rsidRPr="001C63E0">
        <w:rPr>
          <w:rFonts w:cs="Arial"/>
        </w:rPr>
        <w:t xml:space="preserve"> SA</w:t>
      </w:r>
      <w:r w:rsidRPr="001C63E0">
        <w:rPr>
          <w:rFonts w:cs="Arial"/>
          <w:vertAlign w:val="superscript"/>
        </w:rPr>
        <w:footnoteReference w:id="32"/>
      </w:r>
      <w:r w:rsidRPr="001C63E0">
        <w:rPr>
          <w:rFonts w:cs="Arial"/>
        </w:rPr>
        <w:t xml:space="preserve"> – era credibile, valido e giustificato in base a raffronti con altri istituti previdenziali? Oppure era semplicemente il frutto di un accordo o compromesso che, dal punto di vista politico, poteva all’epoca essere ritenuto ragionevole?</w:t>
      </w:r>
    </w:p>
    <w:p w:rsidR="001C63E0" w:rsidRPr="001C63E0" w:rsidRDefault="001C63E0" w:rsidP="001C63E0">
      <w:pPr>
        <w:spacing w:before="120"/>
        <w:rPr>
          <w:rFonts w:cs="Arial"/>
        </w:rPr>
      </w:pPr>
      <w:r w:rsidRPr="001C63E0">
        <w:rPr>
          <w:rFonts w:cs="Arial"/>
        </w:rPr>
        <w:t>Dopo aver rimarcato che il tema del tasso tecnico non era centrale nel dibattito di allora – lo era semmai quello del passaggio a un piano previdenziale secondo il primato dei contributi («</w:t>
      </w:r>
      <w:r w:rsidRPr="001C63E0">
        <w:rPr>
          <w:rFonts w:cs="Arial"/>
          <w:i/>
        </w:rPr>
        <w:t>cioè a un regime di sostanziale incertezza rispetto alla situazione precedente, basata sul primato delle prestazioni</w:t>
      </w:r>
      <w:r w:rsidRPr="001C63E0">
        <w:rPr>
          <w:rFonts w:cs="Arial"/>
        </w:rPr>
        <w:t>»</w:t>
      </w:r>
      <w:r w:rsidRPr="001C63E0">
        <w:rPr>
          <w:rFonts w:cs="Arial"/>
          <w:vertAlign w:val="superscript"/>
        </w:rPr>
        <w:footnoteReference w:id="33"/>
      </w:r>
      <w:r w:rsidRPr="001C63E0">
        <w:rPr>
          <w:rFonts w:cs="Arial"/>
        </w:rPr>
        <w:t xml:space="preserve">) –, i vertici dell’IPCT hanno specificato che la società </w:t>
      </w:r>
      <w:proofErr w:type="spellStart"/>
      <w:r w:rsidRPr="001C63E0">
        <w:rPr>
          <w:rFonts w:cs="Arial"/>
        </w:rPr>
        <w:t>Aon</w:t>
      </w:r>
      <w:proofErr w:type="spellEnd"/>
      <w:r w:rsidRPr="001C63E0">
        <w:rPr>
          <w:rFonts w:cs="Arial"/>
        </w:rPr>
        <w:t xml:space="preserve"> Hewitt SA, nel contesto degli studi preliminari relativi al piano di risanamento poi accolto nel novembre 2012, aveva raccomandato di diminuire il tasso tecnico perlomeno dal 4% al 3.5%, meglio se fino al 3%</w:t>
      </w:r>
      <w:r w:rsidRPr="001C63E0">
        <w:rPr>
          <w:rFonts w:cs="Arial"/>
          <w:vertAlign w:val="superscript"/>
        </w:rPr>
        <w:footnoteReference w:id="34"/>
      </w:r>
      <w:r w:rsidRPr="001C63E0">
        <w:rPr>
          <w:rFonts w:cs="Arial"/>
        </w:rPr>
        <w:t>. Dal 1985 fino al 2006/2007 il tasso tecnico è sempre rimasto pari al 4%; non vi erano discussioni se abbassarlo o meno, perché è sempre stato visto come un parametro sì importante, ma che doveva rimanere fisso nel tempo perché altrimenti istituti previdenziali come l’IPCT – cioè con un grande numero di pensionati – si sarebbero ritrovati destabilizzati. Il problema è che se si riduce il tasso tecnico occorre poi reperire i soldi per coprire il costo delle rendite di coloro che sono al beneficio della pensione. Il consiglio del perito, nella sua indicazione minimale, è stato seguito: si è passati al 3.5%, con un onere comunque non indifferente.</w:t>
      </w:r>
    </w:p>
    <w:p w:rsidR="001C63E0" w:rsidRPr="001C63E0" w:rsidRDefault="001C63E0" w:rsidP="001C63E0">
      <w:pPr>
        <w:spacing w:before="120"/>
        <w:rPr>
          <w:rFonts w:cs="Arial"/>
        </w:rPr>
      </w:pPr>
      <w:r w:rsidRPr="001C63E0">
        <w:rPr>
          <w:rFonts w:cs="Arial"/>
        </w:rPr>
        <w:t xml:space="preserve">Attualmente il tasso tecnico dell’IPCT è pari al 2%, quindi allineato a quanto succede nel mercato delle casse pensioni cantonali. In effetti a fine 2019 il tasso tecnico medio era di poco superiore al 2%; ad esempio la </w:t>
      </w:r>
      <w:hyperlink r:id="rId30" w:history="1">
        <w:r w:rsidRPr="001C63E0">
          <w:rPr>
            <w:rFonts w:cs="Arial"/>
            <w:color w:val="0000FF"/>
            <w:u w:val="single"/>
          </w:rPr>
          <w:t>BVK</w:t>
        </w:r>
      </w:hyperlink>
      <w:r w:rsidRPr="001C63E0">
        <w:rPr>
          <w:rFonts w:cs="Arial"/>
        </w:rPr>
        <w:t xml:space="preserve"> (Zurigo) applicava il 2%, la </w:t>
      </w:r>
      <w:hyperlink r:id="rId31" w:history="1">
        <w:proofErr w:type="spellStart"/>
        <w:r w:rsidRPr="001C63E0">
          <w:rPr>
            <w:rFonts w:cs="Arial"/>
            <w:color w:val="0000FF"/>
            <w:u w:val="single"/>
          </w:rPr>
          <w:t>Zuger</w:t>
        </w:r>
        <w:proofErr w:type="spellEnd"/>
        <w:r w:rsidRPr="001C63E0">
          <w:rPr>
            <w:rFonts w:cs="Arial"/>
            <w:color w:val="0000FF"/>
            <w:u w:val="single"/>
          </w:rPr>
          <w:t xml:space="preserve"> </w:t>
        </w:r>
        <w:proofErr w:type="spellStart"/>
        <w:r w:rsidRPr="001C63E0">
          <w:rPr>
            <w:rFonts w:cs="Arial"/>
            <w:color w:val="0000FF"/>
            <w:u w:val="single"/>
          </w:rPr>
          <w:t>Pensionskasse</w:t>
        </w:r>
        <w:proofErr w:type="spellEnd"/>
      </w:hyperlink>
      <w:r w:rsidRPr="001C63E0">
        <w:rPr>
          <w:rFonts w:cs="Arial"/>
        </w:rPr>
        <w:t xml:space="preserve"> l’1.5%, la </w:t>
      </w:r>
      <w:hyperlink r:id="rId32" w:anchor="f0" w:history="1">
        <w:proofErr w:type="spellStart"/>
        <w:r w:rsidRPr="001C63E0">
          <w:rPr>
            <w:rFonts w:cs="Arial"/>
            <w:color w:val="0000FF"/>
            <w:u w:val="single"/>
          </w:rPr>
          <w:t>Caisse</w:t>
        </w:r>
        <w:proofErr w:type="spellEnd"/>
        <w:r w:rsidRPr="001C63E0">
          <w:rPr>
            <w:rFonts w:cs="Arial"/>
            <w:color w:val="0000FF"/>
            <w:u w:val="single"/>
          </w:rPr>
          <w:t xml:space="preserve"> de </w:t>
        </w:r>
        <w:proofErr w:type="spellStart"/>
        <w:r w:rsidRPr="001C63E0">
          <w:rPr>
            <w:rFonts w:cs="Arial"/>
            <w:color w:val="0000FF"/>
            <w:u w:val="single"/>
          </w:rPr>
          <w:t>prévoyance</w:t>
        </w:r>
        <w:proofErr w:type="spellEnd"/>
        <w:r w:rsidRPr="001C63E0">
          <w:rPr>
            <w:rFonts w:cs="Arial"/>
            <w:color w:val="0000FF"/>
            <w:u w:val="single"/>
          </w:rPr>
          <w:t xml:space="preserve"> de l’</w:t>
        </w:r>
        <w:proofErr w:type="spellStart"/>
        <w:r w:rsidRPr="001C63E0">
          <w:rPr>
            <w:rFonts w:cs="Arial"/>
            <w:color w:val="0000FF"/>
            <w:u w:val="single"/>
          </w:rPr>
          <w:t>Etat</w:t>
        </w:r>
        <w:proofErr w:type="spellEnd"/>
        <w:r w:rsidRPr="001C63E0">
          <w:rPr>
            <w:rFonts w:cs="Arial"/>
            <w:color w:val="0000FF"/>
            <w:u w:val="single"/>
          </w:rPr>
          <w:t xml:space="preserve"> </w:t>
        </w:r>
        <w:proofErr w:type="spellStart"/>
        <w:r w:rsidRPr="001C63E0">
          <w:rPr>
            <w:rFonts w:cs="Arial"/>
            <w:color w:val="0000FF"/>
            <w:u w:val="single"/>
          </w:rPr>
          <w:t>du</w:t>
        </w:r>
        <w:proofErr w:type="spellEnd"/>
        <w:r w:rsidRPr="001C63E0">
          <w:rPr>
            <w:rFonts w:cs="Arial"/>
            <w:color w:val="0000FF"/>
            <w:u w:val="single"/>
          </w:rPr>
          <w:t xml:space="preserve"> </w:t>
        </w:r>
        <w:proofErr w:type="spellStart"/>
        <w:r w:rsidRPr="001C63E0">
          <w:rPr>
            <w:rFonts w:cs="Arial"/>
            <w:color w:val="0000FF"/>
            <w:u w:val="single"/>
          </w:rPr>
          <w:t>Valais</w:t>
        </w:r>
        <w:proofErr w:type="spellEnd"/>
      </w:hyperlink>
      <w:r w:rsidRPr="001C63E0">
        <w:rPr>
          <w:rFonts w:cs="Arial"/>
        </w:rPr>
        <w:t xml:space="preserve"> il 2.5%, la </w:t>
      </w:r>
      <w:hyperlink r:id="rId33" w:history="1">
        <w:proofErr w:type="spellStart"/>
        <w:r w:rsidRPr="001C63E0">
          <w:rPr>
            <w:rFonts w:cs="Arial"/>
            <w:color w:val="0000FF"/>
            <w:u w:val="single"/>
          </w:rPr>
          <w:t>Pensionskasse</w:t>
        </w:r>
        <w:proofErr w:type="spellEnd"/>
        <w:r w:rsidRPr="001C63E0">
          <w:rPr>
            <w:rFonts w:cs="Arial"/>
            <w:color w:val="0000FF"/>
            <w:u w:val="single"/>
          </w:rPr>
          <w:t xml:space="preserve"> Uri</w:t>
        </w:r>
      </w:hyperlink>
      <w:r w:rsidRPr="001C63E0">
        <w:rPr>
          <w:rFonts w:cs="Arial"/>
        </w:rPr>
        <w:t xml:space="preserve"> il 2.25%, la </w:t>
      </w:r>
      <w:hyperlink r:id="rId34" w:history="1">
        <w:proofErr w:type="spellStart"/>
        <w:r w:rsidRPr="001C63E0">
          <w:rPr>
            <w:rFonts w:cs="Arial"/>
            <w:color w:val="0000FF"/>
            <w:u w:val="single"/>
          </w:rPr>
          <w:t>Pensionskasse</w:t>
        </w:r>
        <w:proofErr w:type="spellEnd"/>
        <w:r w:rsidRPr="001C63E0">
          <w:rPr>
            <w:rFonts w:cs="Arial"/>
            <w:color w:val="0000FF"/>
            <w:u w:val="single"/>
          </w:rPr>
          <w:t xml:space="preserve"> </w:t>
        </w:r>
        <w:proofErr w:type="spellStart"/>
        <w:r w:rsidRPr="001C63E0">
          <w:rPr>
            <w:rFonts w:cs="Arial"/>
            <w:color w:val="0000FF"/>
            <w:u w:val="single"/>
          </w:rPr>
          <w:t>Kanton</w:t>
        </w:r>
        <w:proofErr w:type="spellEnd"/>
        <w:r w:rsidRPr="001C63E0">
          <w:rPr>
            <w:rFonts w:cs="Arial"/>
            <w:color w:val="0000FF"/>
            <w:u w:val="single"/>
          </w:rPr>
          <w:t xml:space="preserve"> Solothurn</w:t>
        </w:r>
      </w:hyperlink>
      <w:r w:rsidRPr="001C63E0">
        <w:rPr>
          <w:rFonts w:cs="Arial"/>
        </w:rPr>
        <w:t xml:space="preserve"> l’1.75%, la </w:t>
      </w:r>
      <w:hyperlink r:id="rId35" w:history="1">
        <w:proofErr w:type="spellStart"/>
        <w:r w:rsidRPr="001C63E0">
          <w:rPr>
            <w:rFonts w:cs="Arial"/>
            <w:color w:val="0000FF"/>
            <w:u w:val="single"/>
          </w:rPr>
          <w:t>Pensionskasse</w:t>
        </w:r>
        <w:proofErr w:type="spellEnd"/>
        <w:r w:rsidRPr="001C63E0">
          <w:rPr>
            <w:rFonts w:cs="Arial"/>
            <w:color w:val="0000FF"/>
            <w:u w:val="single"/>
          </w:rPr>
          <w:t xml:space="preserve"> </w:t>
        </w:r>
        <w:proofErr w:type="spellStart"/>
        <w:r w:rsidRPr="001C63E0">
          <w:rPr>
            <w:rFonts w:cs="Arial"/>
            <w:color w:val="0000FF"/>
            <w:u w:val="single"/>
          </w:rPr>
          <w:t>Thurgau</w:t>
        </w:r>
        <w:proofErr w:type="spellEnd"/>
      </w:hyperlink>
      <w:r w:rsidRPr="001C63E0">
        <w:rPr>
          <w:rFonts w:cs="Arial"/>
        </w:rPr>
        <w:t xml:space="preserve"> addirittura il 3%, eccetera.</w:t>
      </w:r>
    </w:p>
    <w:p w:rsidR="001C63E0" w:rsidRPr="001C63E0" w:rsidRDefault="001C63E0" w:rsidP="001C63E0">
      <w:pPr>
        <w:spacing w:before="120"/>
        <w:rPr>
          <w:rFonts w:cs="Arial"/>
        </w:rPr>
      </w:pPr>
      <w:r w:rsidRPr="001C63E0">
        <w:rPr>
          <w:rFonts w:cs="Arial"/>
        </w:rPr>
        <w:t xml:space="preserve">Nel prossimo futuro, secondo il neo Direttore dell’IPCT Daniele Rotanzi, il tasso tecnico </w:t>
      </w:r>
      <w:r w:rsidRPr="001C63E0">
        <w:rPr>
          <w:rFonts w:cs="Arial"/>
        </w:rPr>
        <w:br/>
        <w:t>«</w:t>
      </w:r>
      <w:r w:rsidRPr="001C63E0">
        <w:rPr>
          <w:rFonts w:cs="Arial"/>
          <w:i/>
        </w:rPr>
        <w:t>si situerà […] tra l’1% e il 2% (o magari il 2.5%)</w:t>
      </w:r>
      <w:r w:rsidRPr="001C63E0">
        <w:rPr>
          <w:rFonts w:cs="Arial"/>
        </w:rPr>
        <w:t>».</w:t>
      </w:r>
    </w:p>
    <w:p w:rsidR="001C63E0" w:rsidRDefault="001C63E0" w:rsidP="00D92CC6">
      <w:pPr>
        <w:rPr>
          <w:rFonts w:cs="Arial"/>
        </w:rPr>
      </w:pPr>
    </w:p>
    <w:p w:rsidR="00D92CC6" w:rsidRPr="001C63E0" w:rsidRDefault="00D92CC6" w:rsidP="00D92CC6">
      <w:pPr>
        <w:rPr>
          <w:rFonts w:cs="Arial"/>
        </w:rPr>
      </w:pPr>
    </w:p>
    <w:p w:rsidR="001C63E0" w:rsidRPr="001C63E0" w:rsidRDefault="001C63E0" w:rsidP="00D92CC6">
      <w:pPr>
        <w:keepNext/>
        <w:tabs>
          <w:tab w:val="left" w:pos="709"/>
        </w:tabs>
        <w:ind w:left="357" w:hanging="357"/>
        <w:outlineLvl w:val="1"/>
        <w:rPr>
          <w:rFonts w:cs="Arial"/>
          <w:b/>
          <w:lang w:val="it-IT" w:eastAsia="it-IT"/>
        </w:rPr>
      </w:pPr>
      <w:bookmarkStart w:id="40" w:name="_Toc98976100"/>
      <w:r w:rsidRPr="001C63E0">
        <w:rPr>
          <w:rFonts w:cs="Arial"/>
          <w:b/>
          <w:lang w:val="it-IT" w:eastAsia="it-IT"/>
        </w:rPr>
        <w:t>3.3</w:t>
      </w:r>
      <w:r w:rsidR="00D92CC6">
        <w:rPr>
          <w:rFonts w:cs="Arial"/>
          <w:b/>
          <w:lang w:val="it-IT" w:eastAsia="it-IT"/>
        </w:rPr>
        <w:tab/>
      </w:r>
      <w:r w:rsidRPr="001C63E0">
        <w:rPr>
          <w:rFonts w:cs="Arial"/>
          <w:b/>
          <w:lang w:val="it-IT" w:eastAsia="it-IT"/>
        </w:rPr>
        <w:tab/>
        <w:t>L’eventualità di richiedere ulteriori futuri contributi</w:t>
      </w:r>
      <w:bookmarkEnd w:id="40"/>
      <w:r w:rsidRPr="001C63E0">
        <w:rPr>
          <w:rFonts w:cs="Arial"/>
          <w:b/>
          <w:lang w:val="it-IT" w:eastAsia="it-IT"/>
        </w:rPr>
        <w:t xml:space="preserve"> </w:t>
      </w:r>
    </w:p>
    <w:p w:rsidR="001C63E0" w:rsidRPr="001C63E0" w:rsidRDefault="001C63E0" w:rsidP="001C63E0">
      <w:pPr>
        <w:spacing w:before="120"/>
        <w:rPr>
          <w:rFonts w:cs="Arial"/>
        </w:rPr>
      </w:pPr>
      <w:r w:rsidRPr="001C63E0">
        <w:rPr>
          <w:rFonts w:cs="Arial"/>
        </w:rPr>
        <w:t>In occasione dell’audizione è stato posto ai vertici dell’IPCT il quesito volto a sapere se, in base alle informazioni disponibili oggi, serviranno in futuro ulteriori iniezioni da parte del Cantone per raggiungere il grado di copertura dell’85% entro il 2051.</w:t>
      </w:r>
    </w:p>
    <w:p w:rsidR="001C63E0" w:rsidRPr="001C63E0" w:rsidRDefault="001C63E0" w:rsidP="001C63E0">
      <w:pPr>
        <w:spacing w:before="120"/>
        <w:rPr>
          <w:rFonts w:cs="Arial"/>
        </w:rPr>
      </w:pPr>
      <w:r w:rsidRPr="001C63E0">
        <w:rPr>
          <w:rFonts w:cs="Arial"/>
        </w:rPr>
        <w:t>Il neo Direttore dell’IPCT Daniele Rotanzi ha risposto nel seguente modo:</w:t>
      </w:r>
    </w:p>
    <w:p w:rsidR="001C63E0" w:rsidRPr="00D92CC6" w:rsidRDefault="001C63E0" w:rsidP="00D92CC6">
      <w:pPr>
        <w:tabs>
          <w:tab w:val="left" w:pos="567"/>
        </w:tabs>
        <w:spacing w:before="60"/>
        <w:ind w:left="567" w:right="567"/>
        <w:rPr>
          <w:rFonts w:cs="Arial"/>
          <w:i/>
          <w:sz w:val="22"/>
        </w:rPr>
      </w:pPr>
      <w:r w:rsidRPr="00D92CC6">
        <w:rPr>
          <w:rFonts w:cs="Arial"/>
          <w:sz w:val="22"/>
        </w:rPr>
        <w:t>«</w:t>
      </w:r>
      <w:r w:rsidRPr="00D92CC6">
        <w:rPr>
          <w:rFonts w:cs="Arial"/>
          <w:i/>
          <w:sz w:val="22"/>
        </w:rPr>
        <w:t xml:space="preserve">se le condizioni attuali si perpetuano, mi sento di poter dire che non ci saranno altre richieste di contributi. Però nel 2013 chi avrebbe detto che 2 anni dopo i rendimenti delle obbligazioni della Confederazione sarebbero diventati negativi? Chi aveva previsto la crisi finanziaria ed economica del 2008 a seguito tra l’altro del fallimento della banca </w:t>
      </w:r>
      <w:r w:rsidRPr="00D92CC6">
        <w:rPr>
          <w:rFonts w:cs="Arial"/>
          <w:i/>
          <w:sz w:val="22"/>
        </w:rPr>
        <w:lastRenderedPageBreak/>
        <w:t xml:space="preserve">americana Lehman </w:t>
      </w:r>
      <w:proofErr w:type="spellStart"/>
      <w:r w:rsidRPr="00D92CC6">
        <w:rPr>
          <w:rFonts w:cs="Arial"/>
          <w:i/>
          <w:sz w:val="22"/>
        </w:rPr>
        <w:t>Brothers</w:t>
      </w:r>
      <w:proofErr w:type="spellEnd"/>
      <w:r w:rsidRPr="00D92CC6">
        <w:rPr>
          <w:rFonts w:cs="Arial"/>
          <w:i/>
          <w:sz w:val="22"/>
        </w:rPr>
        <w:t>? E l’emergenza sanitaria di questa primavera, che non sappiamo ancora quali conseguenze avrà sull’economia reale a medio termine?</w:t>
      </w:r>
    </w:p>
    <w:p w:rsidR="001C63E0" w:rsidRPr="00D92CC6" w:rsidRDefault="001C63E0" w:rsidP="00D92CC6">
      <w:pPr>
        <w:tabs>
          <w:tab w:val="left" w:pos="567"/>
        </w:tabs>
        <w:spacing w:before="120"/>
        <w:ind w:left="567" w:right="566"/>
        <w:rPr>
          <w:rFonts w:cs="Arial"/>
          <w:i/>
          <w:sz w:val="22"/>
        </w:rPr>
      </w:pPr>
      <w:r w:rsidRPr="00D92CC6">
        <w:rPr>
          <w:rFonts w:cs="Arial"/>
          <w:i/>
          <w:sz w:val="22"/>
        </w:rPr>
        <w:t>Tuttavia bisogna pur avanzare delle ipotesi. Ebbene, se i tassi rimarranno più o meno i medesimi, ritengo che, grazie al contributo integrativo richiesto con il M7784, si riuscirà ad arrivare all’obiettivo dell’85% nel 2051. Poi, ovvio, le incognite ci sono sempre.</w:t>
      </w:r>
    </w:p>
    <w:p w:rsidR="001C63E0" w:rsidRPr="00D92CC6" w:rsidRDefault="001C63E0" w:rsidP="00D92CC6">
      <w:pPr>
        <w:tabs>
          <w:tab w:val="left" w:pos="567"/>
        </w:tabs>
        <w:spacing w:before="120"/>
        <w:ind w:left="567" w:right="566"/>
        <w:rPr>
          <w:rFonts w:cs="Arial"/>
          <w:sz w:val="22"/>
        </w:rPr>
      </w:pPr>
      <w:r w:rsidRPr="00D92CC6">
        <w:rPr>
          <w:rFonts w:cs="Arial"/>
          <w:i/>
          <w:sz w:val="22"/>
        </w:rPr>
        <w:t>Oggi, a differenza del 2012, non entra in gioco alcun compromesso politico: vengono semplicemente chieste le risorse di cui si necessita, anche se è vero che i CHF 500 milioni sono calcolati in base a un tasso tecnico del 2%, mentre in realtà ci stiamo già orientando verso l’1.5%. È pure vero che il rendimento conseguito l’anno scorso, che ha superato il 9%, ci ha permesso di eseguire un accantonamento tale per cui la metà di questo costo lo abbiamo già potuto compensare e quindi forse riusciamo a cavarcela da soli da questo punto di vista. Inoltre il rendimento dell’IPCT è oggi tornato positivo, il che è rallegrante, visto ciò che è successo. Rimane sempre una cortina di incertezza, ma questo è insito in ogni previsione</w:t>
      </w:r>
      <w:r w:rsidRPr="00D92CC6">
        <w:rPr>
          <w:rFonts w:cs="Arial"/>
          <w:sz w:val="22"/>
        </w:rPr>
        <w:t>»</w:t>
      </w:r>
      <w:r w:rsidRPr="00D92CC6">
        <w:rPr>
          <w:rFonts w:cs="Arial"/>
          <w:sz w:val="22"/>
          <w:vertAlign w:val="superscript"/>
        </w:rPr>
        <w:footnoteReference w:id="35"/>
      </w:r>
      <w:r w:rsidRPr="00D92CC6">
        <w:rPr>
          <w:rFonts w:cs="Arial"/>
          <w:sz w:val="22"/>
        </w:rPr>
        <w:t>.</w:t>
      </w:r>
    </w:p>
    <w:p w:rsidR="001C63E0" w:rsidRDefault="001C63E0" w:rsidP="00D92CC6">
      <w:pPr>
        <w:tabs>
          <w:tab w:val="left" w:pos="567"/>
        </w:tabs>
        <w:ind w:right="567"/>
        <w:rPr>
          <w:rFonts w:cs="Arial"/>
        </w:rPr>
      </w:pPr>
    </w:p>
    <w:p w:rsidR="00D92CC6" w:rsidRPr="001C63E0" w:rsidRDefault="00D92CC6" w:rsidP="00D92CC6">
      <w:pPr>
        <w:tabs>
          <w:tab w:val="left" w:pos="567"/>
        </w:tabs>
        <w:ind w:right="567"/>
        <w:rPr>
          <w:rFonts w:cs="Arial"/>
        </w:rPr>
      </w:pPr>
    </w:p>
    <w:p w:rsidR="001C63E0" w:rsidRPr="001C63E0" w:rsidRDefault="001C63E0" w:rsidP="00D92CC6">
      <w:pPr>
        <w:keepNext/>
        <w:tabs>
          <w:tab w:val="left" w:pos="709"/>
        </w:tabs>
        <w:ind w:left="357" w:hanging="357"/>
        <w:outlineLvl w:val="1"/>
        <w:rPr>
          <w:rFonts w:cs="Arial"/>
          <w:b/>
          <w:lang w:val="it-IT" w:eastAsia="it-IT"/>
        </w:rPr>
      </w:pPr>
      <w:bookmarkStart w:id="41" w:name="_Toc98976101"/>
      <w:r w:rsidRPr="001C63E0">
        <w:rPr>
          <w:rFonts w:cs="Arial"/>
          <w:b/>
          <w:lang w:val="it-IT" w:eastAsia="it-IT"/>
        </w:rPr>
        <w:t>3.4</w:t>
      </w:r>
      <w:r w:rsidRPr="001C63E0">
        <w:rPr>
          <w:rFonts w:cs="Arial"/>
          <w:b/>
          <w:lang w:val="it-IT" w:eastAsia="it-IT"/>
        </w:rPr>
        <w:tab/>
      </w:r>
      <w:r w:rsidR="00D92CC6">
        <w:rPr>
          <w:rFonts w:cs="Arial"/>
          <w:b/>
          <w:lang w:val="it-IT" w:eastAsia="it-IT"/>
        </w:rPr>
        <w:tab/>
      </w:r>
      <w:r w:rsidRPr="001C63E0">
        <w:rPr>
          <w:rFonts w:cs="Arial"/>
          <w:b/>
          <w:lang w:val="it-IT" w:eastAsia="it-IT"/>
        </w:rPr>
        <w:t>Sintesi delle ragioni a monte della situazione attuale</w:t>
      </w:r>
      <w:bookmarkEnd w:id="41"/>
    </w:p>
    <w:p w:rsidR="001C63E0" w:rsidRPr="001C63E0" w:rsidRDefault="001C63E0" w:rsidP="001C63E0">
      <w:pPr>
        <w:spacing w:before="120"/>
        <w:rPr>
          <w:rFonts w:cs="Arial"/>
        </w:rPr>
      </w:pPr>
      <w:r w:rsidRPr="001C63E0">
        <w:rPr>
          <w:rFonts w:cs="Arial"/>
        </w:rPr>
        <w:t>Per riassumere la situazione complessiva, negli anni passati l’IPCT ha perseguito con successo una politica di investimento dei propri averi migliore della media degli altri istituti previdenziali svizzeri. L’attuale situazione finanziaria non è connessa infatti alla politica di investimento della cassa bensì agli impegni accumulatisi nei decenni e causati da prestazioni che hanno sistematicamente e durevolmente superato la capacità di pagamento di allora. La situazione finanziaria attuale è figlia del regime secondo il primato delle prestazioni che ha retto il funzionamento della cassa fino al 2012 compreso (e che tuttora lo regge limitatamente agli assicurati garantiti), il quale ha garantito rendite pensionistiche slegate dai contributi corrisposti dall’assicurato durante la sua vita lavorativa.</w:t>
      </w:r>
    </w:p>
    <w:p w:rsidR="001C63E0" w:rsidRPr="001C63E0" w:rsidRDefault="001C63E0" w:rsidP="001C63E0">
      <w:pPr>
        <w:spacing w:before="120"/>
        <w:rPr>
          <w:rFonts w:cs="Arial"/>
        </w:rPr>
      </w:pPr>
      <w:r w:rsidRPr="001C63E0">
        <w:rPr>
          <w:rFonts w:cs="Arial"/>
        </w:rPr>
        <w:t>In questi anni, l’IPCT ha potuto ottenere dal mercato rendimenti superiori a quelli in cui avrebbe potuto sperare se avesse dovuto gestire la situazione in forma autonoma, ossia tenendo conto della propria bassa capacità di rischio determinata da un portafoglio di assicurati composto di molti pensionati (9’328 al 31 dicembre 2019 secondo il Rendiconto annuale dell’IPCT) e relativamente pochi assicurati attivi (15’923 salariati secondo la stessa fonte).</w:t>
      </w:r>
    </w:p>
    <w:p w:rsidR="001C63E0" w:rsidRPr="001C63E0" w:rsidRDefault="001C63E0" w:rsidP="001C63E0">
      <w:pPr>
        <w:spacing w:before="120"/>
        <w:rPr>
          <w:rFonts w:cs="Arial"/>
        </w:rPr>
      </w:pPr>
      <w:r w:rsidRPr="001C63E0">
        <w:rPr>
          <w:rFonts w:cs="Arial"/>
        </w:rPr>
        <w:t>La garanzia dello Stato ha permesso all’Istituto di assumere rischi maggiori sui mercati e di farli remunerare. Naturalmente non esiste un pasto gratis: nell’attuale contesto di garanzia del Cantone, un eventuale forte crollo borsistico andrebbe a costo del Cantone, che sarebbe chiamato a sopperire al mancato rendimento (o addirittura al rendimento negativo) della cassa.</w:t>
      </w:r>
    </w:p>
    <w:p w:rsidR="001C63E0" w:rsidRPr="001C63E0" w:rsidRDefault="001C63E0" w:rsidP="001C63E0">
      <w:pPr>
        <w:spacing w:before="120"/>
        <w:rPr>
          <w:rFonts w:cs="Arial"/>
        </w:rPr>
      </w:pPr>
      <w:r w:rsidRPr="001C63E0">
        <w:rPr>
          <w:rFonts w:cs="Arial"/>
        </w:rPr>
        <w:t>Viceversa, come è stato il caso negli ultimi otto anni, in presenza di buoni rendimenti dei mercati finanziari (anche causati da un generale contesto di riduzione dei tassi di interesse che ha fatto aumentare le quotazioni borsistiche), la buona gestione patrimoniale dell’IPCT ha permesso all’Istituto di limitare le perdite dovute alla riduzione del tasso tecnico. Ciò è avvenuto al punto che, come si è detto sopra, la copertura del maggior fabbisogno per gli assicurati garantiti oggetto del messaggio n. 7784 causata dall’abbassamento del tasso tecnico viene interamente coperta dallo Stato e non pure da maggiori prelievi sugli attuali salariati.</w:t>
      </w:r>
    </w:p>
    <w:p w:rsidR="001C63E0" w:rsidRPr="001C63E0" w:rsidRDefault="001C63E0" w:rsidP="00EC5775">
      <w:pPr>
        <w:tabs>
          <w:tab w:val="left" w:pos="567"/>
        </w:tabs>
        <w:ind w:right="566"/>
        <w:rPr>
          <w:rFonts w:cs="Arial"/>
        </w:rPr>
      </w:pPr>
    </w:p>
    <w:p w:rsidR="00F925ED" w:rsidRDefault="001C63E0" w:rsidP="00EC5775">
      <w:pPr>
        <w:tabs>
          <w:tab w:val="left" w:pos="567"/>
        </w:tabs>
        <w:ind w:right="-1"/>
        <w:rPr>
          <w:rFonts w:cs="Arial"/>
        </w:rPr>
      </w:pPr>
      <w:r w:rsidRPr="001C63E0">
        <w:rPr>
          <w:rFonts w:cs="Arial"/>
        </w:rPr>
        <w:t xml:space="preserve">Sul piano degli impegni, il tasso tecnico è quel tasso di interesse che serve ad attualizzare in franchi odierni il flusso di rendite che l’Istituto dovrà garantire ai beneficiari di rendita. Esso </w:t>
      </w:r>
      <w:r w:rsidR="00F925ED">
        <w:rPr>
          <w:rFonts w:cs="Arial"/>
        </w:rPr>
        <w:br/>
      </w:r>
    </w:p>
    <w:p w:rsidR="001C63E0" w:rsidRPr="001C63E0" w:rsidRDefault="001C63E0" w:rsidP="00EC5775">
      <w:pPr>
        <w:tabs>
          <w:tab w:val="left" w:pos="567"/>
        </w:tabs>
        <w:ind w:right="-1"/>
        <w:rPr>
          <w:rFonts w:cs="Arial"/>
        </w:rPr>
      </w:pPr>
      <w:r w:rsidRPr="001C63E0">
        <w:rPr>
          <w:rFonts w:cs="Arial"/>
        </w:rPr>
        <w:lastRenderedPageBreak/>
        <w:t xml:space="preserve">tiene conto del rendimento finanziario degli investimenti. Il </w:t>
      </w:r>
      <w:proofErr w:type="spellStart"/>
      <w:r w:rsidRPr="001C63E0">
        <w:rPr>
          <w:rFonts w:cs="Arial"/>
        </w:rPr>
        <w:t>megatrend</w:t>
      </w:r>
      <w:proofErr w:type="spellEnd"/>
      <w:r w:rsidRPr="001C63E0">
        <w:rPr>
          <w:rFonts w:cs="Arial"/>
        </w:rPr>
        <w:t xml:space="preserve"> dall’inizio degli anni ‘80 ad oggi è consistito in una continua riduzione del livello dei tassi di interesse, tanto da entrare negli ultimi anni addirittura in territorio negativo. Ne consegue che il tasso tecnico ha progressivamente dovuto essere diminuito. Su questo si è innestato il continuo allungamento della speranza di vita della popolazione. La diminuzione del tasso tecnico unito all’aumento dell’aspettativa di vita hanno causato un incremento del valore attualizzato delle rendite da pagare ai beneficiari. Senza entrare in riflessioni di matematica finanziaria, si pensi che il fabbisogno finanziario ad oggi aumenta se si devono garantire rendite pensionistiche per più anni a causa dell’aumentata speranza di vita e se nel frattempo i mercati finanziari offrono rendimenti minori. In effetti l’IPCT accantona annualmente alcune decine di milioni di franchi per tener conto dell’aumento dell’aspettativa di vita dei propri beneficiari di rendita che vanno ad incrementare gli impegni.</w:t>
      </w:r>
    </w:p>
    <w:p w:rsidR="001C63E0" w:rsidRPr="001C63E0" w:rsidRDefault="001C63E0" w:rsidP="00EC5775">
      <w:pPr>
        <w:tabs>
          <w:tab w:val="left" w:pos="567"/>
        </w:tabs>
        <w:ind w:right="566"/>
        <w:rPr>
          <w:rFonts w:cs="Arial"/>
        </w:rPr>
      </w:pPr>
    </w:p>
    <w:p w:rsidR="001C63E0" w:rsidRPr="001C63E0" w:rsidRDefault="001C63E0" w:rsidP="00EC5775">
      <w:pPr>
        <w:tabs>
          <w:tab w:val="left" w:pos="567"/>
        </w:tabs>
        <w:ind w:right="-1"/>
        <w:rPr>
          <w:rFonts w:cs="Arial"/>
        </w:rPr>
      </w:pPr>
      <w:r w:rsidRPr="001C63E0">
        <w:rPr>
          <w:rFonts w:cs="Arial"/>
        </w:rPr>
        <w:t>Come si è visto, fino a circa un decennio fa il tasso tecnico non fu mai un particolare tema di discussione. In regime di primato delle prestazioni in un contesto inflazionistico con tassi di interesse sostenuti, il tasso tecnico del 4% allora utilizzato risultava addirittura molto prudenziale. A titolo di confronto, si consideri che il rendimento delle obbligazioni decennali della Confederazione si mantenne attorno al 4% fino al 2000 e attorno al 3% fino al 2007, come il seguente grafico pubblicato dalla Banca Nazionale Svizzera</w:t>
      </w:r>
      <w:r w:rsidRPr="001C63E0">
        <w:rPr>
          <w:rFonts w:cs="Arial"/>
          <w:vertAlign w:val="superscript"/>
        </w:rPr>
        <w:footnoteReference w:id="36"/>
      </w:r>
      <w:r w:rsidRPr="001C63E0">
        <w:rPr>
          <w:rFonts w:cs="Arial"/>
        </w:rPr>
        <w:t xml:space="preserve"> mostra. Si osservi in particolare la curva gialla.</w:t>
      </w:r>
    </w:p>
    <w:p w:rsidR="001C63E0" w:rsidRPr="001C63E0" w:rsidRDefault="001C63E0" w:rsidP="001C63E0">
      <w:pPr>
        <w:tabs>
          <w:tab w:val="left" w:pos="567"/>
        </w:tabs>
        <w:spacing w:before="120"/>
        <w:ind w:right="-1"/>
        <w:rPr>
          <w:rFonts w:cs="Arial"/>
        </w:rPr>
      </w:pPr>
    </w:p>
    <w:p w:rsidR="001C63E0" w:rsidRPr="001C63E0" w:rsidRDefault="001C63E0" w:rsidP="001C63E0">
      <w:pPr>
        <w:tabs>
          <w:tab w:val="left" w:pos="567"/>
        </w:tabs>
        <w:spacing w:before="120"/>
        <w:ind w:right="-1"/>
        <w:jc w:val="center"/>
        <w:rPr>
          <w:rFonts w:cs="Arial"/>
        </w:rPr>
      </w:pPr>
      <w:r w:rsidRPr="001C63E0">
        <w:rPr>
          <w:rFonts w:cs="Arial"/>
          <w:noProof/>
          <w:lang w:eastAsia="it-CH"/>
        </w:rPr>
        <w:drawing>
          <wp:inline distT="0" distB="0" distL="0" distR="0" wp14:anchorId="533311C5" wp14:editId="693D8C7A">
            <wp:extent cx="4533900" cy="3919365"/>
            <wp:effectExtent l="19050" t="19050" r="1905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1415" cy="3943151"/>
                    </a:xfrm>
                    <a:prstGeom prst="rect">
                      <a:avLst/>
                    </a:prstGeom>
                    <a:noFill/>
                    <a:ln>
                      <a:solidFill>
                        <a:sysClr val="windowText" lastClr="000000"/>
                      </a:solidFill>
                    </a:ln>
                  </pic:spPr>
                </pic:pic>
              </a:graphicData>
            </a:graphic>
          </wp:inline>
        </w:drawing>
      </w:r>
    </w:p>
    <w:p w:rsidR="001C63E0" w:rsidRPr="001C63E0" w:rsidRDefault="001C63E0" w:rsidP="001C63E0">
      <w:pPr>
        <w:tabs>
          <w:tab w:val="left" w:pos="567"/>
        </w:tabs>
        <w:spacing w:before="120"/>
        <w:ind w:right="-1"/>
        <w:rPr>
          <w:rFonts w:cs="Arial"/>
          <w:i/>
          <w:iCs/>
          <w:sz w:val="20"/>
          <w:szCs w:val="18"/>
          <w:lang w:val="en-GB"/>
        </w:rPr>
      </w:pPr>
      <w:r w:rsidRPr="001C63E0">
        <w:rPr>
          <w:rFonts w:cs="Arial"/>
          <w:i/>
          <w:iCs/>
          <w:sz w:val="20"/>
          <w:szCs w:val="18"/>
          <w:lang w:val="en-GB"/>
        </w:rPr>
        <w:t xml:space="preserve">These yields </w:t>
      </w:r>
      <w:proofErr w:type="gramStart"/>
      <w:r w:rsidRPr="001C63E0">
        <w:rPr>
          <w:rFonts w:cs="Arial"/>
          <w:i/>
          <w:iCs/>
          <w:sz w:val="20"/>
          <w:szCs w:val="18"/>
          <w:lang w:val="en-GB"/>
        </w:rPr>
        <w:t>are known</w:t>
      </w:r>
      <w:proofErr w:type="gramEnd"/>
      <w:r w:rsidRPr="001C63E0">
        <w:rPr>
          <w:rFonts w:cs="Arial"/>
          <w:i/>
          <w:iCs/>
          <w:sz w:val="20"/>
          <w:szCs w:val="18"/>
          <w:lang w:val="en-GB"/>
        </w:rPr>
        <w:t xml:space="preserve"> as spot interest rates, i.e. yields on zero-coupon bonds. Spot interest rates and/or the maturity/interest rate structure </w:t>
      </w:r>
      <w:proofErr w:type="gramStart"/>
      <w:r w:rsidRPr="001C63E0">
        <w:rPr>
          <w:rFonts w:cs="Arial"/>
          <w:i/>
          <w:iCs/>
          <w:sz w:val="20"/>
          <w:szCs w:val="18"/>
          <w:lang w:val="en-GB"/>
        </w:rPr>
        <w:t>are estimated</w:t>
      </w:r>
      <w:proofErr w:type="gramEnd"/>
      <w:r w:rsidRPr="001C63E0">
        <w:rPr>
          <w:rFonts w:cs="Arial"/>
          <w:i/>
          <w:iCs/>
          <w:sz w:val="20"/>
          <w:szCs w:val="18"/>
          <w:lang w:val="en-GB"/>
        </w:rPr>
        <w:t xml:space="preserve"> using the extended Nelson/Siegel procedure.</w:t>
      </w:r>
    </w:p>
    <w:p w:rsidR="001C63E0" w:rsidRPr="001C63E0" w:rsidRDefault="001C63E0" w:rsidP="00EC5775">
      <w:pPr>
        <w:tabs>
          <w:tab w:val="left" w:pos="567"/>
        </w:tabs>
        <w:ind w:right="-1"/>
        <w:rPr>
          <w:rFonts w:cs="Arial"/>
          <w:lang w:val="en-GB"/>
        </w:rPr>
      </w:pPr>
    </w:p>
    <w:p w:rsidR="001C63E0" w:rsidRPr="001C63E0" w:rsidRDefault="001C63E0" w:rsidP="00EC5775">
      <w:pPr>
        <w:tabs>
          <w:tab w:val="left" w:pos="567"/>
        </w:tabs>
        <w:ind w:right="-1"/>
        <w:rPr>
          <w:rFonts w:cs="Arial"/>
        </w:rPr>
      </w:pPr>
      <w:r w:rsidRPr="001C63E0">
        <w:rPr>
          <w:rFonts w:cs="Arial"/>
        </w:rPr>
        <w:lastRenderedPageBreak/>
        <w:t>Il progressivo abbassamento del livello dei tassi di interesse sui mercati finanziari internazionali, e di riflesso i rendimenti delle obbligazioni decennali della Confederazione, hanno causato negli ultimi 20 anni una costante e sempre maggiore pressione al ribasso anche del tasso tecnico, mettendo così a nudo i problemi di finanziamento del regime del primato delle prestazioni. La materialità degli importi è notevole, considerato che si partiva dal 4% e che ogni punto percentuale di riduzione del tasso tecnico causa un aumento degli impegni dell’IPCT tra CHF</w:t>
      </w:r>
      <w:r w:rsidR="00DF2942">
        <w:rPr>
          <w:rFonts w:cs="Arial"/>
        </w:rPr>
        <w:t xml:space="preserve"> </w:t>
      </w:r>
      <w:r w:rsidRPr="001C63E0">
        <w:rPr>
          <w:rFonts w:cs="Arial"/>
        </w:rPr>
        <w:t>500 milioni e CHF</w:t>
      </w:r>
      <w:r w:rsidR="00DF2942">
        <w:rPr>
          <w:rFonts w:cs="Arial"/>
        </w:rPr>
        <w:t xml:space="preserve"> </w:t>
      </w:r>
      <w:r w:rsidRPr="001C63E0">
        <w:rPr>
          <w:rFonts w:cs="Arial"/>
        </w:rPr>
        <w:t>700 milioni (a dipendenza dell’anno di analisi, tendenza in crescendo).</w:t>
      </w:r>
    </w:p>
    <w:p w:rsidR="001C63E0" w:rsidRPr="001C63E0" w:rsidRDefault="001C63E0" w:rsidP="00D92CC6">
      <w:pPr>
        <w:spacing w:before="240"/>
        <w:rPr>
          <w:rFonts w:cs="Arial"/>
        </w:rPr>
      </w:pPr>
      <w:r w:rsidRPr="001C63E0">
        <w:rPr>
          <w:rFonts w:cs="Arial"/>
        </w:rPr>
        <w:t xml:space="preserve">Alla luce di quanto precede, si può comprendere che l’attuale situazione di </w:t>
      </w:r>
      <w:proofErr w:type="spellStart"/>
      <w:r w:rsidRPr="001C63E0">
        <w:rPr>
          <w:rFonts w:cs="Arial"/>
        </w:rPr>
        <w:t>sottocopertura</w:t>
      </w:r>
      <w:proofErr w:type="spellEnd"/>
      <w:r w:rsidRPr="001C63E0">
        <w:rPr>
          <w:rFonts w:cs="Arial"/>
        </w:rPr>
        <w:t xml:space="preserve"> della cassa si è acuita negli ultimi anni non da ultimo in conseguenza del ritardo con cui il tasso tecnico effettivamente utilizzato dall’IPCT è stato ridotto.</w:t>
      </w:r>
    </w:p>
    <w:p w:rsidR="001C63E0" w:rsidRPr="001C63E0" w:rsidRDefault="001C63E0" w:rsidP="00D92CC6">
      <w:pPr>
        <w:spacing w:before="240"/>
        <w:rPr>
          <w:rFonts w:cs="Arial"/>
        </w:rPr>
      </w:pPr>
      <w:r w:rsidRPr="001C63E0">
        <w:rPr>
          <w:rFonts w:cs="Arial"/>
        </w:rPr>
        <w:t xml:space="preserve">A tendere si pone il quesito dell’evoluzione del tasso tecnico. La cassa si sta preparando ad affrontare ulteriori riduzioni e, considerati gli attuali accantonamenti, sta di fatto operando in questo momento con un tasso tecnico dell’1.75%. </w:t>
      </w:r>
    </w:p>
    <w:p w:rsidR="001C63E0" w:rsidRDefault="001C63E0" w:rsidP="00D92CC6">
      <w:pPr>
        <w:tabs>
          <w:tab w:val="left" w:pos="567"/>
        </w:tabs>
        <w:ind w:right="567"/>
        <w:rPr>
          <w:rFonts w:cs="Arial"/>
        </w:rPr>
      </w:pPr>
    </w:p>
    <w:p w:rsidR="00D92CC6" w:rsidRPr="001C63E0" w:rsidRDefault="00D92CC6" w:rsidP="00D92CC6">
      <w:pPr>
        <w:tabs>
          <w:tab w:val="left" w:pos="567"/>
        </w:tabs>
        <w:ind w:right="567"/>
        <w:rPr>
          <w:rFonts w:cs="Arial"/>
        </w:rPr>
      </w:pPr>
    </w:p>
    <w:p w:rsidR="001C63E0" w:rsidRPr="001C63E0" w:rsidRDefault="001C63E0" w:rsidP="00D92CC6">
      <w:pPr>
        <w:keepNext/>
        <w:tabs>
          <w:tab w:val="left" w:pos="567"/>
        </w:tabs>
        <w:ind w:left="567" w:hanging="567"/>
        <w:outlineLvl w:val="0"/>
        <w:rPr>
          <w:rFonts w:cs="Arial"/>
          <w:b/>
          <w:szCs w:val="24"/>
          <w:lang w:val="it-IT" w:eastAsia="it-IT"/>
        </w:rPr>
      </w:pPr>
      <w:bookmarkStart w:id="42" w:name="_Toc98976102"/>
      <w:r w:rsidRPr="001C63E0">
        <w:rPr>
          <w:rFonts w:cs="Arial"/>
          <w:b/>
          <w:szCs w:val="24"/>
          <w:lang w:val="it-IT" w:eastAsia="it-IT"/>
        </w:rPr>
        <w:t>4.</w:t>
      </w:r>
      <w:r w:rsidRPr="001C63E0">
        <w:rPr>
          <w:rFonts w:cs="Arial"/>
          <w:b/>
          <w:szCs w:val="24"/>
          <w:lang w:val="it-IT" w:eastAsia="it-IT"/>
        </w:rPr>
        <w:tab/>
      </w:r>
      <w:r w:rsidRPr="001C63E0">
        <w:rPr>
          <w:rFonts w:cs="Arial"/>
          <w:b/>
          <w:i/>
          <w:szCs w:val="24"/>
          <w:lang w:val="it-IT" w:eastAsia="it-IT"/>
        </w:rPr>
        <w:t>CONTINUUM</w:t>
      </w:r>
      <w:r w:rsidRPr="001C63E0">
        <w:rPr>
          <w:rFonts w:cs="Arial"/>
          <w:b/>
          <w:szCs w:val="24"/>
          <w:lang w:val="it-IT" w:eastAsia="it-IT"/>
        </w:rPr>
        <w:t xml:space="preserve"> DI SCENARI</w:t>
      </w:r>
      <w:bookmarkEnd w:id="42"/>
    </w:p>
    <w:p w:rsidR="001C63E0" w:rsidRPr="001C63E0" w:rsidRDefault="001C63E0" w:rsidP="001C63E0">
      <w:pPr>
        <w:spacing w:before="120"/>
        <w:rPr>
          <w:rFonts w:cs="Arial"/>
        </w:rPr>
      </w:pPr>
      <w:r w:rsidRPr="001C63E0">
        <w:rPr>
          <w:rFonts w:cs="Arial"/>
        </w:rPr>
        <w:t>Durante l’audizione della Sottocommissione "Finanze" di martedì 21 luglio 2020 sono stati affrontati con i vertici dell’IPCT cinque possibili scenari relativi al messaggio n. 7784 e, più in generale, al risanamento dell’IPCT. L’intenzione della Sottocommissione "Finanze" è stata in particolare di comprendere – senza preclusioni di sorta – l’intero spettro di possibilità che si presentano per il futuro della cassa. Questo si estende tra due casi estremi, la totale inazione da una parte e l’abbandono della garanzia dello Stato a seguito di un avvenuto completo risanamento dall’altra.</w:t>
      </w:r>
    </w:p>
    <w:p w:rsidR="001C63E0" w:rsidRDefault="001C63E0" w:rsidP="00D92CC6">
      <w:pPr>
        <w:rPr>
          <w:rFonts w:cs="Arial"/>
        </w:rPr>
      </w:pPr>
    </w:p>
    <w:p w:rsidR="00D92CC6" w:rsidRPr="001C63E0" w:rsidRDefault="00D92CC6" w:rsidP="00D92CC6">
      <w:pPr>
        <w:rPr>
          <w:rFonts w:cs="Arial"/>
        </w:rPr>
      </w:pPr>
    </w:p>
    <w:p w:rsidR="001C63E0" w:rsidRPr="001C63E0" w:rsidRDefault="001C63E0" w:rsidP="00D92CC6">
      <w:pPr>
        <w:keepNext/>
        <w:tabs>
          <w:tab w:val="left" w:pos="567"/>
          <w:tab w:val="left" w:pos="709"/>
        </w:tabs>
        <w:ind w:left="357" w:hanging="357"/>
        <w:outlineLvl w:val="1"/>
        <w:rPr>
          <w:rFonts w:cs="Arial"/>
          <w:b/>
          <w:lang w:val="it-IT" w:eastAsia="it-IT"/>
        </w:rPr>
      </w:pPr>
      <w:bookmarkStart w:id="43" w:name="_Toc98976103"/>
      <w:r w:rsidRPr="001C63E0">
        <w:rPr>
          <w:rFonts w:cs="Arial"/>
          <w:b/>
          <w:lang w:val="it-IT" w:eastAsia="it-IT"/>
        </w:rPr>
        <w:t>4.1</w:t>
      </w:r>
      <w:r w:rsidRPr="001C63E0">
        <w:rPr>
          <w:rFonts w:cs="Arial"/>
          <w:b/>
          <w:lang w:val="it-IT" w:eastAsia="it-IT"/>
        </w:rPr>
        <w:tab/>
      </w:r>
      <w:r w:rsidR="00D92CC6">
        <w:rPr>
          <w:rFonts w:cs="Arial"/>
          <w:b/>
          <w:lang w:val="it-IT" w:eastAsia="it-IT"/>
        </w:rPr>
        <w:tab/>
      </w:r>
      <w:r w:rsidRPr="001C63E0">
        <w:rPr>
          <w:rFonts w:cs="Arial"/>
          <w:b/>
          <w:lang w:val="it-IT" w:eastAsia="it-IT"/>
        </w:rPr>
        <w:t xml:space="preserve">Adesione, al contributo integrativo di CHF 500 milioni e continuazione del </w:t>
      </w:r>
      <w:r w:rsidR="00D92CC6">
        <w:rPr>
          <w:rFonts w:cs="Arial"/>
          <w:b/>
          <w:lang w:val="it-IT" w:eastAsia="it-IT"/>
        </w:rPr>
        <w:tab/>
      </w:r>
      <w:r w:rsidRPr="001C63E0">
        <w:rPr>
          <w:rFonts w:cs="Arial"/>
          <w:b/>
          <w:lang w:val="it-IT" w:eastAsia="it-IT"/>
        </w:rPr>
        <w:t xml:space="preserve">"cammino di finanziamento" votato dal Parlamento cantonale nel novembre </w:t>
      </w:r>
      <w:r w:rsidR="00D92CC6">
        <w:rPr>
          <w:rFonts w:cs="Arial"/>
          <w:b/>
          <w:lang w:val="it-IT" w:eastAsia="it-IT"/>
        </w:rPr>
        <w:tab/>
      </w:r>
      <w:r w:rsidRPr="001C63E0">
        <w:rPr>
          <w:rFonts w:cs="Arial"/>
          <w:b/>
          <w:lang w:val="it-IT" w:eastAsia="it-IT"/>
        </w:rPr>
        <w:t>2012</w:t>
      </w:r>
      <w:bookmarkEnd w:id="43"/>
    </w:p>
    <w:p w:rsidR="001C63E0" w:rsidRPr="001C63E0" w:rsidRDefault="001C63E0" w:rsidP="001C63E0">
      <w:pPr>
        <w:spacing w:before="120"/>
        <w:rPr>
          <w:rFonts w:cs="Arial"/>
        </w:rPr>
      </w:pPr>
      <w:r w:rsidRPr="001C63E0">
        <w:rPr>
          <w:rFonts w:cs="Arial"/>
        </w:rPr>
        <w:t>Al riguardo vi è poco da aggiungere rispetto a quanto riportato nel chiaro messaggio governativo, se non che l’IPCT ha precisato con forza, con lettera del 18 agosto 2020, che:</w:t>
      </w:r>
    </w:p>
    <w:p w:rsidR="001C63E0" w:rsidRPr="001C63E0" w:rsidRDefault="001C63E0" w:rsidP="001C63E0">
      <w:pPr>
        <w:spacing w:before="60"/>
        <w:ind w:left="284" w:right="284"/>
        <w:rPr>
          <w:rFonts w:cs="Arial"/>
          <w:i/>
          <w:iCs/>
          <w:sz w:val="22"/>
        </w:rPr>
      </w:pPr>
      <w:r w:rsidRPr="001C63E0">
        <w:rPr>
          <w:rFonts w:cs="Arial"/>
          <w:sz w:val="22"/>
        </w:rPr>
        <w:t>«</w:t>
      </w:r>
      <w:r w:rsidRPr="001C63E0">
        <w:rPr>
          <w:rFonts w:cs="Arial"/>
          <w:i/>
          <w:iCs/>
          <w:sz w:val="22"/>
        </w:rPr>
        <w:t>il contributo straordinario richiesto di CHF</w:t>
      </w:r>
      <w:r w:rsidR="00DF2942">
        <w:rPr>
          <w:rFonts w:cs="Arial"/>
          <w:i/>
          <w:iCs/>
          <w:sz w:val="22"/>
        </w:rPr>
        <w:t xml:space="preserve"> </w:t>
      </w:r>
      <w:r w:rsidRPr="001C63E0">
        <w:rPr>
          <w:rFonts w:cs="Arial"/>
          <w:i/>
          <w:iCs/>
          <w:sz w:val="22"/>
        </w:rPr>
        <w:t>500 milioni trova origine nel costo supplementare delle garanzie di pensione ex art. 24 della Legge sull’Istituto di previdenza dell’IPCT (</w:t>
      </w:r>
      <w:proofErr w:type="spellStart"/>
      <w:r w:rsidRPr="001C63E0">
        <w:rPr>
          <w:rFonts w:cs="Arial"/>
          <w:i/>
          <w:iCs/>
          <w:sz w:val="22"/>
        </w:rPr>
        <w:t>Lipct</w:t>
      </w:r>
      <w:proofErr w:type="spellEnd"/>
      <w:r w:rsidRPr="001C63E0">
        <w:rPr>
          <w:rFonts w:cs="Arial"/>
          <w:i/>
          <w:iCs/>
          <w:sz w:val="22"/>
        </w:rPr>
        <w:t>) del 6 novembre 2012, approvate a quel momento dal Gran Consiglio e che in tale sede non sono state contestate. L’impegno generato da queste garanzie di pensione ammontava in effetti a circa CHF</w:t>
      </w:r>
      <w:r w:rsidR="00DF2942">
        <w:rPr>
          <w:rFonts w:cs="Arial"/>
          <w:i/>
          <w:iCs/>
          <w:sz w:val="22"/>
        </w:rPr>
        <w:t xml:space="preserve"> </w:t>
      </w:r>
      <w:r w:rsidRPr="001C63E0">
        <w:rPr>
          <w:rFonts w:cs="Arial"/>
          <w:i/>
          <w:iCs/>
          <w:sz w:val="22"/>
        </w:rPr>
        <w:t>500 milioni con il tasso tecnico del 3.5% adottato nel 2012, ma con l’attuale tasso tecnico del 2% (in probabile ulteriore discesa all’1.5%) tale impegno supera in realtà CHF 1 miliardo.</w:t>
      </w:r>
    </w:p>
    <w:p w:rsidR="001C63E0" w:rsidRPr="001C63E0" w:rsidRDefault="001C63E0" w:rsidP="001C63E0">
      <w:pPr>
        <w:spacing w:before="120"/>
        <w:ind w:left="284" w:right="284"/>
        <w:rPr>
          <w:rFonts w:cs="Arial"/>
          <w:i/>
          <w:iCs/>
          <w:sz w:val="22"/>
        </w:rPr>
      </w:pPr>
      <w:r w:rsidRPr="001C63E0">
        <w:rPr>
          <w:rFonts w:cs="Arial"/>
          <w:i/>
          <w:iCs/>
          <w:sz w:val="22"/>
        </w:rPr>
        <w:t xml:space="preserve">Questi CHF 500 milioni sono quindi un’indissolubile conseguenza di quanto deciso dal Legislativo a livello politico nel 2012 ed è per questo che vengono nuovamente richiesti al Gran Consiglio. In effetti a nostro modo di vedere </w:t>
      </w:r>
      <w:r w:rsidRPr="001C63E0">
        <w:rPr>
          <w:rFonts w:cs="Arial"/>
          <w:i/>
          <w:iCs/>
          <w:sz w:val="22"/>
          <w:u w:val="single"/>
        </w:rPr>
        <w:t>non possono essere messi a carico degli assicurati attivi, già fortemente penalizzati</w:t>
      </w:r>
      <w:r w:rsidRPr="001C63E0">
        <w:rPr>
          <w:rFonts w:cs="Arial"/>
          <w:i/>
          <w:iCs/>
          <w:sz w:val="22"/>
        </w:rPr>
        <w:t>. Ricordiamo in effetti che:</w:t>
      </w:r>
    </w:p>
    <w:p w:rsidR="001C63E0" w:rsidRPr="001C63E0" w:rsidRDefault="001C63E0" w:rsidP="00D92CC6">
      <w:pPr>
        <w:tabs>
          <w:tab w:val="left" w:pos="567"/>
        </w:tabs>
        <w:spacing w:before="120"/>
        <w:ind w:left="567" w:right="282" w:hanging="283"/>
        <w:rPr>
          <w:rFonts w:cs="Arial"/>
          <w:i/>
          <w:iCs/>
          <w:sz w:val="22"/>
        </w:rPr>
      </w:pPr>
      <w:r w:rsidRPr="001C63E0">
        <w:rPr>
          <w:rFonts w:cs="Arial"/>
          <w:i/>
          <w:iCs/>
          <w:sz w:val="22"/>
        </w:rPr>
        <w:t>•</w:t>
      </w:r>
      <w:r w:rsidRPr="001C63E0">
        <w:rPr>
          <w:rFonts w:cs="Arial"/>
          <w:i/>
          <w:iCs/>
          <w:sz w:val="22"/>
        </w:rPr>
        <w:tab/>
        <w:t xml:space="preserve">con il cambio di primato nel 2013 il livello medio delle pensioni future per chi non beneficia delle garanzie ex art. 24 </w:t>
      </w:r>
      <w:proofErr w:type="spellStart"/>
      <w:r w:rsidRPr="001C63E0">
        <w:rPr>
          <w:rFonts w:cs="Arial"/>
          <w:i/>
          <w:iCs/>
          <w:sz w:val="22"/>
        </w:rPr>
        <w:t>Lipct</w:t>
      </w:r>
      <w:proofErr w:type="spellEnd"/>
      <w:r w:rsidRPr="001C63E0">
        <w:rPr>
          <w:rFonts w:cs="Arial"/>
          <w:i/>
          <w:iCs/>
          <w:sz w:val="22"/>
        </w:rPr>
        <w:t xml:space="preserve"> è sceso in media del 20% a dipendenza dell’età di pensionamento;</w:t>
      </w:r>
    </w:p>
    <w:p w:rsidR="001C63E0" w:rsidRPr="001C63E0" w:rsidRDefault="001C63E0" w:rsidP="00D92CC6">
      <w:pPr>
        <w:tabs>
          <w:tab w:val="left" w:pos="567"/>
        </w:tabs>
        <w:spacing w:before="120"/>
        <w:ind w:left="567" w:right="282" w:hanging="283"/>
        <w:rPr>
          <w:rFonts w:cs="Arial"/>
          <w:i/>
          <w:iCs/>
          <w:sz w:val="22"/>
        </w:rPr>
      </w:pPr>
      <w:r w:rsidRPr="001C63E0">
        <w:rPr>
          <w:rFonts w:cs="Arial"/>
          <w:i/>
          <w:iCs/>
          <w:sz w:val="22"/>
        </w:rPr>
        <w:t>•</w:t>
      </w:r>
      <w:r w:rsidRPr="001C63E0">
        <w:rPr>
          <w:rFonts w:cs="Arial"/>
          <w:i/>
          <w:iCs/>
          <w:sz w:val="22"/>
        </w:rPr>
        <w:tab/>
        <w:t>la remunerazione degli averi di vecchiaia effettiva non è stata neanche la metà di quella promessa (dal 2018 l’interesse riconosciuto sul capitale degli assicurati attivi previsto dal piano di finanziamento del 2012 sarebbe dovuto essere del 3%, mentre in realtà già dal 2017 è fermo all’1%) benché i rendimenti effettivi del patrimonio siano stati in linea con quelli ipotizzati (ca. 4%);</w:t>
      </w:r>
    </w:p>
    <w:p w:rsidR="001C63E0" w:rsidRPr="001C63E0" w:rsidRDefault="001C63E0" w:rsidP="00D92CC6">
      <w:pPr>
        <w:tabs>
          <w:tab w:val="left" w:pos="567"/>
        </w:tabs>
        <w:spacing w:before="120"/>
        <w:ind w:left="567" w:right="282" w:hanging="283"/>
        <w:rPr>
          <w:rFonts w:cs="Arial"/>
          <w:sz w:val="22"/>
        </w:rPr>
      </w:pPr>
      <w:r w:rsidRPr="001C63E0">
        <w:rPr>
          <w:rFonts w:cs="Arial"/>
          <w:i/>
          <w:iCs/>
          <w:sz w:val="22"/>
        </w:rPr>
        <w:lastRenderedPageBreak/>
        <w:t>•</w:t>
      </w:r>
      <w:r w:rsidRPr="001C63E0">
        <w:rPr>
          <w:rFonts w:cs="Arial"/>
          <w:i/>
          <w:iCs/>
          <w:sz w:val="22"/>
        </w:rPr>
        <w:tab/>
        <w:t>nel prossimo futuro è prevista la riduzione dei tassi di conversione che determinerebbe un’ulteriore diminuzione delle prestazioni di vecchiaia nell’ordine del 20% se non si introducessero delle misure di compensazione per incrementare il capitale disponibile, che in pratica significano un aumento dei contributi, sia a carico dei datori di lavoro che degli assicurati attivi</w:t>
      </w:r>
      <w:r w:rsidRPr="001C63E0">
        <w:rPr>
          <w:rFonts w:cs="Arial"/>
          <w:sz w:val="22"/>
        </w:rPr>
        <w:t>».</w:t>
      </w:r>
    </w:p>
    <w:p w:rsidR="001C63E0" w:rsidRPr="001C63E0" w:rsidRDefault="001C63E0" w:rsidP="001C63E0">
      <w:pPr>
        <w:spacing w:before="120"/>
        <w:rPr>
          <w:rFonts w:cs="Arial"/>
        </w:rPr>
      </w:pPr>
      <w:r w:rsidRPr="001C63E0">
        <w:rPr>
          <w:rFonts w:cs="Arial"/>
        </w:rPr>
        <w:t>Ciò risulta pertanto giustificare in modo evidente l’ottica adottata dal Consiglio di Stato.</w:t>
      </w:r>
    </w:p>
    <w:p w:rsidR="001C63E0" w:rsidRDefault="001C63E0" w:rsidP="00D92CC6">
      <w:pPr>
        <w:rPr>
          <w:rFonts w:cs="Arial"/>
        </w:rPr>
      </w:pPr>
    </w:p>
    <w:p w:rsidR="00D92CC6" w:rsidRPr="001C63E0" w:rsidRDefault="00D92CC6" w:rsidP="00D92CC6">
      <w:pPr>
        <w:rPr>
          <w:rFonts w:cs="Arial"/>
        </w:rPr>
      </w:pPr>
    </w:p>
    <w:p w:rsidR="001C63E0" w:rsidRPr="001C63E0" w:rsidRDefault="001C63E0" w:rsidP="00D92CC6">
      <w:pPr>
        <w:keepNext/>
        <w:tabs>
          <w:tab w:val="left" w:pos="709"/>
        </w:tabs>
        <w:ind w:left="357" w:hanging="357"/>
        <w:outlineLvl w:val="1"/>
        <w:rPr>
          <w:rFonts w:cs="Arial"/>
          <w:b/>
          <w:lang w:val="it-IT" w:eastAsia="it-IT"/>
        </w:rPr>
      </w:pPr>
      <w:bookmarkStart w:id="44" w:name="_Toc98976104"/>
      <w:r w:rsidRPr="001C63E0">
        <w:rPr>
          <w:rFonts w:cs="Arial"/>
          <w:b/>
          <w:lang w:val="it-IT" w:eastAsia="it-IT"/>
        </w:rPr>
        <w:t>4.2</w:t>
      </w:r>
      <w:r w:rsidRPr="001C63E0">
        <w:rPr>
          <w:rFonts w:cs="Arial"/>
          <w:b/>
          <w:lang w:val="it-IT" w:eastAsia="it-IT"/>
        </w:rPr>
        <w:tab/>
      </w:r>
      <w:r w:rsidR="00D92CC6">
        <w:rPr>
          <w:rFonts w:cs="Arial"/>
          <w:b/>
          <w:lang w:val="it-IT" w:eastAsia="it-IT"/>
        </w:rPr>
        <w:tab/>
      </w:r>
      <w:r w:rsidRPr="001C63E0">
        <w:rPr>
          <w:rFonts w:cs="Arial"/>
          <w:b/>
          <w:lang w:val="it-IT" w:eastAsia="it-IT"/>
        </w:rPr>
        <w:t xml:space="preserve">Respingimento (in aula o, a seguito di un referendum, in votazione popolare) </w:t>
      </w:r>
      <w:r w:rsidR="00D92CC6">
        <w:rPr>
          <w:rFonts w:cs="Arial"/>
          <w:b/>
          <w:lang w:val="it-IT" w:eastAsia="it-IT"/>
        </w:rPr>
        <w:tab/>
      </w:r>
      <w:r w:rsidRPr="001C63E0">
        <w:rPr>
          <w:rFonts w:cs="Arial"/>
          <w:b/>
          <w:lang w:val="it-IT" w:eastAsia="it-IT"/>
        </w:rPr>
        <w:t>del contributo integrativo di CHF 500 milioni richiesto con il messaggio n.</w:t>
      </w:r>
      <w:r w:rsidR="006B631A">
        <w:rPr>
          <w:rFonts w:cs="Arial"/>
          <w:b/>
          <w:lang w:val="it-IT" w:eastAsia="it-IT"/>
        </w:rPr>
        <w:t xml:space="preserve"> </w:t>
      </w:r>
      <w:r w:rsidRPr="001C63E0">
        <w:rPr>
          <w:rFonts w:cs="Arial"/>
          <w:b/>
          <w:lang w:val="it-IT" w:eastAsia="it-IT"/>
        </w:rPr>
        <w:t xml:space="preserve">7784, </w:t>
      </w:r>
      <w:r w:rsidR="00D92CC6">
        <w:rPr>
          <w:rFonts w:cs="Arial"/>
          <w:b/>
          <w:lang w:val="it-IT" w:eastAsia="it-IT"/>
        </w:rPr>
        <w:tab/>
      </w:r>
      <w:r w:rsidRPr="001C63E0">
        <w:rPr>
          <w:rFonts w:cs="Arial"/>
          <w:b/>
          <w:lang w:val="it-IT" w:eastAsia="it-IT"/>
        </w:rPr>
        <w:t>così come di ulteriori successivi contributi</w:t>
      </w:r>
      <w:bookmarkEnd w:id="44"/>
    </w:p>
    <w:p w:rsidR="001C63E0" w:rsidRPr="001C63E0" w:rsidRDefault="001C63E0" w:rsidP="001C63E0">
      <w:pPr>
        <w:spacing w:before="120"/>
        <w:rPr>
          <w:rFonts w:cs="Arial"/>
          <w:szCs w:val="24"/>
        </w:rPr>
      </w:pPr>
      <w:r w:rsidRPr="001C63E0">
        <w:rPr>
          <w:rFonts w:cs="Arial"/>
          <w:szCs w:val="24"/>
        </w:rPr>
        <w:t xml:space="preserve">La LPP fissa dei paletti, che però non sono molto onerosi; più precisamente, essa prevede che le casse pensioni pubbliche con garanzia dello Stato e a copertura parziale debbano raggiungere un grado di copertura del 60% l’1.1.2020 e del 75% l’1.1.2030 e che, se questi obiettivi non fossero realizzati, i rispettivi enti garanti dovrebbero versare, sulla differenza, il tasso di interesse minimo </w:t>
      </w:r>
      <w:r w:rsidRPr="001C63E0">
        <w:rPr>
          <w:rFonts w:cs="Arial"/>
        </w:rPr>
        <w:t>LPP</w:t>
      </w:r>
      <w:r w:rsidRPr="001C63E0">
        <w:rPr>
          <w:rFonts w:cs="Arial"/>
          <w:szCs w:val="24"/>
        </w:rPr>
        <w:t>, che attualmente è pari all’1%</w:t>
      </w:r>
      <w:r w:rsidRPr="001C63E0">
        <w:rPr>
          <w:rFonts w:cs="Arial"/>
          <w:szCs w:val="24"/>
          <w:vertAlign w:val="superscript"/>
        </w:rPr>
        <w:footnoteReference w:id="37"/>
      </w:r>
      <w:r w:rsidRPr="001C63E0">
        <w:rPr>
          <w:rFonts w:cs="Arial"/>
          <w:szCs w:val="24"/>
        </w:rPr>
        <w:t>. Da un punto di vista legale questi paletti sono molto chiari e non possono essere interpretati (in questo senso sono rigidi); tuttavia il costo derivante da un loro superamento potrebbe, a dipendenza dei punti di vista, non essere così alto.</w:t>
      </w:r>
    </w:p>
    <w:p w:rsidR="001C63E0" w:rsidRPr="001C63E0" w:rsidRDefault="001C63E0" w:rsidP="001C63E0">
      <w:pPr>
        <w:spacing w:before="120"/>
        <w:rPr>
          <w:rFonts w:cs="Arial"/>
          <w:szCs w:val="24"/>
        </w:rPr>
      </w:pPr>
      <w:r w:rsidRPr="001C63E0">
        <w:rPr>
          <w:rFonts w:cs="Arial"/>
          <w:szCs w:val="24"/>
        </w:rPr>
        <w:t>Concretamente, questo cosa significa per l’IPCT? Ipotizziamo che nel 2030 – uno scenario tutt’altro che irrealizzabile – esso abbia a titolo di esempio un grado di copertura del 70%, e non del 75% come richiesto; lo Stato dovrebbe allora versare ogni anno all’IPCT – su questo ipotetico 5% di differenza, che ammettiamo, inventando, corrisponda a CHF</w:t>
      </w:r>
      <w:r w:rsidR="006B631A">
        <w:rPr>
          <w:rFonts w:cs="Arial"/>
          <w:szCs w:val="24"/>
        </w:rPr>
        <w:t xml:space="preserve"> </w:t>
      </w:r>
      <w:r w:rsidRPr="001C63E0">
        <w:rPr>
          <w:rFonts w:cs="Arial"/>
          <w:szCs w:val="24"/>
        </w:rPr>
        <w:t>500 milioni – l’interesse minimo LPP (1%), cioè nella presente ipotesi illustrativa CHF</w:t>
      </w:r>
      <w:r w:rsidR="006B631A">
        <w:rPr>
          <w:rFonts w:cs="Arial"/>
          <w:szCs w:val="24"/>
        </w:rPr>
        <w:t xml:space="preserve"> </w:t>
      </w:r>
      <w:r w:rsidRPr="001C63E0">
        <w:rPr>
          <w:rFonts w:cs="Arial"/>
          <w:szCs w:val="24"/>
        </w:rPr>
        <w:t>5 milioni.</w:t>
      </w:r>
    </w:p>
    <w:p w:rsidR="00F925ED" w:rsidRDefault="001C63E0" w:rsidP="001C63E0">
      <w:pPr>
        <w:spacing w:before="120"/>
        <w:rPr>
          <w:rFonts w:cs="Arial"/>
        </w:rPr>
      </w:pPr>
      <w:r w:rsidRPr="001C63E0">
        <w:rPr>
          <w:rFonts w:cs="Arial"/>
          <w:szCs w:val="24"/>
        </w:rPr>
        <w:t>Tuttavia, ciò che conta davvero è che entro il 2051 tutte le suddette casse pensioni dovranno avere un grado di copertura dell’80%</w:t>
      </w:r>
      <w:r w:rsidRPr="001C63E0">
        <w:rPr>
          <w:rFonts w:cs="Arial"/>
          <w:szCs w:val="24"/>
          <w:vertAlign w:val="superscript"/>
        </w:rPr>
        <w:footnoteReference w:id="38"/>
      </w:r>
      <w:r w:rsidRPr="001C63E0">
        <w:rPr>
          <w:rFonts w:cs="Arial"/>
          <w:szCs w:val="24"/>
        </w:rPr>
        <w:t>. Anche se la LPP non specifica quali sarebbero le conseguenze in caso di</w:t>
      </w:r>
      <w:r w:rsidRPr="001C63E0">
        <w:rPr>
          <w:rFonts w:cs="Arial"/>
        </w:rPr>
        <w:t xml:space="preserve"> mancato raggiungimento dell’obiettivo, la logica e il buonsenso lasciano presupporre che l’ente garante sarà tenuto ad appianare la differenza. Inoltre gli istituti di previdenza che non raggiungono il grado di copertura dell’80% devono sottoporre all’autorità di vigilanza</w:t>
      </w:r>
      <w:r w:rsidRPr="001C63E0">
        <w:rPr>
          <w:rFonts w:cs="Arial"/>
          <w:vertAlign w:val="superscript"/>
        </w:rPr>
        <w:footnoteReference w:id="39"/>
      </w:r>
      <w:r w:rsidRPr="001C63E0">
        <w:rPr>
          <w:rFonts w:cs="Arial"/>
        </w:rPr>
        <w:t xml:space="preserve"> un piano elaborato dal perito in materia di previdenza professionale che attesti di essere effettivamente in grado di pervenire a tale percentuale</w:t>
      </w:r>
      <w:r w:rsidRPr="001C63E0">
        <w:rPr>
          <w:rFonts w:cs="Arial"/>
          <w:vertAlign w:val="superscript"/>
        </w:rPr>
        <w:footnoteReference w:id="40"/>
      </w:r>
      <w:r w:rsidRPr="001C63E0">
        <w:rPr>
          <w:rFonts w:cs="Arial"/>
        </w:rPr>
        <w:t xml:space="preserve">. </w:t>
      </w:r>
    </w:p>
    <w:p w:rsidR="001C63E0" w:rsidRDefault="001C63E0" w:rsidP="001C63E0">
      <w:pPr>
        <w:spacing w:before="120"/>
        <w:rPr>
          <w:rFonts w:cs="Arial"/>
        </w:rPr>
      </w:pPr>
      <w:r w:rsidRPr="001C63E0">
        <w:rPr>
          <w:rFonts w:cs="Arial"/>
        </w:rPr>
        <w:lastRenderedPageBreak/>
        <w:t>Pertanto, anche in virtù di questo meccanismo quinquennale di sorveglianza, non è possibile svegliarsi nel 2051 con un grado di copertura pari al 70%.</w:t>
      </w:r>
    </w:p>
    <w:p w:rsidR="00816297" w:rsidRPr="001C63E0" w:rsidRDefault="00816297" w:rsidP="00F925ED">
      <w:pPr>
        <w:rPr>
          <w:rFonts w:cs="Arial"/>
        </w:rPr>
      </w:pPr>
    </w:p>
    <w:p w:rsidR="001C63E0" w:rsidRPr="001C63E0" w:rsidRDefault="001C63E0" w:rsidP="00F925ED">
      <w:pPr>
        <w:rPr>
          <w:rFonts w:cs="Arial"/>
        </w:rPr>
      </w:pPr>
      <w:r w:rsidRPr="001C63E0">
        <w:rPr>
          <w:rFonts w:cs="Arial"/>
        </w:rPr>
        <w:t>Supponiamo che il popolo bocci qualsiasi credito per cui, non potendo aumentare le entrate, bisognerebbe ridurre le uscite, verosimilmente intervenendo sulle prestazioni, ma solo di coloro che non sono ancora al beneficio di una rendita. In effetti, potenzialmente, fintanto che l’assicurato non è in pensione, la sua garanzia è teoricamente modificabile (dal Gran Consiglio, siccome ancorata nella Legge sull’IPCT). Si veda la sezione 5.2 più in basso. Il messaggio in discussione è motivato dalle garanzie di pensione accordate agli assicurati più anziani dal Legislativo cantonale nel novembre 2012; chi non ha queste garanzie – ossia chi aveva meno di 50 anni al momento della revisione – beneficia già di prestazioni relativamente basse, che dovranno essere ulteriormente ridotte perché occorrerà abbassare i tassi di conversione, e ciò indipendentemente dall’importo di CHF</w:t>
      </w:r>
      <w:r w:rsidR="006B631A">
        <w:rPr>
          <w:rFonts w:cs="Arial"/>
        </w:rPr>
        <w:t xml:space="preserve"> </w:t>
      </w:r>
      <w:r w:rsidRPr="001C63E0">
        <w:rPr>
          <w:rFonts w:cs="Arial"/>
        </w:rPr>
        <w:t>500 milioni.</w:t>
      </w:r>
    </w:p>
    <w:p w:rsidR="001C63E0" w:rsidRPr="001C63E0" w:rsidRDefault="001C63E0" w:rsidP="001C63E0">
      <w:pPr>
        <w:spacing w:before="120"/>
        <w:rPr>
          <w:rFonts w:cs="Arial"/>
        </w:rPr>
      </w:pPr>
      <w:r w:rsidRPr="001C63E0">
        <w:rPr>
          <w:rFonts w:cs="Arial"/>
        </w:rPr>
        <w:t>Il margine di manovra sarebbe relativamente esiguo. Si potrebbe arrivare a riconoscere a tutti gli assicurati che non beneficiano delle garanzie le prestazioni minime LPP; tuttavia, con un premio dell’11.5% pagato dai dipendenti e del 17.6% versato dal datore di lavoro, proporre un piano minimo LPP sarebbe estremamente difficile da motivare. In alternativa, al fine di migliorare il saldo tra le entrate e le uscite, si potrebbe pensare a un aumento dei contributi, la cui competenza è del Parlamento</w:t>
      </w:r>
      <w:r w:rsidRPr="001C63E0">
        <w:rPr>
          <w:rFonts w:cs="Arial"/>
          <w:vertAlign w:val="superscript"/>
        </w:rPr>
        <w:footnoteReference w:id="41"/>
      </w:r>
      <w:r w:rsidRPr="001C63E0">
        <w:rPr>
          <w:rFonts w:cs="Arial"/>
        </w:rPr>
        <w:t>.</w:t>
      </w:r>
    </w:p>
    <w:p w:rsidR="001C63E0" w:rsidRPr="001C63E0" w:rsidRDefault="001C63E0" w:rsidP="001C63E0">
      <w:pPr>
        <w:spacing w:before="120"/>
        <w:rPr>
          <w:rFonts w:cs="Arial"/>
        </w:rPr>
      </w:pPr>
      <w:r w:rsidRPr="001C63E0">
        <w:rPr>
          <w:rFonts w:cs="Arial"/>
        </w:rPr>
        <w:t>Esiste un problema generale in Svizzera, che potrebbe portare in qualche modo a uno scontro tra generazioni: infatti ogni anno svariati miliardi di franchi della previdenza, che spetterebbero di diritto agli assicurati attivi sotto forma di remunerazione del capitale, vanno a finanziare le perdite per i pensionamenti. Ad esempio l’IPCT ha realizzato dalla sua istituzione (2013) un rendimento medio del 4%, ma soltanto meno dell’1.5% è andato a beneficio degli attivi, questo perché la differenza è stata utilizzata per coprire le diminuzioni del tasso tecnico che si sono rese necessarie.</w:t>
      </w:r>
    </w:p>
    <w:p w:rsidR="001C63E0" w:rsidRPr="001C63E0" w:rsidRDefault="001C63E0" w:rsidP="001C63E0">
      <w:pPr>
        <w:spacing w:before="120"/>
        <w:rPr>
          <w:rFonts w:cs="Arial"/>
        </w:rPr>
      </w:pPr>
      <w:r w:rsidRPr="001C63E0">
        <w:rPr>
          <w:rFonts w:cs="Arial"/>
        </w:rPr>
        <w:t xml:space="preserve">Non si dimentichi infine che esiste in ogni caso un’autorità di vigilanza che, se constata che un istituto di previdenza non riesce a rispettare i paletti esistenti, può intervenire in sostituzione del </w:t>
      </w:r>
      <w:proofErr w:type="spellStart"/>
      <w:r w:rsidRPr="001C63E0">
        <w:rPr>
          <w:rFonts w:cs="Arial"/>
        </w:rPr>
        <w:t>CdA</w:t>
      </w:r>
      <w:proofErr w:type="spellEnd"/>
      <w:r w:rsidRPr="001C63E0">
        <w:rPr>
          <w:rFonts w:cs="Arial"/>
        </w:rPr>
        <w:t xml:space="preserve"> e imporre dall’alto determinati contributi; in quale maniera non lo sa nessuno, poiché non si sono ancora verificati casi simili.</w:t>
      </w:r>
    </w:p>
    <w:p w:rsidR="001C63E0" w:rsidRDefault="001C63E0" w:rsidP="00EC5775">
      <w:pPr>
        <w:rPr>
          <w:rFonts w:cs="Arial"/>
        </w:rPr>
      </w:pPr>
    </w:p>
    <w:p w:rsidR="00EC5775" w:rsidRPr="001C63E0" w:rsidRDefault="00EC5775" w:rsidP="00EC5775">
      <w:pPr>
        <w:rPr>
          <w:rFonts w:cs="Arial"/>
        </w:rPr>
      </w:pPr>
    </w:p>
    <w:p w:rsidR="001C63E0" w:rsidRPr="001C63E0" w:rsidRDefault="001C63E0" w:rsidP="00EC5775">
      <w:pPr>
        <w:keepNext/>
        <w:tabs>
          <w:tab w:val="left" w:pos="709"/>
        </w:tabs>
        <w:ind w:left="360" w:hanging="360"/>
        <w:outlineLvl w:val="1"/>
        <w:rPr>
          <w:rFonts w:cs="Arial"/>
          <w:b/>
          <w:lang w:val="it-IT" w:eastAsia="it-IT"/>
        </w:rPr>
      </w:pPr>
      <w:bookmarkStart w:id="45" w:name="_Toc98976105"/>
      <w:r w:rsidRPr="001C63E0">
        <w:rPr>
          <w:rFonts w:cs="Arial"/>
          <w:b/>
          <w:lang w:val="it-IT" w:eastAsia="it-IT"/>
        </w:rPr>
        <w:t>4.3</w:t>
      </w:r>
      <w:r w:rsidRPr="001C63E0">
        <w:rPr>
          <w:rFonts w:cs="Arial"/>
          <w:b/>
          <w:lang w:val="it-IT" w:eastAsia="it-IT"/>
        </w:rPr>
        <w:tab/>
      </w:r>
      <w:r w:rsidR="003A5E13">
        <w:rPr>
          <w:rFonts w:cs="Arial"/>
          <w:b/>
          <w:lang w:val="it-IT" w:eastAsia="it-IT"/>
        </w:rPr>
        <w:tab/>
      </w:r>
      <w:r w:rsidRPr="001C63E0">
        <w:rPr>
          <w:rFonts w:cs="Arial"/>
          <w:b/>
          <w:lang w:val="it-IT" w:eastAsia="it-IT"/>
        </w:rPr>
        <w:t xml:space="preserve">Abbassamento dall’85% all’80% dell’obiettivo del grado di copertura da </w:t>
      </w:r>
      <w:r w:rsidR="003A5E13">
        <w:rPr>
          <w:rFonts w:cs="Arial"/>
          <w:b/>
          <w:lang w:val="it-IT" w:eastAsia="it-IT"/>
        </w:rPr>
        <w:tab/>
      </w:r>
      <w:r w:rsidRPr="001C63E0">
        <w:rPr>
          <w:rFonts w:cs="Arial"/>
          <w:b/>
          <w:lang w:val="it-IT" w:eastAsia="it-IT"/>
        </w:rPr>
        <w:t>raggiungere entro il 2051</w:t>
      </w:r>
      <w:bookmarkEnd w:id="45"/>
    </w:p>
    <w:p w:rsidR="001C63E0" w:rsidRPr="001C63E0" w:rsidRDefault="001C63E0" w:rsidP="001C63E0">
      <w:pPr>
        <w:spacing w:before="120"/>
        <w:rPr>
          <w:rFonts w:cs="Arial"/>
        </w:rPr>
      </w:pPr>
      <w:r w:rsidRPr="001C63E0">
        <w:rPr>
          <w:rFonts w:cs="Arial"/>
        </w:rPr>
        <w:t>Come visto, sul piano federale la legge prescrive che si raggiunga entro il 31 dicembre 2051 un grado di copertura dell’80%, mentre l’obiettivo cantonale mira ad un grado di copertura dell’85%; per l’IPCT, questo 5% di differenza rappresenta circa CHF</w:t>
      </w:r>
      <w:r w:rsidR="000C4C59">
        <w:rPr>
          <w:rFonts w:cs="Arial"/>
        </w:rPr>
        <w:t xml:space="preserve"> </w:t>
      </w:r>
      <w:r w:rsidRPr="001C63E0">
        <w:rPr>
          <w:rFonts w:cs="Arial"/>
        </w:rPr>
        <w:t xml:space="preserve">400 milioni La competenza di tale abbassamento spetterebbe al Parlamento cantonale, poiché bisognerebbe modificare l’art. 15 cpv. 2 ("Capitalizzazione parziale") della </w:t>
      </w:r>
      <w:hyperlink r:id="rId37" w:history="1">
        <w:r w:rsidRPr="001C63E0">
          <w:rPr>
            <w:rFonts w:cs="Arial"/>
            <w:color w:val="0000FF"/>
            <w:u w:val="single"/>
          </w:rPr>
          <w:t>Legge sull’Istituto di previdenza del Cantone Ticino</w:t>
        </w:r>
      </w:hyperlink>
      <w:r w:rsidRPr="001C63E0">
        <w:rPr>
          <w:rFonts w:cs="Arial"/>
        </w:rPr>
        <w:t>, che recita:</w:t>
      </w:r>
    </w:p>
    <w:p w:rsidR="001C63E0" w:rsidRPr="001C63E0" w:rsidRDefault="001C63E0" w:rsidP="00F925ED">
      <w:pPr>
        <w:spacing w:before="100"/>
        <w:ind w:left="567" w:right="567"/>
        <w:rPr>
          <w:rFonts w:cs="Arial"/>
          <w:i/>
          <w:sz w:val="22"/>
        </w:rPr>
      </w:pPr>
      <w:r w:rsidRPr="001C63E0">
        <w:rPr>
          <w:rFonts w:cs="Arial"/>
          <w:i/>
          <w:sz w:val="22"/>
          <w:vertAlign w:val="superscript"/>
        </w:rPr>
        <w:t>1</w:t>
      </w:r>
      <w:r w:rsidRPr="001C63E0">
        <w:rPr>
          <w:rFonts w:cs="Arial"/>
          <w:i/>
          <w:sz w:val="22"/>
        </w:rPr>
        <w:t>L’Istituto di previdenza applica il sistema della capitalizzazione parziale alle condizioni previste dall’art. 72a LPP e seguenti e dalla disposizione transitoria c. della modifica della LPP del 17 dicembre 2010.</w:t>
      </w:r>
    </w:p>
    <w:p w:rsidR="001C63E0" w:rsidRPr="001C63E0" w:rsidRDefault="001C63E0" w:rsidP="001C63E0">
      <w:pPr>
        <w:spacing w:before="120"/>
        <w:ind w:left="567" w:right="567"/>
        <w:rPr>
          <w:rFonts w:cs="Arial"/>
          <w:i/>
          <w:sz w:val="22"/>
        </w:rPr>
      </w:pPr>
      <w:r w:rsidRPr="001C63E0">
        <w:rPr>
          <w:rFonts w:cs="Arial"/>
          <w:i/>
          <w:sz w:val="22"/>
          <w:vertAlign w:val="superscript"/>
        </w:rPr>
        <w:t>2</w:t>
      </w:r>
      <w:r w:rsidRPr="001C63E0">
        <w:rPr>
          <w:rFonts w:cs="Arial"/>
          <w:i/>
          <w:sz w:val="22"/>
        </w:rPr>
        <w:t>L’Istituto di previdenza ha l’obiettivo di raggiungere il grado di copertura dell’85% entro il 31.12.2051.</w:t>
      </w:r>
    </w:p>
    <w:p w:rsidR="001C63E0" w:rsidRPr="001C63E0" w:rsidRDefault="001C63E0" w:rsidP="001C63E0">
      <w:pPr>
        <w:spacing w:before="120"/>
        <w:rPr>
          <w:rFonts w:cs="Arial"/>
        </w:rPr>
      </w:pPr>
      <w:r w:rsidRPr="001C63E0">
        <w:rPr>
          <w:rFonts w:cs="Arial"/>
        </w:rPr>
        <w:lastRenderedPageBreak/>
        <w:t>Simile opzione – che consentirebbe (forse) di poter rinunciare al contributo integrativo di CHF</w:t>
      </w:r>
      <w:r w:rsidR="00816297">
        <w:rPr>
          <w:rFonts w:cs="Arial"/>
        </w:rPr>
        <w:t xml:space="preserve"> </w:t>
      </w:r>
      <w:r w:rsidRPr="001C63E0">
        <w:rPr>
          <w:rFonts w:cs="Arial"/>
        </w:rPr>
        <w:t xml:space="preserve">500 milioni – ha raccolto, in occasione dell’audizione </w:t>
      </w:r>
      <w:proofErr w:type="spellStart"/>
      <w:r w:rsidRPr="001C63E0">
        <w:rPr>
          <w:rFonts w:cs="Arial"/>
        </w:rPr>
        <w:t>sottocommissionale</w:t>
      </w:r>
      <w:proofErr w:type="spellEnd"/>
      <w:r w:rsidRPr="001C63E0">
        <w:rPr>
          <w:rFonts w:cs="Arial"/>
        </w:rPr>
        <w:t>, una cauta apertura da parte del Direttore entrante dell’IPCT Daniele Rotanzi</w:t>
      </w:r>
      <w:r w:rsidRPr="001C63E0">
        <w:rPr>
          <w:rFonts w:cs="Arial"/>
          <w:vertAlign w:val="superscript"/>
        </w:rPr>
        <w:footnoteReference w:id="42"/>
      </w:r>
      <w:r w:rsidRPr="001C63E0">
        <w:rPr>
          <w:rFonts w:cs="Arial"/>
        </w:rPr>
        <w:t>, mentre è stata accolta negativamente sia dal Presidente del Consiglio di amministrazione Gianni Guidicelli</w:t>
      </w:r>
      <w:r w:rsidRPr="001C63E0">
        <w:rPr>
          <w:rFonts w:cs="Arial"/>
          <w:vertAlign w:val="superscript"/>
        </w:rPr>
        <w:footnoteReference w:id="43"/>
      </w:r>
      <w:r w:rsidRPr="001C63E0">
        <w:rPr>
          <w:rFonts w:cs="Arial"/>
        </w:rPr>
        <w:t xml:space="preserve"> sia dal Direttore uscente Pierre </w:t>
      </w:r>
      <w:proofErr w:type="spellStart"/>
      <w:r w:rsidRPr="001C63E0">
        <w:rPr>
          <w:rFonts w:cs="Arial"/>
        </w:rPr>
        <w:t>Spocci</w:t>
      </w:r>
      <w:proofErr w:type="spellEnd"/>
      <w:r w:rsidRPr="001C63E0">
        <w:rPr>
          <w:rFonts w:cs="Arial"/>
          <w:vertAlign w:val="superscript"/>
        </w:rPr>
        <w:footnoteReference w:id="44"/>
      </w:r>
      <w:r w:rsidRPr="001C63E0">
        <w:rPr>
          <w:rFonts w:cs="Arial"/>
        </w:rPr>
        <w:t>.</w:t>
      </w:r>
    </w:p>
    <w:p w:rsidR="001C63E0" w:rsidRPr="001C63E0" w:rsidRDefault="001C63E0" w:rsidP="00702913">
      <w:pPr>
        <w:rPr>
          <w:rFonts w:cs="Arial"/>
        </w:rPr>
      </w:pPr>
    </w:p>
    <w:p w:rsidR="001C63E0" w:rsidRPr="001C63E0" w:rsidRDefault="001C63E0" w:rsidP="00702913">
      <w:pPr>
        <w:jc w:val="center"/>
        <w:rPr>
          <w:rFonts w:cs="Arial"/>
        </w:rPr>
      </w:pPr>
      <w:r w:rsidRPr="001C63E0">
        <w:rPr>
          <w:rFonts w:cs="Arial"/>
        </w:rPr>
        <w:t xml:space="preserve">* * * * * * * * * </w:t>
      </w:r>
    </w:p>
    <w:p w:rsidR="00AC7A67" w:rsidRDefault="00AC7A67" w:rsidP="00702913">
      <w:pPr>
        <w:rPr>
          <w:rFonts w:cs="Arial"/>
        </w:rPr>
      </w:pPr>
    </w:p>
    <w:p w:rsidR="001C63E0" w:rsidRPr="001C63E0" w:rsidRDefault="001C63E0" w:rsidP="00702913">
      <w:pPr>
        <w:rPr>
          <w:rFonts w:cs="Arial"/>
          <w:lang w:val="it-IT"/>
        </w:rPr>
      </w:pPr>
      <w:r w:rsidRPr="001C63E0">
        <w:rPr>
          <w:rFonts w:cs="Arial"/>
          <w:lang w:val="it-IT"/>
        </w:rPr>
        <w:t>In data 30 giugno, la Sottocommissione "Finanze" ha chiesto al Consiglio di Stato se il piano di risanamento, approvato nel novembre del 2012, per raggiungere il grado di copertura almeno pari all’80% nel 2051, sia ancora percorribile oppure, alla stregua di quanto constatato a monte del M7784, i parametri allora fissati non siano già più di attualità. Il Governo, con la risoluzione governativa n. 4413 del 2 settembre 2020, ha risposto nel seguente modo:</w:t>
      </w:r>
    </w:p>
    <w:p w:rsidR="001C63E0" w:rsidRPr="001C63E0" w:rsidRDefault="001C63E0" w:rsidP="001C63E0">
      <w:pPr>
        <w:spacing w:before="60"/>
        <w:ind w:left="284" w:right="284"/>
        <w:rPr>
          <w:rFonts w:cs="Arial"/>
          <w:i/>
          <w:iCs/>
          <w:sz w:val="22"/>
        </w:rPr>
      </w:pPr>
      <w:r w:rsidRPr="001C63E0">
        <w:rPr>
          <w:rFonts w:cs="Arial"/>
          <w:sz w:val="22"/>
        </w:rPr>
        <w:t>«</w:t>
      </w:r>
      <w:r w:rsidRPr="001C63E0">
        <w:rPr>
          <w:rFonts w:cs="Arial"/>
          <w:i/>
          <w:iCs/>
          <w:sz w:val="22"/>
        </w:rPr>
        <w:t xml:space="preserve">Precisiamo che il piano di risanamento approvato dal Gran Consiglio nel novembre del 2012 aveva e ha un obiettivo di grado di copertura dell’85% entro il 31.12.2051 (cfr. art. 16 cpv. 1 </w:t>
      </w:r>
      <w:proofErr w:type="spellStart"/>
      <w:r w:rsidRPr="001C63E0">
        <w:rPr>
          <w:rFonts w:cs="Arial"/>
          <w:i/>
          <w:iCs/>
          <w:sz w:val="22"/>
        </w:rPr>
        <w:t>Lipct</w:t>
      </w:r>
      <w:proofErr w:type="spellEnd"/>
      <w:r w:rsidRPr="001C63E0">
        <w:rPr>
          <w:rFonts w:cs="Arial"/>
          <w:i/>
          <w:iCs/>
          <w:sz w:val="22"/>
        </w:rPr>
        <w:t>). L’obiettivo dell’80% entro il 31.12.2051 è quello fissato dalla LPP a livello federale.</w:t>
      </w:r>
    </w:p>
    <w:p w:rsidR="001C63E0" w:rsidRPr="001C63E0" w:rsidRDefault="001C63E0" w:rsidP="001C63E0">
      <w:pPr>
        <w:spacing w:before="60"/>
        <w:ind w:left="284" w:right="284"/>
        <w:rPr>
          <w:rFonts w:cs="Arial"/>
          <w:i/>
          <w:iCs/>
          <w:sz w:val="22"/>
        </w:rPr>
      </w:pPr>
      <w:r w:rsidRPr="001C63E0">
        <w:rPr>
          <w:rFonts w:cs="Arial"/>
          <w:i/>
          <w:iCs/>
          <w:sz w:val="22"/>
        </w:rPr>
        <w:t>Se il contributo richiesto con il M7784 di CHF 500 milioni sarà riconosciuto, se il tasso tecnico non scenderà in futuro al di sotto del già probabile 1.5% e se il rendimento del patrimonio a lungo termine sarà del 2% annuo almeno, l’IPCT valuta che il grado di copertura dell’85% potrà di principio essere raggiunto entro il 31.12.2051.</w:t>
      </w:r>
    </w:p>
    <w:p w:rsidR="001C63E0" w:rsidRPr="001C63E0" w:rsidRDefault="001C63E0" w:rsidP="001C63E0">
      <w:pPr>
        <w:spacing w:before="60"/>
        <w:ind w:left="284" w:right="284"/>
        <w:rPr>
          <w:rFonts w:cs="Arial"/>
          <w:sz w:val="22"/>
        </w:rPr>
      </w:pPr>
      <w:r w:rsidRPr="001C63E0">
        <w:rPr>
          <w:rFonts w:cs="Arial"/>
          <w:i/>
          <w:iCs/>
          <w:sz w:val="22"/>
        </w:rPr>
        <w:t xml:space="preserve">Osserviamo che un parametro fondamentale che è cambiato rispetto al 2012 — a seguito della riduzione del tasso tecnico — è il tasso di conversione (che trasforma il capitale in rendita dei futuri pensionati). Per garantire la stabilità finanziaria dell’IPCT, il tasso di conversione a 65 anni, dal 6.17% introdotto nel 2013 (calcolato sulla base di un tasso tecnico del 3.5%), nei prossimi anni dovrà essere ridotto al 5% almeno, ciò che rappresenterebbe un’ulteriore riduzione del 20% circa della prevista pensione degli assicurati attivi che non beneficiano delle garanzie di pensione ex art. 24 </w:t>
      </w:r>
      <w:proofErr w:type="spellStart"/>
      <w:r w:rsidRPr="001C63E0">
        <w:rPr>
          <w:rFonts w:cs="Arial"/>
          <w:i/>
          <w:iCs/>
          <w:sz w:val="22"/>
        </w:rPr>
        <w:t>Lipct</w:t>
      </w:r>
      <w:proofErr w:type="spellEnd"/>
      <w:r w:rsidRPr="001C63E0">
        <w:rPr>
          <w:rFonts w:cs="Arial"/>
          <w:i/>
          <w:iCs/>
          <w:sz w:val="22"/>
        </w:rPr>
        <w:t xml:space="preserve"> (e che andrebbe quindi a sommarsi alla riduzione già subita con il cambio di primato al 01.01.2013).</w:t>
      </w:r>
      <w:r w:rsidRPr="001C63E0">
        <w:rPr>
          <w:rFonts w:cs="Arial"/>
          <w:sz w:val="22"/>
        </w:rPr>
        <w:t>».</w:t>
      </w:r>
    </w:p>
    <w:p w:rsidR="001C63E0" w:rsidRPr="001C63E0" w:rsidRDefault="001C63E0" w:rsidP="00702913">
      <w:pPr>
        <w:rPr>
          <w:rFonts w:cs="Arial"/>
        </w:rPr>
      </w:pPr>
    </w:p>
    <w:p w:rsidR="00702913" w:rsidRPr="001C63E0" w:rsidRDefault="00702913" w:rsidP="00702913">
      <w:pPr>
        <w:jc w:val="center"/>
        <w:rPr>
          <w:rFonts w:cs="Arial"/>
        </w:rPr>
      </w:pPr>
      <w:r w:rsidRPr="001C63E0">
        <w:rPr>
          <w:rFonts w:cs="Arial"/>
        </w:rPr>
        <w:t xml:space="preserve">* * * * * * * * * </w:t>
      </w:r>
    </w:p>
    <w:p w:rsidR="001C63E0" w:rsidRPr="001C63E0" w:rsidRDefault="001C63E0" w:rsidP="00702913">
      <w:pPr>
        <w:rPr>
          <w:rFonts w:cs="Arial"/>
        </w:rPr>
      </w:pPr>
    </w:p>
    <w:p w:rsidR="001C63E0" w:rsidRPr="001C63E0" w:rsidRDefault="001C63E0" w:rsidP="00702913">
      <w:pPr>
        <w:rPr>
          <w:rFonts w:cs="Arial"/>
        </w:rPr>
      </w:pPr>
      <w:r w:rsidRPr="001C63E0">
        <w:rPr>
          <w:rFonts w:cs="Arial"/>
        </w:rPr>
        <w:t>Il 3 agosto 2020, la Sottocommissione "Finanze" ha chiesto all’IPCT di ricevere una simulazione del "cammino di finanziamento" qualora si abbassasse dall’85% all’80% l’obiettivo del grado di copertura da raggiungere entro il 2051.</w:t>
      </w:r>
    </w:p>
    <w:p w:rsidR="00816297" w:rsidRDefault="00816297" w:rsidP="001C63E0">
      <w:pPr>
        <w:spacing w:before="120"/>
        <w:rPr>
          <w:rFonts w:cs="Arial"/>
        </w:rPr>
      </w:pPr>
    </w:p>
    <w:p w:rsidR="001C63E0" w:rsidRPr="001C63E0" w:rsidRDefault="001C63E0" w:rsidP="001C63E0">
      <w:pPr>
        <w:spacing w:before="120"/>
        <w:rPr>
          <w:rFonts w:cs="Arial"/>
        </w:rPr>
      </w:pPr>
      <w:r w:rsidRPr="001C63E0">
        <w:rPr>
          <w:rFonts w:cs="Arial"/>
        </w:rPr>
        <w:lastRenderedPageBreak/>
        <w:t>Ecco la risposta dell’IPCT, datata 18 agosto 2020:</w:t>
      </w:r>
    </w:p>
    <w:p w:rsidR="001C63E0" w:rsidRPr="001C63E0" w:rsidRDefault="001C63E0" w:rsidP="001C63E0">
      <w:pPr>
        <w:spacing w:before="60"/>
        <w:ind w:left="284" w:right="284"/>
        <w:rPr>
          <w:rFonts w:cs="Arial"/>
          <w:i/>
          <w:iCs/>
          <w:sz w:val="22"/>
        </w:rPr>
      </w:pPr>
      <w:r w:rsidRPr="001C63E0">
        <w:rPr>
          <w:rFonts w:cs="Arial"/>
          <w:sz w:val="22"/>
        </w:rPr>
        <w:t>«</w:t>
      </w:r>
      <w:r w:rsidRPr="001C63E0">
        <w:rPr>
          <w:rFonts w:cs="Arial"/>
          <w:i/>
          <w:iCs/>
          <w:sz w:val="22"/>
        </w:rPr>
        <w:t>Osserviamo innanzitutto che abbassare (o alzare) l’obiettivo del grado di copertura da raggiungere entro il 2051 non comporta alcun cambiamento in eventuali simulazioni della proiezione del grado di copertura. Il cammino rimane sempre lo stesso indipendentemente dall’obiettivo.</w:t>
      </w:r>
    </w:p>
    <w:p w:rsidR="001C63E0" w:rsidRPr="001C63E0" w:rsidRDefault="001C63E0" w:rsidP="001C63E0">
      <w:pPr>
        <w:spacing w:before="120"/>
        <w:ind w:left="284" w:right="282"/>
        <w:rPr>
          <w:rFonts w:cs="Arial"/>
          <w:i/>
          <w:iCs/>
          <w:sz w:val="22"/>
        </w:rPr>
      </w:pPr>
      <w:r w:rsidRPr="001C63E0">
        <w:rPr>
          <w:rFonts w:cs="Arial"/>
          <w:i/>
          <w:iCs/>
          <w:sz w:val="22"/>
        </w:rPr>
        <w:t>Per contro si può affermare che, al 31.12.2019, 5 punti percentuali di grado di copertura rappresentano circa CHF 400 milioni (ipotizzando – per essere prudenti – un tasso tecnico dell’1.5% che porterebbe il totale degli impegni IPCT al 31.12.2019 a circa CHF 8.0 miliardi, che corrisponderebbe a un grado di copertura attuale del 65% circa).</w:t>
      </w:r>
    </w:p>
    <w:p w:rsidR="001C63E0" w:rsidRPr="001C63E0" w:rsidRDefault="001C63E0" w:rsidP="001C63E0">
      <w:pPr>
        <w:spacing w:before="120"/>
        <w:ind w:left="284" w:right="282"/>
        <w:rPr>
          <w:rFonts w:cs="Arial"/>
          <w:i/>
          <w:iCs/>
          <w:sz w:val="22"/>
        </w:rPr>
      </w:pPr>
      <w:r w:rsidRPr="001C63E0">
        <w:rPr>
          <w:rFonts w:cs="Arial"/>
          <w:i/>
          <w:iCs/>
          <w:sz w:val="22"/>
        </w:rPr>
        <w:t>Benché nel corso degli ultimi decenni il totale degli impegni IPCT sia costantemente cresciuto, considerato l’attuale contesto economico-previdenziale, se il tasso tecnico non scenderà sotto l’1.5%, se l’inflazione resterà ai livelli attuali (ossia all’incirca a zero) e se l’evoluzione dell’effettivo degli assicurati attivi non subirà degli sconvolgimenti (ossia continuerà a crescere debolmente), si può ragionevolmente supporre che il totale degli impegni IPCT nel 2051 sarà all’incirca lo stesso di oggi (cioè circa CHF 8 miliardi).</w:t>
      </w:r>
    </w:p>
    <w:p w:rsidR="001C63E0" w:rsidRPr="001C63E0" w:rsidRDefault="001C63E0" w:rsidP="001C63E0">
      <w:pPr>
        <w:spacing w:before="120"/>
        <w:ind w:left="284" w:right="282"/>
        <w:rPr>
          <w:rFonts w:cs="Arial"/>
          <w:i/>
          <w:iCs/>
          <w:sz w:val="22"/>
        </w:rPr>
      </w:pPr>
      <w:r w:rsidRPr="001C63E0">
        <w:rPr>
          <w:rFonts w:cs="Arial"/>
          <w:i/>
          <w:iCs/>
          <w:sz w:val="22"/>
        </w:rPr>
        <w:t xml:space="preserve">In altre parole ciò significa che abbassare l’obiettivo del grado di copertura dall’85% all’80% al 31.12.2051 significa per l’IPCT dover avere a quella data circa CHF 400 milioni di patrimonio disponibile in meno (con CHF 8.0 miliardi di impegni serve un patrimonio disponibile di CHF 6.8 miliardi per avere un grado di copertura dell’85%, mentre di "soli" CHF 6.4 miliardi per avere un grado di copertura dell’80%). </w:t>
      </w:r>
    </w:p>
    <w:p w:rsidR="001C63E0" w:rsidRPr="001C63E0" w:rsidRDefault="001C63E0" w:rsidP="001C63E0">
      <w:pPr>
        <w:spacing w:before="120"/>
        <w:ind w:left="284" w:right="282"/>
        <w:rPr>
          <w:rFonts w:cs="Arial"/>
          <w:i/>
          <w:iCs/>
          <w:sz w:val="22"/>
        </w:rPr>
      </w:pPr>
      <w:r w:rsidRPr="001C63E0">
        <w:rPr>
          <w:rFonts w:cs="Arial"/>
          <w:i/>
          <w:iCs/>
          <w:sz w:val="22"/>
        </w:rPr>
        <w:t>Prendendo il tasso tecnico (per prudenza 1.5%) quale tasso di sconto, CHF 400 milioni al 31.12.2051 rappresentano circa CHF 248 milioni al 31.12.2019.</w:t>
      </w:r>
    </w:p>
    <w:p w:rsidR="001C63E0" w:rsidRPr="001C63E0" w:rsidRDefault="001C63E0" w:rsidP="001C63E0">
      <w:pPr>
        <w:spacing w:before="120"/>
        <w:ind w:left="284" w:right="282"/>
        <w:rPr>
          <w:rFonts w:cs="Arial"/>
          <w:i/>
          <w:iCs/>
          <w:sz w:val="22"/>
        </w:rPr>
      </w:pPr>
      <w:r w:rsidRPr="001C63E0">
        <w:rPr>
          <w:rFonts w:cs="Arial"/>
          <w:i/>
          <w:iCs/>
          <w:sz w:val="22"/>
        </w:rPr>
        <w:t>Benché a prima vista si potrebbe quindi affermare (sulla base di quanto precede e in particolare delle ipotesi fatte) che abbassare dall’85% all’80% l’obiettivo del grado di copertura da raggiungere entro il 2051 sia grossomodo equivalente a concedere un contributo supplementare della metà (ossia CHF 250 milioni) di quello proposto con il Messaggio 7784, ci permettiamo di osservare quanto segue:</w:t>
      </w:r>
    </w:p>
    <w:p w:rsidR="001C63E0" w:rsidRPr="001C63E0" w:rsidRDefault="001C63E0" w:rsidP="00AC7A67">
      <w:pPr>
        <w:tabs>
          <w:tab w:val="left" w:pos="426"/>
        </w:tabs>
        <w:spacing w:before="120"/>
        <w:ind w:left="426" w:right="282" w:hanging="142"/>
        <w:rPr>
          <w:rFonts w:cs="Arial"/>
          <w:i/>
          <w:iCs/>
          <w:sz w:val="22"/>
        </w:rPr>
      </w:pPr>
      <w:r w:rsidRPr="001C63E0">
        <w:rPr>
          <w:rFonts w:cs="Arial"/>
          <w:i/>
          <w:iCs/>
          <w:sz w:val="22"/>
        </w:rPr>
        <w:t>•</w:t>
      </w:r>
      <w:r w:rsidRPr="001C63E0">
        <w:rPr>
          <w:rFonts w:cs="Arial"/>
          <w:i/>
          <w:iCs/>
          <w:sz w:val="22"/>
        </w:rPr>
        <w:tab/>
        <w:t>anche se si abbassasse l’obiettivo dall’85% all’80% (e ammesso che lì si arrivasse), il disavanzo totale rispetto alla capitalizzazione integrale (grado di copertura del 100%) rimarrebbe in ogni caso (deficit che prima o poi, dopo il 2051, andrà verosimilmente comunque colmato);</w:t>
      </w:r>
    </w:p>
    <w:p w:rsidR="001C63E0" w:rsidRPr="001C63E0" w:rsidRDefault="001C63E0" w:rsidP="00AC7A67">
      <w:pPr>
        <w:tabs>
          <w:tab w:val="left" w:pos="426"/>
        </w:tabs>
        <w:spacing w:before="120"/>
        <w:ind w:left="426" w:right="282" w:hanging="142"/>
        <w:rPr>
          <w:rFonts w:cs="Arial"/>
          <w:sz w:val="22"/>
        </w:rPr>
      </w:pPr>
      <w:r w:rsidRPr="001C63E0">
        <w:rPr>
          <w:rFonts w:cs="Arial"/>
          <w:i/>
          <w:iCs/>
          <w:sz w:val="22"/>
        </w:rPr>
        <w:t>•</w:t>
      </w:r>
      <w:r w:rsidRPr="001C63E0">
        <w:rPr>
          <w:rFonts w:cs="Arial"/>
          <w:i/>
          <w:iCs/>
          <w:sz w:val="22"/>
        </w:rPr>
        <w:tab/>
        <w:t>realizzare performance positive su importi di patrimonio più alti permette di migliorare più velocemente la situazione finanziaria, pertanto disporre subito di CHF 500 milioni di patrimonio in più permetterebbe all’IPCT di recuperare il suo disavanzo più velocemente (averli già avuti a disposizione al 01.01.2019, tenuto conto della performance IPCT 2019 del +9.5%, avrebbe ad esempio generato un beneficio supplementare di quasi CHF 50 milioni, ossia un aumento supplementare del grado di copertura dello 0.6%).</w:t>
      </w:r>
    </w:p>
    <w:p w:rsidR="001C63E0" w:rsidRPr="001C63E0" w:rsidRDefault="001C63E0" w:rsidP="001C63E0">
      <w:pPr>
        <w:spacing w:before="120"/>
        <w:ind w:left="284" w:right="282"/>
        <w:rPr>
          <w:rFonts w:cs="Arial"/>
          <w:i/>
          <w:iCs/>
          <w:sz w:val="22"/>
        </w:rPr>
      </w:pPr>
      <w:r w:rsidRPr="001C63E0">
        <w:rPr>
          <w:rFonts w:cs="Arial"/>
          <w:i/>
          <w:iCs/>
          <w:sz w:val="22"/>
        </w:rPr>
        <w:t>Si può quindi concludere che, in termini di efficacia, l’opzione di abbassare dall’85% all’80% l’obiettivo del grado di copertura da raggiungere entro il 2051 sia nettamente peggiore rispetto all’opzione del contributo integrativo immediato di CHF 500 milioni postulato dal Messaggio 7784 (in quanto la prima soluzione sarebbe unicamente un debole surrogato della seconda).</w:t>
      </w:r>
    </w:p>
    <w:p w:rsidR="001C63E0" w:rsidRPr="001C63E0" w:rsidRDefault="001C63E0" w:rsidP="001C63E0">
      <w:pPr>
        <w:spacing w:before="120"/>
        <w:ind w:left="284" w:right="282"/>
        <w:rPr>
          <w:rFonts w:cs="Arial"/>
          <w:i/>
          <w:iCs/>
          <w:sz w:val="22"/>
        </w:rPr>
      </w:pPr>
      <w:r w:rsidRPr="001C63E0">
        <w:rPr>
          <w:rFonts w:cs="Arial"/>
          <w:i/>
          <w:iCs/>
          <w:sz w:val="22"/>
        </w:rPr>
        <w:t>Possiamo inoltre affermare che, se il tasso tecnico non scenderà in futuro al di sotto del già probabile 1.5% e se il rendimento del patrimonio a lungo termine sarà del 2% annuo almeno, con il contributo integrativo di CHF 500 milioni previsto dal Messaggio 7784 il grado di copertura dell’85% dell’IPCT potrà di principio essere raggiunto entro il 31.12.2051.</w:t>
      </w:r>
    </w:p>
    <w:p w:rsidR="001C63E0" w:rsidRDefault="001C63E0" w:rsidP="001C63E0">
      <w:pPr>
        <w:spacing w:before="120"/>
        <w:ind w:left="284" w:right="282"/>
        <w:rPr>
          <w:rFonts w:cs="Arial"/>
          <w:sz w:val="22"/>
        </w:rPr>
      </w:pPr>
      <w:r w:rsidRPr="001C63E0">
        <w:rPr>
          <w:rFonts w:cs="Arial"/>
          <w:i/>
          <w:iCs/>
          <w:sz w:val="22"/>
        </w:rPr>
        <w:t xml:space="preserve">Di controcanto, se questo contributo straordinario dovesse venire a mancare, sarà probabilmente necessario abbassare dall’85% all’80% l’obiettivo del grado di copertura da raggiungere entro il 31.12.2051. Non è però detto che senza i CHF 500 milioni si arrivi a raggiungere l’obiettivo dell’80% entro il 2051. Se ciò non accadesse, si imporrebbero comunque degli interventi, verosimilmente in modo preponderante a carico del garante (ossia lo Stato), siccome l’80% è l’obiettivo minimo imposto dalla LPP a livello federale (mentre l’obiettivo dell’85% è vincolante solamente in termini di legislazione cantonale; in questo senso </w:t>
      </w:r>
      <w:r w:rsidRPr="001C63E0">
        <w:rPr>
          <w:rFonts w:cs="Arial"/>
          <w:i/>
          <w:iCs/>
          <w:sz w:val="22"/>
        </w:rPr>
        <w:lastRenderedPageBreak/>
        <w:t>precisiamo che le disposizioni federali e il perimetro di vigilanza della preposta Autorità si limitano all’obiettivo dell’80%)</w:t>
      </w:r>
      <w:r w:rsidRPr="001C63E0">
        <w:rPr>
          <w:rFonts w:cs="Arial"/>
          <w:sz w:val="22"/>
        </w:rPr>
        <w:t>».</w:t>
      </w:r>
    </w:p>
    <w:p w:rsidR="00816297" w:rsidRPr="00816297" w:rsidRDefault="00816297" w:rsidP="00816297">
      <w:pPr>
        <w:ind w:left="284" w:right="284"/>
        <w:rPr>
          <w:rFonts w:cs="Arial"/>
          <w:sz w:val="22"/>
        </w:rPr>
      </w:pPr>
    </w:p>
    <w:p w:rsidR="00702913" w:rsidRDefault="00702913" w:rsidP="00702913">
      <w:pPr>
        <w:spacing w:before="120"/>
        <w:jc w:val="center"/>
        <w:rPr>
          <w:rFonts w:cs="Arial"/>
        </w:rPr>
      </w:pPr>
      <w:r w:rsidRPr="001C63E0">
        <w:rPr>
          <w:rFonts w:cs="Arial"/>
        </w:rPr>
        <w:t xml:space="preserve">* * * * * * * * * </w:t>
      </w:r>
    </w:p>
    <w:p w:rsidR="00816297" w:rsidRPr="001C63E0" w:rsidRDefault="00816297" w:rsidP="00816297">
      <w:pPr>
        <w:jc w:val="left"/>
        <w:rPr>
          <w:rFonts w:cs="Arial"/>
        </w:rPr>
      </w:pPr>
    </w:p>
    <w:p w:rsidR="001C63E0" w:rsidRPr="001C63E0" w:rsidRDefault="001C63E0" w:rsidP="00816297">
      <w:pPr>
        <w:rPr>
          <w:rFonts w:cs="Arial"/>
        </w:rPr>
      </w:pPr>
      <w:r w:rsidRPr="001C63E0">
        <w:rPr>
          <w:rFonts w:cs="Arial"/>
        </w:rPr>
        <w:t>Sempre in data 3 agosto, la Sottocommissione "Finanze" ha chiesto al Consiglio di Stato di prendere posizione in merito alla possibilità di abbassare dall’85% all’80% l’obiettivo del grado di copertura da raggiungere entro il 2051. Il Governo, con la risoluzione governativa n. 4414 del 2 settembre 2020, ha risposto nel seguente modo:</w:t>
      </w:r>
    </w:p>
    <w:p w:rsidR="001C63E0" w:rsidRPr="001C63E0" w:rsidRDefault="001C63E0" w:rsidP="001C63E0">
      <w:pPr>
        <w:spacing w:before="60"/>
        <w:ind w:left="284" w:right="284"/>
        <w:rPr>
          <w:rFonts w:cs="Arial"/>
          <w:sz w:val="22"/>
        </w:rPr>
      </w:pPr>
      <w:r w:rsidRPr="001C63E0">
        <w:rPr>
          <w:rFonts w:cs="Arial"/>
          <w:sz w:val="22"/>
        </w:rPr>
        <w:t>«Il Consiglio di Stato riconferma la scelta operata nel 2012 e riproposta con il messaggio 7784, che fissa come obiettivo il raggiungimento di un grado di copertura dell’85%.».</w:t>
      </w:r>
    </w:p>
    <w:p w:rsidR="001C63E0" w:rsidRDefault="001C63E0" w:rsidP="00702913">
      <w:pPr>
        <w:rPr>
          <w:rFonts w:cs="Arial"/>
        </w:rPr>
      </w:pPr>
    </w:p>
    <w:p w:rsidR="00702913" w:rsidRPr="001C63E0" w:rsidRDefault="00702913" w:rsidP="00702913">
      <w:pPr>
        <w:rPr>
          <w:rFonts w:cs="Arial"/>
        </w:rPr>
      </w:pPr>
    </w:p>
    <w:p w:rsidR="001C63E0" w:rsidRPr="001C63E0" w:rsidRDefault="001C63E0" w:rsidP="00702913">
      <w:pPr>
        <w:keepNext/>
        <w:tabs>
          <w:tab w:val="left" w:pos="709"/>
        </w:tabs>
        <w:ind w:left="360" w:hanging="360"/>
        <w:outlineLvl w:val="1"/>
        <w:rPr>
          <w:rFonts w:cs="Arial"/>
          <w:b/>
          <w:lang w:val="it-IT" w:eastAsia="it-IT"/>
        </w:rPr>
      </w:pPr>
      <w:bookmarkStart w:id="46" w:name="_Toc98976106"/>
      <w:r w:rsidRPr="001C63E0">
        <w:rPr>
          <w:rFonts w:cs="Arial"/>
          <w:b/>
          <w:lang w:val="it-IT" w:eastAsia="it-IT"/>
        </w:rPr>
        <w:t>4.4</w:t>
      </w:r>
      <w:r w:rsidRPr="001C63E0">
        <w:rPr>
          <w:rFonts w:cs="Arial"/>
          <w:b/>
          <w:lang w:val="it-IT" w:eastAsia="it-IT"/>
        </w:rPr>
        <w:tab/>
      </w:r>
      <w:r w:rsidR="001C1BDE">
        <w:rPr>
          <w:rFonts w:cs="Arial"/>
          <w:b/>
          <w:lang w:val="it-IT" w:eastAsia="it-IT"/>
        </w:rPr>
        <w:tab/>
      </w:r>
      <w:r w:rsidRPr="001C63E0">
        <w:rPr>
          <w:rFonts w:cs="Arial"/>
          <w:b/>
          <w:lang w:val="it-IT" w:eastAsia="it-IT"/>
        </w:rPr>
        <w:t xml:space="preserve">Istituzione di un piano previdenziale separato all’interno dell’IPCT o creazione </w:t>
      </w:r>
      <w:r w:rsidR="001C1BDE">
        <w:rPr>
          <w:rFonts w:cs="Arial"/>
          <w:b/>
          <w:lang w:val="it-IT" w:eastAsia="it-IT"/>
        </w:rPr>
        <w:tab/>
      </w:r>
      <w:r w:rsidRPr="001C63E0">
        <w:rPr>
          <w:rFonts w:cs="Arial"/>
          <w:b/>
          <w:lang w:val="it-IT" w:eastAsia="it-IT"/>
        </w:rPr>
        <w:t xml:space="preserve">di un nuovo istituto previdenziale disgiunto dall’IPCT, nel quale confluirebbero </w:t>
      </w:r>
      <w:r w:rsidR="001C1BDE">
        <w:rPr>
          <w:rFonts w:cs="Arial"/>
          <w:b/>
          <w:lang w:val="it-IT" w:eastAsia="it-IT"/>
        </w:rPr>
        <w:tab/>
      </w:r>
      <w:r w:rsidRPr="001C63E0">
        <w:rPr>
          <w:rFonts w:cs="Arial"/>
          <w:b/>
          <w:lang w:val="it-IT" w:eastAsia="it-IT"/>
        </w:rPr>
        <w:t xml:space="preserve">i nuovi dipendenti, ma anche, su base volontaria e secondo modalità da </w:t>
      </w:r>
      <w:r w:rsidR="001C1BDE">
        <w:rPr>
          <w:rFonts w:cs="Arial"/>
          <w:b/>
          <w:lang w:val="it-IT" w:eastAsia="it-IT"/>
        </w:rPr>
        <w:tab/>
      </w:r>
      <w:r w:rsidRPr="001C63E0">
        <w:rPr>
          <w:rFonts w:cs="Arial"/>
          <w:b/>
          <w:lang w:val="it-IT" w:eastAsia="it-IT"/>
        </w:rPr>
        <w:t>definire, gli attuali salariati</w:t>
      </w:r>
      <w:bookmarkEnd w:id="46"/>
    </w:p>
    <w:p w:rsidR="001C63E0" w:rsidRPr="001C63E0" w:rsidRDefault="001C63E0" w:rsidP="001C63E0">
      <w:pPr>
        <w:spacing w:before="120"/>
        <w:rPr>
          <w:rFonts w:cs="Arial"/>
        </w:rPr>
      </w:pPr>
      <w:r w:rsidRPr="001C63E0">
        <w:rPr>
          <w:rFonts w:cs="Arial"/>
        </w:rPr>
        <w:t xml:space="preserve">Il presente scenario si ispira all’esempio del Canton Vallese. Il 18 dicembre 2018 il Parlamento </w:t>
      </w:r>
      <w:proofErr w:type="spellStart"/>
      <w:r w:rsidRPr="001C63E0">
        <w:rPr>
          <w:rFonts w:cs="Arial"/>
        </w:rPr>
        <w:t>vallesano</w:t>
      </w:r>
      <w:proofErr w:type="spellEnd"/>
      <w:r w:rsidRPr="001C63E0">
        <w:rPr>
          <w:rFonts w:cs="Arial"/>
        </w:rPr>
        <w:t xml:space="preserve"> ha accolto, a larghissima maggioranza, la riforma della </w:t>
      </w:r>
      <w:hyperlink r:id="rId38" w:anchor="f0" w:history="1">
        <w:proofErr w:type="spellStart"/>
        <w:r w:rsidRPr="001C63E0">
          <w:rPr>
            <w:rFonts w:cs="Arial"/>
            <w:color w:val="0000FF"/>
            <w:u w:val="single"/>
          </w:rPr>
          <w:t>Caisse</w:t>
        </w:r>
        <w:proofErr w:type="spellEnd"/>
        <w:r w:rsidRPr="001C63E0">
          <w:rPr>
            <w:rFonts w:cs="Arial"/>
            <w:color w:val="0000FF"/>
            <w:u w:val="single"/>
          </w:rPr>
          <w:t xml:space="preserve"> de </w:t>
        </w:r>
        <w:proofErr w:type="spellStart"/>
        <w:r w:rsidRPr="001C63E0">
          <w:rPr>
            <w:rFonts w:cs="Arial"/>
            <w:color w:val="0000FF"/>
            <w:u w:val="single"/>
          </w:rPr>
          <w:t>prévoyance</w:t>
        </w:r>
        <w:proofErr w:type="spellEnd"/>
        <w:r w:rsidRPr="001C63E0">
          <w:rPr>
            <w:rFonts w:cs="Arial"/>
            <w:color w:val="0000FF"/>
            <w:u w:val="single"/>
          </w:rPr>
          <w:t xml:space="preserve"> de l’</w:t>
        </w:r>
        <w:proofErr w:type="spellStart"/>
        <w:r w:rsidRPr="001C63E0">
          <w:rPr>
            <w:rFonts w:cs="Arial"/>
            <w:color w:val="0000FF"/>
            <w:u w:val="single"/>
          </w:rPr>
          <w:t>Etat</w:t>
        </w:r>
        <w:proofErr w:type="spellEnd"/>
        <w:r w:rsidRPr="001C63E0">
          <w:rPr>
            <w:rFonts w:cs="Arial"/>
            <w:color w:val="0000FF"/>
            <w:u w:val="single"/>
          </w:rPr>
          <w:t xml:space="preserve"> </w:t>
        </w:r>
        <w:proofErr w:type="spellStart"/>
        <w:r w:rsidRPr="001C63E0">
          <w:rPr>
            <w:rFonts w:cs="Arial"/>
            <w:color w:val="0000FF"/>
            <w:u w:val="single"/>
          </w:rPr>
          <w:t>du</w:t>
        </w:r>
        <w:proofErr w:type="spellEnd"/>
        <w:r w:rsidRPr="001C63E0">
          <w:rPr>
            <w:rFonts w:cs="Arial"/>
            <w:color w:val="0000FF"/>
            <w:u w:val="single"/>
          </w:rPr>
          <w:t xml:space="preserve"> </w:t>
        </w:r>
        <w:proofErr w:type="spellStart"/>
        <w:r w:rsidRPr="001C63E0">
          <w:rPr>
            <w:rFonts w:cs="Arial"/>
            <w:color w:val="0000FF"/>
            <w:u w:val="single"/>
          </w:rPr>
          <w:t>Valais</w:t>
        </w:r>
        <w:proofErr w:type="spellEnd"/>
      </w:hyperlink>
      <w:r w:rsidRPr="001C63E0">
        <w:rPr>
          <w:rFonts w:cs="Arial"/>
        </w:rPr>
        <w:t xml:space="preserve"> (CPVAL), che prevedeva la creazione di due casse pensioni, una chiusa, l’altra aperta. Alla </w:t>
      </w:r>
      <w:hyperlink r:id="rId39" w:history="1">
        <w:proofErr w:type="spellStart"/>
        <w:r w:rsidRPr="001C63E0">
          <w:rPr>
            <w:rFonts w:cs="Arial"/>
            <w:color w:val="0000FF"/>
            <w:u w:val="single"/>
          </w:rPr>
          <w:t>Caisse</w:t>
        </w:r>
        <w:proofErr w:type="spellEnd"/>
        <w:r w:rsidRPr="001C63E0">
          <w:rPr>
            <w:rFonts w:cs="Arial"/>
            <w:color w:val="0000FF"/>
            <w:u w:val="single"/>
          </w:rPr>
          <w:t xml:space="preserve"> de </w:t>
        </w:r>
        <w:proofErr w:type="spellStart"/>
        <w:r w:rsidRPr="001C63E0">
          <w:rPr>
            <w:rFonts w:cs="Arial"/>
            <w:color w:val="0000FF"/>
            <w:u w:val="single"/>
          </w:rPr>
          <w:t>prévoyance</w:t>
        </w:r>
        <w:proofErr w:type="spellEnd"/>
        <w:r w:rsidRPr="001C63E0">
          <w:rPr>
            <w:rFonts w:cs="Arial"/>
            <w:color w:val="0000FF"/>
            <w:u w:val="single"/>
          </w:rPr>
          <w:t xml:space="preserve"> </w:t>
        </w:r>
        <w:proofErr w:type="spellStart"/>
        <w:r w:rsidRPr="001C63E0">
          <w:rPr>
            <w:rFonts w:cs="Arial"/>
            <w:color w:val="0000FF"/>
            <w:u w:val="single"/>
          </w:rPr>
          <w:t>fermée</w:t>
        </w:r>
        <w:proofErr w:type="spellEnd"/>
      </w:hyperlink>
      <w:r w:rsidRPr="001C63E0">
        <w:rPr>
          <w:rFonts w:cs="Arial"/>
        </w:rPr>
        <w:t xml:space="preserve"> (CPF) sono affiliati unicamente i dipendenti che erano soggetti alla CPVAL prima del 2012; essa è stata ricapitalizzata nella misura di CHF 1.35 miliardi (tasso di copertura dell’80%). Nella </w:t>
      </w:r>
      <w:hyperlink r:id="rId40" w:history="1">
        <w:proofErr w:type="spellStart"/>
        <w:r w:rsidRPr="001C63E0">
          <w:rPr>
            <w:rFonts w:cs="Arial"/>
            <w:color w:val="0000FF"/>
            <w:u w:val="single"/>
          </w:rPr>
          <w:t>Caisse</w:t>
        </w:r>
        <w:proofErr w:type="spellEnd"/>
        <w:r w:rsidRPr="001C63E0">
          <w:rPr>
            <w:rFonts w:cs="Arial"/>
            <w:color w:val="0000FF"/>
            <w:u w:val="single"/>
          </w:rPr>
          <w:t xml:space="preserve"> de </w:t>
        </w:r>
        <w:proofErr w:type="spellStart"/>
        <w:r w:rsidRPr="001C63E0">
          <w:rPr>
            <w:rFonts w:cs="Arial"/>
            <w:color w:val="0000FF"/>
            <w:u w:val="single"/>
          </w:rPr>
          <w:t>prévoyance</w:t>
        </w:r>
        <w:proofErr w:type="spellEnd"/>
        <w:r w:rsidRPr="001C63E0">
          <w:rPr>
            <w:rFonts w:cs="Arial"/>
            <w:color w:val="0000FF"/>
            <w:u w:val="single"/>
          </w:rPr>
          <w:t xml:space="preserve"> </w:t>
        </w:r>
        <w:proofErr w:type="spellStart"/>
        <w:r w:rsidRPr="001C63E0">
          <w:rPr>
            <w:rFonts w:cs="Arial"/>
            <w:color w:val="0000FF"/>
            <w:u w:val="single"/>
          </w:rPr>
          <w:t>ouverte</w:t>
        </w:r>
        <w:proofErr w:type="spellEnd"/>
      </w:hyperlink>
      <w:r w:rsidRPr="001C63E0">
        <w:rPr>
          <w:rFonts w:cs="Arial"/>
        </w:rPr>
        <w:t xml:space="preserve"> (CPO) sono affluiti tutti gli altri impiegati; essa ha un tasso di copertura del 100%, grazie anche a un finanziamento da parte del Cantone di CHF 265 milioni.</w:t>
      </w:r>
    </w:p>
    <w:p w:rsidR="001C63E0" w:rsidRPr="001C63E0" w:rsidRDefault="001C63E0" w:rsidP="001C63E0">
      <w:pPr>
        <w:spacing w:before="120"/>
        <w:rPr>
          <w:rFonts w:cs="Arial"/>
        </w:rPr>
      </w:pPr>
      <w:r w:rsidRPr="001C63E0">
        <w:rPr>
          <w:rFonts w:cs="Arial"/>
        </w:rPr>
        <w:t xml:space="preserve">Durante l’audizione </w:t>
      </w:r>
      <w:proofErr w:type="spellStart"/>
      <w:r w:rsidRPr="001C63E0">
        <w:rPr>
          <w:rFonts w:cs="Arial"/>
        </w:rPr>
        <w:t>sottocommissionale</w:t>
      </w:r>
      <w:proofErr w:type="spellEnd"/>
      <w:r w:rsidRPr="001C63E0">
        <w:rPr>
          <w:rFonts w:cs="Arial"/>
        </w:rPr>
        <w:t>, l’opzione di istituire due casse pensioni è stata definita «</w:t>
      </w:r>
      <w:r w:rsidRPr="001C63E0">
        <w:rPr>
          <w:rFonts w:cs="Arial"/>
          <w:i/>
          <w:iCs/>
        </w:rPr>
        <w:t>buona</w:t>
      </w:r>
      <w:r w:rsidRPr="001C63E0">
        <w:rPr>
          <w:rFonts w:cs="Arial"/>
        </w:rPr>
        <w:t xml:space="preserve">» dal </w:t>
      </w:r>
      <w:r w:rsidRPr="001C63E0">
        <w:rPr>
          <w:rFonts w:cs="Arial"/>
          <w:szCs w:val="24"/>
        </w:rPr>
        <w:t>Consulente per gli investimenti mobiliari Alfredo Fusetti, il quale ha aggiunto: «</w:t>
      </w:r>
      <w:r w:rsidRPr="001C63E0">
        <w:rPr>
          <w:rFonts w:cs="Arial"/>
          <w:i/>
          <w:iCs/>
          <w:szCs w:val="24"/>
        </w:rPr>
        <w:t>ne abbiamo parlato internamente, anche con il Direttore del DFE Christian Vitta. Il problema è che il buco rimarrebbe e bisognerebbe comunque coprirlo a un certo momento</w:t>
      </w:r>
      <w:r w:rsidRPr="001C63E0">
        <w:rPr>
          <w:rFonts w:cs="Arial"/>
          <w:szCs w:val="24"/>
        </w:rPr>
        <w:t>»</w:t>
      </w:r>
      <w:r w:rsidRPr="001C63E0">
        <w:rPr>
          <w:rFonts w:cs="Arial"/>
          <w:szCs w:val="24"/>
          <w:vertAlign w:val="superscript"/>
        </w:rPr>
        <w:footnoteReference w:id="45"/>
      </w:r>
      <w:r w:rsidRPr="001C63E0">
        <w:rPr>
          <w:rFonts w:cs="Arial"/>
          <w:szCs w:val="24"/>
        </w:rPr>
        <w:t>.</w:t>
      </w:r>
    </w:p>
    <w:p w:rsidR="001C63E0" w:rsidRPr="001C63E0" w:rsidRDefault="001C63E0" w:rsidP="00702913">
      <w:pPr>
        <w:rPr>
          <w:rFonts w:cs="Arial"/>
        </w:rPr>
      </w:pPr>
    </w:p>
    <w:p w:rsidR="00702913" w:rsidRPr="001C63E0" w:rsidRDefault="00702913" w:rsidP="00702913">
      <w:pPr>
        <w:jc w:val="center"/>
        <w:rPr>
          <w:rFonts w:cs="Arial"/>
        </w:rPr>
      </w:pPr>
      <w:r w:rsidRPr="001C63E0">
        <w:rPr>
          <w:rFonts w:cs="Arial"/>
        </w:rPr>
        <w:t xml:space="preserve">* * * * * * * * * </w:t>
      </w:r>
    </w:p>
    <w:p w:rsidR="001C63E0" w:rsidRPr="001C63E0" w:rsidRDefault="001C63E0" w:rsidP="00702913">
      <w:pPr>
        <w:rPr>
          <w:rFonts w:cs="Arial"/>
        </w:rPr>
      </w:pPr>
    </w:p>
    <w:p w:rsidR="001C63E0" w:rsidRPr="001C63E0" w:rsidRDefault="001C63E0" w:rsidP="00702913">
      <w:pPr>
        <w:rPr>
          <w:rFonts w:cs="Arial"/>
        </w:rPr>
      </w:pPr>
      <w:r w:rsidRPr="001C63E0">
        <w:rPr>
          <w:rFonts w:cs="Arial"/>
        </w:rPr>
        <w:t>Il 3 agosto 2020, la Sottocommissione "Finanze" ha chiesto all’IPCT di prendere formalmente posizione su tale scenario; la risposta, datata 18 agosto 2020, è la seguente:</w:t>
      </w:r>
    </w:p>
    <w:p w:rsidR="001C63E0" w:rsidRPr="001C63E0" w:rsidRDefault="001C63E0" w:rsidP="00702913">
      <w:pPr>
        <w:spacing w:before="60"/>
        <w:ind w:right="-143"/>
        <w:rPr>
          <w:rFonts w:cs="Arial"/>
          <w:i/>
          <w:iCs/>
          <w:sz w:val="22"/>
        </w:rPr>
      </w:pPr>
      <w:r w:rsidRPr="001C63E0">
        <w:rPr>
          <w:rFonts w:cs="Arial"/>
          <w:sz w:val="22"/>
        </w:rPr>
        <w:t>«</w:t>
      </w:r>
      <w:r w:rsidRPr="001C63E0">
        <w:rPr>
          <w:rFonts w:cs="Arial"/>
          <w:i/>
          <w:iCs/>
          <w:sz w:val="22"/>
        </w:rPr>
        <w:t>Creare due istituti di previdenza separati con, da una parte, nella cassa chiusa, tutti gli attuali pensionati più tutti gli assicurati attivi al 31.12.2012, e dall’altra, nella cassa aperta, tutti gli assicurati attivi entrati dal 01.01.2013, avrebbe il pregio di isolare (ma non di cancellare!) il problema alla sola cassa chiusa, facendo in modo che nella cassa aperta per tutti i nuovi assicurati non vi sarebbe più il fardello dei contributi di risanamento.</w:t>
      </w:r>
    </w:p>
    <w:p w:rsidR="001C63E0" w:rsidRPr="001C63E0" w:rsidRDefault="001C63E0" w:rsidP="00702913">
      <w:pPr>
        <w:spacing w:before="120"/>
        <w:ind w:right="-143"/>
        <w:rPr>
          <w:rFonts w:cs="Arial"/>
          <w:i/>
          <w:iCs/>
          <w:sz w:val="22"/>
        </w:rPr>
      </w:pPr>
      <w:r w:rsidRPr="001C63E0">
        <w:rPr>
          <w:rFonts w:cs="Arial"/>
          <w:i/>
          <w:iCs/>
          <w:sz w:val="22"/>
        </w:rPr>
        <w:t>Dall’altra parte però questa soluzione avrebbe il grande svantaggio che nella cassa chiusa un tasso tecnico del 2% o dell’1.5% non sarebbe più giustificabile, visto che vi sarebbero sempre meno assicurati attivi e sempre più pensionati, fino ad avere solo pensionati, ciò che imporrebbe una strategia di investimento del patrimonio senza rischio. Visto l’attuale livello dei rendimenti obbligazionari (nullo se non negativo), si dovrebbe in effetti abbassare il tasso tecnico almeno allo 0% (ossia, gli impegni a bilancio corrispondono semplicemente alla somma dei versamenti futuri attesi), aumentando così il disavanzo totale (rispetto a un grado di copertura del 100%) di ulteriori CHF 1.4 miliardi all’incirca (effettuando il calcolo al 31.12.2019), portandolo a circa CHF 4.2 miliardi (dai circa CHF</w:t>
      </w:r>
      <w:r w:rsidR="00816297">
        <w:rPr>
          <w:rFonts w:cs="Arial"/>
          <w:i/>
          <w:iCs/>
          <w:sz w:val="22"/>
        </w:rPr>
        <w:t xml:space="preserve"> </w:t>
      </w:r>
      <w:r w:rsidRPr="001C63E0">
        <w:rPr>
          <w:rFonts w:cs="Arial"/>
          <w:i/>
          <w:iCs/>
          <w:sz w:val="22"/>
        </w:rPr>
        <w:t>2.8 miliardi attuali, applicando un tasso tecnico dell’1.5%).</w:t>
      </w:r>
    </w:p>
    <w:p w:rsidR="001C63E0" w:rsidRPr="001C63E0" w:rsidRDefault="001C63E0" w:rsidP="00702913">
      <w:pPr>
        <w:spacing w:before="120"/>
        <w:ind w:right="-143"/>
        <w:rPr>
          <w:rFonts w:cs="Arial"/>
          <w:i/>
          <w:iCs/>
          <w:sz w:val="22"/>
        </w:rPr>
      </w:pPr>
      <w:r w:rsidRPr="001C63E0">
        <w:rPr>
          <w:rFonts w:cs="Arial"/>
          <w:i/>
          <w:iCs/>
          <w:sz w:val="22"/>
        </w:rPr>
        <w:lastRenderedPageBreak/>
        <w:t>A nostro parere questa è pertanto una falsa buona idea, poiché il deficit plurimiliardario rimarrebbe (anzi, come visto sopra, si amplificherebbe) e vi sarebbe il rischio che solo lo Stato possa venire chiamato alla cassa.</w:t>
      </w:r>
    </w:p>
    <w:p w:rsidR="001C63E0" w:rsidRPr="001C63E0" w:rsidRDefault="001C63E0" w:rsidP="00702913">
      <w:pPr>
        <w:spacing w:before="120"/>
        <w:ind w:right="-143"/>
        <w:rPr>
          <w:rFonts w:cs="Arial"/>
          <w:i/>
          <w:iCs/>
          <w:sz w:val="22"/>
        </w:rPr>
      </w:pPr>
      <w:r w:rsidRPr="001C63E0">
        <w:rPr>
          <w:rFonts w:cs="Arial"/>
          <w:i/>
          <w:iCs/>
          <w:sz w:val="22"/>
        </w:rPr>
        <w:t>L’attuale situazione invece, per quanto non ottimale, ha il pregio che non solo lo Stato, ma tutti i Comuni per i loro docenti comunali, così come tutti gli oltre cento Enti affiliati contribuiscono al risanamento dell’IPCT tramite il versamento di contributi straordinari e di risanamento.</w:t>
      </w:r>
    </w:p>
    <w:p w:rsidR="001C63E0" w:rsidRPr="001C63E0" w:rsidRDefault="001C63E0" w:rsidP="00702913">
      <w:pPr>
        <w:spacing w:before="120"/>
        <w:ind w:right="-143"/>
        <w:rPr>
          <w:rFonts w:cs="Arial"/>
          <w:i/>
          <w:iCs/>
          <w:sz w:val="22"/>
        </w:rPr>
      </w:pPr>
      <w:r w:rsidRPr="001C63E0">
        <w:rPr>
          <w:rFonts w:cs="Arial"/>
          <w:i/>
          <w:iCs/>
          <w:sz w:val="22"/>
        </w:rPr>
        <w:t>L’opzione di costituire due Istituti di previdenza separati (uno chiuso, con garanzia dello Stato, l’altro aperto, senza garanzia dello Stato, partendo da un grado di copertura del 100% almeno) potrebbe semmai rivelarsi interessante nella misura in cui un datore di lavoro possa decidere di cambiare integralmente (per tutti i suoi assicurati) da una cassa all’altra, versando alla cassa chiusa l’integralità della sotto-copertura dovuta (così come previsto dal Regolamento di liquidazione parziale dell’IPCT).</w:t>
      </w:r>
    </w:p>
    <w:p w:rsidR="001C63E0" w:rsidRPr="001C63E0" w:rsidRDefault="001C63E0" w:rsidP="00702913">
      <w:pPr>
        <w:spacing w:before="120"/>
        <w:ind w:right="-143"/>
        <w:rPr>
          <w:rFonts w:cs="Arial"/>
          <w:i/>
          <w:iCs/>
          <w:sz w:val="22"/>
        </w:rPr>
      </w:pPr>
      <w:r w:rsidRPr="001C63E0">
        <w:rPr>
          <w:rFonts w:cs="Arial"/>
          <w:i/>
          <w:iCs/>
          <w:sz w:val="22"/>
        </w:rPr>
        <w:t>A nostro modo di vedere in effetti, separare il personale di uno stesso datore di lavoro in due casse così diverse in base unicamente alla data di entrata (come sembra essere il caso per il Canton Vallese), potrebbe essere giuridicamente problematico e richiederebbe un esame approfondito. La variante appena evocata avrebbe invece il vantaggio di poter mantenere un tasso tecnico "concorrenziale" anche nella cassa chiusa (siccome il passaggio dalla cassa chiusa alla cassa aperta comporta anche il trasferimento dei pensionati e fintanto che un datore di lavoro vi è affiliato vi è ricambio in termini di assicurati attivi). Questa possibilità avrebbe infine il pregio di attirare nuovi datori di lavoro che al momento sono evidentemente scoraggiati dall’importante ammontare dei contributi straordinari e di risanamento.</w:t>
      </w:r>
    </w:p>
    <w:p w:rsidR="001C63E0" w:rsidRPr="001C63E0" w:rsidRDefault="001C63E0" w:rsidP="00702913">
      <w:pPr>
        <w:spacing w:before="120"/>
        <w:ind w:right="-143"/>
        <w:rPr>
          <w:rFonts w:cs="Arial"/>
          <w:i/>
          <w:iCs/>
          <w:sz w:val="22"/>
        </w:rPr>
      </w:pPr>
      <w:r w:rsidRPr="001C63E0">
        <w:rPr>
          <w:rFonts w:cs="Arial"/>
          <w:i/>
          <w:iCs/>
          <w:sz w:val="22"/>
        </w:rPr>
        <w:t xml:space="preserve">Una tale soluzione non sarebbe comunque priva di problematiche. Prima fra tutte il fatto che, di nuovo, il disavanzo plurimiliardario, comunque si guardi la questione, rimane. Secondariamente, perlomeno nei primi anni, sarebbero molto pochi (per non dire nessuno) i datori di lavoro che potrebbero permettersi il costo del passaggio da una cassa all’altra. Terzo, un tale costrutto implicherebbe una complicazione amministrativa e di </w:t>
      </w:r>
      <w:proofErr w:type="spellStart"/>
      <w:r w:rsidRPr="001C63E0">
        <w:rPr>
          <w:rFonts w:cs="Arial"/>
          <w:i/>
          <w:iCs/>
          <w:sz w:val="22"/>
        </w:rPr>
        <w:t>governance</w:t>
      </w:r>
      <w:proofErr w:type="spellEnd"/>
      <w:r w:rsidRPr="001C63E0">
        <w:rPr>
          <w:rFonts w:cs="Arial"/>
          <w:i/>
          <w:iCs/>
          <w:sz w:val="22"/>
        </w:rPr>
        <w:t>, in quanto si dovrebbe costituire un ulteriore consiglio di amministrazione (o di fondazione) che gestisca il nuovo istituto di previdenza, e si dovrebbe tenere una contabilità separata.</w:t>
      </w:r>
    </w:p>
    <w:p w:rsidR="001C63E0" w:rsidRPr="001C63E0" w:rsidRDefault="001C63E0" w:rsidP="00702913">
      <w:pPr>
        <w:spacing w:before="120"/>
        <w:ind w:right="-143"/>
        <w:rPr>
          <w:rFonts w:cs="Arial"/>
          <w:sz w:val="22"/>
        </w:rPr>
      </w:pPr>
      <w:r w:rsidRPr="001C63E0">
        <w:rPr>
          <w:rFonts w:cs="Arial"/>
          <w:i/>
          <w:iCs/>
          <w:sz w:val="22"/>
        </w:rPr>
        <w:t>L’istituzione di piani previdenziali separati all’interno dell’IPCT è invece un’opzione sulla quale il Consiglio di amministrazione si è e si sta già chinando – questo però unicamente in ottica di fornire una maggior flessibilità (in termini di prestazioni previdenziali) sia agli assicurati che ai datori di lavoro affiliati all’IPCT. Dal punto di vista del finanziamento i contributi straordinari e di risanamento resterebbero sempre dovuti</w:t>
      </w:r>
      <w:r w:rsidRPr="001C63E0">
        <w:rPr>
          <w:rFonts w:cs="Arial"/>
          <w:sz w:val="22"/>
        </w:rPr>
        <w:t>».</w:t>
      </w:r>
    </w:p>
    <w:p w:rsidR="001C63E0" w:rsidRPr="001C63E0" w:rsidRDefault="001C63E0" w:rsidP="00702913">
      <w:pPr>
        <w:rPr>
          <w:rFonts w:cs="Arial"/>
        </w:rPr>
      </w:pPr>
    </w:p>
    <w:p w:rsidR="00702913" w:rsidRPr="001C63E0" w:rsidRDefault="00702913" w:rsidP="00702913">
      <w:pPr>
        <w:jc w:val="center"/>
        <w:rPr>
          <w:rFonts w:cs="Arial"/>
        </w:rPr>
      </w:pPr>
      <w:r w:rsidRPr="001C63E0">
        <w:rPr>
          <w:rFonts w:cs="Arial"/>
        </w:rPr>
        <w:t xml:space="preserve">* * * * * * * * * </w:t>
      </w:r>
    </w:p>
    <w:p w:rsidR="001C63E0" w:rsidRPr="001C63E0" w:rsidRDefault="001C63E0" w:rsidP="00702913">
      <w:pPr>
        <w:rPr>
          <w:rFonts w:cs="Arial"/>
        </w:rPr>
      </w:pPr>
    </w:p>
    <w:p w:rsidR="001C63E0" w:rsidRPr="001C63E0" w:rsidRDefault="001C63E0" w:rsidP="00816297">
      <w:pPr>
        <w:rPr>
          <w:rFonts w:cs="Arial"/>
          <w:sz w:val="22"/>
        </w:rPr>
      </w:pPr>
      <w:r w:rsidRPr="001C63E0">
        <w:rPr>
          <w:rFonts w:cs="Arial"/>
        </w:rPr>
        <w:t>Sempre in data 3 agosto, la Sottocommissione "Finanze" ha chiesto al Consiglio di Stato di prendere posizione in merito all’eventualità di istituire un piano previdenziale separato all’interno dell’IPCT oppure di creare un nuovo istituto previdenziale disgiunto dall’IPCT.</w:t>
      </w:r>
      <w:r w:rsidRPr="001C63E0" w:rsidDel="00B9137C">
        <w:rPr>
          <w:rFonts w:cs="Arial"/>
        </w:rPr>
        <w:t xml:space="preserve"> </w:t>
      </w:r>
      <w:r w:rsidRPr="001C63E0">
        <w:rPr>
          <w:rFonts w:cs="Arial"/>
        </w:rPr>
        <w:t>Al riguardo, nella risoluzione governativa n. 4414 del 2 settembre 2020 il Governo non ha preso esplicita posizione.</w:t>
      </w:r>
    </w:p>
    <w:p w:rsidR="001C63E0" w:rsidRDefault="001C63E0" w:rsidP="00702913">
      <w:pPr>
        <w:rPr>
          <w:rFonts w:cs="Arial"/>
        </w:rPr>
      </w:pPr>
    </w:p>
    <w:p w:rsidR="00702913" w:rsidRPr="001C63E0" w:rsidRDefault="00702913" w:rsidP="00702913">
      <w:pPr>
        <w:rPr>
          <w:rFonts w:cs="Arial"/>
        </w:rPr>
      </w:pPr>
    </w:p>
    <w:p w:rsidR="001C63E0" w:rsidRPr="001C63E0" w:rsidRDefault="001C63E0" w:rsidP="00702913">
      <w:pPr>
        <w:tabs>
          <w:tab w:val="left" w:pos="709"/>
        </w:tabs>
        <w:rPr>
          <w:rFonts w:cs="Arial"/>
          <w:b/>
          <w:lang w:val="it-IT" w:eastAsia="it-IT"/>
        </w:rPr>
      </w:pPr>
      <w:bookmarkStart w:id="47" w:name="_Toc98976107"/>
      <w:r w:rsidRPr="001C63E0">
        <w:rPr>
          <w:rFonts w:cs="Arial"/>
          <w:b/>
          <w:lang w:val="it-IT" w:eastAsia="it-IT"/>
        </w:rPr>
        <w:t>4.5</w:t>
      </w:r>
      <w:r w:rsidR="00EB1163">
        <w:rPr>
          <w:rFonts w:cs="Arial"/>
          <w:b/>
          <w:lang w:val="it-IT" w:eastAsia="it-IT"/>
        </w:rPr>
        <w:tab/>
      </w:r>
      <w:r w:rsidRPr="001C63E0">
        <w:rPr>
          <w:rFonts w:cs="Arial"/>
          <w:b/>
          <w:lang w:val="it-IT" w:eastAsia="it-IT"/>
        </w:rPr>
        <w:t xml:space="preserve">Ricapitalizzazione dell’IPCT, con abbandono della garanzia dello Stato e </w:t>
      </w:r>
      <w:r w:rsidR="00EB1163">
        <w:rPr>
          <w:rFonts w:cs="Arial"/>
          <w:b/>
          <w:lang w:val="it-IT" w:eastAsia="it-IT"/>
        </w:rPr>
        <w:tab/>
      </w:r>
      <w:r w:rsidRPr="001C63E0">
        <w:rPr>
          <w:rFonts w:cs="Arial"/>
          <w:b/>
          <w:lang w:val="it-IT" w:eastAsia="it-IT"/>
        </w:rPr>
        <w:t xml:space="preserve">raggiungimento di un grado di copertura del 115% oppure senza abbandono </w:t>
      </w:r>
      <w:r w:rsidR="00EB1163">
        <w:rPr>
          <w:rFonts w:cs="Arial"/>
          <w:b/>
          <w:lang w:val="it-IT" w:eastAsia="it-IT"/>
        </w:rPr>
        <w:tab/>
      </w:r>
      <w:r w:rsidRPr="001C63E0">
        <w:rPr>
          <w:rFonts w:cs="Arial"/>
          <w:b/>
          <w:lang w:val="it-IT" w:eastAsia="it-IT"/>
        </w:rPr>
        <w:t>della garanzia dello Stato e raggiungimento di un grado di copertura del 100%</w:t>
      </w:r>
      <w:bookmarkEnd w:id="47"/>
    </w:p>
    <w:p w:rsidR="00F925ED" w:rsidRDefault="001C63E0" w:rsidP="001C63E0">
      <w:pPr>
        <w:spacing w:before="120"/>
        <w:rPr>
          <w:rFonts w:cs="Arial"/>
        </w:rPr>
      </w:pPr>
      <w:r w:rsidRPr="001C63E0">
        <w:rPr>
          <w:rFonts w:cs="Arial"/>
        </w:rPr>
        <w:t xml:space="preserve">In occasione dell’audizione </w:t>
      </w:r>
      <w:proofErr w:type="spellStart"/>
      <w:r w:rsidRPr="001C63E0">
        <w:rPr>
          <w:rFonts w:cs="Arial"/>
        </w:rPr>
        <w:t>sottocommissionale</w:t>
      </w:r>
      <w:proofErr w:type="spellEnd"/>
      <w:r w:rsidRPr="001C63E0">
        <w:rPr>
          <w:rFonts w:cs="Arial"/>
        </w:rPr>
        <w:t xml:space="preserve"> del 21 luglio 2020 si è discusso piuttosto a lungo circa lo scenario di una ricapitalizzazione integrale della cassa</w:t>
      </w:r>
      <w:r w:rsidRPr="001C63E0">
        <w:rPr>
          <w:rFonts w:cs="Arial"/>
          <w:szCs w:val="24"/>
          <w:vertAlign w:val="superscript"/>
        </w:rPr>
        <w:footnoteReference w:id="46"/>
      </w:r>
      <w:r w:rsidRPr="001C63E0">
        <w:rPr>
          <w:rFonts w:cs="Arial"/>
        </w:rPr>
        <w:t>, in particolare della variante non considerante le riserve di oscillazione dei titoli (quindi ricapitalizzazione del 100% e non del 115%). Più precisamente, l’ipotesi sarebbe che all’IPCT vengano versati CHF</w:t>
      </w:r>
      <w:r w:rsidR="00DF2942">
        <w:rPr>
          <w:rFonts w:cs="Arial"/>
        </w:rPr>
        <w:t xml:space="preserve"> </w:t>
      </w:r>
      <w:r w:rsidRPr="001C63E0">
        <w:rPr>
          <w:rFonts w:cs="Arial"/>
        </w:rPr>
        <w:t>2.6 miliardi – cioè la differenza che esisteva a fine 2019 tra i passivi (CHF</w:t>
      </w:r>
      <w:r w:rsidR="00F925ED">
        <w:rPr>
          <w:rFonts w:cs="Arial"/>
        </w:rPr>
        <w:t xml:space="preserve"> </w:t>
      </w:r>
      <w:r w:rsidRPr="001C63E0">
        <w:rPr>
          <w:rFonts w:cs="Arial"/>
        </w:rPr>
        <w:t xml:space="preserve">7.8 miliardi) </w:t>
      </w:r>
    </w:p>
    <w:p w:rsidR="001C63E0" w:rsidRPr="001C63E0" w:rsidRDefault="001C63E0" w:rsidP="001C63E0">
      <w:pPr>
        <w:spacing w:before="120"/>
        <w:rPr>
          <w:rFonts w:cs="Arial"/>
        </w:rPr>
      </w:pPr>
      <w:r w:rsidRPr="001C63E0">
        <w:rPr>
          <w:rFonts w:cs="Arial"/>
        </w:rPr>
        <w:lastRenderedPageBreak/>
        <w:t>e gli attivi (CHF</w:t>
      </w:r>
      <w:r w:rsidR="00F925ED">
        <w:rPr>
          <w:rFonts w:cs="Arial"/>
        </w:rPr>
        <w:t xml:space="preserve"> </w:t>
      </w:r>
      <w:r w:rsidRPr="001C63E0">
        <w:rPr>
          <w:rFonts w:cs="Arial"/>
        </w:rPr>
        <w:t>5.15 miliardi) – al fine di poter uscire dalla garanzia dello Stato. Il Cantone potrebbe per esempio partecipare con circa CHF 2 miliardi – e già sarebbe un favore, visto che "pesa" due terzi all’interno dell’IPCT – mentre i restanti CHF 600 milioni verrebbero chiesti, verosimilmente attraverso un notevole sforzo di negoziazione, agli altri enti affiliati. Non si tratterebbe di togliere il grosso peso che ricade attualmente sui salariati, perché comunque bisognerebbe andare a costituire le riserve di fluttuazione che mancano. All’interno di tale scenario non vi sarebbe probabilmente un abbandono della garanzia dello Stato, ma di sicuro tale soluzione costituirebbe un netto miglioramento del risanamento dell’IPCT.</w:t>
      </w:r>
    </w:p>
    <w:p w:rsidR="001C63E0" w:rsidRPr="001C63E0" w:rsidRDefault="001C63E0" w:rsidP="001C63E0">
      <w:pPr>
        <w:spacing w:before="120"/>
        <w:rPr>
          <w:rFonts w:cs="Arial"/>
        </w:rPr>
      </w:pPr>
      <w:r w:rsidRPr="001C63E0">
        <w:rPr>
          <w:rFonts w:cs="Arial"/>
        </w:rPr>
        <w:t>Tale scenario è stato accolto favorevolmente, con tutti i distinguo del caso, dal Direttore entrante dell’IPCT Daniele Rotanzi</w:t>
      </w:r>
      <w:r w:rsidRPr="001C63E0">
        <w:rPr>
          <w:rFonts w:cs="Arial"/>
          <w:vertAlign w:val="superscript"/>
        </w:rPr>
        <w:footnoteReference w:id="47"/>
      </w:r>
      <w:r w:rsidRPr="001C63E0">
        <w:rPr>
          <w:rFonts w:cs="Arial"/>
        </w:rPr>
        <w:t xml:space="preserve">, mentre è stato visto in maniera molto scettica, per usare un eufemismo, dal Direttore uscente Pierre </w:t>
      </w:r>
      <w:proofErr w:type="spellStart"/>
      <w:r w:rsidRPr="001C63E0">
        <w:rPr>
          <w:rFonts w:cs="Arial"/>
        </w:rPr>
        <w:t>Spocci</w:t>
      </w:r>
      <w:proofErr w:type="spellEnd"/>
      <w:r w:rsidRPr="001C63E0">
        <w:rPr>
          <w:rFonts w:cs="Arial"/>
          <w:vertAlign w:val="superscript"/>
        </w:rPr>
        <w:footnoteReference w:id="48"/>
      </w:r>
      <w:r w:rsidRPr="001C63E0">
        <w:rPr>
          <w:rFonts w:cs="Arial"/>
        </w:rPr>
        <w:t>.</w:t>
      </w:r>
    </w:p>
    <w:p w:rsidR="001C63E0" w:rsidRPr="001C63E0" w:rsidRDefault="001C63E0" w:rsidP="00702913">
      <w:pPr>
        <w:rPr>
          <w:rFonts w:cs="Arial"/>
        </w:rPr>
      </w:pPr>
    </w:p>
    <w:p w:rsidR="00702913" w:rsidRPr="001C63E0" w:rsidRDefault="00702913" w:rsidP="00702913">
      <w:pPr>
        <w:jc w:val="center"/>
        <w:rPr>
          <w:rFonts w:cs="Arial"/>
        </w:rPr>
      </w:pPr>
      <w:r w:rsidRPr="001C63E0">
        <w:rPr>
          <w:rFonts w:cs="Arial"/>
        </w:rPr>
        <w:t xml:space="preserve">* * * * * * * * * </w:t>
      </w:r>
    </w:p>
    <w:p w:rsidR="001C63E0" w:rsidRPr="001C63E0" w:rsidRDefault="001C63E0" w:rsidP="00702913">
      <w:pPr>
        <w:rPr>
          <w:rFonts w:cs="Arial"/>
        </w:rPr>
      </w:pPr>
    </w:p>
    <w:p w:rsidR="001C63E0" w:rsidRPr="001C63E0" w:rsidRDefault="001C63E0" w:rsidP="00702913">
      <w:pPr>
        <w:rPr>
          <w:rFonts w:cs="Arial"/>
        </w:rPr>
      </w:pPr>
      <w:r w:rsidRPr="001C63E0">
        <w:rPr>
          <w:rFonts w:cs="Arial"/>
        </w:rPr>
        <w:t>Il 3 agosto 2020, la Sottocommissione "Finanze" ha domandato all’IPCT di determinarsi per iscritto su tale opzione; qui di seguito è riportata la sua presa di posizione, datata 18 agosto 2020:</w:t>
      </w:r>
    </w:p>
    <w:p w:rsidR="001C63E0" w:rsidRPr="001C63E0" w:rsidRDefault="001C63E0" w:rsidP="00702913">
      <w:pPr>
        <w:spacing w:before="60"/>
        <w:ind w:right="-1"/>
        <w:rPr>
          <w:rFonts w:cs="Arial"/>
          <w:i/>
          <w:iCs/>
          <w:sz w:val="22"/>
        </w:rPr>
      </w:pPr>
      <w:r w:rsidRPr="001C63E0">
        <w:rPr>
          <w:rFonts w:cs="Arial"/>
          <w:sz w:val="22"/>
        </w:rPr>
        <w:t>«</w:t>
      </w:r>
      <w:r w:rsidRPr="001C63E0">
        <w:rPr>
          <w:rFonts w:cs="Arial"/>
          <w:i/>
          <w:iCs/>
          <w:sz w:val="22"/>
        </w:rPr>
        <w:t>Ipotizzando – per essere prudenti (e come già evocato in precedenza) – un tasso tecnico dell’1.5% che porterebbe il totale degli impegni IPCT al 31.12.2019 a circa CHF 8.0 miliardi e ritenuto che alla stessa data l’IPCT dispone di un patrimonio di quasi CHF 5.2 miliardi, considerato che la performance provvisoria 2020 al 12.08.2020 è del +1.1 % circa, attualmente servirebbero approssimativamente CHF 2.8 miliardi per raggiungere un grado di copertura del 100%, mentre servirebbero CHF 4.0 miliardi per raggiungere un grado di copertura del 115%.</w:t>
      </w:r>
    </w:p>
    <w:p w:rsidR="001C63E0" w:rsidRPr="001C63E0" w:rsidRDefault="001C63E0" w:rsidP="00702913">
      <w:pPr>
        <w:spacing w:before="120"/>
        <w:ind w:right="-1"/>
        <w:rPr>
          <w:rFonts w:cs="Arial"/>
          <w:i/>
          <w:iCs/>
          <w:sz w:val="22"/>
        </w:rPr>
      </w:pPr>
      <w:r w:rsidRPr="001C63E0">
        <w:rPr>
          <w:rFonts w:cs="Arial"/>
          <w:i/>
          <w:iCs/>
          <w:sz w:val="22"/>
        </w:rPr>
        <w:t>Nello scenario in cui si disponesse di CHF 2.8 miliardi supplementari, raggiungendo così immediatamente un grado di copertura del 100%, mantenendo l’attuale livello di contributi straordinari e di risanamento (attualmente ca. CHF 63 milioni annui tra datori di lavoro (6% degli stipendi assicurati) e assicurati attivi (1 % degli stipendi assicurati)), se il tasso tecnico non dovesse ulteriormente scendere sotto il già probabile 1.5%, se il rendimento del patrimonio a lungo termine fosse del 2% annuo almeno e se la remunerazione degli averi di vecchiaia degli assicurati attivi fosse pari al tasso tecnico, ci vorrebbero indicativamente all’incirca 15 anni per raggiungere un grado di copertura del 115% (e costituire così una riserva di fluttuazione di valore del 15%).</w:t>
      </w:r>
    </w:p>
    <w:p w:rsidR="001C63E0" w:rsidRPr="001C63E0" w:rsidRDefault="001C63E0" w:rsidP="00702913">
      <w:pPr>
        <w:spacing w:before="120"/>
        <w:ind w:right="-1"/>
        <w:rPr>
          <w:rFonts w:cs="Arial"/>
          <w:i/>
          <w:iCs/>
          <w:sz w:val="22"/>
        </w:rPr>
      </w:pPr>
      <w:r w:rsidRPr="001C63E0">
        <w:rPr>
          <w:rFonts w:cs="Arial"/>
          <w:i/>
          <w:iCs/>
          <w:sz w:val="22"/>
        </w:rPr>
        <w:t>Ai sensi dell’art. 72f LPP, con un grado di copertura del 115% sarebbe verosimilmente possibile sopprimere la garanzia dello Stato (riservato il calcolo da effettuare in quel momento relativo al livello necessario della riserva di fluttuazione di valore). A quel punto (ma in maniera graduale già prima volendo) si potrebbero togliere tutti i contributi straordinari e di risanamento a carico di tutti i datori di lavoro e di tutti gli assicurati attivi.</w:t>
      </w:r>
    </w:p>
    <w:p w:rsidR="001C63E0" w:rsidRPr="001C63E0" w:rsidRDefault="001C63E0" w:rsidP="00702913">
      <w:pPr>
        <w:spacing w:before="120"/>
        <w:ind w:right="-1"/>
        <w:rPr>
          <w:rFonts w:cs="Arial"/>
        </w:rPr>
      </w:pPr>
      <w:r w:rsidRPr="001C63E0">
        <w:rPr>
          <w:rFonts w:cs="Arial"/>
          <w:i/>
          <w:iCs/>
          <w:sz w:val="22"/>
        </w:rPr>
        <w:lastRenderedPageBreak/>
        <w:t>Si segnala tuttavia che sopprimere la garanzia dello Stato non significa forzatamente che lo Stato non sarebbe mai più chiamato a versare contributi straordinari o di risanamento all’IPCT. Una volta passati alla capitalizzazione integrale valgono in effetti gli artt. 65-72 LPP e in particolare l’art. 65d LPP: se il grado di copertura dovesse malauguratamente scendere di nuovo sotto il 100% (a causa di eventi eccezionali per i quali la riserva di fluttuazione di valore non fosse sufficiente, come ad esempio una prolungata depressione economica), l’Istituto di previdenza potrebbe di nuovo riscuotere dai datori di lavoro (e dai lavoratori) dei contributi di risanamento</w:t>
      </w:r>
      <w:r w:rsidRPr="001C63E0">
        <w:rPr>
          <w:rFonts w:cs="Arial"/>
          <w:sz w:val="22"/>
        </w:rPr>
        <w:t>».</w:t>
      </w:r>
    </w:p>
    <w:p w:rsidR="001C63E0" w:rsidRPr="001C63E0" w:rsidRDefault="001C63E0" w:rsidP="00702913">
      <w:pPr>
        <w:ind w:right="-1"/>
        <w:rPr>
          <w:rFonts w:cs="Arial"/>
        </w:rPr>
      </w:pPr>
    </w:p>
    <w:p w:rsidR="00702913" w:rsidRPr="001C63E0" w:rsidRDefault="00702913" w:rsidP="00702913">
      <w:pPr>
        <w:jc w:val="center"/>
        <w:rPr>
          <w:rFonts w:cs="Arial"/>
        </w:rPr>
      </w:pPr>
      <w:r w:rsidRPr="001C63E0">
        <w:rPr>
          <w:rFonts w:cs="Arial"/>
        </w:rPr>
        <w:t xml:space="preserve">* * * * * * * * * </w:t>
      </w:r>
    </w:p>
    <w:p w:rsidR="001C63E0" w:rsidRPr="001C63E0" w:rsidRDefault="001C63E0" w:rsidP="00702913">
      <w:pPr>
        <w:ind w:right="-1"/>
        <w:rPr>
          <w:rFonts w:cs="Arial"/>
        </w:rPr>
      </w:pPr>
    </w:p>
    <w:p w:rsidR="001C63E0" w:rsidRPr="001C63E0" w:rsidRDefault="001C63E0" w:rsidP="00702913">
      <w:pPr>
        <w:ind w:right="-1"/>
        <w:rPr>
          <w:rFonts w:cs="Arial"/>
        </w:rPr>
      </w:pPr>
      <w:r w:rsidRPr="001C63E0">
        <w:rPr>
          <w:rFonts w:cs="Arial"/>
        </w:rPr>
        <w:t>Sempre in data 3 agosto, la Sottocommissione "Finanze" ha posto i seguenti quesiti al Consiglio di Stato, che riportiamo congiuntamente alla risposta del Governo (risoluzione governativa n. 4414 del 2 settembre 2020):</w:t>
      </w:r>
    </w:p>
    <w:p w:rsidR="001C63E0" w:rsidRPr="001C63E0" w:rsidRDefault="001C63E0" w:rsidP="00702913">
      <w:pPr>
        <w:spacing w:before="60"/>
        <w:ind w:right="-1"/>
        <w:rPr>
          <w:rFonts w:cs="Arial"/>
          <w:b/>
          <w:bCs/>
          <w:i/>
          <w:sz w:val="22"/>
        </w:rPr>
      </w:pPr>
      <w:r w:rsidRPr="001C63E0">
        <w:rPr>
          <w:rFonts w:cs="Arial"/>
          <w:sz w:val="22"/>
        </w:rPr>
        <w:t>«</w:t>
      </w:r>
      <w:r w:rsidRPr="001C63E0">
        <w:rPr>
          <w:rFonts w:cs="Arial"/>
          <w:b/>
          <w:bCs/>
          <w:i/>
          <w:sz w:val="22"/>
        </w:rPr>
        <w:t>Posizione del Consiglio di Stato in merito agli scenari di un grado di copertura del 100% rispettivamente del 115% (con la riserva di fluttuazione)</w:t>
      </w:r>
    </w:p>
    <w:p w:rsidR="001C63E0" w:rsidRPr="001C63E0" w:rsidRDefault="001C63E0" w:rsidP="00702913">
      <w:pPr>
        <w:spacing w:before="60"/>
        <w:ind w:right="-1"/>
        <w:rPr>
          <w:rFonts w:cs="Arial"/>
          <w:i/>
          <w:sz w:val="22"/>
        </w:rPr>
      </w:pPr>
      <w:r w:rsidRPr="001C63E0">
        <w:rPr>
          <w:rFonts w:cs="Arial"/>
          <w:i/>
          <w:sz w:val="22"/>
        </w:rPr>
        <w:t>Il Consiglio di Stato riconferma la scelta operata nel 2012 e riproposta con il messaggio 7784, che fissa come obiettivo il raggiungimento di un grado di copertura dell’85%.</w:t>
      </w:r>
    </w:p>
    <w:p w:rsidR="001C63E0" w:rsidRPr="001C63E0" w:rsidRDefault="001C63E0" w:rsidP="00702913">
      <w:pPr>
        <w:spacing w:before="60"/>
        <w:ind w:right="-1"/>
        <w:rPr>
          <w:rFonts w:cs="Arial"/>
          <w:i/>
          <w:sz w:val="22"/>
        </w:rPr>
      </w:pPr>
      <w:r w:rsidRPr="001C63E0">
        <w:rPr>
          <w:rFonts w:cs="Arial"/>
          <w:i/>
          <w:sz w:val="22"/>
        </w:rPr>
        <w:t>Non ritiene realizzabile e nemmeno necessaria una ricapitalizzazione completa dell’IPCT, richiamando in questo senso la legislazione federale, che non impone una ricapitalizzazione del 100%. D’altra parte le incognite che influenzano il grado di copertura sono tali che non avrebbe senso definire oggi un ulteriore scenario che potrebbe poi non essere confermato.</w:t>
      </w:r>
    </w:p>
    <w:p w:rsidR="001C63E0" w:rsidRPr="001C63E0" w:rsidRDefault="001C63E0" w:rsidP="00702913">
      <w:pPr>
        <w:spacing w:before="60"/>
        <w:ind w:right="-1"/>
        <w:rPr>
          <w:rFonts w:cs="Arial"/>
          <w:b/>
          <w:bCs/>
          <w:i/>
          <w:sz w:val="22"/>
        </w:rPr>
      </w:pPr>
      <w:r w:rsidRPr="001C63E0">
        <w:rPr>
          <w:rFonts w:cs="Arial"/>
          <w:b/>
          <w:bCs/>
          <w:i/>
          <w:sz w:val="22"/>
        </w:rPr>
        <w:t>Per quanto concerne più precisamente il secondo scenario (ossia la ricapitalizzazione completa), qua</w:t>
      </w:r>
      <w:r w:rsidR="00DF2942">
        <w:rPr>
          <w:rFonts w:cs="Arial"/>
          <w:b/>
          <w:bCs/>
          <w:i/>
          <w:sz w:val="22"/>
        </w:rPr>
        <w:t>l</w:t>
      </w:r>
      <w:r w:rsidRPr="001C63E0">
        <w:rPr>
          <w:rFonts w:cs="Arial"/>
          <w:b/>
          <w:bCs/>
          <w:i/>
          <w:sz w:val="22"/>
        </w:rPr>
        <w:t xml:space="preserve"> è l’orizzonte temporale più ampio possibile (30, 40 o 50 anni) che si può realisticamente ottenere per portare a termine il piano di rientro relativamente al debito contratto?</w:t>
      </w:r>
    </w:p>
    <w:p w:rsidR="001C63E0" w:rsidRPr="001C63E0" w:rsidRDefault="001C63E0" w:rsidP="00702913">
      <w:pPr>
        <w:spacing w:before="60"/>
        <w:ind w:right="-1"/>
        <w:rPr>
          <w:rFonts w:cs="Arial"/>
          <w:i/>
          <w:sz w:val="22"/>
        </w:rPr>
      </w:pPr>
      <w:r w:rsidRPr="001C63E0">
        <w:rPr>
          <w:rFonts w:cs="Arial"/>
          <w:i/>
          <w:sz w:val="22"/>
        </w:rPr>
        <w:t>Più l’orizzonte temporale è ampio, più le incognite alla base delle simulazioni sono importanti. Riteniamo quindi che l’orizzonte temporale adeguato è quello considerato nell’ambito del piano di risanamento dell’IPCT del 2012.</w:t>
      </w:r>
    </w:p>
    <w:p w:rsidR="001C63E0" w:rsidRPr="001C63E0" w:rsidRDefault="001C63E0" w:rsidP="00702913">
      <w:pPr>
        <w:spacing w:before="60"/>
        <w:ind w:right="-1"/>
        <w:rPr>
          <w:rFonts w:cs="Arial"/>
          <w:b/>
          <w:bCs/>
          <w:i/>
          <w:sz w:val="22"/>
        </w:rPr>
      </w:pPr>
      <w:r w:rsidRPr="001C63E0">
        <w:rPr>
          <w:rFonts w:cs="Arial"/>
          <w:b/>
          <w:bCs/>
          <w:i/>
          <w:sz w:val="22"/>
        </w:rPr>
        <w:t>In quale misura e secondo quali modalità si potrebbe ripartire tra i datori di lavoro affiliati il contributo necessario per la ricapitalizzazione dell’IPCT?</w:t>
      </w:r>
    </w:p>
    <w:p w:rsidR="001C63E0" w:rsidRPr="001C63E0" w:rsidRDefault="001C63E0" w:rsidP="00702913">
      <w:pPr>
        <w:spacing w:before="60"/>
        <w:ind w:right="-1"/>
        <w:rPr>
          <w:rFonts w:cs="Arial"/>
          <w:i/>
          <w:sz w:val="22"/>
        </w:rPr>
      </w:pPr>
      <w:r w:rsidRPr="001C63E0">
        <w:rPr>
          <w:rFonts w:cs="Arial"/>
          <w:i/>
          <w:sz w:val="22"/>
        </w:rPr>
        <w:t>La soluzione più oggettiva appare una suddivisione del contributo di ricapitalizzazione in proporzione agli impegni (sia nei confronti degli assicurati attivi che dei pensionati) dei singoli datori di lavoro. Per informazione, al 31.12.2019, ca. il 72% degli impegni a bilancio IPCT sono dovuti ad assicurati attivi o beneficiari di rendita dello Stato, mentre il restante 28% circa è dovuto a tutti gli altri datori di lavoro (ossia tutti i Comuni per i loro docenti comunali e gli oltre 100 Enti affiliati per convenzione).</w:t>
      </w:r>
    </w:p>
    <w:p w:rsidR="001C63E0" w:rsidRPr="001C63E0" w:rsidRDefault="001C63E0" w:rsidP="00702913">
      <w:pPr>
        <w:spacing w:before="60"/>
        <w:ind w:right="-1"/>
        <w:rPr>
          <w:rFonts w:cs="Arial"/>
          <w:b/>
          <w:bCs/>
          <w:i/>
          <w:iCs/>
          <w:sz w:val="22"/>
        </w:rPr>
      </w:pPr>
      <w:r w:rsidRPr="001C63E0">
        <w:rPr>
          <w:rFonts w:cs="Arial"/>
          <w:b/>
          <w:bCs/>
          <w:i/>
          <w:iCs/>
          <w:sz w:val="22"/>
        </w:rPr>
        <w:t>Quali sono i tassi di interesse passivo che verosimilmente il Cantone potrebbe ottenere sui mercati indebitandosi secondo le varie scadenze?</w:t>
      </w:r>
    </w:p>
    <w:p w:rsidR="001C63E0" w:rsidRPr="001C63E0" w:rsidRDefault="001C63E0" w:rsidP="00702913">
      <w:pPr>
        <w:spacing w:before="60"/>
        <w:ind w:right="-1"/>
        <w:rPr>
          <w:rFonts w:cs="Arial"/>
          <w:i/>
          <w:iCs/>
          <w:sz w:val="22"/>
        </w:rPr>
      </w:pPr>
      <w:r w:rsidRPr="001C63E0">
        <w:rPr>
          <w:rFonts w:cs="Arial"/>
          <w:i/>
          <w:iCs/>
          <w:sz w:val="22"/>
        </w:rPr>
        <w:t>Il mercato dei capitali ha un orizzonte temporale di 30 anni, per cui non siamo in grado di fornire le indicazioni richieste per scadenza a 40 o 50 anni. Il tasso a 30 anni si situa oggi attorno allo -0.115%.</w:t>
      </w:r>
    </w:p>
    <w:p w:rsidR="001C63E0" w:rsidRPr="001C63E0" w:rsidRDefault="001C63E0" w:rsidP="00702913">
      <w:pPr>
        <w:spacing w:before="60"/>
        <w:ind w:right="-1"/>
        <w:rPr>
          <w:rFonts w:cs="Arial"/>
          <w:sz w:val="22"/>
        </w:rPr>
      </w:pPr>
      <w:r w:rsidRPr="001C63E0">
        <w:rPr>
          <w:rFonts w:cs="Arial"/>
          <w:i/>
          <w:iCs/>
          <w:sz w:val="22"/>
        </w:rPr>
        <w:t>Occorre in ogni modo considerare che un’ipotetica emissione è soggetta a dei vincoli per quanto concerne i volumi richiesti. Se fino a CHF</w:t>
      </w:r>
      <w:r w:rsidR="00816297">
        <w:rPr>
          <w:rFonts w:cs="Arial"/>
          <w:i/>
          <w:iCs/>
          <w:sz w:val="22"/>
        </w:rPr>
        <w:t xml:space="preserve"> </w:t>
      </w:r>
      <w:r w:rsidRPr="001C63E0">
        <w:rPr>
          <w:rFonts w:cs="Arial"/>
          <w:i/>
          <w:iCs/>
          <w:sz w:val="22"/>
        </w:rPr>
        <w:t>100-200 milioni si può prevedere di reperire senza particolari difficoltà i fondi, a partire da CHF</w:t>
      </w:r>
      <w:r w:rsidR="00816297">
        <w:rPr>
          <w:rFonts w:cs="Arial"/>
          <w:i/>
          <w:iCs/>
          <w:sz w:val="22"/>
        </w:rPr>
        <w:t xml:space="preserve"> </w:t>
      </w:r>
      <w:r w:rsidRPr="001C63E0">
        <w:rPr>
          <w:rFonts w:cs="Arial"/>
          <w:i/>
          <w:iCs/>
          <w:sz w:val="22"/>
        </w:rPr>
        <w:t>400 milioni il finanziamento diventerebbe molto più difficoltoso.</w:t>
      </w:r>
      <w:r w:rsidRPr="001C63E0">
        <w:rPr>
          <w:rFonts w:cs="Arial"/>
          <w:sz w:val="22"/>
        </w:rPr>
        <w:t>».</w:t>
      </w:r>
    </w:p>
    <w:p w:rsidR="001C63E0" w:rsidRDefault="001C63E0" w:rsidP="00702913">
      <w:pPr>
        <w:tabs>
          <w:tab w:val="left" w:pos="567"/>
        </w:tabs>
        <w:ind w:right="-1"/>
        <w:rPr>
          <w:rFonts w:cs="Arial"/>
        </w:rPr>
      </w:pPr>
    </w:p>
    <w:p w:rsidR="00EB1163" w:rsidRPr="001C63E0" w:rsidRDefault="00EB1163" w:rsidP="00EB1163">
      <w:pPr>
        <w:tabs>
          <w:tab w:val="left" w:pos="567"/>
        </w:tabs>
        <w:ind w:right="567"/>
        <w:rPr>
          <w:rFonts w:cs="Arial"/>
        </w:rPr>
      </w:pPr>
    </w:p>
    <w:p w:rsidR="001C63E0" w:rsidRPr="001C63E0" w:rsidRDefault="001C63E0" w:rsidP="00EB1163">
      <w:pPr>
        <w:keepNext/>
        <w:tabs>
          <w:tab w:val="left" w:pos="709"/>
        </w:tabs>
        <w:ind w:left="709" w:hanging="709"/>
        <w:outlineLvl w:val="0"/>
        <w:rPr>
          <w:rFonts w:cs="Arial"/>
          <w:b/>
          <w:szCs w:val="24"/>
          <w:lang w:val="it-IT" w:eastAsia="it-IT"/>
        </w:rPr>
      </w:pPr>
      <w:bookmarkStart w:id="48" w:name="_Toc98976108"/>
      <w:r w:rsidRPr="001C63E0">
        <w:rPr>
          <w:rFonts w:cs="Arial"/>
          <w:b/>
          <w:szCs w:val="24"/>
          <w:lang w:val="it-IT" w:eastAsia="it-IT"/>
        </w:rPr>
        <w:t>5.</w:t>
      </w:r>
      <w:r w:rsidRPr="001C63E0">
        <w:rPr>
          <w:rFonts w:cs="Arial"/>
          <w:b/>
          <w:szCs w:val="24"/>
          <w:lang w:val="it-IT" w:eastAsia="it-IT"/>
        </w:rPr>
        <w:tab/>
        <w:t>TEMI PUNTUALI EMERSI DURANTE I LAVORI DELLA SOTTOCOMMISSIONE</w:t>
      </w:r>
      <w:bookmarkEnd w:id="48"/>
    </w:p>
    <w:p w:rsidR="001C63E0" w:rsidRPr="001C63E0" w:rsidRDefault="001C63E0" w:rsidP="001C63E0">
      <w:pPr>
        <w:keepNext/>
        <w:tabs>
          <w:tab w:val="left" w:pos="709"/>
        </w:tabs>
        <w:spacing w:before="120"/>
        <w:ind w:left="360" w:hanging="360"/>
        <w:outlineLvl w:val="1"/>
        <w:rPr>
          <w:rFonts w:cs="Arial"/>
          <w:b/>
          <w:lang w:val="it-IT" w:eastAsia="it-IT"/>
        </w:rPr>
      </w:pPr>
      <w:bookmarkStart w:id="49" w:name="_Toc98976109"/>
      <w:r w:rsidRPr="001C63E0">
        <w:rPr>
          <w:rFonts w:cs="Arial"/>
          <w:b/>
          <w:lang w:val="it-IT" w:eastAsia="it-IT"/>
        </w:rPr>
        <w:t>5.1</w:t>
      </w:r>
      <w:r w:rsidRPr="001C63E0">
        <w:rPr>
          <w:rFonts w:cs="Arial"/>
          <w:b/>
          <w:lang w:val="it-IT" w:eastAsia="it-IT"/>
        </w:rPr>
        <w:tab/>
      </w:r>
      <w:r w:rsidR="00EB1163">
        <w:rPr>
          <w:rFonts w:cs="Arial"/>
          <w:b/>
          <w:lang w:val="it-IT" w:eastAsia="it-IT"/>
        </w:rPr>
        <w:tab/>
      </w:r>
      <w:r w:rsidRPr="001C63E0">
        <w:rPr>
          <w:rFonts w:cs="Arial"/>
          <w:b/>
          <w:lang w:val="it-IT" w:eastAsia="it-IT"/>
        </w:rPr>
        <w:t>La questione delle garanzie di pensione (diritti acquisiti)</w:t>
      </w:r>
      <w:bookmarkEnd w:id="49"/>
    </w:p>
    <w:p w:rsidR="001C63E0" w:rsidRPr="001C63E0" w:rsidRDefault="001C63E0" w:rsidP="001C63E0">
      <w:pPr>
        <w:spacing w:before="120"/>
        <w:rPr>
          <w:rFonts w:cs="Arial"/>
          <w:szCs w:val="24"/>
        </w:rPr>
      </w:pPr>
      <w:r w:rsidRPr="001C63E0">
        <w:rPr>
          <w:rFonts w:cs="Arial"/>
          <w:szCs w:val="24"/>
        </w:rPr>
        <w:t xml:space="preserve">La giurisprudenza del Tribunale federale ha sinora sempre negato la possibilità di toccare le pensioni in corso; non è però detto che questa posizione venga mantenuta anche in futuro, magari dinnanzi a un’ulteriore crisi che peggiorasse ancora di più la situazione. Verosimilmente, anche in questa ipotesi difficilmente la giurisprudenza cambierebbe corso rispetto ad oggi. Inoltre il danno di immagine rischia di essere abbastanza grande; benché </w:t>
      </w:r>
      <w:r w:rsidRPr="001C63E0">
        <w:rPr>
          <w:rFonts w:cs="Arial"/>
          <w:szCs w:val="24"/>
        </w:rPr>
        <w:lastRenderedPageBreak/>
        <w:t>lo scopo sia nobile, si tratterebbe pur sempre dello Stato che si rimangia la parola sulle pensioni che ha concesso ai suoi dipendenti.</w:t>
      </w:r>
    </w:p>
    <w:p w:rsidR="001C63E0" w:rsidRDefault="001C63E0" w:rsidP="00816297">
      <w:pPr>
        <w:rPr>
          <w:rFonts w:cs="Arial"/>
          <w:szCs w:val="24"/>
        </w:rPr>
      </w:pPr>
    </w:p>
    <w:p w:rsidR="00816297" w:rsidRPr="001C63E0" w:rsidRDefault="00816297" w:rsidP="00816297">
      <w:pPr>
        <w:rPr>
          <w:rFonts w:cs="Arial"/>
          <w:szCs w:val="24"/>
        </w:rPr>
      </w:pPr>
    </w:p>
    <w:p w:rsidR="001C63E0" w:rsidRPr="001C63E0" w:rsidRDefault="001C63E0" w:rsidP="00816297">
      <w:pPr>
        <w:keepNext/>
        <w:tabs>
          <w:tab w:val="left" w:pos="709"/>
        </w:tabs>
        <w:ind w:left="360" w:hanging="360"/>
        <w:outlineLvl w:val="1"/>
        <w:rPr>
          <w:rFonts w:cs="Arial"/>
          <w:b/>
          <w:lang w:val="it-IT" w:eastAsia="it-IT"/>
        </w:rPr>
      </w:pPr>
      <w:bookmarkStart w:id="50" w:name="_Toc98976110"/>
      <w:r w:rsidRPr="001C63E0">
        <w:rPr>
          <w:rFonts w:cs="Arial"/>
          <w:b/>
          <w:lang w:val="it-IT" w:eastAsia="it-IT"/>
        </w:rPr>
        <w:t>5.2</w:t>
      </w:r>
      <w:r w:rsidRPr="001C63E0">
        <w:rPr>
          <w:rFonts w:cs="Arial"/>
          <w:b/>
          <w:lang w:val="it-IT" w:eastAsia="it-IT"/>
        </w:rPr>
        <w:tab/>
      </w:r>
      <w:r w:rsidR="00EB1163">
        <w:rPr>
          <w:rFonts w:cs="Arial"/>
          <w:b/>
          <w:lang w:val="it-IT" w:eastAsia="it-IT"/>
        </w:rPr>
        <w:tab/>
      </w:r>
      <w:r w:rsidRPr="001C63E0">
        <w:rPr>
          <w:rFonts w:cs="Arial"/>
          <w:b/>
          <w:lang w:val="it-IT" w:eastAsia="it-IT"/>
        </w:rPr>
        <w:t>L’eventualità di sospendere, a titolo eccezionale, i prepensionamenti</w:t>
      </w:r>
      <w:bookmarkEnd w:id="50"/>
    </w:p>
    <w:p w:rsidR="001C63E0" w:rsidRPr="001C63E0" w:rsidRDefault="001C63E0" w:rsidP="001C63E0">
      <w:pPr>
        <w:spacing w:before="120"/>
        <w:rPr>
          <w:rFonts w:cs="Arial"/>
        </w:rPr>
      </w:pPr>
      <w:r w:rsidRPr="001C63E0">
        <w:rPr>
          <w:rFonts w:cs="Arial"/>
          <w:szCs w:val="24"/>
        </w:rPr>
        <w:t>Durante l’audizione del 21 luglio 2020 è emersa l’eventualità di sospendere i prepensionamenti</w:t>
      </w:r>
      <w:r w:rsidRPr="001C63E0">
        <w:rPr>
          <w:rFonts w:cs="Arial"/>
          <w:szCs w:val="24"/>
          <w:vertAlign w:val="superscript"/>
        </w:rPr>
        <w:footnoteReference w:id="49"/>
      </w:r>
      <w:r w:rsidRPr="001C63E0">
        <w:rPr>
          <w:rFonts w:cs="Arial"/>
          <w:szCs w:val="24"/>
        </w:rPr>
        <w:t>, votando già in occasione della sessione parlamentare del 21-24 settembre 2020 un’apposita modifica legislativa urgente</w:t>
      </w:r>
      <w:r w:rsidRPr="001C63E0">
        <w:rPr>
          <w:rFonts w:cs="Arial"/>
          <w:szCs w:val="24"/>
          <w:vertAlign w:val="superscript"/>
        </w:rPr>
        <w:footnoteReference w:id="50"/>
      </w:r>
      <w:r w:rsidRPr="001C63E0">
        <w:rPr>
          <w:rFonts w:cs="Arial"/>
          <w:szCs w:val="24"/>
        </w:rPr>
        <w:t>, con entrata in vigore immediata, che congeli la possibilità di ricorrervi; questo per evitare che per sette anni l’IPCT paghi</w:t>
      </w:r>
      <w:r w:rsidRPr="001C63E0">
        <w:rPr>
          <w:rFonts w:cs="Arial"/>
        </w:rPr>
        <w:t xml:space="preserve"> una prestazione in più –</w:t>
      </w:r>
      <w:r w:rsidRPr="001C63E0">
        <w:rPr>
          <w:rFonts w:cs="Arial"/>
          <w:szCs w:val="24"/>
        </w:rPr>
        <w:t xml:space="preserve"> </w:t>
      </w:r>
      <w:r w:rsidRPr="001C63E0">
        <w:rPr>
          <w:rFonts w:cs="Arial"/>
        </w:rPr>
        <w:t>il cosiddetto supplemento sostitutivo della rendita AVS/AI (rendita ponte)</w:t>
      </w:r>
      <w:r w:rsidRPr="001C63E0">
        <w:rPr>
          <w:rFonts w:cs="Arial"/>
          <w:vertAlign w:val="superscript"/>
        </w:rPr>
        <w:footnoteReference w:id="51"/>
      </w:r>
      <w:r w:rsidRPr="001C63E0">
        <w:rPr>
          <w:rFonts w:cs="Arial"/>
        </w:rPr>
        <w:t xml:space="preserve"> e la pensione di vecchiaia stessa – agli assicurati beneficiari delle garanzie che oggi hanno tra i 58 e i 65 anni e che quindi potrebbero ricorrere alla pensione anticipata. Un eventuale innalzamento dell’età di prepensionamento (ad esempio da 58 a 60 anni) consentirebbe ai datori di lavoro di conseguire dei risparmi, che per il Cantone si tradurrebbero in qualche milione di franchi.</w:t>
      </w:r>
    </w:p>
    <w:p w:rsidR="001C63E0" w:rsidRPr="001C63E0" w:rsidRDefault="001C63E0" w:rsidP="001C63E0">
      <w:pPr>
        <w:spacing w:before="120"/>
        <w:rPr>
          <w:rFonts w:cs="Arial"/>
        </w:rPr>
      </w:pPr>
      <w:r w:rsidRPr="001C63E0">
        <w:rPr>
          <w:rFonts w:cs="Arial"/>
        </w:rPr>
        <w:t>Per la precisione, non è tanto il supplemento sostitutivo AVS/AI che pesa sulle casse dell’IPCT in caso di prepensionamento (essendo questo sostenuto piuttosto dal datore di lavoro) quanto il costo della pensione di vecchiaia. In merito al primo, per chi ha le garanzie l’IPCT si fa carico “solo” del 25% del costo di questa prestazione, mentre per chi non ha le garanzie il costo di questa prestazione è interamente a carico di datore di lavoro e del dipendente. In merito alla pensione di vecchiaia, si consideri che ogni pensionamento per chi beneficia delle garanzie comporta mediamente un costo complessivo per l’IPCT di circa CHF 250'000, dei quali approssimativamente meno del 10% è dovuto al supplemento sostitutivo AVS/AI mentre il restante 90% abbondante è dovuto alla pensione di vecchiaia non completamente finanziata.</w:t>
      </w:r>
    </w:p>
    <w:p w:rsidR="001C63E0" w:rsidRPr="001C63E0" w:rsidRDefault="001C63E0" w:rsidP="001C63E0">
      <w:pPr>
        <w:spacing w:before="120"/>
        <w:rPr>
          <w:rFonts w:cs="Arial"/>
        </w:rPr>
      </w:pPr>
      <w:r w:rsidRPr="001C63E0">
        <w:rPr>
          <w:rFonts w:cs="Arial"/>
        </w:rPr>
        <w:t>In data 30 giugno, la Sottocommissione "Finanze" ha chiesto al Consiglio di Stato se oltre alla Legge sull’IPCT del 6 novembre del 2012, al Regolamento dell’Istituto del 17 ottobre del 2013 e alle normative federali pubblicate nel sito dell’IPCT (</w:t>
      </w:r>
      <w:hyperlink r:id="rId41" w:history="1">
        <w:r w:rsidR="00FD5C94" w:rsidRPr="008E1877">
          <w:rPr>
            <w:rStyle w:val="Collegamentoipertestuale"/>
            <w:rFonts w:cs="Arial"/>
          </w:rPr>
          <w:t>https://www.ipct.ch/ Confederazione-180d0200</w:t>
        </w:r>
      </w:hyperlink>
      <w:r w:rsidRPr="001C63E0">
        <w:rPr>
          <w:rFonts w:cs="Arial"/>
        </w:rPr>
        <w:t xml:space="preserve">), ci siano altre normative che regolino l’ambito della previdenza professionale. Il Governo, con la risoluzione governativa n. 4413 del 2 settembre 2020, ha risposto che </w:t>
      </w:r>
      <w:r w:rsidRPr="001C63E0">
        <w:rPr>
          <w:rFonts w:cs="Arial"/>
          <w:i/>
          <w:iCs/>
        </w:rPr>
        <w:t>non ci sono altre normative rilevanti</w:t>
      </w:r>
      <w:r w:rsidRPr="001C63E0">
        <w:rPr>
          <w:rFonts w:cs="Arial"/>
        </w:rPr>
        <w:t>.</w:t>
      </w:r>
    </w:p>
    <w:p w:rsidR="001C63E0" w:rsidRPr="001C63E0" w:rsidRDefault="001C63E0" w:rsidP="00702913">
      <w:pPr>
        <w:rPr>
          <w:rFonts w:cs="Arial"/>
        </w:rPr>
      </w:pPr>
    </w:p>
    <w:p w:rsidR="00702913" w:rsidRPr="001C63E0" w:rsidRDefault="00702913" w:rsidP="00702913">
      <w:pPr>
        <w:jc w:val="center"/>
        <w:rPr>
          <w:rFonts w:cs="Arial"/>
        </w:rPr>
      </w:pPr>
      <w:r w:rsidRPr="001C63E0">
        <w:rPr>
          <w:rFonts w:cs="Arial"/>
        </w:rPr>
        <w:t xml:space="preserve">* * * * * * * * * </w:t>
      </w:r>
    </w:p>
    <w:p w:rsidR="001C63E0" w:rsidRPr="001C63E0" w:rsidRDefault="001C63E0" w:rsidP="00702913">
      <w:pPr>
        <w:rPr>
          <w:rFonts w:cs="Arial"/>
        </w:rPr>
      </w:pPr>
    </w:p>
    <w:p w:rsidR="001C63E0" w:rsidRPr="001C63E0" w:rsidRDefault="001C63E0" w:rsidP="00702913">
      <w:pPr>
        <w:rPr>
          <w:rFonts w:cs="Arial"/>
        </w:rPr>
      </w:pPr>
      <w:r w:rsidRPr="001C63E0">
        <w:rPr>
          <w:rFonts w:cs="Arial"/>
        </w:rPr>
        <w:t xml:space="preserve">In data 3 agosto si è chiesto al Consulente giuridico del Gran Consiglio Roberto Di Bartolomeo quali margini di manovra esistono, dal profilo giuridico, per sospendere – in via eccezionale – il diritto di ricorrere al prepensionamento, definito all’art. 64 LORD. L’intenzione sarebbe quella di sottoporre al GC tale sospensione in occasione della sessione parlamentare del 21-24 settembre 2020 tramite un’apposita modifica legislativa </w:t>
      </w:r>
      <w:r w:rsidRPr="001C63E0">
        <w:rPr>
          <w:rFonts w:cs="Arial"/>
        </w:rPr>
        <w:lastRenderedPageBreak/>
        <w:t>urgente, con entrata in vigore immediata. L’unica modalità per procedere in tal senso sarebbe il ricorso all’art. 71 LGC, concernente la clausola d’urgenza, che però avrebbe validità solo per 1 anno?</w:t>
      </w:r>
    </w:p>
    <w:p w:rsidR="001C63E0" w:rsidRPr="001C63E0" w:rsidRDefault="001C63E0" w:rsidP="001C63E0">
      <w:pPr>
        <w:spacing w:before="120"/>
        <w:rPr>
          <w:rFonts w:cs="Arial"/>
        </w:rPr>
      </w:pPr>
      <w:r w:rsidRPr="001C63E0">
        <w:rPr>
          <w:rFonts w:cs="Arial"/>
        </w:rPr>
        <w:t>Il ricorso all’art. 71 LGC scongiurerebbe la possibilità di referendum o ricorsi contro la modifica legislativa prospettata?</w:t>
      </w:r>
    </w:p>
    <w:p w:rsidR="001C63E0" w:rsidRPr="001C63E0" w:rsidRDefault="001C63E0" w:rsidP="001C63E0">
      <w:pPr>
        <w:spacing w:before="120"/>
        <w:rPr>
          <w:rFonts w:cs="Arial"/>
        </w:rPr>
      </w:pPr>
      <w:r w:rsidRPr="001C63E0">
        <w:rPr>
          <w:rFonts w:cs="Arial"/>
        </w:rPr>
        <w:t>Esistono altre vie, magari più solide da un punto di vista giuridico, per ottenere quanto auspicato, ossia il fatto di impedire di fare capo al diritto della pensione anticipata (da 58 anni) o per vecchiaia (tra i 60 e i 65 anni)?</w:t>
      </w:r>
    </w:p>
    <w:p w:rsidR="001C63E0" w:rsidRPr="001C63E0" w:rsidRDefault="001C63E0" w:rsidP="001C63E0">
      <w:pPr>
        <w:spacing w:before="120"/>
        <w:rPr>
          <w:rFonts w:cs="Arial"/>
        </w:rPr>
      </w:pPr>
      <w:r w:rsidRPr="001C63E0">
        <w:rPr>
          <w:rFonts w:cs="Arial"/>
        </w:rPr>
        <w:t>Quali altre modifiche legislative sarebbero necessarie per implementare tale richiesta? Ad esempio l’art. 29 del Regolamento di previdenza dell’Istituto di previdenza del Cantone Ticino concerne proprio le procedure di pensionamento anticipato e di vecchiaia.</w:t>
      </w:r>
    </w:p>
    <w:p w:rsidR="001C63E0" w:rsidRPr="001C63E0" w:rsidRDefault="001C63E0" w:rsidP="001C63E0">
      <w:pPr>
        <w:spacing w:before="120"/>
        <w:rPr>
          <w:rFonts w:cs="Arial"/>
        </w:rPr>
      </w:pPr>
      <w:r w:rsidRPr="001C63E0">
        <w:rPr>
          <w:rFonts w:cs="Arial"/>
        </w:rPr>
        <w:t>Il Consulente giuridico del Gran Consiglio ha risposto in data 1° settembre 2020, fornendo le seguenti indicazioni (i grassetti e le sottolineature sono riportati dalla risposta originale):</w:t>
      </w:r>
    </w:p>
    <w:p w:rsidR="001C63E0" w:rsidRPr="001C63E0" w:rsidRDefault="001C63E0" w:rsidP="00A26369">
      <w:pPr>
        <w:spacing w:before="60"/>
        <w:ind w:right="284"/>
        <w:rPr>
          <w:rFonts w:cs="Arial"/>
          <w:sz w:val="22"/>
        </w:rPr>
      </w:pPr>
      <w:r w:rsidRPr="001C63E0">
        <w:rPr>
          <w:rFonts w:cs="Arial"/>
          <w:i/>
          <w:iCs/>
          <w:sz w:val="22"/>
        </w:rPr>
        <w:t>«L’art. 64 della Legge sull’ordinamento degli impiegati dello Stato e dei docenti (LORD, RL 173.100) prevede che il rapporto di impiego cessa per limite d’età fra i 60 e i 65 anni (cpv. 1). Il dipendente che ha compiuto i 58 anni di età ha diritto di chiedere il collocamento a riposo anticipato secondo il regolamento di previdenza dell’Istituto di previdenza del Cantone Ticino (cpv. 2).</w:t>
      </w:r>
      <w:r w:rsidRPr="001C63E0">
        <w:rPr>
          <w:rFonts w:cs="Arial"/>
          <w:i/>
          <w:iCs/>
          <w:sz w:val="22"/>
          <w:vertAlign w:val="superscript"/>
        </w:rPr>
        <w:footnoteReference w:id="52"/>
      </w:r>
    </w:p>
    <w:p w:rsidR="001C63E0" w:rsidRPr="001C63E0" w:rsidRDefault="001C63E0" w:rsidP="00A26369">
      <w:pPr>
        <w:spacing w:before="60"/>
        <w:ind w:right="284"/>
        <w:rPr>
          <w:rFonts w:cs="Arial"/>
          <w:i/>
          <w:iCs/>
          <w:sz w:val="22"/>
        </w:rPr>
      </w:pPr>
      <w:r w:rsidRPr="001C63E0">
        <w:rPr>
          <w:rFonts w:cs="Arial"/>
          <w:i/>
          <w:iCs/>
          <w:sz w:val="22"/>
        </w:rPr>
        <w:t>La vostra Sottocommissione vorrebbe proporre una sospensione del diritto di ricorrere al prepensionamento di cui alla predetta norma, facendo ricorso alla clausola d’urgenza prevista all’art. 71 Legge sul Gran Consiglio e sui rapporti con il Consiglio di Stato (LGC, R L 171.100).</w:t>
      </w:r>
    </w:p>
    <w:p w:rsidR="001C63E0" w:rsidRPr="001C63E0" w:rsidRDefault="001C63E0" w:rsidP="00A26369">
      <w:pPr>
        <w:spacing w:before="60"/>
        <w:ind w:right="284"/>
        <w:rPr>
          <w:rFonts w:cs="Arial"/>
          <w:i/>
          <w:iCs/>
          <w:sz w:val="22"/>
        </w:rPr>
      </w:pPr>
      <w:r w:rsidRPr="001C63E0">
        <w:rPr>
          <w:rFonts w:cs="Arial"/>
          <w:i/>
          <w:iCs/>
          <w:sz w:val="22"/>
        </w:rPr>
        <w:t xml:space="preserve">Detta disposizione - la quale prevede che "le leggi e i decreti legislativi di carattere obbligatorio generale, giudicati di natura urgente, entrano immediatamente in vigore se lo decide la maggioranza dei membri del Gran Consiglio" (cpv. 1), ma che in ogni caso "l’atto urgente perde la sua validità dopo 1 anno dalla sua entrata in vigore e non può essere rinnovato in via d’urgenza" (cpv. 2) - riprende il tenore dell’art. 43 </w:t>
      </w:r>
      <w:proofErr w:type="spellStart"/>
      <w:r w:rsidRPr="001C63E0">
        <w:rPr>
          <w:rFonts w:cs="Arial"/>
          <w:i/>
          <w:iCs/>
          <w:sz w:val="22"/>
        </w:rPr>
        <w:t>Cost</w:t>
      </w:r>
      <w:proofErr w:type="spellEnd"/>
      <w:r w:rsidRPr="001C63E0">
        <w:rPr>
          <w:rFonts w:cs="Arial"/>
          <w:i/>
          <w:iCs/>
          <w:sz w:val="22"/>
        </w:rPr>
        <w:t>/</w:t>
      </w:r>
      <w:proofErr w:type="spellStart"/>
      <w:r w:rsidRPr="001C63E0">
        <w:rPr>
          <w:rFonts w:cs="Arial"/>
          <w:i/>
          <w:iCs/>
          <w:sz w:val="22"/>
        </w:rPr>
        <w:t>Tl</w:t>
      </w:r>
      <w:proofErr w:type="spellEnd"/>
      <w:r w:rsidRPr="001C63E0">
        <w:rPr>
          <w:rFonts w:cs="Arial"/>
          <w:i/>
          <w:iCs/>
          <w:sz w:val="22"/>
          <w:vertAlign w:val="superscript"/>
        </w:rPr>
        <w:footnoteReference w:id="53"/>
      </w:r>
      <w:r w:rsidRPr="001C63E0">
        <w:rPr>
          <w:rFonts w:cs="Arial"/>
          <w:i/>
          <w:iCs/>
          <w:sz w:val="22"/>
        </w:rPr>
        <w:t>.</w:t>
      </w:r>
    </w:p>
    <w:p w:rsidR="001C63E0" w:rsidRPr="001C63E0" w:rsidRDefault="001C63E0" w:rsidP="001C63E0">
      <w:pPr>
        <w:spacing w:before="60"/>
        <w:ind w:left="284" w:right="284"/>
        <w:rPr>
          <w:rFonts w:cs="Arial"/>
          <w:i/>
          <w:iCs/>
          <w:sz w:val="22"/>
        </w:rPr>
      </w:pPr>
      <w:r w:rsidRPr="001C63E0">
        <w:rPr>
          <w:rFonts w:cs="Arial"/>
          <w:i/>
          <w:iCs/>
          <w:sz w:val="22"/>
        </w:rPr>
        <w:t>La procedura d’urgenza si applica non solo quando si tratta di adottare il più rapidamente possibile misure di necessità che garantiscano la protezione dello Stato, ma anche quando la procedura legislativa ordinaria non consente di prescrivere con sufficiente anticipo le misure legali richieste dalle circostanze</w:t>
      </w:r>
      <w:r w:rsidRPr="001C63E0">
        <w:rPr>
          <w:rFonts w:cs="Arial"/>
          <w:i/>
          <w:iCs/>
          <w:sz w:val="22"/>
          <w:vertAlign w:val="superscript"/>
        </w:rPr>
        <w:footnoteReference w:id="54"/>
      </w:r>
      <w:r w:rsidRPr="001C63E0">
        <w:rPr>
          <w:rFonts w:cs="Arial"/>
          <w:i/>
          <w:iCs/>
          <w:sz w:val="22"/>
        </w:rPr>
        <w:t>.</w:t>
      </w:r>
    </w:p>
    <w:p w:rsidR="001C63E0" w:rsidRPr="001C63E0" w:rsidRDefault="001C63E0" w:rsidP="001C63E0">
      <w:pPr>
        <w:spacing w:before="60"/>
        <w:ind w:left="284" w:right="284"/>
        <w:rPr>
          <w:rFonts w:cs="Arial"/>
          <w:i/>
          <w:iCs/>
          <w:sz w:val="22"/>
          <w:lang w:val="fr-CH"/>
        </w:rPr>
      </w:pPr>
      <w:r w:rsidRPr="001C63E0">
        <w:rPr>
          <w:rFonts w:cs="Arial"/>
          <w:i/>
          <w:iCs/>
          <w:sz w:val="22"/>
        </w:rPr>
        <w:t xml:space="preserve">Nel suo rapporto 17 settembre 1937 indirizzato alle Camere federali concernente l’estensione della giurisdizione costituzionale il Consiglio federale dichiarava che l’urgenza in questo ambito, "suppose </w:t>
      </w:r>
      <w:proofErr w:type="spellStart"/>
      <w:r w:rsidRPr="001C63E0">
        <w:rPr>
          <w:rFonts w:cs="Arial"/>
          <w:i/>
          <w:iCs/>
          <w:sz w:val="22"/>
        </w:rPr>
        <w:t>donc</w:t>
      </w:r>
      <w:proofErr w:type="spellEnd"/>
      <w:r w:rsidRPr="001C63E0">
        <w:rPr>
          <w:rFonts w:cs="Arial"/>
          <w:i/>
          <w:iCs/>
          <w:sz w:val="22"/>
        </w:rPr>
        <w:t xml:space="preserve"> un </w:t>
      </w:r>
      <w:proofErr w:type="spellStart"/>
      <w:r w:rsidRPr="001C63E0">
        <w:rPr>
          <w:rFonts w:cs="Arial"/>
          <w:i/>
          <w:iCs/>
          <w:sz w:val="22"/>
        </w:rPr>
        <w:t>péril</w:t>
      </w:r>
      <w:proofErr w:type="spellEnd"/>
      <w:r w:rsidRPr="001C63E0">
        <w:rPr>
          <w:rFonts w:cs="Arial"/>
          <w:i/>
          <w:iCs/>
          <w:sz w:val="22"/>
        </w:rPr>
        <w:t xml:space="preserve"> en la </w:t>
      </w:r>
      <w:proofErr w:type="spellStart"/>
      <w:r w:rsidRPr="001C63E0">
        <w:rPr>
          <w:rFonts w:cs="Arial"/>
          <w:i/>
          <w:iCs/>
          <w:sz w:val="22"/>
        </w:rPr>
        <w:t>demeure</w:t>
      </w:r>
      <w:proofErr w:type="spellEnd"/>
      <w:r w:rsidRPr="001C63E0">
        <w:rPr>
          <w:rFonts w:cs="Arial"/>
          <w:i/>
          <w:iCs/>
          <w:sz w:val="22"/>
        </w:rPr>
        <w:t xml:space="preserve">, la </w:t>
      </w:r>
      <w:proofErr w:type="spellStart"/>
      <w:r w:rsidRPr="001C63E0">
        <w:rPr>
          <w:rFonts w:cs="Arial"/>
          <w:i/>
          <w:iCs/>
          <w:sz w:val="22"/>
        </w:rPr>
        <w:t>menace</w:t>
      </w:r>
      <w:proofErr w:type="spellEnd"/>
      <w:r w:rsidRPr="001C63E0">
        <w:rPr>
          <w:rFonts w:cs="Arial"/>
          <w:i/>
          <w:iCs/>
          <w:sz w:val="22"/>
        </w:rPr>
        <w:t xml:space="preserve"> d’un </w:t>
      </w:r>
      <w:proofErr w:type="spellStart"/>
      <w:r w:rsidRPr="001C63E0">
        <w:rPr>
          <w:rFonts w:cs="Arial"/>
          <w:i/>
          <w:iCs/>
          <w:sz w:val="22"/>
        </w:rPr>
        <w:t>dommage</w:t>
      </w:r>
      <w:proofErr w:type="spellEnd"/>
      <w:r w:rsidRPr="001C63E0">
        <w:rPr>
          <w:rFonts w:cs="Arial"/>
          <w:i/>
          <w:iCs/>
          <w:sz w:val="22"/>
        </w:rPr>
        <w:t xml:space="preserve"> </w:t>
      </w:r>
      <w:proofErr w:type="spellStart"/>
      <w:r w:rsidRPr="001C63E0">
        <w:rPr>
          <w:rFonts w:cs="Arial"/>
          <w:i/>
          <w:iCs/>
          <w:sz w:val="22"/>
        </w:rPr>
        <w:t>considérable</w:t>
      </w:r>
      <w:proofErr w:type="spellEnd"/>
      <w:r w:rsidRPr="001C63E0">
        <w:rPr>
          <w:rFonts w:cs="Arial"/>
          <w:i/>
          <w:iCs/>
          <w:sz w:val="22"/>
        </w:rPr>
        <w:t xml:space="preserve"> </w:t>
      </w:r>
      <w:proofErr w:type="spellStart"/>
      <w:r w:rsidRPr="001C63E0">
        <w:rPr>
          <w:rFonts w:cs="Arial"/>
          <w:i/>
          <w:iCs/>
          <w:sz w:val="22"/>
        </w:rPr>
        <w:t>qu’il</w:t>
      </w:r>
      <w:proofErr w:type="spellEnd"/>
      <w:r w:rsidRPr="001C63E0">
        <w:rPr>
          <w:rFonts w:cs="Arial"/>
          <w:i/>
          <w:iCs/>
          <w:sz w:val="22"/>
        </w:rPr>
        <w:t xml:space="preserve"> </w:t>
      </w:r>
      <w:proofErr w:type="spellStart"/>
      <w:r w:rsidRPr="001C63E0">
        <w:rPr>
          <w:rFonts w:cs="Arial"/>
          <w:i/>
          <w:iCs/>
          <w:sz w:val="22"/>
        </w:rPr>
        <w:t>convient</w:t>
      </w:r>
      <w:proofErr w:type="spellEnd"/>
      <w:r w:rsidRPr="001C63E0">
        <w:rPr>
          <w:rFonts w:cs="Arial"/>
          <w:i/>
          <w:iCs/>
          <w:sz w:val="22"/>
        </w:rPr>
        <w:t xml:space="preserve"> d’</w:t>
      </w:r>
      <w:proofErr w:type="spellStart"/>
      <w:r w:rsidRPr="001C63E0">
        <w:rPr>
          <w:rFonts w:cs="Arial"/>
          <w:i/>
          <w:iCs/>
          <w:sz w:val="22"/>
        </w:rPr>
        <w:t>écarter</w:t>
      </w:r>
      <w:proofErr w:type="spellEnd"/>
      <w:r w:rsidRPr="001C63E0">
        <w:rPr>
          <w:rFonts w:cs="Arial"/>
          <w:i/>
          <w:iCs/>
          <w:sz w:val="22"/>
        </w:rPr>
        <w:t xml:space="preserve"> par une </w:t>
      </w:r>
      <w:proofErr w:type="spellStart"/>
      <w:r w:rsidRPr="001C63E0">
        <w:rPr>
          <w:rFonts w:cs="Arial"/>
          <w:i/>
          <w:iCs/>
          <w:sz w:val="22"/>
        </w:rPr>
        <w:t>intervention</w:t>
      </w:r>
      <w:proofErr w:type="spellEnd"/>
      <w:r w:rsidRPr="001C63E0">
        <w:rPr>
          <w:rFonts w:cs="Arial"/>
          <w:i/>
          <w:iCs/>
          <w:sz w:val="22"/>
        </w:rPr>
        <w:t xml:space="preserve"> rapide. </w:t>
      </w:r>
      <w:r w:rsidRPr="001C63E0">
        <w:rPr>
          <w:rFonts w:cs="Arial"/>
          <w:i/>
          <w:iCs/>
          <w:sz w:val="22"/>
          <w:lang w:val="fr-CH"/>
        </w:rPr>
        <w:t>Une mesure ne peut être urgente que si elle est considérée comme nécessaire et présente une certaine importance; mais à cet élément matériel doit toujours s’ajouter un élément de temps, à défaut de quoi on doit nier l’urgence"</w:t>
      </w:r>
      <w:r w:rsidRPr="001C63E0">
        <w:rPr>
          <w:rFonts w:cs="Arial"/>
          <w:i/>
          <w:iCs/>
          <w:sz w:val="22"/>
          <w:vertAlign w:val="superscript"/>
          <w:lang w:val="fr-CH"/>
        </w:rPr>
        <w:footnoteReference w:id="55"/>
      </w:r>
      <w:r w:rsidRPr="001C63E0">
        <w:rPr>
          <w:rFonts w:cs="Arial"/>
          <w:i/>
          <w:iCs/>
          <w:sz w:val="22"/>
          <w:lang w:val="fr-CH"/>
        </w:rPr>
        <w:t>.</w:t>
      </w:r>
    </w:p>
    <w:p w:rsidR="001C63E0" w:rsidRPr="001C63E0" w:rsidRDefault="001C63E0" w:rsidP="001C63E0">
      <w:pPr>
        <w:spacing w:before="60"/>
        <w:ind w:left="284" w:right="284"/>
        <w:rPr>
          <w:rFonts w:cs="Arial"/>
          <w:i/>
          <w:iCs/>
          <w:sz w:val="22"/>
        </w:rPr>
      </w:pPr>
      <w:r w:rsidRPr="001C63E0">
        <w:rPr>
          <w:rFonts w:cs="Arial"/>
          <w:i/>
          <w:iCs/>
          <w:sz w:val="22"/>
        </w:rPr>
        <w:t xml:space="preserve">I principi generali sviluppati nell’applicazione della legislazione federale possono essere presi in considerazione anche nell’interpretazione di quella cantonale. Perciò anche nel nostro Cantone per l’attuazione della clausola d’urgenza la legge o il decreto legislativo devono essere urgenti nel senso temporale del termine, vale a dire che l’urgenza deve essere tale che </w:t>
      </w:r>
      <w:r w:rsidRPr="001C63E0">
        <w:rPr>
          <w:rFonts w:cs="Arial"/>
          <w:b/>
          <w:bCs/>
          <w:i/>
          <w:iCs/>
          <w:sz w:val="22"/>
        </w:rPr>
        <w:t>la loro entrata in vigore non può sopportare i ritardi che si verificherebbero con l’ordinaria clausola referendaria</w:t>
      </w:r>
      <w:r w:rsidRPr="001C63E0">
        <w:rPr>
          <w:rFonts w:cs="Arial"/>
          <w:b/>
          <w:bCs/>
          <w:i/>
          <w:iCs/>
          <w:sz w:val="22"/>
          <w:vertAlign w:val="superscript"/>
        </w:rPr>
        <w:footnoteReference w:id="56"/>
      </w:r>
      <w:r w:rsidRPr="001C63E0">
        <w:rPr>
          <w:rFonts w:cs="Arial"/>
          <w:i/>
          <w:iCs/>
          <w:sz w:val="22"/>
        </w:rPr>
        <w:t>.</w:t>
      </w:r>
    </w:p>
    <w:p w:rsidR="001C63E0" w:rsidRPr="001C63E0" w:rsidRDefault="001C63E0" w:rsidP="001C63E0">
      <w:pPr>
        <w:spacing w:before="60"/>
        <w:ind w:left="284" w:right="284"/>
        <w:rPr>
          <w:rFonts w:cs="Arial"/>
          <w:i/>
          <w:iCs/>
          <w:sz w:val="22"/>
        </w:rPr>
      </w:pPr>
      <w:r w:rsidRPr="001C63E0">
        <w:rPr>
          <w:rFonts w:cs="Arial"/>
          <w:i/>
          <w:iCs/>
          <w:sz w:val="22"/>
        </w:rPr>
        <w:lastRenderedPageBreak/>
        <w:t xml:space="preserve">Il Tribunale federale, applicando il diritto cantonale, interpreta la nozione di urgenza in senso </w:t>
      </w:r>
      <w:r w:rsidRPr="001C63E0">
        <w:rPr>
          <w:rFonts w:cs="Arial"/>
          <w:i/>
          <w:iCs/>
          <w:sz w:val="22"/>
          <w:u w:val="single"/>
        </w:rPr>
        <w:t>molto restrittivo</w:t>
      </w:r>
      <w:r w:rsidRPr="001C63E0">
        <w:rPr>
          <w:rFonts w:cs="Arial"/>
          <w:i/>
          <w:iCs/>
          <w:sz w:val="22"/>
        </w:rPr>
        <w:t xml:space="preserve">: l’urgenza è ammissibile </w:t>
      </w:r>
      <w:r w:rsidRPr="001C63E0">
        <w:rPr>
          <w:rFonts w:cs="Arial"/>
          <w:b/>
          <w:bCs/>
          <w:i/>
          <w:iCs/>
          <w:sz w:val="22"/>
        </w:rPr>
        <w:t>solo se la decisione è di per sé stessa pressante, di carattere eccezionale; ciò non è il caso quando l’intento è solo quello di accelerare la realizzazione di un progetto</w:t>
      </w:r>
      <w:r w:rsidRPr="001C63E0">
        <w:rPr>
          <w:rFonts w:cs="Arial"/>
          <w:i/>
          <w:iCs/>
          <w:sz w:val="22"/>
          <w:vertAlign w:val="superscript"/>
        </w:rPr>
        <w:footnoteReference w:id="57"/>
      </w:r>
      <w:r w:rsidRPr="001C63E0">
        <w:rPr>
          <w:rFonts w:cs="Arial"/>
          <w:i/>
          <w:iCs/>
          <w:sz w:val="22"/>
        </w:rPr>
        <w:t xml:space="preserve">. Inoltre, le </w:t>
      </w:r>
      <w:r w:rsidRPr="001C63E0">
        <w:rPr>
          <w:rFonts w:cs="Arial"/>
          <w:b/>
          <w:bCs/>
          <w:i/>
          <w:iCs/>
          <w:sz w:val="22"/>
        </w:rPr>
        <w:t>ragioni</w:t>
      </w:r>
      <w:r w:rsidRPr="001C63E0">
        <w:rPr>
          <w:rFonts w:cs="Arial"/>
          <w:i/>
          <w:iCs/>
          <w:sz w:val="22"/>
        </w:rPr>
        <w:t xml:space="preserve"> invocate a sostegno della clausola di urgenza </w:t>
      </w:r>
      <w:r w:rsidRPr="001C63E0">
        <w:rPr>
          <w:rFonts w:cs="Arial"/>
          <w:b/>
          <w:bCs/>
          <w:i/>
          <w:iCs/>
          <w:sz w:val="22"/>
        </w:rPr>
        <w:t>devono essere sufficientemente importanti da giustificare la deroga al principio secondo cui le deliberazioni dei legislativi sono soggette a referendum facoltativo</w:t>
      </w:r>
      <w:r w:rsidRPr="001C63E0">
        <w:rPr>
          <w:rFonts w:cs="Arial"/>
          <w:i/>
          <w:iCs/>
          <w:sz w:val="22"/>
          <w:vertAlign w:val="superscript"/>
        </w:rPr>
        <w:footnoteReference w:id="58"/>
      </w:r>
      <w:r w:rsidRPr="001C63E0">
        <w:rPr>
          <w:rFonts w:cs="Arial"/>
          <w:i/>
          <w:iCs/>
          <w:sz w:val="22"/>
        </w:rPr>
        <w:t>.</w:t>
      </w:r>
    </w:p>
    <w:p w:rsidR="001C63E0" w:rsidRPr="001C63E0" w:rsidRDefault="001C63E0" w:rsidP="001C63E0">
      <w:pPr>
        <w:spacing w:before="60"/>
        <w:ind w:left="284" w:right="284"/>
        <w:rPr>
          <w:rFonts w:cs="Arial"/>
          <w:i/>
          <w:iCs/>
          <w:sz w:val="22"/>
        </w:rPr>
      </w:pPr>
      <w:r w:rsidRPr="001C63E0">
        <w:rPr>
          <w:rFonts w:cs="Arial"/>
          <w:i/>
          <w:iCs/>
          <w:sz w:val="22"/>
        </w:rPr>
        <w:t>Se ne deduce che i margini di manovra per l’adozione di una modifica legislativa con la clausola dell’urgenza sono molto ristretti.</w:t>
      </w:r>
    </w:p>
    <w:p w:rsidR="001C63E0" w:rsidRPr="001C63E0" w:rsidRDefault="001C63E0" w:rsidP="001C63E0">
      <w:pPr>
        <w:spacing w:before="60"/>
        <w:ind w:left="284" w:right="284"/>
        <w:rPr>
          <w:rFonts w:cs="Arial"/>
          <w:i/>
          <w:iCs/>
          <w:sz w:val="22"/>
        </w:rPr>
      </w:pPr>
      <w:r w:rsidRPr="001C63E0">
        <w:rPr>
          <w:rFonts w:cs="Arial"/>
          <w:i/>
          <w:iCs/>
          <w:sz w:val="22"/>
        </w:rPr>
        <w:t>Nel caso concreto, non sono certo che i motivi a fondamento di una</w:t>
      </w:r>
      <w:r w:rsidR="00DF2942">
        <w:rPr>
          <w:rFonts w:cs="Arial"/>
          <w:i/>
          <w:iCs/>
          <w:sz w:val="22"/>
        </w:rPr>
        <w:t xml:space="preserve"> </w:t>
      </w:r>
      <w:r w:rsidRPr="001C63E0">
        <w:rPr>
          <w:rFonts w:cs="Arial"/>
          <w:i/>
          <w:iCs/>
          <w:sz w:val="22"/>
        </w:rPr>
        <w:t xml:space="preserve">possibile sospensione temporanea del diritto al prepensionamento (che presumo siano di ordine finanziario) possano essere tali da giustificare una deroga alla </w:t>
      </w:r>
      <w:proofErr w:type="spellStart"/>
      <w:r w:rsidRPr="001C63E0">
        <w:rPr>
          <w:rFonts w:cs="Arial"/>
          <w:i/>
          <w:iCs/>
          <w:sz w:val="22"/>
        </w:rPr>
        <w:t>referendabilità</w:t>
      </w:r>
      <w:proofErr w:type="spellEnd"/>
      <w:r w:rsidRPr="001C63E0">
        <w:rPr>
          <w:rFonts w:cs="Arial"/>
          <w:i/>
          <w:iCs/>
          <w:sz w:val="22"/>
        </w:rPr>
        <w:t xml:space="preserve"> della modifica legislativa. Infatti, una tale sospensione potrebbe porre, da un esame prima </w:t>
      </w:r>
      <w:proofErr w:type="spellStart"/>
      <w:r w:rsidRPr="001C63E0">
        <w:rPr>
          <w:rFonts w:cs="Arial"/>
          <w:i/>
          <w:iCs/>
          <w:sz w:val="22"/>
        </w:rPr>
        <w:t>facie</w:t>
      </w:r>
      <w:proofErr w:type="spellEnd"/>
      <w:r w:rsidRPr="001C63E0">
        <w:rPr>
          <w:rFonts w:cs="Arial"/>
          <w:i/>
          <w:iCs/>
          <w:sz w:val="22"/>
        </w:rPr>
        <w:t>, dei problemi dal punto di vista del principio dell’uguaglianza e del principio dell’applicazione della legge più. favorevole (</w:t>
      </w:r>
      <w:proofErr w:type="spellStart"/>
      <w:r w:rsidRPr="001C63E0">
        <w:rPr>
          <w:rFonts w:cs="Arial"/>
          <w:i/>
          <w:iCs/>
          <w:sz w:val="22"/>
        </w:rPr>
        <w:t>Iex</w:t>
      </w:r>
      <w:proofErr w:type="spellEnd"/>
      <w:r w:rsidRPr="001C63E0">
        <w:rPr>
          <w:rFonts w:cs="Arial"/>
          <w:i/>
          <w:iCs/>
          <w:sz w:val="22"/>
        </w:rPr>
        <w:t xml:space="preserve"> </w:t>
      </w:r>
      <w:proofErr w:type="spellStart"/>
      <w:r w:rsidRPr="001C63E0">
        <w:rPr>
          <w:rFonts w:cs="Arial"/>
          <w:i/>
          <w:iCs/>
          <w:sz w:val="22"/>
        </w:rPr>
        <w:t>mitior</w:t>
      </w:r>
      <w:proofErr w:type="spellEnd"/>
      <w:r w:rsidRPr="001C63E0">
        <w:rPr>
          <w:rFonts w:cs="Arial"/>
          <w:i/>
          <w:iCs/>
          <w:sz w:val="22"/>
        </w:rPr>
        <w:t>).</w:t>
      </w:r>
    </w:p>
    <w:p w:rsidR="001C63E0" w:rsidRPr="001C63E0" w:rsidRDefault="001C63E0" w:rsidP="001C63E0">
      <w:pPr>
        <w:spacing w:before="60"/>
        <w:ind w:left="284" w:right="284"/>
        <w:rPr>
          <w:rFonts w:cs="Arial"/>
          <w:i/>
          <w:iCs/>
          <w:sz w:val="22"/>
        </w:rPr>
      </w:pPr>
      <w:r w:rsidRPr="001C63E0">
        <w:rPr>
          <w:rFonts w:cs="Arial"/>
          <w:i/>
          <w:iCs/>
          <w:sz w:val="22"/>
        </w:rPr>
        <w:t xml:space="preserve">Come espressamente previsto all’art. 71 cpv. 2 LGG (cfr. art. 43 cpv. 2 Cos/TI) la clausola </w:t>
      </w:r>
      <w:r w:rsidRPr="001C63E0">
        <w:rPr>
          <w:rFonts w:cs="Arial"/>
          <w:b/>
          <w:bCs/>
          <w:i/>
          <w:iCs/>
          <w:sz w:val="22"/>
        </w:rPr>
        <w:t>ha validità solo per un anno dalla sua entrata in vigore e non può essere rinnovata in via d’urgenza</w:t>
      </w:r>
      <w:r w:rsidRPr="001C63E0">
        <w:rPr>
          <w:rFonts w:cs="Arial"/>
          <w:i/>
          <w:iCs/>
          <w:sz w:val="22"/>
        </w:rPr>
        <w:t>; pertanto una sospensione del diritto di ricorrere al prepensionamento sarebbe limitato solo per l’anno seguente la sua adozione.</w:t>
      </w:r>
    </w:p>
    <w:p w:rsidR="001C63E0" w:rsidRPr="001C63E0" w:rsidRDefault="001C63E0" w:rsidP="001C63E0">
      <w:pPr>
        <w:spacing w:before="60"/>
        <w:ind w:left="284" w:right="284"/>
        <w:rPr>
          <w:rFonts w:cs="Arial"/>
          <w:i/>
          <w:iCs/>
          <w:sz w:val="22"/>
        </w:rPr>
      </w:pPr>
      <w:r w:rsidRPr="001C63E0">
        <w:rPr>
          <w:rFonts w:cs="Arial"/>
          <w:i/>
          <w:iCs/>
          <w:sz w:val="22"/>
        </w:rPr>
        <w:t>In relazione alla vostra richiesta a sapere se il ricorso all’art. 71 LGC scongiurerebbe la possibilità di a) referendum ci b) eventuali ricorsi rilevo quanto segue:</w:t>
      </w:r>
    </w:p>
    <w:p w:rsidR="001C63E0" w:rsidRPr="001C63E0" w:rsidRDefault="001C63E0" w:rsidP="00A26369">
      <w:pPr>
        <w:numPr>
          <w:ilvl w:val="0"/>
          <w:numId w:val="13"/>
        </w:numPr>
        <w:spacing w:before="60"/>
        <w:ind w:left="567" w:right="284" w:hanging="283"/>
        <w:jc w:val="left"/>
        <w:rPr>
          <w:rFonts w:cs="Arial"/>
          <w:i/>
          <w:iCs/>
          <w:sz w:val="22"/>
        </w:rPr>
      </w:pPr>
      <w:r w:rsidRPr="001C63E0">
        <w:rPr>
          <w:rFonts w:cs="Arial"/>
          <w:i/>
          <w:iCs/>
          <w:sz w:val="22"/>
        </w:rPr>
        <w:t xml:space="preserve">i messaggi della </w:t>
      </w:r>
      <w:proofErr w:type="spellStart"/>
      <w:r w:rsidRPr="001C63E0">
        <w:rPr>
          <w:rFonts w:cs="Arial"/>
          <w:i/>
          <w:iCs/>
          <w:sz w:val="22"/>
        </w:rPr>
        <w:t>CosVTI</w:t>
      </w:r>
      <w:proofErr w:type="spellEnd"/>
      <w:r w:rsidRPr="001C63E0">
        <w:rPr>
          <w:rFonts w:cs="Arial"/>
          <w:i/>
          <w:iCs/>
          <w:sz w:val="22"/>
        </w:rPr>
        <w:t xml:space="preserve"> e della LGC sono silenti in merito alla prima eventualità, ma stante l’interpretazione letterale ("entrano immediatamente in vigore’), la sistematica della Costituzione (che pone la norma che prevede la clausola d’urgenza subito dopo l’articolo relativo il referendum facoltativo, cfr. art. 42 Cos/TI), lo scopo perseguito (</w:t>
      </w:r>
      <w:proofErr w:type="spellStart"/>
      <w:r w:rsidRPr="001C63E0">
        <w:rPr>
          <w:rFonts w:cs="Arial"/>
          <w:i/>
          <w:iCs/>
          <w:sz w:val="22"/>
        </w:rPr>
        <w:t>owero</w:t>
      </w:r>
      <w:proofErr w:type="spellEnd"/>
      <w:r w:rsidRPr="001C63E0">
        <w:rPr>
          <w:rFonts w:cs="Arial"/>
          <w:i/>
          <w:iCs/>
          <w:sz w:val="22"/>
        </w:rPr>
        <w:t xml:space="preserve"> evitare ritardi dovuti alla procedura referendaria) e la limitazione temporale degli effetti ad un solo anno, l’adozione di una legge o di un decreto legislativo muniti della clausola d’urgenza non sono sottoposti a referendum</w:t>
      </w:r>
      <w:r w:rsidRPr="001C63E0">
        <w:rPr>
          <w:rFonts w:cs="Arial"/>
          <w:i/>
          <w:iCs/>
          <w:sz w:val="22"/>
          <w:vertAlign w:val="superscript"/>
        </w:rPr>
        <w:footnoteReference w:id="59"/>
      </w:r>
      <w:r w:rsidRPr="001C63E0">
        <w:rPr>
          <w:rFonts w:cs="Arial"/>
          <w:i/>
          <w:iCs/>
          <w:sz w:val="22"/>
        </w:rPr>
        <w:t>;</w:t>
      </w:r>
    </w:p>
    <w:p w:rsidR="001C63E0" w:rsidRPr="001C63E0" w:rsidRDefault="001C63E0" w:rsidP="00A26369">
      <w:pPr>
        <w:numPr>
          <w:ilvl w:val="0"/>
          <w:numId w:val="13"/>
        </w:numPr>
        <w:spacing w:before="60"/>
        <w:ind w:left="567" w:right="284" w:hanging="283"/>
        <w:jc w:val="left"/>
        <w:rPr>
          <w:rFonts w:cs="Arial"/>
          <w:i/>
          <w:iCs/>
          <w:sz w:val="22"/>
        </w:rPr>
      </w:pPr>
      <w:r w:rsidRPr="001C63E0">
        <w:rPr>
          <w:rFonts w:cs="Arial"/>
          <w:i/>
          <w:iCs/>
          <w:sz w:val="22"/>
        </w:rPr>
        <w:t>per contro, la clausola d’urgenza non impedisce che dei ricorsi possano essere inoltrati sia in virtù dell’art. 82 lett. b) L TF direttamente al Tribunale federale (ricorso contro un atto normativo cantonale) sia in un caso di applicazione concreta delle normative urgenti.</w:t>
      </w:r>
    </w:p>
    <w:p w:rsidR="001C63E0" w:rsidRPr="001C63E0" w:rsidRDefault="001C63E0" w:rsidP="009A3543">
      <w:pPr>
        <w:spacing w:before="60"/>
        <w:ind w:left="284" w:right="284"/>
        <w:rPr>
          <w:rFonts w:cs="Arial"/>
          <w:i/>
          <w:iCs/>
          <w:sz w:val="22"/>
        </w:rPr>
      </w:pPr>
      <w:r w:rsidRPr="001C63E0">
        <w:rPr>
          <w:rFonts w:cs="Arial"/>
          <w:i/>
          <w:iCs/>
          <w:sz w:val="22"/>
        </w:rPr>
        <w:t xml:space="preserve">Su questo punto, pur senza approfondire il merito della questione, rilevo che, come esposto precedentemente, vi potrebbero essere dei problemi legati al rispetto del principio dell’uguaglianza e della </w:t>
      </w:r>
      <w:proofErr w:type="spellStart"/>
      <w:r w:rsidRPr="001C63E0">
        <w:rPr>
          <w:rFonts w:cs="Arial"/>
          <w:i/>
          <w:iCs/>
          <w:sz w:val="22"/>
        </w:rPr>
        <w:t>fex</w:t>
      </w:r>
      <w:proofErr w:type="spellEnd"/>
      <w:r w:rsidRPr="001C63E0">
        <w:rPr>
          <w:rFonts w:cs="Arial"/>
          <w:i/>
          <w:iCs/>
          <w:sz w:val="22"/>
        </w:rPr>
        <w:t xml:space="preserve"> </w:t>
      </w:r>
      <w:proofErr w:type="spellStart"/>
      <w:r w:rsidRPr="001C63E0">
        <w:rPr>
          <w:rFonts w:cs="Arial"/>
          <w:i/>
          <w:iCs/>
          <w:sz w:val="22"/>
        </w:rPr>
        <w:t>mitior</w:t>
      </w:r>
      <w:proofErr w:type="spellEnd"/>
      <w:r w:rsidRPr="001C63E0">
        <w:rPr>
          <w:rFonts w:cs="Arial"/>
          <w:i/>
          <w:iCs/>
          <w:sz w:val="22"/>
        </w:rPr>
        <w:t>.</w:t>
      </w:r>
    </w:p>
    <w:p w:rsidR="001C63E0" w:rsidRPr="001C63E0" w:rsidRDefault="001C63E0" w:rsidP="009A3543">
      <w:pPr>
        <w:spacing w:before="60"/>
        <w:ind w:right="284"/>
        <w:rPr>
          <w:rFonts w:cs="Arial"/>
          <w:i/>
          <w:iCs/>
          <w:sz w:val="22"/>
        </w:rPr>
      </w:pPr>
      <w:r w:rsidRPr="001C63E0">
        <w:rPr>
          <w:rFonts w:cs="Arial"/>
          <w:i/>
          <w:iCs/>
          <w:sz w:val="22"/>
        </w:rPr>
        <w:t xml:space="preserve">In relazione con l’esistenza di altre vie per ottenere quanto auspicato tenendo conto che la misura urgente è limitata nel tempo (1 anno), ritengo che si debba distinguere l’evenienza se la soppressione delle possibilità garantite dall’art. 64 LORO siano di durata indeterminata o meno. Nel primo caso si dovrà mettere mano alla legge con una modifica legislativa; per contro, se il blocco del prepensionamento dovesse essere limitato nel tempo potrà essere impiegato l’istituto del decreto legislativo (art. 65 cpv. 1 lett. a LGC). All’evidenza entrambi presentano dei tempi tecnici (e </w:t>
      </w:r>
      <w:proofErr w:type="spellStart"/>
      <w:r w:rsidRPr="001C63E0">
        <w:rPr>
          <w:rFonts w:cs="Arial"/>
          <w:i/>
          <w:iCs/>
          <w:sz w:val="22"/>
        </w:rPr>
        <w:t>politiCi</w:t>
      </w:r>
      <w:proofErr w:type="spellEnd"/>
      <w:r w:rsidRPr="001C63E0">
        <w:rPr>
          <w:rFonts w:cs="Arial"/>
          <w:i/>
          <w:iCs/>
          <w:sz w:val="22"/>
        </w:rPr>
        <w:t>) di adozione e sono sottoposti alla clausola referendaria.</w:t>
      </w:r>
    </w:p>
    <w:p w:rsidR="001C63E0" w:rsidRPr="001C63E0" w:rsidRDefault="001C63E0" w:rsidP="009A3543">
      <w:pPr>
        <w:spacing w:before="60"/>
        <w:ind w:right="284"/>
        <w:rPr>
          <w:rFonts w:cs="Arial"/>
          <w:sz w:val="22"/>
        </w:rPr>
      </w:pPr>
      <w:r w:rsidRPr="001C63E0">
        <w:rPr>
          <w:rFonts w:cs="Arial"/>
          <w:i/>
          <w:iCs/>
          <w:sz w:val="22"/>
        </w:rPr>
        <w:t>Per quanto riguarda altre modifiche legislative, oltre all’art. 29 del Regolamento di previdenza dell’Istituto di previdenza del Cantone Ticino del 17 ottobre 2013 che regola la procedura del pensionamento anticipato, da un controllo non mi risulta che vi siano altre norme da modificare.</w:t>
      </w:r>
      <w:r w:rsidRPr="001C63E0">
        <w:rPr>
          <w:rFonts w:cs="Arial"/>
          <w:sz w:val="22"/>
        </w:rPr>
        <w:t>».</w:t>
      </w:r>
    </w:p>
    <w:p w:rsidR="001C63E0" w:rsidRPr="001C63E0" w:rsidRDefault="001C63E0" w:rsidP="00702913">
      <w:pPr>
        <w:rPr>
          <w:rFonts w:cs="Arial"/>
        </w:rPr>
      </w:pPr>
    </w:p>
    <w:p w:rsidR="00702913" w:rsidRPr="001C63E0" w:rsidRDefault="00702913" w:rsidP="00702913">
      <w:pPr>
        <w:jc w:val="center"/>
        <w:rPr>
          <w:rFonts w:cs="Arial"/>
        </w:rPr>
      </w:pPr>
      <w:r w:rsidRPr="001C63E0">
        <w:rPr>
          <w:rFonts w:cs="Arial"/>
        </w:rPr>
        <w:t xml:space="preserve">* * * * * * * * * </w:t>
      </w:r>
    </w:p>
    <w:p w:rsidR="001C63E0" w:rsidRPr="001C63E0" w:rsidRDefault="001C63E0" w:rsidP="00702913">
      <w:pPr>
        <w:rPr>
          <w:rFonts w:cs="Arial"/>
        </w:rPr>
      </w:pPr>
    </w:p>
    <w:p w:rsidR="001C63E0" w:rsidRPr="001C63E0" w:rsidRDefault="001C63E0" w:rsidP="00702913">
      <w:pPr>
        <w:rPr>
          <w:rFonts w:cs="Arial"/>
          <w:lang w:val="it-IT"/>
        </w:rPr>
      </w:pPr>
      <w:r w:rsidRPr="001C63E0">
        <w:rPr>
          <w:rFonts w:cs="Arial"/>
          <w:lang w:val="it-IT"/>
        </w:rPr>
        <w:t xml:space="preserve">In data 30 giugno, la Sottocommissione "Finanze" ha chiesto al Consiglio di Stato la sua posizione sull’eventualità di sospendere - in via eccezionale - il diritto di ricorrere al prepensionamento, questo già in occasione della sessione parlamentare del 21-24 settembre 2020 tramite un’apposita legislativa urgente, con entrata in vigore immediata. </w:t>
      </w:r>
      <w:r w:rsidR="00DF2942">
        <w:rPr>
          <w:rFonts w:cs="Arial"/>
          <w:lang w:val="it-IT"/>
        </w:rPr>
        <w:br/>
      </w:r>
      <w:r w:rsidRPr="001C63E0">
        <w:rPr>
          <w:rFonts w:cs="Arial"/>
          <w:lang w:val="it-IT"/>
        </w:rPr>
        <w:lastRenderedPageBreak/>
        <w:t>Il Governo, con la risoluzione governativa n. 4413 del 2 settembre 2020, ha risposto nel seguente modo:</w:t>
      </w:r>
    </w:p>
    <w:p w:rsidR="001C63E0" w:rsidRPr="001C63E0" w:rsidRDefault="001C63E0" w:rsidP="009A3543">
      <w:pPr>
        <w:spacing w:before="60"/>
        <w:ind w:right="284"/>
        <w:rPr>
          <w:rFonts w:cs="Arial"/>
          <w:sz w:val="22"/>
        </w:rPr>
      </w:pPr>
      <w:r w:rsidRPr="001C63E0">
        <w:rPr>
          <w:rFonts w:cs="Arial"/>
          <w:sz w:val="22"/>
        </w:rPr>
        <w:t>«Riteniamo che una sospensione del diritto di ricorre al prepensionamento sia una misura sproporzionata.</w:t>
      </w:r>
    </w:p>
    <w:p w:rsidR="001C63E0" w:rsidRPr="001C63E0" w:rsidRDefault="001C63E0" w:rsidP="009A3543">
      <w:pPr>
        <w:spacing w:before="60"/>
        <w:ind w:right="284"/>
        <w:rPr>
          <w:rFonts w:cs="Arial"/>
          <w:sz w:val="22"/>
        </w:rPr>
      </w:pPr>
      <w:r w:rsidRPr="001C63E0">
        <w:rPr>
          <w:rFonts w:cs="Arial"/>
          <w:sz w:val="22"/>
        </w:rPr>
        <w:t>Sarebbe innanzitutto necessario approfondire giuridicamente se sia effettivamente possibile introdurre una tale misura immediatamente senza dare la possibilità, a chi lo desidera, di beneficiare del prepensionamento secondo le attuali condizioni entro un congruo, seppur breve, termine (ad esempio, entro i normali termini di disdetta). Se così non fosse bisognerebbe attendersi un’ondata di prepensionamenti.</w:t>
      </w:r>
    </w:p>
    <w:p w:rsidR="001C63E0" w:rsidRPr="001C63E0" w:rsidRDefault="001C63E0" w:rsidP="009A3543">
      <w:pPr>
        <w:spacing w:before="60"/>
        <w:ind w:right="284"/>
        <w:rPr>
          <w:rFonts w:cs="Arial"/>
          <w:sz w:val="22"/>
        </w:rPr>
      </w:pPr>
      <w:r w:rsidRPr="001C63E0">
        <w:rPr>
          <w:rFonts w:cs="Arial"/>
          <w:sz w:val="22"/>
        </w:rPr>
        <w:t>D’altra parte, è necessario capire cosa intenda la Commissione per "prepensionamento". Se si tratta unicamente del prepensionamento tra 58 e 60 anni, l’effetto, per l’IPCT, sarebbe di poco conto in quanto per l’IPCT il costo del prepensionamento (e quindi delle garanzie di pensione) a 58, 59 060 anni è all’incirca analogo. Diverso sarebbe invece se l’obiettivo fosse quello di impedire il prepensionamento anche dopo i 60 anni considerato il minor costo per le garanzie di pensione (più l’età di pensionamento si avvicina ai 65 anni e più si riduce tale costo).</w:t>
      </w:r>
    </w:p>
    <w:p w:rsidR="001C63E0" w:rsidRPr="001C63E0" w:rsidRDefault="001C63E0" w:rsidP="009A3543">
      <w:pPr>
        <w:spacing w:before="60"/>
        <w:ind w:right="284"/>
        <w:rPr>
          <w:rFonts w:cs="Arial"/>
          <w:sz w:val="22"/>
        </w:rPr>
      </w:pPr>
      <w:r w:rsidRPr="001C63E0">
        <w:rPr>
          <w:rFonts w:cs="Arial"/>
          <w:sz w:val="22"/>
        </w:rPr>
        <w:t>Segnaliamo infine che il prepensionamento è retto dall’art. 64 Lord che vale per tutti i datori di lavoro affiliati all’IPCT (cfr. art. 7 della Legge sull’IPCT del 06.11.2012) — quindi un’eventuale modifica dell’art. 64 Lord non varrebbe solo per i dipendenti dello Stato, ma anche per tutti i docenti comunali e per analogia anche per tutti i dipendenti degli altri Enti affiliati all’IPCT per convenzione.».</w:t>
      </w:r>
    </w:p>
    <w:p w:rsidR="001C63E0" w:rsidRPr="00702913" w:rsidRDefault="001C63E0" w:rsidP="00CE08EB">
      <w:pPr>
        <w:rPr>
          <w:rFonts w:cs="Arial"/>
          <w:lang w:val="it-IT" w:eastAsia="it-IT"/>
        </w:rPr>
      </w:pPr>
    </w:p>
    <w:p w:rsidR="00CE08EB" w:rsidRPr="00702913" w:rsidRDefault="00CE08EB" w:rsidP="00CE08EB">
      <w:pPr>
        <w:rPr>
          <w:rFonts w:cs="Arial"/>
          <w:lang w:val="it-IT" w:eastAsia="it-IT"/>
        </w:rPr>
      </w:pPr>
    </w:p>
    <w:p w:rsidR="001C63E0" w:rsidRPr="001C63E0" w:rsidRDefault="001C63E0" w:rsidP="00CE08EB">
      <w:pPr>
        <w:keepNext/>
        <w:tabs>
          <w:tab w:val="left" w:pos="709"/>
        </w:tabs>
        <w:ind w:left="357" w:hanging="357"/>
        <w:outlineLvl w:val="1"/>
        <w:rPr>
          <w:rFonts w:cs="Arial"/>
          <w:b/>
          <w:lang w:val="it-IT" w:eastAsia="it-IT"/>
        </w:rPr>
      </w:pPr>
      <w:bookmarkStart w:id="51" w:name="_Toc98976111"/>
      <w:r w:rsidRPr="001C63E0">
        <w:rPr>
          <w:rFonts w:cs="Arial"/>
          <w:b/>
          <w:lang w:val="it-IT" w:eastAsia="it-IT"/>
        </w:rPr>
        <w:t>5.3</w:t>
      </w:r>
      <w:r w:rsidRPr="001C63E0">
        <w:rPr>
          <w:rFonts w:cs="Arial"/>
          <w:b/>
          <w:lang w:val="it-IT" w:eastAsia="it-IT"/>
        </w:rPr>
        <w:tab/>
      </w:r>
      <w:r w:rsidR="009A3543">
        <w:rPr>
          <w:rFonts w:cs="Arial"/>
          <w:b/>
          <w:lang w:val="it-IT" w:eastAsia="it-IT"/>
        </w:rPr>
        <w:tab/>
      </w:r>
      <w:r w:rsidRPr="001C63E0">
        <w:rPr>
          <w:rFonts w:cs="Arial"/>
          <w:b/>
          <w:lang w:val="it-IT" w:eastAsia="it-IT"/>
        </w:rPr>
        <w:t>La sospensione della remunerazione del capitale degli assicurati attivi</w:t>
      </w:r>
      <w:bookmarkEnd w:id="51"/>
    </w:p>
    <w:p w:rsidR="001C63E0" w:rsidRPr="001C63E0" w:rsidRDefault="001C63E0" w:rsidP="001C63E0">
      <w:pPr>
        <w:spacing w:before="120"/>
        <w:rPr>
          <w:rFonts w:cs="Arial"/>
          <w:lang w:val="it-IT"/>
        </w:rPr>
      </w:pPr>
      <w:r w:rsidRPr="001C63E0">
        <w:rPr>
          <w:rFonts w:cs="Arial"/>
          <w:szCs w:val="24"/>
        </w:rPr>
        <w:t>In data 30 giugno, la Sottocommissione</w:t>
      </w:r>
      <w:r w:rsidRPr="001C63E0">
        <w:rPr>
          <w:rFonts w:cs="Arial"/>
          <w:lang w:val="it-IT"/>
        </w:rPr>
        <w:t xml:space="preserve"> "Finanze" ha chiesto al Consiglio di Stato a quali condizioni il capitale degli assicurati attivi eccezionalmente potrebbe anche non venir remunerato. Il Governo, con la risoluzione governativa n. 4413 del 2 settembre 2020, ha risposto nel seguente modo:</w:t>
      </w:r>
    </w:p>
    <w:p w:rsidR="001C63E0" w:rsidRPr="001C63E0" w:rsidRDefault="001C63E0" w:rsidP="00E03E00">
      <w:pPr>
        <w:spacing w:before="60"/>
        <w:ind w:right="284"/>
        <w:rPr>
          <w:rFonts w:cs="Arial"/>
          <w:i/>
          <w:sz w:val="22"/>
        </w:rPr>
      </w:pPr>
      <w:r w:rsidRPr="001C63E0">
        <w:rPr>
          <w:rFonts w:cs="Arial"/>
          <w:sz w:val="22"/>
        </w:rPr>
        <w:t>«</w:t>
      </w:r>
      <w:r w:rsidRPr="001C63E0">
        <w:rPr>
          <w:rFonts w:cs="Arial"/>
          <w:i/>
          <w:sz w:val="22"/>
        </w:rPr>
        <w:t>L’art. 15 cpv. 3 del Regolamento di previdenza IPCT del 17 ottobre 2013 (</w:t>
      </w:r>
      <w:proofErr w:type="spellStart"/>
      <w:r w:rsidRPr="001C63E0">
        <w:rPr>
          <w:rFonts w:cs="Arial"/>
          <w:i/>
          <w:sz w:val="22"/>
        </w:rPr>
        <w:t>Ripct</w:t>
      </w:r>
      <w:proofErr w:type="spellEnd"/>
      <w:r w:rsidRPr="001C63E0">
        <w:rPr>
          <w:rFonts w:cs="Arial"/>
          <w:i/>
          <w:sz w:val="22"/>
        </w:rPr>
        <w:t xml:space="preserve">) prevede che il Consiglio di Amministrazione, riservata la lettera d) del cpv. 1 dello stesso art. 15 </w:t>
      </w:r>
      <w:proofErr w:type="spellStart"/>
      <w:r w:rsidRPr="001C63E0">
        <w:rPr>
          <w:rFonts w:cs="Arial"/>
          <w:i/>
          <w:sz w:val="22"/>
        </w:rPr>
        <w:t>Ripct</w:t>
      </w:r>
      <w:proofErr w:type="spellEnd"/>
      <w:r w:rsidRPr="001C63E0">
        <w:rPr>
          <w:rFonts w:cs="Arial"/>
          <w:i/>
          <w:sz w:val="22"/>
        </w:rPr>
        <w:t>, stabilisca entro il 31 gennaio di ogni anno il tasso d’interesse riconosciuto sull’avere di vecchiaia a contare dal 1° gennaio dell’anno in corso.</w:t>
      </w:r>
    </w:p>
    <w:p w:rsidR="001C63E0" w:rsidRPr="001C63E0" w:rsidRDefault="001C63E0" w:rsidP="00E03E00">
      <w:pPr>
        <w:spacing w:before="60"/>
        <w:ind w:right="284"/>
        <w:rPr>
          <w:rFonts w:cs="Arial"/>
          <w:i/>
          <w:sz w:val="22"/>
        </w:rPr>
      </w:pPr>
      <w:r w:rsidRPr="001C63E0">
        <w:rPr>
          <w:rFonts w:cs="Arial"/>
          <w:i/>
          <w:sz w:val="22"/>
        </w:rPr>
        <w:t xml:space="preserve">Secondo l’art. 15 cpv. 1 lett. d) </w:t>
      </w:r>
      <w:proofErr w:type="spellStart"/>
      <w:r w:rsidRPr="001C63E0">
        <w:rPr>
          <w:rFonts w:cs="Arial"/>
          <w:i/>
          <w:sz w:val="22"/>
        </w:rPr>
        <w:t>Ripct</w:t>
      </w:r>
      <w:proofErr w:type="spellEnd"/>
      <w:r w:rsidRPr="001C63E0">
        <w:rPr>
          <w:rFonts w:cs="Arial"/>
          <w:i/>
          <w:sz w:val="22"/>
        </w:rPr>
        <w:t xml:space="preserve"> il tasso d’interesse riconosciuto sull’avere di vecchiaia deve essere pari almeno al tasso d’interesse minimo LPP stabilito annualmente dal Consiglio federale, riservato l’art. 62 cpv. 1 </w:t>
      </w:r>
      <w:proofErr w:type="spellStart"/>
      <w:r w:rsidRPr="001C63E0">
        <w:rPr>
          <w:rFonts w:cs="Arial"/>
          <w:i/>
          <w:sz w:val="22"/>
        </w:rPr>
        <w:t>Ripct</w:t>
      </w:r>
      <w:proofErr w:type="spellEnd"/>
      <w:r w:rsidRPr="001C63E0">
        <w:rPr>
          <w:rFonts w:cs="Arial"/>
          <w:i/>
          <w:sz w:val="22"/>
        </w:rPr>
        <w:t>.</w:t>
      </w:r>
    </w:p>
    <w:p w:rsidR="001C63E0" w:rsidRPr="001C63E0" w:rsidRDefault="001C63E0" w:rsidP="00E03E00">
      <w:pPr>
        <w:spacing w:before="60"/>
        <w:ind w:right="284"/>
        <w:rPr>
          <w:rFonts w:cs="Arial"/>
          <w:i/>
          <w:sz w:val="22"/>
        </w:rPr>
      </w:pPr>
      <w:r w:rsidRPr="001C63E0">
        <w:rPr>
          <w:rFonts w:cs="Arial"/>
          <w:i/>
          <w:sz w:val="22"/>
        </w:rPr>
        <w:t xml:space="preserve">Ai sensi dell’art. 62 </w:t>
      </w:r>
      <w:proofErr w:type="spellStart"/>
      <w:r w:rsidRPr="001C63E0">
        <w:rPr>
          <w:rFonts w:cs="Arial"/>
          <w:i/>
          <w:sz w:val="22"/>
        </w:rPr>
        <w:t>Ripct</w:t>
      </w:r>
      <w:proofErr w:type="spellEnd"/>
      <w:r w:rsidRPr="001C63E0">
        <w:rPr>
          <w:rFonts w:cs="Arial"/>
          <w:i/>
          <w:sz w:val="22"/>
        </w:rPr>
        <w:t xml:space="preserve"> il Consiglio di amministrazione dell’IPCT, sentito il perito in materia di previdenza professionale, potrebbe decidere di applicare un tasso d’interesse ridotto o nullo sul capitale degli assicurati attivi nel caso in cui i gradi di copertura iniziali di cui all’art. 72a cpv. 1 lett. b) LPP scendessero al di sotto del loro valore iniziale.</w:t>
      </w:r>
    </w:p>
    <w:p w:rsidR="001C63E0" w:rsidRPr="001C63E0" w:rsidRDefault="001C63E0" w:rsidP="00E03E00">
      <w:pPr>
        <w:spacing w:before="60"/>
        <w:ind w:right="284"/>
        <w:rPr>
          <w:rFonts w:cs="Arial"/>
          <w:i/>
          <w:sz w:val="22"/>
        </w:rPr>
      </w:pPr>
      <w:r w:rsidRPr="001C63E0">
        <w:rPr>
          <w:rFonts w:cs="Arial"/>
          <w:i/>
          <w:sz w:val="22"/>
        </w:rPr>
        <w:t>I gradi di copertura rilevanti per gli istituti di previdenza degli enti di diritto pubblico gestiti secondo il sistema della capitalizzazione parziale (quali l’IPCT) sono definiti dagli artt. 72a e 72b LPP. Si distinguono il grado di copertura globale (ossia il patrimonio disponibile diviso il totale degli impegni dell’Istituto di previdenza) e il grado di copertura degli assicurati attivi (ossia il patrimonio disponibile, dedotto il totale degli impegni nei confronti dei beneficiari di rendita, diviso il totale degli impegni nei confronti degli assicurati attivi).</w:t>
      </w:r>
    </w:p>
    <w:p w:rsidR="001C63E0" w:rsidRPr="001C63E0" w:rsidRDefault="001C63E0" w:rsidP="00E03E00">
      <w:pPr>
        <w:spacing w:before="60"/>
        <w:ind w:right="284"/>
        <w:rPr>
          <w:rFonts w:cs="Arial"/>
          <w:i/>
          <w:sz w:val="22"/>
        </w:rPr>
      </w:pPr>
      <w:r w:rsidRPr="001C63E0">
        <w:rPr>
          <w:rFonts w:cs="Arial"/>
          <w:i/>
          <w:sz w:val="22"/>
        </w:rPr>
        <w:t>Il Consiglio di amministrazione dell’IPCT il 22 novembre 2013 ha fissato il grado di copertura globale iniziale al 51.3% e il grado di copertura degli assicurati attivi iniziale allo 0.0% (al 01.01.2013).</w:t>
      </w:r>
    </w:p>
    <w:p w:rsidR="001C63E0" w:rsidRPr="001C63E0" w:rsidRDefault="001C63E0" w:rsidP="00E03E00">
      <w:pPr>
        <w:spacing w:before="60"/>
        <w:ind w:right="284"/>
        <w:rPr>
          <w:rFonts w:cs="Arial"/>
          <w:i/>
          <w:sz w:val="22"/>
        </w:rPr>
      </w:pPr>
      <w:r w:rsidRPr="001C63E0">
        <w:rPr>
          <w:rFonts w:cs="Arial"/>
          <w:i/>
          <w:sz w:val="22"/>
        </w:rPr>
        <w:t>Al 31.12.2019 il grado di copertura globale dell’IPCT è pari al 66.3% e quello degli assicurati attivi al 14.9%.</w:t>
      </w:r>
    </w:p>
    <w:p w:rsidR="001C63E0" w:rsidRPr="001C63E0" w:rsidRDefault="001C63E0" w:rsidP="00E03E00">
      <w:pPr>
        <w:spacing w:before="60"/>
        <w:ind w:right="284"/>
        <w:rPr>
          <w:rFonts w:cs="Arial"/>
          <w:i/>
          <w:sz w:val="22"/>
        </w:rPr>
      </w:pPr>
      <w:r w:rsidRPr="001C63E0">
        <w:rPr>
          <w:rFonts w:cs="Arial"/>
          <w:i/>
          <w:sz w:val="22"/>
        </w:rPr>
        <w:t xml:space="preserve">Pertanto, essendo entrambi i gradi di copertura al di sopra del loro valore iniziale, l’applicazione di un tasso di remunerazione del capitale degli assicurati attivi inferiore al tasso d’interesse minimo LPP (o addirittura nullo) non è al momento possibile, riservata un’eventuale modifica dell’art. 15 cpv. 1 lett. d) </w:t>
      </w:r>
      <w:proofErr w:type="spellStart"/>
      <w:r w:rsidRPr="001C63E0">
        <w:rPr>
          <w:rFonts w:cs="Arial"/>
          <w:i/>
          <w:sz w:val="22"/>
        </w:rPr>
        <w:t>Ripct</w:t>
      </w:r>
      <w:proofErr w:type="spellEnd"/>
      <w:r w:rsidRPr="001C63E0">
        <w:rPr>
          <w:rFonts w:cs="Arial"/>
          <w:i/>
          <w:sz w:val="22"/>
        </w:rPr>
        <w:t>).</w:t>
      </w:r>
    </w:p>
    <w:p w:rsidR="001C63E0" w:rsidRPr="001C63E0" w:rsidRDefault="001C63E0" w:rsidP="00E03E00">
      <w:pPr>
        <w:spacing w:before="60"/>
        <w:ind w:right="284"/>
        <w:rPr>
          <w:rFonts w:cs="Arial"/>
          <w:i/>
          <w:sz w:val="22"/>
        </w:rPr>
      </w:pPr>
      <w:r w:rsidRPr="001C63E0">
        <w:rPr>
          <w:rFonts w:cs="Arial"/>
          <w:i/>
          <w:sz w:val="22"/>
        </w:rPr>
        <w:lastRenderedPageBreak/>
        <w:t>Osserviamo in ogni caso che il mancato riconoscimento per un anno dell’interesse dell’1% sugli averi di vecchiaia degli assicurati attivi permetterebbe (attualmente) un risparmio per l’IPCT di circa CHF 23 milioni, che corrisponderebbe ad un miglioramento del grado di copertura di appena lo 0.2%. Influirebbe invece in maniera ben più marcata sulle future pensioni degli assicurati attivi che non sono al beneficio delle garanzie di pensione ex art. 24 della Legge sull’IPCT del 6 novembre 2012 (</w:t>
      </w:r>
      <w:proofErr w:type="spellStart"/>
      <w:r w:rsidRPr="001C63E0">
        <w:rPr>
          <w:rFonts w:cs="Arial"/>
          <w:i/>
          <w:sz w:val="22"/>
        </w:rPr>
        <w:t>Lipct</w:t>
      </w:r>
      <w:proofErr w:type="spellEnd"/>
      <w:r w:rsidRPr="001C63E0">
        <w:rPr>
          <w:rFonts w:cs="Arial"/>
          <w:i/>
          <w:sz w:val="22"/>
        </w:rPr>
        <w:t>).</w:t>
      </w:r>
    </w:p>
    <w:p w:rsidR="001C63E0" w:rsidRPr="001C63E0" w:rsidRDefault="001C63E0" w:rsidP="00E03E00">
      <w:pPr>
        <w:spacing w:before="60"/>
        <w:ind w:right="284"/>
        <w:rPr>
          <w:rFonts w:cs="Arial"/>
          <w:i/>
          <w:sz w:val="22"/>
        </w:rPr>
      </w:pPr>
      <w:r w:rsidRPr="001C63E0">
        <w:rPr>
          <w:rFonts w:cs="Arial"/>
          <w:i/>
          <w:sz w:val="22"/>
        </w:rPr>
        <w:t xml:space="preserve">Rileviamo che, benché il Consiglio di amministrazione dell’IPCT abbia la facoltà di attribuire una remunerazione degli averi di vecchiaia superiore al tasso d’interesse minimo LPP (ai sensi dell’art. 15 cpv. 1 lett. d) </w:t>
      </w:r>
      <w:proofErr w:type="spellStart"/>
      <w:r w:rsidRPr="001C63E0">
        <w:rPr>
          <w:rFonts w:cs="Arial"/>
          <w:i/>
          <w:sz w:val="22"/>
        </w:rPr>
        <w:t>Ripct</w:t>
      </w:r>
      <w:proofErr w:type="spellEnd"/>
      <w:r w:rsidRPr="001C63E0">
        <w:rPr>
          <w:rFonts w:cs="Arial"/>
          <w:i/>
          <w:sz w:val="22"/>
        </w:rPr>
        <w:t>), vista la situazione finanziaria della cassa, ciò non è mai stato fatto. Dal 2013 ad oggi il Consiglio di amministrazione dell’IPCT ha sempre attribuito il tasso d’interesse minimo LPP quale remunerazione degli averi di vecchiaia.</w:t>
      </w:r>
    </w:p>
    <w:p w:rsidR="001C63E0" w:rsidRPr="001C63E0" w:rsidRDefault="001C63E0" w:rsidP="00E03E00">
      <w:pPr>
        <w:spacing w:before="60"/>
        <w:ind w:right="284"/>
        <w:rPr>
          <w:rFonts w:cs="Arial"/>
          <w:i/>
          <w:sz w:val="22"/>
        </w:rPr>
      </w:pPr>
      <w:r w:rsidRPr="001C63E0">
        <w:rPr>
          <w:rFonts w:cs="Arial"/>
          <w:i/>
          <w:sz w:val="22"/>
        </w:rPr>
        <w:t>Di principio il capitale degli assicurati attivi dovrebbe essere remunerato con un interesse calcolato sulla base del rendimento effettivo del patrimonio e che, negli intendimenti del Consiglio di amministrazione dell’IPCT, per equità dovrebbe essere analogo a quello implicitamente attribuito ai beneficiari di rendita. Tuttavia, gli assicurati attivi IPCT in questi anni hanno già rinunciato a gran parte dei rendimenti dei loro capitali in favore dei pensionati. In effetti questi ultimi hanno sempre beneficiato di un tasso di remunerazione implicito superiore rispetto agli assicurati attivi. Il tasso di remunerazione implicitamente riconosciuto ai pensionati</w:t>
      </w:r>
    </w:p>
    <w:p w:rsidR="001C63E0" w:rsidRPr="001C63E0" w:rsidRDefault="001C63E0" w:rsidP="00DF2942">
      <w:pPr>
        <w:spacing w:before="60" w:after="240"/>
        <w:ind w:right="284"/>
        <w:rPr>
          <w:rFonts w:cs="Arial"/>
          <w:i/>
          <w:sz w:val="22"/>
        </w:rPr>
      </w:pPr>
      <w:r w:rsidRPr="001C63E0">
        <w:rPr>
          <w:rFonts w:cs="Arial"/>
          <w:i/>
          <w:sz w:val="22"/>
        </w:rPr>
        <w:t>il tass</w:t>
      </w:r>
      <w:r w:rsidR="00702913">
        <w:rPr>
          <w:rFonts w:cs="Arial"/>
          <w:i/>
          <w:sz w:val="22"/>
        </w:rPr>
        <w:t>o</w:t>
      </w:r>
      <w:r w:rsidRPr="001C63E0">
        <w:rPr>
          <w:rFonts w:cs="Arial"/>
          <w:i/>
          <w:sz w:val="22"/>
        </w:rPr>
        <w:t xml:space="preserve"> tecnico, parametro che dal 2013 è via via stato ridotto dal 3.5% al 2%, tasso ben superiore a quanto attribuito agli assicurati attivi (attualmente 1%); tale remunerazione, che corrisponde al tasso d’interesse minimo LPP, è peraltro stata inferiore ai rendimenti conseguiti dal patrimonio, come si pu</w:t>
      </w:r>
      <w:r w:rsidR="00702913">
        <w:rPr>
          <w:rFonts w:cs="Arial"/>
          <w:i/>
          <w:sz w:val="22"/>
        </w:rPr>
        <w:t xml:space="preserve">ò </w:t>
      </w:r>
      <w:r w:rsidRPr="001C63E0">
        <w:rPr>
          <w:rFonts w:cs="Arial"/>
          <w:i/>
          <w:sz w:val="22"/>
        </w:rPr>
        <w:t>evincere dalla seguente tabella:</w:t>
      </w:r>
    </w:p>
    <w:p w:rsidR="001C63E0" w:rsidRPr="001C63E0" w:rsidRDefault="001C63E0" w:rsidP="001C63E0">
      <w:pPr>
        <w:spacing w:before="60"/>
        <w:ind w:left="284" w:right="284"/>
        <w:rPr>
          <w:rFonts w:cs="Arial"/>
          <w:i/>
          <w:sz w:val="22"/>
        </w:rPr>
      </w:pPr>
      <w:r w:rsidRPr="001C63E0">
        <w:rPr>
          <w:rFonts w:cs="Arial"/>
          <w:i/>
          <w:noProof/>
          <w:sz w:val="22"/>
          <w:lang w:eastAsia="it-CH"/>
        </w:rPr>
        <w:drawing>
          <wp:inline distT="0" distB="0" distL="0" distR="0" wp14:anchorId="79432352" wp14:editId="1FAEFC6C">
            <wp:extent cx="4320356" cy="2600811"/>
            <wp:effectExtent l="0" t="0" r="4445" b="9525"/>
            <wp:docPr id="3" name="Picture 3"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magine che contiene tavolo&#10;&#10;Descrizione generata automaticamente"/>
                    <pic:cNvPicPr/>
                  </pic:nvPicPr>
                  <pic:blipFill>
                    <a:blip r:embed="rId42"/>
                    <a:stretch>
                      <a:fillRect/>
                    </a:stretch>
                  </pic:blipFill>
                  <pic:spPr>
                    <a:xfrm>
                      <a:off x="0" y="0"/>
                      <a:ext cx="4351048" cy="2619287"/>
                    </a:xfrm>
                    <a:prstGeom prst="rect">
                      <a:avLst/>
                    </a:prstGeom>
                  </pic:spPr>
                </pic:pic>
              </a:graphicData>
            </a:graphic>
          </wp:inline>
        </w:drawing>
      </w:r>
    </w:p>
    <w:p w:rsidR="001C63E0" w:rsidRPr="001C63E0" w:rsidRDefault="001C63E0" w:rsidP="00702913">
      <w:pPr>
        <w:spacing w:before="180"/>
        <w:ind w:right="284"/>
        <w:rPr>
          <w:rFonts w:cs="Arial"/>
          <w:i/>
          <w:sz w:val="22"/>
        </w:rPr>
      </w:pPr>
      <w:r w:rsidRPr="001C63E0">
        <w:rPr>
          <w:rFonts w:cs="Arial"/>
          <w:i/>
          <w:sz w:val="22"/>
        </w:rPr>
        <w:t xml:space="preserve">Come spiegato nel Messaggio governativo 7784 del 15 gennaio 2020, l’eccedenza di rendimento rispetto all’interesse corrisposto ai pensionati e agli assicurati attivi negli ultimi 7 anni è stata utilizzata per finanziare la necessaria riduzione del tasso tecnico a scapito in particolare degli assicurati attivi che non beneficiano delle garanzie di pensione ex art. 24 </w:t>
      </w:r>
      <w:proofErr w:type="spellStart"/>
      <w:r w:rsidRPr="001C63E0">
        <w:rPr>
          <w:rFonts w:cs="Arial"/>
          <w:i/>
          <w:sz w:val="22"/>
        </w:rPr>
        <w:t>Lipct</w:t>
      </w:r>
      <w:proofErr w:type="spellEnd"/>
      <w:r w:rsidRPr="001C63E0">
        <w:rPr>
          <w:rFonts w:cs="Arial"/>
          <w:i/>
          <w:sz w:val="22"/>
        </w:rPr>
        <w:t xml:space="preserve"> (la riduzione del tasso tecnico non comporta la riduzione delle rendite dei pensionati, né delle garanzie di pensione ex art. 24 </w:t>
      </w:r>
      <w:proofErr w:type="spellStart"/>
      <w:r w:rsidRPr="001C63E0">
        <w:rPr>
          <w:rFonts w:cs="Arial"/>
          <w:i/>
          <w:sz w:val="22"/>
        </w:rPr>
        <w:t>Lipct</w:t>
      </w:r>
      <w:proofErr w:type="spellEnd"/>
      <w:r w:rsidRPr="001C63E0">
        <w:rPr>
          <w:rFonts w:cs="Arial"/>
          <w:i/>
          <w:sz w:val="22"/>
        </w:rPr>
        <w:t xml:space="preserve">, mentre la riduzione del tasso di remunerazione degli averi di vecchiaia comporta la riduzione del capitale e delle future prestazioni degli assicurati attivi che non beneficiano delle garanzie di pensione ex art. 24 </w:t>
      </w:r>
      <w:proofErr w:type="spellStart"/>
      <w:r w:rsidRPr="001C63E0">
        <w:rPr>
          <w:rFonts w:cs="Arial"/>
          <w:i/>
          <w:sz w:val="22"/>
        </w:rPr>
        <w:t>Lipct</w:t>
      </w:r>
      <w:proofErr w:type="spellEnd"/>
      <w:r w:rsidRPr="001C63E0">
        <w:rPr>
          <w:rFonts w:cs="Arial"/>
          <w:i/>
          <w:sz w:val="22"/>
        </w:rPr>
        <w:t>).</w:t>
      </w:r>
    </w:p>
    <w:p w:rsidR="001C63E0" w:rsidRPr="001C63E0" w:rsidRDefault="001C63E0" w:rsidP="00E03E00">
      <w:pPr>
        <w:spacing w:before="60"/>
        <w:ind w:right="284"/>
        <w:rPr>
          <w:rFonts w:cs="Arial"/>
          <w:sz w:val="22"/>
        </w:rPr>
      </w:pPr>
      <w:r w:rsidRPr="001C63E0">
        <w:rPr>
          <w:rFonts w:cs="Arial"/>
          <w:i/>
          <w:sz w:val="22"/>
        </w:rPr>
        <w:t xml:space="preserve">Ridurre ulteriormente (o addirittura azzerare) la remunerazione degli averi di vecchiaia degli assicurati attivi (già ridotta al tasso d’interesse minimo LPP e di molto inferiore rispetto alle previsioni del 2012) non farebbe altro che chiamare nuovamente alla cassa gli assicurati attivi che non beneficiano delle garanzie di pensione ex art. 24 </w:t>
      </w:r>
      <w:proofErr w:type="spellStart"/>
      <w:r w:rsidRPr="001C63E0">
        <w:rPr>
          <w:rFonts w:cs="Arial"/>
          <w:i/>
          <w:sz w:val="22"/>
        </w:rPr>
        <w:t>Lipct</w:t>
      </w:r>
      <w:proofErr w:type="spellEnd"/>
      <w:r w:rsidRPr="001C63E0">
        <w:rPr>
          <w:rFonts w:cs="Arial"/>
          <w:i/>
          <w:sz w:val="22"/>
        </w:rPr>
        <w:t xml:space="preserve">. Ciò che contribuirebbe ad alimentare un sentimento di ingiustizia tra gli assicurati attivi che non beneficiano delle garanzie di pensione ex art. 24 </w:t>
      </w:r>
      <w:proofErr w:type="spellStart"/>
      <w:r w:rsidRPr="001C63E0">
        <w:rPr>
          <w:rFonts w:cs="Arial"/>
          <w:i/>
          <w:sz w:val="22"/>
        </w:rPr>
        <w:t>Lipct</w:t>
      </w:r>
      <w:proofErr w:type="spellEnd"/>
      <w:r w:rsidRPr="001C63E0">
        <w:rPr>
          <w:rFonts w:cs="Arial"/>
          <w:i/>
          <w:sz w:val="22"/>
        </w:rPr>
        <w:t>.</w:t>
      </w:r>
      <w:r w:rsidRPr="001C63E0">
        <w:rPr>
          <w:rFonts w:cs="Arial"/>
          <w:sz w:val="22"/>
        </w:rPr>
        <w:t>».</w:t>
      </w:r>
    </w:p>
    <w:p w:rsidR="001C63E0" w:rsidRDefault="001C63E0" w:rsidP="00E03E00">
      <w:pPr>
        <w:ind w:right="284"/>
        <w:rPr>
          <w:rFonts w:cs="Arial"/>
          <w:sz w:val="22"/>
        </w:rPr>
      </w:pPr>
    </w:p>
    <w:p w:rsidR="00E03E00" w:rsidRPr="001C63E0" w:rsidRDefault="00E03E00" w:rsidP="00E03E00">
      <w:pPr>
        <w:ind w:right="284"/>
        <w:rPr>
          <w:rFonts w:cs="Arial"/>
          <w:sz w:val="22"/>
        </w:rPr>
      </w:pPr>
    </w:p>
    <w:p w:rsidR="001C63E0" w:rsidRPr="001C63E0" w:rsidRDefault="001C63E0" w:rsidP="00E03E00">
      <w:pPr>
        <w:keepNext/>
        <w:tabs>
          <w:tab w:val="left" w:pos="709"/>
        </w:tabs>
        <w:ind w:left="357" w:hanging="357"/>
        <w:outlineLvl w:val="1"/>
        <w:rPr>
          <w:rFonts w:cs="Arial"/>
          <w:b/>
          <w:lang w:val="it-IT" w:eastAsia="it-IT"/>
        </w:rPr>
      </w:pPr>
      <w:bookmarkStart w:id="52" w:name="_Toc98976112"/>
      <w:r w:rsidRPr="001C63E0">
        <w:rPr>
          <w:rFonts w:cs="Arial"/>
          <w:b/>
          <w:lang w:val="it-IT" w:eastAsia="it-IT"/>
        </w:rPr>
        <w:lastRenderedPageBreak/>
        <w:t>5.4</w:t>
      </w:r>
      <w:r w:rsidRPr="001C63E0">
        <w:rPr>
          <w:rFonts w:cs="Arial"/>
          <w:b/>
          <w:lang w:val="it-IT" w:eastAsia="it-IT"/>
        </w:rPr>
        <w:tab/>
      </w:r>
      <w:r w:rsidR="00E03E00">
        <w:rPr>
          <w:rFonts w:cs="Arial"/>
          <w:b/>
          <w:lang w:val="it-IT" w:eastAsia="it-IT"/>
        </w:rPr>
        <w:tab/>
      </w:r>
      <w:r w:rsidRPr="001C63E0">
        <w:rPr>
          <w:rFonts w:cs="Arial"/>
          <w:b/>
          <w:lang w:val="it-IT" w:eastAsia="it-IT"/>
        </w:rPr>
        <w:t>La questione degli "investimenti alternativi" o "verdi"</w:t>
      </w:r>
      <w:bookmarkEnd w:id="52"/>
    </w:p>
    <w:p w:rsidR="001C63E0" w:rsidRPr="001C63E0" w:rsidRDefault="001C63E0" w:rsidP="001C63E0">
      <w:pPr>
        <w:spacing w:before="120"/>
        <w:rPr>
          <w:rFonts w:cs="Arial"/>
          <w:szCs w:val="24"/>
        </w:rPr>
      </w:pPr>
      <w:r w:rsidRPr="001C63E0">
        <w:rPr>
          <w:rFonts w:cs="Arial"/>
          <w:szCs w:val="24"/>
        </w:rPr>
        <w:t xml:space="preserve">A p. 3 del messaggio n. </w:t>
      </w:r>
      <w:hyperlink r:id="rId43" w:history="1">
        <w:r w:rsidRPr="001C63E0">
          <w:rPr>
            <w:rFonts w:cs="Arial"/>
            <w:color w:val="0000FF"/>
            <w:szCs w:val="24"/>
            <w:u w:val="single"/>
          </w:rPr>
          <w:t>7784</w:t>
        </w:r>
      </w:hyperlink>
      <w:r w:rsidRPr="001C63E0">
        <w:rPr>
          <w:rFonts w:cs="Arial"/>
          <w:szCs w:val="24"/>
        </w:rPr>
        <w:t xml:space="preserve"> si può leggere che i «</w:t>
      </w:r>
      <w:r w:rsidRPr="001C63E0">
        <w:rPr>
          <w:rFonts w:cs="Arial"/>
          <w:i/>
          <w:iCs/>
          <w:szCs w:val="24"/>
        </w:rPr>
        <w:t xml:space="preserve">cosiddetti "investimenti alternativi", quali materie prime, hedge </w:t>
      </w:r>
      <w:proofErr w:type="spellStart"/>
      <w:r w:rsidRPr="001C63E0">
        <w:rPr>
          <w:rFonts w:cs="Arial"/>
          <w:i/>
          <w:iCs/>
          <w:szCs w:val="24"/>
        </w:rPr>
        <w:t>fonds</w:t>
      </w:r>
      <w:proofErr w:type="spellEnd"/>
      <w:r w:rsidRPr="001C63E0">
        <w:rPr>
          <w:rFonts w:cs="Arial"/>
          <w:i/>
          <w:iCs/>
          <w:szCs w:val="24"/>
        </w:rPr>
        <w:t xml:space="preserve">, private </w:t>
      </w:r>
      <w:proofErr w:type="spellStart"/>
      <w:r w:rsidRPr="001C63E0">
        <w:rPr>
          <w:rFonts w:cs="Arial"/>
          <w:i/>
          <w:iCs/>
          <w:szCs w:val="24"/>
        </w:rPr>
        <w:t>equity</w:t>
      </w:r>
      <w:proofErr w:type="spellEnd"/>
      <w:r w:rsidRPr="001C63E0">
        <w:rPr>
          <w:rFonts w:cs="Arial"/>
          <w:i/>
          <w:iCs/>
          <w:szCs w:val="24"/>
        </w:rPr>
        <w:t xml:space="preserve">, infrastrutture, e altri, rivestono un’importanza minore. Secondo la statistica di </w:t>
      </w:r>
      <w:proofErr w:type="spellStart"/>
      <w:r w:rsidRPr="001C63E0">
        <w:rPr>
          <w:rFonts w:cs="Arial"/>
          <w:i/>
          <w:iCs/>
          <w:szCs w:val="24"/>
        </w:rPr>
        <w:t>Swisscanto</w:t>
      </w:r>
      <w:proofErr w:type="spellEnd"/>
      <w:r w:rsidRPr="001C63E0">
        <w:rPr>
          <w:rFonts w:cs="Arial"/>
          <w:i/>
          <w:iCs/>
          <w:szCs w:val="24"/>
        </w:rPr>
        <w:t xml:space="preserve"> per il 2018, la quota obbligazionaria delle casse pensioni svizzere è pari al 30.9%, la quota azionaria raggiunge il 29.3% e la quota immobiliare, il 24.8%. Il rimanente 15% consiste essenzialmente in investimenti alternativi e in liquidità</w:t>
      </w:r>
      <w:r w:rsidRPr="001C63E0">
        <w:rPr>
          <w:rFonts w:cs="Arial"/>
          <w:szCs w:val="24"/>
        </w:rPr>
        <w:t>».</w:t>
      </w:r>
    </w:p>
    <w:p w:rsidR="001C63E0" w:rsidRPr="001C63E0" w:rsidRDefault="001C63E0" w:rsidP="001C63E0">
      <w:pPr>
        <w:spacing w:before="120"/>
        <w:rPr>
          <w:rFonts w:cs="Arial"/>
          <w:szCs w:val="24"/>
        </w:rPr>
      </w:pPr>
      <w:r w:rsidRPr="001C63E0">
        <w:rPr>
          <w:rFonts w:cs="Arial"/>
          <w:szCs w:val="24"/>
        </w:rPr>
        <w:t xml:space="preserve">Tale elemento è stato tematizzato durante l’audizione </w:t>
      </w:r>
      <w:proofErr w:type="spellStart"/>
      <w:r w:rsidRPr="001C63E0">
        <w:rPr>
          <w:rFonts w:cs="Arial"/>
          <w:szCs w:val="24"/>
        </w:rPr>
        <w:t>sottocommissionale</w:t>
      </w:r>
      <w:proofErr w:type="spellEnd"/>
      <w:r w:rsidRPr="001C63E0">
        <w:rPr>
          <w:rFonts w:cs="Arial"/>
          <w:szCs w:val="24"/>
        </w:rPr>
        <w:t xml:space="preserve"> dalla deputata Samantha Bourgoin. Si riprendono qui di seguito le relative discussioni riportate a verbale</w:t>
      </w:r>
      <w:r w:rsidRPr="001C63E0">
        <w:rPr>
          <w:rFonts w:cs="Arial"/>
          <w:szCs w:val="24"/>
          <w:vertAlign w:val="superscript"/>
        </w:rPr>
        <w:footnoteReference w:id="60"/>
      </w:r>
      <w:r w:rsidRPr="001C63E0">
        <w:rPr>
          <w:rFonts w:cs="Arial"/>
          <w:szCs w:val="24"/>
        </w:rPr>
        <w:t>:</w:t>
      </w:r>
    </w:p>
    <w:p w:rsidR="001C63E0" w:rsidRPr="001C63E0" w:rsidRDefault="001C63E0" w:rsidP="00FD5C94">
      <w:pPr>
        <w:tabs>
          <w:tab w:val="left" w:pos="1701"/>
        </w:tabs>
        <w:spacing w:before="120"/>
        <w:ind w:left="1702" w:right="284" w:hanging="1418"/>
        <w:rPr>
          <w:rFonts w:cs="Arial"/>
          <w:i/>
          <w:iCs/>
          <w:sz w:val="22"/>
        </w:rPr>
      </w:pPr>
      <w:r w:rsidRPr="001C63E0">
        <w:rPr>
          <w:rFonts w:cs="Arial"/>
          <w:i/>
          <w:iCs/>
          <w:sz w:val="22"/>
        </w:rPr>
        <w:t>Bourgoin S.</w:t>
      </w:r>
      <w:r w:rsidRPr="001C63E0">
        <w:rPr>
          <w:rFonts w:cs="Arial"/>
          <w:i/>
          <w:iCs/>
          <w:sz w:val="22"/>
        </w:rPr>
        <w:tab/>
        <w:t>prendo spunto dalle considerazioni che ho sentito dal CEO di UBS Sergio Ermotti nell’ambito di un’audizione sulla situazione economica post coronavirus; più precisamente egli ha affermato che gli investimenti alternativi o "verdi" hanno il pregio di aver avuto un eccellente rendimento in questo periodo, non soltanto perché sono ottimi, ma anche perché gli investimenti fossili hanno conosciuto un tonfo. A me sembra che le intenzioni di investimento dell’IPCT siano abbastanza conservative, nel senso che cercano di seguire ciò che avviene nel mercato, evitando di puntare su questo tipo di investimenti perché non danno particolari garanzie. Oggi sembra invece che essi abbiano un rendimento interessante. Non sarebbe pertanto ipotizzabile – considerando tra l’altro che un tasso tecnico del 2% pare un po’ azzardato, anche se è in linea con la media a livello nazionale – che l’IPCT propenda maggiormente per gli investimenti "verdi", così da incrementare i suoi potenziali guadagni?</w:t>
      </w:r>
    </w:p>
    <w:p w:rsidR="001C63E0" w:rsidRPr="001C63E0" w:rsidRDefault="001C63E0" w:rsidP="001C63E0">
      <w:pPr>
        <w:tabs>
          <w:tab w:val="left" w:pos="1701"/>
        </w:tabs>
        <w:spacing w:before="60"/>
        <w:ind w:left="1701" w:right="284" w:hanging="1417"/>
        <w:rPr>
          <w:rFonts w:cs="Arial"/>
          <w:i/>
          <w:iCs/>
          <w:sz w:val="22"/>
        </w:rPr>
      </w:pPr>
      <w:proofErr w:type="spellStart"/>
      <w:r w:rsidRPr="001C63E0">
        <w:rPr>
          <w:rFonts w:cs="Arial"/>
          <w:i/>
          <w:iCs/>
          <w:sz w:val="22"/>
        </w:rPr>
        <w:t>Spocci</w:t>
      </w:r>
      <w:proofErr w:type="spellEnd"/>
      <w:r w:rsidRPr="001C63E0">
        <w:rPr>
          <w:rFonts w:cs="Arial"/>
          <w:i/>
          <w:iCs/>
          <w:sz w:val="22"/>
        </w:rPr>
        <w:t xml:space="preserve"> P.</w:t>
      </w:r>
      <w:r w:rsidRPr="001C63E0">
        <w:rPr>
          <w:rFonts w:cs="Arial"/>
          <w:i/>
          <w:iCs/>
          <w:sz w:val="22"/>
        </w:rPr>
        <w:tab/>
        <w:t xml:space="preserve">penso che investire nel sostenibile sia un concetto oramai acquisito anche in seno al </w:t>
      </w:r>
      <w:proofErr w:type="spellStart"/>
      <w:r w:rsidRPr="001C63E0">
        <w:rPr>
          <w:rFonts w:cs="Arial"/>
          <w:i/>
          <w:iCs/>
          <w:sz w:val="22"/>
        </w:rPr>
        <w:t>CdA</w:t>
      </w:r>
      <w:proofErr w:type="spellEnd"/>
      <w:r w:rsidRPr="001C63E0">
        <w:rPr>
          <w:rFonts w:cs="Arial"/>
          <w:i/>
          <w:iCs/>
          <w:sz w:val="22"/>
        </w:rPr>
        <w:t xml:space="preserve"> dell’IPCT. Il problema consiste nel capire in quale modo si vuole farlo, anche perché andare in tale direzione significherebbe disinvestire nei settori in cui siamo presenti ora, ciò che comporterebbe comunque dei costi.</w:t>
      </w:r>
    </w:p>
    <w:p w:rsidR="001C63E0" w:rsidRPr="001C63E0" w:rsidRDefault="001C63E0" w:rsidP="001C63E0">
      <w:pPr>
        <w:tabs>
          <w:tab w:val="left" w:pos="1701"/>
        </w:tabs>
        <w:spacing w:before="60"/>
        <w:ind w:left="1701" w:right="284" w:hanging="1417"/>
        <w:rPr>
          <w:rFonts w:cs="Arial"/>
          <w:i/>
          <w:iCs/>
          <w:sz w:val="22"/>
        </w:rPr>
      </w:pPr>
      <w:r w:rsidRPr="001C63E0">
        <w:rPr>
          <w:rFonts w:cs="Arial"/>
          <w:i/>
          <w:iCs/>
          <w:sz w:val="22"/>
        </w:rPr>
        <w:t>Fusetti A.</w:t>
      </w:r>
      <w:r w:rsidRPr="001C63E0">
        <w:rPr>
          <w:rFonts w:cs="Arial"/>
          <w:i/>
          <w:iCs/>
          <w:sz w:val="22"/>
        </w:rPr>
        <w:tab/>
        <w:t>penso che siamo tutti consapevoli che in passato i rendimenti conseguiti dall’IPCT siano stati superiori alla media, se non, in base a una capacità di rischio praticamente pari a zero, addirittura eccezionali.</w:t>
      </w:r>
    </w:p>
    <w:p w:rsidR="001C63E0" w:rsidRPr="001C63E0" w:rsidRDefault="001C63E0" w:rsidP="001C63E0">
      <w:pPr>
        <w:tabs>
          <w:tab w:val="left" w:pos="1701"/>
        </w:tabs>
        <w:spacing w:before="120"/>
        <w:ind w:left="1702" w:right="284" w:hanging="1418"/>
        <w:rPr>
          <w:rFonts w:cs="Arial"/>
          <w:i/>
          <w:iCs/>
          <w:sz w:val="22"/>
        </w:rPr>
      </w:pPr>
      <w:r w:rsidRPr="001C63E0">
        <w:rPr>
          <w:rFonts w:cs="Arial"/>
          <w:i/>
          <w:iCs/>
          <w:sz w:val="22"/>
        </w:rPr>
        <w:tab/>
        <w:t xml:space="preserve">In prospettiva futura il </w:t>
      </w:r>
      <w:proofErr w:type="spellStart"/>
      <w:r w:rsidRPr="001C63E0">
        <w:rPr>
          <w:rFonts w:cs="Arial"/>
          <w:i/>
          <w:iCs/>
          <w:sz w:val="22"/>
        </w:rPr>
        <w:t>CdA</w:t>
      </w:r>
      <w:proofErr w:type="spellEnd"/>
      <w:r w:rsidRPr="001C63E0">
        <w:rPr>
          <w:rFonts w:cs="Arial"/>
          <w:i/>
          <w:iCs/>
          <w:sz w:val="22"/>
        </w:rPr>
        <w:t xml:space="preserve"> si sta veramente impegnando a capire cosa significhi il concetto di investimenti sostenibili, un compito tutt’altro che semplice. Purtroppo traspare poco il fatto che l’IPCT realtà stia già applicando una politica volta a evitare investimenti poco sostenibili, ad esempio concernenti materie prime (non ha mai speculato sul prezzo del grano, del petrolio, ecc.), in hedge fund (altamente speculativi e con un alto livello di rischio), in derivati esotici (pure altamente speculativi), di tipo "</w:t>
      </w:r>
      <w:proofErr w:type="spellStart"/>
      <w:r w:rsidRPr="001C63E0">
        <w:rPr>
          <w:rFonts w:cs="Arial"/>
          <w:i/>
          <w:iCs/>
          <w:sz w:val="22"/>
        </w:rPr>
        <w:t>Insurance-linked</w:t>
      </w:r>
      <w:proofErr w:type="spellEnd"/>
      <w:r w:rsidRPr="001C63E0">
        <w:rPr>
          <w:rFonts w:cs="Arial"/>
          <w:i/>
          <w:iCs/>
          <w:sz w:val="22"/>
        </w:rPr>
        <w:t xml:space="preserve"> </w:t>
      </w:r>
      <w:proofErr w:type="spellStart"/>
      <w:r w:rsidRPr="001C63E0">
        <w:rPr>
          <w:rFonts w:cs="Arial"/>
          <w:i/>
          <w:iCs/>
          <w:sz w:val="22"/>
        </w:rPr>
        <w:t>securities</w:t>
      </w:r>
      <w:proofErr w:type="spellEnd"/>
      <w:r w:rsidRPr="001C63E0">
        <w:rPr>
          <w:rFonts w:cs="Arial"/>
          <w:i/>
          <w:iCs/>
          <w:sz w:val="22"/>
        </w:rPr>
        <w:t>" (speculazione su catastrofi), ecc.</w:t>
      </w:r>
    </w:p>
    <w:p w:rsidR="001C63E0" w:rsidRPr="001C63E0" w:rsidRDefault="001C63E0" w:rsidP="001C63E0">
      <w:pPr>
        <w:tabs>
          <w:tab w:val="left" w:pos="1701"/>
        </w:tabs>
        <w:spacing w:before="120"/>
        <w:ind w:left="1702" w:right="284" w:hanging="1418"/>
        <w:rPr>
          <w:rFonts w:cs="Arial"/>
          <w:i/>
          <w:iCs/>
          <w:sz w:val="22"/>
        </w:rPr>
      </w:pPr>
      <w:r w:rsidRPr="001C63E0">
        <w:rPr>
          <w:rFonts w:cs="Arial"/>
          <w:i/>
          <w:iCs/>
          <w:sz w:val="22"/>
        </w:rPr>
        <w:tab/>
        <w:t xml:space="preserve">Non ne conosco i dettagli, ma l’IPCT si sta muovendo nell’ambito del parco immobiliare promuovendo una forte componente legata alla sostenibilità. Inoltre va fatto notare che applica la cosiddetta </w:t>
      </w:r>
      <w:hyperlink r:id="rId44" w:history="1">
        <w:r w:rsidRPr="001C63E0">
          <w:rPr>
            <w:rFonts w:cs="Arial"/>
            <w:i/>
            <w:iCs/>
            <w:color w:val="0000FF"/>
            <w:sz w:val="22"/>
            <w:u w:val="single"/>
          </w:rPr>
          <w:t>lista SVVF-ASIR</w:t>
        </w:r>
      </w:hyperlink>
      <w:r w:rsidRPr="001C63E0">
        <w:rPr>
          <w:rFonts w:cs="Arial"/>
          <w:i/>
          <w:iCs/>
          <w:sz w:val="22"/>
        </w:rPr>
        <w:t>, escludendo volutamente dal suo portafoglio titoli non responsabili nei confronti dell’ambiente, della società e dell’economia in maniera globale. Questa componente attenta al sostenibile, lo ribadisco, purtroppo non viene sufficientemente comunicata verso l’esterno.</w:t>
      </w:r>
    </w:p>
    <w:p w:rsidR="001C63E0" w:rsidRPr="001C63E0" w:rsidRDefault="001C63E0" w:rsidP="001C63E0">
      <w:pPr>
        <w:tabs>
          <w:tab w:val="left" w:pos="1701"/>
        </w:tabs>
        <w:spacing w:before="60"/>
        <w:ind w:left="1701" w:right="284" w:hanging="1417"/>
        <w:rPr>
          <w:rFonts w:cs="Arial"/>
          <w:i/>
          <w:iCs/>
          <w:sz w:val="22"/>
        </w:rPr>
      </w:pPr>
      <w:r w:rsidRPr="001C63E0">
        <w:rPr>
          <w:rFonts w:cs="Arial"/>
          <w:i/>
          <w:iCs/>
          <w:sz w:val="22"/>
        </w:rPr>
        <w:t>Bourgoin S.</w:t>
      </w:r>
      <w:r w:rsidRPr="001C63E0">
        <w:rPr>
          <w:rFonts w:cs="Arial"/>
          <w:i/>
          <w:iCs/>
          <w:sz w:val="22"/>
        </w:rPr>
        <w:tab/>
        <w:t xml:space="preserve">la Commissione della gestione e delle finanze ha posto delle domande al CdS su questo tema, ma nella risposta, a cui immagino voi abbiate contribuito, si precisava che gli investimenti avvengono senza un’attenzione particolare verso i fondi "verdi", perché non garantiscono – ma è storia del passato – un tasso di rendimento particolarmente elevato e perché la loro gestione avrebbe costituito un mandato supplementare comportante ulteriori costi. Non capisco pertanto </w:t>
      </w:r>
      <w:r w:rsidRPr="001C63E0">
        <w:rPr>
          <w:rFonts w:cs="Arial"/>
          <w:i/>
          <w:iCs/>
          <w:sz w:val="22"/>
        </w:rPr>
        <w:lastRenderedPageBreak/>
        <w:t>bene i vostri interventi odierni: state valutando di integrare nel pacchetto di base relativo agli investimenti una maggiore quota di investimenti sostenibili?</w:t>
      </w:r>
    </w:p>
    <w:p w:rsidR="001C63E0" w:rsidRPr="001C63E0" w:rsidRDefault="001C63E0" w:rsidP="001C63E0">
      <w:pPr>
        <w:tabs>
          <w:tab w:val="left" w:pos="1701"/>
        </w:tabs>
        <w:spacing w:before="60"/>
        <w:ind w:left="1701" w:right="284" w:hanging="1417"/>
        <w:rPr>
          <w:rFonts w:cs="Arial"/>
          <w:i/>
          <w:iCs/>
          <w:sz w:val="22"/>
        </w:rPr>
      </w:pPr>
      <w:proofErr w:type="spellStart"/>
      <w:r w:rsidRPr="001C63E0">
        <w:rPr>
          <w:rFonts w:cs="Arial"/>
          <w:i/>
          <w:iCs/>
          <w:sz w:val="22"/>
        </w:rPr>
        <w:t>Spocci</w:t>
      </w:r>
      <w:proofErr w:type="spellEnd"/>
      <w:r w:rsidRPr="001C63E0">
        <w:rPr>
          <w:rFonts w:cs="Arial"/>
          <w:i/>
          <w:iCs/>
          <w:sz w:val="22"/>
        </w:rPr>
        <w:t xml:space="preserve"> P.</w:t>
      </w:r>
      <w:r w:rsidRPr="001C63E0">
        <w:rPr>
          <w:rFonts w:cs="Arial"/>
          <w:i/>
          <w:iCs/>
          <w:sz w:val="22"/>
        </w:rPr>
        <w:tab/>
        <w:t xml:space="preserve">il settore di investimento più vicino al sostenibile che si sta esaminando è quello delle infrastrutture, per cui si tratterebbe di investire in fondi che si occupano di infrastrutture sostenibili. Questo è ciò che si sta cercando adesso di focalizzare nella Commissione investimenti; sarà poi comunque il </w:t>
      </w:r>
      <w:proofErr w:type="spellStart"/>
      <w:r w:rsidRPr="001C63E0">
        <w:rPr>
          <w:rFonts w:cs="Arial"/>
          <w:i/>
          <w:iCs/>
          <w:sz w:val="22"/>
        </w:rPr>
        <w:t>CdA</w:t>
      </w:r>
      <w:proofErr w:type="spellEnd"/>
      <w:r w:rsidRPr="001C63E0">
        <w:rPr>
          <w:rFonts w:cs="Arial"/>
          <w:i/>
          <w:iCs/>
          <w:sz w:val="22"/>
        </w:rPr>
        <w:t xml:space="preserve"> che approfondirà la questione e prenderà le necessarie decisioni.</w:t>
      </w:r>
    </w:p>
    <w:p w:rsidR="001C63E0" w:rsidRPr="001C63E0" w:rsidRDefault="001C63E0" w:rsidP="001C63E0">
      <w:pPr>
        <w:tabs>
          <w:tab w:val="left" w:pos="1701"/>
        </w:tabs>
        <w:spacing w:before="120"/>
        <w:ind w:left="1702" w:right="284" w:hanging="1418"/>
        <w:rPr>
          <w:rFonts w:cs="Arial"/>
          <w:i/>
          <w:iCs/>
          <w:sz w:val="22"/>
        </w:rPr>
      </w:pPr>
      <w:r w:rsidRPr="001C63E0">
        <w:rPr>
          <w:rFonts w:cs="Arial"/>
          <w:i/>
          <w:iCs/>
          <w:sz w:val="22"/>
        </w:rPr>
        <w:tab/>
        <w:t>Il problema è capire dove può investire un istituto di previdenza come il nostro. Una possibilità potrebbe effettivamente essere quella di scegliere dei fondi "verdi"; ma cosa vuol dire fondi "verdi"? Ci si può basare sull’indice SPI (</w:t>
      </w:r>
      <w:proofErr w:type="spellStart"/>
      <w:r w:rsidRPr="001C63E0">
        <w:rPr>
          <w:rFonts w:cs="Arial"/>
          <w:i/>
          <w:iCs/>
          <w:sz w:val="22"/>
        </w:rPr>
        <w:t>Swiss</w:t>
      </w:r>
      <w:proofErr w:type="spellEnd"/>
      <w:r w:rsidRPr="001C63E0">
        <w:rPr>
          <w:rFonts w:cs="Arial"/>
          <w:i/>
          <w:iCs/>
          <w:sz w:val="22"/>
        </w:rPr>
        <w:t xml:space="preserve"> Performance Index) o sugli indici americani e inglesi, in cui figurano società che però hanno magari semplicemente una maggiore attenzione verso l’ambiente, ad esempio tentando di diminuire la dipendenza dai combustibili fossili; non è che investire nel verde significhi farlo in aziende agricole o altro.</w:t>
      </w:r>
    </w:p>
    <w:p w:rsidR="001C63E0" w:rsidRPr="001C63E0" w:rsidRDefault="001C63E0" w:rsidP="001C63E0">
      <w:pPr>
        <w:tabs>
          <w:tab w:val="left" w:pos="1701"/>
        </w:tabs>
        <w:spacing w:before="120"/>
        <w:ind w:left="1702" w:right="284" w:hanging="1418"/>
        <w:rPr>
          <w:rFonts w:cs="Arial"/>
          <w:i/>
          <w:iCs/>
          <w:sz w:val="22"/>
        </w:rPr>
      </w:pPr>
      <w:r w:rsidRPr="001C63E0">
        <w:rPr>
          <w:rFonts w:cs="Arial"/>
          <w:i/>
          <w:iCs/>
          <w:sz w:val="22"/>
        </w:rPr>
        <w:tab/>
        <w:t>Al di là di questo, si tratterebbe essenzialmente di escludere dal nostro portafoglio determinate società sulla base di specifici criteri definiti da associazioni che si occupano di clima o di aspetti simili; tra l’altro non è raro trovare opinioni differenti su una società o sull’altra.</w:t>
      </w:r>
    </w:p>
    <w:p w:rsidR="001C63E0" w:rsidRPr="001C63E0" w:rsidRDefault="001C63E0" w:rsidP="001C63E0">
      <w:pPr>
        <w:tabs>
          <w:tab w:val="left" w:pos="1701"/>
        </w:tabs>
        <w:spacing w:before="120"/>
        <w:ind w:left="1702" w:right="284" w:hanging="1418"/>
        <w:rPr>
          <w:rFonts w:cs="Arial"/>
          <w:i/>
          <w:iCs/>
          <w:sz w:val="22"/>
        </w:rPr>
      </w:pPr>
      <w:r w:rsidRPr="001C63E0">
        <w:rPr>
          <w:rFonts w:cs="Arial"/>
          <w:i/>
          <w:iCs/>
          <w:sz w:val="22"/>
        </w:rPr>
        <w:tab/>
        <w:t xml:space="preserve">Samantha Bourgoin ha citato Sergio Ermotti; ebbene i nostri investimenti li effettuiamo per una buona metà tramite UBS, per cui i prodotti che ci sono sul mercato li conosciamo. Però non è che esista soltanto il criterio della tutela ambientale; ve ne sono anche altri, ad esempio la </w:t>
      </w:r>
      <w:proofErr w:type="spellStart"/>
      <w:r w:rsidRPr="001C63E0">
        <w:rPr>
          <w:rFonts w:cs="Arial"/>
          <w:i/>
          <w:iCs/>
          <w:sz w:val="22"/>
        </w:rPr>
        <w:t>governance</w:t>
      </w:r>
      <w:proofErr w:type="spellEnd"/>
      <w:r w:rsidRPr="001C63E0">
        <w:rPr>
          <w:rFonts w:cs="Arial"/>
          <w:i/>
          <w:iCs/>
          <w:sz w:val="22"/>
        </w:rPr>
        <w:t xml:space="preserve"> all’interno delle società, il rispetto dei diritti umani, la parità di trattamento tra uomo e donna, ecc.</w:t>
      </w:r>
    </w:p>
    <w:p w:rsidR="001C63E0" w:rsidRPr="001C63E0" w:rsidRDefault="001C63E0" w:rsidP="001C63E0">
      <w:pPr>
        <w:tabs>
          <w:tab w:val="left" w:pos="1701"/>
        </w:tabs>
        <w:spacing w:before="60"/>
        <w:ind w:left="1701" w:right="284" w:hanging="1417"/>
        <w:rPr>
          <w:rFonts w:cs="Arial"/>
          <w:i/>
          <w:iCs/>
          <w:sz w:val="22"/>
        </w:rPr>
      </w:pPr>
      <w:r w:rsidRPr="001C63E0">
        <w:rPr>
          <w:rFonts w:cs="Arial"/>
          <w:i/>
          <w:iCs/>
          <w:sz w:val="22"/>
        </w:rPr>
        <w:t>Guidicelli G.</w:t>
      </w:r>
      <w:r w:rsidRPr="001C63E0">
        <w:rPr>
          <w:rFonts w:cs="Arial"/>
          <w:i/>
          <w:iCs/>
          <w:sz w:val="22"/>
        </w:rPr>
        <w:tab/>
        <w:t>solo per fare un po’ di futurologia, riguardo agli investimenti in materia di infrastrutture e di energie rinnovabili, ci potrebbe essere l’ipotesi di prestare soldi al Cantone quando dovrà riscattare gli impianti idroelettrici.</w:t>
      </w:r>
    </w:p>
    <w:p w:rsidR="001C63E0" w:rsidRPr="001C63E0" w:rsidRDefault="001C63E0" w:rsidP="001C63E0">
      <w:pPr>
        <w:tabs>
          <w:tab w:val="left" w:pos="1701"/>
        </w:tabs>
        <w:spacing w:before="60"/>
        <w:ind w:left="1701" w:right="284" w:hanging="1417"/>
        <w:rPr>
          <w:rFonts w:cs="Arial"/>
          <w:i/>
          <w:iCs/>
          <w:sz w:val="22"/>
        </w:rPr>
      </w:pPr>
      <w:r w:rsidRPr="001C63E0">
        <w:rPr>
          <w:rFonts w:cs="Arial"/>
          <w:i/>
          <w:iCs/>
          <w:sz w:val="22"/>
        </w:rPr>
        <w:t>Bourgoin S.</w:t>
      </w:r>
      <w:r w:rsidRPr="001C63E0">
        <w:rPr>
          <w:rFonts w:cs="Arial"/>
          <w:i/>
          <w:iCs/>
          <w:sz w:val="22"/>
        </w:rPr>
        <w:tab/>
        <w:t xml:space="preserve">vi sono dei rating che precisano quali sono i fondi "verdi"; tra l’altro anche la società </w:t>
      </w:r>
      <w:hyperlink r:id="rId45" w:history="1">
        <w:proofErr w:type="spellStart"/>
        <w:r w:rsidRPr="001C63E0">
          <w:rPr>
            <w:rFonts w:cs="Arial"/>
            <w:i/>
            <w:iCs/>
            <w:color w:val="0000FF"/>
            <w:sz w:val="22"/>
            <w:u w:val="single"/>
          </w:rPr>
          <w:t>BlackRock</w:t>
        </w:r>
        <w:proofErr w:type="spellEnd"/>
      </w:hyperlink>
      <w:r w:rsidRPr="001C63E0">
        <w:rPr>
          <w:rFonts w:cs="Arial"/>
          <w:i/>
          <w:iCs/>
          <w:sz w:val="22"/>
        </w:rPr>
        <w:t xml:space="preserve"> si sta muovendo in tal senso.</w:t>
      </w:r>
    </w:p>
    <w:p w:rsidR="001C63E0" w:rsidRPr="001C63E0" w:rsidRDefault="001C63E0" w:rsidP="001C63E0">
      <w:pPr>
        <w:tabs>
          <w:tab w:val="left" w:pos="1701"/>
        </w:tabs>
        <w:spacing w:before="120"/>
        <w:ind w:left="1702" w:right="284" w:hanging="1418"/>
        <w:rPr>
          <w:rFonts w:cs="Arial"/>
          <w:i/>
          <w:iCs/>
          <w:sz w:val="22"/>
        </w:rPr>
      </w:pPr>
      <w:r w:rsidRPr="001C63E0">
        <w:rPr>
          <w:rFonts w:cs="Arial"/>
          <w:i/>
          <w:iCs/>
          <w:sz w:val="22"/>
        </w:rPr>
        <w:tab/>
        <w:t>La mia idea non era tanto quella di contribuire al clima – che costituisce comunque un’azione doverosa, visto che abbiamo l’opportunità di farlo –, ma quella di consentire all’IPCT di eseguire investimenti più interessanti dal profilo della redditività, così da rendere magari meno criticabile il M7784, soprattutto da parte della cittadinanza. Vorrei solo capire quale margine di manovra esiste in tal senso.</w:t>
      </w:r>
    </w:p>
    <w:p w:rsidR="001C63E0" w:rsidRPr="001C63E0" w:rsidRDefault="001C63E0" w:rsidP="001C63E0">
      <w:pPr>
        <w:tabs>
          <w:tab w:val="left" w:pos="1701"/>
        </w:tabs>
        <w:spacing w:before="120"/>
        <w:ind w:left="1702" w:right="284" w:hanging="1418"/>
        <w:rPr>
          <w:rFonts w:cs="Arial"/>
          <w:i/>
          <w:iCs/>
          <w:sz w:val="22"/>
        </w:rPr>
      </w:pPr>
      <w:r w:rsidRPr="001C63E0">
        <w:rPr>
          <w:rFonts w:cs="Arial"/>
          <w:i/>
          <w:iCs/>
          <w:sz w:val="22"/>
        </w:rPr>
        <w:t>Rotanzi D.</w:t>
      </w:r>
      <w:r w:rsidRPr="001C63E0">
        <w:rPr>
          <w:rFonts w:cs="Arial"/>
          <w:i/>
          <w:iCs/>
          <w:sz w:val="22"/>
        </w:rPr>
        <w:tab/>
        <w:t>facendo un po’ di "</w:t>
      </w:r>
      <w:proofErr w:type="spellStart"/>
      <w:r w:rsidRPr="001C63E0">
        <w:rPr>
          <w:rFonts w:cs="Arial"/>
          <w:i/>
          <w:iCs/>
          <w:sz w:val="22"/>
        </w:rPr>
        <w:t>fanta</w:t>
      </w:r>
      <w:proofErr w:type="spellEnd"/>
      <w:r w:rsidRPr="001C63E0">
        <w:rPr>
          <w:rFonts w:cs="Arial"/>
          <w:i/>
          <w:iCs/>
          <w:sz w:val="22"/>
        </w:rPr>
        <w:t xml:space="preserve"> previdenza", si potrebbe ipotizzare che il contributo integrativo di CHF 500 milioni arrivi cash all’IPCT, che potrebbe investirlo in parte in fondi "verdi", ritenuto che, come affermato da Samantha Bourgoin, vi sono sempre più "</w:t>
      </w:r>
      <w:proofErr w:type="spellStart"/>
      <w:r w:rsidRPr="001C63E0">
        <w:rPr>
          <w:rFonts w:cs="Arial"/>
          <w:i/>
          <w:iCs/>
          <w:sz w:val="22"/>
        </w:rPr>
        <w:t>review</w:t>
      </w:r>
      <w:proofErr w:type="spellEnd"/>
      <w:r w:rsidRPr="001C63E0">
        <w:rPr>
          <w:rFonts w:cs="Arial"/>
          <w:i/>
          <w:iCs/>
          <w:sz w:val="22"/>
        </w:rPr>
        <w:t>" che stabiliscono quelli che lo sono veramente. A ogni buon conto, è innegabile che oggi esista una maggiore attenzione nei confronti della questione ESG (</w:t>
      </w:r>
      <w:proofErr w:type="spellStart"/>
      <w:r w:rsidRPr="001C63E0">
        <w:rPr>
          <w:rFonts w:cs="Arial"/>
          <w:i/>
          <w:iCs/>
          <w:sz w:val="22"/>
        </w:rPr>
        <w:t>Environmental</w:t>
      </w:r>
      <w:proofErr w:type="spellEnd"/>
      <w:r w:rsidRPr="001C63E0">
        <w:rPr>
          <w:rFonts w:cs="Arial"/>
          <w:i/>
          <w:iCs/>
          <w:sz w:val="22"/>
        </w:rPr>
        <w:t xml:space="preserve">, social and corporate </w:t>
      </w:r>
      <w:proofErr w:type="spellStart"/>
      <w:r w:rsidRPr="001C63E0">
        <w:rPr>
          <w:rFonts w:cs="Arial"/>
          <w:i/>
          <w:iCs/>
          <w:sz w:val="22"/>
        </w:rPr>
        <w:t>governance</w:t>
      </w:r>
      <w:proofErr w:type="spellEnd"/>
      <w:r w:rsidRPr="001C63E0">
        <w:rPr>
          <w:rFonts w:cs="Arial"/>
          <w:i/>
          <w:iCs/>
          <w:sz w:val="22"/>
        </w:rPr>
        <w:t>)</w:t>
      </w:r>
    </w:p>
    <w:p w:rsidR="0042617D" w:rsidRDefault="0042617D" w:rsidP="00702913">
      <w:pPr>
        <w:rPr>
          <w:rFonts w:cs="Arial"/>
        </w:rPr>
      </w:pPr>
    </w:p>
    <w:p w:rsidR="0042617D" w:rsidRDefault="0042617D" w:rsidP="00702913">
      <w:pPr>
        <w:rPr>
          <w:rFonts w:cs="Arial"/>
        </w:rPr>
      </w:pPr>
    </w:p>
    <w:p w:rsidR="00702913" w:rsidRDefault="00702913" w:rsidP="00702913">
      <w:pPr>
        <w:rPr>
          <w:rFonts w:cs="Arial"/>
        </w:rPr>
      </w:pPr>
    </w:p>
    <w:p w:rsidR="001C63E0" w:rsidRPr="001C63E0" w:rsidRDefault="001C63E0" w:rsidP="00702913">
      <w:pPr>
        <w:keepNext/>
        <w:tabs>
          <w:tab w:val="left" w:pos="709"/>
        </w:tabs>
        <w:spacing w:after="240"/>
        <w:ind w:left="709" w:hanging="709"/>
        <w:outlineLvl w:val="0"/>
        <w:rPr>
          <w:rFonts w:cs="Arial"/>
          <w:b/>
          <w:szCs w:val="24"/>
          <w:lang w:val="it-IT" w:eastAsia="it-IT"/>
        </w:rPr>
      </w:pPr>
      <w:bookmarkStart w:id="53" w:name="_Toc98976113"/>
      <w:r w:rsidRPr="001C63E0">
        <w:rPr>
          <w:rFonts w:cs="Arial"/>
          <w:b/>
          <w:szCs w:val="24"/>
          <w:lang w:val="it-IT" w:eastAsia="it-IT"/>
        </w:rPr>
        <w:t>PARTE SECONDA – FORMULAZIONE NEL 2021 DELLA VIA DI RISANAMENTO</w:t>
      </w:r>
      <w:bookmarkEnd w:id="53"/>
    </w:p>
    <w:p w:rsidR="001C63E0" w:rsidRPr="001C63E0" w:rsidRDefault="001C63E0" w:rsidP="001C63E0">
      <w:pPr>
        <w:keepNext/>
        <w:tabs>
          <w:tab w:val="left" w:pos="709"/>
        </w:tabs>
        <w:spacing w:before="120"/>
        <w:ind w:left="709" w:hanging="709"/>
        <w:outlineLvl w:val="0"/>
        <w:rPr>
          <w:rFonts w:cs="Arial"/>
          <w:b/>
          <w:szCs w:val="24"/>
          <w:lang w:val="it-IT" w:eastAsia="it-IT"/>
        </w:rPr>
      </w:pPr>
      <w:bookmarkStart w:id="54" w:name="_Toc98976114"/>
      <w:r w:rsidRPr="001C63E0">
        <w:rPr>
          <w:rFonts w:cs="Arial"/>
          <w:b/>
          <w:szCs w:val="24"/>
          <w:lang w:val="it-IT" w:eastAsia="it-IT"/>
        </w:rPr>
        <w:t>6.</w:t>
      </w:r>
      <w:r w:rsidRPr="001C63E0">
        <w:rPr>
          <w:rFonts w:cs="Arial"/>
          <w:b/>
          <w:szCs w:val="24"/>
          <w:lang w:val="it-IT" w:eastAsia="it-IT"/>
        </w:rPr>
        <w:tab/>
        <w:t>L’IPOTESI DI UN INVESTIMENTO FINANZIARIO A LUNGO TERMINE SOSTENUTO DA UN DEBITO OBBLIGAZIONARIO</w:t>
      </w:r>
      <w:bookmarkEnd w:id="54"/>
    </w:p>
    <w:p w:rsidR="001C63E0" w:rsidRPr="001C63E0" w:rsidRDefault="001C63E0" w:rsidP="001C63E0">
      <w:pPr>
        <w:keepNext/>
        <w:tabs>
          <w:tab w:val="left" w:pos="709"/>
        </w:tabs>
        <w:spacing w:before="120"/>
        <w:ind w:left="360" w:hanging="360"/>
        <w:outlineLvl w:val="1"/>
        <w:rPr>
          <w:rFonts w:cs="Arial"/>
          <w:b/>
          <w:lang w:val="it-IT" w:eastAsia="it-IT"/>
        </w:rPr>
      </w:pPr>
      <w:bookmarkStart w:id="55" w:name="_Toc98976115"/>
      <w:r w:rsidRPr="001C63E0">
        <w:rPr>
          <w:rFonts w:cs="Arial"/>
          <w:b/>
          <w:lang w:val="it-IT" w:eastAsia="it-IT"/>
        </w:rPr>
        <w:t>6.1</w:t>
      </w:r>
      <w:r w:rsidRPr="001C63E0">
        <w:rPr>
          <w:rFonts w:cs="Arial"/>
          <w:b/>
          <w:lang w:val="it-IT" w:eastAsia="it-IT"/>
        </w:rPr>
        <w:tab/>
      </w:r>
      <w:r w:rsidRPr="001C63E0">
        <w:rPr>
          <w:rFonts w:cs="Arial"/>
          <w:b/>
          <w:lang w:val="it-IT" w:eastAsia="it-IT"/>
        </w:rPr>
        <w:tab/>
        <w:t>Premesse</w:t>
      </w:r>
      <w:bookmarkEnd w:id="55"/>
    </w:p>
    <w:p w:rsidR="001C63E0" w:rsidRPr="001C63E0" w:rsidRDefault="001C63E0" w:rsidP="001C63E0">
      <w:pPr>
        <w:spacing w:before="120"/>
        <w:rPr>
          <w:rFonts w:cs="Arial"/>
          <w:lang w:val="it-IT" w:eastAsia="it-IT"/>
        </w:rPr>
      </w:pPr>
      <w:r w:rsidRPr="001C63E0">
        <w:rPr>
          <w:rFonts w:cs="Arial"/>
          <w:lang w:val="it-IT" w:eastAsia="it-IT"/>
        </w:rPr>
        <w:t xml:space="preserve">Il secondo </w:t>
      </w:r>
      <w:r w:rsidRPr="001C63E0">
        <w:rPr>
          <w:rFonts w:cs="Arial"/>
          <w:lang w:eastAsia="it-IT"/>
        </w:rPr>
        <w:t xml:space="preserve">pilastro </w:t>
      </w:r>
      <w:r w:rsidRPr="001C63E0">
        <w:rPr>
          <w:rFonts w:cs="Arial"/>
          <w:lang w:val="it-IT" w:eastAsia="it-IT"/>
        </w:rPr>
        <w:t xml:space="preserve">(cassa pensione, la cui affiliazione è obbligatoria per la maggior parte dei salariati a dipendenza di determinate soglie salariali) e il terzo pilastro (prodotti assicurativi o bancari vincolati ma di libera scelta individuale) della previdenza professionale svizzera </w:t>
      </w:r>
      <w:r w:rsidRPr="001C63E0">
        <w:rPr>
          <w:rFonts w:cs="Arial"/>
          <w:lang w:val="it-IT" w:eastAsia="it-IT"/>
        </w:rPr>
        <w:lastRenderedPageBreak/>
        <w:t>poggiano notoriamente sulla capitalizzazione, dall’età di inizio dell’attività lucrativa fino all’età di pensionamento, dei contributi previdenziali e dei guadagni conseguiti con il loro investimento finanziario. Al contrario del primo pilastro (AVS, l’assicurazione statale federale per la vecchiaia e i superstiti), che in applicazione del cosiddetto sistema a ripartizione utilizza a stretto giro temporale i contributi previdenziali prelevati obbligatoriamente dagli assicurati attivi (i salariati) per finanziare le rendite erogate agli attuali beneficiari, il cosiddetto sistema a capitalizzazione proprio del secondo e terzo pilastro fa in particolare leva sulla capitalizzazione composta degli investimenti finanziari sull’arco di più decenni. Nel linguaggio tecnico, non a caso di parla del terzo contribuente riferendosi all’interesse composto al lato dei contributi pagati dal salariato e di quelli pagati dal datore di lavoro.</w:t>
      </w:r>
    </w:p>
    <w:p w:rsidR="001C63E0" w:rsidRPr="001C63E0" w:rsidRDefault="001C63E0" w:rsidP="001C63E0">
      <w:pPr>
        <w:spacing w:before="120"/>
        <w:rPr>
          <w:rFonts w:cs="Arial"/>
          <w:lang w:val="it-IT" w:eastAsia="it-IT"/>
        </w:rPr>
      </w:pPr>
      <w:r w:rsidRPr="001C63E0">
        <w:rPr>
          <w:rFonts w:cs="Arial"/>
          <w:lang w:val="it-IT" w:eastAsia="it-IT"/>
        </w:rPr>
        <w:t>Dopo le analisi preliminari riassunte nella prima parte del presente rapporto, tese alla comprensione delle cause che hanno condotto all’attuale situazione finanziaria dell’IPCT e all’esplorazione delle possibili strategie di risanamento, i lavori commissionali si erano trovati bloccati a causa dell’assenza di un sufficiente consenso interpartitico a favore di una soluzione</w:t>
      </w:r>
      <w:r w:rsidRPr="001C63E0">
        <w:rPr>
          <w:rFonts w:cs="Arial"/>
          <w:lang w:eastAsia="it-IT"/>
        </w:rPr>
        <w:t xml:space="preserve"> concordata</w:t>
      </w:r>
      <w:r w:rsidRPr="001C63E0">
        <w:rPr>
          <w:rFonts w:cs="Arial"/>
          <w:lang w:val="it-IT" w:eastAsia="it-IT"/>
        </w:rPr>
        <w:t xml:space="preserve">. Da una parte, vari gruppi parlamentari non erano pronti a concedere un aumento dei costi </w:t>
      </w:r>
      <w:r w:rsidRPr="001C63E0">
        <w:rPr>
          <w:rFonts w:cs="Arial"/>
          <w:lang w:eastAsia="it-IT"/>
        </w:rPr>
        <w:t>in</w:t>
      </w:r>
      <w:r w:rsidRPr="001C63E0">
        <w:rPr>
          <w:rFonts w:cs="Arial"/>
          <w:lang w:val="it-IT" w:eastAsia="it-IT"/>
        </w:rPr>
        <w:t xml:space="preserve"> gestione corrente </w:t>
      </w:r>
      <w:r w:rsidRPr="001C63E0">
        <w:rPr>
          <w:rFonts w:cs="Arial"/>
          <w:lang w:eastAsia="it-IT"/>
        </w:rPr>
        <w:t xml:space="preserve">dello Stato </w:t>
      </w:r>
      <w:r w:rsidRPr="001C63E0">
        <w:rPr>
          <w:rFonts w:cs="Arial"/>
          <w:lang w:val="it-IT" w:eastAsia="it-IT"/>
        </w:rPr>
        <w:t>e – in ultima analisi – un risanamento dell’IPCT sostenuto dalle e dai contribuenti ticinesi. Tale preclusione limitava pertanto il possibile sostegno all’IPCT da parte del datore di lavoro. Dall’altra parte, non si voleva gravare ulteriormente sugli assicurati, in particolare quelli attivi già gravati da una ridotta remunerazione del proprio capitale a risparmio e senza i benefici delle classi che possono tutt’ora godere di rendite previdenziali in linea con il precedente primato delle prestazioni.</w:t>
      </w:r>
    </w:p>
    <w:p w:rsidR="001C63E0" w:rsidRDefault="001C63E0" w:rsidP="00702913">
      <w:pPr>
        <w:rPr>
          <w:rFonts w:cs="Arial"/>
          <w:lang w:val="it-IT" w:eastAsia="it-IT"/>
        </w:rPr>
      </w:pPr>
    </w:p>
    <w:p w:rsidR="00702913" w:rsidRPr="001C63E0" w:rsidRDefault="00702913" w:rsidP="00702913">
      <w:pPr>
        <w:rPr>
          <w:rFonts w:cs="Arial"/>
          <w:lang w:val="it-IT" w:eastAsia="it-IT"/>
        </w:rPr>
      </w:pPr>
    </w:p>
    <w:p w:rsidR="001C63E0" w:rsidRPr="001C63E0" w:rsidRDefault="001C63E0" w:rsidP="00702913">
      <w:pPr>
        <w:keepNext/>
        <w:tabs>
          <w:tab w:val="left" w:pos="709"/>
        </w:tabs>
        <w:ind w:left="360" w:hanging="360"/>
        <w:outlineLvl w:val="1"/>
        <w:rPr>
          <w:rFonts w:cs="Arial"/>
          <w:b/>
          <w:lang w:val="it-IT" w:eastAsia="it-IT"/>
        </w:rPr>
      </w:pPr>
      <w:bookmarkStart w:id="56" w:name="_Toc98976116"/>
      <w:r w:rsidRPr="001C63E0">
        <w:rPr>
          <w:rFonts w:cs="Arial"/>
          <w:b/>
          <w:lang w:val="it-IT" w:eastAsia="it-IT"/>
        </w:rPr>
        <w:t>6.2</w:t>
      </w:r>
      <w:r w:rsidRPr="001C63E0">
        <w:rPr>
          <w:rFonts w:cs="Arial"/>
          <w:b/>
          <w:lang w:val="it-IT" w:eastAsia="it-IT"/>
        </w:rPr>
        <w:tab/>
      </w:r>
      <w:r w:rsidRPr="001C63E0">
        <w:rPr>
          <w:rFonts w:cs="Arial"/>
          <w:b/>
          <w:lang w:val="it-IT" w:eastAsia="it-IT"/>
        </w:rPr>
        <w:tab/>
        <w:t>L’idea di fondo</w:t>
      </w:r>
      <w:bookmarkEnd w:id="56"/>
    </w:p>
    <w:p w:rsidR="001C63E0" w:rsidRPr="001C63E0" w:rsidRDefault="001C63E0" w:rsidP="001C63E0">
      <w:pPr>
        <w:spacing w:before="120"/>
        <w:rPr>
          <w:rFonts w:cs="Arial"/>
          <w:lang w:val="it-IT" w:eastAsia="it-IT"/>
        </w:rPr>
      </w:pPr>
      <w:r w:rsidRPr="001C63E0">
        <w:rPr>
          <w:rFonts w:cs="Arial"/>
          <w:lang w:val="it-IT" w:eastAsia="it-IT"/>
        </w:rPr>
        <w:t xml:space="preserve">Per tali ragioni, e riconosciuta la necessità di affrontare di petto nonché nel limite del possibile in via definitiva la sottocapitalizzazione dell’IPCT, nel quadro di ripetute riunioni e discussioni i lavori commissionali svolti nel 2021 si sono sforzati di trovare una soluzione che potesse fare leva sul suddetto terzo contribuente, vale a dire sulla capitalizzazione composta. </w:t>
      </w:r>
      <w:r w:rsidR="00DF2942">
        <w:rPr>
          <w:rFonts w:cs="Arial"/>
          <w:lang w:eastAsia="it-IT"/>
        </w:rPr>
        <w:t>Sulla</w:t>
      </w:r>
      <w:r w:rsidRPr="001C63E0">
        <w:rPr>
          <w:rFonts w:cs="Arial"/>
          <w:lang w:val="it-IT" w:eastAsia="it-IT"/>
        </w:rPr>
        <w:t xml:space="preserve"> base di questa premessa, nonché considerato l’orizzonte temporale trentennale entro cui l'IPCT è tenuto a raggiungere un grado di copertura almeno dell’80% in virtù dell’art.</w:t>
      </w:r>
      <w:r w:rsidR="00FD5C94">
        <w:rPr>
          <w:rFonts w:cs="Arial"/>
          <w:lang w:val="it-IT" w:eastAsia="it-IT"/>
        </w:rPr>
        <w:t xml:space="preserve"> </w:t>
      </w:r>
      <w:r w:rsidRPr="001C63E0">
        <w:rPr>
          <w:rFonts w:cs="Arial"/>
          <w:lang w:val="it-IT" w:eastAsia="it-IT"/>
        </w:rPr>
        <w:t>72 a cpv.</w:t>
      </w:r>
      <w:r w:rsidR="00FD5C94">
        <w:rPr>
          <w:rFonts w:cs="Arial"/>
          <w:lang w:val="it-IT" w:eastAsia="it-IT"/>
        </w:rPr>
        <w:t xml:space="preserve"> </w:t>
      </w:r>
      <w:r w:rsidRPr="001C63E0">
        <w:rPr>
          <w:rFonts w:cs="Arial"/>
          <w:lang w:val="it-IT" w:eastAsia="it-IT"/>
        </w:rPr>
        <w:t>1 lett.</w:t>
      </w:r>
      <w:r w:rsidR="00FD5C94">
        <w:rPr>
          <w:rFonts w:cs="Arial"/>
          <w:lang w:val="it-IT" w:eastAsia="it-IT"/>
        </w:rPr>
        <w:t xml:space="preserve"> </w:t>
      </w:r>
      <w:r w:rsidRPr="001C63E0">
        <w:rPr>
          <w:rFonts w:cs="Arial"/>
          <w:lang w:val="it-IT" w:eastAsia="it-IT"/>
        </w:rPr>
        <w:t>c</w:t>
      </w:r>
      <w:r w:rsidR="00FD5C94">
        <w:rPr>
          <w:rFonts w:cs="Arial"/>
          <w:lang w:val="it-IT" w:eastAsia="it-IT"/>
        </w:rPr>
        <w:t>)</w:t>
      </w:r>
      <w:r w:rsidRPr="001C63E0">
        <w:rPr>
          <w:rFonts w:cs="Arial"/>
          <w:lang w:val="it-IT" w:eastAsia="it-IT"/>
        </w:rPr>
        <w:t xml:space="preserve"> LPP</w:t>
      </w:r>
      <w:r w:rsidRPr="001C63E0">
        <w:rPr>
          <w:rFonts w:cs="Arial"/>
          <w:vertAlign w:val="superscript"/>
          <w:lang w:val="it-IT" w:eastAsia="it-IT"/>
        </w:rPr>
        <w:footnoteReference w:id="61"/>
      </w:r>
      <w:r w:rsidRPr="001C63E0">
        <w:rPr>
          <w:rFonts w:cs="Arial"/>
          <w:lang w:val="it-IT" w:eastAsia="it-IT"/>
        </w:rPr>
        <w:t xml:space="preserve"> così come il particolare contesto storico internazionale con saggi di interesse particolarmente bassi (se non negativi), si è iniziata ad approfondire l’ipotesi che il Cantone raccogliesse mezzi sul mercato </w:t>
      </w:r>
      <w:r w:rsidRPr="001C63E0">
        <w:rPr>
          <w:rFonts w:cs="Arial"/>
          <w:lang w:eastAsia="it-IT"/>
        </w:rPr>
        <w:t xml:space="preserve">finanziario </w:t>
      </w:r>
      <w:r w:rsidRPr="001C63E0">
        <w:rPr>
          <w:rFonts w:cs="Arial"/>
          <w:lang w:val="it-IT" w:eastAsia="it-IT"/>
        </w:rPr>
        <w:t xml:space="preserve">contro un interesse fisso – </w:t>
      </w:r>
      <w:r w:rsidRPr="001C63E0">
        <w:rPr>
          <w:rFonts w:cs="Arial"/>
          <w:lang w:eastAsia="it-IT"/>
        </w:rPr>
        <w:t xml:space="preserve">segnatamente </w:t>
      </w:r>
      <w:r w:rsidRPr="001C63E0">
        <w:rPr>
          <w:rFonts w:cs="Arial"/>
          <w:lang w:val="it-IT" w:eastAsia="it-IT"/>
        </w:rPr>
        <w:t>tramite l’emissione di una o più obbligazioni – e investisse tali averi sui mercati finanziari internazionali, in particolare azionari. Il tutto con un orizzonte temporale di vari decenni.</w:t>
      </w:r>
    </w:p>
    <w:p w:rsidR="00F209DB" w:rsidRDefault="001C63E0" w:rsidP="001C63E0">
      <w:pPr>
        <w:spacing w:before="120"/>
        <w:rPr>
          <w:rFonts w:cs="Arial"/>
          <w:lang w:val="it-IT"/>
        </w:rPr>
      </w:pPr>
      <w:r w:rsidRPr="001C63E0">
        <w:rPr>
          <w:rFonts w:cs="Arial"/>
          <w:lang w:val="it-IT"/>
        </w:rPr>
        <w:t>A titolo di esempio e per dare una grossolana idea delle possibili materialità connesse a detto approccio, CHF</w:t>
      </w:r>
      <w:r w:rsidR="00FD5C94">
        <w:rPr>
          <w:rFonts w:cs="Arial"/>
          <w:lang w:val="it-IT"/>
        </w:rPr>
        <w:t xml:space="preserve"> </w:t>
      </w:r>
      <w:r w:rsidRPr="001C63E0">
        <w:rPr>
          <w:rFonts w:cs="Arial"/>
          <w:lang w:val="it-IT"/>
        </w:rPr>
        <w:t>700 mio. investiti al 4% composto annuo</w:t>
      </w:r>
      <w:r w:rsidRPr="001C63E0">
        <w:rPr>
          <w:rFonts w:cs="Arial"/>
          <w:vertAlign w:val="superscript"/>
          <w:lang w:val="it-IT"/>
        </w:rPr>
        <w:footnoteReference w:id="62"/>
      </w:r>
      <w:r w:rsidRPr="001C63E0">
        <w:rPr>
          <w:rFonts w:cs="Arial"/>
          <w:lang w:val="it-IT"/>
        </w:rPr>
        <w:t xml:space="preserve"> per 30 anni crescono alla scadenza in oltre CHF</w:t>
      </w:r>
      <w:r w:rsidR="00FD5C94">
        <w:rPr>
          <w:rFonts w:cs="Arial"/>
          <w:lang w:val="it-IT"/>
        </w:rPr>
        <w:t xml:space="preserve"> </w:t>
      </w:r>
      <w:r w:rsidRPr="001C63E0">
        <w:rPr>
          <w:rFonts w:cs="Arial"/>
          <w:lang w:val="it-IT"/>
        </w:rPr>
        <w:t>2.27 mia.</w:t>
      </w:r>
      <w:r w:rsidRPr="001C63E0">
        <w:rPr>
          <w:rFonts w:cs="Arial"/>
          <w:vertAlign w:val="superscript"/>
          <w:lang w:val="it-IT"/>
        </w:rPr>
        <w:footnoteReference w:id="63"/>
      </w:r>
      <w:r w:rsidRPr="001C63E0">
        <w:rPr>
          <w:rFonts w:cs="Arial"/>
          <w:lang w:val="it-IT"/>
        </w:rPr>
        <w:t xml:space="preserve"> Dedotti CHF 700 mio. da restituire ai sottoscrittori dell’obbligazione </w:t>
      </w:r>
      <w:r w:rsidRPr="001C63E0">
        <w:rPr>
          <w:rFonts w:cs="Arial"/>
        </w:rPr>
        <w:t>e dedotti</w:t>
      </w:r>
      <w:r w:rsidRPr="001C63E0">
        <w:rPr>
          <w:rFonts w:cs="Arial"/>
          <w:lang w:val="it-IT"/>
        </w:rPr>
        <w:t xml:space="preserve"> gli interessi passivi (idealmente non soggetti ad interesse composto</w:t>
      </w:r>
      <w:r w:rsidRPr="001C63E0">
        <w:rPr>
          <w:rFonts w:cs="Arial"/>
        </w:rPr>
        <w:t xml:space="preserve"> in base alla strutturazione dell’investimento</w:t>
      </w:r>
      <w:r w:rsidRPr="001C63E0">
        <w:rPr>
          <w:rFonts w:cs="Arial"/>
          <w:lang w:val="it-IT"/>
        </w:rPr>
        <w:t xml:space="preserve">, pertanto nella migliore delle ipotesi </w:t>
      </w:r>
      <w:r w:rsidR="00F209DB">
        <w:rPr>
          <w:rFonts w:cs="Arial"/>
          <w:lang w:val="it-IT"/>
        </w:rPr>
        <w:br/>
      </w:r>
    </w:p>
    <w:p w:rsidR="00F209DB" w:rsidRDefault="00F209DB" w:rsidP="001C63E0">
      <w:pPr>
        <w:spacing w:before="120"/>
        <w:rPr>
          <w:rFonts w:cs="Arial"/>
          <w:lang w:val="it-IT"/>
        </w:rPr>
      </w:pPr>
    </w:p>
    <w:p w:rsidR="001C63E0" w:rsidRPr="001C63E0" w:rsidRDefault="001C63E0" w:rsidP="001C63E0">
      <w:pPr>
        <w:spacing w:before="120"/>
        <w:rPr>
          <w:rFonts w:cs="Arial"/>
        </w:rPr>
      </w:pPr>
      <w:r w:rsidRPr="001C63E0">
        <w:rPr>
          <w:rFonts w:cs="Arial"/>
          <w:lang w:val="it-IT"/>
        </w:rPr>
        <w:lastRenderedPageBreak/>
        <w:t>stimabili in CHF</w:t>
      </w:r>
      <w:r w:rsidR="00FD5C94">
        <w:rPr>
          <w:rFonts w:cs="Arial"/>
          <w:lang w:val="it-IT"/>
        </w:rPr>
        <w:t xml:space="preserve"> </w:t>
      </w:r>
      <w:r w:rsidRPr="001C63E0">
        <w:rPr>
          <w:rFonts w:cs="Arial"/>
          <w:lang w:val="it-IT"/>
        </w:rPr>
        <w:t>147 mio.</w:t>
      </w:r>
      <w:r w:rsidRPr="001C63E0">
        <w:rPr>
          <w:rFonts w:cs="Arial"/>
          <w:vertAlign w:val="superscript"/>
          <w:lang w:val="it-IT"/>
        </w:rPr>
        <w:footnoteReference w:id="64"/>
      </w:r>
      <w:r w:rsidRPr="001C63E0">
        <w:rPr>
          <w:rFonts w:cs="Arial"/>
          <w:lang w:val="it-IT"/>
        </w:rPr>
        <w:t xml:space="preserve">), il beneficio netto </w:t>
      </w:r>
      <w:r w:rsidRPr="001C63E0">
        <w:rPr>
          <w:rFonts w:cs="Arial"/>
        </w:rPr>
        <w:t>alla scadenza</w:t>
      </w:r>
      <w:r w:rsidRPr="001C63E0">
        <w:rPr>
          <w:rFonts w:cs="Arial"/>
          <w:lang w:val="it-IT"/>
        </w:rPr>
        <w:t xml:space="preserve"> 30 anni </w:t>
      </w:r>
      <w:r w:rsidRPr="001C63E0">
        <w:rPr>
          <w:rFonts w:cs="Arial"/>
        </w:rPr>
        <w:t xml:space="preserve">più tardi </w:t>
      </w:r>
      <w:r w:rsidRPr="001C63E0">
        <w:rPr>
          <w:rFonts w:cs="Arial"/>
          <w:lang w:val="it-IT"/>
        </w:rPr>
        <w:t>ammonterebbe a ca. CHF</w:t>
      </w:r>
      <w:r w:rsidR="00FD5C94">
        <w:rPr>
          <w:rFonts w:cs="Arial"/>
          <w:lang w:val="it-IT"/>
        </w:rPr>
        <w:t xml:space="preserve"> </w:t>
      </w:r>
      <w:r w:rsidRPr="001C63E0">
        <w:rPr>
          <w:rFonts w:cs="Arial"/>
          <w:lang w:val="it-IT"/>
        </w:rPr>
        <w:t>1.42 mia.</w:t>
      </w:r>
    </w:p>
    <w:p w:rsidR="001C63E0" w:rsidRPr="001C63E0" w:rsidRDefault="001C63E0" w:rsidP="001C63E0">
      <w:pPr>
        <w:spacing w:before="120"/>
        <w:rPr>
          <w:rFonts w:cs="Arial"/>
          <w:lang w:val="it-IT"/>
        </w:rPr>
      </w:pPr>
      <w:r w:rsidRPr="001C63E0">
        <w:rPr>
          <w:rFonts w:cs="Arial"/>
          <w:lang w:val="it-IT"/>
        </w:rPr>
        <w:t xml:space="preserve">Sulla base di circa un secolo di dati azionari mondiali, l’appendice al presente rapporto approfondisce per sommi capi la possibile dispersione dei rendimenti di detta strategia e le possibili perdite massime nelle quali si potrebbe momentaneamente incorrere </w:t>
      </w:r>
      <w:proofErr w:type="spellStart"/>
      <w:r w:rsidRPr="001C63E0">
        <w:rPr>
          <w:rFonts w:cs="Arial"/>
          <w:lang w:val="it-IT"/>
        </w:rPr>
        <w:t>cammin</w:t>
      </w:r>
      <w:proofErr w:type="spellEnd"/>
      <w:r w:rsidRPr="001C63E0">
        <w:rPr>
          <w:rFonts w:cs="Arial"/>
          <w:lang w:val="it-IT"/>
        </w:rPr>
        <w:t xml:space="preserve"> facendo nell’ipotesi di un investimento puramente azionario mondiale. L’appendice esplora pure ulteriori approcci quantitativi tesi a ridurre le perdite massime nelle quali l’Istituto potrebbe incorrere durante i 30 anni di investimento. Dette analisi non possono naturalmente offrire alcuna garanzia di rendimenti futuri, bensì servono a fornire un’idea della possibile dispersione dei rendimenti attesi a fronte di un variegato ventaglio di scenari così come si sono manifestati nell’ultimo secolo di storia finanziaria, passando da periodi di crescita, di depressione, di inflazione, di deflazione, di guerra e di pace.</w:t>
      </w:r>
    </w:p>
    <w:p w:rsidR="001C63E0" w:rsidRPr="001C63E0" w:rsidRDefault="001C63E0" w:rsidP="001C63E0">
      <w:pPr>
        <w:spacing w:before="120"/>
        <w:rPr>
          <w:rFonts w:cs="Arial"/>
          <w:lang w:val="it-IT"/>
        </w:rPr>
      </w:pPr>
      <w:r w:rsidRPr="001C63E0">
        <w:rPr>
          <w:rFonts w:cs="Arial"/>
          <w:lang w:val="it-IT"/>
        </w:rPr>
        <w:t>Le sezioni successive espongono i lavori commissionali e del Governo circa le possibili vie di attuazione della strategia finanziaria esposta sopra, confrontando le soluzioni giuridiche ipotizzate e presentando in dettaglio la soluzione proposta</w:t>
      </w:r>
    </w:p>
    <w:p w:rsidR="001C63E0" w:rsidRDefault="001C63E0" w:rsidP="00702913">
      <w:pPr>
        <w:rPr>
          <w:rFonts w:cs="Arial"/>
          <w:lang w:val="it-IT"/>
        </w:rPr>
      </w:pPr>
    </w:p>
    <w:p w:rsidR="00702913" w:rsidRPr="001C63E0" w:rsidRDefault="00702913" w:rsidP="00702913">
      <w:pPr>
        <w:rPr>
          <w:rFonts w:cs="Arial"/>
          <w:lang w:val="it-IT"/>
        </w:rPr>
      </w:pPr>
    </w:p>
    <w:p w:rsidR="001C63E0" w:rsidRPr="001C63E0" w:rsidRDefault="001C63E0" w:rsidP="00702913">
      <w:pPr>
        <w:keepNext/>
        <w:tabs>
          <w:tab w:val="left" w:pos="709"/>
        </w:tabs>
        <w:ind w:left="360" w:hanging="360"/>
        <w:outlineLvl w:val="1"/>
        <w:rPr>
          <w:rFonts w:cs="Arial"/>
          <w:b/>
          <w:lang w:val="it-IT" w:eastAsia="it-IT"/>
        </w:rPr>
      </w:pPr>
      <w:bookmarkStart w:id="57" w:name="_Toc98976117"/>
      <w:r w:rsidRPr="001C63E0">
        <w:rPr>
          <w:rFonts w:cs="Arial"/>
          <w:b/>
          <w:lang w:val="it-IT" w:eastAsia="it-IT"/>
        </w:rPr>
        <w:t>6.3</w:t>
      </w:r>
      <w:r w:rsidRPr="001C63E0">
        <w:rPr>
          <w:rFonts w:cs="Arial"/>
          <w:b/>
          <w:lang w:val="it-IT" w:eastAsia="it-IT"/>
        </w:rPr>
        <w:tab/>
      </w:r>
      <w:r w:rsidRPr="001C63E0">
        <w:rPr>
          <w:rFonts w:cs="Arial"/>
          <w:b/>
          <w:lang w:val="it-IT" w:eastAsia="it-IT"/>
        </w:rPr>
        <w:tab/>
        <w:t>Richieste al Consiglio di Stato e all’IPCT</w:t>
      </w:r>
      <w:bookmarkEnd w:id="57"/>
    </w:p>
    <w:p w:rsidR="001C63E0" w:rsidRPr="001C63E0" w:rsidRDefault="001C63E0" w:rsidP="001C63E0">
      <w:pPr>
        <w:spacing w:before="120"/>
        <w:rPr>
          <w:rFonts w:cs="Arial"/>
        </w:rPr>
      </w:pPr>
      <w:r w:rsidRPr="001C63E0">
        <w:rPr>
          <w:rFonts w:cs="Arial"/>
        </w:rPr>
        <w:t>Si narra che Albert Einstein abbia sostenuto che l’interesse composto rappresenti l’ottava meraviglia del mondo. Che l’attribuzione della frase sia vera o no, i dati storici analizzati nell’appendice al presente rapporto mostrano chiaramente come – nel corso del lungo periodo, inteso sull’arco di più decenni – sia molto difficile perdere soldi sui mercati finanziari, fintanto che si mantiene la necessaria disciplina e che si tengono sotto controllo tutti i costi. Più che le singole strategie di investimento, risulta essenziale</w:t>
      </w:r>
    </w:p>
    <w:p w:rsidR="001C63E0" w:rsidRPr="001C63E0" w:rsidRDefault="001C63E0" w:rsidP="003C404C">
      <w:pPr>
        <w:numPr>
          <w:ilvl w:val="0"/>
          <w:numId w:val="12"/>
        </w:numPr>
        <w:spacing w:before="120"/>
        <w:ind w:left="284" w:hanging="284"/>
        <w:jc w:val="left"/>
        <w:rPr>
          <w:rFonts w:cs="Arial"/>
        </w:rPr>
      </w:pPr>
      <w:r w:rsidRPr="001C63E0">
        <w:rPr>
          <w:rFonts w:cs="Arial"/>
        </w:rPr>
        <w:t>permettere al capitale di crescere, cosa che salvo analisi più complesse è di principio ottenibile con investimenti azionari;</w:t>
      </w:r>
    </w:p>
    <w:p w:rsidR="001C63E0" w:rsidRPr="001C63E0" w:rsidRDefault="001C63E0" w:rsidP="003C404C">
      <w:pPr>
        <w:numPr>
          <w:ilvl w:val="0"/>
          <w:numId w:val="12"/>
        </w:numPr>
        <w:spacing w:before="120"/>
        <w:ind w:left="284" w:hanging="284"/>
        <w:jc w:val="left"/>
        <w:rPr>
          <w:rFonts w:cs="Arial"/>
        </w:rPr>
      </w:pPr>
      <w:r w:rsidRPr="001C63E0">
        <w:rPr>
          <w:rFonts w:cs="Arial"/>
        </w:rPr>
        <w:t>contenere ogni e qualsiasi minimo costo di gestione, perché anche poche frazioni di punti percentuali annui possono causare massicce riduzioni in termini di capitale finale.</w:t>
      </w:r>
    </w:p>
    <w:p w:rsidR="001C63E0" w:rsidRPr="001C63E0" w:rsidRDefault="001C63E0" w:rsidP="001C63E0">
      <w:pPr>
        <w:spacing w:before="120"/>
        <w:rPr>
          <w:rFonts w:cs="Arial"/>
        </w:rPr>
      </w:pPr>
      <w:r w:rsidRPr="001C63E0">
        <w:rPr>
          <w:rFonts w:cs="Arial"/>
        </w:rPr>
        <w:t xml:space="preserve">In merito al secondo punto e come esposto nell’appendice al rapporto, si consideri che costi complessivi di gestione e deposito annui di solo lo 0.5%, ben meno di quanto paghi un piccolo risparmiatore ma in linea con i costi della gestione per clienti istituzionali, sono capaci di tagliare di oltre un terzo il capitale accumulato nel corso di 30 anni. </w:t>
      </w:r>
      <w:r w:rsidRPr="001C63E0">
        <w:rPr>
          <w:rFonts w:cs="Arial"/>
          <w:b/>
          <w:bCs/>
        </w:rPr>
        <w:t>Si chiede pertanto al Consiglio di Stato e all’IPCT di negoziare le condizioni più concorrenziali possibili e di evitare la scelta di prodotti eccessivamente cari in termini di commissioni</w:t>
      </w:r>
      <w:r w:rsidRPr="001C63E0">
        <w:rPr>
          <w:rFonts w:cs="Arial"/>
        </w:rPr>
        <w:t xml:space="preserve"> (segnatamente il </w:t>
      </w:r>
      <w:r w:rsidRPr="001C63E0">
        <w:rPr>
          <w:rFonts w:cs="Arial"/>
          <w:i/>
          <w:iCs/>
        </w:rPr>
        <w:t xml:space="preserve">TER – Total </w:t>
      </w:r>
      <w:proofErr w:type="spellStart"/>
      <w:r w:rsidRPr="001C63E0">
        <w:rPr>
          <w:rFonts w:cs="Arial"/>
          <w:i/>
          <w:iCs/>
        </w:rPr>
        <w:t>Expense</w:t>
      </w:r>
      <w:proofErr w:type="spellEnd"/>
      <w:r w:rsidRPr="001C63E0">
        <w:rPr>
          <w:rFonts w:cs="Arial"/>
          <w:i/>
          <w:iCs/>
        </w:rPr>
        <w:t xml:space="preserve"> Ratio</w:t>
      </w:r>
      <w:r w:rsidRPr="001C63E0">
        <w:rPr>
          <w:rFonts w:cs="Arial"/>
        </w:rPr>
        <w:t xml:space="preserve"> – nell’ambito dei fondi di investimento nonché i costi di gestione e di deposto titoli) perché sul lungo periodo andrebbero indirettamente a danno dei contribuenti ticinesi nonché degli affiliati all’Istituto nella misura di importi estremamente materiali, sicuramente dell’ordine di grandezza di svariate decine se non centinaia di milioni di franchi svizzeri se mal gestiti.</w:t>
      </w:r>
    </w:p>
    <w:p w:rsidR="001C63E0" w:rsidRPr="001C63E0" w:rsidRDefault="001C63E0" w:rsidP="001C63E0">
      <w:pPr>
        <w:spacing w:before="120"/>
        <w:rPr>
          <w:rFonts w:cs="Arial"/>
        </w:rPr>
      </w:pPr>
      <w:r w:rsidRPr="001C63E0">
        <w:rPr>
          <w:rFonts w:cs="Arial"/>
        </w:rPr>
        <w:t xml:space="preserve">Le statistiche esposte in appendice al rapporto, basate su 94 anni di dati finanziari mondiali fino al 2020, mostrano che – se fosse stato investito in azioni internazionali – dopo 30 anni il capitale reale investito si sarebbe moltiplicato nell’ultimo secolo di almeno quattro volte. </w:t>
      </w:r>
      <w:r w:rsidRPr="001C63E0">
        <w:rPr>
          <w:rFonts w:cs="Arial"/>
        </w:rPr>
        <w:lastRenderedPageBreak/>
        <w:t>Questo inteso come potere d’acquisto al netto dell’inflazione svizzera e dei costi di gestione. Sulla base di questa considerazione fondamentale, che nell’ambito della previdenza professionale spesso prende il nome del terzo contribuente al lato del salariato e del datore di lavoro, la Sottocommissione finanze della Commissione gestione e finanze ha deciso di proseguire – di concerto con il Consiglio di Stato e gli organi dell’IPCT – gli approfondimenti che hanno condotto alla proposta oggetto di discussione e descritta nelle sezioni che seguono.</w:t>
      </w:r>
    </w:p>
    <w:p w:rsidR="001C63E0" w:rsidRPr="001C63E0" w:rsidRDefault="001C63E0" w:rsidP="001C63E0">
      <w:pPr>
        <w:spacing w:before="120"/>
        <w:rPr>
          <w:rFonts w:cs="Arial"/>
        </w:rPr>
      </w:pPr>
      <w:r w:rsidRPr="001C63E0">
        <w:rPr>
          <w:rFonts w:cs="Arial"/>
        </w:rPr>
        <w:t xml:space="preserve">Sempre come riportato nell’analisi finanziaria storica in appendice al rapporto, la strada verso l’aumento di capitale è tuttavia tortuosa e impervia a causa delle forti perdite nelle quali si può incorrere </w:t>
      </w:r>
      <w:proofErr w:type="spellStart"/>
      <w:r w:rsidRPr="001C63E0">
        <w:rPr>
          <w:rFonts w:cs="Arial"/>
        </w:rPr>
        <w:t>cammin</w:t>
      </w:r>
      <w:proofErr w:type="spellEnd"/>
      <w:r w:rsidRPr="001C63E0">
        <w:rPr>
          <w:rFonts w:cs="Arial"/>
        </w:rPr>
        <w:t xml:space="preserve"> facendo, le quali comunque non pregiudicano l’ottimismo sul risultato finale. Famosa è la frase dell’investitore Warren Buffet secondo cui la borsa è un’istituzione che trasferisce soldi dagli impazienti ai pazienti. Chi è capace di mantenere la barra dritta e non perdere la testa durante le turbolenze arriva in porto, gli altri chiudono l’investimento in perdita. Parlando di cifre concrete, l’appendice mostra che nel secolo passato una volta su due un investimento trentennale è stato capace di consumare momentaneamente oltre la metà del proprio capitale prima di concludere la strada con successo. Nel 5% dei casi si sono addirittura momentaneamente persi quasi i tre quarti del capitale investito. Per l’IPCT, il cui grado di copertura è annualmente monitorato dall’autorità di vigilanza, questa constatazione potrebbe rappresentare un problema, a prescindere dai promettenti risultati a scadenza dei 30 anni.</w:t>
      </w:r>
    </w:p>
    <w:p w:rsidR="001C63E0" w:rsidRPr="001C63E0" w:rsidRDefault="001C63E0" w:rsidP="001C63E0">
      <w:pPr>
        <w:spacing w:before="120"/>
        <w:rPr>
          <w:rFonts w:cs="Arial"/>
        </w:rPr>
      </w:pPr>
      <w:r w:rsidRPr="001C63E0">
        <w:rPr>
          <w:rFonts w:cs="Arial"/>
        </w:rPr>
        <w:t xml:space="preserve">Secondo le più consolidate analisi accademiche e pratiche nell’ambito finanziario, sommariamente esposte nell’appendice, semplici approcci basati su regole quantitative di investimento potrebbero essere in grado di offrire la possibilità di ridurre notevolmente le perdite massime nel corso dell’investimento, pur preservando una buona redditività. A titolo di esempio, le pagine in appendice confrontano la detenzione ininterrotta per 30 anni delle azioni mondiali (con continuo reinvestimento dei guadagni) con una semplice strategia di allocazione tattica orientata alla media mobile dei 10 mesi precedenti, uno dei maggiori indicatori di tendenza usati nella finanza nel corso degli ultimi 100 anni. Sulla base dei dati finanziari dell’ultimo secolo, le perdite massime incorse durante un investimento trentennale si sarebbero ridotte in tal modo a poco meno del 36%, e la redditività sarebbe restata sostanzialmente invariata. Sulla base di tale constatazione, suffragata da parecchi studi, </w:t>
      </w:r>
      <w:r w:rsidRPr="001C63E0">
        <w:rPr>
          <w:rFonts w:cs="Arial"/>
          <w:b/>
          <w:bCs/>
        </w:rPr>
        <w:t>si auspica che il patrimonio messo a disposizione dell’IPCT venga investito, oltre che sui mercati finanziari mondiali, orientandosi a metodi quantitativi tattici capaci di ridurre le perdite massime pur preservando la redditività.</w:t>
      </w:r>
      <w:r w:rsidRPr="001C63E0">
        <w:rPr>
          <w:rFonts w:cs="Arial"/>
          <w:b/>
          <w:bCs/>
          <w:vertAlign w:val="superscript"/>
        </w:rPr>
        <w:footnoteReference w:id="65"/>
      </w:r>
    </w:p>
    <w:p w:rsidR="001C63E0" w:rsidRDefault="001C63E0" w:rsidP="0076317E">
      <w:pPr>
        <w:rPr>
          <w:rFonts w:cs="Arial"/>
        </w:rPr>
      </w:pPr>
    </w:p>
    <w:p w:rsidR="0076317E" w:rsidRPr="001C63E0" w:rsidRDefault="0076317E" w:rsidP="0076317E">
      <w:pPr>
        <w:rPr>
          <w:rFonts w:cs="Arial"/>
        </w:rPr>
      </w:pPr>
    </w:p>
    <w:p w:rsidR="001C63E0" w:rsidRPr="001C63E0" w:rsidRDefault="001C63E0" w:rsidP="0076317E">
      <w:pPr>
        <w:keepNext/>
        <w:tabs>
          <w:tab w:val="left" w:pos="709"/>
        </w:tabs>
        <w:ind w:left="709" w:hanging="709"/>
        <w:outlineLvl w:val="0"/>
        <w:rPr>
          <w:rFonts w:cs="Arial"/>
          <w:b/>
          <w:szCs w:val="24"/>
          <w:lang w:val="it-IT" w:eastAsia="it-IT"/>
        </w:rPr>
      </w:pPr>
      <w:bookmarkStart w:id="59" w:name="_Toc98976118"/>
      <w:r w:rsidRPr="001C63E0">
        <w:rPr>
          <w:rFonts w:cs="Arial"/>
          <w:b/>
          <w:szCs w:val="24"/>
          <w:lang w:val="it-IT" w:eastAsia="it-IT"/>
        </w:rPr>
        <w:t>7.</w:t>
      </w:r>
      <w:r w:rsidRPr="001C63E0">
        <w:rPr>
          <w:rFonts w:cs="Arial"/>
          <w:b/>
          <w:szCs w:val="24"/>
          <w:lang w:val="it-IT" w:eastAsia="it-IT"/>
        </w:rPr>
        <w:tab/>
        <w:t>ANALISI COMPARATA DELLE SOLUZIONI IPOTIZZATE</w:t>
      </w:r>
      <w:bookmarkEnd w:id="59"/>
    </w:p>
    <w:p w:rsidR="001C63E0" w:rsidRPr="001C63E0" w:rsidRDefault="001C63E0" w:rsidP="001C63E0">
      <w:pPr>
        <w:spacing w:before="120"/>
        <w:rPr>
          <w:rFonts w:cs="Arial"/>
          <w:lang w:eastAsia="it-IT"/>
        </w:rPr>
      </w:pPr>
      <w:r w:rsidRPr="001C63E0">
        <w:rPr>
          <w:rFonts w:cs="Arial"/>
          <w:lang w:eastAsia="it-IT"/>
        </w:rPr>
        <w:t>I lavori della Sottocommissione finanze (SC F) nel corso dei primi tre trimestri del 2021, in collaborazione con il Consiglio di Stato, la Direzione e il Consiglio d’amministrazione dell’IPCT, si sono concentrati sulla ricerca di una forma operativa per mettere in pratica una soluzione che potesse in qualche modo fare leva sulle considerazioni finanziarie esposte nella precedente sezione.</w:t>
      </w:r>
    </w:p>
    <w:p w:rsidR="001C63E0" w:rsidRPr="001C63E0" w:rsidRDefault="001C63E0" w:rsidP="001C63E0">
      <w:pPr>
        <w:spacing w:before="120"/>
        <w:rPr>
          <w:rFonts w:cs="Arial"/>
          <w:lang w:eastAsia="it-IT"/>
        </w:rPr>
      </w:pPr>
      <w:r w:rsidRPr="001C63E0">
        <w:rPr>
          <w:rFonts w:cs="Arial"/>
          <w:lang w:eastAsia="it-IT"/>
        </w:rPr>
        <w:lastRenderedPageBreak/>
        <w:t>Nel complesso, si sono valutate le seguenti tre opzioni che qui verranno succintamente presentate e tra loro confrontate:</w:t>
      </w:r>
    </w:p>
    <w:p w:rsidR="001C63E0" w:rsidRPr="001C63E0" w:rsidRDefault="001C63E0" w:rsidP="0076317E">
      <w:pPr>
        <w:numPr>
          <w:ilvl w:val="0"/>
          <w:numId w:val="15"/>
        </w:numPr>
        <w:spacing w:before="120"/>
        <w:ind w:left="284" w:hanging="284"/>
        <w:jc w:val="left"/>
        <w:rPr>
          <w:rFonts w:cs="Arial"/>
        </w:rPr>
      </w:pPr>
      <w:r w:rsidRPr="001C63E0">
        <w:rPr>
          <w:rFonts w:cs="Arial"/>
        </w:rPr>
        <w:t>prestito dal Cantone all’IPCT con riconoscimento di debito;</w:t>
      </w:r>
    </w:p>
    <w:p w:rsidR="001C63E0" w:rsidRPr="001C63E0" w:rsidRDefault="001C63E0" w:rsidP="0076317E">
      <w:pPr>
        <w:numPr>
          <w:ilvl w:val="0"/>
          <w:numId w:val="15"/>
        </w:numPr>
        <w:spacing w:before="120"/>
        <w:ind w:left="284" w:hanging="284"/>
        <w:jc w:val="left"/>
        <w:rPr>
          <w:rFonts w:cs="Arial"/>
          <w:lang w:eastAsia="it-IT"/>
        </w:rPr>
      </w:pPr>
      <w:r w:rsidRPr="001C63E0">
        <w:rPr>
          <w:rFonts w:cs="Arial"/>
          <w:lang w:eastAsia="it-IT"/>
        </w:rPr>
        <w:t>fondo sovrano (per esempio come ente autonomo di diritto cantonale) o Fondazione di finanziamento con prestito dal Cantone e riconoscimento di debito;</w:t>
      </w:r>
    </w:p>
    <w:p w:rsidR="001C63E0" w:rsidRPr="001C63E0" w:rsidRDefault="001C63E0" w:rsidP="0076317E">
      <w:pPr>
        <w:numPr>
          <w:ilvl w:val="0"/>
          <w:numId w:val="15"/>
        </w:numPr>
        <w:spacing w:before="120"/>
        <w:ind w:left="284" w:hanging="284"/>
        <w:jc w:val="left"/>
        <w:rPr>
          <w:rFonts w:cs="Arial"/>
          <w:lang w:eastAsia="it-IT"/>
        </w:rPr>
      </w:pPr>
      <w:r w:rsidRPr="001C63E0">
        <w:rPr>
          <w:rFonts w:cs="Arial"/>
          <w:lang w:eastAsia="it-IT"/>
        </w:rPr>
        <w:t>contributo del Cantone nell’IPCT contro costituzione di una riserva di contributi del datore di lavoro.</w:t>
      </w:r>
    </w:p>
    <w:p w:rsidR="001C63E0" w:rsidRPr="001C63E0" w:rsidRDefault="001C63E0" w:rsidP="001C63E0">
      <w:pPr>
        <w:spacing w:before="120"/>
        <w:rPr>
          <w:rFonts w:cs="Arial"/>
          <w:highlight w:val="yellow"/>
          <w:lang w:eastAsia="it-IT"/>
        </w:rPr>
      </w:pPr>
      <w:r w:rsidRPr="001C63E0">
        <w:rPr>
          <w:rFonts w:cs="Arial"/>
          <w:lang w:eastAsia="it-IT"/>
        </w:rPr>
        <w:t xml:space="preserve">Per approfondimenti si rimanda al rapporto del 1° ottobre 2021 del Consiglio di Stato complementare al messaggio </w:t>
      </w:r>
      <w:r w:rsidR="00702913">
        <w:rPr>
          <w:rFonts w:cs="Arial"/>
          <w:lang w:eastAsia="it-IT"/>
        </w:rPr>
        <w:t xml:space="preserve">n. </w:t>
      </w:r>
      <w:r w:rsidRPr="001C63E0">
        <w:rPr>
          <w:rFonts w:cs="Arial"/>
          <w:lang w:eastAsia="it-IT"/>
        </w:rPr>
        <w:t>7784.</w:t>
      </w:r>
    </w:p>
    <w:p w:rsidR="001C63E0" w:rsidRDefault="001C63E0" w:rsidP="00007CAC">
      <w:pPr>
        <w:rPr>
          <w:rFonts w:cs="Arial"/>
          <w:lang w:val="it-IT"/>
        </w:rPr>
      </w:pPr>
    </w:p>
    <w:p w:rsidR="00007CAC" w:rsidRPr="001C63E0" w:rsidRDefault="00007CAC" w:rsidP="00007CAC">
      <w:pPr>
        <w:rPr>
          <w:rFonts w:cs="Arial"/>
          <w:lang w:val="it-IT"/>
        </w:rPr>
      </w:pPr>
    </w:p>
    <w:p w:rsidR="001C63E0" w:rsidRPr="001C63E0" w:rsidRDefault="001C63E0" w:rsidP="00007CAC">
      <w:pPr>
        <w:keepNext/>
        <w:tabs>
          <w:tab w:val="left" w:pos="709"/>
        </w:tabs>
        <w:ind w:left="357" w:hanging="357"/>
        <w:outlineLvl w:val="1"/>
        <w:rPr>
          <w:rFonts w:cs="Arial"/>
          <w:b/>
          <w:lang w:val="it-IT" w:eastAsia="it-IT"/>
        </w:rPr>
      </w:pPr>
      <w:bookmarkStart w:id="60" w:name="_Toc98976119"/>
      <w:r w:rsidRPr="001C63E0">
        <w:rPr>
          <w:rFonts w:cs="Arial"/>
          <w:b/>
          <w:lang w:val="it-IT" w:eastAsia="it-IT"/>
        </w:rPr>
        <w:t>7.1</w:t>
      </w:r>
      <w:r w:rsidRPr="001C63E0">
        <w:rPr>
          <w:rFonts w:cs="Arial"/>
          <w:b/>
          <w:lang w:val="it-IT" w:eastAsia="it-IT"/>
        </w:rPr>
        <w:tab/>
      </w:r>
      <w:r w:rsidR="0076317E">
        <w:rPr>
          <w:rFonts w:cs="Arial"/>
          <w:b/>
          <w:lang w:val="it-IT" w:eastAsia="it-IT"/>
        </w:rPr>
        <w:tab/>
      </w:r>
      <w:r w:rsidRPr="001C63E0">
        <w:rPr>
          <w:rFonts w:cs="Arial"/>
          <w:b/>
          <w:lang w:val="it-IT" w:eastAsia="it-IT"/>
        </w:rPr>
        <w:t>Prestito dal Cantone all’IPCT con riconoscimento di debito</w:t>
      </w:r>
      <w:bookmarkEnd w:id="60"/>
    </w:p>
    <w:p w:rsidR="001C63E0" w:rsidRPr="001C63E0" w:rsidRDefault="001C63E0" w:rsidP="001C63E0">
      <w:pPr>
        <w:spacing w:before="120"/>
        <w:rPr>
          <w:rFonts w:cs="Arial"/>
          <w:lang w:val="it-IT" w:eastAsia="it-IT"/>
        </w:rPr>
      </w:pPr>
      <w:r w:rsidRPr="001C63E0">
        <w:rPr>
          <w:rFonts w:cs="Arial"/>
          <w:lang w:val="it-IT" w:eastAsia="it-IT"/>
        </w:rPr>
        <w:t>Questa via può essere riassunta come segue.</w:t>
      </w:r>
    </w:p>
    <w:p w:rsidR="001C63E0" w:rsidRPr="001C63E0" w:rsidRDefault="001C63E0" w:rsidP="005E24B6">
      <w:pPr>
        <w:numPr>
          <w:ilvl w:val="0"/>
          <w:numId w:val="12"/>
        </w:numPr>
        <w:spacing w:before="120"/>
        <w:ind w:left="284" w:hanging="284"/>
        <w:rPr>
          <w:rFonts w:cs="Arial"/>
          <w:lang w:val="it-IT" w:eastAsia="it-IT"/>
        </w:rPr>
      </w:pPr>
      <w:r w:rsidRPr="001C63E0">
        <w:rPr>
          <w:rFonts w:cs="Arial"/>
          <w:lang w:val="it-IT" w:eastAsia="it-IT"/>
        </w:rPr>
        <w:t>Il Cantone emette un’obbligazione di CHF</w:t>
      </w:r>
      <w:r w:rsidR="00DF2942">
        <w:rPr>
          <w:rFonts w:cs="Arial"/>
          <w:lang w:val="it-IT" w:eastAsia="it-IT"/>
        </w:rPr>
        <w:t xml:space="preserve"> </w:t>
      </w:r>
      <w:r w:rsidRPr="001C63E0">
        <w:rPr>
          <w:rFonts w:cs="Arial"/>
          <w:lang w:val="it-IT" w:eastAsia="it-IT"/>
        </w:rPr>
        <w:t>700 mio. per una durata di 30 anni.</w:t>
      </w:r>
    </w:p>
    <w:p w:rsidR="001C63E0" w:rsidRPr="001C63E0" w:rsidRDefault="001C63E0" w:rsidP="005E24B6">
      <w:pPr>
        <w:numPr>
          <w:ilvl w:val="0"/>
          <w:numId w:val="12"/>
        </w:numPr>
        <w:spacing w:before="120"/>
        <w:ind w:left="284" w:hanging="284"/>
        <w:rPr>
          <w:rFonts w:cs="Arial"/>
          <w:lang w:val="it-IT" w:eastAsia="it-IT"/>
        </w:rPr>
      </w:pPr>
      <w:r w:rsidRPr="001C63E0">
        <w:rPr>
          <w:rFonts w:cs="Arial"/>
          <w:lang w:val="it-IT" w:eastAsia="it-IT"/>
        </w:rPr>
        <w:t>Il Cantone concede all’IPCT un prestito di CHF</w:t>
      </w:r>
      <w:r w:rsidR="00DF2942">
        <w:rPr>
          <w:rFonts w:cs="Arial"/>
          <w:lang w:val="it-IT" w:eastAsia="it-IT"/>
        </w:rPr>
        <w:t xml:space="preserve"> </w:t>
      </w:r>
      <w:r w:rsidRPr="001C63E0">
        <w:rPr>
          <w:rFonts w:cs="Arial"/>
          <w:lang w:val="it-IT" w:eastAsia="it-IT"/>
        </w:rPr>
        <w:t>700 mio., che l’Istituto investe in azioni e che nel 2051 verrà rimborsato. CHF</w:t>
      </w:r>
      <w:r w:rsidR="00DF2942">
        <w:rPr>
          <w:rFonts w:cs="Arial"/>
          <w:lang w:val="it-IT" w:eastAsia="it-IT"/>
        </w:rPr>
        <w:t xml:space="preserve"> </w:t>
      </w:r>
      <w:r w:rsidRPr="001C63E0">
        <w:rPr>
          <w:rFonts w:cs="Arial"/>
          <w:lang w:val="it-IT" w:eastAsia="it-IT"/>
        </w:rPr>
        <w:t>700 mio. rappresentano all’incirca il maggior costo delle garanzie di pensione ex art. 24 LIPCT dovuto alla riduzione del tasso tecnico.</w:t>
      </w:r>
    </w:p>
    <w:p w:rsidR="001C63E0" w:rsidRPr="001C63E0" w:rsidRDefault="001C63E0" w:rsidP="005E24B6">
      <w:pPr>
        <w:numPr>
          <w:ilvl w:val="0"/>
          <w:numId w:val="12"/>
        </w:numPr>
        <w:spacing w:before="120"/>
        <w:ind w:left="284" w:hanging="284"/>
        <w:rPr>
          <w:rFonts w:cs="Arial"/>
          <w:lang w:val="it-IT" w:eastAsia="it-IT"/>
        </w:rPr>
      </w:pPr>
      <w:r w:rsidRPr="001C63E0">
        <w:rPr>
          <w:rFonts w:cs="Arial"/>
          <w:lang w:val="it-IT" w:eastAsia="it-IT"/>
        </w:rPr>
        <w:t>Parallelamente vi è un riconoscimento di debito da parte del Cantone nei confronti dell’IPCT per un importo massimo di CHF</w:t>
      </w:r>
      <w:r w:rsidR="00DF2942">
        <w:rPr>
          <w:rFonts w:cs="Arial"/>
          <w:lang w:val="it-IT" w:eastAsia="it-IT"/>
        </w:rPr>
        <w:t xml:space="preserve"> </w:t>
      </w:r>
      <w:r w:rsidRPr="001C63E0">
        <w:rPr>
          <w:rFonts w:cs="Arial"/>
          <w:lang w:val="it-IT" w:eastAsia="it-IT"/>
        </w:rPr>
        <w:t>250 mio. Il riconoscimento di debito è variabile a dipendenza della differenza tra il grado di copertura effettivo dell’IPCT e quello previsto dal cammino di finanziamento. Il riconoscimento di debito varia quindi tra CHF</w:t>
      </w:r>
      <w:r w:rsidR="00EF6D1E">
        <w:rPr>
          <w:rFonts w:cs="Arial"/>
          <w:lang w:val="it-IT" w:eastAsia="it-IT"/>
        </w:rPr>
        <w:t xml:space="preserve"> </w:t>
      </w:r>
      <w:r w:rsidRPr="001C63E0">
        <w:rPr>
          <w:rFonts w:cs="Arial"/>
          <w:lang w:val="it-IT" w:eastAsia="it-IT"/>
        </w:rPr>
        <w:t xml:space="preserve">0 e </w:t>
      </w:r>
      <w:r w:rsidR="00EF6D1E">
        <w:rPr>
          <w:rFonts w:cs="Arial"/>
          <w:lang w:val="it-IT" w:eastAsia="it-IT"/>
        </w:rPr>
        <w:br/>
      </w:r>
      <w:r w:rsidRPr="001C63E0">
        <w:rPr>
          <w:rFonts w:cs="Arial"/>
          <w:lang w:val="it-IT" w:eastAsia="it-IT"/>
        </w:rPr>
        <w:t>CHF</w:t>
      </w:r>
      <w:r w:rsidR="00EF6D1E">
        <w:rPr>
          <w:rFonts w:cs="Arial"/>
          <w:lang w:val="it-IT" w:eastAsia="it-IT"/>
        </w:rPr>
        <w:t xml:space="preserve"> </w:t>
      </w:r>
      <w:r w:rsidRPr="001C63E0">
        <w:rPr>
          <w:rFonts w:cs="Arial"/>
          <w:lang w:val="it-IT" w:eastAsia="it-IT"/>
        </w:rPr>
        <w:t>250 mio., mentre il prestito tra CHF</w:t>
      </w:r>
      <w:r w:rsidR="00DF2942">
        <w:rPr>
          <w:rFonts w:cs="Arial"/>
          <w:lang w:val="it-IT" w:eastAsia="it-IT"/>
        </w:rPr>
        <w:t xml:space="preserve"> </w:t>
      </w:r>
      <w:r w:rsidRPr="001C63E0">
        <w:rPr>
          <w:rFonts w:cs="Arial"/>
          <w:lang w:val="it-IT" w:eastAsia="it-IT"/>
        </w:rPr>
        <w:t>700 mio. e CHF</w:t>
      </w:r>
      <w:r w:rsidR="00DF2942">
        <w:rPr>
          <w:rFonts w:cs="Arial"/>
          <w:lang w:val="it-IT" w:eastAsia="it-IT"/>
        </w:rPr>
        <w:t xml:space="preserve"> </w:t>
      </w:r>
      <w:r w:rsidRPr="001C63E0">
        <w:rPr>
          <w:rFonts w:cs="Arial"/>
          <w:lang w:val="it-IT" w:eastAsia="it-IT"/>
        </w:rPr>
        <w:t>450 mio.</w:t>
      </w:r>
    </w:p>
    <w:p w:rsidR="001C63E0" w:rsidRPr="001C63E0" w:rsidRDefault="001C63E0" w:rsidP="005E24B6">
      <w:pPr>
        <w:numPr>
          <w:ilvl w:val="0"/>
          <w:numId w:val="12"/>
        </w:numPr>
        <w:spacing w:before="120"/>
        <w:ind w:left="284" w:hanging="284"/>
        <w:rPr>
          <w:rFonts w:cs="Arial"/>
          <w:lang w:val="it-IT" w:eastAsia="it-IT"/>
        </w:rPr>
      </w:pPr>
      <w:r w:rsidRPr="001C63E0">
        <w:rPr>
          <w:rFonts w:cs="Arial"/>
          <w:lang w:val="it-IT" w:eastAsia="it-IT"/>
        </w:rPr>
        <w:t>I (supposti) maggiori rendimenti generati dal prestito permetteranno di aumentare più rapidamente il grado di copertura IPCT.</w:t>
      </w:r>
    </w:p>
    <w:p w:rsidR="001C63E0" w:rsidRPr="001C63E0" w:rsidRDefault="001C63E0" w:rsidP="005E24B6">
      <w:pPr>
        <w:numPr>
          <w:ilvl w:val="0"/>
          <w:numId w:val="12"/>
        </w:numPr>
        <w:spacing w:before="120"/>
        <w:ind w:left="284" w:hanging="284"/>
        <w:rPr>
          <w:rFonts w:cs="Arial"/>
          <w:lang w:val="it-IT" w:eastAsia="it-IT"/>
        </w:rPr>
      </w:pPr>
      <w:r w:rsidRPr="001C63E0">
        <w:rPr>
          <w:rFonts w:cs="Arial"/>
          <w:lang w:val="it-IT" w:eastAsia="it-IT"/>
        </w:rPr>
        <w:t>Il prestito viene remunerato da IPCT per coprire i costi di indebitamento del Cantone e in caso di rendimento positivo tiene conto di un premio rischio.</w:t>
      </w:r>
    </w:p>
    <w:p w:rsidR="001C63E0" w:rsidRPr="001C63E0" w:rsidRDefault="001C63E0" w:rsidP="001C63E0">
      <w:pPr>
        <w:spacing w:before="120"/>
        <w:rPr>
          <w:rFonts w:cs="Arial"/>
          <w:lang w:val="it-IT" w:eastAsia="it-IT"/>
        </w:rPr>
      </w:pPr>
      <w:r w:rsidRPr="001C63E0">
        <w:rPr>
          <w:rFonts w:cs="Arial"/>
          <w:b/>
          <w:bCs/>
          <w:lang w:val="it-IT" w:eastAsia="it-IT"/>
        </w:rPr>
        <w:t>Vantaggi</w:t>
      </w:r>
    </w:p>
    <w:p w:rsidR="001C63E0" w:rsidRPr="001C63E0" w:rsidRDefault="001C63E0" w:rsidP="00007CAC">
      <w:pPr>
        <w:numPr>
          <w:ilvl w:val="0"/>
          <w:numId w:val="12"/>
        </w:numPr>
        <w:spacing w:before="120"/>
        <w:ind w:left="284" w:hanging="284"/>
        <w:jc w:val="left"/>
        <w:rPr>
          <w:rFonts w:cs="Arial"/>
          <w:lang w:val="it-IT" w:eastAsia="it-IT"/>
        </w:rPr>
      </w:pPr>
      <w:r w:rsidRPr="001C63E0">
        <w:rPr>
          <w:rFonts w:cs="Arial"/>
          <w:lang w:val="it-IT" w:eastAsia="it-IT"/>
        </w:rPr>
        <w:t>Cantone: di principio a costo zero (se i mercati finanziari reggono).</w:t>
      </w:r>
    </w:p>
    <w:p w:rsidR="001C63E0" w:rsidRPr="001C63E0" w:rsidRDefault="001C63E0" w:rsidP="00007CAC">
      <w:pPr>
        <w:numPr>
          <w:ilvl w:val="0"/>
          <w:numId w:val="12"/>
        </w:numPr>
        <w:spacing w:before="120"/>
        <w:ind w:left="284" w:hanging="284"/>
        <w:jc w:val="left"/>
        <w:rPr>
          <w:rFonts w:cs="Arial"/>
          <w:lang w:val="it-IT" w:eastAsia="it-IT"/>
        </w:rPr>
      </w:pPr>
      <w:r w:rsidRPr="001C63E0">
        <w:rPr>
          <w:rFonts w:cs="Arial"/>
          <w:lang w:val="it-IT" w:eastAsia="it-IT"/>
        </w:rPr>
        <w:t>IPCT: il riconoscimento di debito migliora il grado di copertura.</w:t>
      </w:r>
    </w:p>
    <w:p w:rsidR="001C63E0" w:rsidRPr="001C63E0" w:rsidRDefault="001C63E0" w:rsidP="001C63E0">
      <w:pPr>
        <w:spacing w:before="120"/>
        <w:rPr>
          <w:rFonts w:cs="Arial"/>
          <w:b/>
          <w:bCs/>
          <w:lang w:val="it-IT" w:eastAsia="it-IT"/>
        </w:rPr>
      </w:pPr>
      <w:r w:rsidRPr="001C63E0">
        <w:rPr>
          <w:rFonts w:cs="Arial"/>
          <w:b/>
          <w:bCs/>
          <w:lang w:val="it-IT" w:eastAsia="it-IT"/>
        </w:rPr>
        <w:t>Svantaggi</w:t>
      </w:r>
    </w:p>
    <w:p w:rsidR="001C63E0" w:rsidRPr="001C63E0" w:rsidRDefault="001C63E0" w:rsidP="005E24B6">
      <w:pPr>
        <w:numPr>
          <w:ilvl w:val="0"/>
          <w:numId w:val="12"/>
        </w:numPr>
        <w:spacing w:before="120"/>
        <w:ind w:left="284" w:hanging="284"/>
        <w:rPr>
          <w:rFonts w:cs="Arial"/>
          <w:lang w:val="it-IT" w:eastAsia="it-IT"/>
        </w:rPr>
      </w:pPr>
      <w:r w:rsidRPr="001C63E0">
        <w:rPr>
          <w:rFonts w:cs="Arial"/>
          <w:lang w:val="it-IT" w:eastAsia="it-IT"/>
        </w:rPr>
        <w:t>Cantone: aumenta il debito finanziario con possibile ripercussione sul rating, ma di principio non aumenta il debito pubblico.</w:t>
      </w:r>
    </w:p>
    <w:p w:rsidR="001C63E0" w:rsidRPr="001C63E0" w:rsidRDefault="001C63E0" w:rsidP="005E24B6">
      <w:pPr>
        <w:numPr>
          <w:ilvl w:val="0"/>
          <w:numId w:val="12"/>
        </w:numPr>
        <w:spacing w:before="120"/>
        <w:ind w:left="284" w:hanging="284"/>
        <w:rPr>
          <w:rFonts w:cs="Arial"/>
          <w:lang w:val="it-IT" w:eastAsia="it-IT"/>
        </w:rPr>
      </w:pPr>
      <w:r w:rsidRPr="001C63E0">
        <w:rPr>
          <w:rFonts w:cs="Arial"/>
          <w:lang w:val="it-IT" w:eastAsia="it-IT"/>
        </w:rPr>
        <w:t>IPCT: prestito deve essere rimborsato alla scadenza.</w:t>
      </w:r>
    </w:p>
    <w:p w:rsidR="001C63E0" w:rsidRPr="001C63E0" w:rsidRDefault="001C63E0" w:rsidP="005E24B6">
      <w:pPr>
        <w:numPr>
          <w:ilvl w:val="0"/>
          <w:numId w:val="12"/>
        </w:numPr>
        <w:spacing w:before="120"/>
        <w:ind w:left="284" w:hanging="284"/>
        <w:rPr>
          <w:rFonts w:cs="Arial"/>
          <w:lang w:val="it-IT" w:eastAsia="it-IT"/>
        </w:rPr>
      </w:pPr>
      <w:r w:rsidRPr="001C63E0">
        <w:rPr>
          <w:rFonts w:cs="Arial"/>
          <w:lang w:val="it-IT" w:eastAsia="it-IT"/>
        </w:rPr>
        <w:t>IPCT: il prestito va inoltre remunerato.</w:t>
      </w:r>
    </w:p>
    <w:p w:rsidR="001C63E0" w:rsidRPr="001C63E0" w:rsidRDefault="001C63E0" w:rsidP="001C63E0">
      <w:pPr>
        <w:spacing w:before="120"/>
        <w:rPr>
          <w:rFonts w:cs="Arial"/>
          <w:b/>
          <w:bCs/>
          <w:lang w:val="it-IT" w:eastAsia="it-IT"/>
        </w:rPr>
      </w:pPr>
      <w:r w:rsidRPr="001C63E0">
        <w:rPr>
          <w:rFonts w:cs="Arial"/>
          <w:b/>
          <w:bCs/>
          <w:lang w:val="it-IT" w:eastAsia="it-IT"/>
        </w:rPr>
        <w:t>Opportunità</w:t>
      </w:r>
    </w:p>
    <w:p w:rsidR="001C63E0" w:rsidRPr="001C63E0" w:rsidRDefault="001C63E0" w:rsidP="005E24B6">
      <w:pPr>
        <w:numPr>
          <w:ilvl w:val="0"/>
          <w:numId w:val="12"/>
        </w:numPr>
        <w:spacing w:before="120"/>
        <w:ind w:left="284" w:hanging="284"/>
        <w:rPr>
          <w:rFonts w:cs="Arial"/>
          <w:lang w:val="it-IT" w:eastAsia="it-IT"/>
        </w:rPr>
      </w:pPr>
      <w:r w:rsidRPr="001C63E0">
        <w:rPr>
          <w:rFonts w:cs="Arial"/>
          <w:lang w:val="it-IT" w:eastAsia="it-IT"/>
        </w:rPr>
        <w:t>IPCT: più capitale da investire, quindi sul lungo termine più rendimento.</w:t>
      </w:r>
    </w:p>
    <w:p w:rsidR="001C63E0" w:rsidRPr="001C63E0" w:rsidRDefault="001C63E0" w:rsidP="005E24B6">
      <w:pPr>
        <w:numPr>
          <w:ilvl w:val="0"/>
          <w:numId w:val="12"/>
        </w:numPr>
        <w:spacing w:before="120"/>
        <w:ind w:left="284" w:hanging="284"/>
        <w:rPr>
          <w:rFonts w:cs="Arial"/>
          <w:lang w:val="it-IT" w:eastAsia="it-IT"/>
        </w:rPr>
      </w:pPr>
      <w:r w:rsidRPr="001C63E0">
        <w:rPr>
          <w:rFonts w:cs="Arial"/>
          <w:lang w:val="it-IT" w:eastAsia="it-IT"/>
        </w:rPr>
        <w:t>IPCT: riallineamento verso la media delle CP svizzere della quota azionaria, ma rischio timing d’investimento se tutto in azioni (quotazioni ai massimi storici).</w:t>
      </w:r>
    </w:p>
    <w:p w:rsidR="001C63E0" w:rsidRPr="001C63E0" w:rsidRDefault="001C63E0" w:rsidP="005E24B6">
      <w:pPr>
        <w:spacing w:before="120"/>
        <w:rPr>
          <w:rFonts w:cs="Arial"/>
          <w:b/>
          <w:bCs/>
          <w:lang w:val="it-IT" w:eastAsia="it-IT"/>
        </w:rPr>
      </w:pPr>
      <w:r w:rsidRPr="001C63E0">
        <w:rPr>
          <w:rFonts w:cs="Arial"/>
          <w:b/>
          <w:bCs/>
          <w:lang w:val="it-IT" w:eastAsia="it-IT"/>
        </w:rPr>
        <w:t>Rischi</w:t>
      </w:r>
    </w:p>
    <w:p w:rsidR="001C63E0" w:rsidRPr="001C63E0" w:rsidRDefault="001C63E0" w:rsidP="005E24B6">
      <w:pPr>
        <w:numPr>
          <w:ilvl w:val="0"/>
          <w:numId w:val="12"/>
        </w:numPr>
        <w:spacing w:before="120"/>
        <w:ind w:left="284" w:hanging="284"/>
        <w:rPr>
          <w:rFonts w:cs="Arial"/>
          <w:lang w:val="it-IT" w:eastAsia="it-IT"/>
        </w:rPr>
      </w:pPr>
      <w:r w:rsidRPr="001C63E0">
        <w:rPr>
          <w:rFonts w:cs="Arial"/>
          <w:lang w:val="it-IT" w:eastAsia="it-IT"/>
        </w:rPr>
        <w:t>Cantone e IPCT: registrazione a bilancio riconoscimento di debito variabile, un’operazione potenzialmente problematica da punto di vista formale/contabile.</w:t>
      </w:r>
    </w:p>
    <w:p w:rsidR="001C63E0" w:rsidRPr="001C63E0" w:rsidRDefault="001C63E0" w:rsidP="005E24B6">
      <w:pPr>
        <w:numPr>
          <w:ilvl w:val="0"/>
          <w:numId w:val="12"/>
        </w:numPr>
        <w:spacing w:before="120"/>
        <w:ind w:left="284" w:hanging="284"/>
        <w:rPr>
          <w:rFonts w:cs="Arial"/>
          <w:lang w:val="it-IT" w:eastAsia="it-IT"/>
        </w:rPr>
      </w:pPr>
      <w:r w:rsidRPr="001C63E0">
        <w:rPr>
          <w:rFonts w:cs="Arial"/>
          <w:lang w:val="it-IT" w:eastAsia="it-IT"/>
        </w:rPr>
        <w:lastRenderedPageBreak/>
        <w:t>IPCT: strumento del prestito non previsto per CP ed effetto leva non permesso per CP da leggi e ordinanze federali.</w:t>
      </w:r>
    </w:p>
    <w:p w:rsidR="001C63E0" w:rsidRDefault="001C63E0" w:rsidP="00F209DB">
      <w:pPr>
        <w:rPr>
          <w:rFonts w:cs="Arial"/>
          <w:lang w:val="it-IT" w:eastAsia="it-IT"/>
        </w:rPr>
      </w:pPr>
    </w:p>
    <w:p w:rsidR="00F209DB" w:rsidRPr="001C63E0" w:rsidRDefault="00F209DB" w:rsidP="00F209DB">
      <w:pPr>
        <w:rPr>
          <w:rFonts w:cs="Arial"/>
          <w:lang w:val="it-IT" w:eastAsia="it-IT"/>
        </w:rPr>
      </w:pPr>
    </w:p>
    <w:p w:rsidR="001C63E0" w:rsidRPr="001C63E0" w:rsidRDefault="001C63E0" w:rsidP="00F209DB">
      <w:pPr>
        <w:keepNext/>
        <w:tabs>
          <w:tab w:val="left" w:pos="709"/>
        </w:tabs>
        <w:ind w:left="360" w:hanging="360"/>
        <w:outlineLvl w:val="1"/>
        <w:rPr>
          <w:rFonts w:cs="Arial"/>
          <w:b/>
          <w:lang w:val="it-IT" w:eastAsia="it-IT"/>
        </w:rPr>
      </w:pPr>
      <w:bookmarkStart w:id="61" w:name="_Toc98976120"/>
      <w:r w:rsidRPr="001C63E0">
        <w:rPr>
          <w:rFonts w:cs="Arial"/>
          <w:b/>
          <w:lang w:val="it-IT" w:eastAsia="it-IT"/>
        </w:rPr>
        <w:t>7.2</w:t>
      </w:r>
      <w:r w:rsidRPr="001C63E0">
        <w:rPr>
          <w:rFonts w:cs="Arial"/>
          <w:b/>
          <w:lang w:val="it-IT" w:eastAsia="it-IT"/>
        </w:rPr>
        <w:tab/>
      </w:r>
      <w:r w:rsidR="00007CAC">
        <w:rPr>
          <w:rFonts w:cs="Arial"/>
          <w:b/>
          <w:lang w:val="it-IT" w:eastAsia="it-IT"/>
        </w:rPr>
        <w:tab/>
      </w:r>
      <w:r w:rsidRPr="001C63E0">
        <w:rPr>
          <w:rFonts w:cs="Arial"/>
          <w:b/>
          <w:lang w:val="it-IT" w:eastAsia="it-IT"/>
        </w:rPr>
        <w:t>Fondo sovrano o Fondazione di finanziamento con riconoscimento di debito</w:t>
      </w:r>
      <w:bookmarkEnd w:id="61"/>
    </w:p>
    <w:p w:rsidR="001C63E0" w:rsidRPr="001C63E0" w:rsidRDefault="001C63E0" w:rsidP="001C63E0">
      <w:pPr>
        <w:spacing w:before="120"/>
        <w:rPr>
          <w:rFonts w:cs="Arial"/>
          <w:lang w:val="it-IT" w:eastAsia="it-IT"/>
        </w:rPr>
      </w:pPr>
      <w:r w:rsidRPr="001C63E0">
        <w:rPr>
          <w:rFonts w:cs="Arial"/>
          <w:lang w:val="it-IT" w:eastAsia="it-IT"/>
        </w:rPr>
        <w:t>Questa via può essere riassunta come segue.</w:t>
      </w:r>
    </w:p>
    <w:p w:rsidR="001C63E0" w:rsidRPr="001C63E0" w:rsidRDefault="001C63E0" w:rsidP="00702913">
      <w:pPr>
        <w:numPr>
          <w:ilvl w:val="0"/>
          <w:numId w:val="16"/>
        </w:numPr>
        <w:spacing w:before="120"/>
        <w:ind w:left="284" w:hanging="284"/>
        <w:rPr>
          <w:rFonts w:cs="Arial"/>
          <w:lang w:val="it-IT" w:eastAsia="it-IT"/>
        </w:rPr>
      </w:pPr>
      <w:r w:rsidRPr="001C63E0">
        <w:rPr>
          <w:rFonts w:cs="Arial"/>
          <w:lang w:val="it-IT" w:eastAsia="it-IT"/>
        </w:rPr>
        <w:t>Il Cantone emette un’obbligazione di CHF</w:t>
      </w:r>
      <w:r w:rsidR="00EF6D1E">
        <w:rPr>
          <w:rFonts w:cs="Arial"/>
          <w:lang w:val="it-IT" w:eastAsia="it-IT"/>
        </w:rPr>
        <w:t xml:space="preserve"> </w:t>
      </w:r>
      <w:r w:rsidRPr="001C63E0">
        <w:rPr>
          <w:rFonts w:cs="Arial"/>
          <w:lang w:val="it-IT" w:eastAsia="it-IT"/>
        </w:rPr>
        <w:t>700 mio per una durata di 30 anni.</w:t>
      </w:r>
    </w:p>
    <w:p w:rsidR="001C63E0" w:rsidRPr="001C63E0" w:rsidRDefault="001C63E0" w:rsidP="00702913">
      <w:pPr>
        <w:numPr>
          <w:ilvl w:val="0"/>
          <w:numId w:val="16"/>
        </w:numPr>
        <w:spacing w:before="120"/>
        <w:ind w:left="284" w:hanging="284"/>
        <w:rPr>
          <w:rFonts w:cs="Arial"/>
          <w:lang w:val="it-IT" w:eastAsia="it-IT"/>
        </w:rPr>
      </w:pPr>
      <w:r w:rsidRPr="001C63E0">
        <w:rPr>
          <w:rFonts w:cs="Arial"/>
          <w:lang w:val="it-IT" w:eastAsia="it-IT"/>
        </w:rPr>
        <w:t>Il Cantone investe CHF 700 mio tramite fondo sovrano (FS) o una Fondazione di finanziamento (FF) per rifinanziare al termine dell’investimento l’IPCT. CHF</w:t>
      </w:r>
      <w:r w:rsidR="005E24B6">
        <w:rPr>
          <w:rFonts w:cs="Arial"/>
          <w:lang w:val="it-IT" w:eastAsia="it-IT"/>
        </w:rPr>
        <w:t xml:space="preserve"> </w:t>
      </w:r>
      <w:r w:rsidRPr="001C63E0">
        <w:rPr>
          <w:rFonts w:cs="Arial"/>
          <w:lang w:val="it-IT" w:eastAsia="it-IT"/>
        </w:rPr>
        <w:t>700 mio rappresentano all’incirca il maggior costo delle garanzie di pensione ex art. 24 LIPCT dovuto alla riduzione del tasso tecnico.</w:t>
      </w:r>
    </w:p>
    <w:p w:rsidR="001C63E0" w:rsidRPr="001C63E0" w:rsidRDefault="001C63E0" w:rsidP="00702913">
      <w:pPr>
        <w:numPr>
          <w:ilvl w:val="0"/>
          <w:numId w:val="16"/>
        </w:numPr>
        <w:spacing w:before="120"/>
        <w:ind w:left="284" w:hanging="284"/>
        <w:rPr>
          <w:rFonts w:cs="Arial"/>
          <w:lang w:val="it-IT" w:eastAsia="it-IT"/>
        </w:rPr>
      </w:pPr>
      <w:r w:rsidRPr="001C63E0">
        <w:rPr>
          <w:rFonts w:cs="Arial"/>
          <w:lang w:val="it-IT" w:eastAsia="it-IT"/>
        </w:rPr>
        <w:t>Parallelamente vi è un riconoscimento di debito da parte del Cantone nei confronti dell’IPCT per un importo massimo di CHF</w:t>
      </w:r>
      <w:r w:rsidR="005E24B6">
        <w:rPr>
          <w:rFonts w:cs="Arial"/>
          <w:lang w:val="it-IT" w:eastAsia="it-IT"/>
        </w:rPr>
        <w:t xml:space="preserve"> </w:t>
      </w:r>
      <w:r w:rsidRPr="001C63E0">
        <w:rPr>
          <w:rFonts w:cs="Arial"/>
          <w:lang w:val="it-IT" w:eastAsia="it-IT"/>
        </w:rPr>
        <w:t>250 mio. Il riconoscimento di debito è variabile a dipendenza della differenza tra il grado di copertura effettivo dell’IPCT e quello previsto dal cammino di finanziamento.</w:t>
      </w:r>
    </w:p>
    <w:p w:rsidR="001C63E0" w:rsidRPr="001C63E0" w:rsidRDefault="001C63E0" w:rsidP="00702913">
      <w:pPr>
        <w:numPr>
          <w:ilvl w:val="0"/>
          <w:numId w:val="16"/>
        </w:numPr>
        <w:tabs>
          <w:tab w:val="left" w:pos="1242"/>
        </w:tabs>
        <w:spacing w:before="120"/>
        <w:ind w:left="284" w:hanging="284"/>
        <w:rPr>
          <w:rFonts w:cs="Arial"/>
          <w:lang w:val="it-IT" w:eastAsia="it-IT"/>
        </w:rPr>
      </w:pPr>
      <w:r w:rsidRPr="001C63E0">
        <w:rPr>
          <w:rFonts w:cs="Arial"/>
          <w:lang w:val="it-IT" w:eastAsia="it-IT"/>
        </w:rPr>
        <w:t>All’IPCT vengono riconosciuti i (supposti) utili da rendimento (anno per anno o tutti nel 2051) del FS/FF, aumentando il grado di copertura al momento del versamento.</w:t>
      </w:r>
    </w:p>
    <w:p w:rsidR="001C63E0" w:rsidRPr="001C63E0" w:rsidRDefault="001C63E0" w:rsidP="00702913">
      <w:pPr>
        <w:numPr>
          <w:ilvl w:val="0"/>
          <w:numId w:val="16"/>
        </w:numPr>
        <w:tabs>
          <w:tab w:val="left" w:pos="1242"/>
        </w:tabs>
        <w:spacing w:before="120"/>
        <w:ind w:left="284" w:hanging="284"/>
        <w:rPr>
          <w:rFonts w:cs="Arial"/>
          <w:lang w:val="it-IT" w:eastAsia="it-IT"/>
        </w:rPr>
      </w:pPr>
      <w:r w:rsidRPr="001C63E0">
        <w:rPr>
          <w:rFonts w:cs="Arial"/>
          <w:lang w:val="it-IT" w:eastAsia="it-IT"/>
        </w:rPr>
        <w:t>I costi di indebitamento del Cantone verrebbero coperti tramite pagamento da parte del FS/della FF di parte dei contributi IPCT annui.</w:t>
      </w:r>
    </w:p>
    <w:p w:rsidR="001C63E0" w:rsidRPr="001C63E0" w:rsidRDefault="001C63E0" w:rsidP="00702913">
      <w:pPr>
        <w:tabs>
          <w:tab w:val="left" w:pos="1242"/>
        </w:tabs>
        <w:rPr>
          <w:rFonts w:cs="Arial"/>
          <w:lang w:val="it-IT" w:eastAsia="it-IT"/>
        </w:rPr>
      </w:pPr>
    </w:p>
    <w:p w:rsidR="001C63E0" w:rsidRPr="001C63E0" w:rsidRDefault="001C63E0" w:rsidP="00702913">
      <w:pPr>
        <w:tabs>
          <w:tab w:val="left" w:pos="1242"/>
        </w:tabs>
        <w:rPr>
          <w:rFonts w:cs="Arial"/>
          <w:b/>
          <w:bCs/>
          <w:lang w:val="it-IT" w:eastAsia="it-IT"/>
        </w:rPr>
      </w:pPr>
      <w:r w:rsidRPr="001C63E0">
        <w:rPr>
          <w:rFonts w:cs="Arial"/>
          <w:b/>
          <w:bCs/>
          <w:lang w:val="it-IT" w:eastAsia="it-IT"/>
        </w:rPr>
        <w:t>Vantaggi</w:t>
      </w:r>
    </w:p>
    <w:p w:rsidR="001C63E0" w:rsidRPr="001C63E0" w:rsidRDefault="001C63E0" w:rsidP="001C63E0">
      <w:pPr>
        <w:tabs>
          <w:tab w:val="left" w:pos="1242"/>
        </w:tabs>
        <w:spacing w:before="120"/>
        <w:rPr>
          <w:rFonts w:cs="Arial"/>
          <w:lang w:val="it-IT" w:eastAsia="it-IT"/>
        </w:rPr>
      </w:pPr>
      <w:r w:rsidRPr="001C63E0">
        <w:rPr>
          <w:rFonts w:cs="Arial"/>
          <w:lang w:val="it-IT" w:eastAsia="it-IT"/>
        </w:rPr>
        <w:t>Cantone: di principio a costo zero (se i mercati finanziari reggono).</w:t>
      </w:r>
    </w:p>
    <w:p w:rsidR="001C63E0" w:rsidRPr="001C63E0" w:rsidRDefault="001C63E0" w:rsidP="001C63E0">
      <w:pPr>
        <w:tabs>
          <w:tab w:val="left" w:pos="1242"/>
        </w:tabs>
        <w:spacing w:before="120"/>
        <w:rPr>
          <w:rFonts w:cs="Arial"/>
          <w:lang w:val="it-IT" w:eastAsia="it-IT"/>
        </w:rPr>
      </w:pPr>
      <w:r w:rsidRPr="001C63E0">
        <w:rPr>
          <w:rFonts w:cs="Arial"/>
          <w:lang w:val="it-IT" w:eastAsia="it-IT"/>
        </w:rPr>
        <w:t>IPCT: nessun rischio d’investimento e nessun costo per indebitamento Cantone.</w:t>
      </w:r>
    </w:p>
    <w:p w:rsidR="001C63E0" w:rsidRPr="001C63E0" w:rsidRDefault="001C63E0" w:rsidP="001C63E0">
      <w:pPr>
        <w:tabs>
          <w:tab w:val="left" w:pos="1242"/>
        </w:tabs>
        <w:spacing w:before="120"/>
        <w:rPr>
          <w:rFonts w:cs="Arial"/>
          <w:lang w:val="it-IT" w:eastAsia="it-IT"/>
        </w:rPr>
      </w:pPr>
      <w:r w:rsidRPr="001C63E0">
        <w:rPr>
          <w:rFonts w:cs="Arial"/>
          <w:lang w:val="it-IT" w:eastAsia="it-IT"/>
        </w:rPr>
        <w:t>IPCT: il riconoscimento di debito migliora il grado di copertura.</w:t>
      </w:r>
    </w:p>
    <w:p w:rsidR="001C63E0" w:rsidRPr="001C63E0" w:rsidRDefault="001C63E0" w:rsidP="001C63E0">
      <w:pPr>
        <w:tabs>
          <w:tab w:val="left" w:pos="1242"/>
        </w:tabs>
        <w:spacing w:before="120"/>
        <w:rPr>
          <w:rFonts w:cs="Arial"/>
          <w:b/>
          <w:bCs/>
          <w:lang w:val="it-IT" w:eastAsia="it-IT"/>
        </w:rPr>
      </w:pPr>
      <w:r w:rsidRPr="001C63E0">
        <w:rPr>
          <w:rFonts w:cs="Arial"/>
          <w:b/>
          <w:bCs/>
          <w:lang w:val="it-IT" w:eastAsia="it-IT"/>
        </w:rPr>
        <w:t>Svantaggi</w:t>
      </w:r>
    </w:p>
    <w:p w:rsidR="001C63E0" w:rsidRPr="001C63E0" w:rsidRDefault="001C63E0" w:rsidP="001C63E0">
      <w:pPr>
        <w:tabs>
          <w:tab w:val="left" w:pos="1242"/>
        </w:tabs>
        <w:spacing w:before="120"/>
        <w:rPr>
          <w:rFonts w:cs="Arial"/>
          <w:lang w:val="it-IT" w:eastAsia="it-IT"/>
        </w:rPr>
      </w:pPr>
      <w:r w:rsidRPr="001C63E0">
        <w:rPr>
          <w:rFonts w:cs="Arial"/>
          <w:lang w:val="it-IT" w:eastAsia="it-IT"/>
        </w:rPr>
        <w:t>Cantone: aumento del debito finanziario con possibile ripercussione sul rating.</w:t>
      </w:r>
    </w:p>
    <w:p w:rsidR="001C63E0" w:rsidRPr="001C63E0" w:rsidRDefault="001C63E0" w:rsidP="001C63E0">
      <w:pPr>
        <w:tabs>
          <w:tab w:val="left" w:pos="1242"/>
        </w:tabs>
        <w:spacing w:before="120"/>
        <w:rPr>
          <w:rFonts w:cs="Arial"/>
          <w:lang w:val="it-IT" w:eastAsia="it-IT"/>
        </w:rPr>
      </w:pPr>
      <w:r w:rsidRPr="001C63E0">
        <w:rPr>
          <w:rFonts w:cs="Arial"/>
          <w:lang w:val="it-IT" w:eastAsia="it-IT"/>
        </w:rPr>
        <w:t>Cantone: aumento del debito pubblico.</w:t>
      </w:r>
    </w:p>
    <w:p w:rsidR="001C63E0" w:rsidRPr="001C63E0" w:rsidRDefault="001C63E0" w:rsidP="001C63E0">
      <w:pPr>
        <w:tabs>
          <w:tab w:val="left" w:pos="1242"/>
        </w:tabs>
        <w:spacing w:before="120"/>
        <w:rPr>
          <w:rFonts w:cs="Arial"/>
          <w:lang w:val="it-IT" w:eastAsia="it-IT"/>
        </w:rPr>
      </w:pPr>
      <w:r w:rsidRPr="001C63E0">
        <w:rPr>
          <w:rFonts w:cs="Arial"/>
          <w:lang w:val="it-IT" w:eastAsia="it-IT"/>
        </w:rPr>
        <w:t>Cantone: crea una nuova struttura amministrativa che genera costi.</w:t>
      </w:r>
    </w:p>
    <w:p w:rsidR="001C63E0" w:rsidRPr="001C63E0" w:rsidRDefault="001C63E0" w:rsidP="001C63E0">
      <w:pPr>
        <w:tabs>
          <w:tab w:val="left" w:pos="1242"/>
        </w:tabs>
        <w:spacing w:before="120"/>
        <w:rPr>
          <w:rFonts w:cs="Arial"/>
          <w:lang w:val="it-IT" w:eastAsia="it-IT"/>
        </w:rPr>
      </w:pPr>
      <w:r w:rsidRPr="001C63E0">
        <w:rPr>
          <w:rFonts w:cs="Arial"/>
          <w:lang w:val="it-IT" w:eastAsia="it-IT"/>
        </w:rPr>
        <w:t>IPCT: meno capitale a disposizione che dà rendimento.</w:t>
      </w:r>
    </w:p>
    <w:p w:rsidR="001C63E0" w:rsidRPr="001C63E0" w:rsidRDefault="001C63E0" w:rsidP="001C63E0">
      <w:pPr>
        <w:tabs>
          <w:tab w:val="left" w:pos="1242"/>
        </w:tabs>
        <w:spacing w:before="120"/>
        <w:rPr>
          <w:rFonts w:cs="Arial"/>
          <w:b/>
          <w:bCs/>
          <w:lang w:val="it-IT" w:eastAsia="it-IT"/>
        </w:rPr>
      </w:pPr>
      <w:r w:rsidRPr="001C63E0">
        <w:rPr>
          <w:rFonts w:cs="Arial"/>
          <w:b/>
          <w:bCs/>
          <w:lang w:val="it-IT" w:eastAsia="it-IT"/>
        </w:rPr>
        <w:t>Opportunità</w:t>
      </w:r>
    </w:p>
    <w:p w:rsidR="001C63E0" w:rsidRPr="001C63E0" w:rsidRDefault="001C63E0" w:rsidP="001C63E0">
      <w:pPr>
        <w:tabs>
          <w:tab w:val="left" w:pos="1242"/>
        </w:tabs>
        <w:spacing w:before="120"/>
        <w:rPr>
          <w:rFonts w:cs="Arial"/>
          <w:lang w:val="it-IT" w:eastAsia="it-IT"/>
        </w:rPr>
      </w:pPr>
      <w:r w:rsidRPr="001C63E0">
        <w:rPr>
          <w:rFonts w:cs="Arial"/>
          <w:lang w:val="it-IT" w:eastAsia="it-IT"/>
        </w:rPr>
        <w:t>Cantone: eventuali plusvalenze dell’investimento a conclusione dei 30 anni in eccesso del fabbisogno di finanziamento dell’IPCT appartengono al Cantone e di riflesso alle e ai contribuenti ticinesi.</w:t>
      </w:r>
    </w:p>
    <w:p w:rsidR="001C63E0" w:rsidRPr="001C63E0" w:rsidRDefault="001C63E0" w:rsidP="001C63E0">
      <w:pPr>
        <w:tabs>
          <w:tab w:val="left" w:pos="1242"/>
        </w:tabs>
        <w:spacing w:before="120"/>
        <w:rPr>
          <w:rFonts w:cs="Arial"/>
          <w:lang w:val="it-IT" w:eastAsia="it-IT"/>
        </w:rPr>
      </w:pPr>
      <w:r w:rsidRPr="001C63E0">
        <w:rPr>
          <w:rFonts w:cs="Arial"/>
          <w:lang w:val="it-IT" w:eastAsia="it-IT"/>
        </w:rPr>
        <w:t>IPCT: eventuale attribuzione rendimento da FS/FF migliora la situazione finanziaria in quel momento.</w:t>
      </w:r>
    </w:p>
    <w:p w:rsidR="001C63E0" w:rsidRPr="001C63E0" w:rsidRDefault="001C63E0" w:rsidP="001C63E0">
      <w:pPr>
        <w:tabs>
          <w:tab w:val="left" w:pos="1242"/>
        </w:tabs>
        <w:spacing w:before="120"/>
        <w:rPr>
          <w:rFonts w:cs="Arial"/>
          <w:b/>
          <w:bCs/>
          <w:lang w:val="it-IT" w:eastAsia="it-IT"/>
        </w:rPr>
      </w:pPr>
      <w:r w:rsidRPr="001C63E0">
        <w:rPr>
          <w:rFonts w:cs="Arial"/>
          <w:b/>
          <w:bCs/>
          <w:lang w:val="it-IT" w:eastAsia="it-IT"/>
        </w:rPr>
        <w:t>Rischi</w:t>
      </w:r>
    </w:p>
    <w:p w:rsidR="001C63E0" w:rsidRPr="001C63E0" w:rsidRDefault="001C63E0" w:rsidP="001C63E0">
      <w:pPr>
        <w:tabs>
          <w:tab w:val="left" w:pos="1242"/>
        </w:tabs>
        <w:spacing w:before="120"/>
        <w:rPr>
          <w:rFonts w:cs="Arial"/>
          <w:lang w:val="it-IT" w:eastAsia="it-IT"/>
        </w:rPr>
      </w:pPr>
      <w:r w:rsidRPr="001C63E0">
        <w:rPr>
          <w:rFonts w:cs="Arial"/>
          <w:lang w:val="it-IT" w:eastAsia="it-IT"/>
        </w:rPr>
        <w:t>Cantone: soluzione inesplorata con possibili problemi formali.</w:t>
      </w:r>
    </w:p>
    <w:p w:rsidR="001C63E0" w:rsidRPr="001C63E0" w:rsidRDefault="001C63E0" w:rsidP="001C63E0">
      <w:pPr>
        <w:tabs>
          <w:tab w:val="left" w:pos="1242"/>
        </w:tabs>
        <w:spacing w:before="120"/>
        <w:rPr>
          <w:rFonts w:cs="Arial"/>
          <w:lang w:val="it-IT" w:eastAsia="it-IT"/>
        </w:rPr>
      </w:pPr>
      <w:r w:rsidRPr="001C63E0">
        <w:rPr>
          <w:rFonts w:cs="Arial"/>
          <w:lang w:val="it-IT" w:eastAsia="it-IT"/>
        </w:rPr>
        <w:t>Cantone e IPCT: registrazione a bilancio riconoscimento di debito variabile: operazione potenzialmente problematica da punto di vista formale/contabile.</w:t>
      </w:r>
    </w:p>
    <w:p w:rsidR="001C63E0" w:rsidRDefault="001C63E0" w:rsidP="00E2418D">
      <w:pPr>
        <w:rPr>
          <w:rFonts w:cs="Arial"/>
          <w:lang w:val="it-IT" w:eastAsia="it-IT"/>
        </w:rPr>
      </w:pPr>
    </w:p>
    <w:p w:rsidR="00F209DB" w:rsidRDefault="00F209DB">
      <w:pPr>
        <w:jc w:val="left"/>
        <w:rPr>
          <w:rFonts w:cs="Arial"/>
          <w:lang w:val="it-IT" w:eastAsia="it-IT"/>
        </w:rPr>
      </w:pPr>
      <w:r>
        <w:rPr>
          <w:rFonts w:cs="Arial"/>
          <w:lang w:val="it-IT" w:eastAsia="it-IT"/>
        </w:rPr>
        <w:br w:type="page"/>
      </w:r>
    </w:p>
    <w:p w:rsidR="001C63E0" w:rsidRPr="001C63E0" w:rsidRDefault="001C63E0" w:rsidP="00E2418D">
      <w:pPr>
        <w:keepNext/>
        <w:tabs>
          <w:tab w:val="left" w:pos="709"/>
        </w:tabs>
        <w:ind w:left="357" w:hanging="357"/>
        <w:outlineLvl w:val="1"/>
        <w:rPr>
          <w:rFonts w:cs="Arial"/>
          <w:b/>
          <w:lang w:val="it-IT" w:eastAsia="it-IT"/>
        </w:rPr>
      </w:pPr>
      <w:bookmarkStart w:id="62" w:name="_Ref93853198"/>
      <w:bookmarkStart w:id="63" w:name="_Toc98976121"/>
      <w:r w:rsidRPr="001C63E0">
        <w:rPr>
          <w:rFonts w:cs="Arial"/>
          <w:b/>
          <w:lang w:val="it-IT" w:eastAsia="it-IT"/>
        </w:rPr>
        <w:lastRenderedPageBreak/>
        <w:t>7.3</w:t>
      </w:r>
      <w:r w:rsidRPr="001C63E0">
        <w:rPr>
          <w:rFonts w:cs="Arial"/>
          <w:b/>
          <w:lang w:val="it-IT" w:eastAsia="it-IT"/>
        </w:rPr>
        <w:tab/>
      </w:r>
      <w:r w:rsidR="00E2418D">
        <w:rPr>
          <w:rFonts w:cs="Arial"/>
          <w:b/>
          <w:lang w:val="it-IT" w:eastAsia="it-IT"/>
        </w:rPr>
        <w:tab/>
      </w:r>
      <w:r w:rsidRPr="001C63E0">
        <w:rPr>
          <w:rFonts w:cs="Arial"/>
          <w:b/>
          <w:lang w:val="it-IT" w:eastAsia="it-IT"/>
        </w:rPr>
        <w:t>Riserva di contributi del datore di lavoro (RCDL)</w:t>
      </w:r>
      <w:bookmarkEnd w:id="62"/>
      <w:bookmarkEnd w:id="63"/>
    </w:p>
    <w:p w:rsidR="001C63E0" w:rsidRPr="001C63E0" w:rsidRDefault="001C63E0" w:rsidP="001C63E0">
      <w:pPr>
        <w:spacing w:before="120"/>
        <w:rPr>
          <w:rFonts w:cs="Arial"/>
          <w:lang w:val="it-IT" w:eastAsia="it-IT"/>
        </w:rPr>
      </w:pPr>
      <w:r w:rsidRPr="001C63E0">
        <w:rPr>
          <w:rFonts w:cs="Arial"/>
          <w:lang w:val="it-IT" w:eastAsia="it-IT"/>
        </w:rPr>
        <w:t>Questa via può essere riassunta come segue.</w:t>
      </w:r>
    </w:p>
    <w:p w:rsidR="001C63E0" w:rsidRPr="001C63E0" w:rsidRDefault="001C63E0" w:rsidP="00702913">
      <w:pPr>
        <w:numPr>
          <w:ilvl w:val="0"/>
          <w:numId w:val="12"/>
        </w:numPr>
        <w:spacing w:before="120"/>
        <w:ind w:left="284" w:hanging="284"/>
        <w:rPr>
          <w:rFonts w:cs="Arial"/>
          <w:lang w:val="it-IT" w:eastAsia="it-IT"/>
        </w:rPr>
      </w:pPr>
      <w:r w:rsidRPr="001C63E0">
        <w:rPr>
          <w:rFonts w:cs="Arial"/>
          <w:lang w:val="it-IT" w:eastAsia="it-IT"/>
        </w:rPr>
        <w:t>Il Cantone emette un’obbligazione di CHF</w:t>
      </w:r>
      <w:r w:rsidR="005E24B6">
        <w:rPr>
          <w:rFonts w:cs="Arial"/>
          <w:lang w:val="it-IT" w:eastAsia="it-IT"/>
        </w:rPr>
        <w:t xml:space="preserve"> </w:t>
      </w:r>
      <w:r w:rsidRPr="001C63E0">
        <w:rPr>
          <w:rFonts w:cs="Arial"/>
          <w:lang w:val="it-IT" w:eastAsia="it-IT"/>
        </w:rPr>
        <w:t>700 mio. per una durata di 30 anni.</w:t>
      </w:r>
    </w:p>
    <w:p w:rsidR="001C63E0" w:rsidRPr="001C63E0" w:rsidRDefault="001C63E0" w:rsidP="00702913">
      <w:pPr>
        <w:numPr>
          <w:ilvl w:val="0"/>
          <w:numId w:val="12"/>
        </w:numPr>
        <w:spacing w:before="120"/>
        <w:ind w:left="284" w:hanging="284"/>
        <w:rPr>
          <w:rFonts w:cs="Arial"/>
          <w:lang w:val="it-IT" w:eastAsia="it-IT"/>
        </w:rPr>
      </w:pPr>
      <w:r w:rsidRPr="001C63E0">
        <w:rPr>
          <w:rFonts w:cs="Arial"/>
          <w:lang w:val="it-IT" w:eastAsia="it-IT"/>
        </w:rPr>
        <w:t>Il Cantone versa all’IPCT una RCDL ordinaria di CHF</w:t>
      </w:r>
      <w:r w:rsidR="005E24B6">
        <w:rPr>
          <w:rFonts w:cs="Arial"/>
          <w:lang w:val="it-IT" w:eastAsia="it-IT"/>
        </w:rPr>
        <w:t xml:space="preserve"> </w:t>
      </w:r>
      <w:r w:rsidRPr="001C63E0">
        <w:rPr>
          <w:rFonts w:cs="Arial"/>
          <w:lang w:val="it-IT" w:eastAsia="it-IT"/>
        </w:rPr>
        <w:t>450 mio. e una RCDL con rinuncia all’utilizzazione di CHF</w:t>
      </w:r>
      <w:r w:rsidR="005E24B6">
        <w:rPr>
          <w:rFonts w:cs="Arial"/>
          <w:lang w:val="it-IT" w:eastAsia="it-IT"/>
        </w:rPr>
        <w:t xml:space="preserve"> </w:t>
      </w:r>
      <w:r w:rsidRPr="001C63E0">
        <w:rPr>
          <w:rFonts w:cs="Arial"/>
          <w:lang w:val="it-IT" w:eastAsia="it-IT"/>
        </w:rPr>
        <w:t>250 mio. CHF</w:t>
      </w:r>
      <w:r w:rsidR="005E24B6">
        <w:rPr>
          <w:rFonts w:cs="Arial"/>
          <w:lang w:val="it-IT" w:eastAsia="it-IT"/>
        </w:rPr>
        <w:t xml:space="preserve"> </w:t>
      </w:r>
      <w:r w:rsidRPr="001C63E0">
        <w:rPr>
          <w:rFonts w:cs="Arial"/>
          <w:lang w:val="it-IT" w:eastAsia="it-IT"/>
        </w:rPr>
        <w:t>700 mio. rappresentano all’incirca il maggior costo delle garanzie di pensione ex art. 24 LIPCT dovuto alla riduzione del tasso tecnico.</w:t>
      </w:r>
    </w:p>
    <w:p w:rsidR="001C63E0" w:rsidRPr="001C63E0" w:rsidRDefault="001C63E0" w:rsidP="00702913">
      <w:pPr>
        <w:numPr>
          <w:ilvl w:val="0"/>
          <w:numId w:val="12"/>
        </w:numPr>
        <w:spacing w:before="120"/>
        <w:ind w:left="284" w:hanging="284"/>
        <w:rPr>
          <w:rFonts w:cs="Arial"/>
          <w:lang w:val="it-IT" w:eastAsia="it-IT"/>
        </w:rPr>
      </w:pPr>
      <w:r w:rsidRPr="001C63E0">
        <w:rPr>
          <w:rFonts w:cs="Arial"/>
          <w:lang w:val="it-IT" w:eastAsia="it-IT"/>
        </w:rPr>
        <w:t>La rinuncia all’utilizzazione della RCDL di CHF</w:t>
      </w:r>
      <w:r w:rsidR="005E24B6">
        <w:rPr>
          <w:rFonts w:cs="Arial"/>
          <w:lang w:val="it-IT" w:eastAsia="it-IT"/>
        </w:rPr>
        <w:t xml:space="preserve"> </w:t>
      </w:r>
      <w:r w:rsidRPr="001C63E0">
        <w:rPr>
          <w:rFonts w:cs="Arial"/>
          <w:lang w:val="it-IT" w:eastAsia="it-IT"/>
        </w:rPr>
        <w:t>250 mio. potrà essere tolta una volta raggiunto un grado di copertura dell’85%.</w:t>
      </w:r>
    </w:p>
    <w:p w:rsidR="001C63E0" w:rsidRPr="001C63E0" w:rsidRDefault="001C63E0" w:rsidP="00702913">
      <w:pPr>
        <w:numPr>
          <w:ilvl w:val="0"/>
          <w:numId w:val="12"/>
        </w:numPr>
        <w:spacing w:before="120"/>
        <w:ind w:left="284" w:hanging="284"/>
        <w:rPr>
          <w:rFonts w:cs="Arial"/>
          <w:lang w:val="it-IT" w:eastAsia="it-IT"/>
        </w:rPr>
      </w:pPr>
      <w:r w:rsidRPr="001C63E0">
        <w:rPr>
          <w:rFonts w:cs="Arial"/>
          <w:lang w:val="it-IT" w:eastAsia="it-IT"/>
        </w:rPr>
        <w:t>La RCDL è utilizzabile in futuro dal Cantone per pagare contributi IPCT, evitando pertanto flussi di cassa futuri nei confronti dell’Istituto.</w:t>
      </w:r>
    </w:p>
    <w:p w:rsidR="001C63E0" w:rsidRPr="001C63E0" w:rsidRDefault="001C63E0" w:rsidP="00702913">
      <w:pPr>
        <w:numPr>
          <w:ilvl w:val="0"/>
          <w:numId w:val="12"/>
        </w:numPr>
        <w:spacing w:before="120"/>
        <w:ind w:left="284" w:hanging="284"/>
        <w:rPr>
          <w:rFonts w:cs="Arial"/>
          <w:lang w:val="it-IT" w:eastAsia="it-IT"/>
        </w:rPr>
      </w:pPr>
      <w:r w:rsidRPr="001C63E0">
        <w:rPr>
          <w:rFonts w:cs="Arial"/>
          <w:lang w:val="it-IT" w:eastAsia="it-IT"/>
        </w:rPr>
        <w:t>La RCDL ordinaria viene remunerata da IPCT per coprire costi indebitamento del Cantone.</w:t>
      </w:r>
    </w:p>
    <w:p w:rsidR="001C63E0" w:rsidRPr="001C63E0" w:rsidRDefault="001C63E0" w:rsidP="00702913">
      <w:pPr>
        <w:numPr>
          <w:ilvl w:val="0"/>
          <w:numId w:val="12"/>
        </w:numPr>
        <w:spacing w:before="120"/>
        <w:ind w:left="284" w:hanging="284"/>
        <w:rPr>
          <w:rFonts w:cs="Arial"/>
          <w:lang w:val="it-IT" w:eastAsia="it-IT"/>
        </w:rPr>
      </w:pPr>
      <w:r w:rsidRPr="001C63E0">
        <w:rPr>
          <w:rFonts w:cs="Arial"/>
          <w:lang w:val="it-IT" w:eastAsia="it-IT"/>
        </w:rPr>
        <w:t>Entrambe le RCDL e la remunerazione RCDL ordinaria possono essere attivate a bilancio del Cantone.</w:t>
      </w:r>
    </w:p>
    <w:p w:rsidR="001C63E0" w:rsidRPr="001C63E0" w:rsidRDefault="001C63E0" w:rsidP="00702913">
      <w:pPr>
        <w:numPr>
          <w:ilvl w:val="0"/>
          <w:numId w:val="12"/>
        </w:numPr>
        <w:spacing w:before="120"/>
        <w:ind w:left="284" w:hanging="284"/>
        <w:rPr>
          <w:rFonts w:cs="Arial"/>
          <w:lang w:val="it-IT" w:eastAsia="it-IT"/>
        </w:rPr>
      </w:pPr>
      <w:r w:rsidRPr="001C63E0">
        <w:rPr>
          <w:rFonts w:cs="Arial"/>
          <w:lang w:val="it-IT" w:eastAsia="it-IT"/>
        </w:rPr>
        <w:t>L’IPCT può calcolare un grado di copertura tenendo conto di RCDL con rinuncia. I (supposti) maggiori rendimenti generati dal maggior patrimonio disponibile permetteranno di aumentare più rapidamente il grado di copertura IPCT</w:t>
      </w:r>
    </w:p>
    <w:p w:rsidR="001C63E0" w:rsidRPr="001C63E0" w:rsidRDefault="001C63E0" w:rsidP="00702913">
      <w:pPr>
        <w:rPr>
          <w:rFonts w:cs="Arial"/>
          <w:lang w:val="it-IT" w:eastAsia="it-IT"/>
        </w:rPr>
      </w:pPr>
    </w:p>
    <w:p w:rsidR="001C63E0" w:rsidRPr="001C63E0" w:rsidRDefault="001C63E0" w:rsidP="00702913">
      <w:pPr>
        <w:rPr>
          <w:rFonts w:cs="Arial"/>
          <w:lang w:val="it-IT" w:eastAsia="it-IT"/>
        </w:rPr>
      </w:pPr>
      <w:r w:rsidRPr="001C63E0">
        <w:rPr>
          <w:rFonts w:cs="Arial"/>
          <w:b/>
          <w:bCs/>
          <w:lang w:val="it-IT" w:eastAsia="it-IT"/>
        </w:rPr>
        <w:t>Vantaggi</w:t>
      </w:r>
    </w:p>
    <w:p w:rsidR="001C63E0" w:rsidRPr="001C63E0" w:rsidRDefault="001C63E0" w:rsidP="00702913">
      <w:pPr>
        <w:numPr>
          <w:ilvl w:val="0"/>
          <w:numId w:val="12"/>
        </w:numPr>
        <w:spacing w:before="120"/>
        <w:ind w:left="284" w:hanging="284"/>
        <w:rPr>
          <w:rFonts w:cs="Arial"/>
          <w:lang w:val="it-IT" w:eastAsia="it-IT"/>
        </w:rPr>
      </w:pPr>
      <w:r w:rsidRPr="001C63E0">
        <w:rPr>
          <w:rFonts w:cs="Arial"/>
          <w:lang w:val="it-IT" w:eastAsia="it-IT"/>
        </w:rPr>
        <w:t>Cantone: a costo zero (se i mercati finanziari reggono).</w:t>
      </w:r>
    </w:p>
    <w:p w:rsidR="001C63E0" w:rsidRPr="001C63E0" w:rsidRDefault="001C63E0" w:rsidP="00702913">
      <w:pPr>
        <w:numPr>
          <w:ilvl w:val="0"/>
          <w:numId w:val="12"/>
        </w:numPr>
        <w:spacing w:before="120"/>
        <w:ind w:left="284" w:hanging="284"/>
        <w:rPr>
          <w:rFonts w:cs="Arial"/>
          <w:lang w:val="it-IT" w:eastAsia="it-IT"/>
        </w:rPr>
      </w:pPr>
      <w:r w:rsidRPr="001C63E0">
        <w:rPr>
          <w:rFonts w:cs="Arial"/>
          <w:lang w:val="it-IT" w:eastAsia="it-IT"/>
        </w:rPr>
        <w:t>Cantone: nessun contributo a fondo perso (si tratta di un anticipo di contributi).</w:t>
      </w:r>
    </w:p>
    <w:p w:rsidR="001C63E0" w:rsidRPr="001C63E0" w:rsidRDefault="001C63E0" w:rsidP="00702913">
      <w:pPr>
        <w:numPr>
          <w:ilvl w:val="0"/>
          <w:numId w:val="12"/>
        </w:numPr>
        <w:spacing w:before="120"/>
        <w:ind w:left="284" w:hanging="284"/>
        <w:rPr>
          <w:rFonts w:cs="Arial"/>
          <w:lang w:val="it-IT" w:eastAsia="it-IT"/>
        </w:rPr>
      </w:pPr>
      <w:r w:rsidRPr="001C63E0">
        <w:rPr>
          <w:rFonts w:cs="Arial"/>
          <w:lang w:val="it-IT" w:eastAsia="it-IT"/>
        </w:rPr>
        <w:t>IPCT: migliora il grado di copertura (se ne calcolano due: uno «normale» e uno che tiene conto della RCDL con rinuncia).</w:t>
      </w:r>
    </w:p>
    <w:p w:rsidR="001C63E0" w:rsidRPr="001C63E0" w:rsidRDefault="001C63E0" w:rsidP="00702913">
      <w:pPr>
        <w:numPr>
          <w:ilvl w:val="0"/>
          <w:numId w:val="12"/>
        </w:numPr>
        <w:spacing w:before="120"/>
        <w:ind w:left="284" w:hanging="284"/>
        <w:rPr>
          <w:rFonts w:cs="Arial"/>
          <w:lang w:val="it-IT" w:eastAsia="it-IT"/>
        </w:rPr>
      </w:pPr>
      <w:r w:rsidRPr="001C63E0">
        <w:rPr>
          <w:rFonts w:cs="Arial"/>
          <w:lang w:val="it-IT" w:eastAsia="it-IT"/>
        </w:rPr>
        <w:t>IPCT: RCDL già prevista da LPP e OPP2.</w:t>
      </w:r>
    </w:p>
    <w:p w:rsidR="001C63E0" w:rsidRPr="001C63E0" w:rsidRDefault="001C63E0" w:rsidP="001C63E0">
      <w:pPr>
        <w:spacing w:before="120"/>
        <w:rPr>
          <w:rFonts w:cs="Arial"/>
          <w:b/>
          <w:bCs/>
          <w:lang w:val="it-IT" w:eastAsia="it-IT"/>
        </w:rPr>
      </w:pPr>
      <w:r w:rsidRPr="001C63E0">
        <w:rPr>
          <w:rFonts w:cs="Arial"/>
          <w:b/>
          <w:bCs/>
          <w:lang w:val="it-IT" w:eastAsia="it-IT"/>
        </w:rPr>
        <w:t>Svantaggi</w:t>
      </w:r>
    </w:p>
    <w:p w:rsidR="001C63E0" w:rsidRPr="001C63E0" w:rsidRDefault="001C63E0" w:rsidP="00702913">
      <w:pPr>
        <w:numPr>
          <w:ilvl w:val="0"/>
          <w:numId w:val="12"/>
        </w:numPr>
        <w:spacing w:before="120"/>
        <w:ind w:left="284" w:hanging="284"/>
        <w:rPr>
          <w:rFonts w:cs="Arial"/>
          <w:lang w:val="it-IT" w:eastAsia="it-IT"/>
        </w:rPr>
      </w:pPr>
      <w:r w:rsidRPr="001C63E0">
        <w:rPr>
          <w:rFonts w:cs="Arial"/>
          <w:lang w:val="it-IT" w:eastAsia="it-IT"/>
        </w:rPr>
        <w:t>Cantone: aumenta il debito finanziario con possibile ripercussione sul rating, ma non aumenta il debito pubblico.</w:t>
      </w:r>
    </w:p>
    <w:p w:rsidR="001C63E0" w:rsidRPr="001C63E0" w:rsidRDefault="001C63E0" w:rsidP="00702913">
      <w:pPr>
        <w:numPr>
          <w:ilvl w:val="0"/>
          <w:numId w:val="12"/>
        </w:numPr>
        <w:spacing w:before="120"/>
        <w:ind w:left="284" w:hanging="284"/>
        <w:rPr>
          <w:rFonts w:cs="Arial"/>
          <w:lang w:val="it-IT" w:eastAsia="it-IT"/>
        </w:rPr>
      </w:pPr>
      <w:r w:rsidRPr="001C63E0">
        <w:rPr>
          <w:rFonts w:cs="Arial"/>
          <w:lang w:val="it-IT" w:eastAsia="it-IT"/>
        </w:rPr>
        <w:t>IPCT: remunerazione RCDL.</w:t>
      </w:r>
    </w:p>
    <w:p w:rsidR="001C63E0" w:rsidRPr="001C63E0" w:rsidRDefault="001C63E0" w:rsidP="001C63E0">
      <w:pPr>
        <w:spacing w:before="120"/>
        <w:rPr>
          <w:rFonts w:cs="Arial"/>
          <w:b/>
          <w:bCs/>
          <w:lang w:val="it-IT" w:eastAsia="it-IT"/>
        </w:rPr>
      </w:pPr>
      <w:r w:rsidRPr="001C63E0">
        <w:rPr>
          <w:rFonts w:cs="Arial"/>
          <w:b/>
          <w:bCs/>
          <w:lang w:val="it-IT" w:eastAsia="it-IT"/>
        </w:rPr>
        <w:t>Opportunità</w:t>
      </w:r>
    </w:p>
    <w:p w:rsidR="001C63E0" w:rsidRPr="001C63E0" w:rsidRDefault="001C63E0" w:rsidP="005E24B6">
      <w:pPr>
        <w:numPr>
          <w:ilvl w:val="0"/>
          <w:numId w:val="12"/>
        </w:numPr>
        <w:spacing w:before="120"/>
        <w:ind w:left="284" w:hanging="284"/>
        <w:rPr>
          <w:rFonts w:cs="Arial"/>
          <w:lang w:val="it-IT" w:eastAsia="it-IT"/>
        </w:rPr>
      </w:pPr>
      <w:r w:rsidRPr="001C63E0">
        <w:rPr>
          <w:rFonts w:cs="Arial"/>
          <w:lang w:val="it-IT" w:eastAsia="it-IT"/>
        </w:rPr>
        <w:t>IPCT: più capitale da investire, quindi sul lungo termine più rendimento.</w:t>
      </w:r>
    </w:p>
    <w:p w:rsidR="001C63E0" w:rsidRPr="001C63E0" w:rsidRDefault="001C63E0" w:rsidP="005E24B6">
      <w:pPr>
        <w:numPr>
          <w:ilvl w:val="0"/>
          <w:numId w:val="12"/>
        </w:numPr>
        <w:spacing w:before="120"/>
        <w:ind w:left="284" w:hanging="284"/>
        <w:rPr>
          <w:rFonts w:cs="Arial"/>
          <w:lang w:val="it-IT" w:eastAsia="it-IT"/>
        </w:rPr>
      </w:pPr>
      <w:r w:rsidRPr="001C63E0">
        <w:rPr>
          <w:rFonts w:cs="Arial"/>
          <w:lang w:val="it-IT" w:eastAsia="it-IT"/>
        </w:rPr>
        <w:t>IPCT: riallineamento verso la media delle CP svizzere della quota azionaria, ma rischio timing d’investimento se tutto in azioni (quotazioni ai massimi storici).</w:t>
      </w:r>
    </w:p>
    <w:p w:rsidR="001C63E0" w:rsidRPr="001C63E0" w:rsidRDefault="001C63E0" w:rsidP="001C63E0">
      <w:pPr>
        <w:spacing w:before="120"/>
        <w:rPr>
          <w:rFonts w:cs="Arial"/>
          <w:b/>
          <w:bCs/>
          <w:lang w:val="it-IT" w:eastAsia="it-IT"/>
        </w:rPr>
      </w:pPr>
      <w:r w:rsidRPr="001C63E0">
        <w:rPr>
          <w:rFonts w:cs="Arial"/>
          <w:b/>
          <w:bCs/>
          <w:lang w:val="it-IT" w:eastAsia="it-IT"/>
        </w:rPr>
        <w:t>Rischi</w:t>
      </w:r>
    </w:p>
    <w:p w:rsidR="001C63E0" w:rsidRPr="001C63E0" w:rsidRDefault="001C63E0" w:rsidP="00B8703B">
      <w:pPr>
        <w:numPr>
          <w:ilvl w:val="0"/>
          <w:numId w:val="12"/>
        </w:numPr>
        <w:spacing w:before="120"/>
        <w:ind w:left="284" w:hanging="284"/>
        <w:jc w:val="left"/>
        <w:rPr>
          <w:rFonts w:cs="Arial"/>
          <w:lang w:val="it-IT" w:eastAsia="it-IT"/>
        </w:rPr>
      </w:pPr>
      <w:r w:rsidRPr="001C63E0">
        <w:rPr>
          <w:rFonts w:cs="Arial"/>
          <w:lang w:val="it-IT" w:eastAsia="it-IT"/>
        </w:rPr>
        <w:t>Cantone: se i mercati finanziari dovessero crollare, il problema del rifinanziamento IPCT si riproporrà.</w:t>
      </w:r>
    </w:p>
    <w:p w:rsidR="001C63E0" w:rsidRPr="001C63E0" w:rsidRDefault="001C63E0" w:rsidP="005E24B6">
      <w:pPr>
        <w:numPr>
          <w:ilvl w:val="0"/>
          <w:numId w:val="12"/>
        </w:numPr>
        <w:tabs>
          <w:tab w:val="left" w:pos="1242"/>
        </w:tabs>
        <w:spacing w:before="120"/>
        <w:ind w:left="284" w:hanging="284"/>
        <w:rPr>
          <w:rFonts w:cs="Arial"/>
          <w:lang w:val="it-IT" w:eastAsia="it-IT"/>
        </w:rPr>
      </w:pPr>
      <w:r w:rsidRPr="001C63E0">
        <w:rPr>
          <w:rFonts w:cs="Arial"/>
          <w:lang w:val="it-IT" w:eastAsia="it-IT"/>
        </w:rPr>
        <w:t>Cantone: eventuali plusvalenze dell’investimento a conclusione dei 30 anni in eccesso del fabbisogno di finanziamento dell’IPCT appartengono all’Istituto e non al Cantone; di riflesso le e i contribuenti ticinesi perdono ulteriori risorse a vantaggio dei salariati affiliati all’IPCT.</w:t>
      </w:r>
    </w:p>
    <w:p w:rsidR="001C63E0" w:rsidRDefault="001C63E0" w:rsidP="00B8703B">
      <w:pPr>
        <w:rPr>
          <w:rFonts w:cs="Arial"/>
          <w:lang w:val="it-IT"/>
        </w:rPr>
      </w:pPr>
    </w:p>
    <w:p w:rsidR="00B8703B" w:rsidRPr="001C63E0" w:rsidRDefault="00B8703B" w:rsidP="00B8703B">
      <w:pPr>
        <w:rPr>
          <w:rFonts w:cs="Arial"/>
          <w:lang w:val="it-IT"/>
        </w:rPr>
      </w:pPr>
    </w:p>
    <w:p w:rsidR="001C63E0" w:rsidRPr="001C63E0" w:rsidRDefault="001C63E0" w:rsidP="00B8703B">
      <w:pPr>
        <w:keepNext/>
        <w:tabs>
          <w:tab w:val="left" w:pos="709"/>
        </w:tabs>
        <w:ind w:left="357" w:hanging="357"/>
        <w:outlineLvl w:val="1"/>
        <w:rPr>
          <w:rFonts w:cs="Arial"/>
          <w:b/>
          <w:lang w:val="it-IT" w:eastAsia="it-IT"/>
        </w:rPr>
      </w:pPr>
      <w:bookmarkStart w:id="64" w:name="_Toc98976122"/>
      <w:r w:rsidRPr="001C63E0">
        <w:rPr>
          <w:rFonts w:cs="Arial"/>
          <w:b/>
          <w:lang w:val="it-IT" w:eastAsia="it-IT"/>
        </w:rPr>
        <w:lastRenderedPageBreak/>
        <w:t>7.4</w:t>
      </w:r>
      <w:r w:rsidRPr="001C63E0">
        <w:rPr>
          <w:rFonts w:cs="Arial"/>
          <w:b/>
          <w:lang w:val="it-IT" w:eastAsia="it-IT"/>
        </w:rPr>
        <w:tab/>
      </w:r>
      <w:r w:rsidR="00B8703B">
        <w:rPr>
          <w:rFonts w:cs="Arial"/>
          <w:b/>
          <w:lang w:val="it-IT" w:eastAsia="it-IT"/>
        </w:rPr>
        <w:tab/>
      </w:r>
      <w:r w:rsidRPr="001C63E0">
        <w:rPr>
          <w:rFonts w:cs="Arial"/>
          <w:b/>
          <w:lang w:val="it-IT" w:eastAsia="it-IT"/>
        </w:rPr>
        <w:t>Conclusione – Optare per la Riserva di contributi del datore di lavoro</w:t>
      </w:r>
      <w:bookmarkEnd w:id="64"/>
    </w:p>
    <w:p w:rsidR="001C63E0" w:rsidRPr="001C63E0" w:rsidRDefault="001C63E0" w:rsidP="001C63E0">
      <w:pPr>
        <w:spacing w:before="120"/>
        <w:rPr>
          <w:rFonts w:cs="Arial"/>
          <w:lang w:val="it-IT"/>
        </w:rPr>
      </w:pPr>
      <w:r w:rsidRPr="001C63E0">
        <w:rPr>
          <w:rFonts w:cs="Arial"/>
          <w:lang w:val="it-IT"/>
        </w:rPr>
        <w:t>Alla luce di quanto precede, nel suo rapporto complementare del 30</w:t>
      </w:r>
      <w:r w:rsidR="005E24B6">
        <w:rPr>
          <w:rFonts w:cs="Arial"/>
          <w:lang w:val="it-IT"/>
        </w:rPr>
        <w:t xml:space="preserve"> </w:t>
      </w:r>
      <w:r w:rsidRPr="001C63E0">
        <w:rPr>
          <w:rFonts w:cs="Arial"/>
          <w:lang w:val="it-IT"/>
        </w:rPr>
        <w:t xml:space="preserve">settembre 2021 al messaggio </w:t>
      </w:r>
      <w:r w:rsidR="00702913">
        <w:rPr>
          <w:rFonts w:cs="Arial"/>
          <w:lang w:val="it-IT"/>
        </w:rPr>
        <w:t xml:space="preserve">n. </w:t>
      </w:r>
      <w:r w:rsidRPr="001C63E0">
        <w:rPr>
          <w:rFonts w:cs="Arial"/>
          <w:lang w:val="it-IT"/>
        </w:rPr>
        <w:t>7784 il Consiglio di Stato – di concerto con la Direzione e il Consiglio d’amministrazione dell’IPCT – propone di sviluppare il</w:t>
      </w:r>
      <w:r w:rsidR="00702913">
        <w:rPr>
          <w:rFonts w:cs="Arial"/>
          <w:lang w:val="it-IT"/>
        </w:rPr>
        <w:t xml:space="preserve"> m</w:t>
      </w:r>
      <w:r w:rsidRPr="001C63E0">
        <w:rPr>
          <w:rFonts w:cs="Arial"/>
          <w:lang w:val="it-IT"/>
        </w:rPr>
        <w:t xml:space="preserve">essaggio </w:t>
      </w:r>
      <w:r w:rsidR="00702913">
        <w:rPr>
          <w:rFonts w:cs="Arial"/>
          <w:lang w:val="it-IT"/>
        </w:rPr>
        <w:t xml:space="preserve">n. </w:t>
      </w:r>
      <w:r w:rsidRPr="001C63E0">
        <w:rPr>
          <w:rFonts w:cs="Arial"/>
          <w:lang w:val="it-IT"/>
        </w:rPr>
        <w:t>7784 nella direzione della variante 3 (RCDL):</w:t>
      </w:r>
    </w:p>
    <w:p w:rsidR="001C63E0" w:rsidRPr="001C63E0" w:rsidRDefault="001C63E0" w:rsidP="00702913">
      <w:pPr>
        <w:numPr>
          <w:ilvl w:val="0"/>
          <w:numId w:val="12"/>
        </w:numPr>
        <w:spacing w:before="120"/>
        <w:ind w:left="284" w:hanging="284"/>
        <w:rPr>
          <w:rFonts w:cs="Arial"/>
          <w:lang w:val="it-IT"/>
        </w:rPr>
      </w:pPr>
      <w:r w:rsidRPr="001C63E0">
        <w:rPr>
          <w:rFonts w:cs="Arial"/>
          <w:lang w:val="it-IT"/>
        </w:rPr>
        <w:t>Riserva di contributi del datore di lavoro (RCDL) ordinaria da CHF</w:t>
      </w:r>
      <w:r w:rsidR="005E24B6">
        <w:rPr>
          <w:rFonts w:cs="Arial"/>
          <w:lang w:val="it-IT"/>
        </w:rPr>
        <w:t xml:space="preserve"> </w:t>
      </w:r>
      <w:r w:rsidRPr="001C63E0">
        <w:rPr>
          <w:rFonts w:cs="Arial"/>
          <w:lang w:val="it-IT"/>
        </w:rPr>
        <w:t>450 mio.;</w:t>
      </w:r>
    </w:p>
    <w:p w:rsidR="001C63E0" w:rsidRPr="001C63E0" w:rsidRDefault="001C63E0" w:rsidP="00702913">
      <w:pPr>
        <w:numPr>
          <w:ilvl w:val="0"/>
          <w:numId w:val="12"/>
        </w:numPr>
        <w:spacing w:before="120"/>
        <w:ind w:left="284" w:hanging="284"/>
        <w:rPr>
          <w:rFonts w:cs="Arial"/>
          <w:lang w:val="it-IT"/>
        </w:rPr>
      </w:pPr>
      <w:r w:rsidRPr="001C63E0">
        <w:rPr>
          <w:rFonts w:cs="Arial"/>
          <w:lang w:val="it-IT"/>
        </w:rPr>
        <w:t>Riserva di contributi del datore di lavoro (RCDL) con rinuncia all’utilizzazione da CHF</w:t>
      </w:r>
      <w:r w:rsidR="005E24B6">
        <w:rPr>
          <w:rFonts w:cs="Arial"/>
          <w:lang w:val="it-IT"/>
        </w:rPr>
        <w:t xml:space="preserve"> </w:t>
      </w:r>
      <w:r w:rsidRPr="001C63E0">
        <w:rPr>
          <w:rFonts w:cs="Arial"/>
          <w:lang w:val="it-IT"/>
        </w:rPr>
        <w:t>250 mio.</w:t>
      </w:r>
    </w:p>
    <w:p w:rsidR="001C63E0" w:rsidRPr="001C63E0" w:rsidRDefault="001C63E0" w:rsidP="00702913">
      <w:pPr>
        <w:spacing w:before="120"/>
        <w:rPr>
          <w:rFonts w:cs="Arial"/>
          <w:lang w:val="it-IT"/>
        </w:rPr>
      </w:pPr>
      <w:r w:rsidRPr="001C63E0">
        <w:rPr>
          <w:rFonts w:cs="Arial"/>
          <w:lang w:val="it-IT"/>
        </w:rPr>
        <w:t>In altre parole, si propone di anticipare all’IPCT contributi del datore di lavoro per CHF</w:t>
      </w:r>
      <w:r w:rsidR="005E24B6">
        <w:rPr>
          <w:rFonts w:cs="Arial"/>
          <w:lang w:val="it-IT"/>
        </w:rPr>
        <w:t xml:space="preserve"> </w:t>
      </w:r>
      <w:r w:rsidRPr="001C63E0">
        <w:rPr>
          <w:rFonts w:cs="Arial"/>
          <w:lang w:val="it-IT"/>
        </w:rPr>
        <w:t>700 mio., con i seguenti vantaggi:</w:t>
      </w:r>
    </w:p>
    <w:p w:rsidR="001C63E0" w:rsidRPr="001C63E0" w:rsidRDefault="001C63E0" w:rsidP="00702913">
      <w:pPr>
        <w:numPr>
          <w:ilvl w:val="0"/>
          <w:numId w:val="12"/>
        </w:numPr>
        <w:spacing w:before="120"/>
        <w:ind w:left="284" w:hanging="284"/>
        <w:rPr>
          <w:rFonts w:cs="Arial"/>
          <w:lang w:val="it-IT"/>
        </w:rPr>
      </w:pPr>
      <w:r w:rsidRPr="001C63E0">
        <w:rPr>
          <w:rFonts w:cs="Arial"/>
          <w:lang w:val="it-IT"/>
        </w:rPr>
        <w:t>nessun costo per il Cantone, posto che i mercati finanziari reggano e non flettano eccessivamente nell’immediato;</w:t>
      </w:r>
    </w:p>
    <w:p w:rsidR="001C63E0" w:rsidRDefault="001C63E0" w:rsidP="00702913">
      <w:pPr>
        <w:numPr>
          <w:ilvl w:val="0"/>
          <w:numId w:val="12"/>
        </w:numPr>
        <w:spacing w:before="120"/>
        <w:ind w:left="284" w:hanging="284"/>
        <w:rPr>
          <w:rFonts w:cs="Arial"/>
          <w:lang w:val="it-IT"/>
        </w:rPr>
      </w:pPr>
      <w:r w:rsidRPr="001C63E0">
        <w:rPr>
          <w:rFonts w:cs="Arial"/>
          <w:lang w:val="it-IT"/>
        </w:rPr>
        <w:t>miglioramento immediato della situazione finanziaria dell’IPCT ai sensi delle regolamentazioni previdenziali.</w:t>
      </w:r>
    </w:p>
    <w:p w:rsidR="00843C09" w:rsidRDefault="00843C09" w:rsidP="00702913">
      <w:pPr>
        <w:rPr>
          <w:rFonts w:cs="Arial"/>
          <w:lang w:val="it-IT"/>
        </w:rPr>
      </w:pPr>
    </w:p>
    <w:p w:rsidR="00843C09" w:rsidRPr="001C63E0" w:rsidRDefault="00843C09" w:rsidP="00843C09">
      <w:pPr>
        <w:jc w:val="left"/>
        <w:rPr>
          <w:rFonts w:cs="Arial"/>
          <w:lang w:val="it-IT"/>
        </w:rPr>
      </w:pPr>
    </w:p>
    <w:p w:rsidR="001C63E0" w:rsidRPr="001C63E0" w:rsidRDefault="001C63E0" w:rsidP="00843C09">
      <w:pPr>
        <w:keepNext/>
        <w:tabs>
          <w:tab w:val="left" w:pos="709"/>
        </w:tabs>
        <w:ind w:left="709" w:hanging="709"/>
        <w:outlineLvl w:val="0"/>
        <w:rPr>
          <w:rFonts w:cs="Arial"/>
          <w:b/>
          <w:szCs w:val="24"/>
          <w:lang w:val="it-IT" w:eastAsia="it-IT"/>
        </w:rPr>
      </w:pPr>
      <w:bookmarkStart w:id="65" w:name="_Toc98976123"/>
      <w:r w:rsidRPr="001C63E0">
        <w:rPr>
          <w:rFonts w:cs="Arial"/>
          <w:b/>
          <w:szCs w:val="24"/>
          <w:lang w:val="it-IT" w:eastAsia="it-IT"/>
        </w:rPr>
        <w:t>8.</w:t>
      </w:r>
      <w:r w:rsidRPr="001C63E0">
        <w:rPr>
          <w:rFonts w:cs="Arial"/>
          <w:b/>
          <w:szCs w:val="24"/>
          <w:lang w:val="it-IT" w:eastAsia="it-IT"/>
        </w:rPr>
        <w:tab/>
        <w:t>LA SOLUZIONE PROPOSTA IN DETTAGLIO</w:t>
      </w:r>
      <w:bookmarkEnd w:id="65"/>
    </w:p>
    <w:p w:rsidR="00843C09" w:rsidRDefault="001C63E0" w:rsidP="001C63E0">
      <w:pPr>
        <w:spacing w:before="120"/>
        <w:rPr>
          <w:rFonts w:cs="Arial"/>
          <w:lang w:eastAsia="it-IT"/>
        </w:rPr>
      </w:pPr>
      <w:r w:rsidRPr="001C63E0">
        <w:rPr>
          <w:rFonts w:cs="Arial"/>
          <w:lang w:eastAsia="it-IT"/>
        </w:rPr>
        <w:t xml:space="preserve">Per le ragioni esposte nella precedente sezione, i lavori di approfondimento della Sottocommissione finanze, del Consiglio di Stato, della Direzione e del Consiglio d’amministrazione dell’IPCT nonché le varie discussioni avute in Commissione gestione e finanze hanno concluso a favore della via attraverso la riserva dei contributi del datore di lavoro (RCDL). La presente sezione aggiunge ulteriori precisazioni a quanto già anticipato nella sezione </w:t>
      </w:r>
      <w:r w:rsidRPr="001C63E0">
        <w:rPr>
          <w:rFonts w:cs="Arial"/>
          <w:lang w:eastAsia="it-IT"/>
        </w:rPr>
        <w:fldChar w:fldCharType="begin"/>
      </w:r>
      <w:r w:rsidRPr="001C63E0">
        <w:rPr>
          <w:rFonts w:cs="Arial"/>
          <w:lang w:eastAsia="it-IT"/>
        </w:rPr>
        <w:instrText xml:space="preserve"> REF _Ref93853198 \h </w:instrText>
      </w:r>
      <w:r w:rsidRPr="001C63E0">
        <w:rPr>
          <w:rFonts w:cs="Arial"/>
          <w:lang w:eastAsia="it-IT"/>
        </w:rPr>
      </w:r>
      <w:r w:rsidRPr="001C63E0">
        <w:rPr>
          <w:rFonts w:cs="Arial"/>
          <w:lang w:eastAsia="it-IT"/>
        </w:rPr>
        <w:fldChar w:fldCharType="separate"/>
      </w:r>
      <w:r w:rsidR="00ED7B60" w:rsidRPr="001C63E0">
        <w:rPr>
          <w:rFonts w:cs="Arial"/>
          <w:b/>
          <w:lang w:val="it-IT" w:eastAsia="it-IT"/>
        </w:rPr>
        <w:t>7.3</w:t>
      </w:r>
      <w:r w:rsidR="00EF6D1E">
        <w:rPr>
          <w:rFonts w:cs="Arial"/>
          <w:b/>
          <w:lang w:val="it-IT" w:eastAsia="it-IT"/>
        </w:rPr>
        <w:t xml:space="preserve"> </w:t>
      </w:r>
      <w:r w:rsidR="00ED7B60" w:rsidRPr="001C63E0">
        <w:rPr>
          <w:rFonts w:cs="Arial"/>
          <w:b/>
          <w:lang w:val="it-IT" w:eastAsia="it-IT"/>
        </w:rPr>
        <w:t>Riserva di contributi del datore di lavoro (RCDL)</w:t>
      </w:r>
      <w:r w:rsidRPr="001C63E0">
        <w:rPr>
          <w:rFonts w:cs="Arial"/>
          <w:lang w:eastAsia="it-IT"/>
        </w:rPr>
        <w:fldChar w:fldCharType="end"/>
      </w:r>
      <w:r w:rsidRPr="001C63E0">
        <w:rPr>
          <w:rFonts w:cs="Arial"/>
          <w:lang w:eastAsia="it-IT"/>
        </w:rPr>
        <w:t xml:space="preserve">. Per ulteriori dettagli si rimanda al rapporto complementare del 30 settembre 2021 del Consiglio di Stato al messaggio </w:t>
      </w:r>
      <w:r w:rsidR="00702913">
        <w:rPr>
          <w:rFonts w:cs="Arial"/>
          <w:lang w:eastAsia="it-IT"/>
        </w:rPr>
        <w:t xml:space="preserve">n. </w:t>
      </w:r>
      <w:r w:rsidRPr="001C63E0">
        <w:rPr>
          <w:rFonts w:cs="Arial"/>
          <w:lang w:eastAsia="it-IT"/>
        </w:rPr>
        <w:t>7784.</w:t>
      </w:r>
    </w:p>
    <w:p w:rsidR="00702913" w:rsidRDefault="00702913" w:rsidP="00702913">
      <w:pPr>
        <w:rPr>
          <w:rFonts w:cs="Arial"/>
          <w:lang w:eastAsia="it-IT"/>
        </w:rPr>
      </w:pPr>
    </w:p>
    <w:p w:rsidR="00702913" w:rsidRPr="001C63E0" w:rsidRDefault="00702913" w:rsidP="00702913">
      <w:pPr>
        <w:rPr>
          <w:rFonts w:cs="Arial"/>
          <w:lang w:eastAsia="it-IT"/>
        </w:rPr>
      </w:pPr>
    </w:p>
    <w:p w:rsidR="001C63E0" w:rsidRPr="001C63E0" w:rsidRDefault="001C63E0" w:rsidP="00702913">
      <w:pPr>
        <w:keepNext/>
        <w:tabs>
          <w:tab w:val="left" w:pos="709"/>
        </w:tabs>
        <w:ind w:left="357" w:hanging="357"/>
        <w:outlineLvl w:val="1"/>
        <w:rPr>
          <w:rFonts w:cs="Arial"/>
          <w:b/>
          <w:lang w:val="it-IT" w:eastAsia="it-IT"/>
        </w:rPr>
      </w:pPr>
      <w:bookmarkStart w:id="66" w:name="_Toc98976124"/>
      <w:r w:rsidRPr="001C63E0">
        <w:rPr>
          <w:rFonts w:cs="Arial"/>
          <w:b/>
          <w:lang w:val="it-IT" w:eastAsia="it-IT"/>
        </w:rPr>
        <w:t>8.1</w:t>
      </w:r>
      <w:r w:rsidRPr="001C63E0">
        <w:rPr>
          <w:rFonts w:cs="Arial"/>
          <w:b/>
          <w:lang w:val="it-IT" w:eastAsia="it-IT"/>
        </w:rPr>
        <w:tab/>
      </w:r>
      <w:r w:rsidR="00843C09">
        <w:rPr>
          <w:rFonts w:cs="Arial"/>
          <w:b/>
          <w:lang w:val="it-IT" w:eastAsia="it-IT"/>
        </w:rPr>
        <w:tab/>
      </w:r>
      <w:r w:rsidRPr="001C63E0">
        <w:rPr>
          <w:rFonts w:cs="Arial"/>
          <w:b/>
          <w:lang w:val="it-IT" w:eastAsia="it-IT"/>
        </w:rPr>
        <w:t>RCDL e visione globale della proposta</w:t>
      </w:r>
      <w:bookmarkEnd w:id="66"/>
    </w:p>
    <w:p w:rsidR="001C63E0" w:rsidRPr="001C63E0" w:rsidRDefault="001C63E0" w:rsidP="001C63E0">
      <w:pPr>
        <w:spacing w:before="120"/>
        <w:rPr>
          <w:rFonts w:cs="Arial"/>
          <w:lang w:val="it-IT" w:eastAsia="it-IT"/>
        </w:rPr>
      </w:pPr>
      <w:r w:rsidRPr="001C63E0">
        <w:rPr>
          <w:rFonts w:cs="Arial"/>
          <w:lang w:val="it-IT" w:eastAsia="it-IT"/>
        </w:rPr>
        <w:t>Una riserva di contributi del datore di lavoro (RCDL) equivale a un anticipo di contributi del datore di lavoro che viene contabilizzato separatamente dall’istituto di previdenza e che, una volta alimentata, il datore di lavoro può utilizzare per pagare i contributi dovuti.</w:t>
      </w:r>
    </w:p>
    <w:p w:rsidR="001C63E0" w:rsidRPr="001C63E0" w:rsidRDefault="001C63E0" w:rsidP="001C63E0">
      <w:pPr>
        <w:spacing w:before="120"/>
        <w:rPr>
          <w:rFonts w:cs="Arial"/>
          <w:lang w:val="it-IT" w:eastAsia="it-IT"/>
        </w:rPr>
      </w:pPr>
      <w:r w:rsidRPr="001C63E0">
        <w:rPr>
          <w:rFonts w:cs="Arial"/>
          <w:lang w:val="it-IT" w:eastAsia="it-IT"/>
        </w:rPr>
        <w:t>La RCDL è parte dei passivi del bilancio dell’istituto di previdenza e degli attivi del bilancio del datore di lavoro tra gli attivi. In altre parole, si tratta di un bene dedicato alla previdenza, “depositato” presso la cassa pensioni, che resta tuttavia di spettanza del datore di lavoro. Questa particolarità è la chiave di volta per cui la soluzione proposta non causa un impatto a gestione corrente del Cantone, benché si intendano mettere a disposizione dell’IPCT CHF 700 mio. da investire sul lungo periodo.</w:t>
      </w:r>
    </w:p>
    <w:p w:rsidR="001C63E0" w:rsidRPr="001C63E0" w:rsidRDefault="001C63E0" w:rsidP="001C63E0">
      <w:pPr>
        <w:spacing w:before="120"/>
        <w:rPr>
          <w:rFonts w:cs="Arial"/>
          <w:lang w:val="it-IT" w:eastAsia="it-IT"/>
        </w:rPr>
      </w:pPr>
      <w:r w:rsidRPr="001C63E0">
        <w:rPr>
          <w:rFonts w:cs="Arial"/>
          <w:lang w:val="it-IT" w:eastAsia="it-IT"/>
        </w:rPr>
        <w:t>Nell’ambito della previdenza professionale vi possono essere due tipi di RCDL:</w:t>
      </w:r>
    </w:p>
    <w:p w:rsidR="001C63E0" w:rsidRPr="001C63E0" w:rsidRDefault="001C63E0" w:rsidP="009C28BF">
      <w:pPr>
        <w:numPr>
          <w:ilvl w:val="0"/>
          <w:numId w:val="17"/>
        </w:numPr>
        <w:spacing w:before="120"/>
        <w:ind w:left="284" w:hanging="284"/>
        <w:jc w:val="left"/>
        <w:rPr>
          <w:rFonts w:cs="Arial"/>
          <w:lang w:val="it-IT" w:eastAsia="it-IT"/>
        </w:rPr>
      </w:pPr>
      <w:r w:rsidRPr="001C63E0">
        <w:rPr>
          <w:rFonts w:cs="Arial"/>
          <w:lang w:val="it-IT" w:eastAsia="it-IT"/>
        </w:rPr>
        <w:t>RCDL ordinaria (senza rinuncia all’utilizzazione);</w:t>
      </w:r>
    </w:p>
    <w:p w:rsidR="001C63E0" w:rsidRPr="001C63E0" w:rsidRDefault="001C63E0" w:rsidP="009C28BF">
      <w:pPr>
        <w:numPr>
          <w:ilvl w:val="0"/>
          <w:numId w:val="17"/>
        </w:numPr>
        <w:spacing w:before="120"/>
        <w:ind w:left="284" w:hanging="284"/>
        <w:jc w:val="left"/>
        <w:rPr>
          <w:rFonts w:cs="Arial"/>
          <w:lang w:val="it-IT" w:eastAsia="it-IT"/>
        </w:rPr>
      </w:pPr>
      <w:r w:rsidRPr="001C63E0">
        <w:rPr>
          <w:rFonts w:cs="Arial"/>
          <w:lang w:val="it-IT" w:eastAsia="it-IT"/>
        </w:rPr>
        <w:t>RCDL con rinuncia all’utilizzazione (“RCDL con rinuncia”).</w:t>
      </w:r>
    </w:p>
    <w:p w:rsidR="001C63E0" w:rsidRPr="001C63E0" w:rsidRDefault="001C63E0" w:rsidP="001C63E0">
      <w:pPr>
        <w:spacing w:before="120"/>
        <w:rPr>
          <w:rFonts w:cs="Arial"/>
          <w:lang w:val="it-IT" w:eastAsia="it-IT"/>
        </w:rPr>
      </w:pPr>
      <w:r w:rsidRPr="001C63E0">
        <w:rPr>
          <w:rFonts w:cs="Arial"/>
          <w:lang w:val="it-IT" w:eastAsia="it-IT"/>
        </w:rPr>
        <w:t xml:space="preserve">La </w:t>
      </w:r>
      <w:r w:rsidRPr="001C63E0">
        <w:rPr>
          <w:rFonts w:cs="Arial"/>
          <w:b/>
          <w:bCs/>
          <w:lang w:val="it-IT" w:eastAsia="it-IT"/>
        </w:rPr>
        <w:t>RCDL ordinaria</w:t>
      </w:r>
      <w:r w:rsidRPr="001C63E0">
        <w:rPr>
          <w:rFonts w:cs="Arial"/>
          <w:lang w:val="it-IT" w:eastAsia="it-IT"/>
        </w:rPr>
        <w:t xml:space="preserve"> è disciplinata principalmente dall’art.</w:t>
      </w:r>
      <w:r w:rsidR="005E24B6">
        <w:rPr>
          <w:rFonts w:cs="Arial"/>
          <w:lang w:val="it-IT" w:eastAsia="it-IT"/>
        </w:rPr>
        <w:t xml:space="preserve"> </w:t>
      </w:r>
      <w:r w:rsidRPr="001C63E0">
        <w:rPr>
          <w:rFonts w:cs="Arial"/>
          <w:lang w:val="it-IT" w:eastAsia="it-IT"/>
        </w:rPr>
        <w:t>331 cpv.</w:t>
      </w:r>
      <w:r w:rsidR="005E24B6">
        <w:rPr>
          <w:rFonts w:cs="Arial"/>
          <w:lang w:val="it-IT" w:eastAsia="it-IT"/>
        </w:rPr>
        <w:t xml:space="preserve"> </w:t>
      </w:r>
      <w:r w:rsidRPr="001C63E0">
        <w:rPr>
          <w:rFonts w:cs="Arial"/>
          <w:lang w:val="it-IT" w:eastAsia="it-IT"/>
        </w:rPr>
        <w:t>3 CO</w:t>
      </w:r>
      <w:r w:rsidRPr="001C63E0">
        <w:rPr>
          <w:rFonts w:cs="Arial"/>
          <w:vertAlign w:val="superscript"/>
          <w:lang w:val="it-IT" w:eastAsia="it-IT"/>
        </w:rPr>
        <w:footnoteReference w:id="66"/>
      </w:r>
      <w:r w:rsidRPr="001C63E0">
        <w:rPr>
          <w:rFonts w:cs="Arial"/>
          <w:lang w:val="it-IT" w:eastAsia="it-IT"/>
        </w:rPr>
        <w:t>, il quale prevede che i contributi del datore di lavoro debbano provenire da fondi propri o da riserve di contributi alimentati previamente a tal fine. La RCDL ordinaria è limitata all’importo del quintuplo dei contributi annui del datore di lavoro</w:t>
      </w:r>
      <w:r w:rsidRPr="001C63E0">
        <w:rPr>
          <w:rFonts w:cs="Arial"/>
          <w:vertAlign w:val="superscript"/>
          <w:lang w:val="it-IT" w:eastAsia="it-IT"/>
        </w:rPr>
        <w:footnoteReference w:id="67"/>
      </w:r>
      <w:r w:rsidRPr="001C63E0">
        <w:rPr>
          <w:rFonts w:cs="Arial"/>
          <w:lang w:val="it-IT" w:eastAsia="it-IT"/>
        </w:rPr>
        <w:t xml:space="preserve"> e può maturare interessi.</w:t>
      </w:r>
    </w:p>
    <w:p w:rsidR="001C63E0" w:rsidRPr="001C63E0" w:rsidRDefault="001C63E0" w:rsidP="001C63E0">
      <w:pPr>
        <w:spacing w:before="120"/>
        <w:rPr>
          <w:rFonts w:cs="Arial"/>
          <w:lang w:val="it-IT" w:eastAsia="it-IT"/>
        </w:rPr>
      </w:pPr>
      <w:r w:rsidRPr="001C63E0">
        <w:rPr>
          <w:rFonts w:cs="Arial"/>
          <w:lang w:val="it-IT" w:eastAsia="it-IT"/>
        </w:rPr>
        <w:lastRenderedPageBreak/>
        <w:t xml:space="preserve">La </w:t>
      </w:r>
      <w:r w:rsidRPr="001C63E0">
        <w:rPr>
          <w:rFonts w:cs="Arial"/>
          <w:b/>
          <w:bCs/>
          <w:lang w:val="it-IT" w:eastAsia="it-IT"/>
        </w:rPr>
        <w:t>RCDL con rinuncia all’utilizzazione</w:t>
      </w:r>
      <w:r w:rsidRPr="001C63E0">
        <w:rPr>
          <w:rFonts w:cs="Arial"/>
          <w:lang w:val="it-IT" w:eastAsia="it-IT"/>
        </w:rPr>
        <w:t xml:space="preserve"> invece è regolata dall’art.</w:t>
      </w:r>
      <w:r w:rsidR="005E24B6">
        <w:rPr>
          <w:rFonts w:cs="Arial"/>
          <w:lang w:val="it-IT" w:eastAsia="it-IT"/>
        </w:rPr>
        <w:t xml:space="preserve"> </w:t>
      </w:r>
      <w:r w:rsidRPr="001C63E0">
        <w:rPr>
          <w:rFonts w:cs="Arial"/>
          <w:lang w:val="it-IT" w:eastAsia="it-IT"/>
        </w:rPr>
        <w:t>65e LPP</w:t>
      </w:r>
      <w:r w:rsidRPr="001C63E0">
        <w:rPr>
          <w:rFonts w:cs="Arial"/>
          <w:vertAlign w:val="superscript"/>
          <w:lang w:val="it-IT" w:eastAsia="it-IT"/>
        </w:rPr>
        <w:footnoteReference w:id="68"/>
      </w:r>
      <w:r w:rsidRPr="001C63E0">
        <w:rPr>
          <w:rFonts w:cs="Arial"/>
          <w:lang w:val="it-IT" w:eastAsia="it-IT"/>
        </w:rPr>
        <w:t>, rispettivamente dall’art.</w:t>
      </w:r>
      <w:r w:rsidR="005E24B6">
        <w:rPr>
          <w:rFonts w:cs="Arial"/>
          <w:lang w:val="it-IT" w:eastAsia="it-IT"/>
        </w:rPr>
        <w:t xml:space="preserve"> </w:t>
      </w:r>
      <w:r w:rsidRPr="001C63E0">
        <w:rPr>
          <w:rFonts w:cs="Arial"/>
          <w:lang w:val="it-IT" w:eastAsia="it-IT"/>
        </w:rPr>
        <w:t>44a OPP2. Dalla sistematica della LPP, questa RCDL è una possibile misura di risanamento in caso di copertura insufficiente con l’obiettivo di evitare di dover prendere altre misure. In particolare l’art. 65e cpv. 1 LPP concede che l’istituto di previdenza “può prevedere nel suo regolamento che, in caso di copertura insufficiente, il datore di lavoro sia autorizzato a effettuare versamenti su un conto speciale a titolo di riserva dei contributi del datore di lavoro gravata da rinuncia all’utilizzazione (RCDL con rinuncia all’utilizzazione), come pure a trasferirvi fondi della riserva ordinaria dei suoi contributi”. Questa RCDL ha il pregio che per l’istituto di previdenza viene calcolato un secondo grado di copertura, più alto rispetto a quello ordinario</w:t>
      </w:r>
      <w:r w:rsidRPr="001C63E0">
        <w:rPr>
          <w:rFonts w:cs="Arial"/>
          <w:vertAlign w:val="superscript"/>
          <w:lang w:val="it-IT" w:eastAsia="it-IT"/>
        </w:rPr>
        <w:footnoteReference w:id="69"/>
      </w:r>
      <w:r w:rsidRPr="001C63E0">
        <w:rPr>
          <w:rFonts w:cs="Arial"/>
          <w:lang w:val="it-IT" w:eastAsia="it-IT"/>
        </w:rPr>
        <w:t>, che prende in considerazione la RCDL con rinuncia all’utilizzazione, sommando il relativo importo al patrimonio disponibile. A differenza della RCDL ordinaria, la RCDL con rinuncia all’utilizzazione non può maturare interessi. La RCDL con rinuncia all’utilizzazione non può essere utilizzata, neanche in parte, fino al momento in cui l’istituto di previdenza non raggiunge di nuovo una copertura sufficiente, ossia un grado di copertura globale ordinario (cioè senza attribuzione della RCDL con rinuncia al patrimonio disponibile) nel caso specifico dell’IPCT dell’85%. Dal momento che può essere sciolta, dev’essere trasferita nella RCDL ordinaria.</w:t>
      </w:r>
    </w:p>
    <w:p w:rsidR="001C63E0" w:rsidRPr="001C63E0" w:rsidRDefault="001C63E0" w:rsidP="001C63E0">
      <w:pPr>
        <w:spacing w:before="120"/>
        <w:rPr>
          <w:rFonts w:cs="Arial"/>
          <w:lang w:val="it-IT" w:eastAsia="it-IT"/>
        </w:rPr>
      </w:pPr>
      <w:r w:rsidRPr="001C63E0">
        <w:rPr>
          <w:rFonts w:cs="Arial"/>
          <w:lang w:val="it-IT" w:eastAsia="it-IT"/>
        </w:rPr>
        <w:t>La costituzione di una RCDL con rinuncia all’utilizzazione è possibile anche nel caso dell’IPCT malgrado si tratti di un istituto di previdenza in regime di capitalizzazione parziale ai sensi degli artt.72a ss. LPP</w:t>
      </w:r>
      <w:r w:rsidRPr="001C63E0">
        <w:rPr>
          <w:rFonts w:cs="Arial"/>
          <w:vertAlign w:val="superscript"/>
          <w:lang w:val="it-IT" w:eastAsia="it-IT"/>
        </w:rPr>
        <w:footnoteReference w:id="70"/>
      </w:r>
      <w:r w:rsidRPr="001C63E0">
        <w:rPr>
          <w:rFonts w:cs="Arial"/>
          <w:lang w:val="it-IT" w:eastAsia="it-IT"/>
        </w:rPr>
        <w:t>. Secondo quanto riferito con lettera del 16 novembre 2021 dalla Direzione dell’IPCT al Consiglio di Stato, l’Autorità di vigilanza</w:t>
      </w:r>
      <w:r w:rsidRPr="001C63E0">
        <w:rPr>
          <w:rFonts w:cs="Arial"/>
          <w:vertAlign w:val="superscript"/>
          <w:lang w:val="it-IT" w:eastAsia="it-IT"/>
        </w:rPr>
        <w:footnoteReference w:id="71"/>
      </w:r>
      <w:r w:rsidRPr="001C63E0">
        <w:rPr>
          <w:rFonts w:cs="Arial"/>
          <w:lang w:val="it-IT" w:eastAsia="it-IT"/>
        </w:rPr>
        <w:t xml:space="preserve"> dell’IPCT sarebbe già al corrente della proposta qui oggetto di discussione e avrebbe dato il suo accordo di principio.</w:t>
      </w:r>
    </w:p>
    <w:p w:rsidR="001C63E0" w:rsidRPr="001C63E0" w:rsidRDefault="001C63E0" w:rsidP="00702913">
      <w:pPr>
        <w:spacing w:before="120"/>
        <w:rPr>
          <w:rFonts w:cs="Arial"/>
          <w:lang w:val="it-IT" w:eastAsia="it-IT"/>
        </w:rPr>
      </w:pPr>
      <w:r w:rsidRPr="001C63E0">
        <w:rPr>
          <w:rFonts w:cs="Arial"/>
          <w:lang w:val="it-IT" w:eastAsia="it-IT"/>
        </w:rPr>
        <w:t>In dettaglio la proposta si presenta globalmente come segue:</w:t>
      </w:r>
    </w:p>
    <w:p w:rsidR="001C63E0" w:rsidRPr="001C63E0" w:rsidRDefault="001C63E0" w:rsidP="00702913">
      <w:pPr>
        <w:numPr>
          <w:ilvl w:val="0"/>
          <w:numId w:val="18"/>
        </w:numPr>
        <w:spacing w:before="120"/>
        <w:ind w:left="284" w:hanging="284"/>
        <w:rPr>
          <w:rFonts w:cs="Arial"/>
          <w:lang w:val="it-IT" w:eastAsia="it-IT"/>
        </w:rPr>
      </w:pPr>
      <w:r w:rsidRPr="001C63E0">
        <w:rPr>
          <w:rFonts w:cs="Arial"/>
          <w:lang w:val="it-IT" w:eastAsia="it-IT"/>
        </w:rPr>
        <w:t>il Cantone raccoglie e versa all’IPCT CHF</w:t>
      </w:r>
      <w:r w:rsidR="005E24B6">
        <w:rPr>
          <w:rFonts w:cs="Arial"/>
          <w:lang w:val="it-IT" w:eastAsia="it-IT"/>
        </w:rPr>
        <w:t xml:space="preserve"> </w:t>
      </w:r>
      <w:r w:rsidRPr="001C63E0">
        <w:rPr>
          <w:rFonts w:cs="Arial"/>
          <w:lang w:val="it-IT" w:eastAsia="it-IT"/>
        </w:rPr>
        <w:t xml:space="preserve">700 mio. tramite l’emissione di obbligazioni (segnatamente con scadenza a 30 anni) in tre </w:t>
      </w:r>
      <w:r w:rsidRPr="001C63E0">
        <w:rPr>
          <w:rFonts w:cs="Arial"/>
          <w:i/>
          <w:iCs/>
          <w:lang w:val="it-IT" w:eastAsia="it-IT"/>
        </w:rPr>
        <w:t>tranche</w:t>
      </w:r>
      <w:r w:rsidRPr="001C63E0">
        <w:rPr>
          <w:rFonts w:cs="Arial"/>
          <w:lang w:val="it-IT" w:eastAsia="it-IT"/>
        </w:rPr>
        <w:t xml:space="preserve"> sull’arco di circa 18 mesi, indicativamente con la seguente tempistica:</w:t>
      </w:r>
    </w:p>
    <w:p w:rsidR="001C63E0" w:rsidRPr="001C63E0" w:rsidRDefault="001C63E0" w:rsidP="00702913">
      <w:pPr>
        <w:numPr>
          <w:ilvl w:val="1"/>
          <w:numId w:val="18"/>
        </w:numPr>
        <w:tabs>
          <w:tab w:val="left" w:pos="567"/>
        </w:tabs>
        <w:spacing w:before="120"/>
        <w:ind w:left="284" w:firstLine="0"/>
        <w:rPr>
          <w:rFonts w:cs="Arial"/>
          <w:lang w:val="it-IT" w:eastAsia="it-IT"/>
        </w:rPr>
      </w:pPr>
      <w:r w:rsidRPr="001C63E0">
        <w:rPr>
          <w:rFonts w:cs="Arial"/>
          <w:lang w:val="it-IT" w:eastAsia="it-IT"/>
        </w:rPr>
        <w:t>CHF</w:t>
      </w:r>
      <w:r w:rsidR="005E24B6">
        <w:rPr>
          <w:rFonts w:cs="Arial"/>
          <w:lang w:val="it-IT" w:eastAsia="it-IT"/>
        </w:rPr>
        <w:t xml:space="preserve"> </w:t>
      </w:r>
      <w:r w:rsidRPr="001C63E0">
        <w:rPr>
          <w:rFonts w:cs="Arial"/>
          <w:lang w:val="it-IT" w:eastAsia="it-IT"/>
        </w:rPr>
        <w:t>250 mio. nel primo semestre del 2022, quale RCDL ordinaria;</w:t>
      </w:r>
    </w:p>
    <w:p w:rsidR="001C63E0" w:rsidRPr="001C63E0" w:rsidRDefault="001C63E0" w:rsidP="00702913">
      <w:pPr>
        <w:numPr>
          <w:ilvl w:val="1"/>
          <w:numId w:val="18"/>
        </w:numPr>
        <w:tabs>
          <w:tab w:val="left" w:pos="567"/>
        </w:tabs>
        <w:spacing w:before="120"/>
        <w:ind w:left="284" w:firstLine="0"/>
        <w:rPr>
          <w:rFonts w:cs="Arial"/>
          <w:lang w:val="it-IT" w:eastAsia="it-IT"/>
        </w:rPr>
      </w:pPr>
      <w:r w:rsidRPr="001C63E0">
        <w:rPr>
          <w:rFonts w:cs="Arial"/>
          <w:lang w:val="it-IT" w:eastAsia="it-IT"/>
        </w:rPr>
        <w:t>CHF</w:t>
      </w:r>
      <w:r w:rsidR="005E24B6">
        <w:rPr>
          <w:rFonts w:cs="Arial"/>
          <w:lang w:val="it-IT" w:eastAsia="it-IT"/>
        </w:rPr>
        <w:t xml:space="preserve"> </w:t>
      </w:r>
      <w:r w:rsidRPr="001C63E0">
        <w:rPr>
          <w:rFonts w:cs="Arial"/>
          <w:lang w:val="it-IT" w:eastAsia="it-IT"/>
        </w:rPr>
        <w:t>250 mio. nel secondo semestre del 2022, quale RCDL con rinuncia;</w:t>
      </w:r>
    </w:p>
    <w:p w:rsidR="001C63E0" w:rsidRPr="001C63E0" w:rsidRDefault="001C63E0" w:rsidP="00702913">
      <w:pPr>
        <w:numPr>
          <w:ilvl w:val="1"/>
          <w:numId w:val="18"/>
        </w:numPr>
        <w:tabs>
          <w:tab w:val="left" w:pos="567"/>
        </w:tabs>
        <w:spacing w:before="120"/>
        <w:ind w:left="284" w:firstLine="0"/>
        <w:rPr>
          <w:rFonts w:cs="Arial"/>
          <w:lang w:val="it-IT" w:eastAsia="it-IT"/>
        </w:rPr>
      </w:pPr>
      <w:r w:rsidRPr="001C63E0">
        <w:rPr>
          <w:rFonts w:cs="Arial"/>
          <w:lang w:val="it-IT" w:eastAsia="it-IT"/>
        </w:rPr>
        <w:t>CHF</w:t>
      </w:r>
      <w:r w:rsidR="005E24B6">
        <w:rPr>
          <w:rFonts w:cs="Arial"/>
          <w:lang w:val="it-IT" w:eastAsia="it-IT"/>
        </w:rPr>
        <w:t xml:space="preserve"> </w:t>
      </w:r>
      <w:r w:rsidRPr="001C63E0">
        <w:rPr>
          <w:rFonts w:cs="Arial"/>
          <w:lang w:val="it-IT" w:eastAsia="it-IT"/>
        </w:rPr>
        <w:t>200 mio. nel primo semestre del 2023, quale RCDL ordinaria;</w:t>
      </w:r>
    </w:p>
    <w:p w:rsidR="001C63E0" w:rsidRPr="001C63E0" w:rsidRDefault="001C63E0" w:rsidP="00702913">
      <w:pPr>
        <w:numPr>
          <w:ilvl w:val="0"/>
          <w:numId w:val="18"/>
        </w:numPr>
        <w:spacing w:before="120"/>
        <w:ind w:left="284" w:hanging="284"/>
        <w:rPr>
          <w:rFonts w:cs="Arial"/>
          <w:lang w:val="it-IT" w:eastAsia="it-IT"/>
        </w:rPr>
      </w:pPr>
      <w:r w:rsidRPr="001C63E0">
        <w:rPr>
          <w:rFonts w:cs="Arial"/>
          <w:lang w:val="it-IT" w:eastAsia="it-IT"/>
        </w:rPr>
        <w:t>il Cantone versa all’IPCT CHF 700 mio. di liquidità, di cui:</w:t>
      </w:r>
    </w:p>
    <w:p w:rsidR="001C63E0" w:rsidRPr="001C63E0" w:rsidRDefault="001C63E0" w:rsidP="00702913">
      <w:pPr>
        <w:numPr>
          <w:ilvl w:val="1"/>
          <w:numId w:val="18"/>
        </w:numPr>
        <w:tabs>
          <w:tab w:val="left" w:pos="567"/>
        </w:tabs>
        <w:spacing w:before="120"/>
        <w:ind w:left="284" w:firstLine="0"/>
        <w:rPr>
          <w:rFonts w:cs="Arial"/>
          <w:lang w:val="it-IT" w:eastAsia="it-IT"/>
        </w:rPr>
      </w:pPr>
      <w:r w:rsidRPr="001C63E0">
        <w:rPr>
          <w:rFonts w:cs="Arial"/>
          <w:lang w:val="it-IT" w:eastAsia="it-IT"/>
        </w:rPr>
        <w:t>CHF</w:t>
      </w:r>
      <w:r w:rsidR="005E24B6">
        <w:rPr>
          <w:rFonts w:cs="Arial"/>
          <w:lang w:val="it-IT" w:eastAsia="it-IT"/>
        </w:rPr>
        <w:t xml:space="preserve"> </w:t>
      </w:r>
      <w:r w:rsidRPr="001C63E0">
        <w:rPr>
          <w:rFonts w:cs="Arial"/>
          <w:lang w:val="it-IT" w:eastAsia="it-IT"/>
        </w:rPr>
        <w:t>450 mio. di RCDL ordinaria;</w:t>
      </w:r>
    </w:p>
    <w:p w:rsidR="001C63E0" w:rsidRPr="001C63E0" w:rsidRDefault="001C63E0" w:rsidP="00702913">
      <w:pPr>
        <w:numPr>
          <w:ilvl w:val="1"/>
          <w:numId w:val="18"/>
        </w:numPr>
        <w:tabs>
          <w:tab w:val="left" w:pos="567"/>
        </w:tabs>
        <w:spacing w:before="120"/>
        <w:ind w:left="284" w:firstLine="0"/>
        <w:rPr>
          <w:rFonts w:cs="Arial"/>
          <w:lang w:val="it-IT" w:eastAsia="it-IT"/>
        </w:rPr>
      </w:pPr>
      <w:r w:rsidRPr="001C63E0">
        <w:rPr>
          <w:rFonts w:cs="Arial"/>
          <w:lang w:val="it-IT" w:eastAsia="it-IT"/>
        </w:rPr>
        <w:t>CHF</w:t>
      </w:r>
      <w:r w:rsidR="005E24B6">
        <w:rPr>
          <w:rFonts w:cs="Arial"/>
          <w:lang w:val="it-IT" w:eastAsia="it-IT"/>
        </w:rPr>
        <w:t xml:space="preserve"> </w:t>
      </w:r>
      <w:r w:rsidRPr="001C63E0">
        <w:rPr>
          <w:rFonts w:cs="Arial"/>
          <w:lang w:val="it-IT" w:eastAsia="it-IT"/>
        </w:rPr>
        <w:t>250 mio. di RCDL con rinuncia all’utilizzazione;</w:t>
      </w:r>
    </w:p>
    <w:p w:rsidR="001C63E0" w:rsidRPr="001C63E0" w:rsidRDefault="001C63E0" w:rsidP="00702913">
      <w:pPr>
        <w:numPr>
          <w:ilvl w:val="0"/>
          <w:numId w:val="18"/>
        </w:numPr>
        <w:spacing w:before="120"/>
        <w:ind w:left="284" w:hanging="284"/>
        <w:rPr>
          <w:rFonts w:cs="Arial"/>
          <w:lang w:val="it-IT" w:eastAsia="it-IT"/>
        </w:rPr>
      </w:pPr>
      <w:r w:rsidRPr="001C63E0">
        <w:rPr>
          <w:rFonts w:cs="Arial"/>
          <w:lang w:val="it-IT" w:eastAsia="it-IT"/>
        </w:rPr>
        <w:t>entrambe le RCDL possono essere attivate a bilancio per il Cantone, mentre l’IPCT le iscrive al proprio passivo;</w:t>
      </w:r>
    </w:p>
    <w:p w:rsidR="001C63E0" w:rsidRPr="001C63E0" w:rsidRDefault="001C63E0" w:rsidP="00702913">
      <w:pPr>
        <w:numPr>
          <w:ilvl w:val="0"/>
          <w:numId w:val="18"/>
        </w:numPr>
        <w:spacing w:before="120"/>
        <w:ind w:left="284" w:hanging="284"/>
        <w:rPr>
          <w:rFonts w:cs="Arial"/>
          <w:lang w:val="it-IT" w:eastAsia="it-IT"/>
        </w:rPr>
      </w:pPr>
      <w:r w:rsidRPr="001C63E0">
        <w:rPr>
          <w:rFonts w:cs="Arial"/>
          <w:lang w:val="it-IT" w:eastAsia="it-IT"/>
        </w:rPr>
        <w:t>la RCDL ordinaria di CHF</w:t>
      </w:r>
      <w:r w:rsidR="005E24B6">
        <w:rPr>
          <w:rFonts w:cs="Arial"/>
          <w:lang w:val="it-IT" w:eastAsia="it-IT"/>
        </w:rPr>
        <w:t xml:space="preserve"> </w:t>
      </w:r>
      <w:r w:rsidRPr="001C63E0">
        <w:rPr>
          <w:rFonts w:cs="Arial"/>
          <w:lang w:val="it-IT" w:eastAsia="it-IT"/>
        </w:rPr>
        <w:t>450 mio. verrà remunerata annualmente per coprire gli interessi dovuti all’indebitamento di CHF</w:t>
      </w:r>
      <w:r w:rsidR="005E24B6">
        <w:rPr>
          <w:rFonts w:cs="Arial"/>
          <w:lang w:val="it-IT" w:eastAsia="it-IT"/>
        </w:rPr>
        <w:t xml:space="preserve"> </w:t>
      </w:r>
      <w:r w:rsidRPr="001C63E0">
        <w:rPr>
          <w:rFonts w:cs="Arial"/>
          <w:lang w:val="it-IT" w:eastAsia="it-IT"/>
        </w:rPr>
        <w:t>700 mio. a carico del Cantone. I dettagli saranno definiti nella convenzione che dovrà essere sottoscritta tra il Consiglio di Stato e l’IPCT;</w:t>
      </w:r>
    </w:p>
    <w:p w:rsidR="001C63E0" w:rsidRPr="001C63E0" w:rsidRDefault="001C63E0" w:rsidP="00702913">
      <w:pPr>
        <w:numPr>
          <w:ilvl w:val="0"/>
          <w:numId w:val="18"/>
        </w:numPr>
        <w:spacing w:before="120"/>
        <w:ind w:left="284" w:hanging="284"/>
        <w:rPr>
          <w:rFonts w:cs="Arial"/>
          <w:lang w:val="it-IT" w:eastAsia="it-IT"/>
        </w:rPr>
      </w:pPr>
      <w:r w:rsidRPr="001C63E0">
        <w:rPr>
          <w:rFonts w:cs="Arial"/>
          <w:lang w:val="it-IT" w:eastAsia="it-IT"/>
        </w:rPr>
        <w:lastRenderedPageBreak/>
        <w:t>l’IPCT disporrà di CHF</w:t>
      </w:r>
      <w:r w:rsidR="005E24B6">
        <w:rPr>
          <w:rFonts w:cs="Arial"/>
          <w:lang w:val="it-IT" w:eastAsia="it-IT"/>
        </w:rPr>
        <w:t xml:space="preserve"> </w:t>
      </w:r>
      <w:r w:rsidRPr="001C63E0">
        <w:rPr>
          <w:rFonts w:cs="Arial"/>
          <w:lang w:val="it-IT" w:eastAsia="it-IT"/>
        </w:rPr>
        <w:t>700 mio. di liquidità in più da investire</w:t>
      </w:r>
      <w:r w:rsidRPr="001C63E0">
        <w:rPr>
          <w:rFonts w:cs="Arial"/>
          <w:vertAlign w:val="superscript"/>
          <w:lang w:val="it-IT" w:eastAsia="it-IT"/>
        </w:rPr>
        <w:footnoteReference w:id="72"/>
      </w:r>
      <w:r w:rsidRPr="001C63E0">
        <w:rPr>
          <w:rFonts w:cs="Arial"/>
          <w:lang w:val="it-IT" w:eastAsia="it-IT"/>
        </w:rPr>
        <w:t>, il cui rendimento (supposto sulla base delle analisi delle sezioni precedenti) eccedente la remunerazione della RCDL ordinaria permetterà di migliorare la situazione finanziaria dell’IPCT;</w:t>
      </w:r>
    </w:p>
    <w:p w:rsidR="001C63E0" w:rsidRPr="001C63E0" w:rsidRDefault="001C63E0" w:rsidP="00357DAC">
      <w:pPr>
        <w:numPr>
          <w:ilvl w:val="0"/>
          <w:numId w:val="18"/>
        </w:numPr>
        <w:spacing w:before="120"/>
        <w:ind w:left="284" w:hanging="284"/>
        <w:rPr>
          <w:rFonts w:cs="Arial"/>
          <w:lang w:val="it-IT" w:eastAsia="it-IT"/>
        </w:rPr>
      </w:pPr>
      <w:r w:rsidRPr="001C63E0">
        <w:rPr>
          <w:rFonts w:cs="Arial"/>
          <w:lang w:val="it-IT" w:eastAsia="it-IT"/>
        </w:rPr>
        <w:t>l’IPCT calcolerà un secondo grado di copertura, più alto rispetto a quello ordinario, aggiungendo al patrimonio disponibile la RCDL con rinuncia all’utilizzazione di CHF 250 mio. – questo secondo grado di copertura sarà determinante per valutare se l’IPCT rispetterà il cammino previsto dal piano di finanziamento in vigore;</w:t>
      </w:r>
      <w:r w:rsidRPr="001C63E0">
        <w:rPr>
          <w:rFonts w:cs="Arial"/>
          <w:vertAlign w:val="superscript"/>
          <w:lang w:val="it-IT" w:eastAsia="it-IT"/>
        </w:rPr>
        <w:footnoteReference w:id="73"/>
      </w:r>
    </w:p>
    <w:p w:rsidR="001C63E0" w:rsidRPr="001C63E0" w:rsidRDefault="001C63E0" w:rsidP="00357DAC">
      <w:pPr>
        <w:numPr>
          <w:ilvl w:val="0"/>
          <w:numId w:val="18"/>
        </w:numPr>
        <w:spacing w:before="120"/>
        <w:ind w:left="284" w:hanging="284"/>
        <w:rPr>
          <w:rFonts w:cs="Arial"/>
          <w:lang w:val="it-IT" w:eastAsia="it-IT"/>
        </w:rPr>
      </w:pPr>
      <w:r w:rsidRPr="001C63E0">
        <w:rPr>
          <w:rFonts w:cs="Arial"/>
          <w:lang w:val="it-IT" w:eastAsia="it-IT"/>
        </w:rPr>
        <w:t>la RCDL con rinuncia all’utilizzazione potrà e dovrà essere sciolta e trasferita nella RCDL ordinaria una volta che il grado di copertura globale ordinario (cioè senza attribuzione della RCDL con rinuncia al patrimonio disponibile) dell’IPCT avrà raggiunto l’85% (uno scioglimento anticipato nella RCDL ordinaria, anche solo parziale, non è possibile);</w:t>
      </w:r>
    </w:p>
    <w:p w:rsidR="001C63E0" w:rsidRPr="001C63E0" w:rsidRDefault="001C63E0" w:rsidP="00357DAC">
      <w:pPr>
        <w:numPr>
          <w:ilvl w:val="0"/>
          <w:numId w:val="18"/>
        </w:numPr>
        <w:spacing w:before="120"/>
        <w:ind w:left="284" w:hanging="284"/>
        <w:rPr>
          <w:rFonts w:cs="Arial"/>
          <w:lang w:val="it-IT" w:eastAsia="it-IT"/>
        </w:rPr>
      </w:pPr>
      <w:r w:rsidRPr="001C63E0">
        <w:rPr>
          <w:rFonts w:cs="Arial"/>
          <w:lang w:val="it-IT" w:eastAsia="it-IT"/>
        </w:rPr>
        <w:t>al fine di permettere all’IPCT di migliorare la propria situazione finanziaria, il Cantone si impegna a non utilizzare la RCDL ordinaria fintanto che il grado di copertura globale ordinario (cioè senza attribuzione della RCDL con rinuncia al patrimonio disponibile) dell’IPCT non avrà raggiunto l’85%.</w:t>
      </w:r>
    </w:p>
    <w:p w:rsidR="001C63E0" w:rsidRPr="001C63E0" w:rsidRDefault="001C63E0" w:rsidP="00357DAC">
      <w:pPr>
        <w:rPr>
          <w:rFonts w:cs="Arial"/>
          <w:lang w:val="it-IT" w:eastAsia="it-IT"/>
        </w:rPr>
      </w:pPr>
    </w:p>
    <w:p w:rsidR="001C63E0" w:rsidRPr="001C63E0" w:rsidRDefault="001C63E0" w:rsidP="00357DAC">
      <w:pPr>
        <w:rPr>
          <w:rFonts w:cs="Arial"/>
          <w:lang w:val="it-IT" w:eastAsia="it-IT"/>
        </w:rPr>
      </w:pPr>
      <w:r w:rsidRPr="001C63E0">
        <w:rPr>
          <w:rFonts w:cs="Arial"/>
          <w:lang w:val="it-IT" w:eastAsia="it-IT"/>
        </w:rPr>
        <w:t>L’importo di CHF 700 mio. deriva dal fatto che, a causa della riduzione del tasso tecnico all’1.5% dell’IPCT con effetto al 31 dicembre 2020, il maggior costo delle garanzie di pensione concesse agli assicurati con almeno 50 anni nell’ambito della riforma dell’IPCT entrata in vigore al 1</w:t>
      </w:r>
      <w:r w:rsidR="005E24B6">
        <w:rPr>
          <w:rFonts w:cs="Arial"/>
          <w:lang w:val="it-IT" w:eastAsia="it-IT"/>
        </w:rPr>
        <w:t xml:space="preserve">° </w:t>
      </w:r>
      <w:r w:rsidRPr="001C63E0">
        <w:rPr>
          <w:rFonts w:cs="Arial"/>
          <w:lang w:val="it-IT" w:eastAsia="it-IT"/>
        </w:rPr>
        <w:t>gennaio 2013 è lievitato a circa CHF</w:t>
      </w:r>
      <w:r w:rsidR="005E24B6">
        <w:rPr>
          <w:rFonts w:cs="Arial"/>
          <w:lang w:val="it-IT" w:eastAsia="it-IT"/>
        </w:rPr>
        <w:t xml:space="preserve"> </w:t>
      </w:r>
      <w:r w:rsidRPr="001C63E0">
        <w:rPr>
          <w:rFonts w:cs="Arial"/>
          <w:lang w:val="it-IT" w:eastAsia="it-IT"/>
        </w:rPr>
        <w:t>690 mio.</w:t>
      </w:r>
      <w:r w:rsidRPr="001C63E0">
        <w:rPr>
          <w:rFonts w:cs="Arial"/>
          <w:vertAlign w:val="superscript"/>
          <w:lang w:val="it-IT" w:eastAsia="it-IT"/>
        </w:rPr>
        <w:footnoteReference w:id="74"/>
      </w:r>
    </w:p>
    <w:p w:rsidR="001C63E0" w:rsidRPr="001C63E0" w:rsidRDefault="001C63E0" w:rsidP="001C63E0">
      <w:pPr>
        <w:spacing w:before="120"/>
        <w:rPr>
          <w:rFonts w:cs="Arial"/>
          <w:lang w:val="it-IT"/>
        </w:rPr>
      </w:pPr>
      <w:r w:rsidRPr="001C63E0">
        <w:rPr>
          <w:rFonts w:cs="Arial"/>
          <w:lang w:val="it-IT"/>
        </w:rPr>
        <w:t>Va riconosciuto che, qualora i mercati finanziari dovessero crollare o anche solo non rispettare le aspettative di rendimento in loro riposte, con questa soluzione il problema di rifinanziamento dell’IPCT si riproporrà daccapo, per quanto attiene alle garanzie di pensione. Il rischio che ciò avvenga a fronte di un investimento trentennale sui mercati azionari mondiali è stato approfonditamente analizzato nella sezione 6 del presente rapporto. In relazione a ciò e come già detto in precedenza, la Commissione gestione e finanze ha ribadito a più riprese l’auspicio che i CHF</w:t>
      </w:r>
      <w:r w:rsidR="00EF6D1E">
        <w:rPr>
          <w:rFonts w:cs="Arial"/>
          <w:lang w:val="it-IT"/>
        </w:rPr>
        <w:t xml:space="preserve"> </w:t>
      </w:r>
      <w:r w:rsidRPr="001C63E0">
        <w:rPr>
          <w:rFonts w:cs="Arial"/>
          <w:lang w:val="it-IT"/>
        </w:rPr>
        <w:t>700 mio. messi a disposizione dal Cantone siano di principio investiti – attraverso un nuovo e aggiuntivo mandato di gestione – nei mercati finanziari internazionali (nel limite del possibile azionari) per cercare di massimizzare i rendimenti a lungo termine e aumentare la quota azionaria del patrimonio IPCT. Tutto ciò premesso, si osserva che la competenza circa la scelta della strategia d’investimento del patrimonio spetta in ogni caso unicamente al Consiglio di amministrazione dell’IPCT, sostenuto dai professionisti che già oggi lo assistono.</w:t>
      </w:r>
    </w:p>
    <w:p w:rsidR="001C63E0" w:rsidRDefault="001C63E0" w:rsidP="00E62868">
      <w:pPr>
        <w:rPr>
          <w:rFonts w:cs="Arial"/>
          <w:lang w:val="it-IT"/>
        </w:rPr>
      </w:pPr>
    </w:p>
    <w:p w:rsidR="00E62868" w:rsidRPr="001C63E0" w:rsidRDefault="00E62868" w:rsidP="00E62868">
      <w:pPr>
        <w:rPr>
          <w:rFonts w:cs="Arial"/>
          <w:lang w:val="it-IT"/>
        </w:rPr>
      </w:pPr>
    </w:p>
    <w:p w:rsidR="001C63E0" w:rsidRPr="001C63E0" w:rsidRDefault="001C63E0" w:rsidP="00E62868">
      <w:pPr>
        <w:keepNext/>
        <w:tabs>
          <w:tab w:val="left" w:pos="709"/>
        </w:tabs>
        <w:ind w:left="357" w:hanging="357"/>
        <w:outlineLvl w:val="1"/>
        <w:rPr>
          <w:rFonts w:cs="Arial"/>
          <w:b/>
          <w:lang w:val="it-IT" w:eastAsia="it-IT"/>
        </w:rPr>
      </w:pPr>
      <w:bookmarkStart w:id="67" w:name="_Toc98976125"/>
      <w:r w:rsidRPr="001C63E0">
        <w:rPr>
          <w:rFonts w:cs="Arial"/>
          <w:b/>
          <w:lang w:val="it-IT" w:eastAsia="it-IT"/>
        </w:rPr>
        <w:t>8.2</w:t>
      </w:r>
      <w:r w:rsidRPr="001C63E0">
        <w:rPr>
          <w:rFonts w:cs="Arial"/>
          <w:b/>
          <w:lang w:val="it-IT" w:eastAsia="it-IT"/>
        </w:rPr>
        <w:tab/>
      </w:r>
      <w:r w:rsidR="000740F3">
        <w:rPr>
          <w:rFonts w:cs="Arial"/>
          <w:b/>
          <w:lang w:val="it-IT" w:eastAsia="it-IT"/>
        </w:rPr>
        <w:tab/>
      </w:r>
      <w:r w:rsidRPr="001C63E0">
        <w:rPr>
          <w:rFonts w:cs="Arial"/>
          <w:b/>
          <w:lang w:val="it-IT" w:eastAsia="it-IT"/>
        </w:rPr>
        <w:t>Analisi della proposta agli occhi del Cantone</w:t>
      </w:r>
      <w:bookmarkEnd w:id="67"/>
    </w:p>
    <w:p w:rsidR="001C63E0" w:rsidRPr="001C63E0" w:rsidRDefault="001C63E0" w:rsidP="001C63E0">
      <w:pPr>
        <w:spacing w:before="120"/>
        <w:rPr>
          <w:rFonts w:cs="Arial"/>
          <w:lang w:val="it-IT"/>
        </w:rPr>
      </w:pPr>
      <w:r w:rsidRPr="001C63E0">
        <w:rPr>
          <w:rFonts w:cs="Arial"/>
          <w:lang w:val="it-IT" w:eastAsia="it-IT"/>
        </w:rPr>
        <w:t>Attualmente e calcolati sugli stipendi assicurati, il Cantone versa all’IPCT circa CHF</w:t>
      </w:r>
      <w:r w:rsidR="00EF6D1E">
        <w:rPr>
          <w:rFonts w:cs="Arial"/>
          <w:lang w:val="it-IT" w:eastAsia="it-IT"/>
        </w:rPr>
        <w:t xml:space="preserve"> </w:t>
      </w:r>
      <w:r w:rsidRPr="001C63E0">
        <w:rPr>
          <w:rFonts w:cs="Arial"/>
          <w:lang w:val="it-IT" w:eastAsia="it-IT"/>
        </w:rPr>
        <w:t>110 mio. di contributi annui, dei quali CHF</w:t>
      </w:r>
      <w:r w:rsidR="00EF6D1E">
        <w:rPr>
          <w:rFonts w:cs="Arial"/>
          <w:lang w:val="it-IT" w:eastAsia="it-IT"/>
        </w:rPr>
        <w:t xml:space="preserve"> </w:t>
      </w:r>
      <w:r w:rsidRPr="001C63E0">
        <w:rPr>
          <w:rFonts w:cs="Arial"/>
          <w:lang w:val="it-IT" w:eastAsia="it-IT"/>
        </w:rPr>
        <w:t>73 mio. ordinari e CHF</w:t>
      </w:r>
      <w:r w:rsidR="00EF6D1E">
        <w:rPr>
          <w:rFonts w:cs="Arial"/>
          <w:lang w:val="it-IT" w:eastAsia="it-IT"/>
        </w:rPr>
        <w:t xml:space="preserve"> </w:t>
      </w:r>
      <w:r w:rsidRPr="001C63E0">
        <w:rPr>
          <w:rFonts w:cs="Arial"/>
          <w:lang w:val="it-IT" w:eastAsia="it-IT"/>
        </w:rPr>
        <w:t>37 mio. straordinari e di risanamento a valle del piano stabilito nel 2012. Pertanto, le due RCDL pari a complessivi CHF</w:t>
      </w:r>
      <w:r w:rsidR="00EF6D1E">
        <w:rPr>
          <w:rFonts w:cs="Arial"/>
          <w:lang w:val="it-IT" w:eastAsia="it-IT"/>
        </w:rPr>
        <w:t xml:space="preserve"> </w:t>
      </w:r>
      <w:r w:rsidRPr="001C63E0">
        <w:rPr>
          <w:rFonts w:cs="Arial"/>
          <w:lang w:val="it-IT" w:eastAsia="it-IT"/>
        </w:rPr>
        <w:t>700 mio. rappresenterebbero un anticipo di poco più di 6 anni di contributi IPCT a carico del Cantone.</w:t>
      </w:r>
    </w:p>
    <w:p w:rsidR="001C63E0" w:rsidRPr="001C63E0" w:rsidRDefault="001C63E0" w:rsidP="001C63E0">
      <w:pPr>
        <w:spacing w:before="120"/>
        <w:rPr>
          <w:rFonts w:cs="Arial"/>
          <w:lang w:val="it-IT" w:eastAsia="it-IT"/>
        </w:rPr>
      </w:pPr>
      <w:r w:rsidRPr="001C63E0">
        <w:rPr>
          <w:rFonts w:cs="Arial"/>
          <w:lang w:val="it-IT"/>
        </w:rPr>
        <w:lastRenderedPageBreak/>
        <w:t>Si osservi che il Cantone non avrà la possibilità di farsi rimborsare i CHF</w:t>
      </w:r>
      <w:r w:rsidR="00EF6D1E">
        <w:rPr>
          <w:rFonts w:cs="Arial"/>
          <w:lang w:val="it-IT"/>
        </w:rPr>
        <w:t xml:space="preserve"> </w:t>
      </w:r>
      <w:r w:rsidRPr="001C63E0">
        <w:rPr>
          <w:rFonts w:cs="Arial"/>
          <w:lang w:val="it-IT"/>
        </w:rPr>
        <w:t>700 mio. qualora lo desiderasse. Le RCDL non possono infatti venir estratte dall’istituto previdenziale, bensì solo esser consumate per ossequiare gli obblighi contributivi del datore di lavoro.</w:t>
      </w:r>
    </w:p>
    <w:p w:rsidR="001C63E0" w:rsidRPr="001C63E0" w:rsidRDefault="001C63E0" w:rsidP="001C63E0">
      <w:pPr>
        <w:spacing w:before="120"/>
        <w:rPr>
          <w:rFonts w:cs="Arial"/>
          <w:lang w:val="it-IT" w:eastAsia="it-IT"/>
        </w:rPr>
      </w:pPr>
      <w:r w:rsidRPr="001C63E0">
        <w:rPr>
          <w:rFonts w:cs="Arial"/>
          <w:lang w:val="it-IT" w:eastAsia="it-IT"/>
        </w:rPr>
        <w:t>In ogni occasione e con un preavviso di 6 mesi,</w:t>
      </w:r>
      <w:r w:rsidRPr="001C63E0">
        <w:rPr>
          <w:rFonts w:cs="Arial"/>
          <w:vertAlign w:val="superscript"/>
          <w:lang w:val="it-IT" w:eastAsia="it-IT"/>
        </w:rPr>
        <w:footnoteReference w:id="75"/>
      </w:r>
      <w:r w:rsidRPr="001C63E0">
        <w:rPr>
          <w:rFonts w:cs="Arial"/>
          <w:lang w:val="it-IT" w:eastAsia="it-IT"/>
        </w:rPr>
        <w:t xml:space="preserve"> il Cantone se lo vorrà potrà iniziare a onorare i propri contributi previdenziali (calcolati sugli stipendi assicurati) attingendo alla RCDL ordinaria (ammontante a CHF 450 mio. più la remunerazione per interessi maturata), ossia tramite una registrazione contabile senza flussi di cassa. A quel momento la liquidità – pari oggi a circa CHF 110 mio. – normalmente destinata al pagamento dei contributi IPCT a proprio carico rimarrà nelle disponibilità del Cantone per rimborsare eventualmente le obbligazioni in scadenza.</w:t>
      </w:r>
    </w:p>
    <w:p w:rsidR="001C63E0" w:rsidRPr="001C63E0" w:rsidRDefault="001C63E0" w:rsidP="001C63E0">
      <w:pPr>
        <w:spacing w:before="120"/>
        <w:rPr>
          <w:rFonts w:cs="Arial"/>
          <w:lang w:val="it-IT" w:eastAsia="it-IT"/>
        </w:rPr>
      </w:pPr>
      <w:r w:rsidRPr="001C63E0">
        <w:rPr>
          <w:rFonts w:cs="Arial"/>
          <w:lang w:val="it-IT" w:eastAsia="it-IT"/>
        </w:rPr>
        <w:t>Lo stesso varrà per la RCDL con rinuncia all’utilizzazione, con la sola differenza che questa potrà essere sciolta e trasferita nella RCDL ordinaria (e quindi utilizzata dal Cantone) solo quando il grado di copertura ordinario dell’IPCT sarà pari all’85%.</w:t>
      </w:r>
      <w:r w:rsidRPr="001C63E0">
        <w:rPr>
          <w:rFonts w:cs="Arial"/>
          <w:vertAlign w:val="superscript"/>
          <w:lang w:val="it-IT" w:eastAsia="it-IT"/>
        </w:rPr>
        <w:footnoteReference w:id="76"/>
      </w:r>
    </w:p>
    <w:p w:rsidR="001C63E0" w:rsidRPr="001C63E0" w:rsidRDefault="001C63E0" w:rsidP="001C63E0">
      <w:pPr>
        <w:spacing w:before="120"/>
        <w:rPr>
          <w:rFonts w:cs="Arial"/>
          <w:lang w:val="it-IT"/>
        </w:rPr>
      </w:pPr>
      <w:r w:rsidRPr="001C63E0">
        <w:rPr>
          <w:rFonts w:cs="Arial"/>
          <w:lang w:val="it-IT"/>
        </w:rPr>
        <w:t>Come già anticipato in precedenza, entrambe le RCDL sono considerate un attivo del bilancio del Cantone e pertanto la loro costituzione non provoca alcun onere a gestione corrente.</w:t>
      </w:r>
    </w:p>
    <w:p w:rsidR="001C63E0" w:rsidRPr="001C63E0" w:rsidRDefault="001C63E0" w:rsidP="001C63E0">
      <w:pPr>
        <w:spacing w:before="120"/>
        <w:rPr>
          <w:rFonts w:cs="Arial"/>
          <w:lang w:val="it-IT"/>
        </w:rPr>
      </w:pPr>
      <w:r w:rsidRPr="001C63E0">
        <w:rPr>
          <w:rFonts w:cs="Arial"/>
          <w:lang w:val="it-IT"/>
        </w:rPr>
        <w:t>Inoltre, anche la remunerazione accreditata dall’IPCT sulla RCDL ordinaria potrà essere attivata nel bilancio del Cantone, ciò che compenserebbe a gestione corrente gli interessi da pagare sull’indebitamento obbligazionario. Ne consegue che la soluzione proposta sarebbe, di principio, a costo zero per il Cantone.</w:t>
      </w:r>
    </w:p>
    <w:p w:rsidR="001C63E0" w:rsidRPr="001C63E0" w:rsidRDefault="001C63E0" w:rsidP="001C63E0">
      <w:pPr>
        <w:spacing w:before="120"/>
        <w:rPr>
          <w:rFonts w:cs="Arial"/>
          <w:lang w:val="it-IT"/>
        </w:rPr>
      </w:pPr>
      <w:r w:rsidRPr="001C63E0">
        <w:rPr>
          <w:rFonts w:cs="Arial"/>
          <w:lang w:val="it-IT"/>
        </w:rPr>
        <w:t>In aggiunta, il Consiglio di Stato ha pure verificato che entrambe le RCDL siano considerate un bene patrimoniale. Ne consegue che il debito pubblico (corrispondente alla differenza tra capitale dei terzi e beni patrimoniali) non aumenterebbe.</w:t>
      </w:r>
    </w:p>
    <w:p w:rsidR="001C63E0" w:rsidRPr="001C63E0" w:rsidRDefault="001C63E0" w:rsidP="001C63E0">
      <w:pPr>
        <w:spacing w:before="120"/>
        <w:rPr>
          <w:rFonts w:cs="Arial"/>
          <w:lang w:val="it-IT"/>
        </w:rPr>
      </w:pPr>
      <w:r w:rsidRPr="001C63E0">
        <w:rPr>
          <w:rFonts w:cs="Arial"/>
          <w:lang w:val="it-IT"/>
        </w:rPr>
        <w:t>Secondo quanto riferito dal Consiglio di Stato</w:t>
      </w:r>
      <w:r w:rsidRPr="001C63E0">
        <w:rPr>
          <w:rFonts w:cs="Arial"/>
          <w:vertAlign w:val="superscript"/>
          <w:lang w:val="it-IT"/>
        </w:rPr>
        <w:footnoteReference w:id="77"/>
      </w:r>
      <w:r w:rsidRPr="001C63E0">
        <w:rPr>
          <w:rFonts w:cs="Arial"/>
          <w:lang w:val="it-IT"/>
        </w:rPr>
        <w:t xml:space="preserve"> e più volte prospettato nel presente rapporto, il finanziamento del Cantone dovrebbe avvenire tramite l’emissione di obbligazioni con scadenza di circa 30 anni, così da avere una certezza sui relativi costi sia per l’IPCT sia per il Cantone stesso, evitando pertanto dei rischi sull’evoluzione dei tassi. A fine settembre 2021, data del rapporto complementare del Consiglio di Stato al messaggio </w:t>
      </w:r>
      <w:r w:rsidR="00EF6D1E">
        <w:rPr>
          <w:rFonts w:cs="Arial"/>
          <w:lang w:val="it-IT"/>
        </w:rPr>
        <w:t xml:space="preserve">n. </w:t>
      </w:r>
      <w:r w:rsidRPr="001C63E0">
        <w:rPr>
          <w:rFonts w:cs="Arial"/>
          <w:lang w:val="it-IT"/>
        </w:rPr>
        <w:t>7784, un finanziamento di CHF</w:t>
      </w:r>
      <w:r w:rsidR="00EF6D1E">
        <w:rPr>
          <w:rFonts w:cs="Arial"/>
          <w:lang w:val="it-IT"/>
        </w:rPr>
        <w:t xml:space="preserve"> </w:t>
      </w:r>
      <w:r w:rsidRPr="001C63E0">
        <w:rPr>
          <w:rFonts w:cs="Arial"/>
          <w:lang w:val="it-IT"/>
        </w:rPr>
        <w:t>700 mio. con scadenza a 30 anni avrebbe dovuto generare un costo indicativo dello 0.7% annuo. Naturalmente, il costo effettivo sarà conosciuto solo al momento dell’emissione delle relative obbligazioni. Secondo il Consiglio di Stato inoltre, a fronte dell’emissione di dette obbligazioni vi è un elevato rischio di abbassamento del rating del Cantone da parte delle agenzie specializzate, ciò che potrebbe comportare dei costi supplementari per il rinnovo delle obbligazioni del Cantone. L’impatto potrebbe ripercuotersi pure su tutte le entità esterne che usufruiscono della garanzia statale (BSCT, EOC, ACR, AET, ecc.).</w:t>
      </w:r>
    </w:p>
    <w:p w:rsidR="001C63E0" w:rsidRDefault="001C63E0" w:rsidP="0057435A">
      <w:pPr>
        <w:rPr>
          <w:rFonts w:cs="Arial"/>
          <w:lang w:val="it-IT"/>
        </w:rPr>
      </w:pPr>
    </w:p>
    <w:p w:rsidR="0057435A" w:rsidRPr="001C63E0" w:rsidRDefault="0057435A" w:rsidP="0057435A">
      <w:pPr>
        <w:rPr>
          <w:rFonts w:cs="Arial"/>
          <w:lang w:val="it-IT"/>
        </w:rPr>
      </w:pPr>
    </w:p>
    <w:p w:rsidR="001C63E0" w:rsidRPr="001C63E0" w:rsidRDefault="001C63E0" w:rsidP="0057435A">
      <w:pPr>
        <w:keepNext/>
        <w:tabs>
          <w:tab w:val="left" w:pos="709"/>
        </w:tabs>
        <w:ind w:left="357" w:hanging="357"/>
        <w:outlineLvl w:val="1"/>
        <w:rPr>
          <w:rFonts w:cs="Arial"/>
          <w:b/>
          <w:lang w:val="it-IT" w:eastAsia="it-IT"/>
        </w:rPr>
      </w:pPr>
      <w:bookmarkStart w:id="68" w:name="_Toc98976126"/>
      <w:r w:rsidRPr="001C63E0">
        <w:rPr>
          <w:rFonts w:cs="Arial"/>
          <w:b/>
          <w:lang w:val="it-IT" w:eastAsia="it-IT"/>
        </w:rPr>
        <w:t>8.3</w:t>
      </w:r>
      <w:r w:rsidRPr="001C63E0">
        <w:rPr>
          <w:rFonts w:cs="Arial"/>
          <w:b/>
          <w:lang w:val="it-IT" w:eastAsia="it-IT"/>
        </w:rPr>
        <w:tab/>
      </w:r>
      <w:r w:rsidR="0057435A">
        <w:rPr>
          <w:rFonts w:cs="Arial"/>
          <w:b/>
          <w:lang w:val="it-IT" w:eastAsia="it-IT"/>
        </w:rPr>
        <w:tab/>
      </w:r>
      <w:r w:rsidRPr="001C63E0">
        <w:rPr>
          <w:rFonts w:cs="Arial"/>
          <w:b/>
          <w:lang w:val="it-IT" w:eastAsia="it-IT"/>
        </w:rPr>
        <w:t>Analisi della proposta agli occhi dell’IPCT</w:t>
      </w:r>
      <w:bookmarkEnd w:id="68"/>
    </w:p>
    <w:p w:rsidR="001C63E0" w:rsidRPr="001C63E0" w:rsidRDefault="001C63E0" w:rsidP="001C63E0">
      <w:pPr>
        <w:spacing w:before="120"/>
        <w:rPr>
          <w:rFonts w:cs="Arial"/>
          <w:lang w:val="it-IT" w:eastAsia="it-IT"/>
        </w:rPr>
      </w:pPr>
      <w:r w:rsidRPr="001C63E0">
        <w:rPr>
          <w:rFonts w:cs="Arial"/>
          <w:lang w:val="it-IT" w:eastAsia="it-IT"/>
        </w:rPr>
        <w:t>Per l’IPCT il patrimonio (netto) disponibile ordinario non cambierebbe. Il patrimonio totale in gestione verrebbe sì aumentato di CHF</w:t>
      </w:r>
      <w:r w:rsidR="00EF6D1E">
        <w:rPr>
          <w:rFonts w:cs="Arial"/>
          <w:lang w:val="it-IT" w:eastAsia="it-IT"/>
        </w:rPr>
        <w:t xml:space="preserve"> </w:t>
      </w:r>
      <w:r w:rsidRPr="001C63E0">
        <w:rPr>
          <w:rFonts w:cs="Arial"/>
          <w:lang w:val="it-IT" w:eastAsia="it-IT"/>
        </w:rPr>
        <w:t>700 mio., ma verrebbe parimenti ridotto dell’importo delle due RCDL ammontanti ad altrettanti CHF</w:t>
      </w:r>
      <w:r w:rsidR="00EF6D1E">
        <w:rPr>
          <w:rFonts w:cs="Arial"/>
          <w:lang w:val="it-IT" w:eastAsia="it-IT"/>
        </w:rPr>
        <w:t xml:space="preserve"> </w:t>
      </w:r>
      <w:r w:rsidRPr="001C63E0">
        <w:rPr>
          <w:rFonts w:cs="Arial"/>
          <w:lang w:val="it-IT" w:eastAsia="it-IT"/>
        </w:rPr>
        <w:t xml:space="preserve">700 mio. Anche gli impegni determinanti per il calcolo del grado di copertura resterebbero invariati. Come indicato in precedenza, l’IPCT potrebbe tuttavia calcolare un secondo grado di copertura, che terrebbe conto della RCDL </w:t>
      </w:r>
      <w:r w:rsidRPr="001C63E0">
        <w:rPr>
          <w:rFonts w:cs="Arial"/>
          <w:lang w:val="it-IT" w:eastAsia="it-IT"/>
        </w:rPr>
        <w:lastRenderedPageBreak/>
        <w:t>con rinuncia all’utilizzazione aggiungendo l’importo di CHF</w:t>
      </w:r>
      <w:r w:rsidR="00EF6D1E">
        <w:rPr>
          <w:rFonts w:cs="Arial"/>
          <w:lang w:val="it-IT" w:eastAsia="it-IT"/>
        </w:rPr>
        <w:t xml:space="preserve"> </w:t>
      </w:r>
      <w:r w:rsidRPr="001C63E0">
        <w:rPr>
          <w:rFonts w:cs="Arial"/>
          <w:lang w:val="it-IT" w:eastAsia="it-IT"/>
        </w:rPr>
        <w:t>250 mio. al patrimonio disponibile. Questo secondo grado di copertura, più alto di quello ordinario, risulterebbe determinante agli occhi dell’Autorità di vigilanza per valutare il rispetto del cammino previsto dal piano di finanziamento in vigore.</w:t>
      </w:r>
    </w:p>
    <w:p w:rsidR="001C63E0" w:rsidRPr="001C63E0" w:rsidRDefault="001C63E0" w:rsidP="001C63E0">
      <w:pPr>
        <w:spacing w:before="120"/>
        <w:rPr>
          <w:rFonts w:cs="Arial"/>
          <w:lang w:val="it-IT" w:eastAsia="it-IT"/>
        </w:rPr>
      </w:pPr>
      <w:r w:rsidRPr="001C63E0">
        <w:rPr>
          <w:rFonts w:cs="Arial"/>
          <w:lang w:val="it-IT" w:eastAsia="it-IT"/>
        </w:rPr>
        <w:t>Attualmente</w:t>
      </w:r>
      <w:r w:rsidRPr="001C63E0">
        <w:rPr>
          <w:rFonts w:cs="Arial"/>
          <w:vertAlign w:val="superscript"/>
          <w:lang w:val="it-IT" w:eastAsia="it-IT"/>
        </w:rPr>
        <w:footnoteReference w:id="78"/>
      </w:r>
      <w:r w:rsidRPr="001C63E0">
        <w:rPr>
          <w:rFonts w:cs="Arial"/>
          <w:lang w:val="it-IT" w:eastAsia="it-IT"/>
        </w:rPr>
        <w:t xml:space="preserve"> l’IPCT, a fronte di impegni previdenziali per circa CHF 8.0 mia. che devono essere remunerati</w:t>
      </w:r>
      <w:r w:rsidRPr="001C63E0">
        <w:rPr>
          <w:rFonts w:cs="Arial"/>
          <w:vertAlign w:val="superscript"/>
          <w:lang w:val="it-IT" w:eastAsia="it-IT"/>
        </w:rPr>
        <w:footnoteReference w:id="79"/>
      </w:r>
      <w:r w:rsidRPr="001C63E0">
        <w:rPr>
          <w:rFonts w:cs="Arial"/>
          <w:lang w:val="it-IT" w:eastAsia="it-IT"/>
        </w:rPr>
        <w:t>, dispone di un patrimonio remunerabile di circa CHF 5.3 mia. I previsti CHF 700 mio. in più di liquidità a disposizione per investimenti (il patrimonio passerebbe pertanto a circa CHF 6.0 mia.) permetterebbero di ridurre la differenza tra attivo e passivo del bilancio e di conseguenza diminuirebbero la pressione sul rendimento; rispettivamente, le eventuali eccedenze di rendimento potrebbero essere utilizzare per migliorare la situazione finanziaria dell’Istituto. Va pure osservato che CHF</w:t>
      </w:r>
      <w:r w:rsidR="00EF6D1E">
        <w:rPr>
          <w:rFonts w:cs="Arial"/>
          <w:lang w:val="it-IT" w:eastAsia="it-IT"/>
        </w:rPr>
        <w:t xml:space="preserve"> </w:t>
      </w:r>
      <w:r w:rsidRPr="001C63E0">
        <w:rPr>
          <w:rFonts w:cs="Arial"/>
          <w:lang w:val="it-IT" w:eastAsia="it-IT"/>
        </w:rPr>
        <w:t>700 mio. rappresenterebbero all’incirca il 13% dell’attuale patrimonio dell’IPCT; si tratterebbe pertanto di una quota relativamente contenuta i cui effetti, di conseguenza, potrebbero non essere fondamentali.</w:t>
      </w:r>
    </w:p>
    <w:p w:rsidR="001C63E0" w:rsidRPr="001C63E0" w:rsidRDefault="001C63E0" w:rsidP="001C63E0">
      <w:pPr>
        <w:spacing w:before="120"/>
        <w:rPr>
          <w:rFonts w:cs="Arial"/>
          <w:lang w:val="it-IT" w:eastAsia="it-IT"/>
        </w:rPr>
      </w:pPr>
      <w:r w:rsidRPr="001C63E0">
        <w:rPr>
          <w:rFonts w:cs="Arial"/>
          <w:lang w:val="it-IT" w:eastAsia="it-IT"/>
        </w:rPr>
        <w:t>L’IPCT dovrà remunerare ogni anno la RCDL ordinaria per l’importo corrispondente agli interessi a carico del Cantone per l’indebitamento da CHF</w:t>
      </w:r>
      <w:r w:rsidR="00EF6D1E">
        <w:rPr>
          <w:rFonts w:cs="Arial"/>
          <w:lang w:val="it-IT" w:eastAsia="it-IT"/>
        </w:rPr>
        <w:t xml:space="preserve"> </w:t>
      </w:r>
      <w:r w:rsidRPr="001C63E0">
        <w:rPr>
          <w:rFonts w:cs="Arial"/>
          <w:lang w:val="it-IT" w:eastAsia="it-IT"/>
        </w:rPr>
        <w:t xml:space="preserve">700 mio., questo indipendentemente dall’andamento del rendimento del proprio patrimonio. </w:t>
      </w:r>
    </w:p>
    <w:p w:rsidR="001C63E0" w:rsidRPr="001C63E0" w:rsidRDefault="001C63E0" w:rsidP="001C63E0">
      <w:pPr>
        <w:spacing w:before="120"/>
        <w:rPr>
          <w:rFonts w:cs="Arial"/>
          <w:lang w:val="it-IT" w:eastAsia="it-IT"/>
        </w:rPr>
      </w:pPr>
      <w:r w:rsidRPr="001C63E0">
        <w:rPr>
          <w:rFonts w:cs="Arial"/>
          <w:lang w:val="it-IT" w:eastAsia="it-IT"/>
        </w:rPr>
        <w:t>La Commissione gestione e finanze, durante le audizioni con la delegazione del Consiglio di Stato della Direzione nonché del Consiglio di amministrazione dell’IPCT, così come con il presente rapporto, ha più volte formulato l’auspicio e la richiesta che l’IPCT investa nel mercato internazionale dei capitali (e nel limite del possibile in azioni internazionali) i CHF 700 mio. che qui si prevede di mettere a disposizione. A questo proposito si segnala che l’IPCT già da qualche tempo sta valutando l’aumento della propria quota azionaria (visto che la stessa è inferiore alla media delle altre casse pensioni paragonabili</w:t>
      </w:r>
      <w:r w:rsidRPr="001C63E0">
        <w:rPr>
          <w:rFonts w:cs="Arial"/>
          <w:vertAlign w:val="superscript"/>
          <w:lang w:val="it-IT" w:eastAsia="it-IT"/>
        </w:rPr>
        <w:footnoteReference w:id="80"/>
      </w:r>
      <w:r w:rsidRPr="001C63E0">
        <w:rPr>
          <w:rFonts w:cs="Arial"/>
          <w:lang w:val="it-IT" w:eastAsia="it-IT"/>
        </w:rPr>
        <w:t>), tramite, in particolare, l’investimento in fondi (più) sostenibili da un punto di vista ESG</w:t>
      </w:r>
      <w:r w:rsidRPr="001C63E0">
        <w:rPr>
          <w:rFonts w:cs="Arial"/>
          <w:vertAlign w:val="superscript"/>
          <w:lang w:val="it-IT" w:eastAsia="it-IT"/>
        </w:rPr>
        <w:footnoteReference w:id="81"/>
      </w:r>
      <w:r w:rsidRPr="001C63E0">
        <w:rPr>
          <w:rFonts w:cs="Arial"/>
          <w:lang w:val="it-IT" w:eastAsia="it-IT"/>
        </w:rPr>
        <w:t>. La cosa si inserisce in una generale tendenza del mercato verso tali prodotti, ma restano di primaria importanza le considerazioni esposte nella sezione 6 circa il ferreo controllo e minimizzazione dei costi degli strumenti finanziari scelti. Con lo scopo di favorire la massima trasparenza verso gli affiliati, il Cantone e i contribuenti ticinesi, i sottoscritti invitano inoltre l’IPCT a tenere traccia separata dei risultati dell’investimento dei suddetti CHF</w:t>
      </w:r>
      <w:r w:rsidR="00EF6D1E">
        <w:rPr>
          <w:rFonts w:cs="Arial"/>
          <w:lang w:val="it-IT" w:eastAsia="it-IT"/>
        </w:rPr>
        <w:t xml:space="preserve"> </w:t>
      </w:r>
      <w:r w:rsidRPr="001C63E0">
        <w:rPr>
          <w:rFonts w:cs="Arial"/>
          <w:lang w:val="it-IT" w:eastAsia="it-IT"/>
        </w:rPr>
        <w:t>700 mio., benché come si è detto questi entreranno pienamente a far parte degli attivi dell’Istituto. Andrebbe nel limite del possibile preferito un nuovo e separato mandato di gestione relativo a tale nuovo capitale con il chiaro invito, di concerto con il consulente agli investimenti dell’Istituto, ad adottare strategie di investimento quantitative tese alla limitazione delle perdite massime pur mantenendo buona parte dei rendimenti attesi, come succintamente mostrato nella sezione 6 e nell’appendice al presente rapporto.</w:t>
      </w:r>
    </w:p>
    <w:p w:rsidR="001C63E0" w:rsidRDefault="001C63E0" w:rsidP="00386E5D">
      <w:pPr>
        <w:rPr>
          <w:rFonts w:cs="Arial"/>
          <w:iCs/>
          <w:szCs w:val="24"/>
          <w:lang w:val="it-IT" w:eastAsia="it-IT"/>
        </w:rPr>
      </w:pPr>
    </w:p>
    <w:p w:rsidR="00386E5D" w:rsidRPr="001C63E0" w:rsidRDefault="00386E5D" w:rsidP="00386E5D">
      <w:pPr>
        <w:rPr>
          <w:rFonts w:cs="Arial"/>
          <w:iCs/>
          <w:szCs w:val="24"/>
          <w:lang w:val="it-IT" w:eastAsia="it-IT"/>
        </w:rPr>
      </w:pPr>
    </w:p>
    <w:p w:rsidR="001C63E0" w:rsidRPr="001C63E0" w:rsidRDefault="001C63E0" w:rsidP="00386E5D">
      <w:pPr>
        <w:keepNext/>
        <w:tabs>
          <w:tab w:val="left" w:pos="709"/>
        </w:tabs>
        <w:ind w:left="709" w:hanging="709"/>
        <w:outlineLvl w:val="0"/>
        <w:rPr>
          <w:rFonts w:cs="Arial"/>
          <w:b/>
          <w:szCs w:val="24"/>
          <w:lang w:val="it-IT" w:eastAsia="it-IT"/>
        </w:rPr>
      </w:pPr>
      <w:bookmarkStart w:id="69" w:name="_Toc98976127"/>
      <w:r w:rsidRPr="001C63E0">
        <w:rPr>
          <w:rFonts w:cs="Arial"/>
          <w:b/>
          <w:szCs w:val="24"/>
          <w:lang w:val="it-IT" w:eastAsia="it-IT"/>
        </w:rPr>
        <w:t>9.</w:t>
      </w:r>
      <w:r w:rsidRPr="001C63E0">
        <w:rPr>
          <w:rFonts w:cs="Arial"/>
          <w:b/>
          <w:szCs w:val="24"/>
          <w:lang w:val="it-IT" w:eastAsia="it-IT"/>
        </w:rPr>
        <w:tab/>
        <w:t>ULTERIORI CONSIDERAZIONI</w:t>
      </w:r>
      <w:bookmarkEnd w:id="69"/>
    </w:p>
    <w:p w:rsidR="001C63E0" w:rsidRPr="001C63E0" w:rsidRDefault="001C63E0" w:rsidP="001C63E0">
      <w:pPr>
        <w:keepNext/>
        <w:tabs>
          <w:tab w:val="left" w:pos="709"/>
        </w:tabs>
        <w:spacing w:before="120"/>
        <w:ind w:left="360" w:hanging="360"/>
        <w:outlineLvl w:val="1"/>
        <w:rPr>
          <w:rFonts w:cs="Arial"/>
          <w:b/>
          <w:lang w:val="it-IT" w:eastAsia="it-IT"/>
        </w:rPr>
      </w:pPr>
      <w:bookmarkStart w:id="70" w:name="_Toc98976128"/>
      <w:r w:rsidRPr="001C63E0">
        <w:rPr>
          <w:rFonts w:cs="Arial"/>
          <w:b/>
          <w:lang w:val="it-IT" w:eastAsia="it-IT"/>
        </w:rPr>
        <w:t>9.1</w:t>
      </w:r>
      <w:r w:rsidRPr="001C63E0">
        <w:rPr>
          <w:rFonts w:cs="Arial"/>
          <w:b/>
          <w:lang w:val="it-IT" w:eastAsia="it-IT"/>
        </w:rPr>
        <w:tab/>
      </w:r>
      <w:r w:rsidR="00386E5D">
        <w:rPr>
          <w:rFonts w:cs="Arial"/>
          <w:b/>
          <w:lang w:val="it-IT" w:eastAsia="it-IT"/>
        </w:rPr>
        <w:tab/>
      </w:r>
      <w:proofErr w:type="spellStart"/>
      <w:r w:rsidRPr="001C63E0">
        <w:rPr>
          <w:rFonts w:cs="Arial"/>
          <w:b/>
          <w:lang w:val="it-IT" w:eastAsia="it-IT"/>
        </w:rPr>
        <w:t>Plausibilizzazione</w:t>
      </w:r>
      <w:proofErr w:type="spellEnd"/>
      <w:r w:rsidRPr="001C63E0">
        <w:rPr>
          <w:rFonts w:cs="Arial"/>
          <w:b/>
          <w:lang w:val="it-IT" w:eastAsia="it-IT"/>
        </w:rPr>
        <w:t xml:space="preserve"> delle proiezioni finanziarie prodotte dall’IPCT e dal CdS</w:t>
      </w:r>
      <w:bookmarkEnd w:id="70"/>
    </w:p>
    <w:p w:rsidR="001C63E0" w:rsidRDefault="001C63E0" w:rsidP="001C63E0">
      <w:pPr>
        <w:spacing w:before="120"/>
        <w:rPr>
          <w:rFonts w:cs="Arial"/>
        </w:rPr>
      </w:pPr>
      <w:r w:rsidRPr="001C63E0">
        <w:rPr>
          <w:rFonts w:cs="Arial"/>
        </w:rPr>
        <w:t xml:space="preserve">Né la Commissione gestione e finanze né la sua Sottocommissione finanze dispongono dei mezzi finanziari e temporali, né dei dati, né delle competenze tecniche sufficienti per allestire individualmente delle previsioni circa l’evoluzione del grado di copertura dell’IPCT tra oggi </w:t>
      </w:r>
      <w:r w:rsidRPr="001C63E0">
        <w:rPr>
          <w:rFonts w:cs="Arial"/>
        </w:rPr>
        <w:lastRenderedPageBreak/>
        <w:t>e la fine del 2051 qualora venissero messi a disposizione dell’Istituto CHF</w:t>
      </w:r>
      <w:r w:rsidR="00EF6D1E">
        <w:rPr>
          <w:rFonts w:cs="Arial"/>
        </w:rPr>
        <w:t xml:space="preserve"> </w:t>
      </w:r>
      <w:r w:rsidRPr="001C63E0">
        <w:rPr>
          <w:rFonts w:cs="Arial"/>
        </w:rPr>
        <w:t xml:space="preserve">700 mio. come descritto alla sezione 8 del presente rapporto. Per tale ragione, in occasione dei lavori commissionali si è invece applicata la dovuta diligenza tesa a </w:t>
      </w:r>
      <w:proofErr w:type="spellStart"/>
      <w:r w:rsidRPr="001C63E0">
        <w:rPr>
          <w:rFonts w:cs="Arial"/>
        </w:rPr>
        <w:t>plausibilizzare</w:t>
      </w:r>
      <w:proofErr w:type="spellEnd"/>
      <w:r w:rsidRPr="001C63E0">
        <w:rPr>
          <w:rFonts w:cs="Arial"/>
        </w:rPr>
        <w:t xml:space="preserve"> la bontà delle stime previsionali prodotte dall’IPCT e dal CdS. La presente sottosezione riassume succintamente le </w:t>
      </w:r>
      <w:proofErr w:type="spellStart"/>
      <w:r w:rsidRPr="001C63E0">
        <w:rPr>
          <w:rFonts w:cs="Arial"/>
        </w:rPr>
        <w:t>plausibilizzazioni</w:t>
      </w:r>
      <w:proofErr w:type="spellEnd"/>
      <w:r w:rsidRPr="001C63E0">
        <w:rPr>
          <w:rFonts w:cs="Arial"/>
        </w:rPr>
        <w:t xml:space="preserve"> svolte.</w:t>
      </w:r>
    </w:p>
    <w:p w:rsidR="00F209DB" w:rsidRPr="001C63E0" w:rsidRDefault="00F209DB" w:rsidP="00F209DB">
      <w:pPr>
        <w:rPr>
          <w:rFonts w:cs="Arial"/>
        </w:rPr>
      </w:pPr>
    </w:p>
    <w:p w:rsidR="001C63E0" w:rsidRPr="00D46BAF" w:rsidRDefault="001C63E0" w:rsidP="00EC5775">
      <w:pPr>
        <w:pStyle w:val="Titolo3"/>
      </w:pPr>
      <w:bookmarkStart w:id="71" w:name="_Toc98976129"/>
      <w:r w:rsidRPr="00D46BAF">
        <w:t>9.1.1</w:t>
      </w:r>
      <w:r w:rsidRPr="00D46BAF">
        <w:tab/>
        <w:t>Prevista evoluzione del grado di copertura a corto e a lungo termine</w:t>
      </w:r>
      <w:bookmarkEnd w:id="71"/>
    </w:p>
    <w:p w:rsidR="001C63E0" w:rsidRPr="001C63E0" w:rsidRDefault="001C63E0" w:rsidP="001C63E0">
      <w:pPr>
        <w:spacing w:before="120"/>
        <w:rPr>
          <w:rFonts w:cs="Arial"/>
        </w:rPr>
      </w:pPr>
      <w:r w:rsidRPr="001C63E0">
        <w:rPr>
          <w:rFonts w:cs="Arial"/>
        </w:rPr>
        <w:t>L’attuale cammino di rifinanziamento – deliberato nel 2012 come esposto nella prima parte del presente rapporto – prevede che entro la fine del 2051 l’IPCT raggiunga un grado di copertura globale dell’85%. L’evoluzione del grado di copertura ipotetico secondo il cammino di rifinanziamento entrato in vigore il 1°</w:t>
      </w:r>
      <w:r w:rsidR="00EF6D1E">
        <w:rPr>
          <w:rFonts w:cs="Arial"/>
        </w:rPr>
        <w:t xml:space="preserve"> </w:t>
      </w:r>
      <w:r w:rsidRPr="001C63E0">
        <w:rPr>
          <w:rFonts w:cs="Arial"/>
        </w:rPr>
        <w:t>gennaio 2013 è per esempio documentata a pagina 67 del Rendiconto 2020 dell’IPCT con la seguente tabella.</w:t>
      </w:r>
    </w:p>
    <w:p w:rsidR="001C63E0" w:rsidRPr="001C63E0" w:rsidRDefault="001C63E0" w:rsidP="00357DAC">
      <w:pPr>
        <w:rPr>
          <w:rFonts w:cs="Arial"/>
        </w:rPr>
      </w:pPr>
    </w:p>
    <w:p w:rsidR="001C63E0" w:rsidRPr="001C63E0" w:rsidRDefault="001C63E0" w:rsidP="001C63E0">
      <w:pPr>
        <w:spacing w:before="120"/>
        <w:jc w:val="center"/>
        <w:rPr>
          <w:rFonts w:cs="Arial"/>
        </w:rPr>
      </w:pPr>
      <w:r w:rsidRPr="001C63E0">
        <w:rPr>
          <w:rFonts w:cs="Arial"/>
          <w:noProof/>
          <w:lang w:eastAsia="it-CH"/>
        </w:rPr>
        <w:drawing>
          <wp:inline distT="0" distB="0" distL="0" distR="0" wp14:anchorId="171689FD" wp14:editId="56B85EB7">
            <wp:extent cx="5039024" cy="3591560"/>
            <wp:effectExtent l="19050" t="19050" r="28575" b="27940"/>
            <wp:docPr id="8" name="Content Placeholder 7">
              <a:extLst xmlns:a="http://schemas.openxmlformats.org/drawingml/2006/main">
                <a:ext uri="{FF2B5EF4-FFF2-40B4-BE49-F238E27FC236}">
                  <a16:creationId xmlns:a16="http://schemas.microsoft.com/office/drawing/2014/main" id="{F77B517F-4F83-4194-845A-6AC956AC032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F77B517F-4F83-4194-845A-6AC956AC0322}"/>
                        </a:ext>
                      </a:extLst>
                    </pic:cNvPr>
                    <pic:cNvPicPr>
                      <a:picLocks noGrp="1" noChangeAspect="1"/>
                    </pic:cNvPicPr>
                  </pic:nvPicPr>
                  <pic:blipFill rotWithShape="1">
                    <a:blip r:embed="rId46"/>
                    <a:srcRect t="9807"/>
                    <a:stretch/>
                  </pic:blipFill>
                  <pic:spPr bwMode="auto">
                    <a:xfrm>
                      <a:off x="0" y="0"/>
                      <a:ext cx="5039792" cy="3592107"/>
                    </a:xfrm>
                    <a:prstGeom prst="rect">
                      <a:avLst/>
                    </a:prstGeom>
                    <a:noFill/>
                    <a:ln>
                      <a:solidFill>
                        <a:sysClr val="windowText" lastClr="000000"/>
                      </a:solidFill>
                    </a:ln>
                    <a:effectLst/>
                    <a:extLst>
                      <a:ext uri="{53640926-AAD7-44D8-BBD7-CCE9431645EC}">
                        <a14:shadowObscured xmlns:a14="http://schemas.microsoft.com/office/drawing/2010/main"/>
                      </a:ext>
                    </a:extLst>
                  </pic:spPr>
                </pic:pic>
              </a:graphicData>
            </a:graphic>
          </wp:inline>
        </w:drawing>
      </w:r>
    </w:p>
    <w:p w:rsidR="001C63E0" w:rsidRPr="001C63E0" w:rsidRDefault="001C63E0" w:rsidP="001C63E0">
      <w:pPr>
        <w:spacing w:before="120"/>
        <w:rPr>
          <w:rFonts w:cs="Arial"/>
        </w:rPr>
      </w:pPr>
    </w:p>
    <w:p w:rsidR="001C63E0" w:rsidRPr="001C63E0" w:rsidRDefault="001C63E0" w:rsidP="00357DAC">
      <w:pPr>
        <w:rPr>
          <w:rFonts w:cs="Arial"/>
        </w:rPr>
      </w:pPr>
      <w:r w:rsidRPr="001C63E0">
        <w:rPr>
          <w:rFonts w:cs="Arial"/>
        </w:rPr>
        <w:t>Del fatto che il grado di copertura stabilito come obiettivo per il 2051 pari all’85% anziché all’80% secondo la legislazione federale si è già parlato sopra alla sezione 1.2.3. Si veda in particolare la nota a piè di pagina 13 del presente rapporto.</w:t>
      </w:r>
    </w:p>
    <w:p w:rsidR="001C63E0" w:rsidRPr="001C63E0" w:rsidRDefault="001C63E0" w:rsidP="001C63E0">
      <w:pPr>
        <w:spacing w:before="120"/>
        <w:rPr>
          <w:rFonts w:cs="Arial"/>
        </w:rPr>
      </w:pPr>
      <w:r w:rsidRPr="001C63E0">
        <w:rPr>
          <w:rFonts w:cs="Arial"/>
        </w:rPr>
        <w:t>Sempre sulla base degli ultimi dati pubblicati disponibili, riferiti alla pagina 67 del Rendiconto 2020 dell’IPCT, al 31</w:t>
      </w:r>
      <w:r w:rsidR="00EF6D1E">
        <w:rPr>
          <w:rFonts w:cs="Arial"/>
        </w:rPr>
        <w:t xml:space="preserve"> </w:t>
      </w:r>
      <w:r w:rsidRPr="001C63E0">
        <w:rPr>
          <w:rFonts w:cs="Arial"/>
        </w:rPr>
        <w:t>dicembre 2020 il grado di copertura globale ammontava al 67.0% anziché al previsto 70.3%, pertanto con un ammanco di 3.3% (punti percentuali) tra il valore effettivo e quello obiettivo. La soluzione qui proposta, con particolare riferimento a CHF 250 mio. versati dal Cantone quale RCDL con riserva, permettere sostanzialmente di chiudere immediatamente tale ammanco. Secondo la nota a piè di pagina 14 del Rapporto complementare del Consiglio di Stato del 30 settembre 2021 infatti, l’attuale grado di copertura globale del 67.0% è dato dal rapporto tra il patrimonio disponibile al 31 dicembre 2020 di CHF</w:t>
      </w:r>
      <w:r w:rsidR="00EF6D1E">
        <w:rPr>
          <w:rFonts w:cs="Arial"/>
        </w:rPr>
        <w:t xml:space="preserve"> </w:t>
      </w:r>
      <w:r w:rsidRPr="001C63E0">
        <w:rPr>
          <w:rFonts w:cs="Arial"/>
        </w:rPr>
        <w:t>5'335 mio. e il capitale di previdenza alla stessa data di CHF 7'957 mio. Con l’aggiunta di CHF</w:t>
      </w:r>
      <w:r w:rsidR="00EF6D1E">
        <w:rPr>
          <w:rFonts w:cs="Arial"/>
        </w:rPr>
        <w:t xml:space="preserve"> </w:t>
      </w:r>
      <w:r w:rsidRPr="001C63E0">
        <w:rPr>
          <w:rFonts w:cs="Arial"/>
        </w:rPr>
        <w:t>250 mio. al patrimonio disponibile, secondo la nota a piè di pagina 15 del precitato Rapporto complementare esso aumenterebbe a CHF</w:t>
      </w:r>
      <w:r w:rsidR="00EF6D1E">
        <w:rPr>
          <w:rFonts w:cs="Arial"/>
        </w:rPr>
        <w:t xml:space="preserve"> </w:t>
      </w:r>
      <w:r w:rsidRPr="001C63E0">
        <w:rPr>
          <w:rFonts w:cs="Arial"/>
        </w:rPr>
        <w:t>5'585 mio. pur continuando a rapportarsi allo stesso capitale di previdenza, pertanto riallineando il grado di copertura globale a quello secondo il piano di rifinanziamento (70.2%).</w:t>
      </w:r>
    </w:p>
    <w:p w:rsidR="001C63E0" w:rsidRPr="001C63E0" w:rsidRDefault="001C63E0" w:rsidP="001C63E0">
      <w:pPr>
        <w:spacing w:before="120"/>
        <w:rPr>
          <w:rFonts w:cs="Arial"/>
        </w:rPr>
      </w:pPr>
      <w:r w:rsidRPr="001C63E0">
        <w:rPr>
          <w:rFonts w:cs="Arial"/>
        </w:rPr>
        <w:lastRenderedPageBreak/>
        <w:t>Ai sensi del combinato disposto della norma c cpv.</w:t>
      </w:r>
      <w:r w:rsidR="00EF6D1E">
        <w:rPr>
          <w:rFonts w:cs="Arial"/>
        </w:rPr>
        <w:t xml:space="preserve"> </w:t>
      </w:r>
      <w:r w:rsidRPr="001C63E0">
        <w:rPr>
          <w:rFonts w:cs="Arial"/>
        </w:rPr>
        <w:t>1</w:t>
      </w:r>
      <w:r w:rsidRPr="001C63E0">
        <w:rPr>
          <w:rFonts w:cs="Arial"/>
          <w:vertAlign w:val="superscript"/>
        </w:rPr>
        <w:footnoteReference w:id="82"/>
      </w:r>
      <w:r w:rsidRPr="001C63E0">
        <w:rPr>
          <w:rFonts w:cs="Arial"/>
        </w:rPr>
        <w:t xml:space="preserve"> delle disposizioni transitorie della modifica del 17</w:t>
      </w:r>
      <w:r w:rsidR="00EF6D1E">
        <w:rPr>
          <w:rFonts w:cs="Arial"/>
        </w:rPr>
        <w:t xml:space="preserve"> </w:t>
      </w:r>
      <w:r w:rsidRPr="001C63E0">
        <w:rPr>
          <w:rFonts w:cs="Arial"/>
        </w:rPr>
        <w:t>dicembre 2010 della LPP e dell’art.</w:t>
      </w:r>
      <w:r w:rsidR="00EF6D1E">
        <w:rPr>
          <w:rFonts w:cs="Arial"/>
        </w:rPr>
        <w:t xml:space="preserve"> </w:t>
      </w:r>
      <w:r w:rsidRPr="001C63E0">
        <w:rPr>
          <w:rFonts w:cs="Arial"/>
        </w:rPr>
        <w:t>72a cpv.</w:t>
      </w:r>
      <w:r w:rsidR="00EF6D1E">
        <w:rPr>
          <w:rFonts w:cs="Arial"/>
        </w:rPr>
        <w:t xml:space="preserve"> </w:t>
      </w:r>
      <w:r w:rsidRPr="001C63E0">
        <w:rPr>
          <w:rFonts w:cs="Arial"/>
        </w:rPr>
        <w:t>1 lett.</w:t>
      </w:r>
      <w:r w:rsidR="00EF6D1E">
        <w:rPr>
          <w:rFonts w:cs="Arial"/>
        </w:rPr>
        <w:t xml:space="preserve"> </w:t>
      </w:r>
      <w:r w:rsidRPr="001C63E0">
        <w:rPr>
          <w:rFonts w:cs="Arial"/>
        </w:rPr>
        <w:t>c LPP</w:t>
      </w:r>
      <w:r w:rsidRPr="001C63E0">
        <w:rPr>
          <w:rFonts w:cs="Arial"/>
          <w:vertAlign w:val="superscript"/>
        </w:rPr>
        <w:footnoteReference w:id="83"/>
      </w:r>
      <w:r w:rsidRPr="001C63E0">
        <w:rPr>
          <w:rFonts w:cs="Arial"/>
        </w:rPr>
        <w:t xml:space="preserve">, </w:t>
      </w:r>
      <w:r w:rsidRPr="001C63E0">
        <w:rPr>
          <w:rFonts w:cs="Arial"/>
          <w:i/>
          <w:iCs/>
        </w:rPr>
        <w:t>gli istituti di previdenza degli enti di diritto pubblico che non raggiungono il grado di copertura minimo dell’80% sottopongono ogni cinque anni all’autorità di vigilanza un piano volto a consentire loro di raggiungere tale grado di copertura al più tardi 40 anni dopo l’entrata in vigore della presente modifica</w:t>
      </w:r>
      <w:r w:rsidRPr="001C63E0">
        <w:rPr>
          <w:rFonts w:cs="Arial"/>
        </w:rPr>
        <w:t>, vale a dire entro la fine del 2051. In tale ottica temporale, l’IPCT e il CdS prevedono che con la messa a disposizione di ulteriori CHF</w:t>
      </w:r>
      <w:r w:rsidR="00EF6D1E">
        <w:rPr>
          <w:rFonts w:cs="Arial"/>
        </w:rPr>
        <w:t xml:space="preserve"> </w:t>
      </w:r>
      <w:r w:rsidRPr="001C63E0">
        <w:rPr>
          <w:rFonts w:cs="Arial"/>
        </w:rPr>
        <w:t>700 mio. da investire il patrimonio disponibile alla fine del 2051 dovrebbe aumentare di CHF</w:t>
      </w:r>
      <w:r w:rsidR="00EF6D1E">
        <w:rPr>
          <w:rFonts w:cs="Arial"/>
        </w:rPr>
        <w:t xml:space="preserve"> </w:t>
      </w:r>
      <w:r w:rsidRPr="001C63E0">
        <w:rPr>
          <w:rFonts w:cs="Arial"/>
        </w:rPr>
        <w:t>400 mio. investendo il capitale addizionale secondo l’attuale strategia rispettivamente di CHF</w:t>
      </w:r>
      <w:r w:rsidR="00EF6D1E">
        <w:rPr>
          <w:rFonts w:cs="Arial"/>
        </w:rPr>
        <w:t xml:space="preserve"> </w:t>
      </w:r>
      <w:r w:rsidRPr="001C63E0">
        <w:rPr>
          <w:rFonts w:cs="Arial"/>
        </w:rPr>
        <w:t>900 mio. investendolo in azioni. Il grado di copertura globale dell’IPCT alla fine del 2051 dovrebbe in tal modo aumentare di circa 4% (punti percentuali) rispettivamente di circa 10% (punti percentuali), pertanto secondo il CdS e l’IPCT offrendo un sufficiente cuscinetto teso al mantenimento del piano di ricapitalizzazione inizialmente previsto nel 2012. Si vedano le spiegazioni a pag. 6 del precitato Rapporto complementare del 30 settembre 2021 e le ivi esposte note a piè di pagina 18 e 19.</w:t>
      </w:r>
    </w:p>
    <w:p w:rsidR="001C63E0" w:rsidRPr="001C63E0" w:rsidRDefault="001C63E0" w:rsidP="00357DAC">
      <w:pPr>
        <w:rPr>
          <w:rFonts w:cs="Arial"/>
        </w:rPr>
      </w:pPr>
    </w:p>
    <w:p w:rsidR="001C63E0" w:rsidRPr="006C471B" w:rsidRDefault="001C63E0" w:rsidP="00EC5775">
      <w:pPr>
        <w:pStyle w:val="Titolo3"/>
      </w:pPr>
      <w:bookmarkStart w:id="72" w:name="_Toc98976130"/>
      <w:r w:rsidRPr="006C471B">
        <w:t>9.1.2</w:t>
      </w:r>
      <w:r w:rsidRPr="006C471B">
        <w:tab/>
        <w:t>Rendimenti azionari ipotizzati alla base delle proiezioni del CdS e dell’IPCT</w:t>
      </w:r>
      <w:bookmarkEnd w:id="72"/>
    </w:p>
    <w:p w:rsidR="001C63E0" w:rsidRPr="001C63E0" w:rsidRDefault="001C63E0" w:rsidP="001C63E0">
      <w:pPr>
        <w:spacing w:before="120"/>
        <w:rPr>
          <w:rFonts w:cs="Arial"/>
        </w:rPr>
      </w:pPr>
      <w:r w:rsidRPr="001C63E0">
        <w:rPr>
          <w:rFonts w:cs="Arial"/>
        </w:rPr>
        <w:t>Quali rendimenti azionari ipotizzano il CdS e l’IPCT a monte di tali proiezioni? Secondo la nota a piè di pagina 6 del Rapporto complementare del CdS del 30</w:t>
      </w:r>
      <w:r w:rsidR="00EF6D1E">
        <w:rPr>
          <w:rFonts w:cs="Arial"/>
        </w:rPr>
        <w:t xml:space="preserve"> </w:t>
      </w:r>
      <w:r w:rsidRPr="001C63E0">
        <w:rPr>
          <w:rFonts w:cs="Arial"/>
        </w:rPr>
        <w:t>settembre 2021, il piano di finanziamento adottato nel 2012 prevede che l’intero patrimonio dell’Istituto abbia un rendimento del 4% nominale annuo. Sempre secondo la stessa nota, i rendimenti medi del patrimonio conseguiti dall’IPCT nel periodo 2013-2020 sono stati pari al 4.7% nominale annuo, pertanto superiori alle stime su cui poggia il piano di finanziamento.</w:t>
      </w:r>
    </w:p>
    <w:p w:rsidR="001C63E0" w:rsidRPr="001C63E0" w:rsidRDefault="001C63E0" w:rsidP="001C63E0">
      <w:pPr>
        <w:spacing w:before="120"/>
        <w:rPr>
          <w:rFonts w:cs="Arial"/>
        </w:rPr>
      </w:pPr>
      <w:r w:rsidRPr="001C63E0">
        <w:rPr>
          <w:rFonts w:cs="Arial"/>
        </w:rPr>
        <w:t>Sul lungo periodo, i rendimenti del patrimonio necessari per il mantenimento del cammino di ricapitalizzazione sono ancor minori e pari al 2%. Come già riportato sopra alla sezione 4.3 e documentato nella Risoluzione governativa n.</w:t>
      </w:r>
      <w:r w:rsidR="00EF6D1E">
        <w:rPr>
          <w:rFonts w:cs="Arial"/>
        </w:rPr>
        <w:t xml:space="preserve"> </w:t>
      </w:r>
      <w:r w:rsidRPr="001C63E0">
        <w:rPr>
          <w:rFonts w:cs="Arial"/>
        </w:rPr>
        <w:t>4413 del 2</w:t>
      </w:r>
      <w:r w:rsidR="00EF6D1E">
        <w:rPr>
          <w:rFonts w:cs="Arial"/>
        </w:rPr>
        <w:t xml:space="preserve"> </w:t>
      </w:r>
      <w:r w:rsidRPr="001C63E0">
        <w:rPr>
          <w:rFonts w:cs="Arial"/>
        </w:rPr>
        <w:t>settembre 2020 infatti, il Consiglio di Stato ha risposto alle domande della Sottocommissione finanze sostenendo che l’obiettivo di un grado di copertura globale dell’85% entro la fine del 2051 sarebbe di principio raggiungibile se il tasso tecnico non scendesse in futuro al di sotto dell’1.5% e se il rendimento del patrimonio a lungo termine sarà del 2% annuo almeno, fatto salvo l’apporto a fondo perso di CHF 500 mio. come originariamente proposto nel messaggio 7764 e ora sostituiti dalla messa a disposizione (non a fondo perso) di CHF</w:t>
      </w:r>
      <w:r w:rsidR="00EF6D1E">
        <w:rPr>
          <w:rFonts w:cs="Arial"/>
        </w:rPr>
        <w:t xml:space="preserve"> </w:t>
      </w:r>
      <w:r w:rsidRPr="001C63E0">
        <w:rPr>
          <w:rFonts w:cs="Arial"/>
        </w:rPr>
        <w:t>700 mio.</w:t>
      </w:r>
    </w:p>
    <w:p w:rsidR="001C63E0" w:rsidRPr="001C63E0" w:rsidRDefault="001C63E0" w:rsidP="001C63E0">
      <w:pPr>
        <w:spacing w:before="120"/>
        <w:rPr>
          <w:rFonts w:cs="Arial"/>
        </w:rPr>
      </w:pPr>
      <w:r w:rsidRPr="001C63E0">
        <w:rPr>
          <w:rFonts w:cs="Arial"/>
        </w:rPr>
        <w:t>L’ipotesi di un rendimento atteso a medio-lungo termine (ossia su un orizzonte temporale di 10 anni indicativamente) di tutto il patrimonio IPCT pari a circa il 2% nominale annuo è ribadita alla sezione 3.3.2 a pagina 6 del Rapporto complementare del CdS del 30</w:t>
      </w:r>
      <w:r w:rsidR="00EF6D1E">
        <w:rPr>
          <w:rFonts w:cs="Arial"/>
        </w:rPr>
        <w:t xml:space="preserve"> </w:t>
      </w:r>
      <w:r w:rsidRPr="001C63E0">
        <w:rPr>
          <w:rFonts w:cs="Arial"/>
        </w:rPr>
        <w:t xml:space="preserve">settembre 2021 e fonda nelle calcolazioni della </w:t>
      </w:r>
      <w:proofErr w:type="spellStart"/>
      <w:r w:rsidRPr="001C63E0">
        <w:rPr>
          <w:rFonts w:cs="Arial"/>
        </w:rPr>
        <w:t>PPCmetrics</w:t>
      </w:r>
      <w:proofErr w:type="spellEnd"/>
      <w:r w:rsidRPr="001C63E0">
        <w:rPr>
          <w:rFonts w:cs="Arial"/>
        </w:rPr>
        <w:t xml:space="preserve"> AG, il consulente per gli investimenti dell’IPCT. Tale indicazione è stata ribadita dal presidente e dal direttore dell’IPCT con lettera del 21 marzo 2022 indirizzata alla Sottocommissione finanze. Parimenti, gli stessi due documenti indicano che – qualora gli aggiuntivi CHF 700 mio. venissero interamente investiti in azioni – il rendimento atteso a medio-lungo termine di tutto il patrimonio aumenterebbe al 2.2% nominale annuo. Sempre stando a tali fondi, detti ipotetici CHF 700 mio. rappresenterebbero un incremento del 13% degli averi investiti.</w:t>
      </w:r>
    </w:p>
    <w:p w:rsidR="001C63E0" w:rsidRPr="001C63E0" w:rsidRDefault="001C63E0" w:rsidP="001C63E0">
      <w:pPr>
        <w:spacing w:before="120"/>
        <w:rPr>
          <w:rFonts w:cs="Arial"/>
        </w:rPr>
      </w:pPr>
      <w:r w:rsidRPr="001C63E0">
        <w:rPr>
          <w:rFonts w:cs="Arial"/>
        </w:rPr>
        <w:t>Orbene, se l’aumento del 13% degli averi investiti è in grado di alzare il rendimento nominale annuo complessivo dal 2% al 2.2%, ciò implica che si presuppone che i CHF</w:t>
      </w:r>
      <w:r w:rsidR="00EF6D1E">
        <w:rPr>
          <w:rFonts w:cs="Arial"/>
        </w:rPr>
        <w:t xml:space="preserve"> </w:t>
      </w:r>
      <w:r w:rsidRPr="001C63E0">
        <w:rPr>
          <w:rFonts w:cs="Arial"/>
        </w:rPr>
        <w:t>700 mio. aggiuntivi possano essere investiti a medio-lungo termine generando un rendimento nominale annuo medio del 3.74%, come esplicitato nel seguente calcolo tabellare.</w:t>
      </w:r>
    </w:p>
    <w:p w:rsidR="001C63E0" w:rsidRPr="001C63E0" w:rsidRDefault="001C63E0" w:rsidP="001C63E0">
      <w:pPr>
        <w:spacing w:before="120"/>
        <w:rPr>
          <w:rFonts w:cs="Arial"/>
        </w:rPr>
      </w:pPr>
    </w:p>
    <w:p w:rsidR="001C63E0" w:rsidRPr="001C63E0" w:rsidRDefault="001C63E0" w:rsidP="001C63E0">
      <w:pPr>
        <w:spacing w:before="120"/>
        <w:jc w:val="center"/>
        <w:rPr>
          <w:rFonts w:cs="Arial"/>
        </w:rPr>
      </w:pPr>
      <w:r w:rsidRPr="001C63E0">
        <w:rPr>
          <w:rFonts w:ascii="Calibri" w:eastAsia="DengXian" w:hAnsi="Calibri" w:cs="Arial"/>
          <w:sz w:val="22"/>
          <w:lang w:eastAsia="zh-CN"/>
        </w:rPr>
        <w:object w:dxaOrig="5618" w:dyaOrig="2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128.25pt" o:ole="">
            <v:imagedata r:id="rId47" o:title=""/>
          </v:shape>
          <o:OLEObject Type="Embed" ProgID="Excel.Sheet.12" ShapeID="_x0000_i1025" DrawAspect="Content" ObjectID="_1710166187" r:id="rId48"/>
        </w:object>
      </w:r>
    </w:p>
    <w:p w:rsidR="001C63E0" w:rsidRPr="001C63E0" w:rsidRDefault="001C63E0" w:rsidP="001C63E0">
      <w:pPr>
        <w:spacing w:before="120"/>
        <w:rPr>
          <w:rFonts w:cs="Arial"/>
        </w:rPr>
      </w:pPr>
    </w:p>
    <w:p w:rsidR="001C63E0" w:rsidRPr="001C63E0" w:rsidRDefault="001C63E0" w:rsidP="00357DAC">
      <w:pPr>
        <w:rPr>
          <w:rFonts w:cs="Arial"/>
        </w:rPr>
      </w:pPr>
      <w:r w:rsidRPr="001C63E0">
        <w:rPr>
          <w:rFonts w:cs="Arial"/>
        </w:rPr>
        <w:t>L’appendice al presente rapporto analizza 95 anni di dati del mercato azionario mondiale e giunge alla conclusione che nel secolo scorso, su un arco temporale di 30 anni come quello qui oggetto di analisi, il rendimento medio è stato almeno pari al 4.6% annuo al netto dell’inflazione e di costi annui di gestione dello 0.5%, superiori a quelli a cui è soggetta l’IPCT. Benché i rendimenti storici non rappresentino una garanzia per quelli futuri, si può pertanto affermare che i rendimenti azionari alla base delle proiezioni dell’IPCT e del CdS – pari al 3.74% nominale annuo – sono particolarmente prudenziali. Infatti, nel secolo passato la peggiore serie storica trentennale è stata capace di generare un rendimento superiore a quello ipotizzato dall’IPCT e dal CdS addirittura epurando l’effetto dell’inflazione e dei costi di gestione.</w:t>
      </w:r>
    </w:p>
    <w:p w:rsidR="001C63E0" w:rsidRPr="001C63E0" w:rsidRDefault="001C63E0" w:rsidP="001C63E0">
      <w:pPr>
        <w:spacing w:before="120"/>
        <w:rPr>
          <w:rFonts w:cs="Arial"/>
        </w:rPr>
      </w:pPr>
      <w:r w:rsidRPr="001C63E0">
        <w:rPr>
          <w:rFonts w:cs="Arial"/>
        </w:rPr>
        <w:t>In conclusione, sulla base di quanto precede non si ravvisano elementi sufficienti per supporre che le proiezioni prodotte dal CdS e dall’IPCT non siano corrette. Anzi, non sarebbe una sorpresa se – sull’arco dei decenni – la salute finanziaria si evolvesse positivamente oltre le previsioni.</w:t>
      </w:r>
    </w:p>
    <w:p w:rsidR="001C63E0" w:rsidRDefault="001C63E0" w:rsidP="006C471B">
      <w:pPr>
        <w:rPr>
          <w:rFonts w:cs="Arial"/>
        </w:rPr>
      </w:pPr>
    </w:p>
    <w:p w:rsidR="006C471B" w:rsidRPr="001C63E0" w:rsidRDefault="006C471B" w:rsidP="006C471B">
      <w:pPr>
        <w:rPr>
          <w:rFonts w:cs="Arial"/>
        </w:rPr>
      </w:pPr>
    </w:p>
    <w:p w:rsidR="001C63E0" w:rsidRPr="001C63E0" w:rsidRDefault="001C63E0" w:rsidP="006C471B">
      <w:pPr>
        <w:keepNext/>
        <w:tabs>
          <w:tab w:val="left" w:pos="709"/>
        </w:tabs>
        <w:ind w:left="357" w:hanging="357"/>
        <w:outlineLvl w:val="1"/>
        <w:rPr>
          <w:rFonts w:cs="Arial"/>
          <w:b/>
          <w:lang w:val="it-IT" w:eastAsia="it-IT"/>
        </w:rPr>
      </w:pPr>
      <w:bookmarkStart w:id="73" w:name="_Toc98976131"/>
      <w:r w:rsidRPr="001C63E0">
        <w:rPr>
          <w:rFonts w:cs="Arial"/>
          <w:b/>
          <w:lang w:val="it-IT" w:eastAsia="it-IT"/>
        </w:rPr>
        <w:t>9.2</w:t>
      </w:r>
      <w:r w:rsidRPr="001C63E0">
        <w:rPr>
          <w:rFonts w:cs="Arial"/>
          <w:b/>
          <w:lang w:val="it-IT" w:eastAsia="it-IT"/>
        </w:rPr>
        <w:tab/>
      </w:r>
      <w:r w:rsidR="006C471B">
        <w:rPr>
          <w:rFonts w:cs="Arial"/>
          <w:b/>
          <w:lang w:val="it-IT" w:eastAsia="it-IT"/>
        </w:rPr>
        <w:tab/>
      </w:r>
      <w:r w:rsidRPr="001C63E0">
        <w:rPr>
          <w:rFonts w:cs="Arial"/>
          <w:b/>
          <w:lang w:val="it-IT" w:eastAsia="it-IT"/>
        </w:rPr>
        <w:t>Investimenti sostenibili</w:t>
      </w:r>
      <w:bookmarkEnd w:id="73"/>
    </w:p>
    <w:p w:rsidR="001C63E0" w:rsidRPr="004429D8" w:rsidRDefault="001C63E0" w:rsidP="00EC5775">
      <w:pPr>
        <w:pStyle w:val="Titolo3"/>
      </w:pPr>
      <w:bookmarkStart w:id="74" w:name="_Toc98976132"/>
      <w:r w:rsidRPr="004429D8">
        <w:t>9.2.1</w:t>
      </w:r>
      <w:r w:rsidRPr="004429D8">
        <w:tab/>
        <w:t>Clima e mercato finanziario</w:t>
      </w:r>
      <w:bookmarkEnd w:id="74"/>
    </w:p>
    <w:p w:rsidR="001C63E0" w:rsidRPr="001C63E0" w:rsidRDefault="001C63E0" w:rsidP="001C63E0">
      <w:pPr>
        <w:spacing w:before="120"/>
        <w:rPr>
          <w:rFonts w:cs="Arial"/>
          <w:i/>
          <w:iCs/>
        </w:rPr>
      </w:pPr>
      <w:r w:rsidRPr="001C63E0">
        <w:rPr>
          <w:rFonts w:cs="Arial"/>
          <w:i/>
          <w:iCs/>
        </w:rPr>
        <w:t>Le decisioni di investimento attuali, ad esempio in materia di approvvigionamento energetico, contribuiscono a determinare l’evoluzione futura delle emissioni di gas serra. Firmando l’Accordo di Parigi sul clima nel 2015, la comunità internazionale si è posta tre obiettivi principali, fra cui anche quello di rendere più clima-compatibili i flussi finanziari in generale. In altre parole, in futuro si dovrà investire in misura maggiore in tecnologie e vettori energetici rispettosi dell’ambiente e innovativi, riducendo gli investimenti in quelli che generano elevate emissioni di gas serra. Quale parte contraente dell’Accordo di Parigi, la Svizzera riconosce tale obiettivo.</w:t>
      </w:r>
    </w:p>
    <w:p w:rsidR="001C63E0" w:rsidRPr="001C63E0" w:rsidRDefault="001C63E0" w:rsidP="001C63E0">
      <w:pPr>
        <w:spacing w:before="120"/>
        <w:rPr>
          <w:rFonts w:cs="Arial"/>
          <w:i/>
          <w:iCs/>
        </w:rPr>
      </w:pPr>
      <w:r w:rsidRPr="001C63E0">
        <w:rPr>
          <w:rFonts w:cs="Arial"/>
          <w:i/>
          <w:iCs/>
        </w:rPr>
        <w:t>L’attuale comportamento di investimento non soltanto favorisce l’estrazione del carbone e del petrolio, ma propone persino che se ne aumenti la produzione. Si tratta di un approccio agli antipodi degli obiettivi climatici. L’ampia partecipazione di assicurazioni, casse pensioni, banche e gestori patrimoniali ai test volontari sulla compatibilità climatica sono un segnale della crescente consapevolezza sulla questione da parte del settore finanziario svizzero.</w:t>
      </w:r>
      <w:r w:rsidRPr="001C63E0">
        <w:rPr>
          <w:rFonts w:cs="Arial"/>
          <w:i/>
          <w:iCs/>
          <w:vertAlign w:val="superscript"/>
        </w:rPr>
        <w:footnoteReference w:id="84"/>
      </w:r>
    </w:p>
    <w:p w:rsidR="001C63E0" w:rsidRPr="001C63E0" w:rsidRDefault="001C63E0" w:rsidP="001C63E0">
      <w:pPr>
        <w:spacing w:before="120"/>
        <w:rPr>
          <w:rFonts w:cs="Arial"/>
        </w:rPr>
      </w:pPr>
      <w:r w:rsidRPr="001C63E0">
        <w:rPr>
          <w:rFonts w:cs="Arial"/>
        </w:rPr>
        <w:t>È necessario, indipendentemente dai nuovi fondi che dovrà gestire l’Istituto di previdenza del Canton Ticino, che quest’ultimo adotti finalmente una strategia di investimento sostenibile sia dal punto di vista sociale che climatico, oltre che ineccepibile sul piano etico. L’ente pubblico troppo spesso dimentica il suo ruolo decisivo non solo come legislatore, ma anche come attore in questo caso dei mercati finanziari.</w:t>
      </w:r>
    </w:p>
    <w:p w:rsidR="001C63E0" w:rsidRPr="001C63E0" w:rsidRDefault="001C63E0" w:rsidP="001C63E0">
      <w:pPr>
        <w:spacing w:before="120"/>
        <w:rPr>
          <w:rFonts w:cs="Arial"/>
        </w:rPr>
      </w:pPr>
      <w:r w:rsidRPr="001C63E0">
        <w:rPr>
          <w:rFonts w:cs="Arial"/>
          <w:i/>
          <w:iCs/>
        </w:rPr>
        <w:lastRenderedPageBreak/>
        <w:t>Nel 2019 il totale di bilancio dell’insieme delle casse pensioni della Svizzera si attestava a un bilione (mille miliardi) di franchi.</w:t>
      </w:r>
      <w:r w:rsidRPr="001C63E0">
        <w:rPr>
          <w:rFonts w:cs="Arial"/>
          <w:vertAlign w:val="superscript"/>
        </w:rPr>
        <w:footnoteReference w:id="85"/>
      </w:r>
      <w:r w:rsidRPr="001C63E0">
        <w:rPr>
          <w:rFonts w:cs="Arial"/>
          <w:i/>
          <w:iCs/>
        </w:rPr>
        <w:t xml:space="preserve"> </w:t>
      </w:r>
      <w:r w:rsidRPr="001C63E0">
        <w:rPr>
          <w:rFonts w:cs="Arial"/>
        </w:rPr>
        <w:t>L’Alleanza svizzera per il clima</w:t>
      </w:r>
      <w:r w:rsidRPr="001C63E0">
        <w:rPr>
          <w:rFonts w:cs="Arial"/>
          <w:vertAlign w:val="superscript"/>
        </w:rPr>
        <w:footnoteReference w:id="86"/>
      </w:r>
      <w:r w:rsidRPr="001C63E0">
        <w:rPr>
          <w:rFonts w:cs="Arial"/>
        </w:rPr>
        <w:t xml:space="preserve"> ha fatto un importante lavoro di valutazione sulle casse pensioni svizzere evidenziando come ancora troppi istituti di previdenza non hanno ancora intrapreso nessuna misura per diventare sostenibili dal punto di vista climatico. Questo è un grosso rischio non solo per il nostro pianeta, ma anche per le rendite di vecchiaia stesse. </w:t>
      </w:r>
      <w:r w:rsidRPr="001C63E0">
        <w:rPr>
          <w:rFonts w:cs="Arial"/>
          <w:i/>
          <w:iCs/>
        </w:rPr>
        <w:t>Se il riscaldamento climatico deve essere limitato a 1.5 °C, i fondi pensione devono ridurre significativamente i loro investimenti nell’energia fossile… Gli investimenti nell’energia fossile non sono quindi solo un rischio per il clima, ma anche per le pensioni.</w:t>
      </w:r>
      <w:r w:rsidRPr="001C63E0">
        <w:rPr>
          <w:rFonts w:cs="Arial"/>
          <w:vertAlign w:val="superscript"/>
        </w:rPr>
        <w:footnoteReference w:id="87"/>
      </w:r>
    </w:p>
    <w:p w:rsidR="001C63E0" w:rsidRPr="001C63E0" w:rsidRDefault="001C63E0" w:rsidP="001C63E0">
      <w:pPr>
        <w:spacing w:before="120"/>
        <w:rPr>
          <w:rFonts w:cs="Arial"/>
        </w:rPr>
      </w:pPr>
      <w:r w:rsidRPr="001C63E0">
        <w:rPr>
          <w:rFonts w:cs="Arial"/>
        </w:rPr>
        <w:t xml:space="preserve">L’Alleanza svizzera per il clima ha anche stilato una classifica delle casse pensioni svizzere in base alla loro sostenibilità ed ha redatto una scheda per ognuna di esse. L’IPCT risulta essere pericolosa per il clima. </w:t>
      </w:r>
      <w:r w:rsidRPr="001C63E0">
        <w:rPr>
          <w:rFonts w:cs="Arial"/>
          <w:i/>
          <w:iCs/>
        </w:rPr>
        <w:t>Manca ancora una strategia climatica volta a decarbonizzare il portafoglio e ad abbandonare le aziende fossili che non sono passate ad un modello di business sostenibile basato sulle energie rinnovabili. La cassa pensioni IPCT è ancora ben lontana dalla compatibilità climatica degli investimenti. È opportuno che l'IPCT affronti concretamente la questione della gestione della sostenibilità e dei rischi climatici finanziari – intesa come integrazione delle valutazioni ESG e dei dati di impronta di carbonio nel processo di selezione dei titoli. In particolare, l'IPCT dovrebbe far rispettare e monitorare in modo proattivo l'effettiva integrazione dei criteri ESG e dei rischi climatici finanziari nel processo di investimento da parte dei suoi gestori – oppure selezionare dei fondi di cui è dimostrata la costruzione secondo criteri ESG e di riduzione di CO2 di ampia portata.</w:t>
      </w:r>
      <w:r w:rsidRPr="001C63E0">
        <w:rPr>
          <w:rFonts w:cs="Arial"/>
          <w:vertAlign w:val="superscript"/>
        </w:rPr>
        <w:footnoteReference w:id="88"/>
      </w:r>
    </w:p>
    <w:p w:rsidR="001C63E0" w:rsidRPr="001C63E0" w:rsidRDefault="001C63E0" w:rsidP="001C63E0">
      <w:pPr>
        <w:spacing w:before="120"/>
        <w:rPr>
          <w:rFonts w:cs="Arial"/>
          <w:i/>
          <w:iCs/>
        </w:rPr>
      </w:pPr>
      <w:r w:rsidRPr="001C63E0">
        <w:rPr>
          <w:rFonts w:cs="Arial"/>
        </w:rPr>
        <w:t>Anche la politica, intesa come Consiglio di Stato e Gran Consiglio, è responsabile di questa situazione ormai diventata insostenibile. La scheda</w:t>
      </w:r>
      <w:r w:rsidRPr="001C63E0">
        <w:rPr>
          <w:rFonts w:cs="Arial"/>
          <w:vertAlign w:val="superscript"/>
        </w:rPr>
        <w:footnoteReference w:id="89"/>
      </w:r>
      <w:r w:rsidRPr="001C63E0">
        <w:rPr>
          <w:rFonts w:cs="Arial"/>
        </w:rPr>
        <w:t xml:space="preserve"> che riguarda l’IPCT dà delle indicazioni che questo Parlamento fa proprie invitando l’IPCT ad agire di conseguenza. </w:t>
      </w:r>
      <w:r w:rsidRPr="001C63E0">
        <w:rPr>
          <w:rFonts w:cs="Arial"/>
          <w:i/>
          <w:iCs/>
        </w:rPr>
        <w:t>Secondo il parere legale NKF la considerazione dei rischi climatici nel processo di investimento fa parte del dovere di diligenza. Per quanto riguarda la sua politica di investimento, l’IPCT non dispone di una strategia pubblica relativa al cambiamento climatico.</w:t>
      </w:r>
    </w:p>
    <w:p w:rsidR="001C63E0" w:rsidRPr="001C63E0" w:rsidRDefault="001C63E0" w:rsidP="00357DAC">
      <w:pPr>
        <w:rPr>
          <w:rFonts w:cs="Arial"/>
          <w:lang w:val="it-IT"/>
        </w:rPr>
      </w:pPr>
    </w:p>
    <w:p w:rsidR="001C63E0" w:rsidRPr="0053130F" w:rsidRDefault="001C63E0" w:rsidP="00EC5775">
      <w:pPr>
        <w:pStyle w:val="Titolo3"/>
      </w:pPr>
      <w:bookmarkStart w:id="75" w:name="_Toc98976133"/>
      <w:r w:rsidRPr="0053130F">
        <w:t>9.2.2</w:t>
      </w:r>
      <w:r w:rsidRPr="0053130F">
        <w:tab/>
        <w:t>Indicazioni</w:t>
      </w:r>
      <w:bookmarkEnd w:id="75"/>
    </w:p>
    <w:p w:rsidR="001C63E0" w:rsidRPr="001C63E0" w:rsidRDefault="001C63E0" w:rsidP="001C63E0">
      <w:pPr>
        <w:spacing w:before="120"/>
        <w:rPr>
          <w:rFonts w:cs="Arial"/>
          <w:b/>
          <w:bCs/>
        </w:rPr>
      </w:pPr>
      <w:r w:rsidRPr="001C63E0">
        <w:rPr>
          <w:rFonts w:cs="Arial"/>
          <w:b/>
          <w:bCs/>
        </w:rPr>
        <w:t>Partecipazione ad associazioni per la sostenibilità</w:t>
      </w:r>
    </w:p>
    <w:p w:rsidR="001C63E0" w:rsidRPr="001C63E0" w:rsidRDefault="001C63E0" w:rsidP="001C63E0">
      <w:pPr>
        <w:spacing w:before="120"/>
        <w:rPr>
          <w:rFonts w:cs="Arial"/>
        </w:rPr>
      </w:pPr>
      <w:r w:rsidRPr="001C63E0">
        <w:rPr>
          <w:rFonts w:cs="Arial"/>
        </w:rPr>
        <w:t>L’IPCT dovrebbe diventare membro dell’ETHOS Engagement Pool International, che dal giugno 2018 sta attuando un programma pluriennale di impegni, invitando otto società elettriche europee a prepararsi per un futuro a basse emissioni di carbonio.</w:t>
      </w:r>
    </w:p>
    <w:p w:rsidR="001C63E0" w:rsidRPr="001C63E0" w:rsidRDefault="001C63E0" w:rsidP="00357DAC">
      <w:pPr>
        <w:rPr>
          <w:rFonts w:cs="Arial"/>
        </w:rPr>
      </w:pPr>
    </w:p>
    <w:p w:rsidR="001C63E0" w:rsidRPr="001C63E0" w:rsidRDefault="001C63E0" w:rsidP="00357DAC">
      <w:pPr>
        <w:rPr>
          <w:rFonts w:cs="Arial"/>
          <w:b/>
          <w:bCs/>
        </w:rPr>
      </w:pPr>
      <w:r w:rsidRPr="001C63E0">
        <w:rPr>
          <w:rFonts w:cs="Arial"/>
          <w:b/>
          <w:bCs/>
        </w:rPr>
        <w:t>Misurazione dell’impronta di CO2 o del rischio climatico finanziario con analisi di scenario</w:t>
      </w:r>
    </w:p>
    <w:p w:rsidR="001C63E0" w:rsidRPr="001C63E0" w:rsidRDefault="001C63E0" w:rsidP="001C63E0">
      <w:pPr>
        <w:spacing w:before="120"/>
        <w:rPr>
          <w:rFonts w:cs="Arial"/>
        </w:rPr>
      </w:pPr>
      <w:r w:rsidRPr="001C63E0">
        <w:rPr>
          <w:rFonts w:cs="Arial"/>
        </w:rPr>
        <w:t>L’IPCT dovrebbe determinare la propria compatibilità climatica misurando l’impronta di CO2 o le potenziali perdite di valore sul portafoglio attraverso l’analisi di scenario.</w:t>
      </w:r>
    </w:p>
    <w:p w:rsidR="001C63E0" w:rsidRPr="001C63E0" w:rsidRDefault="001C63E0" w:rsidP="00357DAC">
      <w:pPr>
        <w:rPr>
          <w:rFonts w:cs="Arial"/>
        </w:rPr>
      </w:pPr>
    </w:p>
    <w:p w:rsidR="001C63E0" w:rsidRPr="001C63E0" w:rsidRDefault="001C63E0" w:rsidP="00357DAC">
      <w:pPr>
        <w:rPr>
          <w:rFonts w:cs="Arial"/>
          <w:b/>
          <w:bCs/>
        </w:rPr>
      </w:pPr>
      <w:r w:rsidRPr="001C63E0">
        <w:rPr>
          <w:rFonts w:cs="Arial"/>
          <w:b/>
          <w:bCs/>
        </w:rPr>
        <w:t>Pianificazione di ulteriori misure di decarbonizzazione a livello del portafoglio</w:t>
      </w:r>
    </w:p>
    <w:p w:rsidR="001C63E0" w:rsidRPr="001C63E0" w:rsidRDefault="001C63E0" w:rsidP="001C63E0">
      <w:pPr>
        <w:spacing w:before="120"/>
        <w:rPr>
          <w:rFonts w:cs="Arial"/>
        </w:rPr>
      </w:pPr>
      <w:r w:rsidRPr="001C63E0">
        <w:rPr>
          <w:rFonts w:cs="Arial"/>
        </w:rPr>
        <w:t>L’IPCT dovrebbe preparare un concetto per un percorso di decarbonizzazione compatibile con l’accordo di Parigi.</w:t>
      </w:r>
    </w:p>
    <w:p w:rsidR="001C63E0" w:rsidRPr="001C63E0" w:rsidRDefault="001C63E0" w:rsidP="001C63E0">
      <w:pPr>
        <w:spacing w:before="120"/>
        <w:rPr>
          <w:rFonts w:cs="Arial"/>
          <w:i/>
          <w:iCs/>
        </w:rPr>
      </w:pPr>
      <w:r w:rsidRPr="001C63E0">
        <w:rPr>
          <w:rFonts w:cs="Arial"/>
        </w:rPr>
        <w:t xml:space="preserve">Dato il peso dell’IPCT e i progressi dei suoi gruppi di pari, è opportuno che affronti più concretamente la questione della sostenibilità (intesa come integrazione ESG) e dei rischi </w:t>
      </w:r>
      <w:r w:rsidRPr="001C63E0">
        <w:rPr>
          <w:rFonts w:cs="Arial"/>
        </w:rPr>
        <w:lastRenderedPageBreak/>
        <w:t>climatici finanziari. Concordiamo con l’Alleanza svizzera per il clima e non riteniamo soddisfacenti le indicazioni date dall’IPCT in risposta all’interrogazione di Nicola Schoenenberger dell’</w:t>
      </w:r>
      <w:r w:rsidR="00357DAC">
        <w:rPr>
          <w:rFonts w:cs="Arial"/>
        </w:rPr>
        <w:t>o</w:t>
      </w:r>
      <w:r w:rsidRPr="001C63E0">
        <w:rPr>
          <w:rFonts w:cs="Arial"/>
        </w:rPr>
        <w:t xml:space="preserve">ttobre del 2022. </w:t>
      </w:r>
      <w:r w:rsidRPr="001C63E0">
        <w:rPr>
          <w:rFonts w:cs="Arial"/>
          <w:i/>
          <w:iCs/>
        </w:rPr>
        <w:t>Per la sua risposta, il Consiglio di Stato trasferisce la presa di posizione della cassa pensione. Questa risponde in modo difensivo ed evade gran parte delle domande. Si difende che l’investimento sostenibile è complicato, che i costi dei fondi sostenibili siano più elevati di quelli tradizionali e che essa non abbia la possibilità di dare delle direttive di sostenibilità ai suoi gestori dei fondi UBS e Credit Suisse. Comunque, l’IPCT informa che i fondi azioni estere dei due gestori hanno implementato la lista di esclusione dei titoli dell’Associazione Svizzera per gli Investimenti Responsabili di capitale (ASIR/SVVK); sono ad esempio esclusi i titoli di produttori di mine antiuomo, munizioni a grappolo e armi nucleari.</w:t>
      </w:r>
      <w:r w:rsidRPr="001C63E0">
        <w:rPr>
          <w:rFonts w:cs="Arial"/>
          <w:i/>
          <w:iCs/>
          <w:vertAlign w:val="superscript"/>
        </w:rPr>
        <w:footnoteReference w:id="90"/>
      </w:r>
    </w:p>
    <w:p w:rsidR="001C63E0" w:rsidRPr="001C63E0" w:rsidRDefault="001C63E0" w:rsidP="001C63E0">
      <w:pPr>
        <w:spacing w:before="120"/>
        <w:rPr>
          <w:rFonts w:cs="Arial"/>
        </w:rPr>
      </w:pPr>
      <w:r w:rsidRPr="001C63E0">
        <w:rPr>
          <w:rFonts w:cs="Arial"/>
        </w:rPr>
        <w:t>In aggiunta riteniamo che l’IPCT deve assicurarsi di non investire assolutamente in produttori di armi o in società di estrazione che non abbiano una marcata sostenibilità sociale e ambientale.</w:t>
      </w:r>
    </w:p>
    <w:p w:rsidR="001C63E0" w:rsidRPr="001C63E0" w:rsidRDefault="001C63E0" w:rsidP="001C63E0">
      <w:pPr>
        <w:spacing w:before="120"/>
        <w:rPr>
          <w:rFonts w:cs="Arial"/>
        </w:rPr>
      </w:pPr>
      <w:r w:rsidRPr="001C63E0">
        <w:rPr>
          <w:rFonts w:cs="Arial"/>
        </w:rPr>
        <w:t>Chiediamo che l’IPCT ci faccia entro un anno un rapporto delle misure prese, dei risultati conseguiti e degli obiettivi che si è posto</w:t>
      </w:r>
    </w:p>
    <w:p w:rsidR="001C63E0" w:rsidRDefault="001C63E0" w:rsidP="00357DAC">
      <w:pPr>
        <w:rPr>
          <w:rFonts w:cs="Arial"/>
          <w:lang w:val="it-IT"/>
        </w:rPr>
      </w:pPr>
    </w:p>
    <w:p w:rsidR="00357DAC" w:rsidRPr="001C63E0" w:rsidRDefault="00357DAC" w:rsidP="00357DAC">
      <w:pPr>
        <w:rPr>
          <w:rFonts w:cs="Arial"/>
          <w:lang w:val="it-IT"/>
        </w:rPr>
      </w:pPr>
    </w:p>
    <w:p w:rsidR="001C63E0" w:rsidRPr="001C63E0" w:rsidRDefault="001C63E0" w:rsidP="00357DAC">
      <w:pPr>
        <w:tabs>
          <w:tab w:val="left" w:pos="709"/>
        </w:tabs>
        <w:rPr>
          <w:rFonts w:cs="Arial"/>
          <w:b/>
          <w:lang w:val="it-IT" w:eastAsia="it-IT"/>
        </w:rPr>
      </w:pPr>
      <w:bookmarkStart w:id="76" w:name="_Toc98976134"/>
      <w:r w:rsidRPr="001C63E0">
        <w:rPr>
          <w:rFonts w:cs="Arial"/>
          <w:b/>
          <w:lang w:val="it-IT" w:eastAsia="it-IT"/>
        </w:rPr>
        <w:t>9.3</w:t>
      </w:r>
      <w:r w:rsidRPr="001C63E0">
        <w:rPr>
          <w:rFonts w:cs="Arial"/>
          <w:b/>
          <w:lang w:val="it-IT" w:eastAsia="it-IT"/>
        </w:rPr>
        <w:tab/>
        <w:t>Riduzione del tasso di conversione</w:t>
      </w:r>
      <w:bookmarkEnd w:id="76"/>
    </w:p>
    <w:p w:rsidR="001C63E0" w:rsidRPr="001C63E0" w:rsidRDefault="001C63E0" w:rsidP="001C63E0">
      <w:pPr>
        <w:spacing w:before="120"/>
        <w:rPr>
          <w:rFonts w:cs="Arial"/>
          <w:lang w:val="it-IT" w:eastAsia="it-IT"/>
        </w:rPr>
      </w:pPr>
      <w:r w:rsidRPr="001C63E0">
        <w:rPr>
          <w:rFonts w:cs="Arial"/>
          <w:lang w:val="it-IT" w:eastAsia="it-IT"/>
        </w:rPr>
        <w:t>Secondo l’Istituto di Previdenza del Canton Ticino, con la riduzione del tasso tecnico dal 3.5% all’1.5% l’attuale tasso di conversione</w:t>
      </w:r>
      <w:r w:rsidRPr="001C63E0">
        <w:rPr>
          <w:rFonts w:cs="Arial"/>
          <w:vertAlign w:val="superscript"/>
          <w:lang w:val="it-IT" w:eastAsia="it-IT"/>
        </w:rPr>
        <w:footnoteReference w:id="91"/>
      </w:r>
      <w:r w:rsidRPr="001C63E0">
        <w:rPr>
          <w:rFonts w:cs="Arial"/>
          <w:lang w:val="it-IT" w:eastAsia="it-IT"/>
        </w:rPr>
        <w:t xml:space="preserve"> del 6.17% non è finanziariamente sostenibile. Una sua riduzione significa per gli affiliati attivi una diminuzione della rendita di vecchiaia.</w:t>
      </w:r>
    </w:p>
    <w:p w:rsidR="001C63E0" w:rsidRPr="001C63E0" w:rsidRDefault="001C63E0" w:rsidP="001C63E0">
      <w:pPr>
        <w:spacing w:before="120"/>
        <w:rPr>
          <w:rFonts w:cs="Arial"/>
          <w:lang w:val="it-IT" w:eastAsia="it-IT"/>
        </w:rPr>
      </w:pPr>
      <w:r w:rsidRPr="001C63E0">
        <w:rPr>
          <w:rFonts w:cs="Arial"/>
          <w:lang w:val="it-IT" w:eastAsia="it-IT"/>
        </w:rPr>
        <w:t>La riduzione si rende necessaria perché attualmente il tasso di conversione neutro per l’IPCT (ossia quello calcolato tenendo conto delle correnti basi attuariali dell’IPCT, cioè tasso tecnico dell’1.50% e basi tecniche VZ 2015) ammonta a circa il 4.8% a 65 anni, mentre attualmente, da regolamento, l’IPCT prevede a 65 anni un tasso di conversione del 6.17% (ossia calcolato con il vecchio tasso tecnico del 3.50% e le vecchie basi tecniche VZ 2010).</w:t>
      </w:r>
    </w:p>
    <w:p w:rsidR="001C63E0" w:rsidRPr="001C63E0" w:rsidRDefault="001C63E0" w:rsidP="001C63E0">
      <w:pPr>
        <w:spacing w:before="120"/>
        <w:rPr>
          <w:rFonts w:cs="Arial"/>
          <w:lang w:val="it-IT" w:eastAsia="it-IT"/>
        </w:rPr>
      </w:pPr>
      <w:r w:rsidRPr="001C63E0">
        <w:rPr>
          <w:rFonts w:cs="Arial"/>
          <w:noProof/>
          <w:lang w:eastAsia="it-CH"/>
        </w:rPr>
        <w:lastRenderedPageBreak/>
        <w:drawing>
          <wp:inline distT="0" distB="0" distL="0" distR="0" wp14:anchorId="7A1667F8" wp14:editId="489F9EF6">
            <wp:extent cx="6120130" cy="6120130"/>
            <wp:effectExtent l="0" t="0" r="0" b="0"/>
            <wp:docPr id="4" name="Immagin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Tabl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rsidR="001C63E0" w:rsidRPr="001C63E0" w:rsidRDefault="001C63E0" w:rsidP="001C63E0">
      <w:pPr>
        <w:spacing w:before="120"/>
        <w:rPr>
          <w:rFonts w:cs="Arial"/>
          <w:lang w:val="it-IT" w:eastAsia="it-IT"/>
        </w:rPr>
      </w:pPr>
    </w:p>
    <w:p w:rsidR="001C63E0" w:rsidRPr="001C63E0" w:rsidRDefault="001C63E0" w:rsidP="00357DAC">
      <w:pPr>
        <w:rPr>
          <w:rFonts w:cs="Arial"/>
          <w:lang w:val="it-IT" w:eastAsia="it-IT"/>
        </w:rPr>
      </w:pPr>
      <w:r w:rsidRPr="001C63E0">
        <w:rPr>
          <w:rFonts w:cs="Arial"/>
          <w:lang w:val="it-IT" w:eastAsia="it-IT"/>
        </w:rPr>
        <w:t>Mantenere questo disallineamento comporta una perdita per l’IPCT ad ogni singolo pensionamento pari al 25% dell’avere di vecchiaia dell’assicurato. Calcolando un avere di vecchiaia medio di circa CHF</w:t>
      </w:r>
      <w:r w:rsidR="00EF6D1E">
        <w:rPr>
          <w:rFonts w:cs="Arial"/>
          <w:lang w:val="it-IT" w:eastAsia="it-IT"/>
        </w:rPr>
        <w:t xml:space="preserve"> </w:t>
      </w:r>
      <w:r w:rsidRPr="001C63E0">
        <w:rPr>
          <w:rFonts w:cs="Arial"/>
          <w:lang w:val="it-IT" w:eastAsia="it-IT"/>
        </w:rPr>
        <w:t>400'000 per assicurato al momento del pensionamento, questo significherebbe una perdita di circa CHF</w:t>
      </w:r>
      <w:r w:rsidR="00EF6D1E">
        <w:rPr>
          <w:rFonts w:cs="Arial"/>
          <w:lang w:val="it-IT" w:eastAsia="it-IT"/>
        </w:rPr>
        <w:t xml:space="preserve"> </w:t>
      </w:r>
      <w:r w:rsidRPr="001C63E0">
        <w:rPr>
          <w:rFonts w:cs="Arial"/>
          <w:lang w:val="it-IT" w:eastAsia="it-IT"/>
        </w:rPr>
        <w:t>100'000 per ogni caso. Considerando che presso l’IPCT avvengono all’incirca 400 pensionamenti per vecchiaia ogni anno, mantenere in vigore gli attuali tassi di conversione comporterebbe quindi una perdita di circa CHF 40 mio. annui (CHF</w:t>
      </w:r>
      <w:r w:rsidR="00EF6D1E">
        <w:rPr>
          <w:rFonts w:cs="Arial"/>
          <w:lang w:val="it-IT" w:eastAsia="it-IT"/>
        </w:rPr>
        <w:t xml:space="preserve"> </w:t>
      </w:r>
      <w:r w:rsidRPr="001C63E0">
        <w:rPr>
          <w:rFonts w:cs="Arial"/>
          <w:lang w:val="it-IT" w:eastAsia="it-IT"/>
        </w:rPr>
        <w:t xml:space="preserve">100’000 * 400), ciò che evidentemente non è finanziariamente sostenibile, a maggior ragione per l’IPCT data la sua importante sotto-copertura e il suo obiettivo di aumentare progressivamente il proprio grado di copertura (attualmente del 67%) fino ad arrivare all’85% entro la fine del 2051. </w:t>
      </w:r>
    </w:p>
    <w:p w:rsidR="001C63E0" w:rsidRPr="001C63E0" w:rsidRDefault="001C63E0" w:rsidP="001C63E0">
      <w:pPr>
        <w:spacing w:before="120"/>
        <w:rPr>
          <w:rFonts w:cs="Arial"/>
          <w:lang w:val="it-IT" w:eastAsia="it-IT"/>
        </w:rPr>
      </w:pPr>
      <w:r w:rsidRPr="001C63E0">
        <w:rPr>
          <w:rFonts w:cs="Arial"/>
          <w:lang w:val="it-IT" w:eastAsia="it-IT"/>
        </w:rPr>
        <w:t>Nel corso dei prossimi anni si esauriranno completamente le garanzie di pensione secondo il vecchio piano in primato delle prestazioni (di cui beneficiano gli assicurati nati nel 1962 e prima e che erano già assicurati all’IPCT al 31</w:t>
      </w:r>
      <w:r w:rsidR="00EF6D1E">
        <w:rPr>
          <w:rFonts w:cs="Arial"/>
          <w:lang w:val="it-IT" w:eastAsia="it-IT"/>
        </w:rPr>
        <w:t xml:space="preserve"> </w:t>
      </w:r>
      <w:r w:rsidRPr="001C63E0">
        <w:rPr>
          <w:rFonts w:cs="Arial"/>
          <w:lang w:val="it-IT" w:eastAsia="it-IT"/>
        </w:rPr>
        <w:t xml:space="preserve">dicembre 2012), le cui pensioni sono quasi sempre superiori a quelle calcolate secondo l’attuale piano in primato dei contributi (che prevede l’applicazione dei tassi di conversione). È pertanto necessario che nello stesso periodo avvenga questa riduzione dei tassi di conversione, pena un peggioramento </w:t>
      </w:r>
      <w:r w:rsidRPr="001C63E0">
        <w:rPr>
          <w:rFonts w:cs="Arial"/>
          <w:lang w:val="it-IT" w:eastAsia="it-IT"/>
        </w:rPr>
        <w:lastRenderedPageBreak/>
        <w:t>insostenibile della già non facile situazione finanziaria dell’IPCT. Si tratta di una riduzione dei tassi peraltro auspicata anche dall’organo di vigilanza.</w:t>
      </w:r>
    </w:p>
    <w:p w:rsidR="001C63E0" w:rsidRPr="001C63E0" w:rsidRDefault="001C63E0" w:rsidP="001C63E0">
      <w:pPr>
        <w:spacing w:before="120"/>
        <w:rPr>
          <w:rFonts w:cs="Arial"/>
          <w:lang w:val="it-IT" w:eastAsia="it-IT"/>
        </w:rPr>
      </w:pPr>
      <w:r w:rsidRPr="001C63E0">
        <w:rPr>
          <w:rFonts w:cs="Arial"/>
          <w:lang w:val="it-IT" w:eastAsia="it-IT"/>
        </w:rPr>
        <w:t>D’altra parte, anche le casse pensioni in piena salute (ossia con gradi di copertura superiori al 100%) hanno ridotto o stanno riducendo i tassi di conversione a seguito dell’adeguamento delle basi attuariali adottate (ossia, in particolare, il tasso tecnico e le basi tecniche, laddove il primo riflette le aspettative di rendimento future – parametro da anni in discesa – e le seconde, principalmente, l’evoluzione della longevità – parametro da anni in ascesa), in quanto, per una corretta gestione dei rischi e finanziaria, le basi attuariali adottate da un istituto di previdenza per il calcolo dei propri impegni di bilancio e quelle alla base dei tassi di conversione regolamentari dovrebbero coincidere o, perlomeno, non differire in modo eccessivo. Questa è la ragione per cui su tutto il panorama previdenziale svizzero, tutte le casse pensioni stanno riducendo i propri tassi di conversione.</w:t>
      </w:r>
    </w:p>
    <w:p w:rsidR="001C63E0" w:rsidRPr="001C63E0" w:rsidRDefault="001C63E0" w:rsidP="001C63E0">
      <w:pPr>
        <w:spacing w:before="120"/>
        <w:rPr>
          <w:rFonts w:cs="Arial"/>
          <w:lang w:val="it-IT" w:eastAsia="it-IT"/>
        </w:rPr>
      </w:pPr>
      <w:r w:rsidRPr="001C63E0">
        <w:rPr>
          <w:rFonts w:cs="Arial"/>
          <w:lang w:val="it-IT" w:eastAsia="it-IT"/>
        </w:rPr>
        <w:t>Ad oggi i tassi di conversione medi previsti in Svizzera</w:t>
      </w:r>
      <w:r w:rsidRPr="001C63E0">
        <w:rPr>
          <w:rFonts w:cs="Arial"/>
          <w:vertAlign w:val="superscript"/>
          <w:lang w:val="it-IT" w:eastAsia="it-IT"/>
        </w:rPr>
        <w:footnoteReference w:id="92"/>
      </w:r>
      <w:r w:rsidRPr="001C63E0">
        <w:rPr>
          <w:rFonts w:cs="Arial"/>
          <w:lang w:val="it-IT" w:eastAsia="it-IT"/>
        </w:rPr>
        <w:t xml:space="preserve"> (fra 5 anni) degli istituti con garanzia dello Stato e di quelli senza garanzia si attestano al 5.32% (si veda la figura 5 esposta sopra) rispettivamente 5.28% (si veda la figura 3 esposta sotto).</w:t>
      </w:r>
    </w:p>
    <w:p w:rsidR="001C63E0" w:rsidRPr="001C63E0" w:rsidRDefault="001C63E0" w:rsidP="001C63E0">
      <w:pPr>
        <w:spacing w:before="120"/>
        <w:rPr>
          <w:rFonts w:cs="Arial"/>
          <w:lang w:val="it-IT" w:eastAsia="it-IT"/>
        </w:rPr>
      </w:pPr>
      <w:r w:rsidRPr="001C63E0">
        <w:rPr>
          <w:rFonts w:cs="Arial"/>
          <w:lang w:val="it-IT" w:eastAsia="it-IT"/>
        </w:rPr>
        <w:t>L’ipotesi al vaglio dell’IPCT consiste in una riduzione su più anni con l’obiettivo di avvicinarsi al 5%. Senza compensazioni questo significherebbe una riduzione della rendita di vecchiaia attorno al 20%/25%. Da considerare che nel 2012 con il passaggio dal primato delle prestazioni al primato dei contributi gli assicurati hanno già avuto una riduzione media della rendita di vecchiaia del 20%. Se si considera un avere di vecchiaia di CHF 400'000, la pensione annua versata dall’IPCT all’assicurato ammonta a CHF 24’680 annui ai quali si aggiunge l’AVS. Con un tasso di conversione al 5%, la pensione annua diminuirebbe a CHF 20'000.</w:t>
      </w:r>
    </w:p>
    <w:p w:rsidR="001C63E0" w:rsidRPr="001C63E0" w:rsidRDefault="001C63E0" w:rsidP="001C63E0">
      <w:pPr>
        <w:spacing w:before="120"/>
        <w:rPr>
          <w:rFonts w:cs="Arial"/>
          <w:lang w:val="it-IT" w:eastAsia="it-IT"/>
        </w:rPr>
      </w:pPr>
      <w:r w:rsidRPr="001C63E0">
        <w:rPr>
          <w:rFonts w:cs="Arial"/>
          <w:lang w:val="it-IT" w:eastAsia="it-IT"/>
        </w:rPr>
        <w:t>L’obiettivo di rendita attuale per gli assicurati all’IPCT è di ca. il 48% dello stipendio assicurato. Per mantenere questo livello di rendita bisognerebbe attuare delle misure di accompagnamento. Un’ipotesi al vaglio dell’IPCT è quella di aumentare i contributi ordinari attuali del 4%/5%. Questo aumento toccherebbe sia gli assicurati attivi alle dipendenze dell’Amministrazione cantonale sia quelli alle dipendenze dei Comuni e di altri Enti pubblici. Oggi la massa salariale assicurata è di CHF</w:t>
      </w:r>
      <w:r w:rsidR="00EF6D1E">
        <w:rPr>
          <w:rFonts w:cs="Arial"/>
          <w:lang w:val="it-IT" w:eastAsia="it-IT"/>
        </w:rPr>
        <w:t xml:space="preserve"> </w:t>
      </w:r>
      <w:r w:rsidRPr="001C63E0">
        <w:rPr>
          <w:rFonts w:cs="Arial"/>
          <w:lang w:val="it-IT" w:eastAsia="it-IT"/>
        </w:rPr>
        <w:t>900 mio. annui, quella di competenza del Cantone di CHF</w:t>
      </w:r>
      <w:r w:rsidR="00EF6D1E">
        <w:rPr>
          <w:rFonts w:cs="Arial"/>
          <w:lang w:val="it-IT" w:eastAsia="it-IT"/>
        </w:rPr>
        <w:t xml:space="preserve"> </w:t>
      </w:r>
      <w:r w:rsidRPr="001C63E0">
        <w:rPr>
          <w:rFonts w:cs="Arial"/>
          <w:lang w:val="it-IT" w:eastAsia="it-IT"/>
        </w:rPr>
        <w:t>600 mio. annui. Il costo di questa misura, che per il Cantone viene calcolato unicamente sulla massa salariale di sua competenza (ossia CHF</w:t>
      </w:r>
      <w:r w:rsidR="00EF6D1E">
        <w:rPr>
          <w:rFonts w:cs="Arial"/>
          <w:lang w:val="it-IT" w:eastAsia="it-IT"/>
        </w:rPr>
        <w:t xml:space="preserve"> </w:t>
      </w:r>
      <w:r w:rsidRPr="001C63E0">
        <w:rPr>
          <w:rFonts w:cs="Arial"/>
          <w:lang w:val="it-IT" w:eastAsia="it-IT"/>
        </w:rPr>
        <w:t>600 mio. annui), sarebbe di ca. CHF</w:t>
      </w:r>
      <w:r w:rsidR="00EF6D1E">
        <w:rPr>
          <w:rFonts w:cs="Arial"/>
          <w:lang w:val="it-IT" w:eastAsia="it-IT"/>
        </w:rPr>
        <w:t xml:space="preserve"> </w:t>
      </w:r>
      <w:r w:rsidRPr="001C63E0">
        <w:rPr>
          <w:rFonts w:cs="Arial"/>
          <w:lang w:val="it-IT" w:eastAsia="it-IT"/>
        </w:rPr>
        <w:t>24 mio. annui a carico dei dipendenti e del datore di lavoro. La competenza di questa misura è del Gran Consiglio.</w:t>
      </w:r>
    </w:p>
    <w:p w:rsidR="001C63E0" w:rsidRPr="001C63E0" w:rsidRDefault="001C63E0" w:rsidP="001C63E0">
      <w:pPr>
        <w:spacing w:before="120"/>
        <w:rPr>
          <w:rFonts w:cs="Arial"/>
          <w:lang w:val="it-IT" w:eastAsia="it-IT"/>
        </w:rPr>
      </w:pPr>
    </w:p>
    <w:p w:rsidR="001C63E0" w:rsidRPr="001C63E0" w:rsidRDefault="001C63E0" w:rsidP="001C63E0">
      <w:pPr>
        <w:spacing w:before="120"/>
        <w:rPr>
          <w:rFonts w:cs="Arial"/>
          <w:lang w:val="it-IT" w:eastAsia="it-IT"/>
        </w:rPr>
      </w:pPr>
      <w:r w:rsidRPr="001C63E0">
        <w:rPr>
          <w:rFonts w:cs="Arial"/>
          <w:noProof/>
          <w:lang w:eastAsia="it-CH"/>
        </w:rPr>
        <w:lastRenderedPageBreak/>
        <w:drawing>
          <wp:inline distT="0" distB="0" distL="0" distR="0" wp14:anchorId="2EA22599" wp14:editId="1D893D72">
            <wp:extent cx="6120130" cy="6082665"/>
            <wp:effectExtent l="0" t="0" r="0" b="0"/>
            <wp:docPr id="6" name="Immagin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3" descr="Tabl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120130" cy="6082665"/>
                    </a:xfrm>
                    <a:prstGeom prst="rect">
                      <a:avLst/>
                    </a:prstGeom>
                  </pic:spPr>
                </pic:pic>
              </a:graphicData>
            </a:graphic>
          </wp:inline>
        </w:drawing>
      </w:r>
    </w:p>
    <w:p w:rsidR="001C63E0" w:rsidRPr="001C63E0" w:rsidRDefault="001C63E0" w:rsidP="001C63E0">
      <w:pPr>
        <w:spacing w:before="120"/>
        <w:rPr>
          <w:rFonts w:cs="Arial"/>
          <w:lang w:val="it-IT" w:eastAsia="it-IT"/>
        </w:rPr>
      </w:pPr>
    </w:p>
    <w:p w:rsidR="001C63E0" w:rsidRPr="001C63E0" w:rsidRDefault="001C63E0" w:rsidP="00357DAC">
      <w:pPr>
        <w:rPr>
          <w:rFonts w:cs="Arial"/>
          <w:lang w:val="it-IT" w:eastAsia="it-IT"/>
        </w:rPr>
      </w:pPr>
      <w:r w:rsidRPr="001C63E0">
        <w:rPr>
          <w:rFonts w:cs="Arial"/>
          <w:lang w:val="it-IT" w:eastAsia="it-IT"/>
        </w:rPr>
        <w:t>Una proposta alternativa, sempre al vaglio dell’IPCT, è quella di togliere la deduzione di coordinamento. Il salario assicurato corrisponde infatti al salario lordo meno la deduzione di coordinamento. La riduzione o l’eliminazione del salario di coordinamento comporterebbe un aumento della massa salariale assicurata. Oggi gli stipendi assicurati a Carico del Cantone sono pari a ca. CHF</w:t>
      </w:r>
      <w:r w:rsidR="00EF6D1E">
        <w:rPr>
          <w:rFonts w:cs="Arial"/>
          <w:lang w:val="it-IT" w:eastAsia="it-IT"/>
        </w:rPr>
        <w:t xml:space="preserve"> </w:t>
      </w:r>
      <w:r w:rsidRPr="001C63E0">
        <w:rPr>
          <w:rFonts w:cs="Arial"/>
          <w:lang w:val="it-IT" w:eastAsia="it-IT"/>
        </w:rPr>
        <w:t>600 mio. a fronte di ca. CHF</w:t>
      </w:r>
      <w:r w:rsidR="00EF6D1E">
        <w:rPr>
          <w:rFonts w:cs="Arial"/>
          <w:lang w:val="it-IT" w:eastAsia="it-IT"/>
        </w:rPr>
        <w:t xml:space="preserve"> </w:t>
      </w:r>
      <w:r w:rsidRPr="001C63E0">
        <w:rPr>
          <w:rFonts w:cs="Arial"/>
          <w:lang w:val="it-IT" w:eastAsia="it-IT"/>
        </w:rPr>
        <w:t>800 mio. di stipendi lordi. Togliendo la deduzione di coordinamento gli stipendi assicurati aumenterebbero fino ad arrivare a un massimo di CHF</w:t>
      </w:r>
      <w:r w:rsidR="00EF6D1E">
        <w:rPr>
          <w:rFonts w:cs="Arial"/>
          <w:lang w:val="it-IT" w:eastAsia="it-IT"/>
        </w:rPr>
        <w:t xml:space="preserve"> </w:t>
      </w:r>
      <w:r w:rsidRPr="001C63E0">
        <w:rPr>
          <w:rFonts w:cs="Arial"/>
          <w:lang w:val="it-IT" w:eastAsia="it-IT"/>
        </w:rPr>
        <w:t>800 mio. Anche questa seconda ipotesi di lavoro, visto l’aumento della massa salariale assicurata, avrebbe un costo di ca. CHF</w:t>
      </w:r>
      <w:r w:rsidR="00EF6D1E">
        <w:rPr>
          <w:rFonts w:cs="Arial"/>
          <w:lang w:val="it-IT" w:eastAsia="it-IT"/>
        </w:rPr>
        <w:t xml:space="preserve"> </w:t>
      </w:r>
      <w:r w:rsidRPr="001C63E0">
        <w:rPr>
          <w:rFonts w:cs="Arial"/>
          <w:lang w:val="it-IT" w:eastAsia="it-IT"/>
        </w:rPr>
        <w:t>24 mio. a carico del dipendente e del datore di lavoro. Inoltre, anche la riduzione o l’eliminazione della deduzione di coordinamento è di competenza del Gran Consiglio.</w:t>
      </w:r>
    </w:p>
    <w:p w:rsidR="001C63E0" w:rsidRPr="001C63E0" w:rsidRDefault="001C63E0" w:rsidP="001C63E0">
      <w:pPr>
        <w:spacing w:before="120"/>
        <w:rPr>
          <w:rFonts w:cs="Arial"/>
          <w:lang w:val="it-IT" w:eastAsia="it-IT"/>
        </w:rPr>
      </w:pPr>
      <w:r w:rsidRPr="001C63E0">
        <w:rPr>
          <w:rFonts w:cs="Arial"/>
          <w:lang w:val="it-IT" w:eastAsia="it-IT"/>
        </w:rPr>
        <w:t>L’IPCT propone infine anche di introdurre la possibilità per i dipendenti di scegliere fra differenti scale contributive, così come peraltro presente in altri Cantoni. Questo naturalmente solo per la quota parte di competenza dell’assicurato, mentre quella versata dal datore di lavoro rimarrebbe fissa.</w:t>
      </w:r>
    </w:p>
    <w:p w:rsidR="001C63E0" w:rsidRPr="001C63E0" w:rsidRDefault="001C63E0" w:rsidP="001C63E0">
      <w:pPr>
        <w:spacing w:before="120"/>
        <w:rPr>
          <w:rFonts w:cs="Arial"/>
          <w:lang w:val="it-IT" w:eastAsia="it-IT"/>
        </w:rPr>
      </w:pPr>
      <w:r w:rsidRPr="001C63E0">
        <w:rPr>
          <w:rFonts w:cs="Arial"/>
          <w:b/>
          <w:bCs/>
          <w:lang w:val="it-IT" w:eastAsia="it-IT"/>
        </w:rPr>
        <w:lastRenderedPageBreak/>
        <w:t>Le suddette misure permetterebbero di neutralizzare un’ulteriore riduzione della rendita di vecchiaia in questo caso dovuta all’abbassamento del tasso di conversione.</w:t>
      </w:r>
    </w:p>
    <w:p w:rsidR="001C63E0" w:rsidRPr="001C63E0" w:rsidRDefault="001C63E0" w:rsidP="001C63E0">
      <w:pPr>
        <w:spacing w:before="120"/>
        <w:rPr>
          <w:rFonts w:cs="Arial"/>
          <w:lang w:val="it-IT" w:eastAsia="it-IT"/>
        </w:rPr>
      </w:pPr>
      <w:r w:rsidRPr="001C63E0">
        <w:rPr>
          <w:rFonts w:cs="Arial"/>
          <w:lang w:val="it-IT" w:eastAsia="it-IT"/>
        </w:rPr>
        <w:t>Orbene, si consideri che con la proposta attuale, ossia un anticipo di contributi di CHF 700 mio. invece di un versamento a fondo perso di CHF 500 mio., il Cantone, per rispettare il cammino di risanamento, oltre a non dover versare i CHF 500 mio. a fondo perso ha un ulteriore risparmio di ca. CHF 12.5 mio. all’anno derivanti dagli interessi che avrebbe dovuto versare considerando il versamento dei CHF 500 milioni nel 2050 come inizialmente previsto dal messaggio 7784. Si consideri inoltre che, anche se si fossero versati i CHF 500 mio. a fondo perso, il problema della riduzione del tasso di conversione sarebbe comunque stato un tema da affrontare. Questo Parlamento si dice pertanto ben disposto ad entrare in materia sulle misure di accompagnamento derivanti dalla riduzione del tasso di conversione per evitare un’ulteriore riduzione delle rendite di vecchiaia agli affiliati attivi dell’IPCT. L’obiettivo è evitare che gli assicurati attivi si vedano erodere ulteriormente la loro rendita di vecchiaia del 20% / 25%. Si ricordi che già oggi anche gli assicurati attivi contribuiscono al risanamento della Cassa Pensione del Canton Ticino e che recentemente tutti gli assicurati sono stati toccati dalla riduzione delle pensioni vedovili in aspettativa.</w:t>
      </w:r>
    </w:p>
    <w:p w:rsidR="001C63E0" w:rsidRDefault="001C63E0" w:rsidP="00276941">
      <w:pPr>
        <w:rPr>
          <w:rFonts w:cs="Arial"/>
          <w:lang w:val="it-IT"/>
        </w:rPr>
      </w:pPr>
    </w:p>
    <w:p w:rsidR="00276941" w:rsidRPr="001C63E0" w:rsidRDefault="00276941" w:rsidP="00276941">
      <w:pPr>
        <w:rPr>
          <w:rFonts w:cs="Arial"/>
          <w:lang w:val="it-IT"/>
        </w:rPr>
      </w:pPr>
    </w:p>
    <w:p w:rsidR="001C63E0" w:rsidRPr="001C63E0" w:rsidRDefault="001C63E0" w:rsidP="00276941">
      <w:pPr>
        <w:keepNext/>
        <w:tabs>
          <w:tab w:val="left" w:pos="709"/>
        </w:tabs>
        <w:ind w:left="709" w:hanging="709"/>
        <w:outlineLvl w:val="0"/>
        <w:rPr>
          <w:rFonts w:cs="Arial"/>
          <w:b/>
          <w:szCs w:val="24"/>
          <w:lang w:val="it-IT" w:eastAsia="it-IT"/>
        </w:rPr>
      </w:pPr>
      <w:bookmarkStart w:id="77" w:name="_Toc98976135"/>
      <w:r w:rsidRPr="001C63E0">
        <w:rPr>
          <w:rFonts w:cs="Arial"/>
          <w:b/>
          <w:szCs w:val="24"/>
          <w:lang w:val="it-IT" w:eastAsia="it-IT"/>
        </w:rPr>
        <w:t>10.</w:t>
      </w:r>
      <w:r w:rsidRPr="001C63E0">
        <w:rPr>
          <w:rFonts w:cs="Arial"/>
          <w:b/>
          <w:szCs w:val="24"/>
          <w:lang w:val="it-IT" w:eastAsia="it-IT"/>
        </w:rPr>
        <w:tab/>
        <w:t>ATTI FORMALI DA INTRAPRENDERE E CONCLUSIONI</w:t>
      </w:r>
      <w:bookmarkEnd w:id="77"/>
    </w:p>
    <w:p w:rsidR="001C63E0" w:rsidRPr="001C63E0" w:rsidRDefault="001C63E0" w:rsidP="00EF6D1E">
      <w:pPr>
        <w:spacing w:before="120"/>
        <w:rPr>
          <w:rFonts w:cs="Arial"/>
          <w:iCs/>
          <w:szCs w:val="24"/>
          <w:lang w:val="it-IT" w:eastAsia="it-IT"/>
        </w:rPr>
      </w:pPr>
      <w:r w:rsidRPr="001C63E0">
        <w:rPr>
          <w:rFonts w:cs="Arial"/>
          <w:iCs/>
          <w:szCs w:val="24"/>
          <w:lang w:val="it-IT" w:eastAsia="it-IT"/>
        </w:rPr>
        <w:t>Per poter attuare questa soluzione sono necessari due atti formali:</w:t>
      </w:r>
    </w:p>
    <w:p w:rsidR="001C63E0" w:rsidRPr="001C63E0" w:rsidRDefault="001C63E0" w:rsidP="00EF6D1E">
      <w:pPr>
        <w:numPr>
          <w:ilvl w:val="0"/>
          <w:numId w:val="19"/>
        </w:numPr>
        <w:spacing w:before="120"/>
        <w:ind w:left="284" w:hanging="284"/>
        <w:rPr>
          <w:rFonts w:cs="Arial"/>
          <w:iCs/>
          <w:szCs w:val="24"/>
          <w:lang w:val="it-IT" w:eastAsia="it-IT"/>
        </w:rPr>
      </w:pPr>
      <w:r w:rsidRPr="001C63E0">
        <w:rPr>
          <w:rFonts w:cs="Arial"/>
          <w:iCs/>
          <w:szCs w:val="24"/>
          <w:lang w:val="it-IT" w:eastAsia="it-IT"/>
        </w:rPr>
        <w:t>deve essere sottoscritta una convenzione tra Cantone e IPCT in cui vengono regolati i dettagli relativi alla costituzione, remunerazione, scioglimento e utilizzazione delle due RCDL;</w:t>
      </w:r>
    </w:p>
    <w:p w:rsidR="001C63E0" w:rsidRPr="001C63E0" w:rsidRDefault="001C63E0" w:rsidP="00EF6D1E">
      <w:pPr>
        <w:numPr>
          <w:ilvl w:val="0"/>
          <w:numId w:val="19"/>
        </w:numPr>
        <w:spacing w:before="120"/>
        <w:ind w:left="284" w:hanging="284"/>
        <w:rPr>
          <w:rFonts w:cs="Arial"/>
          <w:iCs/>
          <w:szCs w:val="24"/>
          <w:lang w:val="it-IT" w:eastAsia="it-IT"/>
        </w:rPr>
      </w:pPr>
      <w:r w:rsidRPr="001C63E0">
        <w:rPr>
          <w:rFonts w:cs="Arial"/>
          <w:iCs/>
          <w:szCs w:val="24"/>
          <w:lang w:val="it-IT" w:eastAsia="it-IT"/>
        </w:rPr>
        <w:t>l’IPCT deve creare una base legale nel proprio Regolamento di previdenza che preveda la possibilità di costituire delle RCDL.</w:t>
      </w:r>
    </w:p>
    <w:p w:rsidR="001C63E0" w:rsidRPr="001C63E0" w:rsidRDefault="001C63E0" w:rsidP="001C63E0">
      <w:pPr>
        <w:spacing w:before="120"/>
        <w:rPr>
          <w:rFonts w:cs="Arial"/>
          <w:iCs/>
          <w:szCs w:val="24"/>
          <w:lang w:val="it-IT" w:eastAsia="it-IT"/>
        </w:rPr>
      </w:pPr>
      <w:r w:rsidRPr="001C63E0">
        <w:rPr>
          <w:rFonts w:cs="Arial"/>
          <w:iCs/>
          <w:szCs w:val="24"/>
          <w:lang w:val="it-IT" w:eastAsia="it-IT"/>
        </w:rPr>
        <w:t>L’impostazione presentata sopra nonché nella RG4745 del 30 settembre con il relativo rapporto complementare al messaggio 7784 rientra formalmente nelle competenze del Consiglio di Stato e non necessita pertanto di un atto legislativo sottoposto a referendum.</w:t>
      </w:r>
    </w:p>
    <w:p w:rsidR="001C63E0" w:rsidRPr="001C63E0" w:rsidRDefault="001C63E0" w:rsidP="001C63E0">
      <w:pPr>
        <w:spacing w:before="120"/>
        <w:rPr>
          <w:rFonts w:cs="Arial"/>
          <w:iCs/>
          <w:szCs w:val="24"/>
          <w:lang w:val="it-IT" w:eastAsia="it-IT"/>
        </w:rPr>
      </w:pPr>
      <w:r w:rsidRPr="001C63E0">
        <w:rPr>
          <w:rFonts w:cs="Arial"/>
          <w:iCs/>
          <w:szCs w:val="24"/>
          <w:lang w:val="it-IT" w:eastAsia="it-IT"/>
        </w:rPr>
        <w:t>Giusta l’art. 70 lett. c Cost TI</w:t>
      </w:r>
      <w:r w:rsidRPr="001C63E0">
        <w:rPr>
          <w:rFonts w:cs="Arial"/>
          <w:iCs/>
          <w:szCs w:val="24"/>
          <w:vertAlign w:val="superscript"/>
          <w:lang w:val="it-IT" w:eastAsia="it-IT"/>
        </w:rPr>
        <w:footnoteReference w:id="93"/>
      </w:r>
      <w:r w:rsidRPr="001C63E0">
        <w:rPr>
          <w:rFonts w:cs="Arial"/>
          <w:iCs/>
          <w:szCs w:val="24"/>
          <w:lang w:val="it-IT" w:eastAsia="it-IT"/>
        </w:rPr>
        <w:t>, il Consiglio di Stato ha infatti il compito di amministrare le finanze e i beni del Cantone. Ai sensi dell’art. 59 cpv. 1 lett. d Cost. TI</w:t>
      </w:r>
      <w:r w:rsidRPr="001C63E0">
        <w:rPr>
          <w:rFonts w:cs="Arial"/>
          <w:iCs/>
          <w:szCs w:val="24"/>
          <w:vertAlign w:val="superscript"/>
          <w:lang w:val="it-IT" w:eastAsia="it-IT"/>
        </w:rPr>
        <w:footnoteReference w:id="94"/>
      </w:r>
      <w:r w:rsidRPr="001C63E0">
        <w:rPr>
          <w:rFonts w:cs="Arial"/>
          <w:iCs/>
          <w:szCs w:val="24"/>
          <w:lang w:val="it-IT" w:eastAsia="it-IT"/>
        </w:rPr>
        <w:t xml:space="preserve"> invece, al Gran Consiglio spetta autorizzare le spese. L’impostazione descritta sopra non costituisce una spesa nuova bensì un anticipo di costi che lo Stato è tenuto a versare sulla base di norme legali vincolanti. Inoltre, il versamento di riserve di contributi del datore di lavoro è una possibilità esplicitamente ammessa dalla legislazione federale sulla previdenza professionale ai datori di lavoro e quindi anche allo Stato, quando agisce in questo ruolo. Per lo stesso motivo e siccome secondo l’art. 65e LPP</w:t>
      </w:r>
      <w:r w:rsidRPr="001C63E0">
        <w:rPr>
          <w:rFonts w:cs="Arial"/>
          <w:iCs/>
          <w:szCs w:val="24"/>
          <w:vertAlign w:val="superscript"/>
          <w:lang w:val="it-IT" w:eastAsia="it-IT"/>
        </w:rPr>
        <w:footnoteReference w:id="95"/>
      </w:r>
      <w:r w:rsidRPr="001C63E0">
        <w:rPr>
          <w:rFonts w:cs="Arial"/>
          <w:iCs/>
          <w:szCs w:val="24"/>
          <w:lang w:val="it-IT" w:eastAsia="it-IT"/>
        </w:rPr>
        <w:t xml:space="preserve"> la competenza di prevedere una RCDL con rinuncia è dell’Istituto di previdenza, non è necessario inserire una base nella Legge sull’IPCT.</w:t>
      </w:r>
    </w:p>
    <w:p w:rsidR="001C63E0" w:rsidRPr="001C63E0" w:rsidRDefault="001C63E0" w:rsidP="001C63E0">
      <w:pPr>
        <w:spacing w:before="120"/>
        <w:rPr>
          <w:rFonts w:cs="Arial"/>
        </w:rPr>
      </w:pPr>
      <w:r w:rsidRPr="001C63E0">
        <w:rPr>
          <w:rFonts w:cs="Arial"/>
          <w:iCs/>
          <w:szCs w:val="24"/>
          <w:lang w:val="it-IT" w:eastAsia="it-IT"/>
        </w:rPr>
        <w:t>Il presente rapporto non contiene pertanto nessun decreto legislativo né alcuna autorizzazione di spesa. Esso viene indirizzato dalla Commissione gestione e finanze all’attenzione del plenum granconsigliare mettendo ai voti le sue conclusioni, con l’invito al Consiglio di Stato e alla Direzione e Consiglio d’amministrazione dell’IPCT di intraprendere i prossimi passi così come auspicato e descritto nelle pagine che precedono, che per i suddetti motivi superano la proposta inizialmente formulata nel messaggio 7784 del 15 gennaio 2020 ed il disegno di legge ivi annesso.</w:t>
      </w:r>
    </w:p>
    <w:p w:rsidR="001C63E0" w:rsidRPr="001C63E0" w:rsidRDefault="001C63E0" w:rsidP="001C63E0">
      <w:pPr>
        <w:spacing w:before="120"/>
        <w:rPr>
          <w:rFonts w:cs="Arial"/>
        </w:rPr>
      </w:pPr>
      <w:r w:rsidRPr="001C63E0">
        <w:rPr>
          <w:rFonts w:cs="Arial"/>
        </w:rPr>
        <w:lastRenderedPageBreak/>
        <w:t>In particolare, si invitano gli organi dell’IPCT ad impiegare i CHF 700 mio. – che il Cantone metterà a disposizione quale versamento nelle RCDL – attraverso un nuovo mandato di gestione separato da quelli esistenti, tenendo sotto attento controllo i costi correnti di gestione complessivi, investendo gli averi sui mercati finanziari internazionali (possibilmente azionari) senza escludere la possibilità di approcci tesi al contenimento delle perdite massime pur preservando buona parte dei rendimenti attesi. Per quanto riguarda la sostenibilità degli investimenti si rimanda alla sezione 9.2, mentre per quanto riguarda la necessità di un intervento a breve a seguito della riduzione del tasso di conversione si rimanda alla sezione 9.3.</w:t>
      </w:r>
    </w:p>
    <w:p w:rsidR="00276941" w:rsidRPr="001C63E0" w:rsidRDefault="00276941" w:rsidP="001C63E0">
      <w:pPr>
        <w:jc w:val="left"/>
        <w:rPr>
          <w:rFonts w:cs="Arial"/>
        </w:rPr>
      </w:pPr>
    </w:p>
    <w:p w:rsidR="001C63E0" w:rsidRPr="001C63E0" w:rsidRDefault="001C63E0" w:rsidP="001C63E0">
      <w:pPr>
        <w:spacing w:before="120"/>
        <w:rPr>
          <w:rFonts w:cs="Arial"/>
        </w:rPr>
      </w:pPr>
      <w:r w:rsidRPr="001C63E0">
        <w:rPr>
          <w:rFonts w:cs="Arial"/>
        </w:rPr>
        <w:t>Con l’approvazione da parte del Gran Consiglio delle conclusioni del presente rap</w:t>
      </w:r>
      <w:r w:rsidR="00FA6F80">
        <w:rPr>
          <w:rFonts w:cs="Arial"/>
        </w:rPr>
        <w:t>porto, si considerano evasi il m</w:t>
      </w:r>
      <w:r w:rsidRPr="001C63E0">
        <w:rPr>
          <w:rFonts w:cs="Arial"/>
        </w:rPr>
        <w:t>essaggio n. 7784 e il suo rapporto complementare.</w:t>
      </w:r>
    </w:p>
    <w:p w:rsidR="001C63E0" w:rsidRPr="001C63E0" w:rsidRDefault="001C63E0" w:rsidP="00357DAC">
      <w:pPr>
        <w:rPr>
          <w:rFonts w:cs="Arial"/>
        </w:rPr>
      </w:pPr>
    </w:p>
    <w:p w:rsidR="00FA6F80" w:rsidRDefault="00FA6F80" w:rsidP="00357DAC">
      <w:pPr>
        <w:rPr>
          <w:rFonts w:cs="Arial"/>
        </w:rPr>
      </w:pPr>
    </w:p>
    <w:p w:rsidR="00FA6F80" w:rsidRPr="00076E70" w:rsidRDefault="00FA6F80" w:rsidP="00F209DB">
      <w:pPr>
        <w:spacing w:after="120"/>
        <w:rPr>
          <w:rFonts w:cs="Arial"/>
          <w:szCs w:val="24"/>
        </w:rPr>
      </w:pPr>
      <w:r w:rsidRPr="00076E70">
        <w:rPr>
          <w:rFonts w:cs="Arial"/>
          <w:szCs w:val="24"/>
        </w:rPr>
        <w:t xml:space="preserve">Per la </w:t>
      </w:r>
      <w:r>
        <w:rPr>
          <w:rFonts w:cs="Arial"/>
          <w:szCs w:val="24"/>
        </w:rPr>
        <w:t xml:space="preserve">Sottocommissione finanze della </w:t>
      </w:r>
      <w:r w:rsidRPr="00076E70">
        <w:rPr>
          <w:rFonts w:cs="Arial"/>
          <w:szCs w:val="24"/>
        </w:rPr>
        <w:t xml:space="preserve">Commissione </w:t>
      </w:r>
      <w:r w:rsidRPr="00FA6F80">
        <w:rPr>
          <w:rFonts w:cs="Arial"/>
          <w:szCs w:val="24"/>
        </w:rPr>
        <w:t>gestione e finanze:</w:t>
      </w:r>
    </w:p>
    <w:p w:rsidR="00FA6F80" w:rsidRDefault="00C533FF" w:rsidP="00FA6F80">
      <w:pPr>
        <w:rPr>
          <w:rFonts w:cs="Arial"/>
          <w:szCs w:val="24"/>
        </w:rPr>
      </w:pPr>
      <w:r>
        <w:rPr>
          <w:rFonts w:cs="Arial"/>
          <w:szCs w:val="24"/>
        </w:rPr>
        <w:t xml:space="preserve">Michele Guerra </w:t>
      </w:r>
      <w:r>
        <w:rPr>
          <w:rFonts w:cs="Arial"/>
          <w:szCs w:val="24"/>
        </w:rPr>
        <w:t xml:space="preserve">(coordinatore), </w:t>
      </w:r>
      <w:r w:rsidR="00FA6F80">
        <w:rPr>
          <w:rFonts w:cs="Arial"/>
          <w:szCs w:val="24"/>
        </w:rPr>
        <w:t>Samantha Bourgoin, Fiorenzo Dadò, Ivo Durisch, Alessan</w:t>
      </w:r>
      <w:r>
        <w:rPr>
          <w:rFonts w:cs="Arial"/>
          <w:szCs w:val="24"/>
        </w:rPr>
        <w:t xml:space="preserve">dra Gianella </w:t>
      </w:r>
      <w:bookmarkStart w:id="78" w:name="_GoBack"/>
      <w:bookmarkEnd w:id="78"/>
      <w:r w:rsidR="00FA6F80">
        <w:rPr>
          <w:rFonts w:cs="Arial"/>
          <w:szCs w:val="24"/>
        </w:rPr>
        <w:t>e Paolo Pamini, relatori</w:t>
      </w:r>
    </w:p>
    <w:p w:rsidR="00FA6F80" w:rsidRDefault="00FA6F80" w:rsidP="001C63E0">
      <w:pPr>
        <w:spacing w:before="120"/>
        <w:rPr>
          <w:rFonts w:cs="Arial"/>
        </w:rPr>
      </w:pPr>
      <w:r>
        <w:rPr>
          <w:rFonts w:cs="Arial"/>
        </w:rPr>
        <w:t>Agustoni - Balli (con riserva) - Bignasca (con riserva) -</w:t>
      </w:r>
    </w:p>
    <w:p w:rsidR="00FA6F80" w:rsidRDefault="00FA6F80" w:rsidP="00FA6F80">
      <w:pPr>
        <w:rPr>
          <w:rFonts w:cs="Arial"/>
        </w:rPr>
      </w:pPr>
      <w:r>
        <w:rPr>
          <w:rFonts w:cs="Arial"/>
        </w:rPr>
        <w:t xml:space="preserve">Biscossa (con riserva) - Caprara - </w:t>
      </w:r>
      <w:r w:rsidR="001C63E0" w:rsidRPr="001C63E0">
        <w:rPr>
          <w:rFonts w:cs="Arial"/>
        </w:rPr>
        <w:t xml:space="preserve"> Caverzasio (c</w:t>
      </w:r>
      <w:r>
        <w:rPr>
          <w:rFonts w:cs="Arial"/>
        </w:rPr>
        <w:t>on riserva) -</w:t>
      </w:r>
    </w:p>
    <w:p w:rsidR="001C63E0" w:rsidRPr="001C63E0" w:rsidRDefault="00FA6F80" w:rsidP="00FA6F80">
      <w:pPr>
        <w:rPr>
          <w:rFonts w:cs="Arial"/>
        </w:rPr>
      </w:pPr>
      <w:r>
        <w:rPr>
          <w:rFonts w:cs="Arial"/>
        </w:rPr>
        <w:t xml:space="preserve">Ferrara - Jelmini - Quadranti - </w:t>
      </w:r>
      <w:r w:rsidR="001C63E0" w:rsidRPr="001C63E0">
        <w:rPr>
          <w:rFonts w:cs="Arial"/>
        </w:rPr>
        <w:t xml:space="preserve">Sirica (con riserva) </w:t>
      </w:r>
    </w:p>
    <w:p w:rsidR="001C63E0" w:rsidRPr="001C63E0" w:rsidRDefault="001C63E0" w:rsidP="001C63E0">
      <w:pPr>
        <w:spacing w:after="160" w:line="259" w:lineRule="auto"/>
        <w:jc w:val="left"/>
        <w:rPr>
          <w:rFonts w:cs="Arial"/>
        </w:rPr>
      </w:pPr>
    </w:p>
    <w:p w:rsidR="001C63E0" w:rsidRPr="001C63E0" w:rsidRDefault="001C63E0" w:rsidP="001C63E0">
      <w:pPr>
        <w:spacing w:after="160" w:line="259" w:lineRule="auto"/>
        <w:jc w:val="left"/>
        <w:rPr>
          <w:rFonts w:cs="Arial"/>
          <w:b/>
          <w:szCs w:val="24"/>
          <w:lang w:val="it-IT" w:eastAsia="it-IT"/>
        </w:rPr>
      </w:pPr>
      <w:r w:rsidRPr="001C63E0">
        <w:rPr>
          <w:rFonts w:cs="Arial"/>
        </w:rPr>
        <w:br w:type="page"/>
      </w:r>
    </w:p>
    <w:p w:rsidR="001C63E0" w:rsidRPr="001C63E0" w:rsidRDefault="001C63E0" w:rsidP="001C63E0">
      <w:pPr>
        <w:keepNext/>
        <w:tabs>
          <w:tab w:val="left" w:pos="709"/>
        </w:tabs>
        <w:spacing w:before="120"/>
        <w:ind w:left="709" w:hanging="709"/>
        <w:outlineLvl w:val="0"/>
        <w:rPr>
          <w:rFonts w:cs="Arial"/>
          <w:b/>
          <w:szCs w:val="24"/>
          <w:lang w:val="it-IT" w:eastAsia="it-IT"/>
        </w:rPr>
      </w:pPr>
      <w:bookmarkStart w:id="79" w:name="_Toc98976136"/>
      <w:r w:rsidRPr="001C63E0">
        <w:rPr>
          <w:rFonts w:cs="Arial"/>
          <w:b/>
          <w:szCs w:val="24"/>
          <w:lang w:val="it-IT" w:eastAsia="it-IT"/>
        </w:rPr>
        <w:lastRenderedPageBreak/>
        <w:t>APPENDICE – RENDIMENTI AZIONARI MONDIALI 1926-2020</w:t>
      </w:r>
      <w:r w:rsidRPr="001C63E0">
        <w:rPr>
          <w:rFonts w:cs="Arial"/>
          <w:b/>
          <w:szCs w:val="24"/>
          <w:vertAlign w:val="superscript"/>
          <w:lang w:val="it-IT" w:eastAsia="it-IT"/>
        </w:rPr>
        <w:footnoteReference w:id="96"/>
      </w:r>
      <w:bookmarkEnd w:id="79"/>
    </w:p>
    <w:p w:rsidR="001C63E0" w:rsidRPr="001C63E0" w:rsidRDefault="001C63E0" w:rsidP="001C63E0">
      <w:pPr>
        <w:spacing w:before="120"/>
        <w:rPr>
          <w:rFonts w:cs="Arial"/>
          <w:i/>
          <w:szCs w:val="24"/>
          <w:lang w:val="it-IT" w:eastAsia="it-IT"/>
        </w:rPr>
      </w:pPr>
      <w:r w:rsidRPr="001C63E0">
        <w:rPr>
          <w:rFonts w:cs="Arial"/>
          <w:i/>
          <w:szCs w:val="24"/>
          <w:lang w:val="it-IT" w:eastAsia="it-IT"/>
        </w:rPr>
        <w:t>A cura di Paolo Pamini</w:t>
      </w:r>
    </w:p>
    <w:p w:rsidR="001C63E0" w:rsidRDefault="001C63E0" w:rsidP="00357DAC">
      <w:pPr>
        <w:rPr>
          <w:rFonts w:cs="Arial"/>
          <w:iCs/>
          <w:szCs w:val="24"/>
          <w:lang w:val="it-IT" w:eastAsia="it-IT"/>
        </w:rPr>
      </w:pPr>
    </w:p>
    <w:p w:rsidR="00357DAC" w:rsidRPr="001C63E0" w:rsidRDefault="00357DAC" w:rsidP="00357DAC">
      <w:pPr>
        <w:rPr>
          <w:rFonts w:cs="Arial"/>
          <w:iCs/>
          <w:szCs w:val="24"/>
          <w:lang w:val="it-IT" w:eastAsia="it-IT"/>
        </w:rPr>
      </w:pPr>
    </w:p>
    <w:p w:rsidR="001C63E0" w:rsidRPr="001C63E0" w:rsidRDefault="001C63E0" w:rsidP="00357DAC">
      <w:pPr>
        <w:keepNext/>
        <w:tabs>
          <w:tab w:val="left" w:pos="709"/>
        </w:tabs>
        <w:ind w:left="360" w:hanging="360"/>
        <w:outlineLvl w:val="1"/>
        <w:rPr>
          <w:rFonts w:cs="Arial"/>
          <w:b/>
          <w:lang w:val="it-IT" w:eastAsia="it-IT"/>
        </w:rPr>
      </w:pPr>
      <w:bookmarkStart w:id="80" w:name="_Toc98976137"/>
      <w:r w:rsidRPr="001C63E0">
        <w:rPr>
          <w:rFonts w:cs="Arial"/>
          <w:b/>
          <w:lang w:val="it-IT" w:eastAsia="it-IT"/>
        </w:rPr>
        <w:t>A.1</w:t>
      </w:r>
      <w:r w:rsidRPr="001C63E0">
        <w:rPr>
          <w:rFonts w:cs="Arial"/>
          <w:b/>
          <w:lang w:val="it-IT" w:eastAsia="it-IT"/>
        </w:rPr>
        <w:tab/>
        <w:t>Dispersione storica (1926-2020) dei rendimenti borsistici mondiali</w:t>
      </w:r>
      <w:bookmarkEnd w:id="80"/>
    </w:p>
    <w:p w:rsidR="001C63E0" w:rsidRPr="001C63E0" w:rsidRDefault="001C63E0" w:rsidP="001C63E0">
      <w:pPr>
        <w:spacing w:before="120"/>
        <w:rPr>
          <w:rFonts w:cs="Arial"/>
          <w:lang w:val="it-IT" w:eastAsia="it-IT"/>
        </w:rPr>
      </w:pPr>
      <w:r w:rsidRPr="001C63E0">
        <w:rPr>
          <w:rFonts w:cs="Arial"/>
          <w:lang w:val="it-IT" w:eastAsia="it-IT"/>
        </w:rPr>
        <w:t>Per poter giudicare i rischi e le opportunità di un approccio orientato all’investimento azionario di lungo termine come quello sopra proposto è consigliabile analizzare le serie storiche di rendimenti finanziari più lunghe possibili. In particolare, considerato l’orizzonte temporale di 30 anni, le serie storiche analizzate dovrebbero estendersi attraverso più regimi di mercato in termini di inflazione, deflazione, crescita e crollo borsistico.</w:t>
      </w:r>
    </w:p>
    <w:p w:rsidR="001C63E0" w:rsidRPr="001C63E0" w:rsidRDefault="001C63E0" w:rsidP="001C63E0">
      <w:pPr>
        <w:spacing w:before="120"/>
        <w:rPr>
          <w:rFonts w:cs="Arial"/>
          <w:lang w:val="it-IT" w:eastAsia="it-IT"/>
        </w:rPr>
      </w:pPr>
      <w:r w:rsidRPr="001C63E0">
        <w:rPr>
          <w:rFonts w:cs="Arial"/>
          <w:lang w:val="it-IT" w:eastAsia="it-IT"/>
        </w:rPr>
        <w:t>Dati di lungo termine sui rendimenti azionari non sono facilmente accessibili. Il sito web del Premio Nobel per l’economia Robert Shiller</w:t>
      </w:r>
      <w:r w:rsidRPr="001C63E0">
        <w:rPr>
          <w:rFonts w:cs="Arial"/>
          <w:vertAlign w:val="superscript"/>
          <w:lang w:val="it-IT" w:eastAsia="it-IT"/>
        </w:rPr>
        <w:footnoteReference w:id="97"/>
      </w:r>
      <w:r w:rsidRPr="001C63E0">
        <w:rPr>
          <w:rFonts w:cs="Arial"/>
          <w:lang w:val="it-IT" w:eastAsia="it-IT"/>
        </w:rPr>
        <w:t xml:space="preserve"> mette gratuitamente a disposizione dati con cadenza mensile a partire del 1871; tuttavia, essi si limitano al solo mercato statunitense e rischierebbero di dare una visione distorta. Le analisi che seguono si riferiscono ai mercati azionari mondiali (riassumibili nell’attuale MSCI World Index) e poggiano sui dati proprietari raccolti e compilati da Global Financial Data messi a disposizione dalla società The Idea Farm</w:t>
      </w:r>
      <w:r w:rsidRPr="001C63E0">
        <w:rPr>
          <w:rFonts w:cs="Arial"/>
          <w:vertAlign w:val="superscript"/>
          <w:lang w:val="it-IT" w:eastAsia="it-IT"/>
        </w:rPr>
        <w:footnoteReference w:id="98"/>
      </w:r>
      <w:r w:rsidRPr="001C63E0">
        <w:rPr>
          <w:rFonts w:cs="Arial"/>
          <w:lang w:val="it-IT" w:eastAsia="it-IT"/>
        </w:rPr>
        <w:t>. Essi si estendono dal 1926 fino al 2020 inclusi, coprono l’intero mondo, e sono espressi sia in dollari statunitensi (USD) nominali sia reali, ossia al netto dell’inflazione statunitense e a parità di potere d’acquisto per permetterne il confronto intertemporale. Per ottenere delle valutazioni in termini di evoluzione del potere d’acquisto in capo ad un residente in Svizzera, ossia in franchi svizzeri (CHF) al netto dell’inflazione svizzera, si sono inoltre scaricate dalle banche dati pubblicamente accessibili della Banca nazionale svizzera le serie storiche del tasso di cambio USDCHF</w:t>
      </w:r>
      <w:r w:rsidRPr="001C63E0">
        <w:rPr>
          <w:rFonts w:cs="Arial"/>
          <w:vertAlign w:val="superscript"/>
          <w:lang w:val="it-IT" w:eastAsia="it-IT"/>
        </w:rPr>
        <w:footnoteReference w:id="99"/>
      </w:r>
      <w:r w:rsidRPr="001C63E0">
        <w:rPr>
          <w:rFonts w:cs="Arial"/>
          <w:lang w:val="it-IT" w:eastAsia="it-IT"/>
        </w:rPr>
        <w:t xml:space="preserve"> e dell’indice nazionale svizzero dei prezzi al consumo</w:t>
      </w:r>
      <w:r w:rsidRPr="001C63E0">
        <w:rPr>
          <w:rFonts w:cs="Arial"/>
          <w:vertAlign w:val="superscript"/>
          <w:lang w:val="it-IT" w:eastAsia="it-IT"/>
        </w:rPr>
        <w:footnoteReference w:id="100"/>
      </w:r>
      <w:r w:rsidRPr="001C63E0">
        <w:rPr>
          <w:rFonts w:cs="Arial"/>
          <w:lang w:val="it-IT" w:eastAsia="it-IT"/>
        </w:rPr>
        <w:t>. Ne è così risultato un set parzialmente proprietario di dati sui rendimenti storici dei mercati azionari mondiali in USD reali (dati di partenza), USD nominali (risultati dalla moltiplicazione con l’evoluzione dell’indice dei prezzi al consumo statunitense), CHF nominali (moltiplicando i dati nominali USD con il tasso di cambio USDCHF) e CHF reali (deflazionando i dati nominali svizzeri con l’indice dei prezzi al consumo svizzero). Le analisi che seguono sono state fatte dai relatori.</w:t>
      </w:r>
    </w:p>
    <w:p w:rsidR="001C63E0" w:rsidRDefault="001C63E0" w:rsidP="001C63E0">
      <w:pPr>
        <w:spacing w:before="120"/>
        <w:rPr>
          <w:rFonts w:cs="Arial"/>
          <w:noProof/>
        </w:rPr>
      </w:pPr>
      <w:r w:rsidRPr="001C63E0">
        <w:rPr>
          <w:rFonts w:cs="Arial"/>
          <w:noProof/>
        </w:rPr>
        <w:t>Il quesito principale a monte dell’approccio di risanamento proposto nel presente rapporto riguarda i rendimenti dei mercati azionari sul lungo periodo. Sull’arco di 94 anni di dati dal 1927 al 2020 compresi, nel complesso risultano i seguenti rendimenti cumulativi e medi annui.</w:t>
      </w:r>
    </w:p>
    <w:p w:rsidR="00357DAC" w:rsidRPr="001C63E0" w:rsidRDefault="00357DAC" w:rsidP="001C63E0">
      <w:pPr>
        <w:spacing w:before="120"/>
        <w:rPr>
          <w:rFonts w:cs="Arial"/>
          <w:noProof/>
        </w:rPr>
      </w:pPr>
    </w:p>
    <w:p w:rsidR="001C63E0" w:rsidRPr="001C63E0" w:rsidRDefault="001C63E0" w:rsidP="001C63E0">
      <w:pPr>
        <w:spacing w:after="160" w:line="259" w:lineRule="auto"/>
        <w:jc w:val="left"/>
        <w:rPr>
          <w:rFonts w:cs="Arial"/>
          <w:noProof/>
        </w:rPr>
      </w:pPr>
    </w:p>
    <w:p w:rsidR="001C63E0" w:rsidRPr="001C63E0" w:rsidRDefault="001C63E0" w:rsidP="001C63E0">
      <w:pPr>
        <w:spacing w:before="120"/>
        <w:jc w:val="center"/>
        <w:rPr>
          <w:rFonts w:cs="Arial"/>
          <w:b/>
          <w:bCs/>
          <w:noProof/>
        </w:rPr>
      </w:pPr>
      <w:r w:rsidRPr="001C63E0">
        <w:rPr>
          <w:rFonts w:cs="Arial"/>
          <w:b/>
          <w:bCs/>
          <w:noProof/>
        </w:rPr>
        <w:lastRenderedPageBreak/>
        <w:t>Mercato azionario mondiale – Rendimento nominale e reale 1927-2020 in USD e CHF</w:t>
      </w:r>
    </w:p>
    <w:tbl>
      <w:tblPr>
        <w:tblStyle w:val="Grigliatabella2"/>
        <w:tblW w:w="9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0"/>
        <w:gridCol w:w="1130"/>
        <w:gridCol w:w="1263"/>
        <w:gridCol w:w="1130"/>
        <w:gridCol w:w="1130"/>
      </w:tblGrid>
      <w:tr w:rsidR="001C63E0" w:rsidRPr="001C63E0" w:rsidTr="00892579">
        <w:tc>
          <w:tcPr>
            <w:tcW w:w="5150" w:type="dxa"/>
            <w:tcBorders>
              <w:top w:val="single" w:sz="4" w:space="0" w:color="auto"/>
              <w:bottom w:val="single" w:sz="4" w:space="0" w:color="auto"/>
            </w:tcBorders>
          </w:tcPr>
          <w:p w:rsidR="001C63E0" w:rsidRPr="001C63E0" w:rsidRDefault="001C63E0" w:rsidP="001C63E0">
            <w:pPr>
              <w:spacing w:before="120"/>
              <w:rPr>
                <w:lang w:val="it-IT" w:eastAsia="it-IT"/>
              </w:rPr>
            </w:pPr>
          </w:p>
        </w:tc>
        <w:tc>
          <w:tcPr>
            <w:tcW w:w="1130" w:type="dxa"/>
            <w:tcBorders>
              <w:top w:val="single" w:sz="4" w:space="0" w:color="auto"/>
              <w:bottom w:val="single" w:sz="4" w:space="0" w:color="auto"/>
            </w:tcBorders>
          </w:tcPr>
          <w:p w:rsidR="001C63E0" w:rsidRPr="001C63E0" w:rsidRDefault="001C63E0" w:rsidP="001C63E0">
            <w:pPr>
              <w:spacing w:before="120"/>
              <w:rPr>
                <w:lang w:val="it-IT" w:eastAsia="it-IT"/>
              </w:rPr>
            </w:pPr>
            <w:r w:rsidRPr="001C63E0">
              <w:rPr>
                <w:lang w:val="it-IT" w:eastAsia="it-IT"/>
              </w:rPr>
              <w:t>USD reali</w:t>
            </w:r>
          </w:p>
        </w:tc>
        <w:tc>
          <w:tcPr>
            <w:tcW w:w="1263" w:type="dxa"/>
            <w:tcBorders>
              <w:top w:val="single" w:sz="4" w:space="0" w:color="auto"/>
              <w:bottom w:val="single" w:sz="4" w:space="0" w:color="auto"/>
            </w:tcBorders>
          </w:tcPr>
          <w:p w:rsidR="001C63E0" w:rsidRPr="001C63E0" w:rsidRDefault="001C63E0" w:rsidP="001C63E0">
            <w:pPr>
              <w:spacing w:before="120"/>
              <w:rPr>
                <w:lang w:val="it-IT" w:eastAsia="it-IT"/>
              </w:rPr>
            </w:pPr>
            <w:r w:rsidRPr="001C63E0">
              <w:rPr>
                <w:lang w:val="it-IT" w:eastAsia="it-IT"/>
              </w:rPr>
              <w:t>USD nominali</w:t>
            </w:r>
          </w:p>
        </w:tc>
        <w:tc>
          <w:tcPr>
            <w:tcW w:w="1130" w:type="dxa"/>
            <w:tcBorders>
              <w:top w:val="single" w:sz="4" w:space="0" w:color="auto"/>
              <w:bottom w:val="single" w:sz="4" w:space="0" w:color="auto"/>
            </w:tcBorders>
          </w:tcPr>
          <w:p w:rsidR="001C63E0" w:rsidRPr="001C63E0" w:rsidRDefault="001C63E0" w:rsidP="001C63E0">
            <w:pPr>
              <w:spacing w:before="120"/>
              <w:rPr>
                <w:lang w:val="it-IT" w:eastAsia="it-IT"/>
              </w:rPr>
            </w:pPr>
            <w:r w:rsidRPr="001C63E0">
              <w:rPr>
                <w:lang w:val="it-IT" w:eastAsia="it-IT"/>
              </w:rPr>
              <w:t>CHF nominali</w:t>
            </w:r>
          </w:p>
        </w:tc>
        <w:tc>
          <w:tcPr>
            <w:tcW w:w="1130" w:type="dxa"/>
            <w:tcBorders>
              <w:top w:val="single" w:sz="4" w:space="0" w:color="auto"/>
              <w:bottom w:val="single" w:sz="4" w:space="0" w:color="auto"/>
            </w:tcBorders>
          </w:tcPr>
          <w:p w:rsidR="001C63E0" w:rsidRPr="001C63E0" w:rsidRDefault="001C63E0" w:rsidP="001C63E0">
            <w:pPr>
              <w:spacing w:before="120"/>
              <w:rPr>
                <w:lang w:val="it-IT" w:eastAsia="it-IT"/>
              </w:rPr>
            </w:pPr>
            <w:r w:rsidRPr="001C63E0">
              <w:rPr>
                <w:lang w:val="it-IT" w:eastAsia="it-IT"/>
              </w:rPr>
              <w:t>CHF reali</w:t>
            </w:r>
          </w:p>
        </w:tc>
      </w:tr>
      <w:tr w:rsidR="001C63E0" w:rsidRPr="001C63E0" w:rsidTr="00892579">
        <w:tc>
          <w:tcPr>
            <w:tcW w:w="5150" w:type="dxa"/>
            <w:tcBorders>
              <w:top w:val="single" w:sz="4" w:space="0" w:color="auto"/>
            </w:tcBorders>
          </w:tcPr>
          <w:p w:rsidR="001C63E0" w:rsidRPr="001C63E0" w:rsidRDefault="001C63E0" w:rsidP="001C63E0">
            <w:pPr>
              <w:spacing w:before="120"/>
              <w:rPr>
                <w:b/>
                <w:bCs/>
                <w:lang w:val="it-IT" w:eastAsia="it-IT"/>
              </w:rPr>
            </w:pPr>
            <w:r w:rsidRPr="001C63E0">
              <w:rPr>
                <w:b/>
                <w:bCs/>
                <w:lang w:val="it-IT" w:eastAsia="it-IT"/>
              </w:rPr>
              <w:t>Statistiche senza costi di negoziazione</w:t>
            </w:r>
          </w:p>
        </w:tc>
        <w:tc>
          <w:tcPr>
            <w:tcW w:w="1130" w:type="dxa"/>
            <w:tcBorders>
              <w:top w:val="single" w:sz="4" w:space="0" w:color="auto"/>
            </w:tcBorders>
          </w:tcPr>
          <w:p w:rsidR="001C63E0" w:rsidRPr="001C63E0" w:rsidRDefault="001C63E0" w:rsidP="001C63E0">
            <w:pPr>
              <w:spacing w:before="120"/>
              <w:rPr>
                <w:lang w:val="it-IT" w:eastAsia="it-IT"/>
              </w:rPr>
            </w:pPr>
          </w:p>
        </w:tc>
        <w:tc>
          <w:tcPr>
            <w:tcW w:w="1263" w:type="dxa"/>
            <w:tcBorders>
              <w:top w:val="single" w:sz="4" w:space="0" w:color="auto"/>
            </w:tcBorders>
          </w:tcPr>
          <w:p w:rsidR="001C63E0" w:rsidRPr="001C63E0" w:rsidRDefault="001C63E0" w:rsidP="001C63E0">
            <w:pPr>
              <w:spacing w:before="120"/>
              <w:rPr>
                <w:lang w:val="it-IT" w:eastAsia="it-IT"/>
              </w:rPr>
            </w:pPr>
          </w:p>
        </w:tc>
        <w:tc>
          <w:tcPr>
            <w:tcW w:w="1130" w:type="dxa"/>
            <w:tcBorders>
              <w:top w:val="single" w:sz="4" w:space="0" w:color="auto"/>
            </w:tcBorders>
          </w:tcPr>
          <w:p w:rsidR="001C63E0" w:rsidRPr="001C63E0" w:rsidRDefault="001C63E0" w:rsidP="001C63E0">
            <w:pPr>
              <w:spacing w:before="120"/>
              <w:rPr>
                <w:lang w:val="it-IT" w:eastAsia="it-IT"/>
              </w:rPr>
            </w:pPr>
          </w:p>
        </w:tc>
        <w:tc>
          <w:tcPr>
            <w:tcW w:w="1130" w:type="dxa"/>
            <w:tcBorders>
              <w:top w:val="single" w:sz="4" w:space="0" w:color="auto"/>
            </w:tcBorders>
          </w:tcPr>
          <w:p w:rsidR="001C63E0" w:rsidRPr="001C63E0" w:rsidRDefault="001C63E0" w:rsidP="001C63E0">
            <w:pPr>
              <w:spacing w:before="120"/>
              <w:rPr>
                <w:lang w:val="it-IT" w:eastAsia="it-IT"/>
              </w:rPr>
            </w:pPr>
          </w:p>
        </w:tc>
      </w:tr>
      <w:tr w:rsidR="001C63E0" w:rsidRPr="001C63E0" w:rsidTr="00892579">
        <w:tc>
          <w:tcPr>
            <w:tcW w:w="5150" w:type="dxa"/>
          </w:tcPr>
          <w:p w:rsidR="001C63E0" w:rsidRPr="001C63E0" w:rsidRDefault="001C63E0" w:rsidP="001C63E0">
            <w:pPr>
              <w:spacing w:before="120"/>
              <w:rPr>
                <w:lang w:val="it-IT" w:eastAsia="it-IT"/>
              </w:rPr>
            </w:pPr>
            <w:r w:rsidRPr="001C63E0">
              <w:rPr>
                <w:lang w:val="it-IT" w:eastAsia="it-IT"/>
              </w:rPr>
              <w:t>Capitale investito il 1° gen. 1927</w:t>
            </w:r>
          </w:p>
        </w:tc>
        <w:tc>
          <w:tcPr>
            <w:tcW w:w="1130" w:type="dxa"/>
          </w:tcPr>
          <w:p w:rsidR="001C63E0" w:rsidRPr="001C63E0" w:rsidRDefault="001C63E0" w:rsidP="001C63E0">
            <w:pPr>
              <w:spacing w:before="120"/>
              <w:jc w:val="right"/>
              <w:rPr>
                <w:lang w:val="it-IT" w:eastAsia="it-IT"/>
              </w:rPr>
            </w:pPr>
            <w:r w:rsidRPr="001C63E0">
              <w:rPr>
                <w:lang w:val="it-IT" w:eastAsia="it-IT"/>
              </w:rPr>
              <w:t>1.00</w:t>
            </w:r>
          </w:p>
        </w:tc>
        <w:tc>
          <w:tcPr>
            <w:tcW w:w="1263" w:type="dxa"/>
          </w:tcPr>
          <w:p w:rsidR="001C63E0" w:rsidRPr="001C63E0" w:rsidRDefault="001C63E0" w:rsidP="001C63E0">
            <w:pPr>
              <w:spacing w:before="120"/>
              <w:jc w:val="right"/>
              <w:rPr>
                <w:lang w:val="it-IT" w:eastAsia="it-IT"/>
              </w:rPr>
            </w:pPr>
            <w:r w:rsidRPr="001C63E0">
              <w:rPr>
                <w:lang w:val="it-IT" w:eastAsia="it-IT"/>
              </w:rPr>
              <w:t>1.00</w:t>
            </w:r>
          </w:p>
        </w:tc>
        <w:tc>
          <w:tcPr>
            <w:tcW w:w="1130" w:type="dxa"/>
          </w:tcPr>
          <w:p w:rsidR="001C63E0" w:rsidRPr="001C63E0" w:rsidRDefault="001C63E0" w:rsidP="001C63E0">
            <w:pPr>
              <w:spacing w:before="120"/>
              <w:jc w:val="right"/>
              <w:rPr>
                <w:lang w:val="it-IT" w:eastAsia="it-IT"/>
              </w:rPr>
            </w:pPr>
            <w:r w:rsidRPr="001C63E0">
              <w:rPr>
                <w:lang w:val="it-IT" w:eastAsia="it-IT"/>
              </w:rPr>
              <w:t>1.00</w:t>
            </w:r>
          </w:p>
        </w:tc>
        <w:tc>
          <w:tcPr>
            <w:tcW w:w="1130" w:type="dxa"/>
          </w:tcPr>
          <w:p w:rsidR="001C63E0" w:rsidRPr="001C63E0" w:rsidRDefault="001C63E0" w:rsidP="001C63E0">
            <w:pPr>
              <w:spacing w:before="120"/>
              <w:jc w:val="right"/>
              <w:rPr>
                <w:lang w:val="it-IT" w:eastAsia="it-IT"/>
              </w:rPr>
            </w:pPr>
            <w:r w:rsidRPr="001C63E0">
              <w:rPr>
                <w:lang w:val="it-IT" w:eastAsia="it-IT"/>
              </w:rPr>
              <w:t>1.00</w:t>
            </w:r>
          </w:p>
        </w:tc>
      </w:tr>
      <w:tr w:rsidR="001C63E0" w:rsidRPr="001C63E0" w:rsidTr="00892579">
        <w:tc>
          <w:tcPr>
            <w:tcW w:w="5150" w:type="dxa"/>
          </w:tcPr>
          <w:p w:rsidR="001C63E0" w:rsidRPr="001C63E0" w:rsidRDefault="001C63E0" w:rsidP="001C63E0">
            <w:pPr>
              <w:spacing w:before="120"/>
              <w:rPr>
                <w:lang w:val="it-IT" w:eastAsia="it-IT"/>
              </w:rPr>
            </w:pPr>
            <w:r w:rsidRPr="001C63E0">
              <w:rPr>
                <w:lang w:val="it-IT" w:eastAsia="it-IT"/>
              </w:rPr>
              <w:t>Capitale il 31 dic. 2020</w:t>
            </w:r>
          </w:p>
        </w:tc>
        <w:tc>
          <w:tcPr>
            <w:tcW w:w="1130" w:type="dxa"/>
          </w:tcPr>
          <w:p w:rsidR="001C63E0" w:rsidRPr="001C63E0" w:rsidRDefault="001C63E0" w:rsidP="001C63E0">
            <w:pPr>
              <w:spacing w:before="120"/>
              <w:jc w:val="right"/>
              <w:rPr>
                <w:lang w:val="it-IT" w:eastAsia="it-IT"/>
              </w:rPr>
            </w:pPr>
            <w:r w:rsidRPr="001C63E0">
              <w:rPr>
                <w:lang w:val="it-IT" w:eastAsia="it-IT"/>
              </w:rPr>
              <w:t>2'776.98</w:t>
            </w:r>
          </w:p>
        </w:tc>
        <w:tc>
          <w:tcPr>
            <w:tcW w:w="1263" w:type="dxa"/>
          </w:tcPr>
          <w:p w:rsidR="001C63E0" w:rsidRPr="001C63E0" w:rsidRDefault="001C63E0" w:rsidP="001C63E0">
            <w:pPr>
              <w:spacing w:before="120"/>
              <w:jc w:val="right"/>
              <w:rPr>
                <w:lang w:val="it-IT" w:eastAsia="it-IT"/>
              </w:rPr>
            </w:pPr>
            <w:r w:rsidRPr="001C63E0">
              <w:rPr>
                <w:lang w:val="it-IT" w:eastAsia="it-IT"/>
              </w:rPr>
              <w:t>40'866.22</w:t>
            </w:r>
          </w:p>
        </w:tc>
        <w:tc>
          <w:tcPr>
            <w:tcW w:w="1130" w:type="dxa"/>
          </w:tcPr>
          <w:p w:rsidR="001C63E0" w:rsidRPr="001C63E0" w:rsidRDefault="001C63E0" w:rsidP="001C63E0">
            <w:pPr>
              <w:spacing w:before="120"/>
              <w:jc w:val="right"/>
              <w:rPr>
                <w:lang w:val="it-IT" w:eastAsia="it-IT"/>
              </w:rPr>
            </w:pPr>
            <w:r w:rsidRPr="001C63E0">
              <w:rPr>
                <w:lang w:val="it-IT" w:eastAsia="it-IT"/>
              </w:rPr>
              <w:t>7'019.28</w:t>
            </w:r>
          </w:p>
        </w:tc>
        <w:tc>
          <w:tcPr>
            <w:tcW w:w="1130" w:type="dxa"/>
          </w:tcPr>
          <w:p w:rsidR="001C63E0" w:rsidRPr="001C63E0" w:rsidRDefault="001C63E0" w:rsidP="001C63E0">
            <w:pPr>
              <w:spacing w:before="120"/>
              <w:jc w:val="right"/>
              <w:rPr>
                <w:lang w:val="it-IT" w:eastAsia="it-IT"/>
              </w:rPr>
            </w:pPr>
            <w:r w:rsidRPr="001C63E0">
              <w:rPr>
                <w:lang w:val="it-IT" w:eastAsia="it-IT"/>
              </w:rPr>
              <w:t>1'096.81</w:t>
            </w:r>
          </w:p>
        </w:tc>
      </w:tr>
      <w:tr w:rsidR="001C63E0" w:rsidRPr="001C63E0" w:rsidTr="00892579">
        <w:tc>
          <w:tcPr>
            <w:tcW w:w="5150" w:type="dxa"/>
            <w:tcBorders>
              <w:bottom w:val="single" w:sz="4" w:space="0" w:color="auto"/>
            </w:tcBorders>
          </w:tcPr>
          <w:p w:rsidR="001C63E0" w:rsidRPr="001C63E0" w:rsidRDefault="001C63E0" w:rsidP="001C63E0">
            <w:pPr>
              <w:spacing w:before="120"/>
              <w:rPr>
                <w:lang w:val="it-IT" w:eastAsia="it-IT"/>
              </w:rPr>
            </w:pPr>
            <w:r w:rsidRPr="001C63E0">
              <w:rPr>
                <w:lang w:val="it-IT" w:eastAsia="it-IT"/>
              </w:rPr>
              <w:t>CAGR – Rendimento composto annuo</w:t>
            </w:r>
          </w:p>
        </w:tc>
        <w:tc>
          <w:tcPr>
            <w:tcW w:w="1130" w:type="dxa"/>
            <w:tcBorders>
              <w:bottom w:val="single" w:sz="4" w:space="0" w:color="auto"/>
            </w:tcBorders>
          </w:tcPr>
          <w:p w:rsidR="001C63E0" w:rsidRPr="001C63E0" w:rsidRDefault="001C63E0" w:rsidP="001C63E0">
            <w:pPr>
              <w:spacing w:before="120"/>
              <w:jc w:val="right"/>
              <w:rPr>
                <w:lang w:val="it-IT" w:eastAsia="it-IT"/>
              </w:rPr>
            </w:pPr>
            <w:r w:rsidRPr="001C63E0">
              <w:rPr>
                <w:lang w:val="it-IT" w:eastAsia="it-IT"/>
              </w:rPr>
              <w:t>8.80%</w:t>
            </w:r>
          </w:p>
        </w:tc>
        <w:tc>
          <w:tcPr>
            <w:tcW w:w="1263" w:type="dxa"/>
            <w:tcBorders>
              <w:bottom w:val="single" w:sz="4" w:space="0" w:color="auto"/>
            </w:tcBorders>
          </w:tcPr>
          <w:p w:rsidR="001C63E0" w:rsidRPr="001C63E0" w:rsidRDefault="001C63E0" w:rsidP="001C63E0">
            <w:pPr>
              <w:spacing w:before="120"/>
              <w:jc w:val="right"/>
              <w:rPr>
                <w:lang w:val="it-IT" w:eastAsia="it-IT"/>
              </w:rPr>
            </w:pPr>
            <w:r w:rsidRPr="001C63E0">
              <w:rPr>
                <w:lang w:val="it-IT" w:eastAsia="it-IT"/>
              </w:rPr>
              <w:t>11.96%</w:t>
            </w:r>
          </w:p>
        </w:tc>
        <w:tc>
          <w:tcPr>
            <w:tcW w:w="1130" w:type="dxa"/>
            <w:tcBorders>
              <w:bottom w:val="single" w:sz="4" w:space="0" w:color="auto"/>
            </w:tcBorders>
          </w:tcPr>
          <w:p w:rsidR="001C63E0" w:rsidRPr="001C63E0" w:rsidRDefault="001C63E0" w:rsidP="001C63E0">
            <w:pPr>
              <w:spacing w:before="120"/>
              <w:jc w:val="right"/>
              <w:rPr>
                <w:lang w:val="it-IT" w:eastAsia="it-IT"/>
              </w:rPr>
            </w:pPr>
            <w:r w:rsidRPr="001C63E0">
              <w:rPr>
                <w:lang w:val="it-IT" w:eastAsia="it-IT"/>
              </w:rPr>
              <w:t>9.88%</w:t>
            </w:r>
          </w:p>
        </w:tc>
        <w:tc>
          <w:tcPr>
            <w:tcW w:w="1130" w:type="dxa"/>
            <w:tcBorders>
              <w:bottom w:val="single" w:sz="4" w:space="0" w:color="auto"/>
            </w:tcBorders>
          </w:tcPr>
          <w:p w:rsidR="001C63E0" w:rsidRPr="001C63E0" w:rsidRDefault="001C63E0" w:rsidP="001C63E0">
            <w:pPr>
              <w:spacing w:before="120"/>
              <w:jc w:val="right"/>
              <w:rPr>
                <w:lang w:val="it-IT" w:eastAsia="it-IT"/>
              </w:rPr>
            </w:pPr>
            <w:r w:rsidRPr="001C63E0">
              <w:rPr>
                <w:lang w:val="it-IT" w:eastAsia="it-IT"/>
              </w:rPr>
              <w:t>7.73%</w:t>
            </w:r>
          </w:p>
        </w:tc>
      </w:tr>
      <w:tr w:rsidR="001C63E0" w:rsidRPr="001C63E0" w:rsidTr="00892579">
        <w:tc>
          <w:tcPr>
            <w:tcW w:w="5150" w:type="dxa"/>
            <w:tcBorders>
              <w:top w:val="single" w:sz="4" w:space="0" w:color="auto"/>
            </w:tcBorders>
          </w:tcPr>
          <w:p w:rsidR="001C63E0" w:rsidRPr="001C63E0" w:rsidRDefault="001C63E0" w:rsidP="001C63E0">
            <w:pPr>
              <w:spacing w:before="120"/>
              <w:rPr>
                <w:b/>
                <w:bCs/>
                <w:lang w:val="it-IT" w:eastAsia="it-IT"/>
              </w:rPr>
            </w:pPr>
            <w:r w:rsidRPr="001C63E0">
              <w:rPr>
                <w:b/>
                <w:bCs/>
                <w:lang w:val="it-IT" w:eastAsia="it-IT"/>
              </w:rPr>
              <w:t>Statistiche con 0.5% di costi annui</w:t>
            </w:r>
          </w:p>
        </w:tc>
        <w:tc>
          <w:tcPr>
            <w:tcW w:w="1130" w:type="dxa"/>
            <w:tcBorders>
              <w:top w:val="single" w:sz="4" w:space="0" w:color="auto"/>
            </w:tcBorders>
          </w:tcPr>
          <w:p w:rsidR="001C63E0" w:rsidRPr="001C63E0" w:rsidRDefault="001C63E0" w:rsidP="001C63E0">
            <w:pPr>
              <w:spacing w:before="120"/>
              <w:jc w:val="right"/>
              <w:rPr>
                <w:lang w:val="it-IT" w:eastAsia="it-IT"/>
              </w:rPr>
            </w:pPr>
          </w:p>
        </w:tc>
        <w:tc>
          <w:tcPr>
            <w:tcW w:w="1263" w:type="dxa"/>
            <w:tcBorders>
              <w:top w:val="single" w:sz="4" w:space="0" w:color="auto"/>
            </w:tcBorders>
          </w:tcPr>
          <w:p w:rsidR="001C63E0" w:rsidRPr="001C63E0" w:rsidRDefault="001C63E0" w:rsidP="001C63E0">
            <w:pPr>
              <w:spacing w:before="120"/>
              <w:jc w:val="right"/>
              <w:rPr>
                <w:lang w:val="it-IT" w:eastAsia="it-IT"/>
              </w:rPr>
            </w:pPr>
          </w:p>
        </w:tc>
        <w:tc>
          <w:tcPr>
            <w:tcW w:w="1130" w:type="dxa"/>
            <w:tcBorders>
              <w:top w:val="single" w:sz="4" w:space="0" w:color="auto"/>
            </w:tcBorders>
          </w:tcPr>
          <w:p w:rsidR="001C63E0" w:rsidRPr="001C63E0" w:rsidRDefault="001C63E0" w:rsidP="001C63E0">
            <w:pPr>
              <w:spacing w:before="120"/>
              <w:jc w:val="right"/>
              <w:rPr>
                <w:lang w:val="it-IT" w:eastAsia="it-IT"/>
              </w:rPr>
            </w:pPr>
          </w:p>
        </w:tc>
        <w:tc>
          <w:tcPr>
            <w:tcW w:w="1130" w:type="dxa"/>
            <w:tcBorders>
              <w:top w:val="single" w:sz="4" w:space="0" w:color="auto"/>
              <w:bottom w:val="single" w:sz="12" w:space="0" w:color="auto"/>
            </w:tcBorders>
          </w:tcPr>
          <w:p w:rsidR="001C63E0" w:rsidRPr="001C63E0" w:rsidRDefault="001C63E0" w:rsidP="001C63E0">
            <w:pPr>
              <w:spacing w:before="120"/>
              <w:jc w:val="right"/>
              <w:rPr>
                <w:lang w:val="it-IT" w:eastAsia="it-IT"/>
              </w:rPr>
            </w:pPr>
          </w:p>
        </w:tc>
      </w:tr>
      <w:tr w:rsidR="001C63E0" w:rsidRPr="001C63E0" w:rsidTr="00892579">
        <w:tc>
          <w:tcPr>
            <w:tcW w:w="5150" w:type="dxa"/>
          </w:tcPr>
          <w:p w:rsidR="001C63E0" w:rsidRPr="001C63E0" w:rsidRDefault="001C63E0" w:rsidP="001C63E0">
            <w:pPr>
              <w:spacing w:before="120"/>
              <w:rPr>
                <w:lang w:val="it-IT" w:eastAsia="it-IT"/>
              </w:rPr>
            </w:pPr>
            <w:r w:rsidRPr="001C63E0">
              <w:rPr>
                <w:lang w:val="it-IT" w:eastAsia="it-IT"/>
              </w:rPr>
              <w:t>Capitale investito il 1° gen. 1927</w:t>
            </w:r>
          </w:p>
        </w:tc>
        <w:tc>
          <w:tcPr>
            <w:tcW w:w="1130" w:type="dxa"/>
          </w:tcPr>
          <w:p w:rsidR="001C63E0" w:rsidRPr="001C63E0" w:rsidRDefault="001C63E0" w:rsidP="001C63E0">
            <w:pPr>
              <w:spacing w:before="120"/>
              <w:jc w:val="right"/>
              <w:rPr>
                <w:lang w:val="it-IT" w:eastAsia="it-IT"/>
              </w:rPr>
            </w:pPr>
            <w:r w:rsidRPr="001C63E0">
              <w:rPr>
                <w:lang w:val="it-IT" w:eastAsia="it-IT"/>
              </w:rPr>
              <w:t>1.00</w:t>
            </w:r>
          </w:p>
        </w:tc>
        <w:tc>
          <w:tcPr>
            <w:tcW w:w="1263" w:type="dxa"/>
          </w:tcPr>
          <w:p w:rsidR="001C63E0" w:rsidRPr="001C63E0" w:rsidRDefault="001C63E0" w:rsidP="001C63E0">
            <w:pPr>
              <w:spacing w:before="120"/>
              <w:jc w:val="right"/>
              <w:rPr>
                <w:lang w:val="it-IT" w:eastAsia="it-IT"/>
              </w:rPr>
            </w:pPr>
            <w:r w:rsidRPr="001C63E0">
              <w:rPr>
                <w:lang w:val="it-IT" w:eastAsia="it-IT"/>
              </w:rPr>
              <w:t>1.00</w:t>
            </w:r>
          </w:p>
        </w:tc>
        <w:tc>
          <w:tcPr>
            <w:tcW w:w="1130" w:type="dxa"/>
            <w:tcBorders>
              <w:right w:val="single" w:sz="12" w:space="0" w:color="auto"/>
            </w:tcBorders>
          </w:tcPr>
          <w:p w:rsidR="001C63E0" w:rsidRPr="001C63E0" w:rsidRDefault="001C63E0" w:rsidP="001C63E0">
            <w:pPr>
              <w:spacing w:before="120"/>
              <w:jc w:val="right"/>
              <w:rPr>
                <w:lang w:val="it-IT" w:eastAsia="it-IT"/>
              </w:rPr>
            </w:pPr>
            <w:r w:rsidRPr="001C63E0">
              <w:rPr>
                <w:lang w:val="it-IT" w:eastAsia="it-IT"/>
              </w:rPr>
              <w:t>1.00</w:t>
            </w:r>
          </w:p>
        </w:tc>
        <w:tc>
          <w:tcPr>
            <w:tcW w:w="1130" w:type="dxa"/>
            <w:tcBorders>
              <w:top w:val="single" w:sz="12" w:space="0" w:color="auto"/>
              <w:left w:val="single" w:sz="12" w:space="0" w:color="auto"/>
              <w:right w:val="single" w:sz="12" w:space="0" w:color="auto"/>
            </w:tcBorders>
          </w:tcPr>
          <w:p w:rsidR="001C63E0" w:rsidRPr="001C63E0" w:rsidRDefault="001C63E0" w:rsidP="001C63E0">
            <w:pPr>
              <w:spacing w:before="120"/>
              <w:jc w:val="right"/>
              <w:rPr>
                <w:lang w:val="it-IT" w:eastAsia="it-IT"/>
              </w:rPr>
            </w:pPr>
            <w:r w:rsidRPr="001C63E0">
              <w:rPr>
                <w:lang w:val="it-IT" w:eastAsia="it-IT"/>
              </w:rPr>
              <w:t>1.00</w:t>
            </w:r>
          </w:p>
        </w:tc>
      </w:tr>
      <w:tr w:rsidR="001C63E0" w:rsidRPr="001C63E0" w:rsidTr="00892579">
        <w:tc>
          <w:tcPr>
            <w:tcW w:w="5150" w:type="dxa"/>
          </w:tcPr>
          <w:p w:rsidR="001C63E0" w:rsidRPr="001C63E0" w:rsidRDefault="001C63E0" w:rsidP="001C63E0">
            <w:pPr>
              <w:spacing w:before="120"/>
              <w:rPr>
                <w:lang w:val="it-IT" w:eastAsia="it-IT"/>
              </w:rPr>
            </w:pPr>
            <w:r w:rsidRPr="001C63E0">
              <w:rPr>
                <w:lang w:val="it-IT" w:eastAsia="it-IT"/>
              </w:rPr>
              <w:t>Capitale il 31 dic. 2020</w:t>
            </w:r>
          </w:p>
        </w:tc>
        <w:tc>
          <w:tcPr>
            <w:tcW w:w="1130" w:type="dxa"/>
          </w:tcPr>
          <w:p w:rsidR="001C63E0" w:rsidRPr="001C63E0" w:rsidRDefault="001C63E0" w:rsidP="001C63E0">
            <w:pPr>
              <w:spacing w:before="120"/>
              <w:jc w:val="right"/>
              <w:rPr>
                <w:lang w:val="it-IT" w:eastAsia="it-IT"/>
              </w:rPr>
            </w:pPr>
            <w:r w:rsidRPr="001C63E0">
              <w:rPr>
                <w:lang w:val="it-IT" w:eastAsia="it-IT"/>
              </w:rPr>
              <w:t>1'740.44</w:t>
            </w:r>
          </w:p>
        </w:tc>
        <w:tc>
          <w:tcPr>
            <w:tcW w:w="1263" w:type="dxa"/>
          </w:tcPr>
          <w:p w:rsidR="001C63E0" w:rsidRPr="001C63E0" w:rsidRDefault="001C63E0" w:rsidP="001C63E0">
            <w:pPr>
              <w:spacing w:before="120"/>
              <w:jc w:val="right"/>
              <w:rPr>
                <w:lang w:val="it-IT" w:eastAsia="it-IT"/>
              </w:rPr>
            </w:pPr>
            <w:r w:rsidRPr="001C63E0">
              <w:rPr>
                <w:lang w:val="it-IT" w:eastAsia="it-IT"/>
              </w:rPr>
              <w:t>25'640.60</w:t>
            </w:r>
          </w:p>
        </w:tc>
        <w:tc>
          <w:tcPr>
            <w:tcW w:w="1130" w:type="dxa"/>
            <w:tcBorders>
              <w:right w:val="single" w:sz="12" w:space="0" w:color="auto"/>
            </w:tcBorders>
          </w:tcPr>
          <w:p w:rsidR="001C63E0" w:rsidRPr="001C63E0" w:rsidRDefault="001C63E0" w:rsidP="001C63E0">
            <w:pPr>
              <w:spacing w:before="120"/>
              <w:jc w:val="right"/>
              <w:rPr>
                <w:lang w:val="it-IT" w:eastAsia="it-IT"/>
              </w:rPr>
            </w:pPr>
            <w:r w:rsidRPr="001C63E0">
              <w:rPr>
                <w:lang w:val="it-IT" w:eastAsia="it-IT"/>
              </w:rPr>
              <w:t>4'400.63</w:t>
            </w:r>
          </w:p>
        </w:tc>
        <w:tc>
          <w:tcPr>
            <w:tcW w:w="1130" w:type="dxa"/>
            <w:tcBorders>
              <w:left w:val="single" w:sz="12" w:space="0" w:color="auto"/>
              <w:right w:val="single" w:sz="12" w:space="0" w:color="auto"/>
            </w:tcBorders>
          </w:tcPr>
          <w:p w:rsidR="001C63E0" w:rsidRPr="001C63E0" w:rsidRDefault="001C63E0" w:rsidP="001C63E0">
            <w:pPr>
              <w:spacing w:before="120"/>
              <w:jc w:val="right"/>
              <w:rPr>
                <w:lang w:val="it-IT" w:eastAsia="it-IT"/>
              </w:rPr>
            </w:pPr>
            <w:r w:rsidRPr="001C63E0">
              <w:rPr>
                <w:lang w:val="it-IT" w:eastAsia="it-IT"/>
              </w:rPr>
              <w:t>687.10</w:t>
            </w:r>
          </w:p>
        </w:tc>
      </w:tr>
      <w:tr w:rsidR="001C63E0" w:rsidRPr="001C63E0" w:rsidTr="00892579">
        <w:tc>
          <w:tcPr>
            <w:tcW w:w="5150" w:type="dxa"/>
            <w:tcBorders>
              <w:bottom w:val="single" w:sz="4" w:space="0" w:color="auto"/>
            </w:tcBorders>
          </w:tcPr>
          <w:p w:rsidR="001C63E0" w:rsidRPr="001C63E0" w:rsidRDefault="001C63E0" w:rsidP="001C63E0">
            <w:pPr>
              <w:spacing w:before="120"/>
              <w:rPr>
                <w:lang w:val="it-IT" w:eastAsia="it-IT"/>
              </w:rPr>
            </w:pPr>
            <w:r w:rsidRPr="001C63E0">
              <w:rPr>
                <w:lang w:val="it-IT" w:eastAsia="it-IT"/>
              </w:rPr>
              <w:t>CAGR – Rendimento composto annuo</w:t>
            </w:r>
          </w:p>
        </w:tc>
        <w:tc>
          <w:tcPr>
            <w:tcW w:w="1130" w:type="dxa"/>
            <w:tcBorders>
              <w:bottom w:val="single" w:sz="4" w:space="0" w:color="auto"/>
            </w:tcBorders>
          </w:tcPr>
          <w:p w:rsidR="001C63E0" w:rsidRPr="001C63E0" w:rsidRDefault="001C63E0" w:rsidP="001C63E0">
            <w:pPr>
              <w:spacing w:before="120"/>
              <w:jc w:val="right"/>
              <w:rPr>
                <w:lang w:val="it-IT" w:eastAsia="it-IT"/>
              </w:rPr>
            </w:pPr>
            <w:r w:rsidRPr="001C63E0">
              <w:rPr>
                <w:lang w:val="it-IT" w:eastAsia="it-IT"/>
              </w:rPr>
              <w:t>8.26%</w:t>
            </w:r>
          </w:p>
        </w:tc>
        <w:tc>
          <w:tcPr>
            <w:tcW w:w="1263" w:type="dxa"/>
            <w:tcBorders>
              <w:bottom w:val="single" w:sz="4" w:space="0" w:color="auto"/>
            </w:tcBorders>
          </w:tcPr>
          <w:p w:rsidR="001C63E0" w:rsidRPr="001C63E0" w:rsidRDefault="001C63E0" w:rsidP="001C63E0">
            <w:pPr>
              <w:spacing w:before="120"/>
              <w:jc w:val="right"/>
              <w:rPr>
                <w:lang w:val="it-IT" w:eastAsia="it-IT"/>
              </w:rPr>
            </w:pPr>
            <w:r w:rsidRPr="001C63E0">
              <w:rPr>
                <w:lang w:val="it-IT" w:eastAsia="it-IT"/>
              </w:rPr>
              <w:t>11.40%</w:t>
            </w:r>
          </w:p>
        </w:tc>
        <w:tc>
          <w:tcPr>
            <w:tcW w:w="1130" w:type="dxa"/>
            <w:tcBorders>
              <w:bottom w:val="single" w:sz="4" w:space="0" w:color="auto"/>
              <w:right w:val="single" w:sz="12" w:space="0" w:color="auto"/>
            </w:tcBorders>
          </w:tcPr>
          <w:p w:rsidR="001C63E0" w:rsidRPr="001C63E0" w:rsidRDefault="001C63E0" w:rsidP="001C63E0">
            <w:pPr>
              <w:spacing w:before="120"/>
              <w:jc w:val="right"/>
              <w:rPr>
                <w:lang w:val="it-IT" w:eastAsia="it-IT"/>
              </w:rPr>
            </w:pPr>
            <w:r w:rsidRPr="001C63E0">
              <w:rPr>
                <w:lang w:val="it-IT" w:eastAsia="it-IT"/>
              </w:rPr>
              <w:t>9.34%</w:t>
            </w:r>
          </w:p>
        </w:tc>
        <w:tc>
          <w:tcPr>
            <w:tcW w:w="1130" w:type="dxa"/>
            <w:tcBorders>
              <w:left w:val="single" w:sz="12" w:space="0" w:color="auto"/>
              <w:bottom w:val="single" w:sz="12" w:space="0" w:color="auto"/>
              <w:right w:val="single" w:sz="12" w:space="0" w:color="auto"/>
            </w:tcBorders>
          </w:tcPr>
          <w:p w:rsidR="001C63E0" w:rsidRPr="001C63E0" w:rsidRDefault="001C63E0" w:rsidP="001C63E0">
            <w:pPr>
              <w:spacing w:before="120"/>
              <w:jc w:val="right"/>
              <w:rPr>
                <w:lang w:val="it-IT" w:eastAsia="it-IT"/>
              </w:rPr>
            </w:pPr>
            <w:r w:rsidRPr="001C63E0">
              <w:rPr>
                <w:lang w:val="it-IT" w:eastAsia="it-IT"/>
              </w:rPr>
              <w:t>7.20%</w:t>
            </w:r>
          </w:p>
        </w:tc>
      </w:tr>
    </w:tbl>
    <w:p w:rsidR="001C63E0" w:rsidRPr="001C63E0" w:rsidRDefault="001C63E0" w:rsidP="001C63E0">
      <w:pPr>
        <w:spacing w:before="120"/>
        <w:rPr>
          <w:rFonts w:cs="Arial"/>
          <w:sz w:val="20"/>
          <w:szCs w:val="20"/>
          <w:lang w:val="it-IT" w:eastAsia="it-IT"/>
        </w:rPr>
      </w:pPr>
      <w:r w:rsidRPr="001C63E0">
        <w:rPr>
          <w:rFonts w:cs="Arial"/>
          <w:sz w:val="20"/>
          <w:szCs w:val="20"/>
          <w:lang w:val="it-IT" w:eastAsia="it-IT"/>
        </w:rPr>
        <w:t>Nota: dati GFD e BNS, calcoli propri, periodo 1927-2020, mercati azionari mondiali.</w:t>
      </w:r>
    </w:p>
    <w:p w:rsidR="001C63E0" w:rsidRPr="001C63E0" w:rsidRDefault="001C63E0" w:rsidP="001C63E0">
      <w:pPr>
        <w:spacing w:before="120"/>
        <w:rPr>
          <w:rFonts w:cs="Arial"/>
          <w:lang w:val="it-IT" w:eastAsia="it-IT"/>
        </w:rPr>
      </w:pPr>
    </w:p>
    <w:p w:rsidR="001C63E0" w:rsidRPr="001C63E0" w:rsidRDefault="001C63E0" w:rsidP="001C63E0">
      <w:pPr>
        <w:spacing w:before="120"/>
        <w:rPr>
          <w:rFonts w:cs="Arial"/>
          <w:lang w:val="it-IT" w:eastAsia="it-IT"/>
        </w:rPr>
      </w:pPr>
      <w:r w:rsidRPr="001C63E0">
        <w:rPr>
          <w:rFonts w:cs="Arial"/>
          <w:lang w:val="it-IT" w:eastAsia="it-IT"/>
        </w:rPr>
        <w:t>Lo scenario di riferimento è quello in CHF reali (ossia al netto dell’inflazione) e al netto di costi di gestione e deposito di complessivi 50bps (punti base), che può rappresentare una stima realistica dei costi nel quadro della gestione di attivi istituzionali. La seguente figura mostra l’evoluzione temporale; si osservi che la scala semilogaritmica visualizza – come pendenza della curva – il tasso di rendimento e le perdite relative.</w:t>
      </w:r>
    </w:p>
    <w:p w:rsidR="001C63E0" w:rsidRPr="001C63E0" w:rsidRDefault="001C63E0" w:rsidP="001C63E0">
      <w:pPr>
        <w:spacing w:before="120"/>
        <w:rPr>
          <w:rFonts w:cs="Arial"/>
          <w:lang w:val="it-IT" w:eastAsia="it-IT"/>
        </w:rPr>
      </w:pPr>
    </w:p>
    <w:p w:rsidR="001C63E0" w:rsidRPr="001C63E0" w:rsidRDefault="001C63E0" w:rsidP="001C63E0">
      <w:pPr>
        <w:spacing w:before="120"/>
        <w:jc w:val="center"/>
        <w:rPr>
          <w:rFonts w:cs="Arial"/>
          <w:lang w:val="it-IT" w:eastAsia="it-IT"/>
        </w:rPr>
      </w:pPr>
      <w:r w:rsidRPr="001C63E0">
        <w:rPr>
          <w:rFonts w:cs="Arial"/>
          <w:noProof/>
          <w:lang w:eastAsia="it-CH"/>
        </w:rPr>
        <w:drawing>
          <wp:inline distT="0" distB="0" distL="0" distR="0" wp14:anchorId="3506F03E" wp14:editId="663B4C58">
            <wp:extent cx="5124450" cy="2971800"/>
            <wp:effectExtent l="0" t="0" r="0" b="0"/>
            <wp:docPr id="7" name="Chart 7">
              <a:extLst xmlns:a="http://schemas.openxmlformats.org/drawingml/2006/main">
                <a:ext uri="{FF2B5EF4-FFF2-40B4-BE49-F238E27FC236}">
                  <a16:creationId xmlns:a16="http://schemas.microsoft.com/office/drawing/2014/main" id="{1230B554-2163-4789-AAC7-957637DB75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C63E0" w:rsidRPr="001C63E0" w:rsidRDefault="001C63E0" w:rsidP="001C63E0">
      <w:pPr>
        <w:spacing w:before="120"/>
        <w:jc w:val="center"/>
        <w:rPr>
          <w:rFonts w:cs="Arial"/>
          <w:sz w:val="20"/>
          <w:szCs w:val="20"/>
          <w:lang w:val="it-IT" w:eastAsia="it-IT"/>
        </w:rPr>
      </w:pPr>
      <w:r w:rsidRPr="001C63E0">
        <w:rPr>
          <w:rFonts w:cs="Arial"/>
          <w:sz w:val="20"/>
          <w:szCs w:val="20"/>
          <w:lang w:val="it-IT" w:eastAsia="it-IT"/>
        </w:rPr>
        <w:t>Nota: dati GFD e BNS, calcoli propri, periodo 1927-2020, mercati azionari mondiali.</w:t>
      </w:r>
    </w:p>
    <w:p w:rsidR="001C63E0" w:rsidRPr="001C63E0" w:rsidRDefault="001C63E0" w:rsidP="001C63E0">
      <w:pPr>
        <w:spacing w:before="120"/>
        <w:rPr>
          <w:rFonts w:cs="Arial"/>
          <w:lang w:val="it-IT" w:eastAsia="it-IT"/>
        </w:rPr>
      </w:pPr>
    </w:p>
    <w:p w:rsidR="001C63E0" w:rsidRPr="001C63E0" w:rsidRDefault="001C63E0" w:rsidP="001C63E0">
      <w:pPr>
        <w:spacing w:before="120"/>
        <w:rPr>
          <w:rFonts w:cs="Arial"/>
          <w:lang w:val="it-IT" w:eastAsia="it-IT"/>
        </w:rPr>
      </w:pPr>
      <w:r w:rsidRPr="001C63E0">
        <w:rPr>
          <w:rFonts w:cs="Arial"/>
          <w:lang w:val="it-IT" w:eastAsia="it-IT"/>
        </w:rPr>
        <w:t>Due aspetti meritano un particolare commento.</w:t>
      </w:r>
    </w:p>
    <w:p w:rsidR="001C63E0" w:rsidRPr="001C63E0" w:rsidRDefault="001C63E0" w:rsidP="001C63E0">
      <w:pPr>
        <w:numPr>
          <w:ilvl w:val="0"/>
          <w:numId w:val="12"/>
        </w:numPr>
        <w:spacing w:before="120"/>
        <w:jc w:val="left"/>
        <w:rPr>
          <w:rFonts w:cs="Arial"/>
          <w:lang w:val="it-IT" w:eastAsia="it-IT"/>
        </w:rPr>
      </w:pPr>
      <w:r w:rsidRPr="001C63E0">
        <w:rPr>
          <w:rFonts w:cs="Arial"/>
          <w:lang w:val="it-IT" w:eastAsia="it-IT"/>
        </w:rPr>
        <w:t xml:space="preserve">Questo genere di proiezioni di lungo periodo va fatto in unità monetarie costanti nel tempo, ossia in termini di potere d’acquisto e non di valore monetario in valuta corrente. Il motivo è l’inflazione. Sulla base delle suddette valutazioni, sull’arco di 94 anni e al netto dei costi, il potere d’acquisto del capitale finale si sarebbe potuto moltiplicare di oltre 680 volte rispetto a quello del capitale iniziale. Misurato in CHF </w:t>
      </w:r>
      <w:r w:rsidRPr="001C63E0">
        <w:rPr>
          <w:rFonts w:cs="Arial"/>
          <w:lang w:val="it-IT" w:eastAsia="it-IT"/>
        </w:rPr>
        <w:lastRenderedPageBreak/>
        <w:t>correnti tuttavia, il capitale finale si sarebbe moltiplicato per ben 4'400 volte. L’enorme differenza tra i due fattori risiede per l’appunto nell’erosione del potere d’acquisto causata dall’inflazione.</w:t>
      </w:r>
    </w:p>
    <w:p w:rsidR="001C63E0" w:rsidRPr="001C63E0" w:rsidRDefault="001C63E0" w:rsidP="001C63E0">
      <w:pPr>
        <w:numPr>
          <w:ilvl w:val="0"/>
          <w:numId w:val="12"/>
        </w:numPr>
        <w:spacing w:before="120"/>
        <w:jc w:val="left"/>
        <w:rPr>
          <w:rFonts w:cs="Arial"/>
          <w:lang w:val="it-IT" w:eastAsia="it-IT"/>
        </w:rPr>
      </w:pPr>
      <w:r w:rsidRPr="001C63E0">
        <w:rPr>
          <w:rFonts w:cs="Arial"/>
          <w:lang w:val="it-IT" w:eastAsia="it-IT"/>
        </w:rPr>
        <w:t xml:space="preserve">Si osservi inoltre il ruolo decisivo che i costi di gestione hanno sul risultato finale. Un modesto costo annuo dello 0.5% erode oltre il 37% del patrimonio finale reale in CHF (si confrontino 687.10 con 1'096.81) sull’arco di quasi un secolo. Lo stesso ordine di grandezza vale anche per le analisi in CHF correnti (4'400.63 vs. 7'019.28). Alla luce di questa constatazione, </w:t>
      </w:r>
      <w:r w:rsidRPr="001C63E0">
        <w:rPr>
          <w:rFonts w:cs="Arial"/>
          <w:b/>
          <w:bCs/>
          <w:lang w:val="it-IT" w:eastAsia="it-IT"/>
        </w:rPr>
        <w:t>sarà una responsabilità centrale del Consiglio di Stato e del Consiglio di Amministrazione dell’IPCT avere ESTREMO riguardo per i costi di gestione del portafoglio</w:t>
      </w:r>
      <w:r w:rsidRPr="001C63E0">
        <w:rPr>
          <w:rFonts w:cs="Arial"/>
          <w:lang w:val="it-IT" w:eastAsia="it-IT"/>
        </w:rPr>
        <w:t>.</w:t>
      </w:r>
    </w:p>
    <w:p w:rsidR="001C63E0" w:rsidRPr="001C63E0" w:rsidRDefault="001C63E0" w:rsidP="00357DAC">
      <w:pPr>
        <w:rPr>
          <w:rFonts w:cs="Arial"/>
        </w:rPr>
      </w:pPr>
    </w:p>
    <w:p w:rsidR="001C63E0" w:rsidRPr="001C63E0" w:rsidRDefault="001C63E0" w:rsidP="00357DAC">
      <w:pPr>
        <w:rPr>
          <w:rFonts w:cs="Arial"/>
        </w:rPr>
      </w:pPr>
      <w:r w:rsidRPr="001C63E0">
        <w:rPr>
          <w:rFonts w:cs="Arial"/>
        </w:rPr>
        <w:t xml:space="preserve">Oltre alle riflessioni fatte in entrata, la serie storica di 94 anni permette di analizzare la dispersione dei rendimenti che si sarebbero potuti ottenere nel passato a dipendenza del mese di inizio e della durata di detenzione. La seguente tabella dovrebbe permette di formulare delle aspettative realistiche su quanto un investimento azionario trentennale sulla borsa mondiale potrebbe potenzialmente rendere, sulla base dell’esperienza dell’ultimo secolo. È importante ribadire che i dati che seguono coprono i più svariati regimi di mercato, includendo un conflitto mondiale, parecchi conflitti regionali, svariate crisi finanziarie compresa la Grande Depressione iniziata con il crash del 1929, periodi di deflazione (anni ’30) nonché periodi a forte inflazione (anni ’70). </w:t>
      </w:r>
    </w:p>
    <w:p w:rsidR="001C63E0" w:rsidRPr="001C63E0" w:rsidRDefault="001C63E0" w:rsidP="001C63E0">
      <w:pPr>
        <w:spacing w:before="120"/>
        <w:rPr>
          <w:rFonts w:cs="Arial"/>
        </w:rPr>
      </w:pPr>
    </w:p>
    <w:p w:rsidR="001C63E0" w:rsidRPr="001C63E0" w:rsidRDefault="001C63E0" w:rsidP="001C63E0">
      <w:pPr>
        <w:spacing w:before="120"/>
        <w:jc w:val="center"/>
        <w:rPr>
          <w:rFonts w:cs="Arial"/>
          <w:b/>
          <w:bCs/>
          <w:noProof/>
        </w:rPr>
      </w:pPr>
      <w:r w:rsidRPr="001C63E0">
        <w:rPr>
          <w:rFonts w:cs="Arial"/>
          <w:b/>
          <w:bCs/>
          <w:noProof/>
        </w:rPr>
        <w:t>Mercato azionario mondiale – Dispersione del saggio di rendimento reale in CHF per una strategia di continua detenzione (</w:t>
      </w:r>
      <w:r w:rsidRPr="001C63E0">
        <w:rPr>
          <w:rFonts w:cs="Arial"/>
          <w:b/>
          <w:bCs/>
          <w:i/>
          <w:iCs/>
          <w:noProof/>
        </w:rPr>
        <w:t>buy and hold</w:t>
      </w:r>
      <w:r w:rsidRPr="001C63E0">
        <w:rPr>
          <w:rFonts w:cs="Arial"/>
          <w:b/>
          <w:bCs/>
          <w:noProof/>
        </w:rPr>
        <w:t>) a dipendenza della durata dell’investimento</w:t>
      </w:r>
    </w:p>
    <w:p w:rsidR="001C63E0" w:rsidRPr="001C63E0" w:rsidRDefault="001C63E0" w:rsidP="001C63E0">
      <w:pPr>
        <w:spacing w:before="120"/>
        <w:rPr>
          <w:rFonts w:cs="Arial"/>
        </w:rPr>
      </w:pPr>
      <w:r w:rsidRPr="001C63E0">
        <w:rPr>
          <w:rFonts w:cs="Arial"/>
          <w:noProof/>
          <w:lang w:eastAsia="it-CH"/>
        </w:rPr>
        <w:drawing>
          <wp:inline distT="0" distB="0" distL="0" distR="0" wp14:anchorId="0BECB34C" wp14:editId="12A73098">
            <wp:extent cx="6120130" cy="1484630"/>
            <wp:effectExtent l="19050" t="19050" r="13970"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1484630"/>
                    </a:xfrm>
                    <a:prstGeom prst="rect">
                      <a:avLst/>
                    </a:prstGeom>
                    <a:noFill/>
                    <a:ln>
                      <a:solidFill>
                        <a:sysClr val="windowText" lastClr="000000"/>
                      </a:solidFill>
                    </a:ln>
                  </pic:spPr>
                </pic:pic>
              </a:graphicData>
            </a:graphic>
          </wp:inline>
        </w:drawing>
      </w:r>
    </w:p>
    <w:p w:rsidR="001C63E0" w:rsidRPr="001C63E0" w:rsidRDefault="001C63E0" w:rsidP="001C63E0">
      <w:pPr>
        <w:spacing w:before="120"/>
        <w:jc w:val="left"/>
        <w:rPr>
          <w:rFonts w:cs="Arial"/>
          <w:sz w:val="20"/>
          <w:szCs w:val="20"/>
          <w:lang w:val="it-IT" w:eastAsia="it-IT"/>
        </w:rPr>
      </w:pPr>
      <w:r w:rsidRPr="001C63E0">
        <w:rPr>
          <w:rFonts w:cs="Arial"/>
          <w:sz w:val="20"/>
          <w:szCs w:val="20"/>
          <w:lang w:val="it-IT" w:eastAsia="it-IT"/>
        </w:rPr>
        <w:t>Nota: dati GFD e BNS con cadenza mensile per il periodo 1927-2020 relativi ai mercati azionari mondiali. Calcoli propri. È considerato un costo di gestione pari allo 0.50% annuo.</w:t>
      </w:r>
    </w:p>
    <w:p w:rsidR="001C63E0" w:rsidRPr="001C63E0" w:rsidRDefault="001C63E0" w:rsidP="001C63E0">
      <w:pPr>
        <w:spacing w:before="120"/>
        <w:rPr>
          <w:rFonts w:cs="Arial"/>
          <w:lang w:val="it-IT"/>
        </w:rPr>
      </w:pPr>
    </w:p>
    <w:p w:rsidR="001C63E0" w:rsidRPr="001C63E0" w:rsidRDefault="001C63E0" w:rsidP="001C63E0">
      <w:pPr>
        <w:spacing w:before="120"/>
        <w:rPr>
          <w:rFonts w:cs="Arial"/>
          <w:lang w:val="it-IT"/>
        </w:rPr>
      </w:pPr>
      <w:r w:rsidRPr="001C63E0">
        <w:rPr>
          <w:rFonts w:cs="Arial"/>
        </w:rPr>
        <w:t>Come si vede nell’ultima colonna, la peggiore sequenza trentennale tra il 1927 e il 2020 ha comunque reso, al netto di costi dello 0.5% annuo e dell’inflazione svizzera, il 4.85% annuo reale. Nel 99% dei casi ha reso più del 5%, nel 95% dei casi più del 6%, in tre casi su quatto hanno reso più del 7.25% e la nella metà dei casi ha reso più dell’8%. Sempre intesi quali saggi di rendimento composto su base annua al netto di costi e di inflazione.</w:t>
      </w:r>
    </w:p>
    <w:p w:rsidR="001C63E0" w:rsidRDefault="001C63E0" w:rsidP="001C63E0">
      <w:pPr>
        <w:spacing w:before="120"/>
        <w:rPr>
          <w:rFonts w:cs="Arial"/>
          <w:lang w:val="it-IT"/>
        </w:rPr>
      </w:pPr>
      <w:r w:rsidRPr="001C63E0">
        <w:rPr>
          <w:rFonts w:cs="Arial"/>
          <w:lang w:val="it-IT"/>
        </w:rPr>
        <w:t>A causa della natura esponenziale dei processi di crescita del patrimonio investito, non è intuitivo trasformare il saggio di rendimento annuo nel corrispettivo multiplo del capitale finale rispetto a quello iniziale, in particolare quando l’investimento si estende su parecchi anni o decenni. A variazioni minime del saggio di rendimento possono infatti corrispondere sensibili aumenti o diminuzioni del capitale finale. La seguente tabella esprime gli stessi risultati di quella precedente ma in termini di multiplo del capitale finale.</w:t>
      </w:r>
    </w:p>
    <w:p w:rsidR="00357DAC" w:rsidRPr="001C63E0" w:rsidRDefault="00357DAC" w:rsidP="001C63E0">
      <w:pPr>
        <w:spacing w:before="120"/>
        <w:rPr>
          <w:rFonts w:cs="Arial"/>
          <w:lang w:val="it-IT"/>
        </w:rPr>
      </w:pPr>
    </w:p>
    <w:p w:rsidR="001C63E0" w:rsidRPr="001C63E0" w:rsidRDefault="001C63E0" w:rsidP="001C63E0">
      <w:pPr>
        <w:spacing w:after="160" w:line="259" w:lineRule="auto"/>
        <w:jc w:val="left"/>
        <w:rPr>
          <w:rFonts w:cs="Arial"/>
          <w:lang w:val="it-IT"/>
        </w:rPr>
      </w:pPr>
      <w:r w:rsidRPr="001C63E0">
        <w:rPr>
          <w:rFonts w:cs="Arial"/>
          <w:lang w:val="it-IT"/>
        </w:rPr>
        <w:br w:type="page"/>
      </w:r>
    </w:p>
    <w:p w:rsidR="001C63E0" w:rsidRPr="001C63E0" w:rsidRDefault="001C63E0" w:rsidP="001C63E0">
      <w:pPr>
        <w:spacing w:before="120"/>
        <w:jc w:val="center"/>
        <w:rPr>
          <w:rFonts w:cs="Arial"/>
          <w:b/>
          <w:bCs/>
          <w:noProof/>
        </w:rPr>
      </w:pPr>
      <w:r w:rsidRPr="001C63E0">
        <w:rPr>
          <w:rFonts w:cs="Arial"/>
          <w:b/>
          <w:bCs/>
          <w:noProof/>
        </w:rPr>
        <w:lastRenderedPageBreak/>
        <w:t>Mercato azionario mondiale – Dispersione del capitale finale reale in CHF inteso come multiplo del capitale investito per una strategia di continua detenzione (</w:t>
      </w:r>
      <w:r w:rsidRPr="001C63E0">
        <w:rPr>
          <w:rFonts w:cs="Arial"/>
          <w:b/>
          <w:bCs/>
          <w:i/>
          <w:iCs/>
          <w:noProof/>
        </w:rPr>
        <w:t>buy and hold</w:t>
      </w:r>
      <w:r w:rsidRPr="001C63E0">
        <w:rPr>
          <w:rFonts w:cs="Arial"/>
          <w:b/>
          <w:bCs/>
          <w:noProof/>
        </w:rPr>
        <w:t>) a dipendenza della durata dell’investimento</w:t>
      </w:r>
    </w:p>
    <w:p w:rsidR="001C63E0" w:rsidRPr="001C63E0" w:rsidRDefault="001C63E0" w:rsidP="001C63E0">
      <w:pPr>
        <w:spacing w:before="120"/>
        <w:rPr>
          <w:rFonts w:cs="Arial"/>
        </w:rPr>
      </w:pPr>
      <w:r w:rsidRPr="001C63E0">
        <w:rPr>
          <w:rFonts w:cs="Arial"/>
          <w:noProof/>
          <w:lang w:eastAsia="it-CH"/>
        </w:rPr>
        <w:drawing>
          <wp:inline distT="0" distB="0" distL="0" distR="0" wp14:anchorId="330003B9" wp14:editId="229B9525">
            <wp:extent cx="6120130" cy="1484630"/>
            <wp:effectExtent l="19050" t="19050" r="13970"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1484630"/>
                    </a:xfrm>
                    <a:prstGeom prst="rect">
                      <a:avLst/>
                    </a:prstGeom>
                    <a:noFill/>
                    <a:ln>
                      <a:solidFill>
                        <a:sysClr val="windowText" lastClr="000000"/>
                      </a:solidFill>
                    </a:ln>
                  </pic:spPr>
                </pic:pic>
              </a:graphicData>
            </a:graphic>
          </wp:inline>
        </w:drawing>
      </w:r>
    </w:p>
    <w:p w:rsidR="001C63E0" w:rsidRPr="001C63E0" w:rsidRDefault="001C63E0" w:rsidP="001C63E0">
      <w:pPr>
        <w:spacing w:before="120"/>
        <w:jc w:val="left"/>
        <w:rPr>
          <w:rFonts w:cs="Arial"/>
          <w:sz w:val="20"/>
          <w:szCs w:val="20"/>
          <w:lang w:val="it-IT" w:eastAsia="it-IT"/>
        </w:rPr>
      </w:pPr>
      <w:r w:rsidRPr="001C63E0">
        <w:rPr>
          <w:rFonts w:cs="Arial"/>
          <w:sz w:val="20"/>
          <w:szCs w:val="20"/>
          <w:lang w:val="it-IT" w:eastAsia="it-IT"/>
        </w:rPr>
        <w:t>Nota: dati GFD e BNS con cadenza mensile per il periodo 1927-2020 relativi ai mercati azionari mondiali. Calcoli propri. È considerato un costo di gestione pari allo 0.50% annuo.</w:t>
      </w:r>
    </w:p>
    <w:p w:rsidR="001C63E0" w:rsidRPr="001C63E0" w:rsidRDefault="001C63E0" w:rsidP="001C63E0">
      <w:pPr>
        <w:spacing w:before="120"/>
        <w:rPr>
          <w:rFonts w:cs="Arial"/>
          <w:lang w:val="it-IT"/>
        </w:rPr>
      </w:pPr>
    </w:p>
    <w:p w:rsidR="001C63E0" w:rsidRPr="001C63E0" w:rsidRDefault="001C63E0" w:rsidP="001C63E0">
      <w:pPr>
        <w:spacing w:before="120"/>
        <w:rPr>
          <w:rFonts w:cs="Arial"/>
          <w:lang w:val="it-IT"/>
        </w:rPr>
      </w:pPr>
      <w:r w:rsidRPr="001C63E0">
        <w:rPr>
          <w:rFonts w:cs="Arial"/>
          <w:b/>
          <w:bCs/>
          <w:lang w:val="it-IT"/>
        </w:rPr>
        <w:t>Considerando la peggiore serie storica trentennale in assoluto vissuta tra il 1927 e il 2020, il capitale finale reale sarebbe comunque risultato oltre 4 volte la messa iniziale, e ciò al netto dell’inflazione e dei costi.</w:t>
      </w:r>
      <w:r w:rsidRPr="001C63E0">
        <w:rPr>
          <w:rFonts w:cs="Arial"/>
          <w:lang w:val="it-IT"/>
        </w:rPr>
        <w:t xml:space="preserve"> Rapportato alla proposta di risanamento dell’IPCT formulata nel presente rapporto, seppur con tutte le abituali precisazioni che i rendimenti passati non rappresentano una garanzia per quelli futuri e facendo momentaneamente astrazione dai vincoli posti dalla LPP in termini di allocazione di tutti gli attivi dell’Istituto, ciò implicherebbe che CHF 700 mio. investiti nel 2022 sui mercati azionari mondiali con un costo annuo dello 0.5% potrebbero ragionevolmente trasformarsi nel 2052 in un capitale che, inteso nel potere d’acquisto di franchi svizzeri odierni, supererebbe ampiamente i CHF 2.8 mrd. Tale peggior rendimento documentato nel set di dati storici si ispirerebbe alla serie trentennale iniziata alla fine di giugno 1928, che passò sia attraverso la Grande Depressione sia attraverso il periodo tra gli anni ’40-’50 con mercati azionari stagnanti e pronunciata inflazione.</w:t>
      </w:r>
    </w:p>
    <w:p w:rsidR="001C63E0" w:rsidRPr="001C63E0" w:rsidRDefault="001C63E0" w:rsidP="001C63E0">
      <w:pPr>
        <w:spacing w:before="120"/>
        <w:rPr>
          <w:rFonts w:cs="Arial"/>
          <w:lang w:val="it-IT"/>
        </w:rPr>
      </w:pPr>
      <w:r w:rsidRPr="001C63E0">
        <w:rPr>
          <w:rFonts w:cs="Arial"/>
          <w:lang w:val="it-IT"/>
        </w:rPr>
        <w:t>Nel 95% dei casi, il potere d’acquisto del capitale di arrivo dopo 30 anni sarebbe stato oltre 5.7 volte quello iniziale. Nove volte su dieci addirittura oltre 6.8 volte quello iniziale. Nei tre quarti dei casi oltre 8 volte quello iniziale e una volta su due addirittura oltre 10 volte quello iniziale. Per evitare false aspettative e per un pizzico di scaramanzia non commentiamo i risultati nelle migliori serie storiche, comunque esposti nella tabella.</w:t>
      </w:r>
    </w:p>
    <w:p w:rsidR="001C63E0" w:rsidRPr="001C63E0" w:rsidRDefault="001C63E0" w:rsidP="001C63E0">
      <w:pPr>
        <w:spacing w:before="120"/>
        <w:rPr>
          <w:rFonts w:cs="Arial"/>
          <w:lang w:val="it-IT"/>
        </w:rPr>
      </w:pPr>
      <w:r w:rsidRPr="001C63E0">
        <w:rPr>
          <w:rFonts w:cs="Arial"/>
          <w:lang w:val="it-IT"/>
        </w:rPr>
        <w:t>La tabella mostra inoltre come statisticamente sia possibile chiudere l’intero investimento (sempre al netto di costi dello 0.5% annuo e inflazione svizzera) con un guadagno netto dopo un anno nella metà dei casi; dopo due anni nei tre quarti dei casi; dopo 15 anni nel 95% dei casi e dopo 25 anni in tutti i casi analizzati.</w:t>
      </w:r>
    </w:p>
    <w:p w:rsidR="001C63E0" w:rsidRPr="001C63E0" w:rsidRDefault="001C63E0" w:rsidP="001C63E0">
      <w:pPr>
        <w:spacing w:before="120"/>
        <w:rPr>
          <w:rFonts w:cs="Arial"/>
          <w:lang w:val="it-IT"/>
        </w:rPr>
      </w:pPr>
      <w:r w:rsidRPr="001C63E0">
        <w:rPr>
          <w:rFonts w:cs="Arial"/>
          <w:lang w:val="it-IT"/>
        </w:rPr>
        <w:t>L'ultima visione tabellare permette pure di affrontare la problematica delle possibili perdite intercorse cammin facendo. Si osservi infatti che circa un anno su quattro chiude con una perdita. Entro un orizzonte di tre anni consecutivi, è addirittura successo in passato di perdere fino a quasi tre quarti del capitale iniziale (74% del capitale iniziale per la precisione). Trattandosi concretamente dei tre anni tra settembre 1929 ed agosto 1932, la peggior serie storica trentennale discussa in precedenza passò proprio attraverso una tale perdita. Ciononostante, tale peggior serie storica trentennale chiuse alla scadenza con un capitale che offriva ben 4.15 volte il potere d’acquisto del capitale iniziale.</w:t>
      </w:r>
    </w:p>
    <w:p w:rsidR="001C63E0" w:rsidRPr="001C63E0" w:rsidRDefault="001C63E0" w:rsidP="001C63E0">
      <w:pPr>
        <w:spacing w:before="120"/>
        <w:rPr>
          <w:rFonts w:cs="Arial"/>
          <w:lang w:val="it-IT"/>
        </w:rPr>
      </w:pPr>
      <w:r w:rsidRPr="001C63E0">
        <w:rPr>
          <w:rFonts w:cs="Arial"/>
          <w:lang w:val="it-IT"/>
        </w:rPr>
        <w:t xml:space="preserve">La figura all’inizio della presente sottosezione mostra bene come più volte i mercati azionari mondiali siano stati in perdita per vari anni consecutivi. La perdita massima qui oggetto di discussione non si riferisce al rischio di terminare il proprio investimento in perdita – cosa che non è mai accaduta con orizzonti temporali superiori ai 25 anni – bensì al cosiddetto </w:t>
      </w:r>
      <w:r w:rsidRPr="001C63E0">
        <w:rPr>
          <w:rFonts w:cs="Arial"/>
          <w:i/>
          <w:iCs/>
          <w:lang w:val="it-IT"/>
        </w:rPr>
        <w:lastRenderedPageBreak/>
        <w:t>maximum drawdown</w:t>
      </w:r>
      <w:r w:rsidRPr="001C63E0">
        <w:rPr>
          <w:rFonts w:cs="Arial"/>
          <w:lang w:val="it-IT"/>
        </w:rPr>
        <w:t xml:space="preserve">, ossia la massima caduta percentuale dal picco al fondo valle avvenuta in corso d’opera, per quanto il capitale abbia poi ripreso a crescere concludendo con un guadagno netto. La seguente tabella riassume pertanto la dispersione dei </w:t>
      </w:r>
      <w:r w:rsidRPr="001C63E0">
        <w:rPr>
          <w:rFonts w:cs="Arial"/>
          <w:i/>
          <w:iCs/>
          <w:lang w:val="it-IT"/>
        </w:rPr>
        <w:t>maximum drawdown</w:t>
      </w:r>
      <w:r w:rsidRPr="001C63E0">
        <w:rPr>
          <w:rFonts w:cs="Arial"/>
          <w:lang w:val="it-IT"/>
        </w:rPr>
        <w:t xml:space="preserve"> a seconda della durata dell’investimento, sempre sulla base degli stessi dati passati finora analizzati.</w:t>
      </w:r>
    </w:p>
    <w:p w:rsidR="001C63E0" w:rsidRPr="001C63E0" w:rsidRDefault="001C63E0" w:rsidP="001C63E0">
      <w:pPr>
        <w:spacing w:before="120"/>
        <w:rPr>
          <w:rFonts w:cs="Arial"/>
          <w:lang w:val="it-IT"/>
        </w:rPr>
      </w:pPr>
    </w:p>
    <w:p w:rsidR="001C63E0" w:rsidRPr="001C63E0" w:rsidRDefault="001C63E0" w:rsidP="001C63E0">
      <w:pPr>
        <w:spacing w:before="120"/>
        <w:jc w:val="center"/>
        <w:rPr>
          <w:rFonts w:cs="Arial"/>
          <w:b/>
          <w:bCs/>
          <w:noProof/>
        </w:rPr>
      </w:pPr>
      <w:r w:rsidRPr="001C63E0">
        <w:rPr>
          <w:rFonts w:cs="Arial"/>
          <w:b/>
          <w:bCs/>
          <w:noProof/>
        </w:rPr>
        <w:t>Mercato azionario mondiale – Dispersione della perdita massima (</w:t>
      </w:r>
      <w:r w:rsidRPr="001C63E0">
        <w:rPr>
          <w:rFonts w:cs="Arial"/>
          <w:b/>
          <w:bCs/>
          <w:i/>
          <w:iCs/>
          <w:noProof/>
        </w:rPr>
        <w:t>maximum drawdown</w:t>
      </w:r>
      <w:r w:rsidRPr="001C63E0">
        <w:rPr>
          <w:rFonts w:cs="Arial"/>
          <w:b/>
          <w:bCs/>
          <w:noProof/>
        </w:rPr>
        <w:t>) reale in CHF sostenuta da strategia di continua detenzione (</w:t>
      </w:r>
      <w:r w:rsidRPr="001C63E0">
        <w:rPr>
          <w:rFonts w:cs="Arial"/>
          <w:b/>
          <w:bCs/>
          <w:i/>
          <w:iCs/>
          <w:noProof/>
        </w:rPr>
        <w:t>buy and hold</w:t>
      </w:r>
      <w:r w:rsidRPr="001C63E0">
        <w:rPr>
          <w:rFonts w:cs="Arial"/>
          <w:b/>
          <w:bCs/>
          <w:noProof/>
        </w:rPr>
        <w:t>) a dipendenza della durata dell’investimento</w:t>
      </w:r>
    </w:p>
    <w:p w:rsidR="001C63E0" w:rsidRPr="001C63E0" w:rsidRDefault="001C63E0" w:rsidP="001C63E0">
      <w:pPr>
        <w:spacing w:before="120"/>
        <w:rPr>
          <w:rFonts w:cs="Arial"/>
        </w:rPr>
      </w:pPr>
      <w:r w:rsidRPr="001C63E0">
        <w:rPr>
          <w:rFonts w:cs="Arial"/>
          <w:noProof/>
          <w:lang w:eastAsia="it-CH"/>
        </w:rPr>
        <w:drawing>
          <wp:inline distT="0" distB="0" distL="0" distR="0" wp14:anchorId="45B5641D" wp14:editId="5ACE84CD">
            <wp:extent cx="6120130" cy="1484630"/>
            <wp:effectExtent l="19050" t="19050" r="13970"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1484630"/>
                    </a:xfrm>
                    <a:prstGeom prst="rect">
                      <a:avLst/>
                    </a:prstGeom>
                    <a:noFill/>
                    <a:ln>
                      <a:solidFill>
                        <a:sysClr val="windowText" lastClr="000000"/>
                      </a:solidFill>
                    </a:ln>
                  </pic:spPr>
                </pic:pic>
              </a:graphicData>
            </a:graphic>
          </wp:inline>
        </w:drawing>
      </w:r>
    </w:p>
    <w:p w:rsidR="001C63E0" w:rsidRPr="001C63E0" w:rsidRDefault="001C63E0" w:rsidP="001C63E0">
      <w:pPr>
        <w:spacing w:before="120"/>
        <w:jc w:val="left"/>
        <w:rPr>
          <w:rFonts w:cs="Arial"/>
          <w:sz w:val="20"/>
          <w:szCs w:val="20"/>
          <w:lang w:val="it-IT" w:eastAsia="it-IT"/>
        </w:rPr>
      </w:pPr>
      <w:r w:rsidRPr="001C63E0">
        <w:rPr>
          <w:rFonts w:cs="Arial"/>
          <w:sz w:val="20"/>
          <w:szCs w:val="20"/>
          <w:lang w:val="it-IT" w:eastAsia="it-IT"/>
        </w:rPr>
        <w:t>Nota: dati GFD e BNS con cadenza mensile per il periodo 1927-2020 relativi ai mercati azionari mondiali. Calcoli propri. È considerato un costo di gestione pari allo 0.50% annuo.</w:t>
      </w:r>
    </w:p>
    <w:p w:rsidR="001C63E0" w:rsidRPr="001C63E0" w:rsidRDefault="001C63E0" w:rsidP="001C63E0">
      <w:pPr>
        <w:spacing w:before="120"/>
        <w:rPr>
          <w:rFonts w:cs="Arial"/>
          <w:lang w:val="it-IT"/>
        </w:rPr>
      </w:pPr>
    </w:p>
    <w:p w:rsidR="001C63E0" w:rsidRPr="001C63E0" w:rsidRDefault="001C63E0" w:rsidP="001C63E0">
      <w:pPr>
        <w:spacing w:before="120"/>
        <w:rPr>
          <w:rFonts w:cs="Arial"/>
          <w:lang w:val="it-IT"/>
        </w:rPr>
      </w:pPr>
      <w:r w:rsidRPr="001C63E0">
        <w:rPr>
          <w:rFonts w:cs="Arial"/>
          <w:lang w:val="it-IT"/>
        </w:rPr>
        <w:t xml:space="preserve">In conclusione, sulla base di 94 anni di dati storici relativi al mercato azionario mondiale dal 1927 al 2020 compresi si può affermare che una strategia di investimento consistente nell’acquisto immediato ed ininterrotta durata trentennale (cosiddetto </w:t>
      </w:r>
      <w:r w:rsidRPr="001C63E0">
        <w:rPr>
          <w:rFonts w:cs="Arial"/>
          <w:i/>
          <w:iCs/>
          <w:lang w:val="it-IT"/>
        </w:rPr>
        <w:t>buy and hold</w:t>
      </w:r>
      <w:r w:rsidRPr="001C63E0">
        <w:rPr>
          <w:rFonts w:cs="Arial"/>
          <w:lang w:val="it-IT"/>
        </w:rPr>
        <w:t>), senza nessun acquisto né vendita e continuo reinvestimento dei guadagni (in particolare dei dividendi),</w:t>
      </w:r>
    </w:p>
    <w:p w:rsidR="001C63E0" w:rsidRPr="001C63E0" w:rsidRDefault="001C63E0" w:rsidP="001C63E0">
      <w:pPr>
        <w:numPr>
          <w:ilvl w:val="0"/>
          <w:numId w:val="12"/>
        </w:numPr>
        <w:spacing w:before="120"/>
        <w:jc w:val="left"/>
        <w:rPr>
          <w:rFonts w:cs="Arial"/>
          <w:lang w:val="it-IT"/>
        </w:rPr>
      </w:pPr>
      <w:r w:rsidRPr="001C63E0">
        <w:rPr>
          <w:rFonts w:cs="Arial"/>
          <w:lang w:val="it-IT"/>
        </w:rPr>
        <w:t>moltiplica per almeno quattro volte il capitale iniziale, al netto dell’inflazione svizzera e considerati costi annui dello 0.5%;</w:t>
      </w:r>
    </w:p>
    <w:p w:rsidR="001C63E0" w:rsidRPr="001C63E0" w:rsidRDefault="001C63E0" w:rsidP="001C63E0">
      <w:pPr>
        <w:numPr>
          <w:ilvl w:val="0"/>
          <w:numId w:val="12"/>
        </w:numPr>
        <w:spacing w:before="120"/>
        <w:jc w:val="left"/>
        <w:rPr>
          <w:rFonts w:cs="Arial"/>
          <w:lang w:val="it-IT"/>
        </w:rPr>
      </w:pPr>
      <w:r w:rsidRPr="001C63E0">
        <w:rPr>
          <w:rFonts w:cs="Arial"/>
          <w:lang w:val="it-IT"/>
        </w:rPr>
        <w:t>in corso d’opera perde mediamente almeno la metà del capitale accumulato fino a poco prima della perdita, e nel 5% dei casi perde addirittura quasi tre quarti del capitale, seppur concludendo il ciclo trentennale con notevoli guadagni.</w:t>
      </w:r>
    </w:p>
    <w:p w:rsidR="001C63E0" w:rsidRDefault="001C63E0" w:rsidP="00357DAC">
      <w:pPr>
        <w:rPr>
          <w:rFonts w:cs="Arial"/>
        </w:rPr>
      </w:pPr>
    </w:p>
    <w:p w:rsidR="00357DAC" w:rsidRPr="001C63E0" w:rsidRDefault="00357DAC" w:rsidP="00357DAC">
      <w:pPr>
        <w:rPr>
          <w:rFonts w:cs="Arial"/>
        </w:rPr>
      </w:pPr>
    </w:p>
    <w:p w:rsidR="001C63E0" w:rsidRPr="001C63E0" w:rsidRDefault="001C63E0" w:rsidP="00357DAC">
      <w:pPr>
        <w:keepNext/>
        <w:tabs>
          <w:tab w:val="left" w:pos="709"/>
        </w:tabs>
        <w:ind w:left="360" w:hanging="360"/>
        <w:outlineLvl w:val="1"/>
        <w:rPr>
          <w:rFonts w:cs="Arial"/>
          <w:b/>
          <w:lang w:val="it-IT" w:eastAsia="it-IT"/>
        </w:rPr>
      </w:pPr>
      <w:bookmarkStart w:id="81" w:name="_Toc98976138"/>
      <w:r w:rsidRPr="001C63E0">
        <w:rPr>
          <w:rFonts w:cs="Arial"/>
          <w:b/>
          <w:lang w:val="it-IT" w:eastAsia="it-IT"/>
        </w:rPr>
        <w:t>A.2</w:t>
      </w:r>
      <w:r w:rsidRPr="001C63E0">
        <w:rPr>
          <w:rFonts w:cs="Arial"/>
          <w:b/>
          <w:lang w:val="it-IT" w:eastAsia="it-IT"/>
        </w:rPr>
        <w:tab/>
        <w:t>Possibili approcci di contenimento delle perdite massime (</w:t>
      </w:r>
      <w:r w:rsidRPr="001C63E0">
        <w:rPr>
          <w:rFonts w:cs="Arial"/>
          <w:b/>
          <w:i/>
          <w:iCs/>
          <w:lang w:val="it-IT" w:eastAsia="it-IT"/>
        </w:rPr>
        <w:t>drawdown</w:t>
      </w:r>
      <w:r w:rsidRPr="001C63E0">
        <w:rPr>
          <w:rFonts w:cs="Arial"/>
          <w:b/>
          <w:lang w:val="it-IT" w:eastAsia="it-IT"/>
        </w:rPr>
        <w:t>)</w:t>
      </w:r>
      <w:bookmarkEnd w:id="81"/>
    </w:p>
    <w:p w:rsidR="001C63E0" w:rsidRPr="001C63E0" w:rsidRDefault="001C63E0" w:rsidP="001C63E0">
      <w:pPr>
        <w:spacing w:before="120"/>
        <w:rPr>
          <w:rFonts w:cs="Arial"/>
        </w:rPr>
      </w:pPr>
      <w:r w:rsidRPr="001C63E0">
        <w:rPr>
          <w:rFonts w:cs="Arial"/>
        </w:rPr>
        <w:t xml:space="preserve">Considerati i vincoli ai quali è sottoposto l’IPCT in termini di tolleranza di riduzione momentanea del grado di copertura, si pone la questione se e come sia possibile ridurre il </w:t>
      </w:r>
      <w:r w:rsidRPr="001C63E0">
        <w:rPr>
          <w:rFonts w:cs="Arial"/>
          <w:i/>
          <w:iCs/>
        </w:rPr>
        <w:t>maximum drawdown</w:t>
      </w:r>
      <w:r w:rsidRPr="001C63E0">
        <w:rPr>
          <w:rFonts w:cs="Arial"/>
        </w:rPr>
        <w:t xml:space="preserve"> seppur mantenendo un investimento prevalentemente o esclusivamente esposto nei mercati finanziari azionari. La presente sottosezione offre sommariamente alcuni spunti di riflessione che i responsabili delle strategie di investimento dell’IPCT potranno cogliere ed ulteriormente elaborare. Lo scopo non consiste pertanto nella fine identificazione di una precisa strategia di investimento, cosa soggetta a molti criteri di valutazione e che va al di là delle competenze di una commissione e di un parlamento, bensì nel mostrare come semplici approcci algoritmici possano ridurre radicalmente le perdite massime senza per questo andare a costo della redditività a lungo termine. Il genere di approccio quantitativo qui analizzato prende nella letteratura e nell’industria finanziaria vari nomi, quali l’allocazione tattica degli attivi (</w:t>
      </w:r>
      <w:r w:rsidRPr="001C63E0">
        <w:rPr>
          <w:rFonts w:cs="Arial"/>
          <w:i/>
          <w:iCs/>
        </w:rPr>
        <w:t>tactical asset allocation</w:t>
      </w:r>
      <w:r w:rsidRPr="001C63E0">
        <w:rPr>
          <w:rFonts w:cs="Arial"/>
        </w:rPr>
        <w:t>) oppure strategie basate su regole (</w:t>
      </w:r>
      <w:r w:rsidRPr="001C63E0">
        <w:rPr>
          <w:rFonts w:cs="Arial"/>
          <w:i/>
          <w:iCs/>
        </w:rPr>
        <w:t>rule-based strategies</w:t>
      </w:r>
      <w:r w:rsidRPr="001C63E0">
        <w:rPr>
          <w:rFonts w:cs="Arial"/>
        </w:rPr>
        <w:t xml:space="preserve">). Esso non è pertanto né passivo (ossia semplice investimento nell’indice borsistico – mondiale nel presente caso – come mostrato nella sottosezione precedente) né attivo (ossia basato sul tentativo da parte di gestori finanziari </w:t>
      </w:r>
      <w:r w:rsidRPr="001C63E0">
        <w:rPr>
          <w:rFonts w:cs="Arial"/>
        </w:rPr>
        <w:lastRenderedPageBreak/>
        <w:t xml:space="preserve">di posizionarsi nelle classi di titoli che dovrebbero crescere in modo sovraproporzionale ed evitare quelle che dovrebbero subire delle perdite). Affidarsi unicamente a precise regole algoritmiche di gestione del portafoglio offre vari privilegi, quali l’economicità dell’implementazione, la totale astrazione da aspetti soggettivi ed emotivi del gestore, ed in particolare la possibilità di verificare come si sarebbe comportata la strategia nel passato (cosiddetto </w:t>
      </w:r>
      <w:r w:rsidRPr="001C63E0">
        <w:rPr>
          <w:rFonts w:cs="Arial"/>
          <w:i/>
          <w:iCs/>
        </w:rPr>
        <w:t>backtesting</w:t>
      </w:r>
      <w:r w:rsidRPr="001C63E0">
        <w:rPr>
          <w:rFonts w:cs="Arial"/>
        </w:rPr>
        <w:t>), essendo questa perfettamente replicabile.</w:t>
      </w:r>
    </w:p>
    <w:p w:rsidR="001C63E0" w:rsidRPr="001C63E0" w:rsidRDefault="001C63E0" w:rsidP="001C63E0">
      <w:pPr>
        <w:spacing w:before="120"/>
        <w:rPr>
          <w:rFonts w:cs="Arial"/>
        </w:rPr>
      </w:pPr>
      <w:r w:rsidRPr="001C63E0">
        <w:rPr>
          <w:rFonts w:cs="Arial"/>
        </w:rPr>
        <w:t>Osservando come si è visto in precedenza che i mercati finanziari conoscono fasi abbastanza lunghe di natura rialziasta e altre di natura ribassista, vari autori e professionisti sostengono l’idea di investire sulla base dei trend borsistici di lungo corso. In altre parole, anziché restare esposti alle oscillazioni di mercato per 30 anni consecutivi, il quesito è se sia meccanicamente possibile restare liquidi durante i prolungati periodi di continua discesa dei listini e invece ordinariamente investiti nei momenti di crescita. Non si tratta di negoziare giornalmente o a corto termine il portafoglio, bensì di evitare i lunghi trend al ribasso che possono estendersi per più mesi se non per più anni.</w:t>
      </w:r>
    </w:p>
    <w:p w:rsidR="001C63E0" w:rsidRPr="001C63E0" w:rsidRDefault="001C63E0" w:rsidP="001C63E0">
      <w:pPr>
        <w:spacing w:before="120"/>
        <w:rPr>
          <w:rFonts w:cs="Arial"/>
        </w:rPr>
      </w:pPr>
      <w:r w:rsidRPr="001C63E0">
        <w:rPr>
          <w:rFonts w:cs="Arial"/>
        </w:rPr>
        <w:t xml:space="preserve">Il cosiddetto </w:t>
      </w:r>
      <w:r w:rsidRPr="001C63E0">
        <w:rPr>
          <w:rFonts w:cs="Arial"/>
          <w:i/>
          <w:iCs/>
        </w:rPr>
        <w:t xml:space="preserve">trend following </w:t>
      </w:r>
      <w:r w:rsidRPr="001C63E0">
        <w:rPr>
          <w:rFonts w:cs="Arial"/>
        </w:rPr>
        <w:t xml:space="preserve">è una delle più consolidate strategie, nota perlomeno dai lavori di Charles Henry Dow nel Primo Novecento (l’inventore del noto indice Dow Jones). La misura di trend di lungo corso forse più citata nella letteratura finanziaria e utilizzata nella pratica è la media mobile semplice degli ultimi 200 giorni negoziati – </w:t>
      </w:r>
      <w:r w:rsidRPr="001C63E0">
        <w:rPr>
          <w:rFonts w:cs="Arial"/>
          <w:i/>
          <w:iCs/>
        </w:rPr>
        <w:t>200-day simple moving average</w:t>
      </w:r>
      <w:r w:rsidRPr="001C63E0">
        <w:rPr>
          <w:rFonts w:cs="Arial"/>
        </w:rPr>
        <w:t>, SMA(200d).</w:t>
      </w:r>
      <w:r w:rsidRPr="001C63E0">
        <w:rPr>
          <w:rFonts w:cs="Arial"/>
          <w:vertAlign w:val="superscript"/>
        </w:rPr>
        <w:footnoteReference w:id="101"/>
      </w:r>
      <w:r w:rsidRPr="001C63E0">
        <w:rPr>
          <w:rFonts w:cs="Arial"/>
        </w:rPr>
        <w:t xml:space="preserve"> In un suo libro del 1935</w:t>
      </w:r>
      <w:r w:rsidRPr="001C63E0">
        <w:rPr>
          <w:rFonts w:cs="Arial"/>
          <w:vertAlign w:val="superscript"/>
        </w:rPr>
        <w:footnoteReference w:id="102"/>
      </w:r>
      <w:r w:rsidRPr="001C63E0">
        <w:rPr>
          <w:rFonts w:cs="Arial"/>
        </w:rPr>
        <w:t>, Harold M. Gartley documentò per primo in modo compiuto l’uso di tale indicatore statistico. William Gordon pubblicò oltre 50 anni orsono uno studio</w:t>
      </w:r>
      <w:r w:rsidRPr="001C63E0">
        <w:rPr>
          <w:rFonts w:cs="Arial"/>
          <w:vertAlign w:val="superscript"/>
        </w:rPr>
        <w:footnoteReference w:id="103"/>
      </w:r>
      <w:r w:rsidRPr="001C63E0">
        <w:rPr>
          <w:rFonts w:cs="Arial"/>
        </w:rPr>
        <w:t xml:space="preserve"> a sostegno della tecnica, effettuato sulla base di dati statunitensi dal 1897 al 1967. Nel 1992, un noto articolo accademico di William Brock, Josef Lakonishok e Blake LeBaron</w:t>
      </w:r>
      <w:r w:rsidRPr="001C63E0">
        <w:rPr>
          <w:rFonts w:cs="Arial"/>
          <w:vertAlign w:val="superscript"/>
        </w:rPr>
        <w:footnoteReference w:id="104"/>
      </w:r>
      <w:r w:rsidRPr="001C63E0">
        <w:rPr>
          <w:rFonts w:cs="Arial"/>
        </w:rPr>
        <w:t xml:space="preserve"> comprovò l’efficacia del metodo sulla base di dati statunitensi dal 1897 al 1986, in contraddizione con le aspettative della teoria dominante. Nella sua nota guida agli investimenti azionari a lungo termine, Jeremy Siegel</w:t>
      </w:r>
      <w:r w:rsidRPr="001C63E0">
        <w:rPr>
          <w:rFonts w:cs="Arial"/>
          <w:vertAlign w:val="superscript"/>
        </w:rPr>
        <w:footnoteReference w:id="105"/>
      </w:r>
      <w:r w:rsidRPr="001C63E0">
        <w:rPr>
          <w:rFonts w:cs="Arial"/>
        </w:rPr>
        <w:t xml:space="preserve"> presenta come l’uso di una media mobile a 200 giorni – SMA(200d) – per gestire l’esposizione sull’indice Dow Jones Industrial Average (DJIA) tra il 1886 e il 2006 sia stato in grado di migliorare il rapporto tra i rendimenti e le perdite massime, in particolare tagliando le seconde.</w:t>
      </w:r>
    </w:p>
    <w:p w:rsidR="001C63E0" w:rsidRPr="001C63E0" w:rsidRDefault="001C63E0" w:rsidP="001C63E0">
      <w:pPr>
        <w:spacing w:before="120"/>
        <w:rPr>
          <w:rFonts w:cs="Arial"/>
        </w:rPr>
      </w:pPr>
      <w:r w:rsidRPr="001C63E0">
        <w:rPr>
          <w:rFonts w:cs="Arial"/>
        </w:rPr>
        <w:t>Con dati mensili, 200 giorni di negoziazione equivalgono sostanzialmente a 10 mesi. Le tabelle che seguono offrono pertanto le analisi di una strategia quantitativa molto semplice che, a cadenza mensile, resta investita nell’indice di borsa mondiale – oggigiorno l’MSCI World Index – fintanto che il suo valore supera il valore medio dei dieci mesi precedenti e in caso contrario tiene l’intero patrimonio in forma liquida per un mese.</w:t>
      </w:r>
    </w:p>
    <w:p w:rsidR="001C63E0" w:rsidRPr="001C63E0" w:rsidRDefault="001C63E0" w:rsidP="001C63E0">
      <w:pPr>
        <w:spacing w:before="120"/>
        <w:rPr>
          <w:rFonts w:cs="Arial"/>
        </w:rPr>
      </w:pPr>
      <w:r w:rsidRPr="001C63E0">
        <w:rPr>
          <w:rFonts w:cs="Arial"/>
        </w:rPr>
        <w:t>La seguente tabella riassume, sulla base del già noto set di dati, la dispersione dei rendimenti annui in franchi svizzeri al netto dei costi e dell’inflazione in applicazione della suddetta strategia SMA(10m) basata sulla media mobile semplice a 10 mesi. Rispetto all’analoga tabella della precedente sottosezione, relativa ad una strategia di detenzione ininterrotta (</w:t>
      </w:r>
      <w:r w:rsidRPr="001C63E0">
        <w:rPr>
          <w:rFonts w:cs="Arial"/>
          <w:i/>
          <w:iCs/>
        </w:rPr>
        <w:t>buy and hold</w:t>
      </w:r>
      <w:r w:rsidRPr="001C63E0">
        <w:rPr>
          <w:rFonts w:cs="Arial"/>
        </w:rPr>
        <w:t>), si nota un leggero deterioramento dei rendimenti trentennali.</w:t>
      </w:r>
    </w:p>
    <w:p w:rsidR="001C63E0" w:rsidRPr="001C63E0" w:rsidRDefault="001C63E0" w:rsidP="001C63E0">
      <w:pPr>
        <w:spacing w:before="120"/>
        <w:jc w:val="center"/>
        <w:rPr>
          <w:rFonts w:cs="Arial"/>
          <w:b/>
          <w:bCs/>
          <w:noProof/>
        </w:rPr>
      </w:pPr>
      <w:r w:rsidRPr="001C63E0">
        <w:rPr>
          <w:rFonts w:cs="Arial"/>
          <w:b/>
          <w:bCs/>
          <w:noProof/>
        </w:rPr>
        <w:lastRenderedPageBreak/>
        <w:t>Mercato azionario mondiale – Dispersione del saggio di rendimento reale in CHF per una strategia di allocazione tattica sulla base della media mobile a 10 mesi (</w:t>
      </w:r>
      <w:r w:rsidRPr="001C63E0">
        <w:rPr>
          <w:rFonts w:cs="Arial"/>
          <w:b/>
          <w:bCs/>
          <w:i/>
          <w:iCs/>
          <w:noProof/>
        </w:rPr>
        <w:t>SMA 10m</w:t>
      </w:r>
      <w:r w:rsidRPr="001C63E0">
        <w:rPr>
          <w:rFonts w:cs="Arial"/>
          <w:b/>
          <w:bCs/>
          <w:noProof/>
        </w:rPr>
        <w:t>) a dipendenza della durata dell’investimento</w:t>
      </w:r>
    </w:p>
    <w:p w:rsidR="001C63E0" w:rsidRPr="001C63E0" w:rsidRDefault="001C63E0" w:rsidP="001C63E0">
      <w:pPr>
        <w:spacing w:before="120"/>
        <w:rPr>
          <w:rFonts w:cs="Arial"/>
        </w:rPr>
      </w:pPr>
      <w:r w:rsidRPr="001C63E0">
        <w:rPr>
          <w:rFonts w:cs="Arial"/>
          <w:noProof/>
          <w:lang w:eastAsia="it-CH"/>
        </w:rPr>
        <w:drawing>
          <wp:inline distT="0" distB="0" distL="0" distR="0" wp14:anchorId="3FC98543" wp14:editId="310A3E8C">
            <wp:extent cx="6120130" cy="1484630"/>
            <wp:effectExtent l="19050" t="19050" r="13970" b="203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1484630"/>
                    </a:xfrm>
                    <a:prstGeom prst="rect">
                      <a:avLst/>
                    </a:prstGeom>
                    <a:noFill/>
                    <a:ln>
                      <a:solidFill>
                        <a:sysClr val="windowText" lastClr="000000"/>
                      </a:solidFill>
                    </a:ln>
                  </pic:spPr>
                </pic:pic>
              </a:graphicData>
            </a:graphic>
          </wp:inline>
        </w:drawing>
      </w:r>
    </w:p>
    <w:p w:rsidR="001C63E0" w:rsidRPr="001C63E0" w:rsidRDefault="001C63E0" w:rsidP="001C63E0">
      <w:pPr>
        <w:spacing w:before="120"/>
        <w:jc w:val="left"/>
        <w:rPr>
          <w:rFonts w:cs="Arial"/>
          <w:sz w:val="20"/>
          <w:szCs w:val="20"/>
          <w:lang w:val="it-IT" w:eastAsia="it-IT"/>
        </w:rPr>
      </w:pPr>
      <w:r w:rsidRPr="001C63E0">
        <w:rPr>
          <w:rFonts w:cs="Arial"/>
          <w:sz w:val="20"/>
          <w:szCs w:val="20"/>
          <w:lang w:val="it-IT" w:eastAsia="it-IT"/>
        </w:rPr>
        <w:t>Nota: dati GFD e BNS con cadenza mensile per il periodo 1927-2020 relativi ai mercati azionari mondiali. Calcoli propri. Con valutazione ripetuta ogni mese, la strategia SMA(10m) investe nell’indice delle azioni mondiali se superiore alla media degli ultimi 10 valori mensili e resta liquida altrimenti. È considerato un costo di gestione pari allo 0.50% annuo.</w:t>
      </w:r>
    </w:p>
    <w:p w:rsidR="001C63E0" w:rsidRPr="001C63E0" w:rsidRDefault="001C63E0" w:rsidP="001C63E0">
      <w:pPr>
        <w:spacing w:before="120"/>
        <w:rPr>
          <w:rFonts w:cs="Arial"/>
          <w:lang w:val="it-IT"/>
        </w:rPr>
      </w:pPr>
    </w:p>
    <w:p w:rsidR="001C63E0" w:rsidRPr="001C63E0" w:rsidRDefault="001C63E0" w:rsidP="00357DAC">
      <w:pPr>
        <w:rPr>
          <w:rFonts w:cs="Arial"/>
          <w:lang w:val="it-IT"/>
        </w:rPr>
      </w:pPr>
      <w:r w:rsidRPr="001C63E0">
        <w:rPr>
          <w:rFonts w:cs="Arial"/>
          <w:lang w:val="it-IT"/>
        </w:rPr>
        <w:t>La tabella dei multipli di capitale reale tra inizio e fine dell’investimento, esposta sotto, mette tuttavia meglio in evidenza la capacità della strategia di chiudere in guadagno (al netto di costi ed inflazione, pertanto inteso come incremento del potere d’acquisto) entro un orizzonte temporale di 15 anni, allorquando ne servivano circa 25 per chiudere in guadagno con la semplice ed ininterrotta detenzione delle azioni.</w:t>
      </w:r>
    </w:p>
    <w:p w:rsidR="001C63E0" w:rsidRPr="001C63E0" w:rsidRDefault="001C63E0" w:rsidP="001C63E0">
      <w:pPr>
        <w:spacing w:before="120"/>
        <w:rPr>
          <w:rFonts w:cs="Arial"/>
          <w:lang w:val="it-IT"/>
        </w:rPr>
      </w:pPr>
    </w:p>
    <w:p w:rsidR="001C63E0" w:rsidRPr="001C63E0" w:rsidRDefault="001C63E0" w:rsidP="001C63E0">
      <w:pPr>
        <w:spacing w:before="120"/>
        <w:jc w:val="center"/>
        <w:rPr>
          <w:rFonts w:cs="Arial"/>
          <w:b/>
          <w:bCs/>
          <w:noProof/>
        </w:rPr>
      </w:pPr>
      <w:r w:rsidRPr="001C63E0">
        <w:rPr>
          <w:rFonts w:cs="Arial"/>
          <w:b/>
          <w:bCs/>
          <w:noProof/>
        </w:rPr>
        <w:t>Mercato azionario mondiale – Dispersione del capitale finale reale in CHF inteso come multiplo del capitale investito per una strategia di allocazione tattica sulla base della media mobile a 10 mesi (</w:t>
      </w:r>
      <w:r w:rsidRPr="001C63E0">
        <w:rPr>
          <w:rFonts w:cs="Arial"/>
          <w:b/>
          <w:bCs/>
          <w:i/>
          <w:iCs/>
          <w:noProof/>
        </w:rPr>
        <w:t>SMA 10m</w:t>
      </w:r>
      <w:r w:rsidRPr="001C63E0">
        <w:rPr>
          <w:rFonts w:cs="Arial"/>
          <w:b/>
          <w:bCs/>
          <w:noProof/>
        </w:rPr>
        <w:t>) a dipendenza della durata dell’investimento</w:t>
      </w:r>
    </w:p>
    <w:p w:rsidR="001C63E0" w:rsidRPr="001C63E0" w:rsidRDefault="001C63E0" w:rsidP="001C63E0">
      <w:pPr>
        <w:spacing w:before="120"/>
        <w:rPr>
          <w:rFonts w:cs="Arial"/>
        </w:rPr>
      </w:pPr>
      <w:r w:rsidRPr="001C63E0">
        <w:rPr>
          <w:rFonts w:cs="Arial"/>
          <w:noProof/>
          <w:lang w:eastAsia="it-CH"/>
        </w:rPr>
        <w:drawing>
          <wp:inline distT="0" distB="0" distL="0" distR="0" wp14:anchorId="710E4737" wp14:editId="4BCEF853">
            <wp:extent cx="6120130" cy="1484630"/>
            <wp:effectExtent l="19050" t="19050" r="13970" b="203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1484630"/>
                    </a:xfrm>
                    <a:prstGeom prst="rect">
                      <a:avLst/>
                    </a:prstGeom>
                    <a:noFill/>
                    <a:ln>
                      <a:solidFill>
                        <a:sysClr val="windowText" lastClr="000000"/>
                      </a:solidFill>
                    </a:ln>
                  </pic:spPr>
                </pic:pic>
              </a:graphicData>
            </a:graphic>
          </wp:inline>
        </w:drawing>
      </w:r>
    </w:p>
    <w:p w:rsidR="001C63E0" w:rsidRPr="001C63E0" w:rsidRDefault="001C63E0" w:rsidP="001C63E0">
      <w:pPr>
        <w:spacing w:before="120"/>
        <w:jc w:val="left"/>
        <w:rPr>
          <w:rFonts w:cs="Arial"/>
          <w:sz w:val="20"/>
          <w:szCs w:val="20"/>
          <w:lang w:val="it-IT" w:eastAsia="it-IT"/>
        </w:rPr>
      </w:pPr>
      <w:r w:rsidRPr="001C63E0">
        <w:rPr>
          <w:rFonts w:cs="Arial"/>
          <w:sz w:val="20"/>
          <w:szCs w:val="20"/>
          <w:lang w:val="it-IT" w:eastAsia="it-IT"/>
        </w:rPr>
        <w:t>Nota: dati GFD e BNS con cadenza mensile per il periodo 1927-2020 relativi ai mercati azionari mondiali. Calcoli propri. Con valutazione ripetuta ogni mese, la strategia SMA(10m) investe nell’indice delle azioni mondiali se superiore alla media degli ultimi 10 valori mensili e resta liquida altrimenti. È considerato un costo di gestione pari allo 0.50% annuo.</w:t>
      </w:r>
    </w:p>
    <w:p w:rsidR="001C63E0" w:rsidRPr="001C63E0" w:rsidRDefault="001C63E0" w:rsidP="001C63E0">
      <w:pPr>
        <w:spacing w:before="120"/>
        <w:rPr>
          <w:rFonts w:cs="Arial"/>
          <w:lang w:val="it-IT"/>
        </w:rPr>
      </w:pPr>
    </w:p>
    <w:p w:rsidR="001C63E0" w:rsidRPr="001C63E0" w:rsidRDefault="001C63E0" w:rsidP="00357DAC">
      <w:pPr>
        <w:rPr>
          <w:rFonts w:cs="Arial"/>
          <w:lang w:val="it-IT"/>
        </w:rPr>
      </w:pPr>
      <w:r w:rsidRPr="001C63E0">
        <w:rPr>
          <w:rFonts w:cs="Arial"/>
          <w:lang w:val="it-IT"/>
        </w:rPr>
        <w:t xml:space="preserve">La tabella dei multipli presenta inoltre un altro e ben più interessante messaggio, relativo all’andamento del capitale investito a corto termine: anziché arrivare a perdere fino al 74% entro tre anni, questa semplice strategia dinamica algoritmica è capace di limitare la perdita massima del capitale (sempre inteso come potere d’acquisto, al netto di costi e inflazione) al solo 35% in un lasso di 5 anni. Non dovrebbe pertanto stupire il netto miglioramento in termini di </w:t>
      </w:r>
      <w:r w:rsidRPr="001C63E0">
        <w:rPr>
          <w:rFonts w:cs="Arial"/>
          <w:i/>
          <w:iCs/>
          <w:lang w:val="it-IT"/>
        </w:rPr>
        <w:t>maximum drawdown</w:t>
      </w:r>
      <w:r w:rsidRPr="001C63E0">
        <w:rPr>
          <w:rFonts w:cs="Arial"/>
          <w:lang w:val="it-IT"/>
        </w:rPr>
        <w:t>, come esposto nella seguente tabella.</w:t>
      </w:r>
    </w:p>
    <w:p w:rsidR="001C63E0" w:rsidRPr="001C63E0" w:rsidRDefault="001C63E0" w:rsidP="001C63E0">
      <w:pPr>
        <w:rPr>
          <w:rFonts w:cs="Arial"/>
          <w:lang w:val="it-IT"/>
        </w:rPr>
      </w:pPr>
    </w:p>
    <w:p w:rsidR="001C63E0" w:rsidRPr="001C63E0" w:rsidRDefault="001C63E0" w:rsidP="001C63E0">
      <w:pPr>
        <w:spacing w:before="120"/>
        <w:jc w:val="center"/>
        <w:rPr>
          <w:rFonts w:cs="Arial"/>
          <w:b/>
          <w:bCs/>
          <w:noProof/>
        </w:rPr>
      </w:pPr>
      <w:r w:rsidRPr="001C63E0">
        <w:rPr>
          <w:rFonts w:cs="Arial"/>
          <w:b/>
          <w:bCs/>
          <w:noProof/>
        </w:rPr>
        <w:lastRenderedPageBreak/>
        <w:t>Mercato azionario mondiale – Dispersione della perdita massima (</w:t>
      </w:r>
      <w:r w:rsidRPr="001C63E0">
        <w:rPr>
          <w:rFonts w:cs="Arial"/>
          <w:b/>
          <w:bCs/>
          <w:i/>
          <w:iCs/>
          <w:noProof/>
        </w:rPr>
        <w:t>maximum drawdown</w:t>
      </w:r>
      <w:r w:rsidRPr="001C63E0">
        <w:rPr>
          <w:rFonts w:cs="Arial"/>
          <w:b/>
          <w:bCs/>
          <w:noProof/>
        </w:rPr>
        <w:t>) reale in CHF sostenuta da una strategia di allocazione tattica sulla base della media mobile a 10 mesi (</w:t>
      </w:r>
      <w:r w:rsidRPr="001C63E0">
        <w:rPr>
          <w:rFonts w:cs="Arial"/>
          <w:b/>
          <w:bCs/>
          <w:i/>
          <w:iCs/>
          <w:noProof/>
        </w:rPr>
        <w:t>SMA 10m</w:t>
      </w:r>
      <w:r w:rsidRPr="001C63E0">
        <w:rPr>
          <w:rFonts w:cs="Arial"/>
          <w:b/>
          <w:bCs/>
          <w:noProof/>
        </w:rPr>
        <w:t>) a dipendenza della durata dell’investimento</w:t>
      </w:r>
    </w:p>
    <w:p w:rsidR="001C63E0" w:rsidRPr="001C63E0" w:rsidRDefault="001C63E0" w:rsidP="001C63E0">
      <w:pPr>
        <w:spacing w:before="120"/>
        <w:rPr>
          <w:rFonts w:cs="Arial"/>
        </w:rPr>
      </w:pPr>
      <w:r w:rsidRPr="001C63E0">
        <w:rPr>
          <w:rFonts w:cs="Arial"/>
          <w:noProof/>
          <w:lang w:eastAsia="it-CH"/>
        </w:rPr>
        <w:drawing>
          <wp:inline distT="0" distB="0" distL="0" distR="0" wp14:anchorId="5E195EFE" wp14:editId="0E5E241F">
            <wp:extent cx="6120130" cy="1484630"/>
            <wp:effectExtent l="19050" t="19050" r="13970"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1484630"/>
                    </a:xfrm>
                    <a:prstGeom prst="rect">
                      <a:avLst/>
                    </a:prstGeom>
                    <a:noFill/>
                    <a:ln>
                      <a:solidFill>
                        <a:sysClr val="windowText" lastClr="000000"/>
                      </a:solidFill>
                    </a:ln>
                  </pic:spPr>
                </pic:pic>
              </a:graphicData>
            </a:graphic>
          </wp:inline>
        </w:drawing>
      </w:r>
    </w:p>
    <w:p w:rsidR="001C63E0" w:rsidRPr="001C63E0" w:rsidRDefault="001C63E0" w:rsidP="001C63E0">
      <w:pPr>
        <w:spacing w:before="120"/>
        <w:jc w:val="left"/>
        <w:rPr>
          <w:rFonts w:cs="Arial"/>
          <w:sz w:val="20"/>
          <w:szCs w:val="20"/>
          <w:lang w:val="it-IT" w:eastAsia="it-IT"/>
        </w:rPr>
      </w:pPr>
      <w:r w:rsidRPr="001C63E0">
        <w:rPr>
          <w:rFonts w:cs="Arial"/>
          <w:sz w:val="20"/>
          <w:szCs w:val="20"/>
          <w:lang w:val="it-IT" w:eastAsia="it-IT"/>
        </w:rPr>
        <w:t>Nota: dati GFD e BNS con cadenza mensile per il periodo 1927-2020 relativi ai mercati azionari mondiali. Calcoli propri. Con valutazione ripetuta ogni mese, la strategia SMA(10m) investe nell’indice delle azioni mondiali se superiore alla media degli ultimi 10 valori mensili e resta liquida altrimenti. È considerato un costo di gestione pari allo 0.50% annuo.</w:t>
      </w:r>
    </w:p>
    <w:p w:rsidR="001C63E0" w:rsidRPr="001C63E0" w:rsidRDefault="001C63E0" w:rsidP="001C63E0">
      <w:pPr>
        <w:spacing w:before="120"/>
        <w:rPr>
          <w:rFonts w:cs="Arial"/>
          <w:lang w:val="it-IT"/>
        </w:rPr>
      </w:pPr>
    </w:p>
    <w:p w:rsidR="001C63E0" w:rsidRPr="001C63E0" w:rsidRDefault="001C63E0" w:rsidP="00357DAC">
      <w:pPr>
        <w:rPr>
          <w:rFonts w:cs="Arial"/>
          <w:lang w:val="it-IT"/>
        </w:rPr>
      </w:pPr>
      <w:r w:rsidRPr="001C63E0">
        <w:rPr>
          <w:rFonts w:cs="Arial"/>
          <w:lang w:val="it-IT"/>
        </w:rPr>
        <w:t>Applicato sull’intero periodo di osservazione dal 1927 al 2020, la strategia di allocazione tattica basata sulla media mobile a 10 mesi produce i risultati esposti nella seguente tabella.</w:t>
      </w:r>
    </w:p>
    <w:p w:rsidR="001C63E0" w:rsidRPr="001C63E0" w:rsidRDefault="001C63E0" w:rsidP="001C63E0">
      <w:pPr>
        <w:spacing w:before="120"/>
        <w:rPr>
          <w:rFonts w:cs="Arial"/>
          <w:lang w:val="it-IT"/>
        </w:rPr>
      </w:pPr>
    </w:p>
    <w:p w:rsidR="001C63E0" w:rsidRPr="001C63E0" w:rsidRDefault="001C63E0" w:rsidP="001C63E0">
      <w:pPr>
        <w:spacing w:before="120"/>
        <w:jc w:val="center"/>
        <w:rPr>
          <w:rFonts w:cs="Arial"/>
          <w:b/>
          <w:bCs/>
          <w:noProof/>
        </w:rPr>
      </w:pPr>
      <w:r w:rsidRPr="001C63E0">
        <w:rPr>
          <w:rFonts w:cs="Arial"/>
          <w:b/>
          <w:bCs/>
          <w:noProof/>
        </w:rPr>
        <w:t>Mercato azionario mondiale – Rendimento nominale e reale 1927-2020 in USD e CHF di un investimento sulla base della media mobile a 10 mesi (</w:t>
      </w:r>
      <w:r w:rsidRPr="001C63E0">
        <w:rPr>
          <w:rFonts w:cs="Arial"/>
          <w:b/>
          <w:bCs/>
          <w:i/>
          <w:iCs/>
          <w:noProof/>
        </w:rPr>
        <w:t>SMA 10m</w:t>
      </w:r>
      <w:r w:rsidRPr="001C63E0">
        <w:rPr>
          <w:rFonts w:cs="Arial"/>
          <w:b/>
          <w:bCs/>
          <w:noProof/>
        </w:rPr>
        <w:t>)</w:t>
      </w:r>
    </w:p>
    <w:tbl>
      <w:tblPr>
        <w:tblStyle w:val="Grigliatabella2"/>
        <w:tblW w:w="9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7"/>
        <w:gridCol w:w="1130"/>
        <w:gridCol w:w="1263"/>
        <w:gridCol w:w="1263"/>
        <w:gridCol w:w="1130"/>
      </w:tblGrid>
      <w:tr w:rsidR="001C63E0" w:rsidRPr="001C63E0" w:rsidTr="00892579">
        <w:tc>
          <w:tcPr>
            <w:tcW w:w="5150" w:type="dxa"/>
            <w:tcBorders>
              <w:top w:val="single" w:sz="4" w:space="0" w:color="auto"/>
              <w:bottom w:val="single" w:sz="4" w:space="0" w:color="auto"/>
            </w:tcBorders>
          </w:tcPr>
          <w:p w:rsidR="001C63E0" w:rsidRPr="001C63E0" w:rsidRDefault="001C63E0" w:rsidP="001C63E0">
            <w:pPr>
              <w:spacing w:before="120"/>
              <w:rPr>
                <w:lang w:val="it-IT" w:eastAsia="it-IT"/>
              </w:rPr>
            </w:pPr>
          </w:p>
        </w:tc>
        <w:tc>
          <w:tcPr>
            <w:tcW w:w="1130" w:type="dxa"/>
            <w:tcBorders>
              <w:top w:val="single" w:sz="4" w:space="0" w:color="auto"/>
              <w:bottom w:val="single" w:sz="4" w:space="0" w:color="auto"/>
            </w:tcBorders>
          </w:tcPr>
          <w:p w:rsidR="001C63E0" w:rsidRPr="001C63E0" w:rsidRDefault="001C63E0" w:rsidP="001C63E0">
            <w:pPr>
              <w:spacing w:before="120"/>
              <w:rPr>
                <w:lang w:val="it-IT" w:eastAsia="it-IT"/>
              </w:rPr>
            </w:pPr>
            <w:r w:rsidRPr="001C63E0">
              <w:rPr>
                <w:lang w:val="it-IT" w:eastAsia="it-IT"/>
              </w:rPr>
              <w:t>USD reali</w:t>
            </w:r>
          </w:p>
        </w:tc>
        <w:tc>
          <w:tcPr>
            <w:tcW w:w="1263" w:type="dxa"/>
            <w:tcBorders>
              <w:top w:val="single" w:sz="4" w:space="0" w:color="auto"/>
              <w:bottom w:val="single" w:sz="4" w:space="0" w:color="auto"/>
            </w:tcBorders>
          </w:tcPr>
          <w:p w:rsidR="001C63E0" w:rsidRPr="001C63E0" w:rsidRDefault="001C63E0" w:rsidP="001C63E0">
            <w:pPr>
              <w:spacing w:before="120"/>
              <w:rPr>
                <w:lang w:val="it-IT" w:eastAsia="it-IT"/>
              </w:rPr>
            </w:pPr>
            <w:r w:rsidRPr="001C63E0">
              <w:rPr>
                <w:lang w:val="it-IT" w:eastAsia="it-IT"/>
              </w:rPr>
              <w:t>USD nominali</w:t>
            </w:r>
          </w:p>
        </w:tc>
        <w:tc>
          <w:tcPr>
            <w:tcW w:w="1130" w:type="dxa"/>
            <w:tcBorders>
              <w:top w:val="single" w:sz="4" w:space="0" w:color="auto"/>
              <w:bottom w:val="single" w:sz="4" w:space="0" w:color="auto"/>
            </w:tcBorders>
          </w:tcPr>
          <w:p w:rsidR="001C63E0" w:rsidRPr="001C63E0" w:rsidRDefault="001C63E0" w:rsidP="001C63E0">
            <w:pPr>
              <w:spacing w:before="120"/>
              <w:rPr>
                <w:lang w:val="it-IT" w:eastAsia="it-IT"/>
              </w:rPr>
            </w:pPr>
            <w:r w:rsidRPr="001C63E0">
              <w:rPr>
                <w:lang w:val="it-IT" w:eastAsia="it-IT"/>
              </w:rPr>
              <w:t>CHF nominali</w:t>
            </w:r>
          </w:p>
        </w:tc>
        <w:tc>
          <w:tcPr>
            <w:tcW w:w="1130" w:type="dxa"/>
            <w:tcBorders>
              <w:top w:val="single" w:sz="4" w:space="0" w:color="auto"/>
              <w:bottom w:val="single" w:sz="4" w:space="0" w:color="auto"/>
            </w:tcBorders>
          </w:tcPr>
          <w:p w:rsidR="001C63E0" w:rsidRPr="001C63E0" w:rsidRDefault="001C63E0" w:rsidP="001C63E0">
            <w:pPr>
              <w:spacing w:before="120"/>
              <w:rPr>
                <w:lang w:val="it-IT" w:eastAsia="it-IT"/>
              </w:rPr>
            </w:pPr>
            <w:r w:rsidRPr="001C63E0">
              <w:rPr>
                <w:lang w:val="it-IT" w:eastAsia="it-IT"/>
              </w:rPr>
              <w:t>CHF reali</w:t>
            </w:r>
          </w:p>
        </w:tc>
      </w:tr>
      <w:tr w:rsidR="001C63E0" w:rsidRPr="001C63E0" w:rsidTr="00892579">
        <w:tc>
          <w:tcPr>
            <w:tcW w:w="5150" w:type="dxa"/>
            <w:tcBorders>
              <w:top w:val="single" w:sz="4" w:space="0" w:color="auto"/>
            </w:tcBorders>
          </w:tcPr>
          <w:p w:rsidR="001C63E0" w:rsidRPr="001C63E0" w:rsidRDefault="001C63E0" w:rsidP="001C63E0">
            <w:pPr>
              <w:spacing w:before="120"/>
              <w:rPr>
                <w:b/>
                <w:bCs/>
                <w:lang w:val="it-IT" w:eastAsia="it-IT"/>
              </w:rPr>
            </w:pPr>
            <w:r w:rsidRPr="001C63E0">
              <w:rPr>
                <w:b/>
                <w:bCs/>
                <w:lang w:val="it-IT" w:eastAsia="it-IT"/>
              </w:rPr>
              <w:t>Satistiche senza costi di negoziazione</w:t>
            </w:r>
          </w:p>
        </w:tc>
        <w:tc>
          <w:tcPr>
            <w:tcW w:w="1130" w:type="dxa"/>
            <w:tcBorders>
              <w:top w:val="single" w:sz="4" w:space="0" w:color="auto"/>
            </w:tcBorders>
          </w:tcPr>
          <w:p w:rsidR="001C63E0" w:rsidRPr="001C63E0" w:rsidRDefault="001C63E0" w:rsidP="001C63E0">
            <w:pPr>
              <w:spacing w:before="120"/>
              <w:rPr>
                <w:lang w:val="it-IT" w:eastAsia="it-IT"/>
              </w:rPr>
            </w:pPr>
          </w:p>
        </w:tc>
        <w:tc>
          <w:tcPr>
            <w:tcW w:w="1263" w:type="dxa"/>
            <w:tcBorders>
              <w:top w:val="single" w:sz="4" w:space="0" w:color="auto"/>
            </w:tcBorders>
          </w:tcPr>
          <w:p w:rsidR="001C63E0" w:rsidRPr="001C63E0" w:rsidRDefault="001C63E0" w:rsidP="001C63E0">
            <w:pPr>
              <w:spacing w:before="120"/>
              <w:rPr>
                <w:lang w:val="it-IT" w:eastAsia="it-IT"/>
              </w:rPr>
            </w:pPr>
          </w:p>
        </w:tc>
        <w:tc>
          <w:tcPr>
            <w:tcW w:w="1130" w:type="dxa"/>
            <w:tcBorders>
              <w:top w:val="single" w:sz="4" w:space="0" w:color="auto"/>
            </w:tcBorders>
          </w:tcPr>
          <w:p w:rsidR="001C63E0" w:rsidRPr="001C63E0" w:rsidRDefault="001C63E0" w:rsidP="001C63E0">
            <w:pPr>
              <w:spacing w:before="120"/>
              <w:rPr>
                <w:lang w:val="it-IT" w:eastAsia="it-IT"/>
              </w:rPr>
            </w:pPr>
          </w:p>
        </w:tc>
        <w:tc>
          <w:tcPr>
            <w:tcW w:w="1130" w:type="dxa"/>
            <w:tcBorders>
              <w:top w:val="single" w:sz="4" w:space="0" w:color="auto"/>
            </w:tcBorders>
          </w:tcPr>
          <w:p w:rsidR="001C63E0" w:rsidRPr="001C63E0" w:rsidRDefault="001C63E0" w:rsidP="001C63E0">
            <w:pPr>
              <w:spacing w:before="120"/>
              <w:rPr>
                <w:lang w:val="it-IT" w:eastAsia="it-IT"/>
              </w:rPr>
            </w:pPr>
          </w:p>
        </w:tc>
      </w:tr>
      <w:tr w:rsidR="001C63E0" w:rsidRPr="001C63E0" w:rsidTr="00892579">
        <w:tc>
          <w:tcPr>
            <w:tcW w:w="5150" w:type="dxa"/>
          </w:tcPr>
          <w:p w:rsidR="001C63E0" w:rsidRPr="001C63E0" w:rsidRDefault="001C63E0" w:rsidP="001C63E0">
            <w:pPr>
              <w:spacing w:before="120"/>
              <w:rPr>
                <w:lang w:val="it-IT" w:eastAsia="it-IT"/>
              </w:rPr>
            </w:pPr>
            <w:r w:rsidRPr="001C63E0">
              <w:rPr>
                <w:lang w:val="it-IT" w:eastAsia="it-IT"/>
              </w:rPr>
              <w:t>Capitale investito il 1° gen. 1926</w:t>
            </w:r>
          </w:p>
        </w:tc>
        <w:tc>
          <w:tcPr>
            <w:tcW w:w="1130" w:type="dxa"/>
          </w:tcPr>
          <w:p w:rsidR="001C63E0" w:rsidRPr="001C63E0" w:rsidRDefault="001C63E0" w:rsidP="001C63E0">
            <w:pPr>
              <w:spacing w:before="120"/>
              <w:jc w:val="right"/>
              <w:rPr>
                <w:lang w:val="it-IT" w:eastAsia="it-IT"/>
              </w:rPr>
            </w:pPr>
            <w:r w:rsidRPr="001C63E0">
              <w:rPr>
                <w:lang w:val="it-IT" w:eastAsia="it-IT"/>
              </w:rPr>
              <w:t>1.00</w:t>
            </w:r>
          </w:p>
        </w:tc>
        <w:tc>
          <w:tcPr>
            <w:tcW w:w="1263" w:type="dxa"/>
          </w:tcPr>
          <w:p w:rsidR="001C63E0" w:rsidRPr="001C63E0" w:rsidRDefault="001C63E0" w:rsidP="001C63E0">
            <w:pPr>
              <w:spacing w:before="120"/>
              <w:jc w:val="right"/>
              <w:rPr>
                <w:lang w:val="it-IT" w:eastAsia="it-IT"/>
              </w:rPr>
            </w:pPr>
            <w:r w:rsidRPr="001C63E0">
              <w:rPr>
                <w:lang w:val="it-IT" w:eastAsia="it-IT"/>
              </w:rPr>
              <w:t>1.00</w:t>
            </w:r>
          </w:p>
        </w:tc>
        <w:tc>
          <w:tcPr>
            <w:tcW w:w="1130" w:type="dxa"/>
          </w:tcPr>
          <w:p w:rsidR="001C63E0" w:rsidRPr="001C63E0" w:rsidRDefault="001C63E0" w:rsidP="001C63E0">
            <w:pPr>
              <w:spacing w:before="120"/>
              <w:jc w:val="right"/>
              <w:rPr>
                <w:lang w:val="it-IT" w:eastAsia="it-IT"/>
              </w:rPr>
            </w:pPr>
            <w:r w:rsidRPr="001C63E0">
              <w:rPr>
                <w:lang w:val="it-IT" w:eastAsia="it-IT"/>
              </w:rPr>
              <w:t>1.00</w:t>
            </w:r>
          </w:p>
        </w:tc>
        <w:tc>
          <w:tcPr>
            <w:tcW w:w="1130" w:type="dxa"/>
          </w:tcPr>
          <w:p w:rsidR="001C63E0" w:rsidRPr="001C63E0" w:rsidRDefault="001C63E0" w:rsidP="001C63E0">
            <w:pPr>
              <w:spacing w:before="120"/>
              <w:jc w:val="right"/>
              <w:rPr>
                <w:lang w:val="it-IT" w:eastAsia="it-IT"/>
              </w:rPr>
            </w:pPr>
            <w:r w:rsidRPr="001C63E0">
              <w:rPr>
                <w:lang w:val="it-IT" w:eastAsia="it-IT"/>
              </w:rPr>
              <w:t>1.00</w:t>
            </w:r>
          </w:p>
        </w:tc>
      </w:tr>
      <w:tr w:rsidR="001C63E0" w:rsidRPr="001C63E0" w:rsidTr="00892579">
        <w:tc>
          <w:tcPr>
            <w:tcW w:w="5150" w:type="dxa"/>
          </w:tcPr>
          <w:p w:rsidR="001C63E0" w:rsidRPr="001C63E0" w:rsidRDefault="001C63E0" w:rsidP="001C63E0">
            <w:pPr>
              <w:spacing w:before="120"/>
              <w:rPr>
                <w:lang w:val="it-IT" w:eastAsia="it-IT"/>
              </w:rPr>
            </w:pPr>
            <w:r w:rsidRPr="001C63E0">
              <w:rPr>
                <w:lang w:val="it-IT" w:eastAsia="it-IT"/>
              </w:rPr>
              <w:t>Capitale il 31 dic. 2020</w:t>
            </w:r>
          </w:p>
        </w:tc>
        <w:tc>
          <w:tcPr>
            <w:tcW w:w="1130" w:type="dxa"/>
          </w:tcPr>
          <w:p w:rsidR="001C63E0" w:rsidRPr="001C63E0" w:rsidRDefault="001C63E0" w:rsidP="001C63E0">
            <w:pPr>
              <w:spacing w:before="120"/>
              <w:jc w:val="right"/>
              <w:rPr>
                <w:lang w:val="it-IT" w:eastAsia="it-IT"/>
              </w:rPr>
            </w:pPr>
            <w:r w:rsidRPr="001C63E0">
              <w:rPr>
                <w:lang w:val="it-IT" w:eastAsia="it-IT"/>
              </w:rPr>
              <w:t>1'459.21</w:t>
            </w:r>
          </w:p>
        </w:tc>
        <w:tc>
          <w:tcPr>
            <w:tcW w:w="1263" w:type="dxa"/>
          </w:tcPr>
          <w:p w:rsidR="001C63E0" w:rsidRPr="001C63E0" w:rsidRDefault="001C63E0" w:rsidP="001C63E0">
            <w:pPr>
              <w:spacing w:before="120"/>
              <w:jc w:val="right"/>
              <w:rPr>
                <w:lang w:val="it-IT" w:eastAsia="it-IT"/>
              </w:rPr>
            </w:pPr>
            <w:r w:rsidRPr="001C63E0">
              <w:rPr>
                <w:lang w:val="it-IT" w:eastAsia="it-IT"/>
              </w:rPr>
              <w:t>21'390.19</w:t>
            </w:r>
          </w:p>
        </w:tc>
        <w:tc>
          <w:tcPr>
            <w:tcW w:w="1130" w:type="dxa"/>
          </w:tcPr>
          <w:p w:rsidR="001C63E0" w:rsidRPr="001C63E0" w:rsidRDefault="001C63E0" w:rsidP="001C63E0">
            <w:pPr>
              <w:spacing w:before="120"/>
              <w:jc w:val="right"/>
              <w:rPr>
                <w:lang w:val="it-IT" w:eastAsia="it-IT"/>
              </w:rPr>
            </w:pPr>
            <w:r w:rsidRPr="001C63E0">
              <w:rPr>
                <w:lang w:val="it-IT" w:eastAsia="it-IT"/>
              </w:rPr>
              <w:t>10'677.06</w:t>
            </w:r>
          </w:p>
        </w:tc>
        <w:tc>
          <w:tcPr>
            <w:tcW w:w="1130" w:type="dxa"/>
          </w:tcPr>
          <w:p w:rsidR="001C63E0" w:rsidRPr="001C63E0" w:rsidRDefault="001C63E0" w:rsidP="001C63E0">
            <w:pPr>
              <w:spacing w:before="120"/>
              <w:jc w:val="right"/>
              <w:rPr>
                <w:lang w:val="it-IT" w:eastAsia="it-IT"/>
              </w:rPr>
            </w:pPr>
            <w:r w:rsidRPr="001C63E0">
              <w:rPr>
                <w:lang w:val="it-IT" w:eastAsia="it-IT"/>
              </w:rPr>
              <w:t>1'668.36</w:t>
            </w:r>
          </w:p>
        </w:tc>
      </w:tr>
      <w:tr w:rsidR="001C63E0" w:rsidRPr="001C63E0" w:rsidTr="00892579">
        <w:tc>
          <w:tcPr>
            <w:tcW w:w="5150" w:type="dxa"/>
            <w:tcBorders>
              <w:bottom w:val="single" w:sz="4" w:space="0" w:color="auto"/>
            </w:tcBorders>
          </w:tcPr>
          <w:p w:rsidR="001C63E0" w:rsidRPr="001C63E0" w:rsidRDefault="001C63E0" w:rsidP="001C63E0">
            <w:pPr>
              <w:spacing w:before="120"/>
              <w:rPr>
                <w:lang w:val="it-IT" w:eastAsia="it-IT"/>
              </w:rPr>
            </w:pPr>
            <w:r w:rsidRPr="001C63E0">
              <w:rPr>
                <w:lang w:val="it-IT" w:eastAsia="it-IT"/>
              </w:rPr>
              <w:t>CAGR – Rendimento composto annuo</w:t>
            </w:r>
          </w:p>
        </w:tc>
        <w:tc>
          <w:tcPr>
            <w:tcW w:w="1130" w:type="dxa"/>
            <w:tcBorders>
              <w:bottom w:val="single" w:sz="4" w:space="0" w:color="auto"/>
            </w:tcBorders>
          </w:tcPr>
          <w:p w:rsidR="001C63E0" w:rsidRPr="001C63E0" w:rsidRDefault="001C63E0" w:rsidP="001C63E0">
            <w:pPr>
              <w:spacing w:before="120"/>
              <w:jc w:val="right"/>
              <w:rPr>
                <w:lang w:val="it-IT" w:eastAsia="it-IT"/>
              </w:rPr>
            </w:pPr>
            <w:r w:rsidRPr="001C63E0">
              <w:rPr>
                <w:lang w:val="it-IT" w:eastAsia="it-IT"/>
              </w:rPr>
              <w:t>8.06%</w:t>
            </w:r>
          </w:p>
        </w:tc>
        <w:tc>
          <w:tcPr>
            <w:tcW w:w="1263" w:type="dxa"/>
            <w:tcBorders>
              <w:bottom w:val="single" w:sz="4" w:space="0" w:color="auto"/>
            </w:tcBorders>
          </w:tcPr>
          <w:p w:rsidR="001C63E0" w:rsidRPr="001C63E0" w:rsidRDefault="001C63E0" w:rsidP="001C63E0">
            <w:pPr>
              <w:spacing w:before="120"/>
              <w:jc w:val="right"/>
              <w:rPr>
                <w:lang w:val="it-IT" w:eastAsia="it-IT"/>
              </w:rPr>
            </w:pPr>
            <w:r w:rsidRPr="001C63E0">
              <w:rPr>
                <w:lang w:val="it-IT" w:eastAsia="it-IT"/>
              </w:rPr>
              <w:t>11.19%</w:t>
            </w:r>
          </w:p>
        </w:tc>
        <w:tc>
          <w:tcPr>
            <w:tcW w:w="1130" w:type="dxa"/>
            <w:tcBorders>
              <w:bottom w:val="single" w:sz="4" w:space="0" w:color="auto"/>
            </w:tcBorders>
          </w:tcPr>
          <w:p w:rsidR="001C63E0" w:rsidRPr="001C63E0" w:rsidRDefault="001C63E0" w:rsidP="001C63E0">
            <w:pPr>
              <w:spacing w:before="120"/>
              <w:jc w:val="right"/>
              <w:rPr>
                <w:lang w:val="it-IT" w:eastAsia="it-IT"/>
              </w:rPr>
            </w:pPr>
            <w:r w:rsidRPr="001C63E0">
              <w:rPr>
                <w:lang w:val="it-IT" w:eastAsia="it-IT"/>
              </w:rPr>
              <w:t>10.37%</w:t>
            </w:r>
          </w:p>
        </w:tc>
        <w:tc>
          <w:tcPr>
            <w:tcW w:w="1130" w:type="dxa"/>
            <w:tcBorders>
              <w:bottom w:val="single" w:sz="4" w:space="0" w:color="auto"/>
            </w:tcBorders>
          </w:tcPr>
          <w:p w:rsidR="001C63E0" w:rsidRPr="001C63E0" w:rsidRDefault="001C63E0" w:rsidP="001C63E0">
            <w:pPr>
              <w:spacing w:before="120"/>
              <w:jc w:val="right"/>
              <w:rPr>
                <w:lang w:val="it-IT" w:eastAsia="it-IT"/>
              </w:rPr>
            </w:pPr>
            <w:r w:rsidRPr="001C63E0">
              <w:rPr>
                <w:lang w:val="it-IT" w:eastAsia="it-IT"/>
              </w:rPr>
              <w:t>8.21%</w:t>
            </w:r>
          </w:p>
        </w:tc>
      </w:tr>
      <w:tr w:rsidR="001C63E0" w:rsidRPr="001C63E0" w:rsidTr="00892579">
        <w:tc>
          <w:tcPr>
            <w:tcW w:w="5150" w:type="dxa"/>
            <w:tcBorders>
              <w:top w:val="single" w:sz="4" w:space="0" w:color="auto"/>
            </w:tcBorders>
          </w:tcPr>
          <w:p w:rsidR="001C63E0" w:rsidRPr="001C63E0" w:rsidRDefault="001C63E0" w:rsidP="001C63E0">
            <w:pPr>
              <w:spacing w:before="120"/>
              <w:rPr>
                <w:b/>
                <w:bCs/>
                <w:lang w:val="it-IT" w:eastAsia="it-IT"/>
              </w:rPr>
            </w:pPr>
            <w:r w:rsidRPr="001C63E0">
              <w:rPr>
                <w:b/>
                <w:bCs/>
                <w:lang w:val="it-IT" w:eastAsia="it-IT"/>
              </w:rPr>
              <w:t>Statistiche con 0.5% di costi annui</w:t>
            </w:r>
          </w:p>
        </w:tc>
        <w:tc>
          <w:tcPr>
            <w:tcW w:w="1130" w:type="dxa"/>
            <w:tcBorders>
              <w:top w:val="single" w:sz="4" w:space="0" w:color="auto"/>
            </w:tcBorders>
          </w:tcPr>
          <w:p w:rsidR="001C63E0" w:rsidRPr="001C63E0" w:rsidRDefault="001C63E0" w:rsidP="001C63E0">
            <w:pPr>
              <w:spacing w:before="120"/>
              <w:jc w:val="right"/>
              <w:rPr>
                <w:lang w:val="it-IT" w:eastAsia="it-IT"/>
              </w:rPr>
            </w:pPr>
          </w:p>
        </w:tc>
        <w:tc>
          <w:tcPr>
            <w:tcW w:w="1263" w:type="dxa"/>
            <w:tcBorders>
              <w:top w:val="single" w:sz="4" w:space="0" w:color="auto"/>
            </w:tcBorders>
          </w:tcPr>
          <w:p w:rsidR="001C63E0" w:rsidRPr="001C63E0" w:rsidRDefault="001C63E0" w:rsidP="001C63E0">
            <w:pPr>
              <w:spacing w:before="120"/>
              <w:jc w:val="right"/>
              <w:rPr>
                <w:lang w:val="it-IT" w:eastAsia="it-IT"/>
              </w:rPr>
            </w:pPr>
          </w:p>
        </w:tc>
        <w:tc>
          <w:tcPr>
            <w:tcW w:w="1130" w:type="dxa"/>
            <w:tcBorders>
              <w:top w:val="single" w:sz="4" w:space="0" w:color="auto"/>
            </w:tcBorders>
          </w:tcPr>
          <w:p w:rsidR="001C63E0" w:rsidRPr="001C63E0" w:rsidRDefault="001C63E0" w:rsidP="001C63E0">
            <w:pPr>
              <w:spacing w:before="120"/>
              <w:jc w:val="right"/>
              <w:rPr>
                <w:lang w:val="it-IT" w:eastAsia="it-IT"/>
              </w:rPr>
            </w:pPr>
          </w:p>
        </w:tc>
        <w:tc>
          <w:tcPr>
            <w:tcW w:w="1130" w:type="dxa"/>
            <w:tcBorders>
              <w:top w:val="single" w:sz="4" w:space="0" w:color="auto"/>
              <w:bottom w:val="single" w:sz="12" w:space="0" w:color="auto"/>
            </w:tcBorders>
          </w:tcPr>
          <w:p w:rsidR="001C63E0" w:rsidRPr="001C63E0" w:rsidRDefault="001C63E0" w:rsidP="001C63E0">
            <w:pPr>
              <w:spacing w:before="120"/>
              <w:jc w:val="right"/>
              <w:rPr>
                <w:lang w:val="it-IT" w:eastAsia="it-IT"/>
              </w:rPr>
            </w:pPr>
          </w:p>
        </w:tc>
      </w:tr>
      <w:tr w:rsidR="001C63E0" w:rsidRPr="001C63E0" w:rsidTr="00892579">
        <w:tc>
          <w:tcPr>
            <w:tcW w:w="5150" w:type="dxa"/>
          </w:tcPr>
          <w:p w:rsidR="001C63E0" w:rsidRPr="001C63E0" w:rsidRDefault="001C63E0" w:rsidP="001C63E0">
            <w:pPr>
              <w:spacing w:before="120"/>
              <w:rPr>
                <w:lang w:val="it-IT" w:eastAsia="it-IT"/>
              </w:rPr>
            </w:pPr>
            <w:r w:rsidRPr="001C63E0">
              <w:rPr>
                <w:lang w:val="it-IT" w:eastAsia="it-IT"/>
              </w:rPr>
              <w:t>Capitale investito il 1° gen. 1926</w:t>
            </w:r>
          </w:p>
        </w:tc>
        <w:tc>
          <w:tcPr>
            <w:tcW w:w="1130" w:type="dxa"/>
          </w:tcPr>
          <w:p w:rsidR="001C63E0" w:rsidRPr="001C63E0" w:rsidRDefault="001C63E0" w:rsidP="001C63E0">
            <w:pPr>
              <w:spacing w:before="120"/>
              <w:jc w:val="right"/>
              <w:rPr>
                <w:lang w:val="it-IT" w:eastAsia="it-IT"/>
              </w:rPr>
            </w:pPr>
            <w:r w:rsidRPr="001C63E0">
              <w:rPr>
                <w:lang w:val="it-IT" w:eastAsia="it-IT"/>
              </w:rPr>
              <w:t>1.00</w:t>
            </w:r>
          </w:p>
        </w:tc>
        <w:tc>
          <w:tcPr>
            <w:tcW w:w="1263" w:type="dxa"/>
          </w:tcPr>
          <w:p w:rsidR="001C63E0" w:rsidRPr="001C63E0" w:rsidRDefault="001C63E0" w:rsidP="001C63E0">
            <w:pPr>
              <w:spacing w:before="120"/>
              <w:jc w:val="right"/>
              <w:rPr>
                <w:lang w:val="it-IT" w:eastAsia="it-IT"/>
              </w:rPr>
            </w:pPr>
            <w:r w:rsidRPr="001C63E0">
              <w:rPr>
                <w:lang w:val="it-IT" w:eastAsia="it-IT"/>
              </w:rPr>
              <w:t>1.00</w:t>
            </w:r>
          </w:p>
        </w:tc>
        <w:tc>
          <w:tcPr>
            <w:tcW w:w="1130" w:type="dxa"/>
            <w:tcBorders>
              <w:right w:val="single" w:sz="12" w:space="0" w:color="auto"/>
            </w:tcBorders>
          </w:tcPr>
          <w:p w:rsidR="001C63E0" w:rsidRPr="001C63E0" w:rsidRDefault="001C63E0" w:rsidP="001C63E0">
            <w:pPr>
              <w:spacing w:before="120"/>
              <w:jc w:val="right"/>
              <w:rPr>
                <w:lang w:val="it-IT" w:eastAsia="it-IT"/>
              </w:rPr>
            </w:pPr>
            <w:r w:rsidRPr="001C63E0">
              <w:rPr>
                <w:lang w:val="it-IT" w:eastAsia="it-IT"/>
              </w:rPr>
              <w:t>1.00</w:t>
            </w:r>
          </w:p>
        </w:tc>
        <w:tc>
          <w:tcPr>
            <w:tcW w:w="1130" w:type="dxa"/>
            <w:tcBorders>
              <w:top w:val="single" w:sz="12" w:space="0" w:color="auto"/>
              <w:left w:val="single" w:sz="12" w:space="0" w:color="auto"/>
              <w:right w:val="single" w:sz="12" w:space="0" w:color="auto"/>
            </w:tcBorders>
          </w:tcPr>
          <w:p w:rsidR="001C63E0" w:rsidRPr="001C63E0" w:rsidRDefault="001C63E0" w:rsidP="001C63E0">
            <w:pPr>
              <w:spacing w:before="120"/>
              <w:jc w:val="right"/>
              <w:rPr>
                <w:lang w:val="it-IT" w:eastAsia="it-IT"/>
              </w:rPr>
            </w:pPr>
            <w:r w:rsidRPr="001C63E0">
              <w:rPr>
                <w:lang w:val="it-IT" w:eastAsia="it-IT"/>
              </w:rPr>
              <w:t>1.00</w:t>
            </w:r>
          </w:p>
        </w:tc>
      </w:tr>
      <w:tr w:rsidR="001C63E0" w:rsidRPr="001C63E0" w:rsidTr="00892579">
        <w:tc>
          <w:tcPr>
            <w:tcW w:w="5150" w:type="dxa"/>
          </w:tcPr>
          <w:p w:rsidR="001C63E0" w:rsidRPr="001C63E0" w:rsidRDefault="001C63E0" w:rsidP="001C63E0">
            <w:pPr>
              <w:spacing w:before="120"/>
              <w:rPr>
                <w:lang w:val="it-IT" w:eastAsia="it-IT"/>
              </w:rPr>
            </w:pPr>
            <w:r w:rsidRPr="001C63E0">
              <w:rPr>
                <w:lang w:val="it-IT" w:eastAsia="it-IT"/>
              </w:rPr>
              <w:t>Capitale il 31 dic. 2020</w:t>
            </w:r>
          </w:p>
        </w:tc>
        <w:tc>
          <w:tcPr>
            <w:tcW w:w="1130" w:type="dxa"/>
          </w:tcPr>
          <w:p w:rsidR="001C63E0" w:rsidRPr="001C63E0" w:rsidRDefault="001C63E0" w:rsidP="001C63E0">
            <w:pPr>
              <w:spacing w:before="120"/>
              <w:jc w:val="right"/>
              <w:rPr>
                <w:lang w:val="it-IT" w:eastAsia="it-IT"/>
              </w:rPr>
            </w:pPr>
            <w:r w:rsidRPr="001C63E0">
              <w:rPr>
                <w:lang w:val="it-IT" w:eastAsia="it-IT"/>
              </w:rPr>
              <w:t>914.48</w:t>
            </w:r>
          </w:p>
        </w:tc>
        <w:tc>
          <w:tcPr>
            <w:tcW w:w="1263" w:type="dxa"/>
          </w:tcPr>
          <w:p w:rsidR="001C63E0" w:rsidRPr="001C63E0" w:rsidRDefault="001C63E0" w:rsidP="001C63E0">
            <w:pPr>
              <w:spacing w:before="120"/>
              <w:jc w:val="right"/>
              <w:rPr>
                <w:lang w:val="it-IT" w:eastAsia="it-IT"/>
              </w:rPr>
            </w:pPr>
            <w:r w:rsidRPr="001C63E0">
              <w:rPr>
                <w:lang w:val="it-IT" w:eastAsia="it-IT"/>
              </w:rPr>
              <w:t>13'419.68</w:t>
            </w:r>
          </w:p>
        </w:tc>
        <w:tc>
          <w:tcPr>
            <w:tcW w:w="1130" w:type="dxa"/>
            <w:tcBorders>
              <w:right w:val="single" w:sz="12" w:space="0" w:color="auto"/>
            </w:tcBorders>
          </w:tcPr>
          <w:p w:rsidR="001C63E0" w:rsidRPr="001C63E0" w:rsidRDefault="001C63E0" w:rsidP="001C63E0">
            <w:pPr>
              <w:spacing w:before="120"/>
              <w:jc w:val="right"/>
              <w:rPr>
                <w:lang w:val="it-IT" w:eastAsia="it-IT"/>
              </w:rPr>
            </w:pPr>
            <w:r w:rsidRPr="001C63E0">
              <w:rPr>
                <w:lang w:val="it-IT" w:eastAsia="it-IT"/>
              </w:rPr>
              <w:t>6'696.42</w:t>
            </w:r>
          </w:p>
        </w:tc>
        <w:tc>
          <w:tcPr>
            <w:tcW w:w="1130" w:type="dxa"/>
            <w:tcBorders>
              <w:left w:val="single" w:sz="12" w:space="0" w:color="auto"/>
              <w:right w:val="single" w:sz="12" w:space="0" w:color="auto"/>
            </w:tcBorders>
          </w:tcPr>
          <w:p w:rsidR="001C63E0" w:rsidRPr="001C63E0" w:rsidRDefault="001C63E0" w:rsidP="001C63E0">
            <w:pPr>
              <w:spacing w:before="120"/>
              <w:jc w:val="right"/>
              <w:rPr>
                <w:lang w:val="it-IT" w:eastAsia="it-IT"/>
              </w:rPr>
            </w:pPr>
            <w:r w:rsidRPr="001C63E0">
              <w:rPr>
                <w:lang w:val="it-IT" w:eastAsia="it-IT"/>
              </w:rPr>
              <w:t>1'045.55</w:t>
            </w:r>
          </w:p>
        </w:tc>
      </w:tr>
      <w:tr w:rsidR="001C63E0" w:rsidRPr="001C63E0" w:rsidTr="00892579">
        <w:tc>
          <w:tcPr>
            <w:tcW w:w="5150" w:type="dxa"/>
            <w:tcBorders>
              <w:bottom w:val="single" w:sz="4" w:space="0" w:color="auto"/>
            </w:tcBorders>
          </w:tcPr>
          <w:p w:rsidR="001C63E0" w:rsidRPr="001C63E0" w:rsidRDefault="001C63E0" w:rsidP="001C63E0">
            <w:pPr>
              <w:spacing w:before="120"/>
              <w:rPr>
                <w:lang w:val="it-IT" w:eastAsia="it-IT"/>
              </w:rPr>
            </w:pPr>
            <w:r w:rsidRPr="001C63E0">
              <w:rPr>
                <w:lang w:val="it-IT" w:eastAsia="it-IT"/>
              </w:rPr>
              <w:t>CAGR – Rendimento composto annuo</w:t>
            </w:r>
          </w:p>
        </w:tc>
        <w:tc>
          <w:tcPr>
            <w:tcW w:w="1130" w:type="dxa"/>
            <w:tcBorders>
              <w:bottom w:val="single" w:sz="4" w:space="0" w:color="auto"/>
            </w:tcBorders>
          </w:tcPr>
          <w:p w:rsidR="001C63E0" w:rsidRPr="001C63E0" w:rsidRDefault="001C63E0" w:rsidP="001C63E0">
            <w:pPr>
              <w:spacing w:before="120"/>
              <w:jc w:val="right"/>
              <w:rPr>
                <w:lang w:val="it-IT" w:eastAsia="it-IT"/>
              </w:rPr>
            </w:pPr>
            <w:r w:rsidRPr="001C63E0">
              <w:rPr>
                <w:lang w:val="it-IT" w:eastAsia="it-IT"/>
              </w:rPr>
              <w:t>7.52%</w:t>
            </w:r>
          </w:p>
        </w:tc>
        <w:tc>
          <w:tcPr>
            <w:tcW w:w="1263" w:type="dxa"/>
            <w:tcBorders>
              <w:bottom w:val="single" w:sz="4" w:space="0" w:color="auto"/>
            </w:tcBorders>
          </w:tcPr>
          <w:p w:rsidR="001C63E0" w:rsidRPr="001C63E0" w:rsidRDefault="001C63E0" w:rsidP="001C63E0">
            <w:pPr>
              <w:spacing w:before="120"/>
              <w:jc w:val="right"/>
              <w:rPr>
                <w:lang w:val="it-IT" w:eastAsia="it-IT"/>
              </w:rPr>
            </w:pPr>
            <w:r w:rsidRPr="001C63E0">
              <w:rPr>
                <w:lang w:val="it-IT" w:eastAsia="it-IT"/>
              </w:rPr>
              <w:t>10.64%</w:t>
            </w:r>
          </w:p>
        </w:tc>
        <w:tc>
          <w:tcPr>
            <w:tcW w:w="1130" w:type="dxa"/>
            <w:tcBorders>
              <w:bottom w:val="single" w:sz="4" w:space="0" w:color="auto"/>
              <w:right w:val="single" w:sz="12" w:space="0" w:color="auto"/>
            </w:tcBorders>
          </w:tcPr>
          <w:p w:rsidR="001C63E0" w:rsidRPr="001C63E0" w:rsidRDefault="001C63E0" w:rsidP="001C63E0">
            <w:pPr>
              <w:spacing w:before="120"/>
              <w:jc w:val="right"/>
              <w:rPr>
                <w:lang w:val="it-IT" w:eastAsia="it-IT"/>
              </w:rPr>
            </w:pPr>
            <w:r w:rsidRPr="001C63E0">
              <w:rPr>
                <w:lang w:val="it-IT" w:eastAsia="it-IT"/>
              </w:rPr>
              <w:t>9.82%</w:t>
            </w:r>
          </w:p>
        </w:tc>
        <w:tc>
          <w:tcPr>
            <w:tcW w:w="1130" w:type="dxa"/>
            <w:tcBorders>
              <w:left w:val="single" w:sz="12" w:space="0" w:color="auto"/>
              <w:bottom w:val="single" w:sz="12" w:space="0" w:color="auto"/>
              <w:right w:val="single" w:sz="12" w:space="0" w:color="auto"/>
            </w:tcBorders>
          </w:tcPr>
          <w:p w:rsidR="001C63E0" w:rsidRPr="001C63E0" w:rsidRDefault="001C63E0" w:rsidP="001C63E0">
            <w:pPr>
              <w:spacing w:before="120"/>
              <w:jc w:val="right"/>
              <w:rPr>
                <w:lang w:val="it-IT" w:eastAsia="it-IT"/>
              </w:rPr>
            </w:pPr>
            <w:r w:rsidRPr="001C63E0">
              <w:rPr>
                <w:lang w:val="it-IT" w:eastAsia="it-IT"/>
              </w:rPr>
              <w:t>7.68%</w:t>
            </w:r>
          </w:p>
        </w:tc>
      </w:tr>
    </w:tbl>
    <w:p w:rsidR="001C63E0" w:rsidRPr="001C63E0" w:rsidRDefault="001C63E0" w:rsidP="001C63E0">
      <w:pPr>
        <w:spacing w:before="120"/>
        <w:rPr>
          <w:rFonts w:cs="Arial"/>
          <w:sz w:val="20"/>
          <w:szCs w:val="20"/>
          <w:lang w:val="it-IT" w:eastAsia="it-IT"/>
        </w:rPr>
      </w:pPr>
      <w:r w:rsidRPr="001C63E0">
        <w:rPr>
          <w:rFonts w:cs="Arial"/>
          <w:sz w:val="20"/>
          <w:szCs w:val="20"/>
          <w:lang w:val="it-IT" w:eastAsia="it-IT"/>
        </w:rPr>
        <w:t>Nota: dati GFD e BNS, calcoli propri, periodo 1927-2020, mercati azionari mondiali.</w:t>
      </w:r>
    </w:p>
    <w:p w:rsidR="001C63E0" w:rsidRPr="001C63E0" w:rsidRDefault="001C63E0" w:rsidP="001C63E0">
      <w:pPr>
        <w:spacing w:before="120"/>
        <w:rPr>
          <w:rFonts w:cs="Arial"/>
          <w:lang w:val="it-IT"/>
        </w:rPr>
      </w:pPr>
    </w:p>
    <w:p w:rsidR="001C63E0" w:rsidRPr="001C63E0" w:rsidRDefault="001C63E0" w:rsidP="00357DAC">
      <w:pPr>
        <w:rPr>
          <w:rFonts w:cs="Arial"/>
        </w:rPr>
      </w:pPr>
      <w:r w:rsidRPr="001C63E0">
        <w:rPr>
          <w:rFonts w:cs="Arial"/>
        </w:rPr>
        <w:t>L’ipotetica evoluzione del capitale investito secondo le due strategie proposte (</w:t>
      </w:r>
      <w:r w:rsidRPr="001C63E0">
        <w:rPr>
          <w:rFonts w:cs="Arial"/>
          <w:i/>
          <w:iCs/>
        </w:rPr>
        <w:t>buy and hold</w:t>
      </w:r>
      <w:r w:rsidRPr="001C63E0">
        <w:rPr>
          <w:rFonts w:cs="Arial"/>
        </w:rPr>
        <w:t xml:space="preserve"> rispettivamente </w:t>
      </w:r>
      <w:r w:rsidRPr="001C63E0">
        <w:rPr>
          <w:rFonts w:cs="Arial"/>
          <w:i/>
          <w:iCs/>
        </w:rPr>
        <w:t>SMA 10m</w:t>
      </w:r>
      <w:r w:rsidRPr="001C63E0">
        <w:rPr>
          <w:rFonts w:cs="Arial"/>
        </w:rPr>
        <w:t>) sono riassunte nel grafico seguente, sia nella variante ipotetica senza costi di gestione sia in quella più verosimile con costi annui dello 0.5% del capitale investito.</w:t>
      </w:r>
    </w:p>
    <w:p w:rsidR="001C63E0" w:rsidRDefault="001C63E0" w:rsidP="001C63E0">
      <w:pPr>
        <w:spacing w:before="120"/>
        <w:rPr>
          <w:rFonts w:cs="Arial"/>
        </w:rPr>
      </w:pPr>
      <w:r w:rsidRPr="001C63E0">
        <w:rPr>
          <w:rFonts w:cs="Arial"/>
        </w:rPr>
        <w:t>Il secondo grafico mostra invece, per ognuna delle 781 serie storiche trentennali disponibili nel set di dati (le serie storiche sono scaglionate di un mese l’una dall’altra), come l’applicazione della strategia tattica automatica basata sulla media mobile a 10 mesi sarebbe stata capace di ridurre massicciamente la perdita massima (asse verticale) pur sostanzialmente preservando la redditività intesa come multiplo del capitale finale rispetto a quello iniziale (asse orizzontale).</w:t>
      </w:r>
    </w:p>
    <w:p w:rsidR="00357DAC" w:rsidRPr="001C63E0" w:rsidRDefault="00357DAC" w:rsidP="001C63E0">
      <w:pPr>
        <w:spacing w:before="120"/>
        <w:rPr>
          <w:rFonts w:cs="Arial"/>
        </w:rPr>
      </w:pPr>
    </w:p>
    <w:p w:rsidR="001C63E0" w:rsidRPr="001C63E0" w:rsidRDefault="001C63E0" w:rsidP="001C63E0">
      <w:pPr>
        <w:spacing w:before="120"/>
        <w:rPr>
          <w:rFonts w:cs="Arial"/>
        </w:rPr>
        <w:sectPr w:rsidR="001C63E0" w:rsidRPr="001C63E0" w:rsidSect="00892579">
          <w:footerReference w:type="default" r:id="rId58"/>
          <w:pgSz w:w="11906" w:h="16838"/>
          <w:pgMar w:top="1134" w:right="1134" w:bottom="1134" w:left="1134" w:header="567" w:footer="567" w:gutter="0"/>
          <w:cols w:space="708"/>
          <w:docGrid w:linePitch="360"/>
        </w:sectPr>
      </w:pPr>
    </w:p>
    <w:p w:rsidR="001C63E0" w:rsidRPr="001C63E0" w:rsidRDefault="001C63E0" w:rsidP="001C63E0">
      <w:pPr>
        <w:spacing w:before="120"/>
        <w:jc w:val="center"/>
        <w:rPr>
          <w:rFonts w:cs="Arial"/>
        </w:rPr>
      </w:pPr>
      <w:r w:rsidRPr="001C63E0">
        <w:rPr>
          <w:rFonts w:cs="Arial"/>
          <w:noProof/>
          <w:lang w:eastAsia="it-CH"/>
        </w:rPr>
        <w:lastRenderedPageBreak/>
        <w:drawing>
          <wp:inline distT="0" distB="0" distL="0" distR="0" wp14:anchorId="4C9C77AD" wp14:editId="29A80D74">
            <wp:extent cx="9503228" cy="6120130"/>
            <wp:effectExtent l="0" t="0" r="3175" b="13970"/>
            <wp:docPr id="22" name="Chart 22">
              <a:extLst xmlns:a="http://schemas.openxmlformats.org/drawingml/2006/main">
                <a:ext uri="{FF2B5EF4-FFF2-40B4-BE49-F238E27FC236}">
                  <a16:creationId xmlns:a16="http://schemas.microsoft.com/office/drawing/2014/main" id="{B89335DA-C0F0-4F1C-99ED-6953930FD8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C63E0" w:rsidRPr="001C63E0" w:rsidRDefault="001C63E0" w:rsidP="001C63E0">
      <w:pPr>
        <w:spacing w:before="120"/>
        <w:rPr>
          <w:rFonts w:cs="Arial"/>
        </w:rPr>
      </w:pPr>
      <w:r w:rsidRPr="001C63E0">
        <w:rPr>
          <w:rFonts w:cs="Arial"/>
          <w:noProof/>
          <w:lang w:eastAsia="it-CH"/>
        </w:rPr>
        <w:lastRenderedPageBreak/>
        <w:drawing>
          <wp:inline distT="0" distB="0" distL="0" distR="0" wp14:anchorId="2F18DA4E" wp14:editId="677BC0E5">
            <wp:extent cx="9432925" cy="4853904"/>
            <wp:effectExtent l="0" t="0" r="0" b="4445"/>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470456" cy="4873216"/>
                    </a:xfrm>
                    <a:prstGeom prst="rect">
                      <a:avLst/>
                    </a:prstGeom>
                    <a:noFill/>
                  </pic:spPr>
                </pic:pic>
              </a:graphicData>
            </a:graphic>
          </wp:inline>
        </w:drawing>
      </w:r>
    </w:p>
    <w:p w:rsidR="001C63E0" w:rsidRPr="001C63E0" w:rsidRDefault="001C63E0" w:rsidP="001C63E0">
      <w:pPr>
        <w:spacing w:before="120"/>
        <w:rPr>
          <w:rFonts w:cs="Arial"/>
        </w:rPr>
      </w:pPr>
    </w:p>
    <w:p w:rsidR="001C63E0" w:rsidRPr="001C63E0" w:rsidRDefault="001C63E0" w:rsidP="001C63E0">
      <w:pPr>
        <w:spacing w:before="120"/>
        <w:rPr>
          <w:rFonts w:cs="Arial"/>
        </w:rPr>
      </w:pPr>
    </w:p>
    <w:p w:rsidR="001C63E0" w:rsidRPr="001C63E0" w:rsidRDefault="001C63E0" w:rsidP="001C63E0">
      <w:pPr>
        <w:spacing w:before="120"/>
        <w:rPr>
          <w:rFonts w:cs="Arial"/>
        </w:rPr>
        <w:sectPr w:rsidR="001C63E0" w:rsidRPr="001C63E0" w:rsidSect="00892579">
          <w:pgSz w:w="16838" w:h="11906" w:orient="landscape"/>
          <w:pgMar w:top="1134" w:right="1134" w:bottom="1134" w:left="1134" w:header="567" w:footer="567" w:gutter="0"/>
          <w:cols w:space="708"/>
          <w:docGrid w:linePitch="360"/>
        </w:sectPr>
      </w:pPr>
    </w:p>
    <w:p w:rsidR="001C63E0" w:rsidRPr="001C63E0" w:rsidRDefault="001C63E0" w:rsidP="001C63E0">
      <w:pPr>
        <w:keepNext/>
        <w:tabs>
          <w:tab w:val="left" w:pos="709"/>
        </w:tabs>
        <w:spacing w:before="120"/>
        <w:ind w:left="360" w:hanging="360"/>
        <w:outlineLvl w:val="1"/>
        <w:rPr>
          <w:rFonts w:cs="Arial"/>
          <w:b/>
          <w:lang w:val="it-IT" w:eastAsia="it-IT"/>
        </w:rPr>
      </w:pPr>
      <w:bookmarkStart w:id="82" w:name="_Toc98976139"/>
      <w:r w:rsidRPr="001C63E0">
        <w:rPr>
          <w:rFonts w:cs="Arial"/>
          <w:b/>
          <w:lang w:val="it-IT" w:eastAsia="it-IT"/>
        </w:rPr>
        <w:lastRenderedPageBreak/>
        <w:t>A.3</w:t>
      </w:r>
      <w:r w:rsidRPr="001C63E0">
        <w:rPr>
          <w:rFonts w:cs="Arial"/>
          <w:b/>
          <w:lang w:val="it-IT" w:eastAsia="it-IT"/>
        </w:rPr>
        <w:tab/>
        <w:t>Ulteriori possibili sviluppi</w:t>
      </w:r>
      <w:bookmarkEnd w:id="82"/>
    </w:p>
    <w:p w:rsidR="001C63E0" w:rsidRPr="001C63E0" w:rsidRDefault="001C63E0" w:rsidP="001C63E0">
      <w:pPr>
        <w:spacing w:before="120"/>
        <w:rPr>
          <w:rFonts w:cs="Arial"/>
        </w:rPr>
      </w:pPr>
      <w:r w:rsidRPr="001C63E0">
        <w:rPr>
          <w:rFonts w:cs="Arial"/>
        </w:rPr>
        <w:t xml:space="preserve">Le analisi che precedono si sono unicamente chinate sull’investimento nel mercato finanziario azionario mondiale applicando o meno tecniche quantitative per determinare l’esposizione del portafoglio all’investimento o la sua tenuta in forma liquida. Come si è detto, l’approccio orientato alla media mobile prende sovente il nome di </w:t>
      </w:r>
      <w:r w:rsidRPr="001C63E0">
        <w:rPr>
          <w:rFonts w:cs="Arial"/>
          <w:i/>
          <w:iCs/>
        </w:rPr>
        <w:t>trend following</w:t>
      </w:r>
      <w:r w:rsidRPr="001C63E0">
        <w:rPr>
          <w:rFonts w:cs="Arial"/>
        </w:rPr>
        <w:t>, ossia orientamento alla tendenza del mercato.</w:t>
      </w:r>
    </w:p>
    <w:p w:rsidR="001C63E0" w:rsidRPr="001C63E0" w:rsidRDefault="001C63E0" w:rsidP="001C63E0">
      <w:pPr>
        <w:spacing w:before="120"/>
        <w:rPr>
          <w:rFonts w:cs="Arial"/>
        </w:rPr>
      </w:pPr>
      <w:r w:rsidRPr="001C63E0">
        <w:rPr>
          <w:rFonts w:cs="Arial"/>
        </w:rPr>
        <w:t>La direzione del mercato è stata oggetto di approfondimento accademico nel corso di molti decenni. Narasimhan Jegadeesh e Sheridan Titman constatarono nel 1993</w:t>
      </w:r>
      <w:r w:rsidRPr="001C63E0">
        <w:rPr>
          <w:rFonts w:cs="Arial"/>
          <w:vertAlign w:val="superscript"/>
        </w:rPr>
        <w:footnoteReference w:id="106"/>
      </w:r>
      <w:r w:rsidRPr="001C63E0">
        <w:rPr>
          <w:rFonts w:cs="Arial"/>
        </w:rPr>
        <w:t xml:space="preserve"> la persistenza di guadagno (e di perdita) dei titoli finanziari, un concetto che prende pure il nome di </w:t>
      </w:r>
      <w:r w:rsidRPr="001C63E0">
        <w:rPr>
          <w:rFonts w:cs="Arial"/>
          <w:i/>
          <w:iCs/>
        </w:rPr>
        <w:t>momentum</w:t>
      </w:r>
      <w:r w:rsidRPr="001C63E0">
        <w:rPr>
          <w:rFonts w:cs="Arial"/>
        </w:rPr>
        <w:t>. Gli approfondimenti e le pubblicazioni fatte negli anni ’90 da Marc Carthart</w:t>
      </w:r>
      <w:r w:rsidRPr="001C63E0">
        <w:rPr>
          <w:rFonts w:cs="Arial"/>
          <w:vertAlign w:val="superscript"/>
        </w:rPr>
        <w:footnoteReference w:id="107"/>
      </w:r>
      <w:r w:rsidRPr="001C63E0">
        <w:rPr>
          <w:rFonts w:cs="Arial"/>
        </w:rPr>
        <w:t xml:space="preserve"> fecero sì che, alla luce della persistenza del </w:t>
      </w:r>
      <w:r w:rsidRPr="001C63E0">
        <w:rPr>
          <w:rFonts w:cs="Arial"/>
          <w:i/>
          <w:iCs/>
        </w:rPr>
        <w:t>momentum</w:t>
      </w:r>
      <w:r w:rsidRPr="001C63E0">
        <w:rPr>
          <w:rFonts w:cs="Arial"/>
        </w:rPr>
        <w:t xml:space="preserve"> come fattore di rendimento nei mercati, esso fosse incluso quale quarto fattore nel modello sviluppato dal premio Nobel per l’economia 2013 Eugene Fama in collaborazione con Kenneth French, capace di spiegare sistematicamente le differenze di rendimento dei titoli.</w:t>
      </w:r>
    </w:p>
    <w:p w:rsidR="001C63E0" w:rsidRPr="001C63E0" w:rsidRDefault="001C63E0" w:rsidP="001C63E0">
      <w:pPr>
        <w:spacing w:before="120"/>
        <w:rPr>
          <w:rFonts w:cs="Arial"/>
        </w:rPr>
      </w:pPr>
      <w:r w:rsidRPr="001C63E0">
        <w:rPr>
          <w:rFonts w:cs="Arial"/>
        </w:rPr>
        <w:t xml:space="preserve">I lavori fatti sul </w:t>
      </w:r>
      <w:r w:rsidRPr="001C63E0">
        <w:rPr>
          <w:rFonts w:cs="Arial"/>
          <w:i/>
          <w:iCs/>
        </w:rPr>
        <w:t>momentum</w:t>
      </w:r>
      <w:r w:rsidRPr="001C63E0">
        <w:rPr>
          <w:rFonts w:cs="Arial"/>
        </w:rPr>
        <w:t xml:space="preserve"> vertono pertanto non solo sull’idea di seguire le tendenze di mercato, ma in particolare di esporsi selettivamente in titoli o perlomeno classi di attivi finanziari con una tendenza favorevole. Applicando simili metodi quantitativi ad un più ampio universo di possibili classi di investimento tra le quali muoversi è possibile ottenere risultati ancora migliori in termini di performance assoluta e riduzione del rischio di perdita massima. </w:t>
      </w:r>
    </w:p>
    <w:p w:rsidR="001C63E0" w:rsidRPr="001C63E0" w:rsidRDefault="001C63E0" w:rsidP="001C63E0">
      <w:pPr>
        <w:spacing w:before="120"/>
        <w:rPr>
          <w:rFonts w:cs="Arial"/>
        </w:rPr>
      </w:pPr>
      <w:r w:rsidRPr="001C63E0">
        <w:rPr>
          <w:rFonts w:cs="Arial"/>
        </w:rPr>
        <w:t>Con classi di investimento si intendono segnatamente azioni di grandi impese, azioni di piccole imprese, azioni sottovalutate (</w:t>
      </w:r>
      <w:r w:rsidRPr="001C63E0">
        <w:rPr>
          <w:rFonts w:cs="Arial"/>
          <w:i/>
          <w:iCs/>
        </w:rPr>
        <w:t>value stocks</w:t>
      </w:r>
      <w:r w:rsidRPr="001C63E0">
        <w:rPr>
          <w:rFonts w:cs="Arial"/>
        </w:rPr>
        <w:t>), azioni a tendenza di crescita (</w:t>
      </w:r>
      <w:r w:rsidRPr="001C63E0">
        <w:rPr>
          <w:rFonts w:cs="Arial"/>
          <w:i/>
          <w:iCs/>
        </w:rPr>
        <w:t>growth stocks</w:t>
      </w:r>
      <w:r w:rsidRPr="001C63E0">
        <w:rPr>
          <w:rFonts w:cs="Arial"/>
        </w:rPr>
        <w:t>), azioni dei mercati emergenti, materie prime, metalli preziosi, mercato immobiliare, buoni del tesoro a corto termine, a lungo termine, obbligazioni aziendali. Oggigiorno esistono prodotti finanziari capaci di investire con comodità e in modo dinamico nelle suddette classi di titoli finanziari, si pensi in particolare agli ETF (</w:t>
      </w:r>
      <w:r w:rsidRPr="001C63E0">
        <w:rPr>
          <w:rFonts w:cs="Arial"/>
          <w:i/>
          <w:iCs/>
        </w:rPr>
        <w:t>exchanged traded funds</w:t>
      </w:r>
      <w:r w:rsidRPr="001C63E0">
        <w:rPr>
          <w:rFonts w:cs="Arial"/>
        </w:rPr>
        <w:t>), fondi di investimento quotati sui mercati finanziari estremamente liquidi e dai costi ridotti. A titolo di esempio, un approccio quantitativo fedele a quanto precede è stato documentato nel 2017 da Meb Faber</w:t>
      </w:r>
      <w:r w:rsidRPr="001C63E0">
        <w:rPr>
          <w:rFonts w:cs="Arial"/>
          <w:vertAlign w:val="superscript"/>
        </w:rPr>
        <w:footnoteReference w:id="108"/>
      </w:r>
      <w:r w:rsidRPr="001C63E0">
        <w:rPr>
          <w:rFonts w:cs="Arial"/>
        </w:rPr>
        <w:t xml:space="preserve">, il quale a 10 anni di distanza ha validato con dati </w:t>
      </w:r>
      <w:r w:rsidRPr="001C63E0">
        <w:rPr>
          <w:rFonts w:cs="Arial"/>
          <w:i/>
          <w:iCs/>
        </w:rPr>
        <w:t xml:space="preserve">out of sample </w:t>
      </w:r>
      <w:r w:rsidRPr="001C63E0">
        <w:rPr>
          <w:rFonts w:cs="Arial"/>
        </w:rPr>
        <w:t>una sua pubblicazione del 2006.</w:t>
      </w:r>
    </w:p>
    <w:p w:rsidR="001C63E0" w:rsidRDefault="001C63E0" w:rsidP="001C63E0">
      <w:pPr>
        <w:spacing w:before="120"/>
        <w:rPr>
          <w:rFonts w:cs="Arial"/>
        </w:rPr>
      </w:pPr>
      <w:r w:rsidRPr="001C63E0">
        <w:rPr>
          <w:rFonts w:cs="Arial"/>
        </w:rPr>
        <w:t>In generale, questo genere di approcci quantitativi, sempre intesi con cadenze temporali e rotazioni del portafoglio lente su base al massimo mensile, tende a ridurre ulteriormente le perdite massime in corso d’opera (</w:t>
      </w:r>
      <w:r w:rsidRPr="001C63E0">
        <w:rPr>
          <w:rFonts w:cs="Arial"/>
          <w:i/>
          <w:iCs/>
        </w:rPr>
        <w:t>maximum drawdowns</w:t>
      </w:r>
      <w:r w:rsidRPr="001C63E0">
        <w:rPr>
          <w:rFonts w:cs="Arial"/>
        </w:rPr>
        <w:t>) pur mantenendo una reddittività del portafoglio simile all’investimento continuo nei mercati azionari.</w:t>
      </w:r>
    </w:p>
    <w:p w:rsidR="00357DAC" w:rsidRPr="001C63E0" w:rsidRDefault="00357DAC" w:rsidP="001C63E0">
      <w:pPr>
        <w:spacing w:before="120"/>
        <w:rPr>
          <w:rFonts w:cs="Arial"/>
        </w:rPr>
      </w:pPr>
    </w:p>
    <w:sectPr w:rsidR="00357DAC" w:rsidRPr="001C63E0" w:rsidSect="00D37DD1">
      <w:footerReference w:type="default" r:id="rId61"/>
      <w:pgSz w:w="11906" w:h="16838"/>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942" w:rsidRDefault="00DF2942" w:rsidP="008E77C6">
      <w:r>
        <w:separator/>
      </w:r>
    </w:p>
  </w:endnote>
  <w:endnote w:type="continuationSeparator" w:id="0">
    <w:p w:rsidR="00DF2942" w:rsidRDefault="00DF2942"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400435"/>
      <w:docPartObj>
        <w:docPartGallery w:val="Page Numbers (Bottom of Page)"/>
        <w:docPartUnique/>
      </w:docPartObj>
    </w:sdtPr>
    <w:sdtEndPr>
      <w:rPr>
        <w:sz w:val="20"/>
        <w:szCs w:val="20"/>
      </w:rPr>
    </w:sdtEndPr>
    <w:sdtContent>
      <w:p w:rsidR="00DF2942" w:rsidRPr="008E77C6" w:rsidRDefault="00DF2942">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C533FF" w:rsidRPr="00C533FF">
          <w:rPr>
            <w:noProof/>
            <w:sz w:val="20"/>
            <w:szCs w:val="20"/>
            <w:lang w:val="it-IT"/>
          </w:rPr>
          <w:t>62</w:t>
        </w:r>
        <w:r w:rsidRPr="008E77C6">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942" w:rsidRPr="008E77C6" w:rsidRDefault="00DF2942">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C533FF" w:rsidRPr="00C533FF">
      <w:rPr>
        <w:noProof/>
        <w:sz w:val="20"/>
        <w:szCs w:val="20"/>
        <w:lang w:val="it-IT"/>
      </w:rPr>
      <w:t>65</w:t>
    </w:r>
    <w:r w:rsidRPr="008E77C6">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942" w:rsidRDefault="00DF2942" w:rsidP="008E77C6">
      <w:r>
        <w:separator/>
      </w:r>
    </w:p>
  </w:footnote>
  <w:footnote w:type="continuationSeparator" w:id="0">
    <w:p w:rsidR="00DF2942" w:rsidRDefault="00DF2942" w:rsidP="008E77C6">
      <w:r>
        <w:continuationSeparator/>
      </w:r>
    </w:p>
  </w:footnote>
  <w:footnote w:id="1">
    <w:p w:rsidR="00DF2942" w:rsidRPr="00F925ED" w:rsidRDefault="00DF2942" w:rsidP="00056BEE">
      <w:pPr>
        <w:pStyle w:val="Testonotaapidipagina"/>
        <w:spacing w:after="0"/>
        <w:rPr>
          <w:sz w:val="20"/>
          <w:lang w:val="it-CH"/>
        </w:rPr>
      </w:pPr>
      <w:r w:rsidRPr="00F925ED">
        <w:rPr>
          <w:rStyle w:val="Rimandonotaapidipagina"/>
          <w:sz w:val="20"/>
          <w:lang w:val="it-CH"/>
        </w:rPr>
        <w:footnoteRef/>
      </w:r>
      <w:r w:rsidRPr="00F925ED">
        <w:rPr>
          <w:sz w:val="20"/>
          <w:lang w:val="it-CH"/>
        </w:rPr>
        <w:t xml:space="preserve"> Cfr. </w:t>
      </w:r>
      <w:r w:rsidRPr="00F925ED">
        <w:rPr>
          <w:rFonts w:cs="Arial"/>
          <w:sz w:val="20"/>
          <w:lang w:val="it-CH"/>
        </w:rPr>
        <w:t xml:space="preserve">sedute </w:t>
      </w:r>
      <w:hyperlink r:id="rId1" w:history="1">
        <w:r w:rsidRPr="00F925ED">
          <w:rPr>
            <w:rStyle w:val="Collegamentoipertestuale"/>
            <w:rFonts w:cs="Arial"/>
            <w:sz w:val="20"/>
            <w:lang w:val="it-CH"/>
          </w:rPr>
          <w:t>XXVI</w:t>
        </w:r>
      </w:hyperlink>
      <w:r w:rsidRPr="00F925ED">
        <w:rPr>
          <w:rFonts w:cs="Arial"/>
          <w:sz w:val="20"/>
          <w:lang w:val="it-CH"/>
        </w:rPr>
        <w:t xml:space="preserve"> e </w:t>
      </w:r>
      <w:hyperlink r:id="rId2" w:history="1">
        <w:r w:rsidRPr="00F925ED">
          <w:rPr>
            <w:rStyle w:val="Collegamentoipertestuale"/>
            <w:rFonts w:cs="Arial"/>
            <w:sz w:val="20"/>
            <w:lang w:val="it-CH"/>
          </w:rPr>
          <w:t>XXVII</w:t>
        </w:r>
      </w:hyperlink>
      <w:r w:rsidRPr="00F925ED">
        <w:rPr>
          <w:rFonts w:cs="Arial"/>
          <w:sz w:val="20"/>
          <w:lang w:val="it-CH"/>
        </w:rPr>
        <w:t xml:space="preserve"> anno parlamentare 2012/2013.</w:t>
      </w:r>
    </w:p>
  </w:footnote>
  <w:footnote w:id="2">
    <w:p w:rsidR="00DF2942" w:rsidRPr="00F925ED" w:rsidRDefault="00DF2942" w:rsidP="00056BEE">
      <w:pPr>
        <w:pStyle w:val="Testonotaapidipagina"/>
        <w:spacing w:after="0"/>
        <w:rPr>
          <w:sz w:val="20"/>
          <w:lang w:val="it-CH"/>
        </w:rPr>
      </w:pPr>
      <w:r w:rsidRPr="00F925ED">
        <w:rPr>
          <w:rStyle w:val="Rimandonotaapidipagina"/>
          <w:sz w:val="20"/>
          <w:lang w:val="it-CH"/>
        </w:rPr>
        <w:footnoteRef/>
      </w:r>
      <w:r w:rsidRPr="00F925ED">
        <w:rPr>
          <w:sz w:val="20"/>
          <w:lang w:val="it-CH"/>
        </w:rPr>
        <w:t xml:space="preserve"> </w:t>
      </w:r>
      <w:hyperlink r:id="rId3" w:history="1">
        <w:r w:rsidRPr="00F925ED">
          <w:rPr>
            <w:rStyle w:val="Collegamentoipertestuale"/>
            <w:sz w:val="20"/>
            <w:lang w:val="it-CH"/>
          </w:rPr>
          <w:t>Rapporto di minoranza</w:t>
        </w:r>
      </w:hyperlink>
      <w:r w:rsidRPr="00F925ED">
        <w:rPr>
          <w:sz w:val="20"/>
          <w:lang w:val="it-CH"/>
        </w:rPr>
        <w:t xml:space="preserve"> del 23 ottobre 2012 di Fabio Badasci.</w:t>
      </w:r>
    </w:p>
  </w:footnote>
  <w:footnote w:id="3">
    <w:p w:rsidR="00DF2942" w:rsidRPr="00F925ED" w:rsidRDefault="00DF2942" w:rsidP="00056BEE">
      <w:pPr>
        <w:pStyle w:val="Testonotaapidipagina"/>
        <w:spacing w:after="0"/>
        <w:rPr>
          <w:sz w:val="20"/>
          <w:lang w:val="it-CH"/>
        </w:rPr>
      </w:pPr>
      <w:r w:rsidRPr="00F925ED">
        <w:rPr>
          <w:rStyle w:val="Rimandonotaapidipagina"/>
          <w:sz w:val="20"/>
          <w:lang w:val="it-CH"/>
        </w:rPr>
        <w:footnoteRef/>
      </w:r>
      <w:r w:rsidRPr="00F925ED">
        <w:rPr>
          <w:sz w:val="20"/>
          <w:lang w:val="it-CH"/>
        </w:rPr>
        <w:t xml:space="preserve"> Si veda il capitolo 1.2 del presente rapporto.</w:t>
      </w:r>
    </w:p>
  </w:footnote>
  <w:footnote w:id="4">
    <w:p w:rsidR="00DF2942" w:rsidRPr="00F925ED" w:rsidRDefault="00DF2942" w:rsidP="00056BEE">
      <w:pPr>
        <w:pStyle w:val="Testonotaapidipagina"/>
        <w:spacing w:after="0"/>
        <w:rPr>
          <w:szCs w:val="22"/>
          <w:lang w:val="it-CH"/>
        </w:rPr>
      </w:pPr>
      <w:r w:rsidRPr="00F925ED">
        <w:rPr>
          <w:rStyle w:val="Rimandonotaapidipagina"/>
          <w:sz w:val="20"/>
          <w:lang w:val="it-CH"/>
        </w:rPr>
        <w:footnoteRef/>
      </w:r>
      <w:r w:rsidRPr="00F925ED">
        <w:rPr>
          <w:sz w:val="20"/>
          <w:lang w:val="it-CH"/>
        </w:rPr>
        <w:t xml:space="preserve"> La sezione 1.1 è ripresa dal rapporto di maggioranza n. </w:t>
      </w:r>
      <w:hyperlink r:id="rId4" w:history="1">
        <w:r w:rsidRPr="00F925ED">
          <w:rPr>
            <w:rStyle w:val="Collegamentoipertestuale"/>
            <w:sz w:val="20"/>
            <w:lang w:val="it-CH"/>
          </w:rPr>
          <w:t>6666 R1</w:t>
        </w:r>
      </w:hyperlink>
      <w:r w:rsidRPr="00F925ED">
        <w:rPr>
          <w:sz w:val="20"/>
          <w:lang w:val="it-CH"/>
        </w:rPr>
        <w:t xml:space="preserve"> (pp. 14-17). Pare importante riproporlo in questa sede, visto che in qualche modo consente di contestualizzare sia la revisione del novembre 2012 sia la richiesta (contributo integrativo di CHF</w:t>
      </w:r>
      <w:r>
        <w:rPr>
          <w:sz w:val="20"/>
          <w:lang w:val="it-CH"/>
        </w:rPr>
        <w:t xml:space="preserve"> </w:t>
      </w:r>
      <w:r w:rsidRPr="00F925ED">
        <w:rPr>
          <w:sz w:val="20"/>
          <w:lang w:val="it-CH"/>
        </w:rPr>
        <w:t xml:space="preserve">500 milioni) contenuta nel messaggio n. </w:t>
      </w:r>
      <w:hyperlink r:id="rId5" w:history="1">
        <w:r w:rsidRPr="00F925ED">
          <w:rPr>
            <w:rStyle w:val="Collegamentoipertestuale"/>
            <w:sz w:val="20"/>
            <w:lang w:val="it-CH"/>
          </w:rPr>
          <w:t>7784</w:t>
        </w:r>
      </w:hyperlink>
      <w:r w:rsidRPr="00F925ED">
        <w:rPr>
          <w:sz w:val="20"/>
          <w:lang w:val="it-CH"/>
        </w:rPr>
        <w:t>.</w:t>
      </w:r>
    </w:p>
  </w:footnote>
  <w:footnote w:id="5">
    <w:p w:rsidR="00DF2942" w:rsidRPr="002E2298" w:rsidRDefault="00DF2942" w:rsidP="001C63E0">
      <w:pPr>
        <w:pStyle w:val="Testonotaapidipagina"/>
        <w:rPr>
          <w:sz w:val="20"/>
          <w:lang w:val="it-CH"/>
        </w:rPr>
      </w:pPr>
      <w:r w:rsidRPr="002E2298">
        <w:rPr>
          <w:rStyle w:val="Rimandonotaapidipagina"/>
          <w:sz w:val="20"/>
          <w:lang w:val="it-CH"/>
        </w:rPr>
        <w:footnoteRef/>
      </w:r>
      <w:r w:rsidRPr="002E2298">
        <w:rPr>
          <w:sz w:val="20"/>
          <w:lang w:val="it-CH"/>
        </w:rPr>
        <w:t xml:space="preserve"> Messaggio n. </w:t>
      </w:r>
      <w:hyperlink r:id="rId6" w:history="1">
        <w:r w:rsidRPr="002E2298">
          <w:rPr>
            <w:rStyle w:val="Collegamentoipertestuale"/>
            <w:sz w:val="20"/>
            <w:lang w:val="it-CH"/>
          </w:rPr>
          <w:t>08.069</w:t>
        </w:r>
      </w:hyperlink>
      <w:r w:rsidRPr="002E2298">
        <w:rPr>
          <w:sz w:val="20"/>
          <w:lang w:val="it-CH"/>
        </w:rPr>
        <w:t xml:space="preserve"> (19 settembre 2008) del Consiglio federale "Modifica della legge federale sulla previdenza professionale per la vecchiaia, i superstiti e l’invalidità: finanziamento degli istituti di previdenza delle corporazioni di diritto pubblico" (</w:t>
      </w:r>
      <w:hyperlink r:id="rId7" w:history="1">
        <w:r w:rsidRPr="002E2298">
          <w:rPr>
            <w:rStyle w:val="Collegamentoipertestuale"/>
            <w:sz w:val="20"/>
            <w:lang w:val="it-CH"/>
          </w:rPr>
          <w:t>FF 2008 7339</w:t>
        </w:r>
      </w:hyperlink>
      <w:r w:rsidRPr="002E2298">
        <w:rPr>
          <w:sz w:val="20"/>
          <w:lang w:val="it-CH"/>
        </w:rPr>
        <w:t xml:space="preserve"> per il testo del messaggio; </w:t>
      </w:r>
      <w:hyperlink r:id="rId8" w:history="1">
        <w:r w:rsidRPr="002E2298">
          <w:rPr>
            <w:rStyle w:val="Collegamentoipertestuale"/>
            <w:sz w:val="20"/>
            <w:lang w:val="it-CH"/>
          </w:rPr>
          <w:t>FF 2010 7965</w:t>
        </w:r>
      </w:hyperlink>
      <w:r w:rsidRPr="002E2298">
        <w:rPr>
          <w:sz w:val="20"/>
          <w:lang w:val="it-CH"/>
        </w:rPr>
        <w:t xml:space="preserve"> per il testo del voto finale).</w:t>
      </w:r>
    </w:p>
  </w:footnote>
  <w:footnote w:id="6">
    <w:p w:rsidR="00DF2942" w:rsidRPr="002E2298" w:rsidRDefault="00DF2942" w:rsidP="00DF2942">
      <w:pPr>
        <w:pStyle w:val="Testonotaapidipagina"/>
        <w:spacing w:before="120" w:after="0"/>
        <w:rPr>
          <w:sz w:val="20"/>
          <w:lang w:val="it-CH"/>
        </w:rPr>
      </w:pPr>
      <w:r w:rsidRPr="002E2298">
        <w:rPr>
          <w:rStyle w:val="Rimandonotaapidipagina"/>
          <w:sz w:val="20"/>
          <w:lang w:val="it-CH"/>
        </w:rPr>
        <w:footnoteRef/>
      </w:r>
      <w:r w:rsidRPr="002E2298">
        <w:rPr>
          <w:sz w:val="20"/>
          <w:lang w:val="it-CH"/>
        </w:rPr>
        <w:t xml:space="preserve"> Messaggio n. </w:t>
      </w:r>
      <w:hyperlink r:id="rId9" w:history="1">
        <w:r w:rsidRPr="002E2298">
          <w:rPr>
            <w:rStyle w:val="Collegamentoipertestuale"/>
            <w:sz w:val="20"/>
            <w:lang w:val="it-CH"/>
          </w:rPr>
          <w:t>7784</w:t>
        </w:r>
      </w:hyperlink>
      <w:r w:rsidRPr="002E2298">
        <w:rPr>
          <w:sz w:val="20"/>
          <w:lang w:val="it-CH"/>
        </w:rPr>
        <w:t>, p. 6.</w:t>
      </w:r>
    </w:p>
  </w:footnote>
  <w:footnote w:id="7">
    <w:p w:rsidR="00DF2942" w:rsidRPr="002E2298" w:rsidRDefault="00DF2942" w:rsidP="00DF2942">
      <w:pPr>
        <w:pStyle w:val="Testonotaapidipagina"/>
        <w:spacing w:after="0"/>
        <w:rPr>
          <w:sz w:val="20"/>
          <w:lang w:val="it-CH"/>
        </w:rPr>
      </w:pPr>
      <w:r w:rsidRPr="002E2298">
        <w:rPr>
          <w:rStyle w:val="Rimandonotaapidipagina"/>
          <w:sz w:val="20"/>
          <w:lang w:val="it-CH"/>
        </w:rPr>
        <w:footnoteRef/>
      </w:r>
      <w:r w:rsidRPr="002E2298">
        <w:rPr>
          <w:sz w:val="20"/>
          <w:lang w:val="it-CH"/>
        </w:rPr>
        <w:t xml:space="preserve"> Si trattava di poco meno di 5’000 persone a fine 2012; a fine 2019 erano circa 1’900 e a fine 2020 saranno circa 1’500 (cfr. verbale della seduta della Sottocommissione "Finanze" di martedì 21 luglio 2020, p. 18).</w:t>
      </w:r>
    </w:p>
  </w:footnote>
  <w:footnote w:id="8">
    <w:p w:rsidR="00DF2942" w:rsidRPr="002E2298" w:rsidRDefault="00DF2942" w:rsidP="00DF2942">
      <w:pPr>
        <w:pStyle w:val="Testonotaapidipagina"/>
        <w:spacing w:after="0"/>
        <w:rPr>
          <w:sz w:val="20"/>
          <w:lang w:val="it-CH"/>
        </w:rPr>
      </w:pPr>
      <w:r w:rsidRPr="002E2298">
        <w:rPr>
          <w:rStyle w:val="Rimandonotaapidipagina"/>
          <w:sz w:val="20"/>
          <w:lang w:val="it-CH"/>
        </w:rPr>
        <w:footnoteRef/>
      </w:r>
      <w:r w:rsidRPr="002E2298">
        <w:rPr>
          <w:sz w:val="20"/>
          <w:lang w:val="it-CH"/>
        </w:rPr>
        <w:t xml:space="preserve"> Messaggio n. </w:t>
      </w:r>
      <w:hyperlink r:id="rId10" w:history="1">
        <w:r w:rsidRPr="002E2298">
          <w:rPr>
            <w:rStyle w:val="Collegamentoipertestuale"/>
            <w:sz w:val="20"/>
            <w:lang w:val="it-CH"/>
          </w:rPr>
          <w:t>7784</w:t>
        </w:r>
      </w:hyperlink>
      <w:r w:rsidRPr="002E2298">
        <w:rPr>
          <w:sz w:val="20"/>
          <w:lang w:val="it-CH"/>
        </w:rPr>
        <w:t xml:space="preserve">, p. 7. La base legale per le garanzie di pensione a beneficio degli affiliati che al 31 dicembre 2012 avevano più di 50 anni è l’art. 24 ["Norma transitoria In vigore dal 1° gennaio 2013] della </w:t>
      </w:r>
      <w:hyperlink r:id="rId11" w:history="1">
        <w:r w:rsidRPr="002E2298">
          <w:rPr>
            <w:rStyle w:val="Collegamentoipertestuale"/>
            <w:sz w:val="20"/>
            <w:lang w:val="it-CH"/>
          </w:rPr>
          <w:t>Legge sull’Istituto di previdenza del Cantone Ticino</w:t>
        </w:r>
      </w:hyperlink>
      <w:r w:rsidRPr="002E2298">
        <w:rPr>
          <w:sz w:val="20"/>
          <w:lang w:val="it-CH"/>
        </w:rPr>
        <w:t>.</w:t>
      </w:r>
    </w:p>
  </w:footnote>
  <w:footnote w:id="9">
    <w:p w:rsidR="00DF2942" w:rsidRPr="002E2298" w:rsidRDefault="00DF2942" w:rsidP="00DF2942">
      <w:pPr>
        <w:pStyle w:val="Testonotaapidipagina"/>
        <w:spacing w:after="0"/>
        <w:rPr>
          <w:sz w:val="20"/>
          <w:lang w:val="it-CH"/>
        </w:rPr>
      </w:pPr>
      <w:r w:rsidRPr="002E2298">
        <w:rPr>
          <w:rStyle w:val="Rimandonotaapidipagina"/>
          <w:sz w:val="20"/>
          <w:lang w:val="it-CH"/>
        </w:rPr>
        <w:footnoteRef/>
      </w:r>
      <w:r w:rsidRPr="002E2298">
        <w:rPr>
          <w:sz w:val="20"/>
          <w:lang w:val="it-CH"/>
        </w:rPr>
        <w:t xml:space="preserve"> Per gli assicurati beneficiari delle garanzie, il finanziamento del supplemento sostitutivo AVS/AI avviene secondo le norme in vigore prima della revisione del 2012 (art. 24 cpv. 9 </w:t>
      </w:r>
      <w:hyperlink r:id="rId12" w:history="1">
        <w:r w:rsidRPr="002E2298">
          <w:rPr>
            <w:rStyle w:val="Collegamentoipertestuale"/>
            <w:sz w:val="20"/>
            <w:lang w:val="it-CH"/>
          </w:rPr>
          <w:t>Legge sull’Istituto di previdenza del Cantone Ticino</w:t>
        </w:r>
      </w:hyperlink>
      <w:r w:rsidRPr="002E2298">
        <w:rPr>
          <w:sz w:val="20"/>
          <w:lang w:val="it-CH"/>
        </w:rPr>
        <w:t>: «</w:t>
      </w:r>
      <w:r w:rsidRPr="002E2298">
        <w:rPr>
          <w:i/>
          <w:sz w:val="20"/>
          <w:lang w:val="it-CH"/>
        </w:rPr>
        <w:t>Oltre all’importo garantito di pensione al 31 dicembre 2012 secondo il capoverso 3 viene assegnato il supplemento sostitutivo AVS/AI calcolato sulla base delle norme in vigore al 31.12.2012, ritenuto che l’importo stabilito viene adeguato all’evoluzione della rendita AVS/AI massima</w:t>
      </w:r>
      <w:r w:rsidRPr="002E2298">
        <w:rPr>
          <w:sz w:val="20"/>
          <w:lang w:val="it-CH"/>
        </w:rPr>
        <w:t>»): il 25% è a carico della cassa pensione e il 75% è a carico dei datori di lavoro e dei beneficiari della pensione.</w:t>
      </w:r>
    </w:p>
  </w:footnote>
  <w:footnote w:id="10">
    <w:p w:rsidR="00DF2942" w:rsidRPr="002E2298" w:rsidRDefault="00DF2942" w:rsidP="00DF2942">
      <w:pPr>
        <w:pStyle w:val="Testonotaapidipagina"/>
        <w:spacing w:after="0"/>
        <w:rPr>
          <w:sz w:val="20"/>
          <w:lang w:val="it-CH"/>
        </w:rPr>
      </w:pPr>
      <w:r w:rsidRPr="002E2298">
        <w:rPr>
          <w:rStyle w:val="Rimandonotaapidipagina"/>
          <w:sz w:val="20"/>
          <w:lang w:val="it-CH"/>
        </w:rPr>
        <w:footnoteRef/>
      </w:r>
      <w:r w:rsidRPr="002E2298">
        <w:rPr>
          <w:sz w:val="20"/>
          <w:lang w:val="it-CH"/>
        </w:rPr>
        <w:t xml:space="preserve"> Nel rapporto di maggioranza n. </w:t>
      </w:r>
      <w:hyperlink r:id="rId13" w:history="1">
        <w:r w:rsidRPr="002E2298">
          <w:rPr>
            <w:rStyle w:val="Collegamentoipertestuale"/>
            <w:sz w:val="20"/>
            <w:lang w:val="it-CH"/>
          </w:rPr>
          <w:t>6666 R1</w:t>
        </w:r>
      </w:hyperlink>
      <w:r w:rsidRPr="002E2298">
        <w:rPr>
          <w:sz w:val="20"/>
          <w:lang w:val="it-CH"/>
        </w:rPr>
        <w:t xml:space="preserve"> (p. 10) la Commissione della gestione e delle finanze commentava nel seguente modo tale provvedimento: «</w:t>
      </w:r>
      <w:r w:rsidRPr="002E2298">
        <w:rPr>
          <w:i/>
          <w:sz w:val="20"/>
          <w:lang w:val="it-CH"/>
        </w:rPr>
        <w:t>la sospensione dell’adeguamento delle pensioni al rincaro costituisce l’unica misura di risanamento della CPDS che tocca i pensionati, tra l’altro attualmente – e assai probabilmente anche nel corso dei prossimi anni – in maniera impalpabile, considerando l’evoluzione dell’inflazione (addirittura in senso negativo)</w:t>
      </w:r>
      <w:r w:rsidRPr="002E2298">
        <w:rPr>
          <w:sz w:val="20"/>
          <w:lang w:val="it-CH"/>
        </w:rPr>
        <w:t>».</w:t>
      </w:r>
    </w:p>
    <w:p w:rsidR="00DF2942" w:rsidRPr="002E2298" w:rsidRDefault="00DF2942" w:rsidP="00DF2942">
      <w:pPr>
        <w:pStyle w:val="Testonotaapidipagina"/>
        <w:spacing w:after="0"/>
        <w:rPr>
          <w:sz w:val="20"/>
          <w:lang w:val="it-CH"/>
        </w:rPr>
      </w:pPr>
      <w:r w:rsidRPr="002E2298">
        <w:rPr>
          <w:sz w:val="20"/>
          <w:lang w:val="it-CH"/>
        </w:rPr>
        <w:t xml:space="preserve">Nella risoluzione governativa n. 4178 de 22 agosto 2012 (cfr. rapporto di maggioranza n. </w:t>
      </w:r>
      <w:hyperlink r:id="rId14" w:history="1">
        <w:r w:rsidRPr="002E2298">
          <w:rPr>
            <w:rStyle w:val="Collegamentoipertestuale"/>
            <w:sz w:val="20"/>
            <w:lang w:val="it-CH"/>
          </w:rPr>
          <w:t>6666 R1</w:t>
        </w:r>
      </w:hyperlink>
      <w:r w:rsidRPr="002E2298">
        <w:rPr>
          <w:sz w:val="20"/>
          <w:lang w:val="it-CH"/>
        </w:rPr>
        <w:t xml:space="preserve">, </w:t>
      </w:r>
      <w:r w:rsidRPr="002E2298">
        <w:rPr>
          <w:sz w:val="20"/>
          <w:lang w:val="it-CH"/>
        </w:rPr>
        <w:br/>
        <w:t xml:space="preserve">p. 61) si specificava che le garanzie sono state estese </w:t>
      </w:r>
      <w:r w:rsidRPr="002E2298">
        <w:rPr>
          <w:rFonts w:cs="Arial"/>
          <w:sz w:val="20"/>
          <w:lang w:val="it-CH"/>
        </w:rPr>
        <w:t>«</w:t>
      </w:r>
      <w:r w:rsidRPr="002E2298">
        <w:rPr>
          <w:rFonts w:cs="Arial"/>
          <w:i/>
          <w:sz w:val="20"/>
          <w:lang w:val="it-CH"/>
        </w:rPr>
        <w:t>fino all’età di 50 anni per un motivo oggettivamente sostenibile. Infatti, qualora un assicurato volesse completare le prestazioni pensionistiche della CPDS con una copertura individuale aggiuntiva (ad esempio costituendo un terzo pilastro) deve poter disporre di un lasso di tempo adeguato allo scopo</w:t>
      </w:r>
      <w:r w:rsidRPr="002E2298">
        <w:rPr>
          <w:rFonts w:cs="Arial"/>
          <w:sz w:val="20"/>
          <w:lang w:val="it-CH"/>
        </w:rPr>
        <w:t>».</w:t>
      </w:r>
    </w:p>
  </w:footnote>
  <w:footnote w:id="11">
    <w:p w:rsidR="00DF2942" w:rsidRPr="002E2298" w:rsidRDefault="00DF2942" w:rsidP="00DF2942">
      <w:pPr>
        <w:pStyle w:val="Testonotaapidipagina"/>
        <w:spacing w:after="0"/>
        <w:rPr>
          <w:sz w:val="20"/>
          <w:lang w:val="it-CH"/>
        </w:rPr>
      </w:pPr>
      <w:r w:rsidRPr="002E2298">
        <w:rPr>
          <w:rStyle w:val="Rimandonotaapidipagina"/>
          <w:sz w:val="20"/>
          <w:lang w:val="it-CH"/>
        </w:rPr>
        <w:footnoteRef/>
      </w:r>
      <w:r w:rsidRPr="002E2298">
        <w:rPr>
          <w:sz w:val="20"/>
          <w:lang w:val="it-CH"/>
        </w:rPr>
        <w:t xml:space="preserve"> Nel 2012-2013 gli stipendi assicurati ammontavano complessivamente a poco meno di CHF 850 milioni (cfr. rapporto di maggioranza n. </w:t>
      </w:r>
      <w:hyperlink r:id="rId15" w:history="1">
        <w:r w:rsidRPr="002E2298">
          <w:rPr>
            <w:rStyle w:val="Collegamentoipertestuale"/>
            <w:sz w:val="20"/>
            <w:lang w:val="it-CH"/>
          </w:rPr>
          <w:t>6666 R1</w:t>
        </w:r>
      </w:hyperlink>
      <w:r w:rsidRPr="002E2298">
        <w:rPr>
          <w:sz w:val="20"/>
          <w:lang w:val="it-CH"/>
        </w:rPr>
        <w:t>, p. 10).</w:t>
      </w:r>
    </w:p>
  </w:footnote>
  <w:footnote w:id="12">
    <w:p w:rsidR="00DF2942" w:rsidRPr="002E2298" w:rsidRDefault="00DF2942" w:rsidP="00DF2942">
      <w:pPr>
        <w:pStyle w:val="Testonotaapidipagina"/>
        <w:rPr>
          <w:sz w:val="20"/>
          <w:lang w:val="it-CH"/>
        </w:rPr>
      </w:pPr>
      <w:r w:rsidRPr="002E2298">
        <w:rPr>
          <w:rStyle w:val="Rimandonotaapidipagina"/>
          <w:sz w:val="20"/>
          <w:lang w:val="it-CH"/>
        </w:rPr>
        <w:footnoteRef/>
      </w:r>
      <w:r w:rsidRPr="002E2298">
        <w:rPr>
          <w:sz w:val="20"/>
          <w:lang w:val="it-CH"/>
        </w:rPr>
        <w:t xml:space="preserve"> Nella risoluzione governativa n. 4155 del 20 agosto 2012 (cfr. rapporto di maggioranza </w:t>
      </w:r>
      <w:r w:rsidRPr="002E2298">
        <w:rPr>
          <w:sz w:val="20"/>
          <w:lang w:val="it-CH"/>
        </w:rPr>
        <w:br/>
        <w:t xml:space="preserve">n. </w:t>
      </w:r>
      <w:hyperlink r:id="rId16" w:history="1">
        <w:r w:rsidRPr="002E2298">
          <w:rPr>
            <w:rStyle w:val="Collegamentoipertestuale"/>
            <w:sz w:val="20"/>
            <w:lang w:val="it-CH"/>
          </w:rPr>
          <w:t>6666 R1</w:t>
        </w:r>
      </w:hyperlink>
      <w:r w:rsidRPr="002E2298">
        <w:rPr>
          <w:sz w:val="20"/>
          <w:lang w:val="it-CH"/>
        </w:rPr>
        <w:t>, p. 61), il Consiglio di Stato precisava che se il grado di copertura fosse del 100% il contributo di ricapitalizzazione sarebbe pari a CHF 785.5 milioni (con rate annuali di CHF 37.2 milioni), quindi di circa un terzo superiore a quello necessario per (ipoteticamente) coprire un grado di copertura dell’85%.</w:t>
      </w:r>
    </w:p>
  </w:footnote>
  <w:footnote w:id="13">
    <w:p w:rsidR="00DF2942" w:rsidRPr="002E2298" w:rsidRDefault="00DF2942" w:rsidP="001C63E0">
      <w:pPr>
        <w:pStyle w:val="Testonotaapidipagina"/>
        <w:spacing w:before="60"/>
        <w:rPr>
          <w:sz w:val="20"/>
          <w:lang w:val="it-CH"/>
        </w:rPr>
      </w:pPr>
      <w:r w:rsidRPr="002E2298">
        <w:rPr>
          <w:rStyle w:val="Rimandonotaapidipagina"/>
          <w:sz w:val="20"/>
          <w:lang w:val="it-CH"/>
        </w:rPr>
        <w:footnoteRef/>
      </w:r>
      <w:r w:rsidRPr="002E2298">
        <w:rPr>
          <w:sz w:val="20"/>
          <w:lang w:val="it-CH"/>
        </w:rPr>
        <w:t xml:space="preserve"> Nel messaggio n. </w:t>
      </w:r>
      <w:hyperlink r:id="rId17" w:history="1">
        <w:r w:rsidRPr="002E2298">
          <w:rPr>
            <w:rStyle w:val="Collegamentoipertestuale"/>
            <w:sz w:val="20"/>
            <w:lang w:val="it-CH"/>
          </w:rPr>
          <w:t>08.069</w:t>
        </w:r>
      </w:hyperlink>
      <w:r w:rsidRPr="002E2298">
        <w:rPr>
          <w:sz w:val="20"/>
          <w:lang w:val="it-CH"/>
        </w:rPr>
        <w:t xml:space="preserve"> (19 settembre 2008) "Modifica della legge federale sulla previdenza professionale per la vecchiaia, i superstiti e l’invalidità: finanziamento degli istituti di previdenza delle corporazioni di diritto pubblico" (</w:t>
      </w:r>
      <w:hyperlink r:id="rId18" w:history="1">
        <w:r w:rsidRPr="002E2298">
          <w:rPr>
            <w:rStyle w:val="Collegamentoipertestuale"/>
            <w:sz w:val="20"/>
            <w:lang w:val="it-CH"/>
          </w:rPr>
          <w:t>FF 2008 7339</w:t>
        </w:r>
      </w:hyperlink>
      <w:r w:rsidRPr="002E2298">
        <w:rPr>
          <w:sz w:val="20"/>
          <w:lang w:val="it-CH"/>
        </w:rPr>
        <w:t>), il Consiglio federale aveva previsto di introdurre per gli istituti di previdenza pubblici un (nuovo) grado obbligatorio di copertura pari al 100%, poi abbassato dalle Camere federali all’80% (</w:t>
      </w:r>
      <w:hyperlink r:id="rId19" w:history="1">
        <w:r w:rsidRPr="002E2298">
          <w:rPr>
            <w:rStyle w:val="Collegamentoipertestuale"/>
            <w:sz w:val="20"/>
            <w:lang w:val="it-CH"/>
          </w:rPr>
          <w:t>FF 2010 7965</w:t>
        </w:r>
      </w:hyperlink>
      <w:r w:rsidRPr="002E2298">
        <w:rPr>
          <w:sz w:val="20"/>
          <w:lang w:val="it-CH"/>
        </w:rPr>
        <w:t>).</w:t>
      </w:r>
    </w:p>
  </w:footnote>
  <w:footnote w:id="14">
    <w:p w:rsidR="00DF2942" w:rsidRPr="002E2298" w:rsidRDefault="00DF2942" w:rsidP="001C63E0">
      <w:pPr>
        <w:pStyle w:val="Testonotaapidipagina"/>
        <w:spacing w:before="60"/>
        <w:rPr>
          <w:sz w:val="20"/>
          <w:lang w:val="it-CH"/>
        </w:rPr>
      </w:pPr>
      <w:r w:rsidRPr="002E2298">
        <w:rPr>
          <w:rStyle w:val="Rimandonotaapidipagina"/>
          <w:sz w:val="20"/>
          <w:lang w:val="it-CH"/>
        </w:rPr>
        <w:footnoteRef/>
      </w:r>
      <w:r w:rsidRPr="002E2298">
        <w:rPr>
          <w:sz w:val="20"/>
          <w:lang w:val="it-CH"/>
        </w:rPr>
        <w:t xml:space="preserve"> Intervento del Direttore (ora ex) dell’IPCT Pierre </w:t>
      </w:r>
      <w:proofErr w:type="spellStart"/>
      <w:r w:rsidRPr="002E2298">
        <w:rPr>
          <w:sz w:val="20"/>
          <w:lang w:val="it-CH"/>
        </w:rPr>
        <w:t>Spocci</w:t>
      </w:r>
      <w:proofErr w:type="spellEnd"/>
      <w:r w:rsidRPr="002E2298">
        <w:rPr>
          <w:sz w:val="20"/>
          <w:lang w:val="it-CH"/>
        </w:rPr>
        <w:t xml:space="preserve"> in occasione della seduta della Sottocommissione "Finanze" di martedì 21 luglio (cfr. relativo verbale, p. 8).</w:t>
      </w:r>
    </w:p>
  </w:footnote>
  <w:footnote w:id="15">
    <w:p w:rsidR="00DF2942" w:rsidRPr="002E2298" w:rsidRDefault="00DF2942" w:rsidP="00DF2942">
      <w:pPr>
        <w:pStyle w:val="Testonotaapidipagina"/>
        <w:spacing w:after="0"/>
        <w:rPr>
          <w:sz w:val="20"/>
          <w:lang w:val="it-CH"/>
        </w:rPr>
      </w:pPr>
      <w:r w:rsidRPr="002E2298">
        <w:rPr>
          <w:rStyle w:val="Rimandonotaapidipagina"/>
          <w:sz w:val="20"/>
          <w:lang w:val="it-CH"/>
        </w:rPr>
        <w:footnoteRef/>
      </w:r>
      <w:r w:rsidRPr="002E2298">
        <w:rPr>
          <w:sz w:val="20"/>
          <w:lang w:val="it-CH"/>
        </w:rPr>
        <w:t xml:space="preserve"> Per maggiori informazioni di dettaglio, cfr. rapporto di maggioranza n. </w:t>
      </w:r>
      <w:hyperlink r:id="rId20" w:history="1">
        <w:r w:rsidRPr="002E2298">
          <w:rPr>
            <w:rStyle w:val="Collegamentoipertestuale"/>
            <w:sz w:val="20"/>
            <w:lang w:val="it-CH"/>
          </w:rPr>
          <w:t>6666 R1</w:t>
        </w:r>
      </w:hyperlink>
      <w:r w:rsidRPr="002E2298">
        <w:rPr>
          <w:sz w:val="20"/>
          <w:lang w:val="it-CH"/>
        </w:rPr>
        <w:t xml:space="preserve"> (pp. 27-28).</w:t>
      </w:r>
    </w:p>
  </w:footnote>
  <w:footnote w:id="16">
    <w:p w:rsidR="00DF2942" w:rsidRPr="002E2298" w:rsidRDefault="00DF2942" w:rsidP="00DF2942">
      <w:pPr>
        <w:pStyle w:val="Testonotaapidipagina"/>
        <w:spacing w:after="0"/>
        <w:rPr>
          <w:rFonts w:cs="Arial"/>
          <w:szCs w:val="22"/>
          <w:lang w:val="it-CH"/>
        </w:rPr>
      </w:pPr>
      <w:r w:rsidRPr="002E2298">
        <w:rPr>
          <w:rStyle w:val="Rimandonotaapidipagina"/>
          <w:sz w:val="20"/>
          <w:lang w:val="it-CH"/>
        </w:rPr>
        <w:footnoteRef/>
      </w:r>
      <w:r w:rsidRPr="002E2298">
        <w:rPr>
          <w:sz w:val="20"/>
          <w:lang w:val="it-CH"/>
        </w:rPr>
        <w:t xml:space="preserve"> Alla luce di queste chiare considerazioni, risulta incomprensibile la seguente "constatazione" governativa riportata a p. 21 del messaggio n. </w:t>
      </w:r>
      <w:hyperlink r:id="rId21" w:history="1">
        <w:r w:rsidRPr="002E2298">
          <w:rPr>
            <w:rStyle w:val="Collegamentoipertestuale"/>
            <w:sz w:val="20"/>
            <w:lang w:val="it-CH"/>
          </w:rPr>
          <w:t>6666</w:t>
        </w:r>
      </w:hyperlink>
      <w:r w:rsidRPr="002E2298">
        <w:rPr>
          <w:sz w:val="20"/>
          <w:lang w:val="it-CH"/>
        </w:rPr>
        <w:t xml:space="preserve">: </w:t>
      </w:r>
      <w:r w:rsidRPr="002E2298">
        <w:rPr>
          <w:rFonts w:cs="Arial"/>
          <w:sz w:val="20"/>
          <w:lang w:val="it-CH"/>
        </w:rPr>
        <w:t>«</w:t>
      </w:r>
      <w:r w:rsidRPr="002E2298">
        <w:rPr>
          <w:rFonts w:cs="Arial"/>
          <w:i/>
          <w:sz w:val="20"/>
          <w:lang w:val="it-CH"/>
        </w:rPr>
        <w:t>l’onere complessivo a carico del Cantone ammonterà a CHF 1'454.7 milioni, per gli enti esterni l’onere complessivo sarà di CHF 291.5 milioni. L’onere annuo iniziale sarà rispettivamente di CHF 35.1 milioni e di CHF 6.7 milioni. Dal 2013 al 2051 l’esborso totale previsto a carico dei datori di lavoro per il risanamento ammonterà a CHF 1'746.2 milioni</w:t>
      </w:r>
      <w:r w:rsidRPr="002E2298">
        <w:rPr>
          <w:rFonts w:cs="Arial"/>
          <w:sz w:val="20"/>
          <w:lang w:val="it-CH"/>
        </w:rPr>
        <w:t>».</w:t>
      </w:r>
    </w:p>
  </w:footnote>
  <w:footnote w:id="17">
    <w:p w:rsidR="00DF2942" w:rsidRPr="00DF2942" w:rsidRDefault="00DF2942" w:rsidP="001C63E0">
      <w:pPr>
        <w:pStyle w:val="Testonotaapidipagina"/>
        <w:spacing w:before="60"/>
        <w:rPr>
          <w:sz w:val="20"/>
          <w:lang w:val="it-CH"/>
        </w:rPr>
      </w:pPr>
      <w:r w:rsidRPr="00DF2942">
        <w:rPr>
          <w:rStyle w:val="Rimandonotaapidipagina"/>
          <w:sz w:val="20"/>
          <w:lang w:val="it-CH"/>
        </w:rPr>
        <w:footnoteRef/>
      </w:r>
      <w:r w:rsidRPr="00DF2942">
        <w:rPr>
          <w:sz w:val="20"/>
          <w:lang w:val="it-CH"/>
        </w:rPr>
        <w:t xml:space="preserve"> Si veda nota 7.</w:t>
      </w:r>
    </w:p>
  </w:footnote>
  <w:footnote w:id="18">
    <w:p w:rsidR="00DF2942" w:rsidRPr="002E2298" w:rsidRDefault="00DF2942" w:rsidP="00D92CC6">
      <w:pPr>
        <w:pStyle w:val="Testonotaapidipagina"/>
        <w:spacing w:after="0"/>
        <w:rPr>
          <w:sz w:val="20"/>
          <w:lang w:val="it-CH"/>
        </w:rPr>
      </w:pPr>
      <w:r w:rsidRPr="002E2298">
        <w:rPr>
          <w:rStyle w:val="Rimandonotaapidipagina"/>
          <w:sz w:val="20"/>
          <w:lang w:val="it-CH"/>
        </w:rPr>
        <w:footnoteRef/>
      </w:r>
      <w:r w:rsidRPr="002E2298">
        <w:rPr>
          <w:sz w:val="20"/>
          <w:lang w:val="it-CH"/>
        </w:rPr>
        <w:t xml:space="preserve"> Dai 20 anni ai 34 anni: 13% / dai 35 anni ai 44 anni: 16% / dai 45 anni ai 54 anni: 19% / dai 55 anni ai 65 anni: 22%.</w:t>
      </w:r>
    </w:p>
  </w:footnote>
  <w:footnote w:id="19">
    <w:p w:rsidR="00DF2942" w:rsidRPr="002E2298" w:rsidRDefault="00DF2942" w:rsidP="00D92CC6">
      <w:pPr>
        <w:pStyle w:val="Testonotaapidipagina"/>
        <w:spacing w:after="0"/>
        <w:rPr>
          <w:sz w:val="20"/>
          <w:lang w:val="it-CH"/>
        </w:rPr>
      </w:pPr>
      <w:r w:rsidRPr="002E2298">
        <w:rPr>
          <w:rStyle w:val="Rimandonotaapidipagina"/>
          <w:sz w:val="20"/>
          <w:lang w:val="it-CH"/>
        </w:rPr>
        <w:footnoteRef/>
      </w:r>
      <w:r w:rsidRPr="002E2298">
        <w:rPr>
          <w:sz w:val="20"/>
          <w:lang w:val="it-CH"/>
        </w:rPr>
        <w:t xml:space="preserve"> Verbale della seduta della Sottocommissione "Finanze" di martedì 21 luglio 2020 (p. 13).</w:t>
      </w:r>
    </w:p>
  </w:footnote>
  <w:footnote w:id="20">
    <w:p w:rsidR="00DF2942" w:rsidRPr="002E2298" w:rsidRDefault="00DF2942" w:rsidP="00D92CC6">
      <w:pPr>
        <w:pStyle w:val="Testonotaapidipagina"/>
        <w:spacing w:after="0"/>
        <w:rPr>
          <w:sz w:val="20"/>
          <w:lang w:val="it-CH"/>
        </w:rPr>
      </w:pPr>
      <w:r w:rsidRPr="002E2298">
        <w:rPr>
          <w:rStyle w:val="Rimandonotaapidipagina"/>
          <w:sz w:val="20"/>
          <w:lang w:val="it-CH"/>
        </w:rPr>
        <w:footnoteRef/>
      </w:r>
      <w:r w:rsidRPr="002E2298">
        <w:rPr>
          <w:sz w:val="20"/>
          <w:lang w:val="it-CH"/>
        </w:rPr>
        <w:t xml:space="preserve"> Art. 15 cpv. 3 e art. 16 cpv. 3 </w:t>
      </w:r>
      <w:hyperlink r:id="rId22" w:history="1">
        <w:r w:rsidRPr="002E2298">
          <w:rPr>
            <w:rStyle w:val="Collegamentoipertestuale"/>
            <w:sz w:val="20"/>
            <w:lang w:val="it-CH"/>
          </w:rPr>
          <w:t>Regolamento di previdenza dell’Istituto di previdenza del Cantone Ticino</w:t>
        </w:r>
      </w:hyperlink>
      <w:r w:rsidRPr="002E2298">
        <w:rPr>
          <w:sz w:val="20"/>
          <w:lang w:val="it-CH"/>
        </w:rPr>
        <w:t>.</w:t>
      </w:r>
    </w:p>
  </w:footnote>
  <w:footnote w:id="21">
    <w:p w:rsidR="00DF2942" w:rsidRPr="002E2298" w:rsidRDefault="00DF2942" w:rsidP="00D92CC6">
      <w:pPr>
        <w:pStyle w:val="Testonotaapidipagina"/>
        <w:spacing w:after="0"/>
        <w:rPr>
          <w:szCs w:val="22"/>
          <w:lang w:val="it-CH"/>
        </w:rPr>
      </w:pPr>
      <w:r w:rsidRPr="002E2298">
        <w:rPr>
          <w:rStyle w:val="Rimandonotaapidipagina"/>
          <w:sz w:val="20"/>
          <w:lang w:val="it-CH"/>
        </w:rPr>
        <w:footnoteRef/>
      </w:r>
      <w:r w:rsidRPr="002E2298">
        <w:rPr>
          <w:sz w:val="20"/>
          <w:lang w:val="it-CH"/>
        </w:rPr>
        <w:t xml:space="preserve"> Art. 11 </w:t>
      </w:r>
      <w:hyperlink r:id="rId23" w:history="1">
        <w:r w:rsidRPr="002E2298">
          <w:rPr>
            <w:rStyle w:val="Collegamentoipertestuale"/>
            <w:sz w:val="20"/>
            <w:lang w:val="it-CH"/>
          </w:rPr>
          <w:t>Legge sull’Istituto di previdenza del Cantone Ticino</w:t>
        </w:r>
      </w:hyperlink>
      <w:r w:rsidRPr="002E2298">
        <w:rPr>
          <w:sz w:val="20"/>
          <w:lang w:val="it-CH"/>
        </w:rPr>
        <w:t>.</w:t>
      </w:r>
    </w:p>
  </w:footnote>
  <w:footnote w:id="22">
    <w:p w:rsidR="00DF2942" w:rsidRPr="002E2298" w:rsidRDefault="00DF2942" w:rsidP="00D92CC6">
      <w:pPr>
        <w:pStyle w:val="Testonotaapidipagina"/>
        <w:spacing w:after="0"/>
        <w:rPr>
          <w:sz w:val="20"/>
          <w:lang w:val="it-CH"/>
        </w:rPr>
      </w:pPr>
      <w:r w:rsidRPr="002E2298">
        <w:rPr>
          <w:rStyle w:val="Rimandonotaapidipagina"/>
          <w:sz w:val="20"/>
          <w:lang w:val="it-CH"/>
        </w:rPr>
        <w:footnoteRef/>
      </w:r>
      <w:r w:rsidRPr="002E2298">
        <w:rPr>
          <w:sz w:val="20"/>
          <w:lang w:val="it-CH"/>
        </w:rPr>
        <w:t xml:space="preserve"> Al 1° gennaio 2013 il costo delle garanzie calcolato con un tasso tecnico del 2.00% (anziché del 3.5% come avvenuto), sarebbe in effetti risultato di oltre CHF 1 miliardo, in luogo dell’importo di CHF 510.4 milioni accantonato all’epoca (cfr. messaggio n. </w:t>
      </w:r>
      <w:hyperlink r:id="rId24" w:history="1">
        <w:r w:rsidRPr="002E2298">
          <w:rPr>
            <w:rStyle w:val="Collegamentoipertestuale"/>
            <w:sz w:val="20"/>
            <w:lang w:val="it-CH"/>
          </w:rPr>
          <w:t>7784</w:t>
        </w:r>
      </w:hyperlink>
      <w:r w:rsidRPr="002E2298">
        <w:rPr>
          <w:sz w:val="20"/>
          <w:lang w:val="it-CH"/>
        </w:rPr>
        <w:t>, p. 12).</w:t>
      </w:r>
    </w:p>
  </w:footnote>
  <w:footnote w:id="23">
    <w:p w:rsidR="00DF2942" w:rsidRPr="002E2298" w:rsidRDefault="00DF2942" w:rsidP="00D92CC6">
      <w:pPr>
        <w:pStyle w:val="Testonotaapidipagina"/>
        <w:spacing w:after="0"/>
        <w:rPr>
          <w:sz w:val="20"/>
          <w:lang w:val="it-CH"/>
        </w:rPr>
      </w:pPr>
      <w:r w:rsidRPr="002E2298">
        <w:rPr>
          <w:rStyle w:val="Rimandonotaapidipagina"/>
          <w:sz w:val="20"/>
          <w:lang w:val="it-CH"/>
        </w:rPr>
        <w:footnoteRef/>
      </w:r>
      <w:r w:rsidRPr="002E2298">
        <w:rPr>
          <w:sz w:val="20"/>
          <w:lang w:val="it-CH"/>
        </w:rPr>
        <w:t xml:space="preserve"> Verbale della seduta della Sottocommissione "Finanze" di martedì 21 luglio 2020 (p. 16).</w:t>
      </w:r>
    </w:p>
  </w:footnote>
  <w:footnote w:id="24">
    <w:p w:rsidR="00DF2942" w:rsidRPr="002E2298" w:rsidRDefault="00DF2942" w:rsidP="00D92CC6">
      <w:pPr>
        <w:pStyle w:val="Testonotaapidipagina"/>
        <w:spacing w:after="0"/>
        <w:rPr>
          <w:szCs w:val="22"/>
          <w:lang w:val="it-CH"/>
        </w:rPr>
      </w:pPr>
      <w:r w:rsidRPr="002E2298">
        <w:rPr>
          <w:rStyle w:val="Rimandonotaapidipagina"/>
          <w:sz w:val="20"/>
          <w:lang w:val="it-CH"/>
        </w:rPr>
        <w:footnoteRef/>
      </w:r>
      <w:r w:rsidRPr="002E2298">
        <w:rPr>
          <w:sz w:val="20"/>
          <w:lang w:val="it-CH"/>
        </w:rPr>
        <w:t xml:space="preserve"> Messaggio n. </w:t>
      </w:r>
      <w:hyperlink r:id="rId25" w:history="1">
        <w:r w:rsidRPr="002E2298">
          <w:rPr>
            <w:rStyle w:val="Collegamentoipertestuale"/>
            <w:sz w:val="20"/>
            <w:lang w:val="it-CH"/>
          </w:rPr>
          <w:t>7784</w:t>
        </w:r>
      </w:hyperlink>
      <w:r w:rsidRPr="002E2298">
        <w:rPr>
          <w:sz w:val="20"/>
          <w:lang w:val="it-CH"/>
        </w:rPr>
        <w:t>, p. 2.</w:t>
      </w:r>
    </w:p>
  </w:footnote>
  <w:footnote w:id="25">
    <w:p w:rsidR="00DF2942" w:rsidRPr="002E2298" w:rsidRDefault="00DF2942" w:rsidP="00D92CC6">
      <w:pPr>
        <w:pStyle w:val="Testonotaapidipagina"/>
        <w:spacing w:after="0"/>
        <w:rPr>
          <w:sz w:val="20"/>
          <w:lang w:val="it-CH"/>
        </w:rPr>
      </w:pPr>
      <w:r w:rsidRPr="002E2298">
        <w:rPr>
          <w:rStyle w:val="Rimandonotaapidipagina"/>
          <w:sz w:val="20"/>
          <w:lang w:val="it-CH"/>
        </w:rPr>
        <w:footnoteRef/>
      </w:r>
      <w:r w:rsidRPr="002E2298">
        <w:rPr>
          <w:sz w:val="20"/>
          <w:lang w:val="it-CH"/>
        </w:rPr>
        <w:t xml:space="preserve"> Martedì 21 luglio 2020 la Sottocommissione "Finanze" ha sentito in audizione il Presidente del Consiglio di amministrazione dell’IPCT Gianni Guidicelli, il Direttore dell’IPCT Pierre </w:t>
      </w:r>
      <w:proofErr w:type="spellStart"/>
      <w:r w:rsidRPr="002E2298">
        <w:rPr>
          <w:sz w:val="20"/>
          <w:lang w:val="it-CH"/>
        </w:rPr>
        <w:t>Spocci</w:t>
      </w:r>
      <w:proofErr w:type="spellEnd"/>
      <w:r w:rsidRPr="002E2298">
        <w:rPr>
          <w:sz w:val="20"/>
          <w:lang w:val="it-CH"/>
        </w:rPr>
        <w:t>, il Vicedirettore dell’IPCT Daniele Rotanzi e il Consulente per gli investimenti mobiliari Alfredo Fusetti (</w:t>
      </w:r>
      <w:proofErr w:type="spellStart"/>
      <w:r w:rsidRPr="002E2298">
        <w:rPr>
          <w:sz w:val="20"/>
          <w:lang w:val="it-CH"/>
        </w:rPr>
        <w:t>PPCmetrics</w:t>
      </w:r>
      <w:proofErr w:type="spellEnd"/>
      <w:r w:rsidRPr="002E2298">
        <w:rPr>
          <w:sz w:val="20"/>
          <w:lang w:val="it-CH"/>
        </w:rPr>
        <w:t xml:space="preserve"> Zurigo).</w:t>
      </w:r>
    </w:p>
  </w:footnote>
  <w:footnote w:id="26">
    <w:p w:rsidR="00DF2942" w:rsidRPr="002E2298" w:rsidRDefault="00DF2942" w:rsidP="00D92CC6">
      <w:pPr>
        <w:pStyle w:val="Testonotaapidipagina"/>
        <w:spacing w:after="0"/>
        <w:rPr>
          <w:sz w:val="20"/>
          <w:lang w:val="it-CH"/>
        </w:rPr>
      </w:pPr>
      <w:r w:rsidRPr="002E2298">
        <w:rPr>
          <w:rStyle w:val="Rimandonotaapidipagina"/>
          <w:sz w:val="20"/>
          <w:lang w:val="it-CH"/>
        </w:rPr>
        <w:footnoteRef/>
      </w:r>
      <w:r w:rsidRPr="002E2298">
        <w:rPr>
          <w:sz w:val="20"/>
          <w:lang w:val="it-CH"/>
        </w:rPr>
        <w:t xml:space="preserve"> Messaggio n. </w:t>
      </w:r>
      <w:hyperlink r:id="rId26" w:history="1">
        <w:r w:rsidRPr="002E2298">
          <w:rPr>
            <w:rStyle w:val="Collegamentoipertestuale"/>
            <w:sz w:val="20"/>
            <w:lang w:val="it-CH"/>
          </w:rPr>
          <w:t>7784</w:t>
        </w:r>
      </w:hyperlink>
      <w:r w:rsidRPr="002E2298">
        <w:rPr>
          <w:sz w:val="20"/>
          <w:lang w:val="it-CH"/>
        </w:rPr>
        <w:t>, p. 15.</w:t>
      </w:r>
    </w:p>
  </w:footnote>
  <w:footnote w:id="27">
    <w:p w:rsidR="00DF2942" w:rsidRPr="002E2298" w:rsidRDefault="00DF2942" w:rsidP="00D92CC6">
      <w:pPr>
        <w:pStyle w:val="Testonotaapidipagina"/>
        <w:spacing w:after="0"/>
        <w:rPr>
          <w:sz w:val="20"/>
          <w:lang w:val="it-CH"/>
        </w:rPr>
      </w:pPr>
      <w:r w:rsidRPr="002E2298">
        <w:rPr>
          <w:rStyle w:val="Rimandonotaapidipagina"/>
          <w:sz w:val="20"/>
          <w:lang w:val="it-CH"/>
        </w:rPr>
        <w:footnoteRef/>
      </w:r>
      <w:r w:rsidRPr="002E2298">
        <w:rPr>
          <w:sz w:val="20"/>
          <w:lang w:val="it-CH"/>
        </w:rPr>
        <w:t xml:space="preserve"> Ibidem.</w:t>
      </w:r>
    </w:p>
  </w:footnote>
  <w:footnote w:id="28">
    <w:p w:rsidR="00DF2942" w:rsidRPr="002E2298" w:rsidRDefault="00DF2942" w:rsidP="00D92CC6">
      <w:pPr>
        <w:pStyle w:val="Testonotaapidipagina"/>
        <w:spacing w:after="0"/>
        <w:rPr>
          <w:szCs w:val="22"/>
          <w:lang w:val="it-CH"/>
        </w:rPr>
      </w:pPr>
      <w:r w:rsidRPr="002E2298">
        <w:rPr>
          <w:rStyle w:val="Rimandonotaapidipagina"/>
          <w:sz w:val="20"/>
          <w:lang w:val="it-CH"/>
        </w:rPr>
        <w:footnoteRef/>
      </w:r>
      <w:r w:rsidRPr="002E2298">
        <w:rPr>
          <w:sz w:val="20"/>
          <w:lang w:val="it-CH"/>
        </w:rPr>
        <w:t xml:space="preserve"> Verbale della seduta della Sottocommissione "Finanze" di martedì 21 luglio 2020, p. 10.</w:t>
      </w:r>
    </w:p>
  </w:footnote>
  <w:footnote w:id="29">
    <w:p w:rsidR="00DF2942" w:rsidRPr="006B631A" w:rsidRDefault="00DF2942" w:rsidP="00D92CC6">
      <w:pPr>
        <w:pStyle w:val="Testonotaapidipagina"/>
        <w:spacing w:after="0"/>
        <w:rPr>
          <w:sz w:val="20"/>
          <w:lang w:val="it-CH"/>
        </w:rPr>
      </w:pPr>
      <w:r w:rsidRPr="006B631A">
        <w:rPr>
          <w:rStyle w:val="Rimandonotaapidipagina"/>
          <w:sz w:val="20"/>
          <w:lang w:val="it-CH"/>
        </w:rPr>
        <w:footnoteRef/>
      </w:r>
      <w:r w:rsidRPr="006B631A">
        <w:rPr>
          <w:sz w:val="20"/>
          <w:lang w:val="it-CH"/>
        </w:rPr>
        <w:t xml:space="preserve"> Verbale della seduta della Sottocommissione "Finanze" di martedì 21 luglio 2020, pp. 15-16.</w:t>
      </w:r>
    </w:p>
  </w:footnote>
  <w:footnote w:id="30">
    <w:p w:rsidR="00DF2942" w:rsidRPr="006B631A" w:rsidRDefault="00DF2942" w:rsidP="00D92CC6">
      <w:pPr>
        <w:pStyle w:val="Testonotaapidipagina"/>
        <w:spacing w:after="0"/>
        <w:rPr>
          <w:sz w:val="20"/>
          <w:lang w:val="it-CH"/>
        </w:rPr>
      </w:pPr>
      <w:r w:rsidRPr="006B631A">
        <w:rPr>
          <w:rStyle w:val="Rimandonotaapidipagina"/>
          <w:sz w:val="20"/>
          <w:lang w:val="it-CH"/>
        </w:rPr>
        <w:footnoteRef/>
      </w:r>
      <w:r w:rsidRPr="006B631A">
        <w:rPr>
          <w:sz w:val="20"/>
          <w:lang w:val="it-CH"/>
        </w:rPr>
        <w:t xml:space="preserve"> Verbale della seduta della Sottocommissione "Finanze" di martedì 21 luglio 2020, p. 16 (intervento del neo Direttore dell’IPCT Daniele Rotanzi).</w:t>
      </w:r>
    </w:p>
  </w:footnote>
  <w:footnote w:id="31">
    <w:p w:rsidR="00DF2942" w:rsidRPr="00056BEE" w:rsidRDefault="00DF2942" w:rsidP="00D92CC6">
      <w:pPr>
        <w:pStyle w:val="Testonotaapidipagina"/>
        <w:spacing w:after="0"/>
        <w:rPr>
          <w:szCs w:val="22"/>
          <w:lang w:val="fr-BE"/>
        </w:rPr>
      </w:pPr>
      <w:r w:rsidRPr="006B631A">
        <w:rPr>
          <w:rStyle w:val="Rimandonotaapidipagina"/>
          <w:sz w:val="20"/>
          <w:lang w:val="it-CH"/>
        </w:rPr>
        <w:footnoteRef/>
      </w:r>
      <w:r w:rsidRPr="00056BEE">
        <w:rPr>
          <w:sz w:val="20"/>
          <w:lang w:val="fr-BE"/>
        </w:rPr>
        <w:t xml:space="preserve"> "</w:t>
      </w:r>
      <w:hyperlink r:id="rId27" w:history="1">
        <w:r w:rsidRPr="00056BEE">
          <w:rPr>
            <w:rStyle w:val="Collegamentoipertestuale"/>
            <w:sz w:val="20"/>
            <w:lang w:val="fr-BE"/>
          </w:rPr>
          <w:t>DTA 4 - Taux d’intérêt technique</w:t>
        </w:r>
      </w:hyperlink>
      <w:r w:rsidRPr="00056BEE">
        <w:rPr>
          <w:sz w:val="20"/>
          <w:lang w:val="fr-BE"/>
        </w:rPr>
        <w:t xml:space="preserve">", </w:t>
      </w:r>
      <w:proofErr w:type="spellStart"/>
      <w:r w:rsidRPr="00056BEE">
        <w:rPr>
          <w:sz w:val="20"/>
          <w:lang w:val="fr-BE"/>
        </w:rPr>
        <w:t>versione</w:t>
      </w:r>
      <w:proofErr w:type="spellEnd"/>
      <w:r w:rsidRPr="00056BEE">
        <w:rPr>
          <w:sz w:val="20"/>
          <w:lang w:val="fr-BE"/>
        </w:rPr>
        <w:t xml:space="preserve"> 2019.</w:t>
      </w:r>
    </w:p>
  </w:footnote>
  <w:footnote w:id="32">
    <w:p w:rsidR="00DF2942" w:rsidRPr="006B631A" w:rsidRDefault="00DF2942" w:rsidP="00D92CC6">
      <w:pPr>
        <w:pStyle w:val="Testonotaapidipagina"/>
        <w:spacing w:after="0"/>
        <w:rPr>
          <w:sz w:val="20"/>
          <w:lang w:val="it-CH"/>
        </w:rPr>
      </w:pPr>
      <w:r w:rsidRPr="006B631A">
        <w:rPr>
          <w:rStyle w:val="Rimandonotaapidipagina"/>
          <w:sz w:val="20"/>
          <w:lang w:val="it-CH"/>
        </w:rPr>
        <w:footnoteRef/>
      </w:r>
      <w:r w:rsidRPr="006B631A">
        <w:rPr>
          <w:sz w:val="20"/>
          <w:lang w:val="it-CH"/>
        </w:rPr>
        <w:t xml:space="preserve"> AON </w:t>
      </w:r>
      <w:proofErr w:type="spellStart"/>
      <w:r w:rsidRPr="006B631A">
        <w:rPr>
          <w:sz w:val="20"/>
          <w:lang w:val="it-CH"/>
        </w:rPr>
        <w:t>Suisse</w:t>
      </w:r>
      <w:proofErr w:type="spellEnd"/>
      <w:r w:rsidRPr="006B631A">
        <w:rPr>
          <w:sz w:val="20"/>
          <w:lang w:val="it-CH"/>
        </w:rPr>
        <w:t xml:space="preserve"> SA (succursale di Neuchâtel) è il perito attuariale dell’IPCT in materia di previdenza professionale, ossia si focalizza in particolare sull</w:t>
      </w:r>
      <w:r w:rsidRPr="006B631A">
        <w:rPr>
          <w:rFonts w:cs="Arial"/>
          <w:sz w:val="20"/>
          <w:lang w:val="it-CH"/>
        </w:rPr>
        <w:t>’</w:t>
      </w:r>
      <w:r w:rsidRPr="006B631A">
        <w:rPr>
          <w:sz w:val="20"/>
          <w:lang w:val="it-CH"/>
        </w:rPr>
        <w:t>analisi degli impegni dell</w:t>
      </w:r>
      <w:r w:rsidRPr="006B631A">
        <w:rPr>
          <w:rFonts w:cs="Arial"/>
          <w:sz w:val="20"/>
          <w:lang w:val="it-CH"/>
        </w:rPr>
        <w:t>’</w:t>
      </w:r>
      <w:r w:rsidRPr="006B631A">
        <w:rPr>
          <w:sz w:val="20"/>
          <w:lang w:val="it-CH"/>
        </w:rPr>
        <w:t>Istituto (</w:t>
      </w:r>
      <w:proofErr w:type="spellStart"/>
      <w:r w:rsidRPr="006B631A">
        <w:rPr>
          <w:i/>
          <w:iCs/>
          <w:sz w:val="20"/>
          <w:lang w:val="it-CH"/>
        </w:rPr>
        <w:t>liability</w:t>
      </w:r>
      <w:proofErr w:type="spellEnd"/>
      <w:r w:rsidRPr="006B631A">
        <w:rPr>
          <w:i/>
          <w:iCs/>
          <w:sz w:val="20"/>
          <w:lang w:val="it-CH"/>
        </w:rPr>
        <w:t xml:space="preserve"> management</w:t>
      </w:r>
      <w:r w:rsidRPr="006B631A">
        <w:rPr>
          <w:sz w:val="20"/>
          <w:lang w:val="it-CH"/>
        </w:rPr>
        <w:t>).</w:t>
      </w:r>
    </w:p>
  </w:footnote>
  <w:footnote w:id="33">
    <w:p w:rsidR="00DF2942" w:rsidRPr="006B631A" w:rsidRDefault="00DF2942" w:rsidP="00D92CC6">
      <w:pPr>
        <w:pStyle w:val="Testonotaapidipagina"/>
        <w:spacing w:after="0"/>
        <w:rPr>
          <w:sz w:val="20"/>
          <w:lang w:val="it-CH"/>
        </w:rPr>
      </w:pPr>
      <w:r w:rsidRPr="006B631A">
        <w:rPr>
          <w:rStyle w:val="Rimandonotaapidipagina"/>
          <w:sz w:val="20"/>
          <w:lang w:val="it-CH"/>
        </w:rPr>
        <w:footnoteRef/>
      </w:r>
      <w:r w:rsidRPr="006B631A">
        <w:rPr>
          <w:sz w:val="20"/>
          <w:lang w:val="it-CH"/>
        </w:rPr>
        <w:t xml:space="preserve"> Verbale della seduta della Sottocommissione "Finanze" di martedì 21 luglio 2020, p. 10 (intervento dell’ex Direttore dell’IPCT Pierre </w:t>
      </w:r>
      <w:proofErr w:type="spellStart"/>
      <w:r w:rsidRPr="006B631A">
        <w:rPr>
          <w:sz w:val="20"/>
          <w:lang w:val="it-CH"/>
        </w:rPr>
        <w:t>Spocci</w:t>
      </w:r>
      <w:proofErr w:type="spellEnd"/>
      <w:r w:rsidRPr="006B631A">
        <w:rPr>
          <w:sz w:val="20"/>
          <w:lang w:val="it-CH"/>
        </w:rPr>
        <w:t>).</w:t>
      </w:r>
    </w:p>
  </w:footnote>
  <w:footnote w:id="34">
    <w:p w:rsidR="00DF2942" w:rsidRPr="006B631A" w:rsidRDefault="00DF2942" w:rsidP="00D92CC6">
      <w:pPr>
        <w:pStyle w:val="Testonotaapidipagina"/>
        <w:spacing w:after="0"/>
        <w:rPr>
          <w:szCs w:val="22"/>
          <w:lang w:val="it-CH"/>
        </w:rPr>
      </w:pPr>
      <w:r w:rsidRPr="006B631A">
        <w:rPr>
          <w:rStyle w:val="Rimandonotaapidipagina"/>
          <w:sz w:val="20"/>
          <w:lang w:val="it-CH"/>
        </w:rPr>
        <w:footnoteRef/>
      </w:r>
      <w:r w:rsidRPr="006B631A">
        <w:rPr>
          <w:sz w:val="20"/>
          <w:lang w:val="it-CH"/>
        </w:rPr>
        <w:t xml:space="preserve"> «</w:t>
      </w:r>
      <w:r w:rsidRPr="006B631A">
        <w:rPr>
          <w:i/>
          <w:sz w:val="20"/>
          <w:lang w:val="it-CH"/>
        </w:rPr>
        <w:t xml:space="preserve">Il Perito nel suo scritto dell’11 ottobre 2008 [studio di </w:t>
      </w:r>
      <w:proofErr w:type="spellStart"/>
      <w:r w:rsidRPr="006B631A">
        <w:rPr>
          <w:i/>
          <w:sz w:val="20"/>
          <w:lang w:val="it-CH"/>
        </w:rPr>
        <w:t>Aon</w:t>
      </w:r>
      <w:proofErr w:type="spellEnd"/>
      <w:r w:rsidRPr="006B631A">
        <w:rPr>
          <w:i/>
          <w:sz w:val="20"/>
          <w:lang w:val="it-CH"/>
        </w:rPr>
        <w:t xml:space="preserve"> Hewitt SA del 18 giugno 2008 relativo al progetto di Legge federale sugli Istituti di previdenza di diritto pubblico applicato alla Cassa pensioni dei dipendenti dello Stato del Cantone Ticino] in risposta ai quesiti sollevati dal Comitato nel corso dell’esame dello studio, a pag. 28, ha affermato che nella situazione attuale il tasso tecnico del 4% utilizzato dalla CPDS per il calcolo degli impegni verso gli assicurati e i beneficiari di rendita era troppo elevato e avrebbe dovuto essere ridotto al 3,5 o al 3%. La riduzione del tasso tecnico avrebbe permesso da un lato di ridurre la pressione sull’obiettivo di rendimento del patrimonio ma dall’altro avrebbe causato un importante aumento immediato degli impegni verso gli assicurati</w:t>
      </w:r>
      <w:r w:rsidRPr="006B631A">
        <w:rPr>
          <w:sz w:val="20"/>
          <w:lang w:val="it-CH"/>
        </w:rPr>
        <w:t xml:space="preserve">» (messaggio n. </w:t>
      </w:r>
      <w:hyperlink r:id="rId28" w:history="1">
        <w:r w:rsidRPr="006B631A">
          <w:rPr>
            <w:rStyle w:val="Collegamentoipertestuale"/>
            <w:sz w:val="20"/>
            <w:lang w:val="it-CH"/>
          </w:rPr>
          <w:t>6666</w:t>
        </w:r>
      </w:hyperlink>
      <w:r w:rsidRPr="006B631A">
        <w:rPr>
          <w:sz w:val="20"/>
          <w:lang w:val="it-CH"/>
        </w:rPr>
        <w:t>, p. 12).</w:t>
      </w:r>
    </w:p>
  </w:footnote>
  <w:footnote w:id="35">
    <w:p w:rsidR="00DF2942" w:rsidRPr="00F925ED" w:rsidRDefault="00DF2942" w:rsidP="001C63E0">
      <w:pPr>
        <w:pStyle w:val="Testonotaapidipagina"/>
        <w:spacing w:before="60"/>
        <w:rPr>
          <w:sz w:val="20"/>
          <w:lang w:val="it-CH"/>
        </w:rPr>
      </w:pPr>
      <w:r w:rsidRPr="00F925ED">
        <w:rPr>
          <w:rStyle w:val="Rimandonotaapidipagina"/>
          <w:sz w:val="20"/>
          <w:lang w:val="it-CH"/>
        </w:rPr>
        <w:footnoteRef/>
      </w:r>
      <w:r w:rsidRPr="00F925ED">
        <w:rPr>
          <w:sz w:val="20"/>
          <w:lang w:val="it-CH"/>
        </w:rPr>
        <w:t xml:space="preserve"> Verbale della seduta della Sottocommissione "Finanze" di martedì 21 luglio 2020, p. 17.</w:t>
      </w:r>
    </w:p>
  </w:footnote>
  <w:footnote w:id="36">
    <w:p w:rsidR="00DF2942" w:rsidRPr="00D92CC6" w:rsidRDefault="00DF2942" w:rsidP="00D92CC6">
      <w:pPr>
        <w:pStyle w:val="Testonotaapidipagina"/>
        <w:spacing w:after="0"/>
        <w:rPr>
          <w:sz w:val="20"/>
          <w:lang w:val="it-CH"/>
        </w:rPr>
      </w:pPr>
      <w:r w:rsidRPr="00D92CC6">
        <w:rPr>
          <w:rStyle w:val="Rimandonotaapidipagina"/>
          <w:sz w:val="20"/>
        </w:rPr>
        <w:footnoteRef/>
      </w:r>
      <w:r w:rsidRPr="00D92CC6">
        <w:rPr>
          <w:sz w:val="20"/>
          <w:lang w:val="it-CH"/>
        </w:rPr>
        <w:t xml:space="preserve"> Grafico tratto dal </w:t>
      </w:r>
      <w:hyperlink r:id="rId29" w:anchor="!/chart/rendeidglfzch" w:history="1">
        <w:r w:rsidRPr="00D92CC6">
          <w:rPr>
            <w:rStyle w:val="Collegamentoipertestuale"/>
            <w:sz w:val="20"/>
            <w:lang w:val="it-CH"/>
          </w:rPr>
          <w:t>portale di dati</w:t>
        </w:r>
      </w:hyperlink>
      <w:r w:rsidRPr="00D92CC6">
        <w:rPr>
          <w:sz w:val="20"/>
          <w:lang w:val="it-CH"/>
        </w:rPr>
        <w:t xml:space="preserve"> della Banca Nazionale Svizzera. Si faccia pure riferimento alla pubblicazione </w:t>
      </w:r>
      <w:hyperlink r:id="rId30" w:anchor="t2" w:history="1">
        <w:proofErr w:type="spellStart"/>
        <w:r w:rsidRPr="00D92CC6">
          <w:rPr>
            <w:rStyle w:val="Collegamentoipertestuale"/>
            <w:sz w:val="20"/>
            <w:lang w:val="it-CH"/>
          </w:rPr>
          <w:t>Historische</w:t>
        </w:r>
        <w:proofErr w:type="spellEnd"/>
        <w:r w:rsidRPr="00D92CC6">
          <w:rPr>
            <w:rStyle w:val="Collegamentoipertestuale"/>
            <w:sz w:val="20"/>
            <w:lang w:val="it-CH"/>
          </w:rPr>
          <w:t xml:space="preserve"> </w:t>
        </w:r>
        <w:proofErr w:type="spellStart"/>
        <w:r w:rsidRPr="00D92CC6">
          <w:rPr>
            <w:rStyle w:val="Collegamentoipertestuale"/>
            <w:sz w:val="20"/>
            <w:lang w:val="it-CH"/>
          </w:rPr>
          <w:t>Zeitreihen</w:t>
        </w:r>
        <w:proofErr w:type="spellEnd"/>
        <w:r w:rsidRPr="00D92CC6">
          <w:rPr>
            <w:rStyle w:val="Collegamentoipertestuale"/>
            <w:sz w:val="20"/>
            <w:lang w:val="it-CH"/>
          </w:rPr>
          <w:t xml:space="preserve"> – </w:t>
        </w:r>
        <w:proofErr w:type="spellStart"/>
        <w:r w:rsidRPr="00D92CC6">
          <w:rPr>
            <w:rStyle w:val="Collegamentoipertestuale"/>
            <w:sz w:val="20"/>
            <w:lang w:val="it-CH"/>
          </w:rPr>
          <w:t>Zinssätze</w:t>
        </w:r>
        <w:proofErr w:type="spellEnd"/>
        <w:r w:rsidRPr="00D92CC6">
          <w:rPr>
            <w:rStyle w:val="Collegamentoipertestuale"/>
            <w:sz w:val="20"/>
            <w:lang w:val="it-CH"/>
          </w:rPr>
          <w:t xml:space="preserve"> und </w:t>
        </w:r>
        <w:proofErr w:type="spellStart"/>
        <w:r w:rsidRPr="00D92CC6">
          <w:rPr>
            <w:rStyle w:val="Collegamentoipertestuale"/>
            <w:sz w:val="20"/>
            <w:lang w:val="it-CH"/>
          </w:rPr>
          <w:t>Renditen</w:t>
        </w:r>
        <w:proofErr w:type="spellEnd"/>
      </w:hyperlink>
      <w:r w:rsidRPr="00D92CC6">
        <w:rPr>
          <w:sz w:val="20"/>
          <w:lang w:val="it-CH"/>
        </w:rPr>
        <w:t xml:space="preserve">, </w:t>
      </w:r>
      <w:proofErr w:type="spellStart"/>
      <w:r w:rsidRPr="00D92CC6">
        <w:rPr>
          <w:sz w:val="20"/>
          <w:lang w:val="it-CH"/>
        </w:rPr>
        <w:t>Renditen</w:t>
      </w:r>
      <w:proofErr w:type="spellEnd"/>
      <w:r w:rsidRPr="00D92CC6">
        <w:rPr>
          <w:sz w:val="20"/>
          <w:lang w:val="it-CH"/>
        </w:rPr>
        <w:t xml:space="preserve"> von </w:t>
      </w:r>
      <w:proofErr w:type="spellStart"/>
      <w:r w:rsidRPr="00D92CC6">
        <w:rPr>
          <w:sz w:val="20"/>
          <w:lang w:val="it-CH"/>
        </w:rPr>
        <w:t>Obligationen</w:t>
      </w:r>
      <w:proofErr w:type="spellEnd"/>
      <w:r w:rsidRPr="00D92CC6">
        <w:rPr>
          <w:sz w:val="20"/>
          <w:lang w:val="it-CH"/>
        </w:rPr>
        <w:t xml:space="preserve">, Tabelle 3.2 </w:t>
      </w:r>
      <w:proofErr w:type="spellStart"/>
      <w:r w:rsidRPr="00D92CC6">
        <w:rPr>
          <w:sz w:val="20"/>
          <w:lang w:val="it-CH"/>
        </w:rPr>
        <w:t>Kassazinssätze</w:t>
      </w:r>
      <w:proofErr w:type="spellEnd"/>
      <w:r w:rsidRPr="00D92CC6">
        <w:rPr>
          <w:sz w:val="20"/>
          <w:lang w:val="it-CH"/>
        </w:rPr>
        <w:t xml:space="preserve"> </w:t>
      </w:r>
      <w:proofErr w:type="spellStart"/>
      <w:r w:rsidRPr="00D92CC6">
        <w:rPr>
          <w:sz w:val="20"/>
          <w:lang w:val="it-CH"/>
        </w:rPr>
        <w:t>für</w:t>
      </w:r>
      <w:proofErr w:type="spellEnd"/>
      <w:r w:rsidRPr="00D92CC6">
        <w:rPr>
          <w:sz w:val="20"/>
          <w:lang w:val="it-CH"/>
        </w:rPr>
        <w:t xml:space="preserve"> </w:t>
      </w:r>
      <w:proofErr w:type="spellStart"/>
      <w:r w:rsidRPr="00D92CC6">
        <w:rPr>
          <w:sz w:val="20"/>
          <w:lang w:val="it-CH"/>
        </w:rPr>
        <w:t>Obligationen</w:t>
      </w:r>
      <w:proofErr w:type="spellEnd"/>
      <w:r w:rsidRPr="00D92CC6">
        <w:rPr>
          <w:sz w:val="20"/>
          <w:lang w:val="it-CH"/>
        </w:rPr>
        <w:t xml:space="preserve"> </w:t>
      </w:r>
      <w:proofErr w:type="spellStart"/>
      <w:r w:rsidRPr="00D92CC6">
        <w:rPr>
          <w:sz w:val="20"/>
          <w:lang w:val="it-CH"/>
        </w:rPr>
        <w:t>der</w:t>
      </w:r>
      <w:proofErr w:type="spellEnd"/>
      <w:r w:rsidRPr="00D92CC6">
        <w:rPr>
          <w:sz w:val="20"/>
          <w:lang w:val="it-CH"/>
        </w:rPr>
        <w:t xml:space="preserve"> </w:t>
      </w:r>
      <w:proofErr w:type="spellStart"/>
      <w:r w:rsidRPr="00D92CC6">
        <w:rPr>
          <w:sz w:val="20"/>
          <w:lang w:val="it-CH"/>
        </w:rPr>
        <w:t>Eidgenossenschaft</w:t>
      </w:r>
      <w:proofErr w:type="spellEnd"/>
      <w:r w:rsidRPr="00D92CC6">
        <w:rPr>
          <w:sz w:val="20"/>
          <w:lang w:val="it-CH"/>
        </w:rPr>
        <w:t xml:space="preserve"> (disponibile solo in tedesco, francese o inglese), </w:t>
      </w:r>
    </w:p>
  </w:footnote>
  <w:footnote w:id="37">
    <w:p w:rsidR="00DF2942" w:rsidRPr="006B631A" w:rsidRDefault="00DF2942" w:rsidP="003A5E13">
      <w:pPr>
        <w:pStyle w:val="Testonotaapidipagina"/>
        <w:spacing w:after="0"/>
        <w:rPr>
          <w:sz w:val="20"/>
          <w:lang w:val="it-CH"/>
        </w:rPr>
      </w:pPr>
      <w:r w:rsidRPr="006B631A">
        <w:rPr>
          <w:rStyle w:val="Rimandonotaapidipagina"/>
          <w:sz w:val="20"/>
          <w:lang w:val="it-CH"/>
        </w:rPr>
        <w:footnoteRef/>
      </w:r>
      <w:r w:rsidRPr="006B631A">
        <w:rPr>
          <w:sz w:val="20"/>
          <w:lang w:val="it-CH"/>
        </w:rPr>
        <w:t xml:space="preserve"> Disposizioni transitorie della modifica del 17 dicembre 2010 (Finanziamento degli istituti di previdenza degli enti di diritto pubblico), </w:t>
      </w:r>
      <w:hyperlink r:id="rId31" w:anchor="id-trans4-c" w:history="1">
        <w:r w:rsidRPr="006B631A">
          <w:rPr>
            <w:rStyle w:val="Collegamentoipertestuale"/>
            <w:sz w:val="20"/>
            <w:lang w:val="it-CH"/>
          </w:rPr>
          <w:t>c. Grado di copertura insufficiente</w:t>
        </w:r>
      </w:hyperlink>
      <w:r w:rsidRPr="006B631A">
        <w:rPr>
          <w:sz w:val="20"/>
          <w:lang w:val="it-CH"/>
        </w:rPr>
        <w:t xml:space="preserve"> cpv. 2 LPP:</w:t>
      </w:r>
    </w:p>
    <w:p w:rsidR="00DF2942" w:rsidRPr="006B631A" w:rsidRDefault="00DF2942" w:rsidP="003A5E13">
      <w:pPr>
        <w:pStyle w:val="Testonotaapidipagina"/>
        <w:spacing w:after="0"/>
        <w:rPr>
          <w:sz w:val="20"/>
          <w:lang w:val="it-CH"/>
        </w:rPr>
      </w:pPr>
      <w:r w:rsidRPr="006B631A">
        <w:rPr>
          <w:sz w:val="20"/>
          <w:lang w:val="it-CH"/>
        </w:rPr>
        <w:t>«</w:t>
      </w:r>
      <w:r w:rsidRPr="006B631A">
        <w:rPr>
          <w:i/>
          <w:sz w:val="20"/>
          <w:lang w:val="it-CH"/>
        </w:rPr>
        <w:t>Se il grado di copertura è inferiore al 60 per cento dal 1° gennaio 2020 e al 75 per cento dal 1° gennaio 2030, gli enti di diritto pubblico versano ai loro istituti di previdenza, sulla differenza, gli interessi di cui all’articolo 15 capoverso 2 [saggio minimo d’interesse]</w:t>
      </w:r>
      <w:r w:rsidRPr="006B631A">
        <w:rPr>
          <w:sz w:val="20"/>
          <w:lang w:val="it-CH"/>
        </w:rPr>
        <w:t>».</w:t>
      </w:r>
    </w:p>
    <w:p w:rsidR="00DF2942" w:rsidRPr="006B631A" w:rsidRDefault="00DF2942" w:rsidP="003A5E13">
      <w:pPr>
        <w:pStyle w:val="Testonotaapidipagina"/>
        <w:spacing w:after="0"/>
        <w:rPr>
          <w:sz w:val="20"/>
          <w:lang w:val="it-CH"/>
        </w:rPr>
      </w:pPr>
      <w:r w:rsidRPr="006B631A">
        <w:rPr>
          <w:sz w:val="20"/>
          <w:lang w:val="it-CH"/>
        </w:rPr>
        <w:t xml:space="preserve">In data 25 agosto 2020, la Commissione federale della previdenza professionale (Commissione LPP) ha raccomandato al Consiglio federale di abbassare per il 2021 il tasso di interesse minimo della previdenza professionale dall’attuale 1% allo 0.75% (questo tasso è il tasso minimo che deve essere corrisposto sull’avere di vecchiaia nel regime obbligatorio della previdenza professionale); cfr. </w:t>
      </w:r>
      <w:hyperlink r:id="rId32" w:history="1">
        <w:r w:rsidRPr="006B631A">
          <w:rPr>
            <w:rStyle w:val="Collegamentoipertestuale"/>
            <w:sz w:val="20"/>
            <w:lang w:val="it-CH"/>
          </w:rPr>
          <w:t>comunicato stampa del 25 agosto 2020</w:t>
        </w:r>
      </w:hyperlink>
      <w:r w:rsidRPr="006B631A">
        <w:rPr>
          <w:sz w:val="20"/>
          <w:lang w:val="it-CH"/>
        </w:rPr>
        <w:t>.</w:t>
      </w:r>
    </w:p>
  </w:footnote>
  <w:footnote w:id="38">
    <w:p w:rsidR="00DF2942" w:rsidRPr="006B631A" w:rsidRDefault="00DF2942" w:rsidP="003A5E13">
      <w:pPr>
        <w:pStyle w:val="Testonotaapidipagina"/>
        <w:spacing w:after="0"/>
        <w:rPr>
          <w:sz w:val="20"/>
          <w:lang w:val="it-CH"/>
        </w:rPr>
      </w:pPr>
      <w:r w:rsidRPr="006B631A">
        <w:rPr>
          <w:rStyle w:val="Rimandonotaapidipagina"/>
          <w:sz w:val="20"/>
          <w:lang w:val="it-CH"/>
        </w:rPr>
        <w:footnoteRef/>
      </w:r>
      <w:r w:rsidRPr="006B631A">
        <w:rPr>
          <w:sz w:val="20"/>
          <w:lang w:val="it-CH"/>
        </w:rPr>
        <w:t xml:space="preserve"> </w:t>
      </w:r>
      <w:hyperlink r:id="rId33" w:anchor="a72a" w:history="1">
        <w:r w:rsidRPr="006B631A">
          <w:rPr>
            <w:rStyle w:val="Collegamentoipertestuale"/>
            <w:sz w:val="20"/>
            <w:lang w:val="it-CH"/>
          </w:rPr>
          <w:t>Art. 72a cpv. 1 lett. c)</w:t>
        </w:r>
      </w:hyperlink>
      <w:r w:rsidRPr="006B631A">
        <w:rPr>
          <w:sz w:val="20"/>
          <w:lang w:val="it-CH"/>
        </w:rPr>
        <w:t xml:space="preserve"> LPP:</w:t>
      </w:r>
    </w:p>
    <w:p w:rsidR="00DF2942" w:rsidRPr="006B631A" w:rsidRDefault="00DF2942" w:rsidP="003A5E13">
      <w:pPr>
        <w:pStyle w:val="Testonotaapidipagina"/>
        <w:spacing w:after="0"/>
        <w:rPr>
          <w:sz w:val="20"/>
          <w:lang w:val="it-CH"/>
        </w:rPr>
      </w:pPr>
      <w:r w:rsidRPr="006B631A">
        <w:rPr>
          <w:sz w:val="20"/>
          <w:lang w:val="it-CH"/>
        </w:rPr>
        <w:t>«</w:t>
      </w:r>
      <w:r w:rsidRPr="006B631A">
        <w:rPr>
          <w:i/>
          <w:sz w:val="20"/>
          <w:lang w:val="it-CH"/>
        </w:rPr>
        <w:t>[…] Il piano di finanziamento garantisce segnatamente che […] il grado di copertura di tutti gli impegni nei confronti dei beneficiari di rendite e degli assicurati attivi sia almeno pari all’80 per cento</w:t>
      </w:r>
      <w:r w:rsidRPr="006B631A">
        <w:rPr>
          <w:sz w:val="20"/>
          <w:lang w:val="it-CH"/>
        </w:rPr>
        <w:t>».</w:t>
      </w:r>
    </w:p>
  </w:footnote>
  <w:footnote w:id="39">
    <w:p w:rsidR="00DF2942" w:rsidRPr="006B631A" w:rsidRDefault="00DF2942" w:rsidP="003A5E13">
      <w:pPr>
        <w:pStyle w:val="Testonotaapidipagina"/>
        <w:spacing w:after="0"/>
        <w:rPr>
          <w:sz w:val="20"/>
          <w:lang w:val="it-CH"/>
        </w:rPr>
      </w:pPr>
      <w:r w:rsidRPr="006B631A">
        <w:rPr>
          <w:rStyle w:val="Rimandonotaapidipagina"/>
          <w:sz w:val="20"/>
          <w:lang w:val="it-CH"/>
        </w:rPr>
        <w:footnoteRef/>
      </w:r>
      <w:r w:rsidRPr="006B631A">
        <w:rPr>
          <w:sz w:val="20"/>
          <w:lang w:val="it-CH"/>
        </w:rPr>
        <w:t xml:space="preserve"> L’autorità di vigilanza dell’IPCT è l’organo </w:t>
      </w:r>
      <w:hyperlink r:id="rId34" w:history="1">
        <w:r w:rsidRPr="006B631A">
          <w:rPr>
            <w:rStyle w:val="Collegamentoipertestuale"/>
            <w:sz w:val="20"/>
            <w:lang w:val="it-CH"/>
          </w:rPr>
          <w:t>Vigilanza sulle fondazioni e LPP della Svizzera orientale</w:t>
        </w:r>
      </w:hyperlink>
      <w:r w:rsidRPr="006B631A">
        <w:rPr>
          <w:sz w:val="20"/>
          <w:lang w:val="it-CH"/>
        </w:rPr>
        <w:t xml:space="preserve"> (con sede a Muralto).</w:t>
      </w:r>
    </w:p>
  </w:footnote>
  <w:footnote w:id="40">
    <w:p w:rsidR="00DF2942" w:rsidRPr="006B631A" w:rsidRDefault="00DF2942" w:rsidP="003A5E13">
      <w:pPr>
        <w:pStyle w:val="Testonotaapidipagina"/>
        <w:spacing w:after="0"/>
        <w:rPr>
          <w:sz w:val="20"/>
          <w:lang w:val="it-CH"/>
        </w:rPr>
      </w:pPr>
      <w:r w:rsidRPr="006B631A">
        <w:rPr>
          <w:rStyle w:val="Rimandonotaapidipagina"/>
          <w:sz w:val="20"/>
          <w:lang w:val="it-CH"/>
        </w:rPr>
        <w:footnoteRef/>
      </w:r>
      <w:r w:rsidRPr="006B631A">
        <w:rPr>
          <w:sz w:val="20"/>
          <w:lang w:val="it-CH"/>
        </w:rPr>
        <w:t xml:space="preserve"> Disposizioni transitorie della modifica del 17.12.2010 (Finanziamento degli istituti di previdenza degli enti di diritto pubblico), </w:t>
      </w:r>
      <w:hyperlink r:id="rId35" w:anchor="id-trans4-c" w:history="1">
        <w:r w:rsidRPr="006B631A">
          <w:rPr>
            <w:rStyle w:val="Collegamentoipertestuale"/>
            <w:sz w:val="20"/>
            <w:lang w:val="it-CH"/>
          </w:rPr>
          <w:t>c. Grado di copertura insufficiente</w:t>
        </w:r>
      </w:hyperlink>
      <w:r w:rsidRPr="006B631A">
        <w:rPr>
          <w:sz w:val="20"/>
          <w:lang w:val="it-CH"/>
        </w:rPr>
        <w:t xml:space="preserve"> cpv. 1 LPP:</w:t>
      </w:r>
    </w:p>
    <w:p w:rsidR="00DF2942" w:rsidRPr="006B631A" w:rsidRDefault="00DF2942" w:rsidP="003A5E13">
      <w:pPr>
        <w:pStyle w:val="Testonotaapidipagina"/>
        <w:spacing w:after="0"/>
        <w:rPr>
          <w:sz w:val="20"/>
          <w:lang w:val="it-CH"/>
        </w:rPr>
      </w:pPr>
      <w:r w:rsidRPr="006B631A">
        <w:rPr>
          <w:sz w:val="20"/>
          <w:lang w:val="it-CH"/>
        </w:rPr>
        <w:t>«</w:t>
      </w:r>
      <w:r w:rsidRPr="006B631A">
        <w:rPr>
          <w:i/>
          <w:sz w:val="20"/>
          <w:lang w:val="it-CH"/>
        </w:rPr>
        <w:t>Gli istituti di previdenza degli enti di diritto pubblico che non raggiungono il grado di copertura minimo di cui all’articolo 72a capoverso 1 lettera c [80%] sottopongono ogni cinque anni all’autorità di vigilanza un piano volto a consentire loro di raggiungere tale grado di copertura al più tardi 40 anni dopo l’entrata in vigore della presente modifica</w:t>
      </w:r>
      <w:r w:rsidRPr="006B631A">
        <w:rPr>
          <w:sz w:val="20"/>
          <w:lang w:val="it-CH"/>
        </w:rPr>
        <w:t>».</w:t>
      </w:r>
    </w:p>
  </w:footnote>
  <w:footnote w:id="41">
    <w:p w:rsidR="00DF2942" w:rsidRPr="00816297" w:rsidRDefault="00DF2942" w:rsidP="003A5E13">
      <w:pPr>
        <w:pStyle w:val="Testonotaapidipagina"/>
        <w:spacing w:after="0"/>
        <w:rPr>
          <w:sz w:val="20"/>
          <w:lang w:val="it-CH"/>
        </w:rPr>
      </w:pPr>
      <w:r w:rsidRPr="00816297">
        <w:rPr>
          <w:rStyle w:val="Rimandonotaapidipagina"/>
          <w:sz w:val="20"/>
          <w:lang w:val="it-CH"/>
        </w:rPr>
        <w:footnoteRef/>
      </w:r>
      <w:r w:rsidRPr="00816297">
        <w:rPr>
          <w:sz w:val="20"/>
          <w:lang w:val="it-CH"/>
        </w:rPr>
        <w:t xml:space="preserve"> Art. 11 ("Contributi ordinari, straordinari, contributi di risanamento, ammontare e ripartizione") </w:t>
      </w:r>
      <w:hyperlink r:id="rId36" w:history="1">
        <w:r w:rsidRPr="00816297">
          <w:rPr>
            <w:rStyle w:val="Collegamentoipertestuale"/>
            <w:sz w:val="20"/>
            <w:lang w:val="it-CH"/>
          </w:rPr>
          <w:t>Legge sull’Istituto di previdenza del Cantone Ticino</w:t>
        </w:r>
      </w:hyperlink>
      <w:r w:rsidRPr="00816297">
        <w:rPr>
          <w:sz w:val="20"/>
          <w:lang w:val="it-CH"/>
        </w:rPr>
        <w:t xml:space="preserve">; per contro, la competenza per la fissazione sia del tasso di interesse sugli averi di vecchiaia sia delle rendite (salvo le garanzie ex art. 24 Legge sull’IPCT che sono di competenza del Gran Consiglio) è del </w:t>
      </w:r>
      <w:proofErr w:type="spellStart"/>
      <w:r w:rsidRPr="00816297">
        <w:rPr>
          <w:sz w:val="20"/>
          <w:lang w:val="it-CH"/>
        </w:rPr>
        <w:t>CdA</w:t>
      </w:r>
      <w:proofErr w:type="spellEnd"/>
      <w:r w:rsidRPr="00816297">
        <w:rPr>
          <w:sz w:val="20"/>
          <w:lang w:val="it-CH"/>
        </w:rPr>
        <w:t xml:space="preserve"> dell’IPCT</w:t>
      </w:r>
    </w:p>
  </w:footnote>
  <w:footnote w:id="42">
    <w:p w:rsidR="00DF2942" w:rsidRPr="00816297" w:rsidRDefault="00DF2942" w:rsidP="00AC7A67">
      <w:pPr>
        <w:pStyle w:val="Testonotaapidipagina"/>
        <w:spacing w:after="0"/>
        <w:rPr>
          <w:rFonts w:cs="Arial"/>
          <w:sz w:val="20"/>
          <w:lang w:val="it-CH"/>
        </w:rPr>
      </w:pPr>
      <w:r w:rsidRPr="00816297">
        <w:rPr>
          <w:rStyle w:val="Rimandonotaapidipagina"/>
          <w:rFonts w:cs="Arial"/>
          <w:sz w:val="20"/>
          <w:lang w:val="it-CH"/>
        </w:rPr>
        <w:footnoteRef/>
      </w:r>
      <w:r w:rsidRPr="00816297">
        <w:rPr>
          <w:rFonts w:cs="Arial"/>
          <w:sz w:val="20"/>
          <w:lang w:val="it-CH"/>
        </w:rPr>
        <w:t xml:space="preserve"> </w:t>
      </w:r>
      <m:oMath>
        <m:r>
          <w:rPr>
            <w:rFonts w:ascii="Cambria Math" w:hAnsi="Cambria Math" w:cs="Arial"/>
            <w:sz w:val="20"/>
            <w:lang w:val="it-CH"/>
          </w:rPr>
          <m:t>«</m:t>
        </m:r>
      </m:oMath>
      <w:r w:rsidRPr="00816297">
        <w:rPr>
          <w:rFonts w:cs="Arial"/>
          <w:i/>
          <w:sz w:val="20"/>
          <w:lang w:val="it-CH"/>
        </w:rPr>
        <w:t>Se […] fossi in voi valuterei attentamente […] l’opzione di abbassare dall’85% all’80% l’obiettivo di grado di copertura da raggiungere entro il 2051; non si risolverebbe nulla perché il disavanzo rimarrebbe, ma si rimanderebbe il problema al 2051</w:t>
      </w:r>
      <w:r w:rsidRPr="00816297">
        <w:rPr>
          <w:rFonts w:cs="Arial"/>
          <w:sz w:val="20"/>
          <w:lang w:val="it-CH"/>
        </w:rPr>
        <w:t>». Gli assicurati non sarebbero ulteriormente chiamati alla cassa, ma «</w:t>
      </w:r>
      <w:r w:rsidRPr="00816297">
        <w:rPr>
          <w:rFonts w:cs="Arial"/>
          <w:i/>
          <w:sz w:val="20"/>
          <w:lang w:val="it-CH"/>
        </w:rPr>
        <w:t>in</w:t>
      </w:r>
      <w:r w:rsidRPr="00AC7A67">
        <w:rPr>
          <w:rFonts w:cs="Arial"/>
          <w:i/>
          <w:sz w:val="20"/>
        </w:rPr>
        <w:t xml:space="preserve"> </w:t>
      </w:r>
      <w:r w:rsidRPr="00816297">
        <w:rPr>
          <w:rFonts w:cs="Arial"/>
          <w:i/>
          <w:sz w:val="20"/>
          <w:lang w:val="it-CH"/>
        </w:rPr>
        <w:t>seguito non vi sarebbe però più alcun "freno di emergenza" e non vi sarebbe altra alternativa che iniettare nuovi capitali nell’IPCT, magari con una prospettiva ancora peggiore di quella attuale</w:t>
      </w:r>
      <w:r w:rsidRPr="00816297">
        <w:rPr>
          <w:rFonts w:cs="Arial"/>
          <w:sz w:val="20"/>
          <w:lang w:val="it-CH"/>
        </w:rPr>
        <w:t>» (verbale della seduta della Sottocommissione "Finanze" di martedì 21</w:t>
      </w:r>
      <w:r>
        <w:rPr>
          <w:rFonts w:cs="Arial"/>
          <w:sz w:val="20"/>
          <w:lang w:val="it-CH"/>
        </w:rPr>
        <w:t xml:space="preserve"> </w:t>
      </w:r>
      <w:r w:rsidRPr="00816297">
        <w:rPr>
          <w:rFonts w:cs="Arial"/>
          <w:sz w:val="20"/>
          <w:lang w:val="it-CH"/>
        </w:rPr>
        <w:t xml:space="preserve">luglio 2020, p. 29). </w:t>
      </w:r>
    </w:p>
  </w:footnote>
  <w:footnote w:id="43">
    <w:p w:rsidR="00DF2942" w:rsidRPr="00816297" w:rsidRDefault="00DF2942" w:rsidP="00AC7A67">
      <w:pPr>
        <w:pStyle w:val="Testonotaapidipagina"/>
        <w:spacing w:after="0"/>
        <w:rPr>
          <w:rFonts w:cs="Arial"/>
          <w:sz w:val="20"/>
          <w:lang w:val="it-CH"/>
        </w:rPr>
      </w:pPr>
      <w:r w:rsidRPr="00816297">
        <w:rPr>
          <w:rStyle w:val="Rimandonotaapidipagina"/>
          <w:rFonts w:cs="Arial"/>
          <w:sz w:val="20"/>
          <w:lang w:val="it-CH"/>
        </w:rPr>
        <w:footnoteRef/>
      </w:r>
      <w:r w:rsidRPr="00816297">
        <w:rPr>
          <w:rFonts w:cs="Arial"/>
          <w:sz w:val="20"/>
          <w:lang w:val="it-CH"/>
        </w:rPr>
        <w:t xml:space="preserve"> «</w:t>
      </w:r>
      <w:r w:rsidRPr="00816297">
        <w:rPr>
          <w:rFonts w:cs="Arial"/>
          <w:i/>
          <w:sz w:val="20"/>
          <w:lang w:val="it-CH"/>
        </w:rPr>
        <w:t>Il M7784 chiede un contributo integrativo di CHF</w:t>
      </w:r>
      <w:r>
        <w:rPr>
          <w:rFonts w:cs="Arial"/>
          <w:i/>
          <w:sz w:val="20"/>
          <w:lang w:val="it-CH"/>
        </w:rPr>
        <w:t xml:space="preserve"> </w:t>
      </w:r>
      <w:r w:rsidRPr="00816297">
        <w:rPr>
          <w:rFonts w:cs="Arial"/>
          <w:i/>
          <w:sz w:val="20"/>
          <w:lang w:val="it-CH"/>
        </w:rPr>
        <w:t>500 milioni per coprire una garanzia che il Parlamento ha concesso nel dicembre del 2012; non riconoscere questo impegno, vorrebbe dire mettere a carico degli assicurati attivi questo costo. Abbassando l’obiettivo all’80% non risolveremmo, anzi, i problemi relativi agli assicurati attivi e alle loro previsioni di rendita</w:t>
      </w:r>
      <w:r w:rsidRPr="00816297">
        <w:rPr>
          <w:rFonts w:cs="Arial"/>
          <w:sz w:val="20"/>
          <w:lang w:val="it-CH"/>
        </w:rPr>
        <w:t>» (verbale della seduta della Sottocommissione "Finanze" di martedì 21 luglio 2020, p. 30).</w:t>
      </w:r>
    </w:p>
  </w:footnote>
  <w:footnote w:id="44">
    <w:p w:rsidR="00DF2942" w:rsidRPr="00816297" w:rsidRDefault="00DF2942" w:rsidP="00AC7A67">
      <w:pPr>
        <w:pStyle w:val="Testonotaapidipagina"/>
        <w:spacing w:after="0"/>
        <w:rPr>
          <w:lang w:val="it-CH"/>
        </w:rPr>
      </w:pPr>
      <w:r w:rsidRPr="00816297">
        <w:rPr>
          <w:rStyle w:val="Rimandonotaapidipagina"/>
          <w:rFonts w:cs="Arial"/>
          <w:sz w:val="20"/>
          <w:lang w:val="it-CH"/>
        </w:rPr>
        <w:footnoteRef/>
      </w:r>
      <w:r w:rsidRPr="00816297">
        <w:rPr>
          <w:rFonts w:cs="Arial"/>
          <w:sz w:val="20"/>
          <w:lang w:val="it-CH"/>
        </w:rPr>
        <w:t xml:space="preserve"> «</w:t>
      </w:r>
      <w:r w:rsidRPr="00816297">
        <w:rPr>
          <w:rFonts w:cs="Arial"/>
          <w:i/>
          <w:sz w:val="20"/>
          <w:lang w:val="it-CH"/>
        </w:rPr>
        <w:t>Il limite posto dalla LPP è effettivamente l’80% entro il 2051, ma l’obiettivo della riforma accolta dal GC nel novembre 2012 era anche di stabilizzare questa percentuale dell’80% e ciò può avvenire solo in presenza di un minimo di riserva di fluttuazione. Se vogliamo fare un gioco di prestigio con le cifre, possiamo passare dall’85% all’80%, trovando una soluzione sì utile, ma solo fra 30 anni; ora, secondo me, bisogna ragionare con un orizzonte temporale di una decina d’anni, perché i dati attuali fanno stato di una notevole differenza rispetto al "cammino di finanziamento" votato dal Parlamento. La questione deve essere vista da un altro punto di vista: come agiamo allo scopo di riallinearci agli obiettivi definiti nel 2012, così da poter poi proseguire in maniera credibile?</w:t>
      </w:r>
      <w:r w:rsidRPr="00816297">
        <w:rPr>
          <w:rFonts w:cs="Arial"/>
          <w:sz w:val="20"/>
          <w:lang w:val="it-CH"/>
        </w:rPr>
        <w:t>» (verbale della seduta della Sottocommissione "Finanze" di martedì 21 luglio 2020, p. 8).</w:t>
      </w:r>
    </w:p>
  </w:footnote>
  <w:footnote w:id="45">
    <w:p w:rsidR="00DF2942" w:rsidRPr="00816297" w:rsidRDefault="00DF2942" w:rsidP="001C63E0">
      <w:pPr>
        <w:pStyle w:val="Testonotaapidipagina"/>
        <w:spacing w:before="60"/>
        <w:rPr>
          <w:sz w:val="20"/>
          <w:lang w:val="it-CH"/>
        </w:rPr>
      </w:pPr>
      <w:r w:rsidRPr="00816297">
        <w:rPr>
          <w:rStyle w:val="Rimandonotaapidipagina"/>
          <w:sz w:val="20"/>
          <w:lang w:val="it-CH"/>
        </w:rPr>
        <w:footnoteRef/>
      </w:r>
      <w:r w:rsidRPr="00816297">
        <w:rPr>
          <w:sz w:val="20"/>
          <w:lang w:val="it-CH"/>
        </w:rPr>
        <w:t xml:space="preserve"> </w:t>
      </w:r>
      <w:r w:rsidRPr="00816297">
        <w:rPr>
          <w:rFonts w:cs="Arial"/>
          <w:sz w:val="20"/>
          <w:lang w:val="it-CH"/>
        </w:rPr>
        <w:t>Verbale d</w:t>
      </w:r>
      <w:r w:rsidRPr="00816297">
        <w:rPr>
          <w:sz w:val="20"/>
          <w:lang w:val="it-CH"/>
        </w:rPr>
        <w:t>ella seduta della Sottocommissione "Finanze" di martedì 21 luglio 2020, p. 29.</w:t>
      </w:r>
    </w:p>
  </w:footnote>
  <w:footnote w:id="46">
    <w:p w:rsidR="00DF2942" w:rsidRPr="00816297" w:rsidRDefault="00DF2942" w:rsidP="00EB1163">
      <w:pPr>
        <w:pStyle w:val="Testonotaapidipagina"/>
        <w:spacing w:after="0"/>
        <w:rPr>
          <w:sz w:val="20"/>
          <w:lang w:val="it-CH"/>
        </w:rPr>
      </w:pPr>
      <w:r w:rsidRPr="00816297">
        <w:rPr>
          <w:rStyle w:val="Rimandonotaapidipagina"/>
          <w:sz w:val="20"/>
          <w:lang w:val="it-CH"/>
        </w:rPr>
        <w:footnoteRef/>
      </w:r>
      <w:r w:rsidRPr="00816297">
        <w:rPr>
          <w:sz w:val="20"/>
          <w:lang w:val="it-CH"/>
        </w:rPr>
        <w:t xml:space="preserve"> </w:t>
      </w:r>
      <w:r w:rsidRPr="00816297">
        <w:rPr>
          <w:rFonts w:cs="Arial"/>
          <w:sz w:val="20"/>
          <w:lang w:val="it-CH"/>
        </w:rPr>
        <w:t>Verbale d</w:t>
      </w:r>
      <w:r w:rsidRPr="00816297">
        <w:rPr>
          <w:sz w:val="20"/>
          <w:lang w:val="it-CH"/>
        </w:rPr>
        <w:t>ella seduta della Sottocommissione "Finanze" di martedì 21 luglio 2020, pp. 24-28.</w:t>
      </w:r>
    </w:p>
  </w:footnote>
  <w:footnote w:id="47">
    <w:p w:rsidR="00DF2942" w:rsidRPr="00816297" w:rsidRDefault="00DF2942" w:rsidP="00EB1163">
      <w:pPr>
        <w:pStyle w:val="Testonotaapidipagina"/>
        <w:spacing w:after="0"/>
        <w:rPr>
          <w:sz w:val="20"/>
          <w:lang w:val="it-CH"/>
        </w:rPr>
      </w:pPr>
      <w:r w:rsidRPr="00816297">
        <w:rPr>
          <w:rStyle w:val="Rimandonotaapidipagina"/>
          <w:sz w:val="20"/>
          <w:lang w:val="it-CH"/>
        </w:rPr>
        <w:footnoteRef/>
      </w:r>
      <w:r w:rsidRPr="00816297">
        <w:rPr>
          <w:sz w:val="20"/>
          <w:lang w:val="it-CH"/>
        </w:rPr>
        <w:t xml:space="preserve"> </w:t>
      </w:r>
      <w:r w:rsidRPr="00816297">
        <w:rPr>
          <w:rFonts w:cs="Arial"/>
          <w:sz w:val="20"/>
          <w:lang w:val="it-CH"/>
        </w:rPr>
        <w:t>«</w:t>
      </w:r>
      <w:r w:rsidRPr="00816297">
        <w:rPr>
          <w:rFonts w:cs="Arial"/>
          <w:i/>
          <w:iCs/>
          <w:sz w:val="20"/>
          <w:lang w:val="it-CH"/>
        </w:rPr>
        <w:t>Sarebbe fantastico poter ricevere questi CHF 2.6 miliardi per andare al 100% del grado di copertura. In effetti l’IPCT è attualmente in "cash flow" negativo, nel senso che paga più prestazioni di quante ne incassa. Quando si è in sovra-copertura, questo ha un effetto positivo sul grado di copertura, il quale aumenta in maniera naturale; viceversa – ed è il nostro caso – se si è in sotto-copertura e vi è un "cash flow" negativo, il grado di copertura viene spinto verso il basso. Un altro vantaggio di questa operazione consiste nel fatto che si potrebbero togliere i contributi di risanamento, il che vuol dire che il Cantone risparmierebbe circa CHF 40 milioni all’anno, mentre gli altri enti affiliati una ventina di milioni</w:t>
      </w:r>
      <w:r w:rsidRPr="00816297">
        <w:rPr>
          <w:rFonts w:cs="Arial"/>
          <w:sz w:val="20"/>
          <w:lang w:val="it-CH"/>
        </w:rPr>
        <w:t>» (verbale d</w:t>
      </w:r>
      <w:r w:rsidRPr="00816297">
        <w:rPr>
          <w:sz w:val="20"/>
          <w:lang w:val="it-CH"/>
        </w:rPr>
        <w:t>ella seduta della Sottocommissione "Finanze" di martedì 21 luglio 2020, p. 27).</w:t>
      </w:r>
    </w:p>
  </w:footnote>
  <w:footnote w:id="48">
    <w:p w:rsidR="00DF2942" w:rsidRPr="00816297" w:rsidRDefault="00DF2942" w:rsidP="00EB1163">
      <w:pPr>
        <w:pStyle w:val="Testonotaapidipagina"/>
        <w:spacing w:after="0"/>
        <w:rPr>
          <w:szCs w:val="22"/>
          <w:lang w:val="it-CH"/>
        </w:rPr>
      </w:pPr>
      <w:r w:rsidRPr="00816297">
        <w:rPr>
          <w:rStyle w:val="Rimandonotaapidipagina"/>
          <w:sz w:val="20"/>
          <w:lang w:val="it-CH"/>
        </w:rPr>
        <w:footnoteRef/>
      </w:r>
      <w:r w:rsidRPr="00816297">
        <w:rPr>
          <w:sz w:val="20"/>
          <w:lang w:val="it-CH"/>
        </w:rPr>
        <w:t xml:space="preserve"> </w:t>
      </w:r>
      <w:r w:rsidRPr="00816297">
        <w:rPr>
          <w:rFonts w:cs="Arial"/>
          <w:sz w:val="20"/>
          <w:lang w:val="it-CH"/>
        </w:rPr>
        <w:t>«</w:t>
      </w:r>
      <w:r w:rsidRPr="00816297">
        <w:rPr>
          <w:rFonts w:cs="Arial"/>
          <w:i/>
          <w:iCs/>
          <w:sz w:val="20"/>
          <w:lang w:val="it-CH"/>
        </w:rPr>
        <w:t>Vorrei far presente che, anche capitalizzando al 100% l’IPCT, il problema delle compensazioni per gli assicurati non garantiti rimane tale e quale, nel senso che bisognerà ancora varare misure di lungo termine per fare in modo che il capitale di questi assicurati possa raggiungere un livello maggiore e questo si ha unicamente aumentando i contributi. L’idea capitalizzare l’IPCT al 100%, pensando poi che deve arrivare al 115%, non è molto diversa dal "cammino di finanziamento" deciso nel 2012: eravamo vicini al 70% e bisognava arrivare all’85%, ma siamo qui a discuterne oggi con presupposti tutt’altro che rosei. È sicuramente una visione più coraggiosa, però si rimane sempre nelle cose non fatte fino in fondo. Questo per dire che il problema ha raggiunto proporzioni veramente importanti e anche con tutta la buona volontà è difficile trovare delle vere soluzioni</w:t>
      </w:r>
      <w:r w:rsidRPr="00816297">
        <w:rPr>
          <w:rFonts w:cs="Arial"/>
          <w:sz w:val="20"/>
          <w:lang w:val="it-CH"/>
        </w:rPr>
        <w:t>» (verbale d</w:t>
      </w:r>
      <w:r w:rsidRPr="00816297">
        <w:rPr>
          <w:sz w:val="20"/>
          <w:lang w:val="it-CH"/>
        </w:rPr>
        <w:t>ella seduta della Sottocommissione "Finanze" di martedì 21 luglio 2020, p. 30).</w:t>
      </w:r>
    </w:p>
  </w:footnote>
  <w:footnote w:id="49">
    <w:p w:rsidR="00DF2942" w:rsidRPr="00FD5C94" w:rsidRDefault="00DF2942" w:rsidP="00EB1163">
      <w:pPr>
        <w:pStyle w:val="Testonotaapidipagina"/>
        <w:spacing w:after="0"/>
        <w:rPr>
          <w:sz w:val="20"/>
          <w:lang w:val="it-CH"/>
        </w:rPr>
      </w:pPr>
      <w:r w:rsidRPr="00FD5C94">
        <w:rPr>
          <w:rStyle w:val="Rimandonotaapidipagina"/>
          <w:sz w:val="20"/>
          <w:lang w:val="it-CH"/>
        </w:rPr>
        <w:footnoteRef/>
      </w:r>
      <w:r w:rsidRPr="00FD5C94">
        <w:rPr>
          <w:sz w:val="20"/>
          <w:lang w:val="it-CH"/>
        </w:rPr>
        <w:t xml:space="preserve"> Il limite di età per il pensionamento e il prepensionamento è fissato all’art. 64 cpv. 1 e 2 ("Limite di età") </w:t>
      </w:r>
      <w:hyperlink r:id="rId37" w:history="1">
        <w:r w:rsidRPr="00FD5C94">
          <w:rPr>
            <w:rStyle w:val="Collegamentoipertestuale"/>
            <w:sz w:val="20"/>
            <w:lang w:val="it-CH"/>
          </w:rPr>
          <w:t>LORD</w:t>
        </w:r>
      </w:hyperlink>
      <w:r w:rsidRPr="00FD5C94">
        <w:rPr>
          <w:sz w:val="20"/>
          <w:lang w:val="it-CH"/>
        </w:rPr>
        <w:t>:</w:t>
      </w:r>
    </w:p>
    <w:p w:rsidR="00DF2942" w:rsidRPr="00FD5C94" w:rsidRDefault="00DF2942" w:rsidP="00EB1163">
      <w:pPr>
        <w:pStyle w:val="Testonotaapidipagina"/>
        <w:spacing w:after="0"/>
        <w:rPr>
          <w:i/>
          <w:iCs/>
          <w:sz w:val="20"/>
          <w:lang w:val="it-CH"/>
        </w:rPr>
      </w:pPr>
      <w:r w:rsidRPr="00FD5C94">
        <w:rPr>
          <w:i/>
          <w:iCs/>
          <w:sz w:val="20"/>
          <w:vertAlign w:val="superscript"/>
          <w:lang w:val="it-CH"/>
        </w:rPr>
        <w:t>1</w:t>
      </w:r>
      <w:r w:rsidRPr="00FD5C94">
        <w:rPr>
          <w:i/>
          <w:iCs/>
          <w:sz w:val="20"/>
          <w:lang w:val="it-CH"/>
        </w:rPr>
        <w:t>Il rapporto di impiego cessa per limite d’età fra i 60 e i 65 anni.</w:t>
      </w:r>
    </w:p>
    <w:p w:rsidR="00DF2942" w:rsidRPr="00FD5C94" w:rsidRDefault="00DF2942" w:rsidP="00EB1163">
      <w:pPr>
        <w:pStyle w:val="Testonotaapidipagina"/>
        <w:spacing w:after="0"/>
        <w:rPr>
          <w:sz w:val="20"/>
          <w:lang w:val="it-CH"/>
        </w:rPr>
      </w:pPr>
      <w:r w:rsidRPr="00FD5C94">
        <w:rPr>
          <w:i/>
          <w:iCs/>
          <w:sz w:val="20"/>
          <w:vertAlign w:val="superscript"/>
          <w:lang w:val="it-CH"/>
        </w:rPr>
        <w:t>2</w:t>
      </w:r>
      <w:r w:rsidRPr="00FD5C94">
        <w:rPr>
          <w:i/>
          <w:iCs/>
          <w:sz w:val="20"/>
          <w:lang w:val="it-CH"/>
        </w:rPr>
        <w:t>Il dipendente che ha compiuto i 58 anni di età ha diritto di chiedere il collocamento a riposo anticipato secondo il regolamento di previdenza dell’Istituto di previdenza del Cantone Ticino.</w:t>
      </w:r>
    </w:p>
  </w:footnote>
  <w:footnote w:id="50">
    <w:p w:rsidR="00DF2942" w:rsidRPr="00FD5C94" w:rsidRDefault="00DF2942" w:rsidP="00EB1163">
      <w:pPr>
        <w:pStyle w:val="Testonotaapidipagina"/>
        <w:spacing w:after="0"/>
        <w:rPr>
          <w:sz w:val="20"/>
          <w:lang w:val="it-CH"/>
        </w:rPr>
      </w:pPr>
      <w:r w:rsidRPr="00FD5C94">
        <w:rPr>
          <w:rStyle w:val="Rimandonotaapidipagina"/>
          <w:sz w:val="20"/>
          <w:lang w:val="it-CH"/>
        </w:rPr>
        <w:footnoteRef/>
      </w:r>
      <w:r w:rsidRPr="00FD5C94">
        <w:rPr>
          <w:sz w:val="20"/>
          <w:lang w:val="it-CH"/>
        </w:rPr>
        <w:t xml:space="preserve"> Art. 71 ("2. Clausola d’urgenza") </w:t>
      </w:r>
      <w:hyperlink r:id="rId38" w:history="1">
        <w:r w:rsidRPr="00FD5C94">
          <w:rPr>
            <w:rStyle w:val="Collegamentoipertestuale"/>
            <w:sz w:val="20"/>
            <w:lang w:val="it-CH"/>
          </w:rPr>
          <w:t>LGC</w:t>
        </w:r>
      </w:hyperlink>
    </w:p>
    <w:p w:rsidR="00DF2942" w:rsidRPr="00FD5C94" w:rsidRDefault="00DF2942" w:rsidP="00EB1163">
      <w:pPr>
        <w:pStyle w:val="Testonotaapidipagina"/>
        <w:spacing w:after="0"/>
        <w:rPr>
          <w:i/>
          <w:iCs/>
          <w:sz w:val="20"/>
          <w:lang w:val="it-CH"/>
        </w:rPr>
      </w:pPr>
      <w:r w:rsidRPr="00FD5C94">
        <w:rPr>
          <w:i/>
          <w:iCs/>
          <w:sz w:val="20"/>
          <w:vertAlign w:val="superscript"/>
          <w:lang w:val="it-CH"/>
        </w:rPr>
        <w:t>1</w:t>
      </w:r>
      <w:r w:rsidRPr="00FD5C94">
        <w:rPr>
          <w:i/>
          <w:iCs/>
          <w:sz w:val="20"/>
          <w:lang w:val="it-CH"/>
        </w:rPr>
        <w:t>Le leggi e i decreti legislativi di carattere obbligatorio generale, giudicati di natura urgente, entrano immediatamente in vigore se lo decide la maggioranza dei membri del Gran Consiglio.</w:t>
      </w:r>
    </w:p>
    <w:p w:rsidR="00DF2942" w:rsidRPr="00FD5C94" w:rsidRDefault="00DF2942" w:rsidP="00EB1163">
      <w:pPr>
        <w:pStyle w:val="Testonotaapidipagina"/>
        <w:spacing w:after="0"/>
        <w:rPr>
          <w:sz w:val="20"/>
          <w:lang w:val="it-CH"/>
        </w:rPr>
      </w:pPr>
      <w:r w:rsidRPr="00FD5C94">
        <w:rPr>
          <w:i/>
          <w:iCs/>
          <w:sz w:val="20"/>
          <w:vertAlign w:val="superscript"/>
          <w:lang w:val="it-CH"/>
        </w:rPr>
        <w:t>2</w:t>
      </w:r>
      <w:r w:rsidRPr="00FD5C94">
        <w:rPr>
          <w:i/>
          <w:iCs/>
          <w:sz w:val="20"/>
          <w:lang w:val="it-CH"/>
        </w:rPr>
        <w:t>L’atto urgente perde la sua validità dopo 1 anno dalla sua entrata in vigore e non può essere rinnovato in via d’urgenza.</w:t>
      </w:r>
    </w:p>
  </w:footnote>
  <w:footnote w:id="51">
    <w:p w:rsidR="00DF2942" w:rsidRPr="00FD5C94" w:rsidRDefault="00DF2942" w:rsidP="00EB1163">
      <w:pPr>
        <w:pStyle w:val="Testonotaapidipagina"/>
        <w:spacing w:after="0"/>
        <w:rPr>
          <w:szCs w:val="22"/>
          <w:lang w:val="it-CH"/>
        </w:rPr>
      </w:pPr>
      <w:r w:rsidRPr="00FD5C94">
        <w:rPr>
          <w:rStyle w:val="Rimandonotaapidipagina"/>
          <w:sz w:val="20"/>
          <w:lang w:val="it-CH"/>
        </w:rPr>
        <w:footnoteRef/>
      </w:r>
      <w:r w:rsidRPr="00FD5C94">
        <w:rPr>
          <w:sz w:val="20"/>
          <w:lang w:val="it-CH"/>
        </w:rPr>
        <w:t xml:space="preserve"> Art. 8 </w:t>
      </w:r>
      <w:hyperlink r:id="rId39" w:history="1">
        <w:r w:rsidRPr="00FD5C94">
          <w:rPr>
            <w:rStyle w:val="Collegamentoipertestuale"/>
            <w:sz w:val="20"/>
            <w:lang w:val="it-CH"/>
          </w:rPr>
          <w:t>Legge sull’Istituto di previdenza del Cantone Ticino</w:t>
        </w:r>
      </w:hyperlink>
      <w:r w:rsidRPr="00FD5C94">
        <w:rPr>
          <w:sz w:val="20"/>
          <w:lang w:val="it-CH"/>
        </w:rPr>
        <w:t xml:space="preserve"> e Sezione IV ("Supplemento sostitutivo AVS/AI per pensionamento anticipato e vecchiaia") del </w:t>
      </w:r>
      <w:hyperlink r:id="rId40" w:history="1">
        <w:r w:rsidRPr="00FD5C94">
          <w:rPr>
            <w:rStyle w:val="Collegamentoipertestuale"/>
            <w:sz w:val="20"/>
            <w:lang w:val="it-CH"/>
          </w:rPr>
          <w:t>Regolamento di previdenza dell’Istituto di previdenza del Cantone Ticino</w:t>
        </w:r>
      </w:hyperlink>
      <w:r w:rsidRPr="00FD5C94">
        <w:rPr>
          <w:sz w:val="20"/>
          <w:lang w:val="it-CH"/>
        </w:rPr>
        <w:t>.</w:t>
      </w:r>
    </w:p>
  </w:footnote>
  <w:footnote w:id="52">
    <w:p w:rsidR="00DF2942" w:rsidRPr="00FD5C94" w:rsidRDefault="00DF2942" w:rsidP="00A26369">
      <w:pPr>
        <w:pStyle w:val="Testonotaapidipagina"/>
        <w:spacing w:after="0"/>
        <w:rPr>
          <w:sz w:val="20"/>
          <w:lang w:val="it-CH"/>
        </w:rPr>
      </w:pPr>
      <w:r w:rsidRPr="00FD5C94">
        <w:rPr>
          <w:rStyle w:val="Rimandonotaapidipagina"/>
          <w:sz w:val="20"/>
          <w:lang w:val="it-CH"/>
        </w:rPr>
        <w:footnoteRef/>
      </w:r>
      <w:r w:rsidRPr="00FD5C94">
        <w:rPr>
          <w:sz w:val="20"/>
          <w:lang w:val="it-CH"/>
        </w:rPr>
        <w:t xml:space="preserve"> </w:t>
      </w:r>
      <w:r w:rsidRPr="00FD5C94">
        <w:rPr>
          <w:i/>
          <w:iCs/>
          <w:sz w:val="20"/>
          <w:lang w:val="it-CH"/>
        </w:rPr>
        <w:t>Cfr. art. 29 del Regolamento di previdenza dell’Istituto di previdenza del Cantone Ticino</w:t>
      </w:r>
      <w:r w:rsidRPr="00FD5C94">
        <w:rPr>
          <w:sz w:val="20"/>
          <w:lang w:val="it-CH"/>
        </w:rPr>
        <w:t>.</w:t>
      </w:r>
    </w:p>
  </w:footnote>
  <w:footnote w:id="53">
    <w:p w:rsidR="00DF2942" w:rsidRPr="00FD5C94" w:rsidRDefault="00DF2942" w:rsidP="00A26369">
      <w:pPr>
        <w:pStyle w:val="Testonotaapidipagina"/>
        <w:spacing w:after="0"/>
        <w:rPr>
          <w:i/>
          <w:iCs/>
          <w:sz w:val="20"/>
          <w:lang w:val="it-CH"/>
        </w:rPr>
      </w:pPr>
      <w:r w:rsidRPr="00FD5C94">
        <w:rPr>
          <w:rStyle w:val="Rimandonotaapidipagina"/>
          <w:sz w:val="20"/>
          <w:lang w:val="it-CH"/>
        </w:rPr>
        <w:footnoteRef/>
      </w:r>
      <w:r w:rsidRPr="00FD5C94">
        <w:rPr>
          <w:sz w:val="20"/>
          <w:lang w:val="it-CH"/>
        </w:rPr>
        <w:t xml:space="preserve"> </w:t>
      </w:r>
      <w:r w:rsidRPr="00FD5C94">
        <w:rPr>
          <w:i/>
          <w:iCs/>
          <w:sz w:val="20"/>
          <w:lang w:val="it-CH"/>
        </w:rPr>
        <w:t>Art. 43 - Clausola d’urgenza</w:t>
      </w:r>
    </w:p>
    <w:p w:rsidR="00DF2942" w:rsidRPr="00FD5C94" w:rsidRDefault="00DF2942" w:rsidP="00A26369">
      <w:pPr>
        <w:pStyle w:val="Testonotaapidipagina"/>
        <w:spacing w:after="0"/>
        <w:rPr>
          <w:i/>
          <w:iCs/>
          <w:sz w:val="20"/>
          <w:lang w:val="it-CH"/>
        </w:rPr>
      </w:pPr>
      <w:r w:rsidRPr="00FD5C94">
        <w:rPr>
          <w:i/>
          <w:iCs/>
          <w:sz w:val="20"/>
          <w:vertAlign w:val="superscript"/>
          <w:lang w:val="it-CH"/>
        </w:rPr>
        <w:t>1</w:t>
      </w:r>
      <w:r w:rsidRPr="00FD5C94">
        <w:rPr>
          <w:i/>
          <w:iCs/>
          <w:sz w:val="20"/>
          <w:lang w:val="it-CH"/>
        </w:rPr>
        <w:t>Le leggi e i decreti legislativi di carattere obbligatorio generale, giudicati di natura urgente, entrano Immediatamente in vigore se lo decide l</w:t>
      </w:r>
      <w:r>
        <w:rPr>
          <w:i/>
          <w:iCs/>
          <w:sz w:val="20"/>
          <w:lang w:val="it-CH"/>
        </w:rPr>
        <w:t>a</w:t>
      </w:r>
      <w:r w:rsidRPr="00FD5C94">
        <w:rPr>
          <w:i/>
          <w:iCs/>
          <w:sz w:val="20"/>
          <w:lang w:val="it-CH"/>
        </w:rPr>
        <w:t xml:space="preserve"> maggioranza dei membri del Gran Consiglio.</w:t>
      </w:r>
    </w:p>
    <w:p w:rsidR="00DF2942" w:rsidRPr="00FD5C94" w:rsidRDefault="00DF2942" w:rsidP="009A3543">
      <w:pPr>
        <w:pStyle w:val="Testonotaapidipagina"/>
        <w:spacing w:after="0"/>
        <w:rPr>
          <w:sz w:val="20"/>
          <w:lang w:val="it-CH"/>
        </w:rPr>
      </w:pPr>
      <w:r w:rsidRPr="00FD5C94">
        <w:rPr>
          <w:i/>
          <w:iCs/>
          <w:sz w:val="20"/>
          <w:vertAlign w:val="superscript"/>
          <w:lang w:val="it-CH"/>
        </w:rPr>
        <w:t>2</w:t>
      </w:r>
      <w:r w:rsidRPr="00FD5C94">
        <w:rPr>
          <w:i/>
          <w:iCs/>
          <w:sz w:val="20"/>
          <w:lang w:val="it-CH"/>
        </w:rPr>
        <w:t>L’atto urgente perde l</w:t>
      </w:r>
      <w:r>
        <w:rPr>
          <w:i/>
          <w:iCs/>
          <w:sz w:val="20"/>
          <w:lang w:val="it-CH"/>
        </w:rPr>
        <w:t>a</w:t>
      </w:r>
      <w:r w:rsidRPr="00FD5C94">
        <w:rPr>
          <w:i/>
          <w:iCs/>
          <w:sz w:val="20"/>
          <w:lang w:val="it-CH"/>
        </w:rPr>
        <w:t xml:space="preserve"> sua validità dopo un anno dalla sua entrata in vigore e non può essere rinnovato in via d’urgenza (cpv. 2).</w:t>
      </w:r>
    </w:p>
  </w:footnote>
  <w:footnote w:id="54">
    <w:p w:rsidR="00DF2942" w:rsidRPr="00056BEE" w:rsidRDefault="00DF2942" w:rsidP="009A3543">
      <w:pPr>
        <w:pStyle w:val="Testonotaapidipagina"/>
        <w:spacing w:after="0"/>
        <w:rPr>
          <w:sz w:val="20"/>
          <w:lang w:val="fr-BE"/>
        </w:rPr>
      </w:pPr>
      <w:r w:rsidRPr="00FD5C94">
        <w:rPr>
          <w:rStyle w:val="Rimandonotaapidipagina"/>
          <w:sz w:val="20"/>
          <w:lang w:val="it-CH"/>
        </w:rPr>
        <w:footnoteRef/>
      </w:r>
      <w:r w:rsidRPr="00056BEE">
        <w:rPr>
          <w:sz w:val="20"/>
          <w:lang w:val="fr-BE"/>
        </w:rPr>
        <w:t xml:space="preserve"> </w:t>
      </w:r>
      <w:r w:rsidRPr="00056BEE">
        <w:rPr>
          <w:i/>
          <w:iCs/>
          <w:sz w:val="20"/>
          <w:lang w:val="fr-BE"/>
        </w:rPr>
        <w:t>FAVRE, Droit constitutionnel suisse, page 453.</w:t>
      </w:r>
    </w:p>
  </w:footnote>
  <w:footnote w:id="55">
    <w:p w:rsidR="00DF2942" w:rsidRPr="00FD5C94" w:rsidRDefault="00DF2942" w:rsidP="009A3543">
      <w:pPr>
        <w:pStyle w:val="Testonotaapidipagina"/>
        <w:spacing w:after="0"/>
        <w:rPr>
          <w:i/>
          <w:iCs/>
          <w:sz w:val="20"/>
          <w:lang w:val="it-CH"/>
        </w:rPr>
      </w:pPr>
      <w:r w:rsidRPr="00FD5C94">
        <w:rPr>
          <w:rStyle w:val="Rimandonotaapidipagina"/>
          <w:i/>
          <w:iCs/>
          <w:sz w:val="20"/>
          <w:lang w:val="it-CH"/>
        </w:rPr>
        <w:footnoteRef/>
      </w:r>
      <w:r w:rsidRPr="00FD5C94">
        <w:rPr>
          <w:i/>
          <w:iCs/>
          <w:sz w:val="20"/>
          <w:lang w:val="it-CH"/>
        </w:rPr>
        <w:t xml:space="preserve"> FF 1937 vol. III p. 23; FAVRE, op. cit., </w:t>
      </w:r>
      <w:proofErr w:type="spellStart"/>
      <w:r w:rsidRPr="00FD5C94">
        <w:rPr>
          <w:i/>
          <w:iCs/>
          <w:sz w:val="20"/>
          <w:lang w:val="it-CH"/>
        </w:rPr>
        <w:t>loc</w:t>
      </w:r>
      <w:proofErr w:type="spellEnd"/>
      <w:r w:rsidRPr="00FD5C94">
        <w:rPr>
          <w:i/>
          <w:iCs/>
          <w:sz w:val="20"/>
          <w:lang w:val="it-CH"/>
        </w:rPr>
        <w:t>. cit.</w:t>
      </w:r>
    </w:p>
  </w:footnote>
  <w:footnote w:id="56">
    <w:p w:rsidR="00DF2942" w:rsidRPr="00FD5C94" w:rsidRDefault="00DF2942" w:rsidP="009A3543">
      <w:pPr>
        <w:pStyle w:val="Testonotaapidipagina"/>
        <w:spacing w:after="0"/>
        <w:rPr>
          <w:sz w:val="20"/>
          <w:lang w:val="it-CH"/>
        </w:rPr>
      </w:pPr>
      <w:r w:rsidRPr="00FD5C94">
        <w:rPr>
          <w:rStyle w:val="Rimandonotaapidipagina"/>
          <w:sz w:val="20"/>
          <w:lang w:val="it-CH"/>
        </w:rPr>
        <w:footnoteRef/>
      </w:r>
      <w:r w:rsidRPr="00FD5C94">
        <w:rPr>
          <w:sz w:val="20"/>
          <w:lang w:val="it-CH"/>
        </w:rPr>
        <w:t xml:space="preserve"> </w:t>
      </w:r>
      <w:r w:rsidRPr="00FD5C94">
        <w:rPr>
          <w:i/>
          <w:iCs/>
          <w:sz w:val="20"/>
          <w:lang w:val="it-CH"/>
        </w:rPr>
        <w:t>SANDRO CRESPI, Decreto legislativo urgente, In RDAT 1980 pago 8 e segg., in particolare n. 4.5.1 e riferimenti dottrinali citati.</w:t>
      </w:r>
    </w:p>
  </w:footnote>
  <w:footnote w:id="57">
    <w:p w:rsidR="00DF2942" w:rsidRPr="00FD5C94" w:rsidRDefault="00DF2942" w:rsidP="009A3543">
      <w:pPr>
        <w:pStyle w:val="Testonotaapidipagina"/>
        <w:spacing w:after="0"/>
        <w:rPr>
          <w:sz w:val="20"/>
          <w:lang w:val="it-CH"/>
        </w:rPr>
      </w:pPr>
      <w:r w:rsidRPr="00FD5C94">
        <w:rPr>
          <w:rStyle w:val="Rimandonotaapidipagina"/>
          <w:sz w:val="20"/>
          <w:lang w:val="it-CH"/>
        </w:rPr>
        <w:footnoteRef/>
      </w:r>
      <w:r w:rsidRPr="00FD5C94">
        <w:rPr>
          <w:sz w:val="20"/>
          <w:lang w:val="it-CH"/>
        </w:rPr>
        <w:t xml:space="preserve"> </w:t>
      </w:r>
      <w:r w:rsidRPr="00FD5C94">
        <w:rPr>
          <w:i/>
          <w:iCs/>
          <w:sz w:val="20"/>
          <w:lang w:val="it-CH"/>
        </w:rPr>
        <w:t xml:space="preserve">DTF 103 la 152 </w:t>
      </w:r>
      <w:proofErr w:type="spellStart"/>
      <w:r w:rsidRPr="00FD5C94">
        <w:rPr>
          <w:i/>
          <w:iCs/>
          <w:sz w:val="20"/>
          <w:lang w:val="it-CH"/>
        </w:rPr>
        <w:t>consid</w:t>
      </w:r>
      <w:proofErr w:type="spellEnd"/>
      <w:r w:rsidRPr="00FD5C94">
        <w:rPr>
          <w:i/>
          <w:iCs/>
          <w:sz w:val="20"/>
          <w:lang w:val="it-CH"/>
        </w:rPr>
        <w:t>. 3b</w:t>
      </w:r>
    </w:p>
  </w:footnote>
  <w:footnote w:id="58">
    <w:p w:rsidR="00DF2942" w:rsidRPr="00FD5C94" w:rsidRDefault="00DF2942" w:rsidP="009A3543">
      <w:pPr>
        <w:pStyle w:val="Testonotaapidipagina"/>
        <w:spacing w:after="0"/>
        <w:rPr>
          <w:i/>
          <w:iCs/>
          <w:lang w:val="it-CH"/>
        </w:rPr>
      </w:pPr>
      <w:r w:rsidRPr="00FD5C94">
        <w:rPr>
          <w:rStyle w:val="Rimandonotaapidipagina"/>
          <w:sz w:val="20"/>
          <w:lang w:val="it-CH"/>
        </w:rPr>
        <w:footnoteRef/>
      </w:r>
      <w:r w:rsidRPr="00FD5C94">
        <w:rPr>
          <w:sz w:val="20"/>
          <w:lang w:val="it-CH"/>
        </w:rPr>
        <w:t xml:space="preserve"> </w:t>
      </w:r>
      <w:r w:rsidRPr="00FD5C94">
        <w:rPr>
          <w:i/>
          <w:iCs/>
          <w:sz w:val="20"/>
          <w:lang w:val="it-CH"/>
        </w:rPr>
        <w:t>Ibidem.</w:t>
      </w:r>
    </w:p>
  </w:footnote>
  <w:footnote w:id="59">
    <w:p w:rsidR="00DF2942" w:rsidRPr="00FD5C94" w:rsidRDefault="00DF2942" w:rsidP="009A3543">
      <w:pPr>
        <w:pStyle w:val="Testonotaapidipagina"/>
        <w:spacing w:after="0"/>
        <w:rPr>
          <w:sz w:val="20"/>
          <w:lang w:val="it-CH"/>
        </w:rPr>
      </w:pPr>
      <w:r w:rsidRPr="00FD5C94">
        <w:rPr>
          <w:rStyle w:val="Rimandonotaapidipagina"/>
          <w:sz w:val="20"/>
          <w:lang w:val="it-CH"/>
        </w:rPr>
        <w:footnoteRef/>
      </w:r>
      <w:r w:rsidRPr="00FD5C94">
        <w:rPr>
          <w:sz w:val="20"/>
          <w:lang w:val="it-CH"/>
        </w:rPr>
        <w:t xml:space="preserve"> </w:t>
      </w:r>
      <w:r w:rsidRPr="00FD5C94">
        <w:rPr>
          <w:i/>
          <w:iCs/>
          <w:sz w:val="20"/>
          <w:lang w:val="it-CH"/>
        </w:rPr>
        <w:t>Tale soluzione è inoltre la stessa che esiste a livello federale dove le leggi federali urgenti con validità inferiore ad un arino non sono sotto poste a referendum, cfr. art. 165 cpv. 1 e 2 Costituzione federale.</w:t>
      </w:r>
    </w:p>
  </w:footnote>
  <w:footnote w:id="60">
    <w:p w:rsidR="00DF2942" w:rsidRPr="00FD5C94" w:rsidRDefault="00DF2942" w:rsidP="001C63E0">
      <w:pPr>
        <w:pStyle w:val="Testonotaapidipagina"/>
        <w:spacing w:before="60"/>
        <w:rPr>
          <w:sz w:val="20"/>
          <w:lang w:val="it-CH"/>
        </w:rPr>
      </w:pPr>
      <w:r w:rsidRPr="00FD5C94">
        <w:rPr>
          <w:rStyle w:val="Rimandonotaapidipagina"/>
          <w:sz w:val="20"/>
          <w:lang w:val="it-CH"/>
        </w:rPr>
        <w:footnoteRef/>
      </w:r>
      <w:r w:rsidRPr="00FD5C94">
        <w:rPr>
          <w:sz w:val="20"/>
          <w:lang w:val="it-CH"/>
        </w:rPr>
        <w:t xml:space="preserve"> </w:t>
      </w:r>
      <w:r w:rsidRPr="00FD5C94">
        <w:rPr>
          <w:rFonts w:cs="Arial"/>
          <w:sz w:val="20"/>
          <w:lang w:val="it-CH"/>
        </w:rPr>
        <w:t>Verbale d</w:t>
      </w:r>
      <w:r w:rsidRPr="00FD5C94">
        <w:rPr>
          <w:sz w:val="20"/>
          <w:lang w:val="it-CH"/>
        </w:rPr>
        <w:t>ella seduta della Sottocommissione "Finanze" di martedì 21 luglio 2020, pp. 19-21</w:t>
      </w:r>
      <w:r>
        <w:rPr>
          <w:sz w:val="20"/>
          <w:lang w:val="it-CH"/>
        </w:rPr>
        <w:t>.</w:t>
      </w:r>
    </w:p>
  </w:footnote>
  <w:footnote w:id="61">
    <w:p w:rsidR="00DF2942" w:rsidRPr="00FD5C94" w:rsidRDefault="00DF2942" w:rsidP="0042617D">
      <w:pPr>
        <w:pStyle w:val="Testonotaapidipagina"/>
        <w:spacing w:after="0"/>
        <w:rPr>
          <w:sz w:val="20"/>
          <w:lang w:val="it-CH"/>
        </w:rPr>
      </w:pPr>
      <w:r w:rsidRPr="00FD5C94">
        <w:rPr>
          <w:rStyle w:val="Rimandonotaapidipagina"/>
          <w:sz w:val="20"/>
          <w:lang w:val="it-CH"/>
        </w:rPr>
        <w:footnoteRef/>
      </w:r>
      <w:r w:rsidRPr="00FD5C94">
        <w:rPr>
          <w:sz w:val="20"/>
          <w:lang w:val="it-CH"/>
        </w:rPr>
        <w:t xml:space="preserve"> https://www.fedlex.admin.ch/eli/cc/1983/797_797_797/it#art_72_a</w:t>
      </w:r>
    </w:p>
  </w:footnote>
  <w:footnote w:id="62">
    <w:p w:rsidR="00DF2942" w:rsidRPr="00FD5C94" w:rsidRDefault="00DF2942" w:rsidP="0042617D">
      <w:pPr>
        <w:pStyle w:val="Testonotaapidipagina"/>
        <w:spacing w:after="0"/>
        <w:rPr>
          <w:sz w:val="20"/>
          <w:lang w:val="it-CH"/>
        </w:rPr>
      </w:pPr>
      <w:r w:rsidRPr="00FD5C94">
        <w:rPr>
          <w:rStyle w:val="Rimandonotaapidipagina"/>
          <w:sz w:val="20"/>
          <w:lang w:val="it-CH"/>
        </w:rPr>
        <w:footnoteRef/>
      </w:r>
      <w:r w:rsidRPr="00FD5C94">
        <w:rPr>
          <w:sz w:val="20"/>
          <w:lang w:val="it-CH"/>
        </w:rPr>
        <w:t xml:space="preserve"> Saggio di rendimento ipotizzato dal piano di finanziamento adottato nel 2012 e superato nei fatti dall’IPCT da allora ad oggi. Si veda la nota 6 a pagina 1 del Rapporto del Consiglio di Stato del 30 settembre 2021 complementare al m7784.</w:t>
      </w:r>
    </w:p>
  </w:footnote>
  <w:footnote w:id="63">
    <w:p w:rsidR="00DF2942" w:rsidRPr="00FD5C94" w:rsidRDefault="00DF2942" w:rsidP="0042617D">
      <w:pPr>
        <w:pStyle w:val="Testonotaapidipagina"/>
        <w:spacing w:after="0"/>
        <w:rPr>
          <w:sz w:val="20"/>
          <w:lang w:val="it-CH"/>
        </w:rPr>
      </w:pPr>
      <w:r w:rsidRPr="00FD5C94">
        <w:rPr>
          <w:rStyle w:val="Rimandonotaapidipagina"/>
          <w:sz w:val="20"/>
          <w:lang w:val="it-CH"/>
        </w:rPr>
        <w:footnoteRef/>
      </w:r>
      <w:r w:rsidRPr="00FD5C94">
        <w:rPr>
          <w:sz w:val="20"/>
          <w:lang w:val="it-CH"/>
        </w:rPr>
        <w:t xml:space="preserve"> CHF 2.27 mia. = CHF 700 mio. * (1 + 4%)</w:t>
      </w:r>
      <w:r w:rsidRPr="00FD5C94">
        <w:rPr>
          <w:sz w:val="20"/>
          <w:vertAlign w:val="superscript"/>
          <w:lang w:val="it-CH"/>
        </w:rPr>
        <w:t>30</w:t>
      </w:r>
    </w:p>
  </w:footnote>
  <w:footnote w:id="64">
    <w:p w:rsidR="00DF2942" w:rsidRPr="00BA4F80" w:rsidRDefault="00DF2942" w:rsidP="0042617D">
      <w:pPr>
        <w:pStyle w:val="Testonotaapidipagina"/>
        <w:spacing w:after="0"/>
        <w:rPr>
          <w:lang w:val="it-CH"/>
        </w:rPr>
      </w:pPr>
      <w:r w:rsidRPr="00FD5C94">
        <w:rPr>
          <w:rStyle w:val="Rimandonotaapidipagina"/>
          <w:sz w:val="20"/>
          <w:lang w:val="it-CH"/>
        </w:rPr>
        <w:footnoteRef/>
      </w:r>
      <w:r w:rsidRPr="00FD5C94">
        <w:rPr>
          <w:sz w:val="20"/>
          <w:lang w:val="it-CH"/>
        </w:rPr>
        <w:t xml:space="preserve"> CHF 147 mio. = CHF 700 * 0.7% p.a. * 30 anni. Il costo di finanziamento dello 0.7% è la momentanea ipotesi di lavoro secondo i commenti al punto 4, paragrafo 2 della bozza di convenzione tra il Cantone Ticino e l’IPCT esposti a pagina 1 dei commenti del 16 novembre 2021 redatti dal Consiglio di Stato e dalla Direzione</w:t>
      </w:r>
      <w:r w:rsidRPr="0042617D">
        <w:rPr>
          <w:sz w:val="20"/>
          <w:lang w:val="it-CH"/>
        </w:rPr>
        <w:t xml:space="preserve"> dell’IPCT. Le esatte condizioni saranno note solo al momento dell’emissione e dipendono dalla situazione di mercato. Con RG 1416 del 23 marzo 2022, il Consiglio di Stato ha comunicato alla Sottocommissione Finanze della Commissione gestione e finanze che il costo di finanziamento aggiornato al momento dello scritto potrebbe essere ipotizzato attorno all’1.30%.</w:t>
      </w:r>
    </w:p>
  </w:footnote>
  <w:footnote w:id="65">
    <w:p w:rsidR="00DF2942" w:rsidRPr="00007CAC" w:rsidRDefault="00DF2942" w:rsidP="00007CAC">
      <w:pPr>
        <w:pStyle w:val="Testonotaapidipagina"/>
        <w:spacing w:after="0"/>
        <w:rPr>
          <w:sz w:val="20"/>
          <w:lang w:val="it-CH"/>
        </w:rPr>
      </w:pPr>
      <w:r w:rsidRPr="00F209DB">
        <w:rPr>
          <w:rStyle w:val="Rimandonotaapidipagina"/>
          <w:sz w:val="20"/>
          <w:lang w:val="it-CH"/>
        </w:rPr>
        <w:footnoteRef/>
      </w:r>
      <w:r w:rsidRPr="00F209DB">
        <w:rPr>
          <w:sz w:val="20"/>
          <w:lang w:val="it-CH"/>
        </w:rPr>
        <w:t xml:space="preserve"> </w:t>
      </w:r>
      <w:bookmarkStart w:id="58" w:name="_Hlk96271832"/>
      <w:r w:rsidRPr="00F209DB">
        <w:rPr>
          <w:sz w:val="20"/>
          <w:lang w:val="it-CH"/>
        </w:rPr>
        <w:t>Applicando simili metodi quantitativi ad un più ampio universo di possibili classi di investimento tra le quali</w:t>
      </w:r>
      <w:r w:rsidRPr="00007CAC">
        <w:rPr>
          <w:sz w:val="20"/>
          <w:lang w:val="it-CH"/>
        </w:rPr>
        <w:t xml:space="preserve"> muoversi, segnatamente attraverso ETF (</w:t>
      </w:r>
      <w:proofErr w:type="spellStart"/>
      <w:r w:rsidRPr="00007CAC">
        <w:rPr>
          <w:sz w:val="20"/>
          <w:lang w:val="it-CH"/>
        </w:rPr>
        <w:t>exchanged</w:t>
      </w:r>
      <w:proofErr w:type="spellEnd"/>
      <w:r w:rsidRPr="00007CAC">
        <w:rPr>
          <w:sz w:val="20"/>
          <w:lang w:val="it-CH"/>
        </w:rPr>
        <w:t xml:space="preserve"> </w:t>
      </w:r>
      <w:proofErr w:type="spellStart"/>
      <w:r w:rsidRPr="00007CAC">
        <w:rPr>
          <w:sz w:val="20"/>
          <w:lang w:val="it-CH"/>
        </w:rPr>
        <w:t>traded</w:t>
      </w:r>
      <w:proofErr w:type="spellEnd"/>
      <w:r w:rsidRPr="00007CAC">
        <w:rPr>
          <w:sz w:val="20"/>
          <w:lang w:val="it-CH"/>
        </w:rPr>
        <w:t xml:space="preserve"> funds, fondi di investimento quotati sui mercati finanziari) che investono selettivamente in azioni di grandi impese, azioni di piccole imprese, azioni sottovalutate (</w:t>
      </w:r>
      <w:proofErr w:type="spellStart"/>
      <w:r w:rsidRPr="00007CAC">
        <w:rPr>
          <w:i/>
          <w:iCs/>
          <w:sz w:val="20"/>
          <w:lang w:val="it-CH"/>
        </w:rPr>
        <w:t>value</w:t>
      </w:r>
      <w:proofErr w:type="spellEnd"/>
      <w:r w:rsidRPr="00007CAC">
        <w:rPr>
          <w:i/>
          <w:iCs/>
          <w:sz w:val="20"/>
          <w:lang w:val="it-CH"/>
        </w:rPr>
        <w:t xml:space="preserve"> </w:t>
      </w:r>
      <w:proofErr w:type="spellStart"/>
      <w:r w:rsidRPr="00007CAC">
        <w:rPr>
          <w:i/>
          <w:iCs/>
          <w:sz w:val="20"/>
          <w:lang w:val="it-CH"/>
        </w:rPr>
        <w:t>stocks</w:t>
      </w:r>
      <w:proofErr w:type="spellEnd"/>
      <w:r w:rsidRPr="00007CAC">
        <w:rPr>
          <w:sz w:val="20"/>
          <w:lang w:val="it-CH"/>
        </w:rPr>
        <w:t>), azioni a tendenza di crescita (</w:t>
      </w:r>
      <w:proofErr w:type="spellStart"/>
      <w:r w:rsidRPr="00007CAC">
        <w:rPr>
          <w:i/>
          <w:iCs/>
          <w:sz w:val="20"/>
          <w:lang w:val="it-CH"/>
        </w:rPr>
        <w:t>growth</w:t>
      </w:r>
      <w:proofErr w:type="spellEnd"/>
      <w:r w:rsidRPr="00007CAC">
        <w:rPr>
          <w:i/>
          <w:iCs/>
          <w:sz w:val="20"/>
          <w:lang w:val="it-CH"/>
        </w:rPr>
        <w:t xml:space="preserve"> </w:t>
      </w:r>
      <w:proofErr w:type="spellStart"/>
      <w:r w:rsidRPr="00007CAC">
        <w:rPr>
          <w:i/>
          <w:iCs/>
          <w:sz w:val="20"/>
          <w:lang w:val="it-CH"/>
        </w:rPr>
        <w:t>stocks</w:t>
      </w:r>
      <w:proofErr w:type="spellEnd"/>
      <w:r w:rsidRPr="00007CAC">
        <w:rPr>
          <w:sz w:val="20"/>
          <w:lang w:val="it-CH"/>
        </w:rPr>
        <w:t xml:space="preserve">), azioni dei mercati emergenti, materie prime, metalli preziosi mercato immobiliare, buoni del tesoro a corto termine, a lungo termine, obbligazioni aziendali, è possibile ottenere risultati ancora migliori in termini di performance assoluta e riduzione del rischio di perdita massima. A titolo di esempio, si veda </w:t>
      </w:r>
      <w:proofErr w:type="spellStart"/>
      <w:r w:rsidRPr="00007CAC">
        <w:rPr>
          <w:sz w:val="20"/>
          <w:lang w:val="it-CH"/>
        </w:rPr>
        <w:t>Meb</w:t>
      </w:r>
      <w:proofErr w:type="spellEnd"/>
      <w:r w:rsidRPr="00007CAC">
        <w:rPr>
          <w:sz w:val="20"/>
          <w:lang w:val="it-CH"/>
        </w:rPr>
        <w:t xml:space="preserve"> </w:t>
      </w:r>
      <w:proofErr w:type="spellStart"/>
      <w:r w:rsidRPr="00007CAC">
        <w:rPr>
          <w:sz w:val="20"/>
          <w:lang w:val="it-CH"/>
        </w:rPr>
        <w:t>Faber</w:t>
      </w:r>
      <w:proofErr w:type="spellEnd"/>
      <w:r w:rsidRPr="00007CAC">
        <w:rPr>
          <w:sz w:val="20"/>
          <w:lang w:val="it-CH"/>
        </w:rPr>
        <w:t xml:space="preserve"> (2017). </w:t>
      </w:r>
      <w:r w:rsidRPr="00007CAC">
        <w:rPr>
          <w:i/>
          <w:iCs/>
          <w:sz w:val="20"/>
          <w:lang w:val="it-CH"/>
        </w:rPr>
        <w:t>The Journal of Portfolio Management</w:t>
      </w:r>
      <w:r w:rsidRPr="00007CAC">
        <w:rPr>
          <w:sz w:val="20"/>
          <w:lang w:val="it-CH"/>
        </w:rPr>
        <w:t xml:space="preserve">. </w:t>
      </w:r>
      <w:r w:rsidRPr="00007CAC">
        <w:rPr>
          <w:sz w:val="20"/>
          <w:lang w:val="en-GB"/>
        </w:rPr>
        <w:t xml:space="preserve">A Quantitative Approach to Tactical Asset Allocation Revisited 10 Year Later. </w:t>
      </w:r>
      <w:hyperlink r:id="rId41" w:history="1">
        <w:r w:rsidRPr="00007CAC">
          <w:rPr>
            <w:rStyle w:val="Collegamentoipertestuale"/>
            <w:sz w:val="20"/>
            <w:lang w:val="it-CH"/>
          </w:rPr>
          <w:t>https://doi.org/10.3905/jpm.2018.44.2.156</w:t>
        </w:r>
      </w:hyperlink>
      <w:r w:rsidRPr="00007CAC">
        <w:rPr>
          <w:sz w:val="20"/>
          <w:lang w:val="it-CH"/>
        </w:rPr>
        <w:t xml:space="preserve"> </w:t>
      </w:r>
      <w:bookmarkEnd w:id="58"/>
    </w:p>
  </w:footnote>
  <w:footnote w:id="66">
    <w:p w:rsidR="00DF2942" w:rsidRPr="009C28BF" w:rsidRDefault="00DF2942" w:rsidP="009C28BF">
      <w:pPr>
        <w:pStyle w:val="Testonotaapidipagina"/>
        <w:spacing w:after="0"/>
        <w:rPr>
          <w:sz w:val="20"/>
          <w:lang w:val="it-CH"/>
        </w:rPr>
      </w:pPr>
      <w:r w:rsidRPr="009C28BF">
        <w:rPr>
          <w:rStyle w:val="Rimandonotaapidipagina"/>
          <w:sz w:val="20"/>
        </w:rPr>
        <w:footnoteRef/>
      </w:r>
      <w:r w:rsidRPr="009C28BF">
        <w:rPr>
          <w:sz w:val="20"/>
          <w:lang w:val="it-CH"/>
        </w:rPr>
        <w:t xml:space="preserve"> </w:t>
      </w:r>
      <w:hyperlink r:id="rId42" w:anchor="art_331" w:history="1">
        <w:r w:rsidRPr="009C28BF">
          <w:rPr>
            <w:rStyle w:val="Collegamentoipertestuale"/>
            <w:sz w:val="20"/>
            <w:lang w:val="it-CH"/>
          </w:rPr>
          <w:t>https://www.fedlex.admin.ch/eli/cc/27/317_321_377/it#art_331</w:t>
        </w:r>
      </w:hyperlink>
      <w:r w:rsidRPr="009C28BF">
        <w:rPr>
          <w:sz w:val="20"/>
          <w:lang w:val="it-CH"/>
        </w:rPr>
        <w:t xml:space="preserve"> </w:t>
      </w:r>
    </w:p>
  </w:footnote>
  <w:footnote w:id="67">
    <w:p w:rsidR="00DF2942" w:rsidRPr="009C28BF" w:rsidRDefault="00DF2942" w:rsidP="009C28BF">
      <w:pPr>
        <w:pStyle w:val="Testonotaapidipagina"/>
        <w:spacing w:after="0"/>
        <w:rPr>
          <w:sz w:val="20"/>
        </w:rPr>
      </w:pPr>
      <w:r w:rsidRPr="009C28BF">
        <w:rPr>
          <w:rStyle w:val="Rimandonotaapidipagina"/>
          <w:sz w:val="20"/>
        </w:rPr>
        <w:footnoteRef/>
      </w:r>
      <w:r w:rsidRPr="009C28BF">
        <w:rPr>
          <w:sz w:val="20"/>
          <w:lang w:val="en-GB"/>
        </w:rPr>
        <w:t xml:space="preserve"> Art.</w:t>
      </w:r>
      <w:r w:rsidR="00EF6D1E">
        <w:rPr>
          <w:sz w:val="20"/>
          <w:lang w:val="en-GB"/>
        </w:rPr>
        <w:t xml:space="preserve"> </w:t>
      </w:r>
      <w:r w:rsidRPr="009C28BF">
        <w:rPr>
          <w:sz w:val="20"/>
          <w:lang w:val="en-GB"/>
        </w:rPr>
        <w:t>44a cpv.</w:t>
      </w:r>
      <w:r w:rsidR="00EF6D1E">
        <w:rPr>
          <w:sz w:val="20"/>
          <w:lang w:val="en-GB"/>
        </w:rPr>
        <w:t xml:space="preserve"> </w:t>
      </w:r>
      <w:proofErr w:type="gramStart"/>
      <w:r w:rsidRPr="009C28BF">
        <w:rPr>
          <w:sz w:val="20"/>
          <w:lang w:val="en-GB"/>
        </w:rPr>
        <w:t>3</w:t>
      </w:r>
      <w:proofErr w:type="gramEnd"/>
      <w:r w:rsidRPr="009C28BF">
        <w:rPr>
          <w:sz w:val="20"/>
          <w:lang w:val="en-GB"/>
        </w:rPr>
        <w:t xml:space="preserve"> OPP2. </w:t>
      </w:r>
      <w:hyperlink r:id="rId43" w:anchor="art_44_a" w:history="1">
        <w:r w:rsidRPr="009C28BF">
          <w:rPr>
            <w:rStyle w:val="Collegamentoipertestuale"/>
            <w:sz w:val="20"/>
          </w:rPr>
          <w:t>https://www.fedlex.admin.ch/eli/cc/1984/543_543_543/it#art_44_a</w:t>
        </w:r>
      </w:hyperlink>
      <w:r w:rsidRPr="009C28BF">
        <w:rPr>
          <w:sz w:val="20"/>
        </w:rPr>
        <w:t xml:space="preserve"> </w:t>
      </w:r>
    </w:p>
  </w:footnote>
  <w:footnote w:id="68">
    <w:p w:rsidR="00DF2942" w:rsidRPr="009C28BF" w:rsidRDefault="00DF2942" w:rsidP="009C28BF">
      <w:pPr>
        <w:pStyle w:val="Testonotaapidipagina"/>
        <w:spacing w:after="0"/>
        <w:rPr>
          <w:sz w:val="20"/>
        </w:rPr>
      </w:pPr>
      <w:r w:rsidRPr="009C28BF">
        <w:rPr>
          <w:rStyle w:val="Rimandonotaapidipagina"/>
          <w:sz w:val="20"/>
        </w:rPr>
        <w:footnoteRef/>
      </w:r>
      <w:r w:rsidRPr="009C28BF">
        <w:rPr>
          <w:sz w:val="20"/>
        </w:rPr>
        <w:t xml:space="preserve"> </w:t>
      </w:r>
      <w:hyperlink r:id="rId44" w:anchor="art_65_e" w:history="1">
        <w:r w:rsidRPr="009C28BF">
          <w:rPr>
            <w:rStyle w:val="Collegamentoipertestuale"/>
            <w:sz w:val="20"/>
          </w:rPr>
          <w:t>https://www.fedlex.admin.ch/eli/cc/1983/797_797_797/it#art_65_e</w:t>
        </w:r>
      </w:hyperlink>
      <w:r w:rsidRPr="009C28BF">
        <w:rPr>
          <w:sz w:val="20"/>
        </w:rPr>
        <w:t xml:space="preserve"> </w:t>
      </w:r>
    </w:p>
  </w:footnote>
  <w:footnote w:id="69">
    <w:p w:rsidR="00DF2942" w:rsidRPr="005E24B6" w:rsidRDefault="00DF2942" w:rsidP="009C28BF">
      <w:pPr>
        <w:pStyle w:val="Testonotaapidipagina"/>
        <w:spacing w:after="0"/>
        <w:rPr>
          <w:sz w:val="20"/>
          <w:lang w:val="it-CH"/>
        </w:rPr>
      </w:pPr>
      <w:r w:rsidRPr="005E24B6">
        <w:rPr>
          <w:rStyle w:val="Rimandonotaapidipagina"/>
          <w:sz w:val="20"/>
          <w:lang w:val="it-CH"/>
        </w:rPr>
        <w:footnoteRef/>
      </w:r>
      <w:r w:rsidRPr="005E24B6">
        <w:rPr>
          <w:sz w:val="20"/>
          <w:lang w:val="it-CH"/>
        </w:rPr>
        <w:t xml:space="preserve"> Il grado di copertura globale ordinario di una cassa pensioni è il rapporto tra gli attivi disponibili (al netto delle RCDL) e il totale degli impegni previdenziali nei confronti di assicurati attivi e beneficiari di rendite inclusi gli accantonamenti tecnico-attuariali al passivo del bilancio (ossia i cosiddetti capitali di previdenza).</w:t>
      </w:r>
    </w:p>
  </w:footnote>
  <w:footnote w:id="70">
    <w:p w:rsidR="00DF2942" w:rsidRPr="005E24B6" w:rsidRDefault="00DF2942" w:rsidP="009C28BF">
      <w:pPr>
        <w:pStyle w:val="Testonotaapidipagina"/>
        <w:spacing w:after="0"/>
        <w:rPr>
          <w:sz w:val="20"/>
          <w:lang w:val="it-CH"/>
        </w:rPr>
      </w:pPr>
      <w:r w:rsidRPr="005E24B6">
        <w:rPr>
          <w:rStyle w:val="Rimandonotaapidipagina"/>
          <w:sz w:val="20"/>
          <w:lang w:val="it-CH"/>
        </w:rPr>
        <w:footnoteRef/>
      </w:r>
      <w:r w:rsidRPr="005E24B6">
        <w:rPr>
          <w:sz w:val="20"/>
          <w:lang w:val="it-CH"/>
        </w:rPr>
        <w:t xml:space="preserve"> </w:t>
      </w:r>
      <w:hyperlink r:id="rId45" w:anchor="art_72_a" w:history="1">
        <w:r w:rsidRPr="005E24B6">
          <w:rPr>
            <w:rStyle w:val="Collegamentoipertestuale"/>
            <w:sz w:val="20"/>
            <w:lang w:val="it-CH"/>
          </w:rPr>
          <w:t>https://www.fedlex.admin.ch/eli/cc/1983/797_797_797/it#art_72_a</w:t>
        </w:r>
      </w:hyperlink>
      <w:r w:rsidRPr="005E24B6">
        <w:rPr>
          <w:sz w:val="20"/>
          <w:lang w:val="it-CH"/>
        </w:rPr>
        <w:t xml:space="preserve"> </w:t>
      </w:r>
    </w:p>
  </w:footnote>
  <w:footnote w:id="71">
    <w:p w:rsidR="00DF2942" w:rsidRPr="005E24B6" w:rsidRDefault="00DF2942" w:rsidP="009C28BF">
      <w:pPr>
        <w:pStyle w:val="Testonotaapidipagina"/>
        <w:spacing w:after="0"/>
        <w:rPr>
          <w:sz w:val="20"/>
          <w:lang w:val="it-CH"/>
        </w:rPr>
      </w:pPr>
      <w:r w:rsidRPr="005E24B6">
        <w:rPr>
          <w:rStyle w:val="Rimandonotaapidipagina"/>
          <w:sz w:val="20"/>
          <w:lang w:val="it-CH"/>
        </w:rPr>
        <w:footnoteRef/>
      </w:r>
      <w:r w:rsidRPr="005E24B6">
        <w:rPr>
          <w:sz w:val="20"/>
          <w:lang w:val="it-CH"/>
        </w:rPr>
        <w:t xml:space="preserve"> </w:t>
      </w:r>
      <w:r w:rsidRPr="005E24B6">
        <w:rPr>
          <w:i/>
          <w:iCs/>
          <w:sz w:val="20"/>
          <w:lang w:val="it-CH"/>
        </w:rPr>
        <w:t xml:space="preserve">In </w:t>
      </w:r>
      <w:proofErr w:type="spellStart"/>
      <w:r w:rsidRPr="005E24B6">
        <w:rPr>
          <w:i/>
          <w:iCs/>
          <w:sz w:val="20"/>
          <w:lang w:val="it-CH"/>
        </w:rPr>
        <w:t>casu</w:t>
      </w:r>
      <w:proofErr w:type="spellEnd"/>
      <w:r w:rsidRPr="005E24B6">
        <w:rPr>
          <w:sz w:val="20"/>
          <w:lang w:val="it-CH"/>
        </w:rPr>
        <w:t xml:space="preserve"> la </w:t>
      </w:r>
      <w:proofErr w:type="spellStart"/>
      <w:r w:rsidRPr="005E24B6">
        <w:rPr>
          <w:sz w:val="20"/>
          <w:lang w:val="it-CH"/>
        </w:rPr>
        <w:t>Ostschweizer</w:t>
      </w:r>
      <w:proofErr w:type="spellEnd"/>
      <w:r w:rsidRPr="005E24B6">
        <w:rPr>
          <w:sz w:val="20"/>
          <w:lang w:val="it-CH"/>
        </w:rPr>
        <w:t xml:space="preserve"> BVG- und </w:t>
      </w:r>
      <w:proofErr w:type="spellStart"/>
      <w:r w:rsidRPr="005E24B6">
        <w:rPr>
          <w:sz w:val="20"/>
          <w:lang w:val="it-CH"/>
        </w:rPr>
        <w:t>Stiftungsaufsicht</w:t>
      </w:r>
      <w:proofErr w:type="spellEnd"/>
      <w:r w:rsidRPr="005E24B6">
        <w:rPr>
          <w:sz w:val="20"/>
          <w:lang w:val="it-CH"/>
        </w:rPr>
        <w:t xml:space="preserve"> (Vigilanza sulle fondazioni e LPP della Svizzera orientale) di San Gallo (con sotto-sede a Muralto).</w:t>
      </w:r>
    </w:p>
  </w:footnote>
  <w:footnote w:id="72">
    <w:p w:rsidR="00DF2942" w:rsidRPr="005E24B6" w:rsidRDefault="00DF2942" w:rsidP="00386E5D">
      <w:pPr>
        <w:pStyle w:val="Testonotaapidipagina"/>
        <w:spacing w:after="0"/>
        <w:rPr>
          <w:sz w:val="20"/>
          <w:lang w:val="it-CH"/>
        </w:rPr>
      </w:pPr>
      <w:r w:rsidRPr="005E24B6">
        <w:rPr>
          <w:rStyle w:val="Rimandonotaapidipagina"/>
          <w:sz w:val="20"/>
          <w:lang w:val="it-CH"/>
        </w:rPr>
        <w:footnoteRef/>
      </w:r>
      <w:r w:rsidRPr="005E24B6">
        <w:rPr>
          <w:sz w:val="20"/>
          <w:lang w:val="it-CH"/>
        </w:rPr>
        <w:t xml:space="preserve"> Al 31 dicembre 2020 l’IPCT disponeva di un patrimonio investito di ca. CHF</w:t>
      </w:r>
      <w:r w:rsidR="00EF6D1E">
        <w:rPr>
          <w:sz w:val="20"/>
          <w:lang w:val="it-CH"/>
        </w:rPr>
        <w:t xml:space="preserve"> </w:t>
      </w:r>
      <w:r w:rsidRPr="005E24B6">
        <w:rPr>
          <w:sz w:val="20"/>
          <w:lang w:val="it-CH"/>
        </w:rPr>
        <w:t>5.3 mia., a fronte di CHF</w:t>
      </w:r>
      <w:r w:rsidR="00EF6D1E">
        <w:rPr>
          <w:sz w:val="20"/>
          <w:lang w:val="it-CH"/>
        </w:rPr>
        <w:t xml:space="preserve"> </w:t>
      </w:r>
      <w:r w:rsidRPr="005E24B6">
        <w:rPr>
          <w:sz w:val="20"/>
          <w:lang w:val="it-CH"/>
        </w:rPr>
        <w:t>8.0 mia. di capitali di previdenza totali da remunerare.</w:t>
      </w:r>
    </w:p>
  </w:footnote>
  <w:footnote w:id="73">
    <w:p w:rsidR="00DF2942" w:rsidRPr="005E24B6" w:rsidRDefault="00DF2942" w:rsidP="00386E5D">
      <w:pPr>
        <w:pStyle w:val="Testonotaapidipagina"/>
        <w:spacing w:after="0"/>
        <w:rPr>
          <w:sz w:val="20"/>
          <w:lang w:val="it-CH"/>
        </w:rPr>
      </w:pPr>
      <w:r w:rsidRPr="005E24B6">
        <w:rPr>
          <w:rStyle w:val="Rimandonotaapidipagina"/>
          <w:sz w:val="20"/>
          <w:lang w:val="it-CH"/>
        </w:rPr>
        <w:footnoteRef/>
      </w:r>
      <w:r w:rsidRPr="005E24B6">
        <w:rPr>
          <w:sz w:val="20"/>
          <w:lang w:val="it-CH"/>
        </w:rPr>
        <w:t xml:space="preserve"> Al 31 dicembre 2020, ipotizzando una RCDL con rinuncia all’utilizzazione di CHF</w:t>
      </w:r>
      <w:r w:rsidR="00EF6D1E">
        <w:rPr>
          <w:sz w:val="20"/>
          <w:lang w:val="it-CH"/>
        </w:rPr>
        <w:t xml:space="preserve"> </w:t>
      </w:r>
      <w:r w:rsidRPr="005E24B6">
        <w:rPr>
          <w:sz w:val="20"/>
          <w:lang w:val="it-CH"/>
        </w:rPr>
        <w:t>250 mio., questo secondo grado di copertura globale sarebbe del 70.2%, ossia praticamente in linea al 70.3% del cammino previsto dal piano di finanziamento attualmente in vigore.</w:t>
      </w:r>
    </w:p>
  </w:footnote>
  <w:footnote w:id="74">
    <w:p w:rsidR="00DF2942" w:rsidRPr="005E24B6" w:rsidRDefault="00DF2942" w:rsidP="00386E5D">
      <w:pPr>
        <w:pStyle w:val="Testonotaapidipagina"/>
        <w:spacing w:after="0"/>
        <w:rPr>
          <w:sz w:val="20"/>
          <w:lang w:val="it-CH"/>
        </w:rPr>
      </w:pPr>
      <w:r w:rsidRPr="005E24B6">
        <w:rPr>
          <w:rStyle w:val="Rimandonotaapidipagina"/>
          <w:sz w:val="20"/>
          <w:lang w:val="it-CH"/>
        </w:rPr>
        <w:footnoteRef/>
      </w:r>
      <w:r w:rsidRPr="005E24B6">
        <w:rPr>
          <w:sz w:val="20"/>
          <w:lang w:val="it-CH"/>
        </w:rPr>
        <w:t xml:space="preserve"> Si segnala che tale costo potrebbe ulteriormente crescere se l’IPCT dovesse dotarsi di tavole di mortalità generazionali invece che periodiche (le tavole di mortalità generazionali rispetto a quelle periodiche considerano un aumento della longevità, basato su un determinato modello matematico, dipendente dall’anno di nascita, ciò che produrrebbe un ulteriore aumento degli impegni da accantonare a bilancio).</w:t>
      </w:r>
    </w:p>
  </w:footnote>
  <w:footnote w:id="75">
    <w:p w:rsidR="00DF2942" w:rsidRPr="005E24B6" w:rsidRDefault="00DF2942" w:rsidP="00386E5D">
      <w:pPr>
        <w:pStyle w:val="Testonotaapidipagina"/>
        <w:spacing w:after="0"/>
        <w:rPr>
          <w:sz w:val="20"/>
          <w:lang w:val="it-CH"/>
        </w:rPr>
      </w:pPr>
      <w:r w:rsidRPr="005E24B6">
        <w:rPr>
          <w:rStyle w:val="Rimandonotaapidipagina"/>
          <w:sz w:val="20"/>
          <w:lang w:val="it-CH"/>
        </w:rPr>
        <w:footnoteRef/>
      </w:r>
      <w:r w:rsidRPr="005E24B6">
        <w:rPr>
          <w:sz w:val="20"/>
          <w:lang w:val="it-CH"/>
        </w:rPr>
        <w:t xml:space="preserve"> Comunicazione dal Consiglio di Stato alla Commissione gestione e finanze con RG5745 del 24 novembre 2021.</w:t>
      </w:r>
    </w:p>
  </w:footnote>
  <w:footnote w:id="76">
    <w:p w:rsidR="00DF2942" w:rsidRPr="005E24B6" w:rsidRDefault="00DF2942" w:rsidP="00386E5D">
      <w:pPr>
        <w:pStyle w:val="Testonotaapidipagina"/>
        <w:spacing w:after="0"/>
        <w:rPr>
          <w:lang w:val="it-CH"/>
        </w:rPr>
      </w:pPr>
      <w:r w:rsidRPr="005E24B6">
        <w:rPr>
          <w:rStyle w:val="Rimandonotaapidipagina"/>
          <w:sz w:val="20"/>
          <w:lang w:val="it-CH"/>
        </w:rPr>
        <w:footnoteRef/>
      </w:r>
      <w:r w:rsidRPr="005E24B6">
        <w:rPr>
          <w:sz w:val="20"/>
          <w:lang w:val="it-CH"/>
        </w:rPr>
        <w:t xml:space="preserve"> Comunicazione dal Consiglio di Stato alla Commissione gestione e finanze con RG5745 del 24 novembre 2021.</w:t>
      </w:r>
    </w:p>
  </w:footnote>
  <w:footnote w:id="77">
    <w:p w:rsidR="00DF2942" w:rsidRPr="005E24B6" w:rsidRDefault="00DF2942" w:rsidP="00386E5D">
      <w:pPr>
        <w:pStyle w:val="Testonotaapidipagina"/>
        <w:spacing w:after="0"/>
        <w:rPr>
          <w:sz w:val="20"/>
          <w:lang w:val="it-CH"/>
        </w:rPr>
      </w:pPr>
      <w:r w:rsidRPr="005E24B6">
        <w:rPr>
          <w:rStyle w:val="Rimandonotaapidipagina"/>
          <w:sz w:val="20"/>
          <w:lang w:val="it-CH"/>
        </w:rPr>
        <w:footnoteRef/>
      </w:r>
      <w:r w:rsidRPr="005E24B6">
        <w:rPr>
          <w:sz w:val="20"/>
          <w:lang w:val="it-CH"/>
        </w:rPr>
        <w:t xml:space="preserve"> RG4745 del 30 settembre e rapporto complementare al messaggio 7784.</w:t>
      </w:r>
    </w:p>
  </w:footnote>
  <w:footnote w:id="78">
    <w:p w:rsidR="00DF2942" w:rsidRPr="005E24B6" w:rsidRDefault="00DF2942" w:rsidP="00386E5D">
      <w:pPr>
        <w:pStyle w:val="Testonotaapidipagina"/>
        <w:spacing w:after="0"/>
        <w:rPr>
          <w:sz w:val="20"/>
          <w:lang w:val="it-CH"/>
        </w:rPr>
      </w:pPr>
      <w:r w:rsidRPr="005E24B6">
        <w:rPr>
          <w:rStyle w:val="Rimandonotaapidipagina"/>
          <w:sz w:val="20"/>
          <w:lang w:val="it-CH"/>
        </w:rPr>
        <w:footnoteRef/>
      </w:r>
      <w:r w:rsidRPr="005E24B6">
        <w:rPr>
          <w:sz w:val="20"/>
          <w:lang w:val="it-CH"/>
        </w:rPr>
        <w:t xml:space="preserve"> Dati sulla base del rendiconto annuale 2020.</w:t>
      </w:r>
    </w:p>
  </w:footnote>
  <w:footnote w:id="79">
    <w:p w:rsidR="00DF2942" w:rsidRPr="005E24B6" w:rsidRDefault="00DF2942" w:rsidP="00386E5D">
      <w:pPr>
        <w:pStyle w:val="Testonotaapidipagina"/>
        <w:spacing w:after="0"/>
        <w:rPr>
          <w:lang w:val="it-CH"/>
        </w:rPr>
      </w:pPr>
      <w:r w:rsidRPr="005E24B6">
        <w:rPr>
          <w:rStyle w:val="Rimandonotaapidipagina"/>
          <w:sz w:val="20"/>
          <w:lang w:val="it-CH"/>
        </w:rPr>
        <w:footnoteRef/>
      </w:r>
      <w:r w:rsidRPr="005E24B6">
        <w:rPr>
          <w:sz w:val="20"/>
          <w:lang w:val="it-CH"/>
        </w:rPr>
        <w:t xml:space="preserve"> Gli averi a risparmio degli assicurati attivi devono essere remunerati con gli interessi sugli averi di vecchiaia (attualmente all’1%) mentre i capitali di previdenza dei beneficiari di rendita e gli accantonamenti tecnico-attuariali con il tasso tecnico (attualmente all’1.5%).</w:t>
      </w:r>
    </w:p>
  </w:footnote>
  <w:footnote w:id="80">
    <w:p w:rsidR="00DF2942" w:rsidRPr="005E24B6" w:rsidRDefault="00DF2942" w:rsidP="00D46BAF">
      <w:pPr>
        <w:pStyle w:val="Testonotaapidipagina"/>
        <w:spacing w:after="0"/>
        <w:rPr>
          <w:sz w:val="20"/>
          <w:lang w:val="it-CH"/>
        </w:rPr>
      </w:pPr>
      <w:r w:rsidRPr="005E24B6">
        <w:rPr>
          <w:rStyle w:val="Rimandonotaapidipagina"/>
          <w:sz w:val="20"/>
          <w:lang w:val="it-CH"/>
        </w:rPr>
        <w:footnoteRef/>
      </w:r>
      <w:r w:rsidRPr="005E24B6">
        <w:rPr>
          <w:sz w:val="20"/>
          <w:lang w:val="it-CH"/>
        </w:rPr>
        <w:t xml:space="preserve"> La ragione di questa differenza è da ricercare nel fatto che la capacità di rischio dell’IPCT è di principio inferiore alla media delle altre casse pensioni paragonabili visto che il suo grado di copertura è nettamente inferiore al grado di copertura medio delle altre casse pensioni paragonabili.</w:t>
      </w:r>
    </w:p>
  </w:footnote>
  <w:footnote w:id="81">
    <w:p w:rsidR="00DF2942" w:rsidRPr="00491A02" w:rsidRDefault="00DF2942" w:rsidP="00D46BAF">
      <w:pPr>
        <w:pStyle w:val="Testonotaapidipagina"/>
        <w:spacing w:after="0"/>
        <w:rPr>
          <w:lang w:val="en-GB"/>
        </w:rPr>
      </w:pPr>
      <w:r w:rsidRPr="00D46BAF">
        <w:rPr>
          <w:rStyle w:val="Rimandonotaapidipagina"/>
          <w:sz w:val="20"/>
        </w:rPr>
        <w:footnoteRef/>
      </w:r>
      <w:r w:rsidRPr="00D46BAF">
        <w:rPr>
          <w:sz w:val="20"/>
          <w:lang w:val="en-GB"/>
        </w:rPr>
        <w:t xml:space="preserve"> Environmental, Social and Governance.</w:t>
      </w:r>
    </w:p>
  </w:footnote>
  <w:footnote w:id="82">
    <w:p w:rsidR="00DF2942" w:rsidRPr="00D46BAF" w:rsidRDefault="00DF2942" w:rsidP="00D46BAF">
      <w:pPr>
        <w:pStyle w:val="Testonotaapidipagina"/>
        <w:spacing w:after="0"/>
        <w:rPr>
          <w:sz w:val="20"/>
          <w:lang w:val="en-GB"/>
        </w:rPr>
      </w:pPr>
      <w:r w:rsidRPr="00D46BAF">
        <w:rPr>
          <w:rStyle w:val="Rimandonotaapidipagina"/>
          <w:sz w:val="20"/>
        </w:rPr>
        <w:footnoteRef/>
      </w:r>
      <w:r w:rsidRPr="00D46BAF">
        <w:rPr>
          <w:sz w:val="20"/>
          <w:lang w:val="en-GB"/>
        </w:rPr>
        <w:t xml:space="preserve"> </w:t>
      </w:r>
      <w:hyperlink r:id="rId46" w:anchor="disp_5/lvl_c" w:history="1">
        <w:r w:rsidRPr="00D46BAF">
          <w:rPr>
            <w:rStyle w:val="Collegamentoipertestuale"/>
            <w:sz w:val="20"/>
            <w:lang w:val="en-GB"/>
          </w:rPr>
          <w:t>https://www.fedlex.admin.ch/eli/cc/1983/797_797_797/it#disp_5/lvl_c</w:t>
        </w:r>
      </w:hyperlink>
      <w:r w:rsidRPr="00D46BAF">
        <w:rPr>
          <w:sz w:val="20"/>
          <w:lang w:val="en-GB"/>
        </w:rPr>
        <w:t xml:space="preserve"> </w:t>
      </w:r>
    </w:p>
  </w:footnote>
  <w:footnote w:id="83">
    <w:p w:rsidR="00DF2942" w:rsidRPr="004535BA" w:rsidRDefault="00DF2942" w:rsidP="00D46BAF">
      <w:pPr>
        <w:pStyle w:val="Testonotaapidipagina"/>
        <w:spacing w:after="0"/>
        <w:rPr>
          <w:lang w:val="en-GB"/>
        </w:rPr>
      </w:pPr>
      <w:r w:rsidRPr="00D46BAF">
        <w:rPr>
          <w:rStyle w:val="Rimandonotaapidipagina"/>
          <w:sz w:val="20"/>
        </w:rPr>
        <w:footnoteRef/>
      </w:r>
      <w:r w:rsidRPr="00D46BAF">
        <w:rPr>
          <w:sz w:val="20"/>
          <w:lang w:val="en-GB"/>
        </w:rPr>
        <w:t xml:space="preserve"> </w:t>
      </w:r>
      <w:hyperlink r:id="rId47" w:anchor="art_72_a" w:history="1">
        <w:r w:rsidRPr="00D46BAF">
          <w:rPr>
            <w:rStyle w:val="Collegamentoipertestuale"/>
            <w:sz w:val="20"/>
            <w:lang w:val="en-GB"/>
          </w:rPr>
          <w:t>https://www.fedlex.admin.ch/eli/cc/1983/797_797_797/it#art_72_a</w:t>
        </w:r>
      </w:hyperlink>
      <w:r>
        <w:rPr>
          <w:lang w:val="en-GB"/>
        </w:rPr>
        <w:t xml:space="preserve"> </w:t>
      </w:r>
    </w:p>
  </w:footnote>
  <w:footnote w:id="84">
    <w:p w:rsidR="00DF2942" w:rsidRPr="004429D8" w:rsidRDefault="00DF2942" w:rsidP="004429D8">
      <w:pPr>
        <w:pStyle w:val="Testonotaapidipagina"/>
        <w:spacing w:after="0"/>
        <w:rPr>
          <w:sz w:val="20"/>
          <w:lang w:val="en-GB"/>
        </w:rPr>
      </w:pPr>
      <w:r w:rsidRPr="004429D8">
        <w:rPr>
          <w:rStyle w:val="Rimandonotaapidipagina"/>
          <w:sz w:val="20"/>
        </w:rPr>
        <w:footnoteRef/>
      </w:r>
      <w:r w:rsidRPr="004429D8">
        <w:rPr>
          <w:sz w:val="20"/>
          <w:lang w:val="en-GB"/>
        </w:rPr>
        <w:t xml:space="preserve"> https://www.bafu.admin.ch/bafu/it/home/temi/clima/info-specialisti/clima-e-mercato-finanziario.html</w:t>
      </w:r>
    </w:p>
  </w:footnote>
  <w:footnote w:id="85">
    <w:p w:rsidR="00DF2942" w:rsidRPr="004429D8" w:rsidRDefault="00DF2942" w:rsidP="004429D8">
      <w:pPr>
        <w:pStyle w:val="Testonotaapidipagina"/>
        <w:spacing w:after="0"/>
        <w:rPr>
          <w:sz w:val="20"/>
          <w:lang w:val="en-GB"/>
        </w:rPr>
      </w:pPr>
      <w:r w:rsidRPr="004429D8">
        <w:rPr>
          <w:rStyle w:val="Rimandonotaapidipagina"/>
          <w:sz w:val="20"/>
        </w:rPr>
        <w:footnoteRef/>
      </w:r>
      <w:r w:rsidRPr="004429D8">
        <w:rPr>
          <w:sz w:val="20"/>
          <w:lang w:val="en-GB"/>
        </w:rPr>
        <w:t xml:space="preserve"> https://www.bfs.admin.ch/bfs/it/home/statistiche/sicurezza-sociale.assetdetail.15024756.html</w:t>
      </w:r>
    </w:p>
  </w:footnote>
  <w:footnote w:id="86">
    <w:p w:rsidR="00DF2942" w:rsidRPr="00491A02" w:rsidRDefault="00DF2942" w:rsidP="004429D8">
      <w:pPr>
        <w:pStyle w:val="Testonotaapidipagina"/>
        <w:spacing w:after="0"/>
        <w:rPr>
          <w:lang w:val="en-GB"/>
        </w:rPr>
      </w:pPr>
      <w:r w:rsidRPr="004429D8">
        <w:rPr>
          <w:rStyle w:val="Rimandonotaapidipagina"/>
          <w:sz w:val="20"/>
        </w:rPr>
        <w:footnoteRef/>
      </w:r>
      <w:r w:rsidRPr="004429D8">
        <w:rPr>
          <w:sz w:val="20"/>
          <w:lang w:val="en-GB"/>
        </w:rPr>
        <w:t xml:space="preserve"> https://www.klima-allianz.ch/</w:t>
      </w:r>
    </w:p>
  </w:footnote>
  <w:footnote w:id="87">
    <w:p w:rsidR="00DF2942" w:rsidRPr="004429D8" w:rsidRDefault="00DF2942" w:rsidP="001C63E0">
      <w:pPr>
        <w:pStyle w:val="Testonotaapidipagina"/>
        <w:rPr>
          <w:sz w:val="20"/>
          <w:lang w:val="en-GB"/>
        </w:rPr>
      </w:pPr>
      <w:r w:rsidRPr="004429D8">
        <w:rPr>
          <w:rStyle w:val="Rimandonotaapidipagina"/>
          <w:sz w:val="20"/>
        </w:rPr>
        <w:footnoteRef/>
      </w:r>
      <w:r w:rsidRPr="004429D8">
        <w:rPr>
          <w:sz w:val="20"/>
          <w:lang w:val="en-GB"/>
        </w:rPr>
        <w:t xml:space="preserve"> https://www.klima-allianz.ch/klima-rating/</w:t>
      </w:r>
    </w:p>
  </w:footnote>
  <w:footnote w:id="88">
    <w:p w:rsidR="00DF2942" w:rsidRPr="00EA6E70" w:rsidRDefault="00DF2942" w:rsidP="00EA6E70">
      <w:pPr>
        <w:pStyle w:val="Testonotaapidipagina"/>
        <w:spacing w:after="0"/>
        <w:rPr>
          <w:sz w:val="20"/>
          <w:lang w:val="en-GB"/>
        </w:rPr>
      </w:pPr>
      <w:r w:rsidRPr="00EA6E70">
        <w:rPr>
          <w:rStyle w:val="Rimandonotaapidipagina"/>
          <w:sz w:val="20"/>
        </w:rPr>
        <w:footnoteRef/>
      </w:r>
      <w:r w:rsidRPr="00EA6E70">
        <w:rPr>
          <w:sz w:val="20"/>
          <w:lang w:val="en-GB"/>
        </w:rPr>
        <w:t xml:space="preserve"> https://www.klima-allianz.ch/klima-rating/</w:t>
      </w:r>
    </w:p>
  </w:footnote>
  <w:footnote w:id="89">
    <w:p w:rsidR="00DF2942" w:rsidRPr="00EA6E70" w:rsidRDefault="00DF2942" w:rsidP="00EA6E70">
      <w:pPr>
        <w:pStyle w:val="Testonotaapidipagina"/>
        <w:spacing w:after="0"/>
        <w:rPr>
          <w:sz w:val="20"/>
          <w:lang w:val="en-GB"/>
        </w:rPr>
      </w:pPr>
      <w:r w:rsidRPr="00EA6E70">
        <w:rPr>
          <w:rStyle w:val="Rimandonotaapidipagina"/>
          <w:sz w:val="20"/>
        </w:rPr>
        <w:footnoteRef/>
      </w:r>
      <w:r w:rsidRPr="00EA6E70">
        <w:rPr>
          <w:sz w:val="20"/>
          <w:lang w:val="en-GB"/>
        </w:rPr>
        <w:t xml:space="preserve"> https://ka-generate-pdf.herokuapp.com/?slug=istituto-di-previdenza-del-cantone-ticino-ipct&amp;lang=it</w:t>
      </w:r>
    </w:p>
  </w:footnote>
  <w:footnote w:id="90">
    <w:p w:rsidR="00DF2942" w:rsidRPr="00EA6E70" w:rsidRDefault="00DF2942" w:rsidP="00EA6E70">
      <w:pPr>
        <w:pStyle w:val="Testonotaapidipagina"/>
        <w:spacing w:after="0"/>
        <w:rPr>
          <w:sz w:val="20"/>
          <w:lang w:val="en-GB"/>
        </w:rPr>
      </w:pPr>
      <w:r w:rsidRPr="00EA6E70">
        <w:rPr>
          <w:rStyle w:val="Rimandonotaapidipagina"/>
          <w:sz w:val="20"/>
        </w:rPr>
        <w:footnoteRef/>
      </w:r>
      <w:r w:rsidRPr="00EA6E70">
        <w:rPr>
          <w:sz w:val="20"/>
          <w:lang w:val="en-GB"/>
        </w:rPr>
        <w:t xml:space="preserve"> https://ka-generate-pdf.herokuapp.com/?slug=istituto-di-previdenza-del-cantone-ticino-ipct&amp;lang=it</w:t>
      </w:r>
    </w:p>
  </w:footnote>
  <w:footnote w:id="91">
    <w:p w:rsidR="00DF2942" w:rsidRPr="00AC5518" w:rsidRDefault="00DF2942" w:rsidP="00EA6E70">
      <w:pPr>
        <w:pStyle w:val="Testonotaapidipagina"/>
        <w:spacing w:after="0"/>
        <w:rPr>
          <w:lang w:val="it-CH"/>
        </w:rPr>
      </w:pPr>
      <w:r w:rsidRPr="00EA6E70">
        <w:rPr>
          <w:rStyle w:val="Rimandonotaapidipagina"/>
          <w:sz w:val="20"/>
        </w:rPr>
        <w:footnoteRef/>
      </w:r>
      <w:r w:rsidRPr="00EA6E70">
        <w:rPr>
          <w:sz w:val="20"/>
          <w:lang w:val="it-CH"/>
        </w:rPr>
        <w:t xml:space="preserve"> Il Tasso di conversione è il coefficiente che trasforma gli averi di vecchiaia in rendita di vecchiaia.</w:t>
      </w:r>
    </w:p>
  </w:footnote>
  <w:footnote w:id="92">
    <w:p w:rsidR="00DF2942" w:rsidRPr="005E24B6" w:rsidRDefault="00DF2942" w:rsidP="00726088">
      <w:pPr>
        <w:pStyle w:val="Testonotaapidipagina"/>
        <w:spacing w:after="0"/>
        <w:rPr>
          <w:sz w:val="20"/>
          <w:lang w:val="it-CH"/>
        </w:rPr>
      </w:pPr>
      <w:r w:rsidRPr="005E24B6">
        <w:rPr>
          <w:rStyle w:val="Rimandonotaapidipagina"/>
          <w:sz w:val="20"/>
          <w:lang w:val="it-CH"/>
        </w:rPr>
        <w:footnoteRef/>
      </w:r>
      <w:r w:rsidRPr="005E24B6">
        <w:rPr>
          <w:sz w:val="20"/>
          <w:lang w:val="it-CH"/>
        </w:rPr>
        <w:t xml:space="preserve"> Rilevamento situazione finanziaria - Commissione di alta vigilanza della previdenza professionale CAV PP (admin.ch).</w:t>
      </w:r>
    </w:p>
  </w:footnote>
  <w:footnote w:id="93">
    <w:p w:rsidR="00DF2942" w:rsidRPr="00276941" w:rsidRDefault="00DF2942" w:rsidP="00276941">
      <w:pPr>
        <w:pStyle w:val="Testonotaapidipagina"/>
        <w:spacing w:after="0"/>
        <w:rPr>
          <w:sz w:val="20"/>
        </w:rPr>
      </w:pPr>
      <w:r w:rsidRPr="00276941">
        <w:rPr>
          <w:rStyle w:val="Rimandonotaapidipagina"/>
          <w:sz w:val="20"/>
        </w:rPr>
        <w:footnoteRef/>
      </w:r>
      <w:r w:rsidRPr="00276941">
        <w:rPr>
          <w:sz w:val="20"/>
        </w:rPr>
        <w:t xml:space="preserve"> </w:t>
      </w:r>
      <w:hyperlink r:id="rId48" w:anchor="art_70" w:history="1">
        <w:r w:rsidRPr="00276941">
          <w:rPr>
            <w:rStyle w:val="Collegamentoipertestuale"/>
            <w:sz w:val="20"/>
          </w:rPr>
          <w:t>https://www.fedlex.admin.ch/eli/cc/1998/1_5494_4818_4364_fga/it#art_70</w:t>
        </w:r>
      </w:hyperlink>
      <w:r w:rsidRPr="00276941">
        <w:rPr>
          <w:sz w:val="20"/>
        </w:rPr>
        <w:t xml:space="preserve"> </w:t>
      </w:r>
    </w:p>
  </w:footnote>
  <w:footnote w:id="94">
    <w:p w:rsidR="00DF2942" w:rsidRPr="00276941" w:rsidRDefault="00DF2942" w:rsidP="00276941">
      <w:pPr>
        <w:pStyle w:val="Testonotaapidipagina"/>
        <w:spacing w:after="0"/>
        <w:rPr>
          <w:sz w:val="20"/>
        </w:rPr>
      </w:pPr>
      <w:r w:rsidRPr="00276941">
        <w:rPr>
          <w:rStyle w:val="Rimandonotaapidipagina"/>
          <w:sz w:val="20"/>
        </w:rPr>
        <w:footnoteRef/>
      </w:r>
      <w:r w:rsidRPr="00276941">
        <w:rPr>
          <w:sz w:val="20"/>
        </w:rPr>
        <w:t xml:space="preserve"> </w:t>
      </w:r>
      <w:hyperlink r:id="rId49" w:anchor="art_59" w:history="1">
        <w:r w:rsidRPr="00276941">
          <w:rPr>
            <w:rStyle w:val="Collegamentoipertestuale"/>
            <w:sz w:val="20"/>
          </w:rPr>
          <w:t>https://www.fedlex.admin.ch/eli/cc/1998/1_5494_4818_4364_fga/it#art_59</w:t>
        </w:r>
      </w:hyperlink>
      <w:r w:rsidRPr="00276941">
        <w:rPr>
          <w:sz w:val="20"/>
        </w:rPr>
        <w:t xml:space="preserve"> </w:t>
      </w:r>
    </w:p>
  </w:footnote>
  <w:footnote w:id="95">
    <w:p w:rsidR="00DF2942" w:rsidRPr="001C63E0" w:rsidRDefault="00DF2942" w:rsidP="00276941">
      <w:pPr>
        <w:pStyle w:val="Testonotaapidipagina"/>
        <w:spacing w:after="0"/>
      </w:pPr>
      <w:r w:rsidRPr="00276941">
        <w:rPr>
          <w:rStyle w:val="Rimandonotaapidipagina"/>
          <w:sz w:val="20"/>
        </w:rPr>
        <w:footnoteRef/>
      </w:r>
      <w:r w:rsidRPr="00276941">
        <w:rPr>
          <w:sz w:val="20"/>
        </w:rPr>
        <w:t xml:space="preserve"> </w:t>
      </w:r>
      <w:hyperlink r:id="rId50" w:anchor="art_65_e" w:history="1">
        <w:r w:rsidRPr="00276941">
          <w:rPr>
            <w:rStyle w:val="Collegamentoipertestuale"/>
            <w:sz w:val="20"/>
          </w:rPr>
          <w:t>https://www.fedlex.admin.ch/eli/cc/1983/797_797_797/it#art_65_e</w:t>
        </w:r>
      </w:hyperlink>
      <w:r w:rsidRPr="001C63E0">
        <w:t xml:space="preserve"> </w:t>
      </w:r>
    </w:p>
  </w:footnote>
  <w:footnote w:id="96">
    <w:p w:rsidR="00DF2942" w:rsidRPr="00357DAC" w:rsidRDefault="00DF2942" w:rsidP="001D1B57">
      <w:pPr>
        <w:pStyle w:val="Testonotaapidipagina"/>
        <w:spacing w:after="0"/>
        <w:rPr>
          <w:sz w:val="20"/>
          <w:lang w:val="it-CH"/>
        </w:rPr>
      </w:pPr>
      <w:r w:rsidRPr="00357DAC">
        <w:rPr>
          <w:rStyle w:val="Rimandonotaapidipagina"/>
          <w:sz w:val="20"/>
          <w:lang w:val="it-CH"/>
        </w:rPr>
        <w:footnoteRef/>
      </w:r>
      <w:r w:rsidRPr="00357DAC">
        <w:rPr>
          <w:sz w:val="20"/>
          <w:lang w:val="it-CH"/>
        </w:rPr>
        <w:t xml:space="preserve"> La presente appendice è stata redatta unicamente a scopo illustrativo sulla base di dati finanziari storici. Quanto qui esposto non può rappresentare alcuna garanzia per rendimenti futuri, bensì ha come unico scopo l’analisi su base storica della possibile dispersione dei rendimenti finanziari che si sarebbero ottenuti in passato da un investimento trentennale continuativo sui mercati (azionari) internazionali nonché da un investimento trentennale sugli stessi mercati in applicazione di un’allocazione tattica quantitativa tesa alla riduzione delle perdite massime. La presente appendice intende pertanto </w:t>
      </w:r>
      <w:proofErr w:type="spellStart"/>
      <w:r w:rsidRPr="00357DAC">
        <w:rPr>
          <w:sz w:val="20"/>
          <w:lang w:val="it-CH"/>
        </w:rPr>
        <w:t>plausibilizzare</w:t>
      </w:r>
      <w:proofErr w:type="spellEnd"/>
      <w:r w:rsidRPr="00357DAC">
        <w:rPr>
          <w:sz w:val="20"/>
          <w:lang w:val="it-CH"/>
        </w:rPr>
        <w:t xml:space="preserve"> i parametri finanziari (in particolare di rendimento) su cui poggiano le proiezioni dell’IPCT nonché dare un’indicazione di massima sul possibile impiego dei CHF 700 mio. contribuiti dal Cantone nelle Riserve dei contributi del datore di lavoro dell’IPCT; fermo restando che la responsabilità ultima della scelta di strategia di investimento incombe agli organi dell’IPCT sostenuti dai professionisti in </w:t>
      </w:r>
      <w:proofErr w:type="spellStart"/>
      <w:r w:rsidRPr="00357DAC">
        <w:rPr>
          <w:i/>
          <w:iCs/>
          <w:sz w:val="20"/>
          <w:lang w:val="it-CH"/>
        </w:rPr>
        <w:t>asset</w:t>
      </w:r>
      <w:proofErr w:type="spellEnd"/>
      <w:r w:rsidRPr="00357DAC">
        <w:rPr>
          <w:i/>
          <w:iCs/>
          <w:sz w:val="20"/>
          <w:lang w:val="it-CH"/>
        </w:rPr>
        <w:t xml:space="preserve"> management</w:t>
      </w:r>
      <w:r w:rsidRPr="00357DAC">
        <w:rPr>
          <w:sz w:val="20"/>
          <w:lang w:val="it-CH"/>
        </w:rPr>
        <w:t xml:space="preserve"> che già li assistono.</w:t>
      </w:r>
    </w:p>
  </w:footnote>
  <w:footnote w:id="97">
    <w:p w:rsidR="00DF2942" w:rsidRPr="001D1B57" w:rsidRDefault="00DF2942" w:rsidP="001D1B57">
      <w:pPr>
        <w:pStyle w:val="Testonotaapidipagina"/>
        <w:spacing w:after="0"/>
        <w:rPr>
          <w:sz w:val="20"/>
        </w:rPr>
      </w:pPr>
      <w:r w:rsidRPr="001D1B57">
        <w:rPr>
          <w:rStyle w:val="Rimandonotaapidipagina"/>
          <w:sz w:val="20"/>
        </w:rPr>
        <w:footnoteRef/>
      </w:r>
      <w:hyperlink r:id="rId51" w:history="1">
        <w:r w:rsidRPr="001D1B57">
          <w:rPr>
            <w:rStyle w:val="Collegamentoipertestuale"/>
            <w:sz w:val="20"/>
          </w:rPr>
          <w:t>http://www.econ.yale.edu/~shiller/data.htm</w:t>
        </w:r>
      </w:hyperlink>
      <w:r w:rsidRPr="001D1B57">
        <w:rPr>
          <w:sz w:val="20"/>
        </w:rPr>
        <w:t xml:space="preserve"> </w:t>
      </w:r>
    </w:p>
  </w:footnote>
  <w:footnote w:id="98">
    <w:p w:rsidR="00DF2942" w:rsidRPr="001D1B57" w:rsidRDefault="00DF2942" w:rsidP="001D1B57">
      <w:pPr>
        <w:pStyle w:val="Testonotaapidipagina"/>
        <w:spacing w:after="0"/>
        <w:rPr>
          <w:sz w:val="20"/>
        </w:rPr>
      </w:pPr>
      <w:r w:rsidRPr="001D1B57">
        <w:rPr>
          <w:rStyle w:val="Rimandonotaapidipagina"/>
          <w:sz w:val="20"/>
        </w:rPr>
        <w:footnoteRef/>
      </w:r>
      <w:hyperlink r:id="rId52" w:history="1">
        <w:r w:rsidRPr="001D1B57">
          <w:rPr>
            <w:rStyle w:val="Collegamentoipertestuale"/>
            <w:sz w:val="20"/>
          </w:rPr>
          <w:t>https://theideafarm.com</w:t>
        </w:r>
      </w:hyperlink>
    </w:p>
  </w:footnote>
  <w:footnote w:id="99">
    <w:p w:rsidR="00DF2942" w:rsidRPr="001D1B57" w:rsidRDefault="00DF2942" w:rsidP="001D1B57">
      <w:pPr>
        <w:pStyle w:val="Testonotaapidipagina"/>
        <w:spacing w:after="0"/>
        <w:rPr>
          <w:sz w:val="20"/>
        </w:rPr>
      </w:pPr>
      <w:r w:rsidRPr="001D1B57">
        <w:rPr>
          <w:rStyle w:val="Rimandonotaapidipagina"/>
          <w:sz w:val="20"/>
        </w:rPr>
        <w:footnoteRef/>
      </w:r>
      <w:hyperlink r:id="rId53" w:anchor="!/cube/devkum?fromDate=1914-01&amp;toDate=2021-09&amp;dimSel=D0(M0),D1(EUR1,GBP1,USD1)" w:history="1">
        <w:r w:rsidRPr="008E1877">
          <w:rPr>
            <w:rStyle w:val="Collegamentoipertestuale"/>
            <w:sz w:val="20"/>
          </w:rPr>
          <w:t>https://data.snb.ch/en/topics/ziredev#!/cube/devkum?fromDate=1914-01&amp;toDate=2021-09&amp;dimSel=D0(M0),D1(EUR1,GBP1,USD1)</w:t>
        </w:r>
      </w:hyperlink>
      <w:r w:rsidRPr="001D1B57">
        <w:rPr>
          <w:sz w:val="20"/>
        </w:rPr>
        <w:t xml:space="preserve"> </w:t>
      </w:r>
    </w:p>
  </w:footnote>
  <w:footnote w:id="100">
    <w:p w:rsidR="00DF2942" w:rsidRPr="001C63E0" w:rsidRDefault="00DF2942" w:rsidP="001D1B57">
      <w:pPr>
        <w:pStyle w:val="Testonotaapidipagina"/>
        <w:spacing w:after="0"/>
      </w:pPr>
      <w:r w:rsidRPr="001D1B57">
        <w:rPr>
          <w:rStyle w:val="Rimandonotaapidipagina"/>
          <w:sz w:val="20"/>
        </w:rPr>
        <w:footnoteRef/>
      </w:r>
      <w:hyperlink r:id="rId54" w:anchor="!/cube/plkopr?fromDate=1921-01&amp;toDate=2021-09&amp;dimSel=D0(LD2010100,VVP)" w:history="1">
        <w:r w:rsidRPr="001D1B57">
          <w:rPr>
            <w:rStyle w:val="Collegamentoipertestuale"/>
            <w:sz w:val="20"/>
          </w:rPr>
          <w:t>https://data.snb.ch/en/topics/uvo#!/cube/plkopr?fromDate=1921-01&amp;toDate=2021-09&amp;dimSel=D0(LD2010100,VVP)</w:t>
        </w:r>
      </w:hyperlink>
      <w:r>
        <w:t xml:space="preserve"> </w:t>
      </w:r>
    </w:p>
  </w:footnote>
  <w:footnote w:id="101">
    <w:p w:rsidR="00DF2942" w:rsidRPr="001D1B57" w:rsidRDefault="00DF2942" w:rsidP="001D1B57">
      <w:pPr>
        <w:pStyle w:val="Testonotaapidipagina"/>
        <w:spacing w:after="0"/>
        <w:jc w:val="left"/>
        <w:rPr>
          <w:sz w:val="20"/>
          <w:lang w:val="en-GB"/>
        </w:rPr>
      </w:pPr>
      <w:r w:rsidRPr="001D1B57">
        <w:rPr>
          <w:rStyle w:val="Rimandonotaapidipagina"/>
          <w:sz w:val="20"/>
        </w:rPr>
        <w:footnoteRef/>
      </w:r>
      <w:r w:rsidRPr="001D1B57">
        <w:rPr>
          <w:sz w:val="20"/>
          <w:lang w:val="en-GB"/>
        </w:rPr>
        <w:t xml:space="preserve"> Si </w:t>
      </w:r>
      <w:proofErr w:type="spellStart"/>
      <w:proofErr w:type="gramStart"/>
      <w:r w:rsidRPr="001D1B57">
        <w:rPr>
          <w:sz w:val="20"/>
          <w:lang w:val="en-GB"/>
        </w:rPr>
        <w:t>veda</w:t>
      </w:r>
      <w:proofErr w:type="spellEnd"/>
      <w:proofErr w:type="gramEnd"/>
      <w:r w:rsidRPr="001D1B57">
        <w:rPr>
          <w:sz w:val="20"/>
          <w:lang w:val="en-GB"/>
        </w:rPr>
        <w:t xml:space="preserve"> a </w:t>
      </w:r>
      <w:proofErr w:type="spellStart"/>
      <w:r w:rsidRPr="001D1B57">
        <w:rPr>
          <w:sz w:val="20"/>
          <w:lang w:val="en-GB"/>
        </w:rPr>
        <w:t>titolo</w:t>
      </w:r>
      <w:proofErr w:type="spellEnd"/>
      <w:r w:rsidRPr="001D1B57">
        <w:rPr>
          <w:sz w:val="20"/>
          <w:lang w:val="en-GB"/>
        </w:rPr>
        <w:t xml:space="preserve"> di </w:t>
      </w:r>
      <w:proofErr w:type="spellStart"/>
      <w:r w:rsidRPr="001D1B57">
        <w:rPr>
          <w:sz w:val="20"/>
          <w:lang w:val="en-GB"/>
        </w:rPr>
        <w:t>esempio</w:t>
      </w:r>
      <w:proofErr w:type="spellEnd"/>
      <w:r w:rsidRPr="001D1B57">
        <w:rPr>
          <w:sz w:val="20"/>
          <w:lang w:val="en-GB"/>
        </w:rPr>
        <w:t xml:space="preserve"> Mark P. TAYLOR e Helen ALLEN (1993) </w:t>
      </w:r>
      <w:r w:rsidRPr="001D1B57">
        <w:rPr>
          <w:i/>
          <w:iCs/>
          <w:sz w:val="20"/>
          <w:lang w:val="en-GB"/>
        </w:rPr>
        <w:t>Journal of International Money and Finance</w:t>
      </w:r>
      <w:r w:rsidRPr="001D1B57">
        <w:rPr>
          <w:sz w:val="20"/>
          <w:lang w:val="en-GB"/>
        </w:rPr>
        <w:t xml:space="preserve">. The use of technical analysis in the foreign exchange market. Vol. 11, Issue 3, pp. 304-314. </w:t>
      </w:r>
      <w:hyperlink r:id="rId55" w:history="1">
        <w:r w:rsidRPr="001D1B57">
          <w:rPr>
            <w:rStyle w:val="Collegamentoipertestuale"/>
            <w:sz w:val="20"/>
            <w:lang w:val="en-GB"/>
          </w:rPr>
          <w:t>https://doi.org/10.1016/0261-5606(92)90048-3</w:t>
        </w:r>
      </w:hyperlink>
      <w:r w:rsidRPr="001D1B57">
        <w:rPr>
          <w:sz w:val="20"/>
          <w:lang w:val="en-GB"/>
        </w:rPr>
        <w:t xml:space="preserve"> </w:t>
      </w:r>
    </w:p>
  </w:footnote>
  <w:footnote w:id="102">
    <w:p w:rsidR="00DF2942" w:rsidRPr="001D1B57" w:rsidRDefault="00DF2942" w:rsidP="001D1B57">
      <w:pPr>
        <w:pStyle w:val="Testonotaapidipagina"/>
        <w:spacing w:after="0"/>
        <w:rPr>
          <w:sz w:val="20"/>
          <w:lang w:val="en-GB"/>
        </w:rPr>
      </w:pPr>
      <w:r w:rsidRPr="001D1B57">
        <w:rPr>
          <w:rStyle w:val="Rimandonotaapidipagina"/>
          <w:sz w:val="20"/>
        </w:rPr>
        <w:footnoteRef/>
      </w:r>
      <w:r w:rsidRPr="001D1B57">
        <w:rPr>
          <w:sz w:val="20"/>
          <w:lang w:val="en-GB"/>
        </w:rPr>
        <w:t xml:space="preserve"> Harold M. GARTLEY (1935, 1981 re-print) </w:t>
      </w:r>
      <w:r w:rsidRPr="001D1B57">
        <w:rPr>
          <w:i/>
          <w:iCs/>
          <w:sz w:val="20"/>
          <w:lang w:val="en-GB"/>
        </w:rPr>
        <w:t>Profits in the stock market.</w:t>
      </w:r>
      <w:r w:rsidRPr="001D1B57">
        <w:rPr>
          <w:sz w:val="20"/>
          <w:lang w:val="en-GB"/>
        </w:rPr>
        <w:t xml:space="preserve"> Ch. XI Moving Averages; pp. 251-279. Lambert-Gann Publishing.</w:t>
      </w:r>
    </w:p>
  </w:footnote>
  <w:footnote w:id="103">
    <w:p w:rsidR="00DF2942" w:rsidRPr="001D1B57" w:rsidRDefault="00DF2942" w:rsidP="001D1B57">
      <w:pPr>
        <w:pStyle w:val="Testonotaapidipagina"/>
        <w:spacing w:after="0"/>
        <w:rPr>
          <w:sz w:val="20"/>
          <w:lang w:val="en-GB"/>
        </w:rPr>
      </w:pPr>
      <w:r w:rsidRPr="001D1B57">
        <w:rPr>
          <w:rStyle w:val="Rimandonotaapidipagina"/>
          <w:sz w:val="20"/>
        </w:rPr>
        <w:footnoteRef/>
      </w:r>
      <w:r w:rsidRPr="001D1B57">
        <w:rPr>
          <w:sz w:val="20"/>
          <w:lang w:val="en-GB"/>
        </w:rPr>
        <w:t xml:space="preserve"> William GORDON (1968) </w:t>
      </w:r>
      <w:proofErr w:type="gramStart"/>
      <w:r w:rsidRPr="001D1B57">
        <w:rPr>
          <w:i/>
          <w:iCs/>
          <w:sz w:val="20"/>
          <w:lang w:val="en-GB"/>
        </w:rPr>
        <w:t>The</w:t>
      </w:r>
      <w:proofErr w:type="gramEnd"/>
      <w:r w:rsidRPr="001D1B57">
        <w:rPr>
          <w:i/>
          <w:iCs/>
          <w:sz w:val="20"/>
          <w:lang w:val="en-GB"/>
        </w:rPr>
        <w:t xml:space="preserve"> Stock Market Indicators</w:t>
      </w:r>
      <w:r w:rsidRPr="001D1B57">
        <w:rPr>
          <w:sz w:val="20"/>
          <w:lang w:val="en-GB"/>
        </w:rPr>
        <w:t>. Investors Press.</w:t>
      </w:r>
    </w:p>
  </w:footnote>
  <w:footnote w:id="104">
    <w:p w:rsidR="00DF2942" w:rsidRPr="001D1B57" w:rsidRDefault="00DF2942" w:rsidP="001D1B57">
      <w:pPr>
        <w:pStyle w:val="Testonotaapidipagina"/>
        <w:spacing w:after="0"/>
        <w:rPr>
          <w:sz w:val="20"/>
          <w:lang w:val="en-GB"/>
        </w:rPr>
      </w:pPr>
      <w:r w:rsidRPr="001D1B57">
        <w:rPr>
          <w:rStyle w:val="Rimandonotaapidipagina"/>
          <w:sz w:val="20"/>
        </w:rPr>
        <w:footnoteRef/>
      </w:r>
      <w:r w:rsidRPr="001D1B57">
        <w:rPr>
          <w:sz w:val="20"/>
          <w:lang w:val="en-GB"/>
        </w:rPr>
        <w:t xml:space="preserve"> William BROCK, Josef LAKONISHOK and Blake </w:t>
      </w:r>
      <w:proofErr w:type="spellStart"/>
      <w:r w:rsidRPr="001D1B57">
        <w:rPr>
          <w:sz w:val="20"/>
          <w:lang w:val="en-GB"/>
        </w:rPr>
        <w:t>LeBARON</w:t>
      </w:r>
      <w:proofErr w:type="spellEnd"/>
      <w:r w:rsidRPr="001D1B57">
        <w:rPr>
          <w:sz w:val="20"/>
          <w:lang w:val="en-GB"/>
        </w:rPr>
        <w:t xml:space="preserve"> (1992). </w:t>
      </w:r>
      <w:r w:rsidRPr="001D1B57">
        <w:rPr>
          <w:i/>
          <w:iCs/>
          <w:sz w:val="20"/>
          <w:lang w:val="en-GB"/>
        </w:rPr>
        <w:t>The Journal of Finance</w:t>
      </w:r>
      <w:r w:rsidRPr="001D1B57">
        <w:rPr>
          <w:sz w:val="20"/>
          <w:lang w:val="en-GB"/>
        </w:rPr>
        <w:t xml:space="preserve">. Simple Technical Trading Rules and the Stochastic Properties of Stock Returns. Vo. XLVII, No. 5, pp. 1731-1764. </w:t>
      </w:r>
      <w:hyperlink r:id="rId56" w:history="1">
        <w:r w:rsidRPr="001D1B57">
          <w:rPr>
            <w:rStyle w:val="Collegamentoipertestuale"/>
            <w:sz w:val="20"/>
            <w:lang w:val="en-GB"/>
          </w:rPr>
          <w:t>https://doi.org/10.2307/2328994</w:t>
        </w:r>
      </w:hyperlink>
      <w:r w:rsidRPr="001D1B57">
        <w:rPr>
          <w:sz w:val="20"/>
          <w:lang w:val="en-GB"/>
        </w:rPr>
        <w:t xml:space="preserve"> </w:t>
      </w:r>
    </w:p>
  </w:footnote>
  <w:footnote w:id="105">
    <w:p w:rsidR="00DF2942" w:rsidRPr="00E626B6" w:rsidRDefault="00DF2942" w:rsidP="001D1B57">
      <w:pPr>
        <w:pStyle w:val="Testonotaapidipagina"/>
        <w:spacing w:after="0"/>
        <w:jc w:val="left"/>
      </w:pPr>
      <w:r w:rsidRPr="001D1B57">
        <w:rPr>
          <w:rStyle w:val="Rimandonotaapidipagina"/>
          <w:sz w:val="20"/>
        </w:rPr>
        <w:footnoteRef/>
      </w:r>
      <w:r w:rsidRPr="001D1B57">
        <w:rPr>
          <w:sz w:val="20"/>
          <w:lang w:val="en-GB"/>
        </w:rPr>
        <w:t xml:space="preserve"> Jeremy SIEGEL (2014) </w:t>
      </w:r>
      <w:r w:rsidRPr="001D1B57">
        <w:rPr>
          <w:i/>
          <w:iCs/>
          <w:sz w:val="20"/>
          <w:lang w:val="en-GB"/>
        </w:rPr>
        <w:t>Stocks for the Long Run</w:t>
      </w:r>
      <w:r w:rsidRPr="001D1B57">
        <w:rPr>
          <w:sz w:val="20"/>
          <w:lang w:val="en-GB"/>
        </w:rPr>
        <w:t xml:space="preserve">. </w:t>
      </w:r>
      <w:proofErr w:type="gramStart"/>
      <w:r w:rsidRPr="001D1B57">
        <w:rPr>
          <w:sz w:val="20"/>
          <w:lang w:val="en-GB"/>
        </w:rPr>
        <w:t>5</w:t>
      </w:r>
      <w:r w:rsidRPr="001D1B57">
        <w:rPr>
          <w:sz w:val="20"/>
          <w:vertAlign w:val="superscript"/>
          <w:lang w:val="en-GB"/>
        </w:rPr>
        <w:t>th</w:t>
      </w:r>
      <w:proofErr w:type="gramEnd"/>
      <w:r w:rsidRPr="001D1B57">
        <w:rPr>
          <w:sz w:val="20"/>
          <w:lang w:val="en-GB"/>
        </w:rPr>
        <w:t xml:space="preserve"> edition. McGraw Hill. 978-0-07-18051-8. </w:t>
      </w:r>
      <w:hyperlink r:id="rId57" w:history="1">
        <w:r w:rsidRPr="001D1B57">
          <w:rPr>
            <w:rStyle w:val="Collegamentoipertestuale"/>
            <w:sz w:val="20"/>
          </w:rPr>
          <w:t>https://www.amazon.com/Stocks-Long-Run-Definitive-Investment/dp/0071800514</w:t>
        </w:r>
      </w:hyperlink>
      <w:r w:rsidRPr="00E626B6">
        <w:t xml:space="preserve"> </w:t>
      </w:r>
    </w:p>
  </w:footnote>
  <w:footnote w:id="106">
    <w:p w:rsidR="00DF2942" w:rsidRPr="001D1B57" w:rsidRDefault="00DF2942" w:rsidP="001D1B57">
      <w:pPr>
        <w:pStyle w:val="Testonotaapidipagina"/>
        <w:spacing w:after="0"/>
        <w:jc w:val="left"/>
        <w:rPr>
          <w:sz w:val="20"/>
          <w:lang w:val="en-GB"/>
        </w:rPr>
      </w:pPr>
      <w:r w:rsidRPr="001D1B57">
        <w:rPr>
          <w:rStyle w:val="Rimandonotaapidipagina"/>
          <w:sz w:val="20"/>
        </w:rPr>
        <w:footnoteRef/>
      </w:r>
      <w:r w:rsidRPr="001D1B57">
        <w:rPr>
          <w:sz w:val="20"/>
          <w:lang w:val="en-GB"/>
        </w:rPr>
        <w:t xml:space="preserve"> </w:t>
      </w:r>
      <w:proofErr w:type="spellStart"/>
      <w:r w:rsidRPr="001D1B57">
        <w:rPr>
          <w:sz w:val="20"/>
          <w:lang w:val="en-GB"/>
        </w:rPr>
        <w:t>Narasimhan</w:t>
      </w:r>
      <w:proofErr w:type="spellEnd"/>
      <w:r w:rsidRPr="001D1B57">
        <w:rPr>
          <w:sz w:val="20"/>
          <w:lang w:val="en-GB"/>
        </w:rPr>
        <w:t xml:space="preserve"> JEGADEESH e Sheridan TITMAN 81993) </w:t>
      </w:r>
      <w:proofErr w:type="gramStart"/>
      <w:r w:rsidRPr="001D1B57">
        <w:rPr>
          <w:i/>
          <w:iCs/>
          <w:sz w:val="20"/>
          <w:lang w:val="en-GB"/>
        </w:rPr>
        <w:t>The</w:t>
      </w:r>
      <w:proofErr w:type="gramEnd"/>
      <w:r w:rsidRPr="001D1B57">
        <w:rPr>
          <w:i/>
          <w:iCs/>
          <w:sz w:val="20"/>
          <w:lang w:val="en-GB"/>
        </w:rPr>
        <w:t xml:space="preserve"> Journal of Finance</w:t>
      </w:r>
      <w:r w:rsidRPr="001D1B57">
        <w:rPr>
          <w:sz w:val="20"/>
          <w:lang w:val="en-GB"/>
        </w:rPr>
        <w:t xml:space="preserve">. Returns to Buying Winners and selling Losers: Implications for Stock Market Efficiency. Vol. XLVIII, No. 1, pp. 65-91. </w:t>
      </w:r>
      <w:hyperlink r:id="rId58" w:history="1">
        <w:r w:rsidRPr="001D1B57">
          <w:rPr>
            <w:rStyle w:val="Collegamentoipertestuale"/>
            <w:sz w:val="20"/>
            <w:lang w:val="en-GB"/>
          </w:rPr>
          <w:t>https://doi.org/10.2307/2328882</w:t>
        </w:r>
      </w:hyperlink>
      <w:r w:rsidRPr="001D1B57">
        <w:rPr>
          <w:sz w:val="20"/>
          <w:lang w:val="en-GB"/>
        </w:rPr>
        <w:t xml:space="preserve"> </w:t>
      </w:r>
    </w:p>
  </w:footnote>
  <w:footnote w:id="107">
    <w:p w:rsidR="00DF2942" w:rsidRPr="001D1B57" w:rsidRDefault="00DF2942" w:rsidP="001D1B57">
      <w:pPr>
        <w:pStyle w:val="Testonotaapidipagina"/>
        <w:spacing w:after="0"/>
        <w:jc w:val="left"/>
        <w:rPr>
          <w:sz w:val="20"/>
          <w:lang w:val="en-GB"/>
        </w:rPr>
      </w:pPr>
      <w:r w:rsidRPr="001D1B57">
        <w:rPr>
          <w:rStyle w:val="Rimandonotaapidipagina"/>
          <w:sz w:val="20"/>
        </w:rPr>
        <w:footnoteRef/>
      </w:r>
      <w:r w:rsidRPr="001D1B57">
        <w:rPr>
          <w:sz w:val="20"/>
          <w:lang w:val="en-GB"/>
        </w:rPr>
        <w:t xml:space="preserve"> Mark CARHART (1997) </w:t>
      </w:r>
      <w:r w:rsidRPr="001D1B57">
        <w:rPr>
          <w:i/>
          <w:iCs/>
          <w:sz w:val="20"/>
          <w:lang w:val="en-GB"/>
        </w:rPr>
        <w:t>The Journal of Finance</w:t>
      </w:r>
      <w:r w:rsidRPr="001D1B57">
        <w:rPr>
          <w:sz w:val="20"/>
          <w:lang w:val="en-GB"/>
        </w:rPr>
        <w:t xml:space="preserve">. On Persistence in Mutual Fund Performance. Vol. 52, Issue 1, pp. 57-82. </w:t>
      </w:r>
      <w:hyperlink r:id="rId59" w:history="1">
        <w:r w:rsidRPr="001D1B57">
          <w:rPr>
            <w:rStyle w:val="Collegamentoipertestuale"/>
            <w:sz w:val="20"/>
            <w:lang w:val="en-GB"/>
          </w:rPr>
          <w:t>https://doi.org/10.1111%2Fj.1540-6261.1997.tb03808.x</w:t>
        </w:r>
      </w:hyperlink>
      <w:r w:rsidRPr="001D1B57">
        <w:rPr>
          <w:sz w:val="20"/>
          <w:lang w:val="en-GB"/>
        </w:rPr>
        <w:t xml:space="preserve"> </w:t>
      </w:r>
    </w:p>
  </w:footnote>
  <w:footnote w:id="108">
    <w:p w:rsidR="00DF2942" w:rsidRPr="003D44E0" w:rsidRDefault="00DF2942" w:rsidP="001D1B57">
      <w:pPr>
        <w:pStyle w:val="Testonotaapidipagina"/>
        <w:spacing w:after="0"/>
        <w:rPr>
          <w:lang w:val="fr-CH"/>
        </w:rPr>
      </w:pPr>
      <w:r w:rsidRPr="001D1B57">
        <w:rPr>
          <w:rStyle w:val="Rimandonotaapidipagina"/>
          <w:sz w:val="20"/>
        </w:rPr>
        <w:footnoteRef/>
      </w:r>
      <w:r w:rsidRPr="001D1B57">
        <w:rPr>
          <w:sz w:val="20"/>
          <w:lang w:val="en-GB"/>
        </w:rPr>
        <w:t xml:space="preserve"> </w:t>
      </w:r>
      <w:proofErr w:type="spellStart"/>
      <w:r w:rsidRPr="001D1B57">
        <w:rPr>
          <w:sz w:val="20"/>
          <w:lang w:val="en-GB"/>
        </w:rPr>
        <w:t>Meb</w:t>
      </w:r>
      <w:proofErr w:type="spellEnd"/>
      <w:r w:rsidRPr="001D1B57">
        <w:rPr>
          <w:sz w:val="20"/>
          <w:lang w:val="en-GB"/>
        </w:rPr>
        <w:t xml:space="preserve"> Faber (2017). The Journal of Portfolio Management. A Quantitative Approach to Tactical Asset Allocation Revisited 10 Year Later. </w:t>
      </w:r>
      <w:hyperlink r:id="rId60" w:history="1">
        <w:r w:rsidRPr="001D1B57">
          <w:rPr>
            <w:rStyle w:val="Collegamentoipertestuale"/>
            <w:sz w:val="20"/>
            <w:lang w:val="fr-CH"/>
          </w:rPr>
          <w:t>https://doi.org/10.3905/jpm.2018.44.2.156</w:t>
        </w:r>
      </w:hyperlink>
      <w:r>
        <w:rPr>
          <w:lang w:val="fr-CH"/>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564C1E5E"/>
    <w:styleLink w:val="Stile11"/>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02CA4290"/>
    <w:lvl w:ilvl="0">
      <w:start w:val="1"/>
      <w:numFmt w:val="bullet"/>
      <w:pStyle w:val="Puntoelenco"/>
      <w:lvlText w:val=""/>
      <w:lvlJc w:val="left"/>
      <w:pPr>
        <w:tabs>
          <w:tab w:val="num" w:pos="360"/>
        </w:tabs>
        <w:ind w:left="360" w:hanging="360"/>
      </w:pPr>
      <w:rPr>
        <w:rFonts w:ascii="Symbol" w:hAnsi="Symbol" w:hint="default"/>
      </w:rPr>
    </w:lvl>
  </w:abstractNum>
  <w:abstractNum w:abstractNumId="2" w15:restartNumberingAfterBreak="0">
    <w:nsid w:val="009469AE"/>
    <w:multiLevelType w:val="hybridMultilevel"/>
    <w:tmpl w:val="F9888982"/>
    <w:lvl w:ilvl="0" w:tplc="3A32EC04">
      <w:numFmt w:val="bullet"/>
      <w:lvlText w:val="-"/>
      <w:lvlJc w:val="left"/>
      <w:pPr>
        <w:ind w:left="1776" w:hanging="360"/>
      </w:pPr>
      <w:rPr>
        <w:rFonts w:ascii="Arial" w:eastAsia="Times New Roman" w:hAnsi="Arial" w:cs="Arial" w:hint="default"/>
      </w:rPr>
    </w:lvl>
    <w:lvl w:ilvl="1" w:tplc="08100003" w:tentative="1">
      <w:start w:val="1"/>
      <w:numFmt w:val="bullet"/>
      <w:lvlText w:val="o"/>
      <w:lvlJc w:val="left"/>
      <w:pPr>
        <w:ind w:left="2496" w:hanging="360"/>
      </w:pPr>
      <w:rPr>
        <w:rFonts w:ascii="Courier New" w:hAnsi="Courier New" w:cs="Courier New" w:hint="default"/>
      </w:rPr>
    </w:lvl>
    <w:lvl w:ilvl="2" w:tplc="08100005" w:tentative="1">
      <w:start w:val="1"/>
      <w:numFmt w:val="bullet"/>
      <w:lvlText w:val=""/>
      <w:lvlJc w:val="left"/>
      <w:pPr>
        <w:ind w:left="3216" w:hanging="360"/>
      </w:pPr>
      <w:rPr>
        <w:rFonts w:ascii="Wingdings" w:hAnsi="Wingdings" w:hint="default"/>
      </w:rPr>
    </w:lvl>
    <w:lvl w:ilvl="3" w:tplc="08100001" w:tentative="1">
      <w:start w:val="1"/>
      <w:numFmt w:val="bullet"/>
      <w:lvlText w:val=""/>
      <w:lvlJc w:val="left"/>
      <w:pPr>
        <w:ind w:left="3936" w:hanging="360"/>
      </w:pPr>
      <w:rPr>
        <w:rFonts w:ascii="Symbol" w:hAnsi="Symbol" w:hint="default"/>
      </w:rPr>
    </w:lvl>
    <w:lvl w:ilvl="4" w:tplc="08100003" w:tentative="1">
      <w:start w:val="1"/>
      <w:numFmt w:val="bullet"/>
      <w:lvlText w:val="o"/>
      <w:lvlJc w:val="left"/>
      <w:pPr>
        <w:ind w:left="4656" w:hanging="360"/>
      </w:pPr>
      <w:rPr>
        <w:rFonts w:ascii="Courier New" w:hAnsi="Courier New" w:cs="Courier New" w:hint="default"/>
      </w:rPr>
    </w:lvl>
    <w:lvl w:ilvl="5" w:tplc="08100005" w:tentative="1">
      <w:start w:val="1"/>
      <w:numFmt w:val="bullet"/>
      <w:lvlText w:val=""/>
      <w:lvlJc w:val="left"/>
      <w:pPr>
        <w:ind w:left="5376" w:hanging="360"/>
      </w:pPr>
      <w:rPr>
        <w:rFonts w:ascii="Wingdings" w:hAnsi="Wingdings" w:hint="default"/>
      </w:rPr>
    </w:lvl>
    <w:lvl w:ilvl="6" w:tplc="08100001" w:tentative="1">
      <w:start w:val="1"/>
      <w:numFmt w:val="bullet"/>
      <w:lvlText w:val=""/>
      <w:lvlJc w:val="left"/>
      <w:pPr>
        <w:ind w:left="6096" w:hanging="360"/>
      </w:pPr>
      <w:rPr>
        <w:rFonts w:ascii="Symbol" w:hAnsi="Symbol" w:hint="default"/>
      </w:rPr>
    </w:lvl>
    <w:lvl w:ilvl="7" w:tplc="08100003" w:tentative="1">
      <w:start w:val="1"/>
      <w:numFmt w:val="bullet"/>
      <w:lvlText w:val="o"/>
      <w:lvlJc w:val="left"/>
      <w:pPr>
        <w:ind w:left="6816" w:hanging="360"/>
      </w:pPr>
      <w:rPr>
        <w:rFonts w:ascii="Courier New" w:hAnsi="Courier New" w:cs="Courier New" w:hint="default"/>
      </w:rPr>
    </w:lvl>
    <w:lvl w:ilvl="8" w:tplc="08100005" w:tentative="1">
      <w:start w:val="1"/>
      <w:numFmt w:val="bullet"/>
      <w:lvlText w:val=""/>
      <w:lvlJc w:val="left"/>
      <w:pPr>
        <w:ind w:left="7536" w:hanging="360"/>
      </w:pPr>
      <w:rPr>
        <w:rFonts w:ascii="Wingdings" w:hAnsi="Wingdings" w:hint="default"/>
      </w:rPr>
    </w:lvl>
  </w:abstractNum>
  <w:abstractNum w:abstractNumId="3" w15:restartNumberingAfterBreak="0">
    <w:nsid w:val="037D0637"/>
    <w:multiLevelType w:val="hybridMultilevel"/>
    <w:tmpl w:val="366635F2"/>
    <w:lvl w:ilvl="0" w:tplc="CC2C4E1C">
      <w:numFmt w:val="bullet"/>
      <w:lvlText w:val=""/>
      <w:lvlJc w:val="left"/>
      <w:pPr>
        <w:ind w:left="520" w:hanging="360"/>
      </w:pPr>
      <w:rPr>
        <w:rFonts w:ascii="Symbol" w:eastAsia="MS Mincho"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9F93493"/>
    <w:multiLevelType w:val="hybridMultilevel"/>
    <w:tmpl w:val="4C00F344"/>
    <w:lvl w:ilvl="0" w:tplc="0810000B">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 w15:restartNumberingAfterBreak="0">
    <w:nsid w:val="0A71514E"/>
    <w:multiLevelType w:val="hybridMultilevel"/>
    <w:tmpl w:val="53F69038"/>
    <w:lvl w:ilvl="0" w:tplc="EA2C3A1A">
      <w:numFmt w:val="bullet"/>
      <w:lvlText w:val="-"/>
      <w:lvlJc w:val="left"/>
      <w:pPr>
        <w:ind w:left="1428" w:hanging="360"/>
      </w:pPr>
      <w:rPr>
        <w:rFonts w:ascii="Arial" w:eastAsia="Times New Roman" w:hAnsi="Arial" w:cs="Arial" w:hint="default"/>
      </w:rPr>
    </w:lvl>
    <w:lvl w:ilvl="1" w:tplc="08100003" w:tentative="1">
      <w:start w:val="1"/>
      <w:numFmt w:val="bullet"/>
      <w:lvlText w:val="o"/>
      <w:lvlJc w:val="left"/>
      <w:pPr>
        <w:ind w:left="2148" w:hanging="360"/>
      </w:pPr>
      <w:rPr>
        <w:rFonts w:ascii="Courier New" w:hAnsi="Courier New" w:cs="Courier New" w:hint="default"/>
      </w:rPr>
    </w:lvl>
    <w:lvl w:ilvl="2" w:tplc="08100005" w:tentative="1">
      <w:start w:val="1"/>
      <w:numFmt w:val="bullet"/>
      <w:lvlText w:val=""/>
      <w:lvlJc w:val="left"/>
      <w:pPr>
        <w:ind w:left="2868" w:hanging="360"/>
      </w:pPr>
      <w:rPr>
        <w:rFonts w:ascii="Wingdings" w:hAnsi="Wingdings" w:hint="default"/>
      </w:rPr>
    </w:lvl>
    <w:lvl w:ilvl="3" w:tplc="08100001" w:tentative="1">
      <w:start w:val="1"/>
      <w:numFmt w:val="bullet"/>
      <w:lvlText w:val=""/>
      <w:lvlJc w:val="left"/>
      <w:pPr>
        <w:ind w:left="3588" w:hanging="360"/>
      </w:pPr>
      <w:rPr>
        <w:rFonts w:ascii="Symbol" w:hAnsi="Symbol" w:hint="default"/>
      </w:rPr>
    </w:lvl>
    <w:lvl w:ilvl="4" w:tplc="08100003" w:tentative="1">
      <w:start w:val="1"/>
      <w:numFmt w:val="bullet"/>
      <w:lvlText w:val="o"/>
      <w:lvlJc w:val="left"/>
      <w:pPr>
        <w:ind w:left="4308" w:hanging="360"/>
      </w:pPr>
      <w:rPr>
        <w:rFonts w:ascii="Courier New" w:hAnsi="Courier New" w:cs="Courier New" w:hint="default"/>
      </w:rPr>
    </w:lvl>
    <w:lvl w:ilvl="5" w:tplc="08100005" w:tentative="1">
      <w:start w:val="1"/>
      <w:numFmt w:val="bullet"/>
      <w:lvlText w:val=""/>
      <w:lvlJc w:val="left"/>
      <w:pPr>
        <w:ind w:left="5028" w:hanging="360"/>
      </w:pPr>
      <w:rPr>
        <w:rFonts w:ascii="Wingdings" w:hAnsi="Wingdings" w:hint="default"/>
      </w:rPr>
    </w:lvl>
    <w:lvl w:ilvl="6" w:tplc="08100001" w:tentative="1">
      <w:start w:val="1"/>
      <w:numFmt w:val="bullet"/>
      <w:lvlText w:val=""/>
      <w:lvlJc w:val="left"/>
      <w:pPr>
        <w:ind w:left="5748" w:hanging="360"/>
      </w:pPr>
      <w:rPr>
        <w:rFonts w:ascii="Symbol" w:hAnsi="Symbol" w:hint="default"/>
      </w:rPr>
    </w:lvl>
    <w:lvl w:ilvl="7" w:tplc="08100003" w:tentative="1">
      <w:start w:val="1"/>
      <w:numFmt w:val="bullet"/>
      <w:lvlText w:val="o"/>
      <w:lvlJc w:val="left"/>
      <w:pPr>
        <w:ind w:left="6468" w:hanging="360"/>
      </w:pPr>
      <w:rPr>
        <w:rFonts w:ascii="Courier New" w:hAnsi="Courier New" w:cs="Courier New" w:hint="default"/>
      </w:rPr>
    </w:lvl>
    <w:lvl w:ilvl="8" w:tplc="08100005" w:tentative="1">
      <w:start w:val="1"/>
      <w:numFmt w:val="bullet"/>
      <w:lvlText w:val=""/>
      <w:lvlJc w:val="left"/>
      <w:pPr>
        <w:ind w:left="7188" w:hanging="360"/>
      </w:pPr>
      <w:rPr>
        <w:rFonts w:ascii="Wingdings" w:hAnsi="Wingdings" w:hint="default"/>
      </w:rPr>
    </w:lvl>
  </w:abstractNum>
  <w:abstractNum w:abstractNumId="6" w15:restartNumberingAfterBreak="0">
    <w:nsid w:val="0B740ECB"/>
    <w:multiLevelType w:val="multilevel"/>
    <w:tmpl w:val="ED5EF8CC"/>
    <w:lvl w:ilvl="0">
      <w:start w:val="1"/>
      <w:numFmt w:val="decimal"/>
      <w:lvlText w:val="%1."/>
      <w:lvlJc w:val="left"/>
      <w:pPr>
        <w:ind w:left="360" w:hanging="360"/>
      </w:pPr>
      <w:rPr>
        <w:rFonts w:hint="default"/>
      </w:rPr>
    </w:lvl>
    <w:lvl w:ilvl="1">
      <w:start w:val="4"/>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1800" w:hanging="1800"/>
      </w:pPr>
      <w:rPr>
        <w:rFonts w:cstheme="minorBidi" w:hint="default"/>
      </w:rPr>
    </w:lvl>
  </w:abstractNum>
  <w:abstractNum w:abstractNumId="7" w15:restartNumberingAfterBreak="0">
    <w:nsid w:val="0D355C0C"/>
    <w:multiLevelType w:val="hybridMultilevel"/>
    <w:tmpl w:val="1F8A3B46"/>
    <w:lvl w:ilvl="0" w:tplc="3FBC9440">
      <w:start w:val="1"/>
      <w:numFmt w:val="decimal"/>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8" w15:restartNumberingAfterBreak="0">
    <w:nsid w:val="0D965C65"/>
    <w:multiLevelType w:val="hybridMultilevel"/>
    <w:tmpl w:val="DE3431A4"/>
    <w:lvl w:ilvl="0" w:tplc="8E4091E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9" w15:restartNumberingAfterBreak="0">
    <w:nsid w:val="0E7C5D3C"/>
    <w:multiLevelType w:val="hybridMultilevel"/>
    <w:tmpl w:val="2496F944"/>
    <w:lvl w:ilvl="0" w:tplc="09A2E726">
      <w:start w:val="1"/>
      <w:numFmt w:val="decimal"/>
      <w:lvlText w:val="%1."/>
      <w:lvlJc w:val="left"/>
      <w:pPr>
        <w:ind w:left="1440" w:hanging="360"/>
      </w:pPr>
      <w:rPr>
        <w:rFonts w:hint="default"/>
      </w:rPr>
    </w:lvl>
    <w:lvl w:ilvl="1" w:tplc="08100019" w:tentative="1">
      <w:start w:val="1"/>
      <w:numFmt w:val="lowerLetter"/>
      <w:lvlText w:val="%2."/>
      <w:lvlJc w:val="left"/>
      <w:pPr>
        <w:ind w:left="2160" w:hanging="360"/>
      </w:pPr>
    </w:lvl>
    <w:lvl w:ilvl="2" w:tplc="0810001B" w:tentative="1">
      <w:start w:val="1"/>
      <w:numFmt w:val="lowerRoman"/>
      <w:lvlText w:val="%3."/>
      <w:lvlJc w:val="right"/>
      <w:pPr>
        <w:ind w:left="2880" w:hanging="180"/>
      </w:pPr>
    </w:lvl>
    <w:lvl w:ilvl="3" w:tplc="0810000F" w:tentative="1">
      <w:start w:val="1"/>
      <w:numFmt w:val="decimal"/>
      <w:lvlText w:val="%4."/>
      <w:lvlJc w:val="left"/>
      <w:pPr>
        <w:ind w:left="3600" w:hanging="360"/>
      </w:pPr>
    </w:lvl>
    <w:lvl w:ilvl="4" w:tplc="08100019" w:tentative="1">
      <w:start w:val="1"/>
      <w:numFmt w:val="lowerLetter"/>
      <w:lvlText w:val="%5."/>
      <w:lvlJc w:val="left"/>
      <w:pPr>
        <w:ind w:left="4320" w:hanging="360"/>
      </w:pPr>
    </w:lvl>
    <w:lvl w:ilvl="5" w:tplc="0810001B" w:tentative="1">
      <w:start w:val="1"/>
      <w:numFmt w:val="lowerRoman"/>
      <w:lvlText w:val="%6."/>
      <w:lvlJc w:val="right"/>
      <w:pPr>
        <w:ind w:left="5040" w:hanging="180"/>
      </w:pPr>
    </w:lvl>
    <w:lvl w:ilvl="6" w:tplc="0810000F" w:tentative="1">
      <w:start w:val="1"/>
      <w:numFmt w:val="decimal"/>
      <w:lvlText w:val="%7."/>
      <w:lvlJc w:val="left"/>
      <w:pPr>
        <w:ind w:left="5760" w:hanging="360"/>
      </w:pPr>
    </w:lvl>
    <w:lvl w:ilvl="7" w:tplc="08100019" w:tentative="1">
      <w:start w:val="1"/>
      <w:numFmt w:val="lowerLetter"/>
      <w:lvlText w:val="%8."/>
      <w:lvlJc w:val="left"/>
      <w:pPr>
        <w:ind w:left="6480" w:hanging="360"/>
      </w:pPr>
    </w:lvl>
    <w:lvl w:ilvl="8" w:tplc="0810001B" w:tentative="1">
      <w:start w:val="1"/>
      <w:numFmt w:val="lowerRoman"/>
      <w:lvlText w:val="%9."/>
      <w:lvlJc w:val="right"/>
      <w:pPr>
        <w:ind w:left="7200" w:hanging="180"/>
      </w:pPr>
    </w:lvl>
  </w:abstractNum>
  <w:abstractNum w:abstractNumId="10"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1" w15:restartNumberingAfterBreak="0">
    <w:nsid w:val="119F328A"/>
    <w:multiLevelType w:val="hybridMultilevel"/>
    <w:tmpl w:val="CD4EB8B4"/>
    <w:lvl w:ilvl="0" w:tplc="08100017">
      <w:start w:val="1"/>
      <w:numFmt w:val="lowerLetter"/>
      <w:lvlText w:val="%1)"/>
      <w:lvlJc w:val="left"/>
      <w:pPr>
        <w:ind w:left="1004" w:hanging="360"/>
      </w:pPr>
    </w:lvl>
    <w:lvl w:ilvl="1" w:tplc="08100019" w:tentative="1">
      <w:start w:val="1"/>
      <w:numFmt w:val="lowerLetter"/>
      <w:lvlText w:val="%2."/>
      <w:lvlJc w:val="left"/>
      <w:pPr>
        <w:ind w:left="1724" w:hanging="360"/>
      </w:pPr>
    </w:lvl>
    <w:lvl w:ilvl="2" w:tplc="0810001B" w:tentative="1">
      <w:start w:val="1"/>
      <w:numFmt w:val="lowerRoman"/>
      <w:lvlText w:val="%3."/>
      <w:lvlJc w:val="right"/>
      <w:pPr>
        <w:ind w:left="2444" w:hanging="180"/>
      </w:pPr>
    </w:lvl>
    <w:lvl w:ilvl="3" w:tplc="0810000F" w:tentative="1">
      <w:start w:val="1"/>
      <w:numFmt w:val="decimal"/>
      <w:lvlText w:val="%4."/>
      <w:lvlJc w:val="left"/>
      <w:pPr>
        <w:ind w:left="3164" w:hanging="360"/>
      </w:pPr>
    </w:lvl>
    <w:lvl w:ilvl="4" w:tplc="08100019" w:tentative="1">
      <w:start w:val="1"/>
      <w:numFmt w:val="lowerLetter"/>
      <w:lvlText w:val="%5."/>
      <w:lvlJc w:val="left"/>
      <w:pPr>
        <w:ind w:left="3884" w:hanging="360"/>
      </w:pPr>
    </w:lvl>
    <w:lvl w:ilvl="5" w:tplc="0810001B" w:tentative="1">
      <w:start w:val="1"/>
      <w:numFmt w:val="lowerRoman"/>
      <w:lvlText w:val="%6."/>
      <w:lvlJc w:val="right"/>
      <w:pPr>
        <w:ind w:left="4604" w:hanging="180"/>
      </w:pPr>
    </w:lvl>
    <w:lvl w:ilvl="6" w:tplc="0810000F" w:tentative="1">
      <w:start w:val="1"/>
      <w:numFmt w:val="decimal"/>
      <w:lvlText w:val="%7."/>
      <w:lvlJc w:val="left"/>
      <w:pPr>
        <w:ind w:left="5324" w:hanging="360"/>
      </w:pPr>
    </w:lvl>
    <w:lvl w:ilvl="7" w:tplc="08100019" w:tentative="1">
      <w:start w:val="1"/>
      <w:numFmt w:val="lowerLetter"/>
      <w:lvlText w:val="%8."/>
      <w:lvlJc w:val="left"/>
      <w:pPr>
        <w:ind w:left="6044" w:hanging="360"/>
      </w:pPr>
    </w:lvl>
    <w:lvl w:ilvl="8" w:tplc="0810001B" w:tentative="1">
      <w:start w:val="1"/>
      <w:numFmt w:val="lowerRoman"/>
      <w:lvlText w:val="%9."/>
      <w:lvlJc w:val="right"/>
      <w:pPr>
        <w:ind w:left="6764" w:hanging="180"/>
      </w:pPr>
    </w:lvl>
  </w:abstractNum>
  <w:abstractNum w:abstractNumId="12" w15:restartNumberingAfterBreak="0">
    <w:nsid w:val="13FC57C8"/>
    <w:multiLevelType w:val="hybridMultilevel"/>
    <w:tmpl w:val="6BC85BF6"/>
    <w:lvl w:ilvl="0" w:tplc="1748634A">
      <w:start w:val="1"/>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83276E4"/>
    <w:multiLevelType w:val="hybridMultilevel"/>
    <w:tmpl w:val="CC1270E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1924418B"/>
    <w:multiLevelType w:val="hybridMultilevel"/>
    <w:tmpl w:val="4220162A"/>
    <w:lvl w:ilvl="0" w:tplc="1B4A4F6C">
      <w:numFmt w:val="bullet"/>
      <w:lvlText w:val="-"/>
      <w:lvlJc w:val="left"/>
      <w:pPr>
        <w:ind w:left="1428" w:hanging="360"/>
      </w:pPr>
      <w:rPr>
        <w:rFonts w:ascii="Arial" w:eastAsia="Times New Roman" w:hAnsi="Arial" w:cs="Arial" w:hint="default"/>
      </w:rPr>
    </w:lvl>
    <w:lvl w:ilvl="1" w:tplc="08100003">
      <w:start w:val="1"/>
      <w:numFmt w:val="bullet"/>
      <w:lvlText w:val="o"/>
      <w:lvlJc w:val="left"/>
      <w:pPr>
        <w:ind w:left="2148" w:hanging="360"/>
      </w:pPr>
      <w:rPr>
        <w:rFonts w:ascii="Courier New" w:hAnsi="Courier New" w:cs="Courier New" w:hint="default"/>
      </w:rPr>
    </w:lvl>
    <w:lvl w:ilvl="2" w:tplc="08100005" w:tentative="1">
      <w:start w:val="1"/>
      <w:numFmt w:val="bullet"/>
      <w:lvlText w:val=""/>
      <w:lvlJc w:val="left"/>
      <w:pPr>
        <w:ind w:left="2868" w:hanging="360"/>
      </w:pPr>
      <w:rPr>
        <w:rFonts w:ascii="Wingdings" w:hAnsi="Wingdings" w:hint="default"/>
      </w:rPr>
    </w:lvl>
    <w:lvl w:ilvl="3" w:tplc="08100001" w:tentative="1">
      <w:start w:val="1"/>
      <w:numFmt w:val="bullet"/>
      <w:lvlText w:val=""/>
      <w:lvlJc w:val="left"/>
      <w:pPr>
        <w:ind w:left="3588" w:hanging="360"/>
      </w:pPr>
      <w:rPr>
        <w:rFonts w:ascii="Symbol" w:hAnsi="Symbol" w:hint="default"/>
      </w:rPr>
    </w:lvl>
    <w:lvl w:ilvl="4" w:tplc="08100003" w:tentative="1">
      <w:start w:val="1"/>
      <w:numFmt w:val="bullet"/>
      <w:lvlText w:val="o"/>
      <w:lvlJc w:val="left"/>
      <w:pPr>
        <w:ind w:left="4308" w:hanging="360"/>
      </w:pPr>
      <w:rPr>
        <w:rFonts w:ascii="Courier New" w:hAnsi="Courier New" w:cs="Courier New" w:hint="default"/>
      </w:rPr>
    </w:lvl>
    <w:lvl w:ilvl="5" w:tplc="08100005" w:tentative="1">
      <w:start w:val="1"/>
      <w:numFmt w:val="bullet"/>
      <w:lvlText w:val=""/>
      <w:lvlJc w:val="left"/>
      <w:pPr>
        <w:ind w:left="5028" w:hanging="360"/>
      </w:pPr>
      <w:rPr>
        <w:rFonts w:ascii="Wingdings" w:hAnsi="Wingdings" w:hint="default"/>
      </w:rPr>
    </w:lvl>
    <w:lvl w:ilvl="6" w:tplc="08100001" w:tentative="1">
      <w:start w:val="1"/>
      <w:numFmt w:val="bullet"/>
      <w:lvlText w:val=""/>
      <w:lvlJc w:val="left"/>
      <w:pPr>
        <w:ind w:left="5748" w:hanging="360"/>
      </w:pPr>
      <w:rPr>
        <w:rFonts w:ascii="Symbol" w:hAnsi="Symbol" w:hint="default"/>
      </w:rPr>
    </w:lvl>
    <w:lvl w:ilvl="7" w:tplc="08100003" w:tentative="1">
      <w:start w:val="1"/>
      <w:numFmt w:val="bullet"/>
      <w:lvlText w:val="o"/>
      <w:lvlJc w:val="left"/>
      <w:pPr>
        <w:ind w:left="6468" w:hanging="360"/>
      </w:pPr>
      <w:rPr>
        <w:rFonts w:ascii="Courier New" w:hAnsi="Courier New" w:cs="Courier New" w:hint="default"/>
      </w:rPr>
    </w:lvl>
    <w:lvl w:ilvl="8" w:tplc="08100005" w:tentative="1">
      <w:start w:val="1"/>
      <w:numFmt w:val="bullet"/>
      <w:lvlText w:val=""/>
      <w:lvlJc w:val="left"/>
      <w:pPr>
        <w:ind w:left="7188" w:hanging="360"/>
      </w:pPr>
      <w:rPr>
        <w:rFonts w:ascii="Wingdings" w:hAnsi="Wingdings" w:hint="default"/>
      </w:rPr>
    </w:lvl>
  </w:abstractNum>
  <w:abstractNum w:abstractNumId="15" w15:restartNumberingAfterBreak="0">
    <w:nsid w:val="1E3E54B7"/>
    <w:multiLevelType w:val="multilevel"/>
    <w:tmpl w:val="953CA1B2"/>
    <w:styleLink w:val="HeadingList"/>
    <w:lvl w:ilvl="0">
      <w:start w:val="1"/>
      <w:numFmt w:val="decimal"/>
      <w:lvlText w:val="%1"/>
      <w:lvlJc w:val="left"/>
      <w:pPr>
        <w:ind w:left="363" w:hanging="363"/>
      </w:pPr>
      <w:rPr>
        <w:rFonts w:asciiTheme="majorHAnsi" w:hAnsiTheme="majorHAnsi" w:hint="default"/>
      </w:rPr>
    </w:lvl>
    <w:lvl w:ilvl="1">
      <w:start w:val="1"/>
      <w:numFmt w:val="decimal"/>
      <w:lvlText w:val="%1.%2"/>
      <w:lvlJc w:val="left"/>
      <w:pPr>
        <w:ind w:left="544" w:hanging="544"/>
      </w:pPr>
      <w:rPr>
        <w:rFonts w:hint="default"/>
      </w:rPr>
    </w:lvl>
    <w:lvl w:ilvl="2">
      <w:start w:val="1"/>
      <w:numFmt w:val="decimal"/>
      <w:lvlText w:val="%1.%2.%3"/>
      <w:lvlJc w:val="left"/>
      <w:pPr>
        <w:ind w:left="726" w:hanging="726"/>
      </w:pPr>
      <w:rPr>
        <w:rFonts w:hint="default"/>
      </w:rPr>
    </w:lvl>
    <w:lvl w:ilvl="3">
      <w:start w:val="1"/>
      <w:numFmt w:val="decimal"/>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6" w15:restartNumberingAfterBreak="0">
    <w:nsid w:val="20103DD9"/>
    <w:multiLevelType w:val="multilevel"/>
    <w:tmpl w:val="ED5EF8CC"/>
    <w:lvl w:ilvl="0">
      <w:start w:val="1"/>
      <w:numFmt w:val="decimal"/>
      <w:lvlText w:val="%1."/>
      <w:lvlJc w:val="left"/>
      <w:pPr>
        <w:ind w:left="360" w:hanging="360"/>
      </w:pPr>
      <w:rPr>
        <w:rFonts w:hint="default"/>
      </w:rPr>
    </w:lvl>
    <w:lvl w:ilvl="1">
      <w:start w:val="4"/>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1800" w:hanging="1800"/>
      </w:pPr>
      <w:rPr>
        <w:rFonts w:cstheme="minorBidi" w:hint="default"/>
      </w:rPr>
    </w:lvl>
  </w:abstractNum>
  <w:abstractNum w:abstractNumId="17"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8"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9" w15:restartNumberingAfterBreak="0">
    <w:nsid w:val="2B1620F0"/>
    <w:multiLevelType w:val="hybridMultilevel"/>
    <w:tmpl w:val="57107804"/>
    <w:lvl w:ilvl="0" w:tplc="9706314A">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0" w15:restartNumberingAfterBreak="0">
    <w:nsid w:val="2C352F91"/>
    <w:multiLevelType w:val="hybridMultilevel"/>
    <w:tmpl w:val="F4D8C652"/>
    <w:lvl w:ilvl="0" w:tplc="B2945954">
      <w:start w:val="1"/>
      <w:numFmt w:val="upperRoman"/>
      <w:lvlText w:val="%1."/>
      <w:lvlJc w:val="left"/>
      <w:pPr>
        <w:ind w:left="1080" w:hanging="72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1"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2" w15:restartNumberingAfterBreak="0">
    <w:nsid w:val="382931CE"/>
    <w:multiLevelType w:val="hybridMultilevel"/>
    <w:tmpl w:val="F2D4450E"/>
    <w:lvl w:ilvl="0" w:tplc="2000000F">
      <w:start w:val="1"/>
      <w:numFmt w:val="decimal"/>
      <w:lvlText w:val="%1."/>
      <w:lvlJc w:val="left"/>
      <w:pPr>
        <w:ind w:left="5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start w:val="1"/>
      <w:numFmt w:val="bullet"/>
      <w:lvlText w:val=""/>
      <w:lvlJc w:val="left"/>
      <w:pPr>
        <w:ind w:left="5760" w:hanging="360"/>
      </w:pPr>
      <w:rPr>
        <w:rFonts w:ascii="Symbol" w:hAnsi="Symbol"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E934C89"/>
    <w:multiLevelType w:val="hybridMultilevel"/>
    <w:tmpl w:val="BA9C7362"/>
    <w:lvl w:ilvl="0" w:tplc="1E9E1B3A">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3E9B7043"/>
    <w:multiLevelType w:val="hybridMultilevel"/>
    <w:tmpl w:val="1D56D6A4"/>
    <w:lvl w:ilvl="0" w:tplc="8A56849E">
      <w:numFmt w:val="bullet"/>
      <w:lvlText w:val="-"/>
      <w:lvlJc w:val="left"/>
      <w:pPr>
        <w:ind w:left="1440" w:hanging="360"/>
      </w:pPr>
      <w:rPr>
        <w:rFonts w:ascii="Arial" w:eastAsia="Times New Roman" w:hAnsi="Arial" w:cs="Arial" w:hint="default"/>
      </w:rPr>
    </w:lvl>
    <w:lvl w:ilvl="1" w:tplc="08100003" w:tentative="1">
      <w:start w:val="1"/>
      <w:numFmt w:val="bullet"/>
      <w:lvlText w:val="o"/>
      <w:lvlJc w:val="left"/>
      <w:pPr>
        <w:ind w:left="2160" w:hanging="360"/>
      </w:pPr>
      <w:rPr>
        <w:rFonts w:ascii="Courier New" w:hAnsi="Courier New" w:cs="Courier New" w:hint="default"/>
      </w:rPr>
    </w:lvl>
    <w:lvl w:ilvl="2" w:tplc="08100005" w:tentative="1">
      <w:start w:val="1"/>
      <w:numFmt w:val="bullet"/>
      <w:lvlText w:val=""/>
      <w:lvlJc w:val="left"/>
      <w:pPr>
        <w:ind w:left="2880" w:hanging="360"/>
      </w:pPr>
      <w:rPr>
        <w:rFonts w:ascii="Wingdings" w:hAnsi="Wingdings" w:hint="default"/>
      </w:rPr>
    </w:lvl>
    <w:lvl w:ilvl="3" w:tplc="08100001" w:tentative="1">
      <w:start w:val="1"/>
      <w:numFmt w:val="bullet"/>
      <w:lvlText w:val=""/>
      <w:lvlJc w:val="left"/>
      <w:pPr>
        <w:ind w:left="3600" w:hanging="360"/>
      </w:pPr>
      <w:rPr>
        <w:rFonts w:ascii="Symbol" w:hAnsi="Symbol" w:hint="default"/>
      </w:rPr>
    </w:lvl>
    <w:lvl w:ilvl="4" w:tplc="08100003" w:tentative="1">
      <w:start w:val="1"/>
      <w:numFmt w:val="bullet"/>
      <w:lvlText w:val="o"/>
      <w:lvlJc w:val="left"/>
      <w:pPr>
        <w:ind w:left="4320" w:hanging="360"/>
      </w:pPr>
      <w:rPr>
        <w:rFonts w:ascii="Courier New" w:hAnsi="Courier New" w:cs="Courier New" w:hint="default"/>
      </w:rPr>
    </w:lvl>
    <w:lvl w:ilvl="5" w:tplc="08100005" w:tentative="1">
      <w:start w:val="1"/>
      <w:numFmt w:val="bullet"/>
      <w:lvlText w:val=""/>
      <w:lvlJc w:val="left"/>
      <w:pPr>
        <w:ind w:left="5040" w:hanging="360"/>
      </w:pPr>
      <w:rPr>
        <w:rFonts w:ascii="Wingdings" w:hAnsi="Wingdings" w:hint="default"/>
      </w:rPr>
    </w:lvl>
    <w:lvl w:ilvl="6" w:tplc="08100001" w:tentative="1">
      <w:start w:val="1"/>
      <w:numFmt w:val="bullet"/>
      <w:lvlText w:val=""/>
      <w:lvlJc w:val="left"/>
      <w:pPr>
        <w:ind w:left="5760" w:hanging="360"/>
      </w:pPr>
      <w:rPr>
        <w:rFonts w:ascii="Symbol" w:hAnsi="Symbol" w:hint="default"/>
      </w:rPr>
    </w:lvl>
    <w:lvl w:ilvl="7" w:tplc="08100003" w:tentative="1">
      <w:start w:val="1"/>
      <w:numFmt w:val="bullet"/>
      <w:lvlText w:val="o"/>
      <w:lvlJc w:val="left"/>
      <w:pPr>
        <w:ind w:left="6480" w:hanging="360"/>
      </w:pPr>
      <w:rPr>
        <w:rFonts w:ascii="Courier New" w:hAnsi="Courier New" w:cs="Courier New" w:hint="default"/>
      </w:rPr>
    </w:lvl>
    <w:lvl w:ilvl="8" w:tplc="08100005" w:tentative="1">
      <w:start w:val="1"/>
      <w:numFmt w:val="bullet"/>
      <w:lvlText w:val=""/>
      <w:lvlJc w:val="left"/>
      <w:pPr>
        <w:ind w:left="7200" w:hanging="360"/>
      </w:pPr>
      <w:rPr>
        <w:rFonts w:ascii="Wingdings" w:hAnsi="Wingdings" w:hint="default"/>
      </w:rPr>
    </w:lvl>
  </w:abstractNum>
  <w:abstractNum w:abstractNumId="25" w15:restartNumberingAfterBreak="0">
    <w:nsid w:val="43C64E9E"/>
    <w:multiLevelType w:val="hybridMultilevel"/>
    <w:tmpl w:val="37EA8088"/>
    <w:lvl w:ilvl="0" w:tplc="30A69B2A">
      <w:numFmt w:val="bullet"/>
      <w:lvlText w:val="-"/>
      <w:lvlJc w:val="left"/>
      <w:pPr>
        <w:ind w:left="1440" w:hanging="360"/>
      </w:pPr>
      <w:rPr>
        <w:rFonts w:ascii="Arial" w:eastAsia="Times New Roman" w:hAnsi="Arial" w:cs="Arial" w:hint="default"/>
      </w:rPr>
    </w:lvl>
    <w:lvl w:ilvl="1" w:tplc="08100003" w:tentative="1">
      <w:start w:val="1"/>
      <w:numFmt w:val="bullet"/>
      <w:lvlText w:val="o"/>
      <w:lvlJc w:val="left"/>
      <w:pPr>
        <w:ind w:left="2160" w:hanging="360"/>
      </w:pPr>
      <w:rPr>
        <w:rFonts w:ascii="Courier New" w:hAnsi="Courier New" w:cs="Courier New" w:hint="default"/>
      </w:rPr>
    </w:lvl>
    <w:lvl w:ilvl="2" w:tplc="08100005" w:tentative="1">
      <w:start w:val="1"/>
      <w:numFmt w:val="bullet"/>
      <w:lvlText w:val=""/>
      <w:lvlJc w:val="left"/>
      <w:pPr>
        <w:ind w:left="2880" w:hanging="360"/>
      </w:pPr>
      <w:rPr>
        <w:rFonts w:ascii="Wingdings" w:hAnsi="Wingdings" w:hint="default"/>
      </w:rPr>
    </w:lvl>
    <w:lvl w:ilvl="3" w:tplc="08100001" w:tentative="1">
      <w:start w:val="1"/>
      <w:numFmt w:val="bullet"/>
      <w:lvlText w:val=""/>
      <w:lvlJc w:val="left"/>
      <w:pPr>
        <w:ind w:left="3600" w:hanging="360"/>
      </w:pPr>
      <w:rPr>
        <w:rFonts w:ascii="Symbol" w:hAnsi="Symbol" w:hint="default"/>
      </w:rPr>
    </w:lvl>
    <w:lvl w:ilvl="4" w:tplc="08100003" w:tentative="1">
      <w:start w:val="1"/>
      <w:numFmt w:val="bullet"/>
      <w:lvlText w:val="o"/>
      <w:lvlJc w:val="left"/>
      <w:pPr>
        <w:ind w:left="4320" w:hanging="360"/>
      </w:pPr>
      <w:rPr>
        <w:rFonts w:ascii="Courier New" w:hAnsi="Courier New" w:cs="Courier New" w:hint="default"/>
      </w:rPr>
    </w:lvl>
    <w:lvl w:ilvl="5" w:tplc="08100005" w:tentative="1">
      <w:start w:val="1"/>
      <w:numFmt w:val="bullet"/>
      <w:lvlText w:val=""/>
      <w:lvlJc w:val="left"/>
      <w:pPr>
        <w:ind w:left="5040" w:hanging="360"/>
      </w:pPr>
      <w:rPr>
        <w:rFonts w:ascii="Wingdings" w:hAnsi="Wingdings" w:hint="default"/>
      </w:rPr>
    </w:lvl>
    <w:lvl w:ilvl="6" w:tplc="08100001" w:tentative="1">
      <w:start w:val="1"/>
      <w:numFmt w:val="bullet"/>
      <w:lvlText w:val=""/>
      <w:lvlJc w:val="left"/>
      <w:pPr>
        <w:ind w:left="5760" w:hanging="360"/>
      </w:pPr>
      <w:rPr>
        <w:rFonts w:ascii="Symbol" w:hAnsi="Symbol" w:hint="default"/>
      </w:rPr>
    </w:lvl>
    <w:lvl w:ilvl="7" w:tplc="08100003" w:tentative="1">
      <w:start w:val="1"/>
      <w:numFmt w:val="bullet"/>
      <w:lvlText w:val="o"/>
      <w:lvlJc w:val="left"/>
      <w:pPr>
        <w:ind w:left="6480" w:hanging="360"/>
      </w:pPr>
      <w:rPr>
        <w:rFonts w:ascii="Courier New" w:hAnsi="Courier New" w:cs="Courier New" w:hint="default"/>
      </w:rPr>
    </w:lvl>
    <w:lvl w:ilvl="8" w:tplc="08100005" w:tentative="1">
      <w:start w:val="1"/>
      <w:numFmt w:val="bullet"/>
      <w:lvlText w:val=""/>
      <w:lvlJc w:val="left"/>
      <w:pPr>
        <w:ind w:left="7200" w:hanging="360"/>
      </w:pPr>
      <w:rPr>
        <w:rFonts w:ascii="Wingdings" w:hAnsi="Wingdings" w:hint="default"/>
      </w:rPr>
    </w:lvl>
  </w:abstractNum>
  <w:abstractNum w:abstractNumId="26" w15:restartNumberingAfterBreak="0">
    <w:nsid w:val="444A068F"/>
    <w:multiLevelType w:val="hybridMultilevel"/>
    <w:tmpl w:val="2B86088E"/>
    <w:lvl w:ilvl="0" w:tplc="ED0A279E">
      <w:numFmt w:val="bullet"/>
      <w:lvlText w:val="-"/>
      <w:lvlJc w:val="left"/>
      <w:pPr>
        <w:ind w:left="1440" w:hanging="360"/>
      </w:pPr>
      <w:rPr>
        <w:rFonts w:ascii="Arial" w:eastAsia="Times New Roman" w:hAnsi="Arial" w:cs="Arial" w:hint="default"/>
      </w:rPr>
    </w:lvl>
    <w:lvl w:ilvl="1" w:tplc="08100003" w:tentative="1">
      <w:start w:val="1"/>
      <w:numFmt w:val="bullet"/>
      <w:lvlText w:val="o"/>
      <w:lvlJc w:val="left"/>
      <w:pPr>
        <w:ind w:left="2160" w:hanging="360"/>
      </w:pPr>
      <w:rPr>
        <w:rFonts w:ascii="Courier New" w:hAnsi="Courier New" w:cs="Courier New" w:hint="default"/>
      </w:rPr>
    </w:lvl>
    <w:lvl w:ilvl="2" w:tplc="08100005" w:tentative="1">
      <w:start w:val="1"/>
      <w:numFmt w:val="bullet"/>
      <w:lvlText w:val=""/>
      <w:lvlJc w:val="left"/>
      <w:pPr>
        <w:ind w:left="2880" w:hanging="360"/>
      </w:pPr>
      <w:rPr>
        <w:rFonts w:ascii="Wingdings" w:hAnsi="Wingdings" w:hint="default"/>
      </w:rPr>
    </w:lvl>
    <w:lvl w:ilvl="3" w:tplc="08100001" w:tentative="1">
      <w:start w:val="1"/>
      <w:numFmt w:val="bullet"/>
      <w:lvlText w:val=""/>
      <w:lvlJc w:val="left"/>
      <w:pPr>
        <w:ind w:left="3600" w:hanging="360"/>
      </w:pPr>
      <w:rPr>
        <w:rFonts w:ascii="Symbol" w:hAnsi="Symbol" w:hint="default"/>
      </w:rPr>
    </w:lvl>
    <w:lvl w:ilvl="4" w:tplc="08100003" w:tentative="1">
      <w:start w:val="1"/>
      <w:numFmt w:val="bullet"/>
      <w:lvlText w:val="o"/>
      <w:lvlJc w:val="left"/>
      <w:pPr>
        <w:ind w:left="4320" w:hanging="360"/>
      </w:pPr>
      <w:rPr>
        <w:rFonts w:ascii="Courier New" w:hAnsi="Courier New" w:cs="Courier New" w:hint="default"/>
      </w:rPr>
    </w:lvl>
    <w:lvl w:ilvl="5" w:tplc="08100005" w:tentative="1">
      <w:start w:val="1"/>
      <w:numFmt w:val="bullet"/>
      <w:lvlText w:val=""/>
      <w:lvlJc w:val="left"/>
      <w:pPr>
        <w:ind w:left="5040" w:hanging="360"/>
      </w:pPr>
      <w:rPr>
        <w:rFonts w:ascii="Wingdings" w:hAnsi="Wingdings" w:hint="default"/>
      </w:rPr>
    </w:lvl>
    <w:lvl w:ilvl="6" w:tplc="08100001" w:tentative="1">
      <w:start w:val="1"/>
      <w:numFmt w:val="bullet"/>
      <w:lvlText w:val=""/>
      <w:lvlJc w:val="left"/>
      <w:pPr>
        <w:ind w:left="5760" w:hanging="360"/>
      </w:pPr>
      <w:rPr>
        <w:rFonts w:ascii="Symbol" w:hAnsi="Symbol" w:hint="default"/>
      </w:rPr>
    </w:lvl>
    <w:lvl w:ilvl="7" w:tplc="08100003" w:tentative="1">
      <w:start w:val="1"/>
      <w:numFmt w:val="bullet"/>
      <w:lvlText w:val="o"/>
      <w:lvlJc w:val="left"/>
      <w:pPr>
        <w:ind w:left="6480" w:hanging="360"/>
      </w:pPr>
      <w:rPr>
        <w:rFonts w:ascii="Courier New" w:hAnsi="Courier New" w:cs="Courier New" w:hint="default"/>
      </w:rPr>
    </w:lvl>
    <w:lvl w:ilvl="8" w:tplc="08100005" w:tentative="1">
      <w:start w:val="1"/>
      <w:numFmt w:val="bullet"/>
      <w:lvlText w:val=""/>
      <w:lvlJc w:val="left"/>
      <w:pPr>
        <w:ind w:left="7200" w:hanging="360"/>
      </w:pPr>
      <w:rPr>
        <w:rFonts w:ascii="Wingdings" w:hAnsi="Wingdings" w:hint="default"/>
      </w:rPr>
    </w:lvl>
  </w:abstractNum>
  <w:abstractNum w:abstractNumId="27" w15:restartNumberingAfterBreak="0">
    <w:nsid w:val="44E4171E"/>
    <w:multiLevelType w:val="hybridMultilevel"/>
    <w:tmpl w:val="86088168"/>
    <w:lvl w:ilvl="0" w:tplc="EA9E3FF0">
      <w:start w:val="1"/>
      <w:numFmt w:val="decimal"/>
      <w:lvlText w:val="%1."/>
      <w:lvlJc w:val="left"/>
      <w:pPr>
        <w:ind w:left="1428" w:hanging="360"/>
      </w:pPr>
      <w:rPr>
        <w:rFonts w:hint="default"/>
        <w:b/>
      </w:rPr>
    </w:lvl>
    <w:lvl w:ilvl="1" w:tplc="08100019" w:tentative="1">
      <w:start w:val="1"/>
      <w:numFmt w:val="lowerLetter"/>
      <w:lvlText w:val="%2."/>
      <w:lvlJc w:val="left"/>
      <w:pPr>
        <w:ind w:left="2148" w:hanging="360"/>
      </w:pPr>
    </w:lvl>
    <w:lvl w:ilvl="2" w:tplc="0810001B" w:tentative="1">
      <w:start w:val="1"/>
      <w:numFmt w:val="lowerRoman"/>
      <w:lvlText w:val="%3."/>
      <w:lvlJc w:val="right"/>
      <w:pPr>
        <w:ind w:left="2868" w:hanging="180"/>
      </w:pPr>
    </w:lvl>
    <w:lvl w:ilvl="3" w:tplc="0810000F" w:tentative="1">
      <w:start w:val="1"/>
      <w:numFmt w:val="decimal"/>
      <w:lvlText w:val="%4."/>
      <w:lvlJc w:val="left"/>
      <w:pPr>
        <w:ind w:left="3588" w:hanging="360"/>
      </w:pPr>
    </w:lvl>
    <w:lvl w:ilvl="4" w:tplc="08100019" w:tentative="1">
      <w:start w:val="1"/>
      <w:numFmt w:val="lowerLetter"/>
      <w:lvlText w:val="%5."/>
      <w:lvlJc w:val="left"/>
      <w:pPr>
        <w:ind w:left="4308" w:hanging="360"/>
      </w:pPr>
    </w:lvl>
    <w:lvl w:ilvl="5" w:tplc="0810001B" w:tentative="1">
      <w:start w:val="1"/>
      <w:numFmt w:val="lowerRoman"/>
      <w:lvlText w:val="%6."/>
      <w:lvlJc w:val="right"/>
      <w:pPr>
        <w:ind w:left="5028" w:hanging="180"/>
      </w:pPr>
    </w:lvl>
    <w:lvl w:ilvl="6" w:tplc="0810000F" w:tentative="1">
      <w:start w:val="1"/>
      <w:numFmt w:val="decimal"/>
      <w:lvlText w:val="%7."/>
      <w:lvlJc w:val="left"/>
      <w:pPr>
        <w:ind w:left="5748" w:hanging="360"/>
      </w:pPr>
    </w:lvl>
    <w:lvl w:ilvl="7" w:tplc="08100019" w:tentative="1">
      <w:start w:val="1"/>
      <w:numFmt w:val="lowerLetter"/>
      <w:lvlText w:val="%8."/>
      <w:lvlJc w:val="left"/>
      <w:pPr>
        <w:ind w:left="6468" w:hanging="360"/>
      </w:pPr>
    </w:lvl>
    <w:lvl w:ilvl="8" w:tplc="0810001B" w:tentative="1">
      <w:start w:val="1"/>
      <w:numFmt w:val="lowerRoman"/>
      <w:lvlText w:val="%9."/>
      <w:lvlJc w:val="right"/>
      <w:pPr>
        <w:ind w:left="7188" w:hanging="180"/>
      </w:pPr>
    </w:lvl>
  </w:abstractNum>
  <w:abstractNum w:abstractNumId="28" w15:restartNumberingAfterBreak="0">
    <w:nsid w:val="48C87670"/>
    <w:multiLevelType w:val="hybridMultilevel"/>
    <w:tmpl w:val="5C2457A6"/>
    <w:lvl w:ilvl="0" w:tplc="4AB6AA78">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9" w15:restartNumberingAfterBreak="0">
    <w:nsid w:val="49115CB3"/>
    <w:multiLevelType w:val="hybridMultilevel"/>
    <w:tmpl w:val="AABEAD84"/>
    <w:lvl w:ilvl="0" w:tplc="9856B380">
      <w:start w:val="1"/>
      <w:numFmt w:val="lowerLetter"/>
      <w:lvlText w:val="%1)"/>
      <w:lvlJc w:val="left"/>
      <w:pPr>
        <w:ind w:left="1440" w:hanging="360"/>
      </w:pPr>
      <w:rPr>
        <w:rFonts w:hint="default"/>
      </w:rPr>
    </w:lvl>
    <w:lvl w:ilvl="1" w:tplc="08100019" w:tentative="1">
      <w:start w:val="1"/>
      <w:numFmt w:val="lowerLetter"/>
      <w:lvlText w:val="%2."/>
      <w:lvlJc w:val="left"/>
      <w:pPr>
        <w:ind w:left="2160" w:hanging="360"/>
      </w:pPr>
    </w:lvl>
    <w:lvl w:ilvl="2" w:tplc="0810001B" w:tentative="1">
      <w:start w:val="1"/>
      <w:numFmt w:val="lowerRoman"/>
      <w:lvlText w:val="%3."/>
      <w:lvlJc w:val="right"/>
      <w:pPr>
        <w:ind w:left="2880" w:hanging="180"/>
      </w:pPr>
    </w:lvl>
    <w:lvl w:ilvl="3" w:tplc="0810000F" w:tentative="1">
      <w:start w:val="1"/>
      <w:numFmt w:val="decimal"/>
      <w:lvlText w:val="%4."/>
      <w:lvlJc w:val="left"/>
      <w:pPr>
        <w:ind w:left="3600" w:hanging="360"/>
      </w:pPr>
    </w:lvl>
    <w:lvl w:ilvl="4" w:tplc="08100019" w:tentative="1">
      <w:start w:val="1"/>
      <w:numFmt w:val="lowerLetter"/>
      <w:lvlText w:val="%5."/>
      <w:lvlJc w:val="left"/>
      <w:pPr>
        <w:ind w:left="4320" w:hanging="360"/>
      </w:pPr>
    </w:lvl>
    <w:lvl w:ilvl="5" w:tplc="0810001B" w:tentative="1">
      <w:start w:val="1"/>
      <w:numFmt w:val="lowerRoman"/>
      <w:lvlText w:val="%6."/>
      <w:lvlJc w:val="right"/>
      <w:pPr>
        <w:ind w:left="5040" w:hanging="180"/>
      </w:pPr>
    </w:lvl>
    <w:lvl w:ilvl="6" w:tplc="0810000F" w:tentative="1">
      <w:start w:val="1"/>
      <w:numFmt w:val="decimal"/>
      <w:lvlText w:val="%7."/>
      <w:lvlJc w:val="left"/>
      <w:pPr>
        <w:ind w:left="5760" w:hanging="360"/>
      </w:pPr>
    </w:lvl>
    <w:lvl w:ilvl="7" w:tplc="08100019" w:tentative="1">
      <w:start w:val="1"/>
      <w:numFmt w:val="lowerLetter"/>
      <w:lvlText w:val="%8."/>
      <w:lvlJc w:val="left"/>
      <w:pPr>
        <w:ind w:left="6480" w:hanging="360"/>
      </w:pPr>
    </w:lvl>
    <w:lvl w:ilvl="8" w:tplc="0810001B" w:tentative="1">
      <w:start w:val="1"/>
      <w:numFmt w:val="lowerRoman"/>
      <w:lvlText w:val="%9."/>
      <w:lvlJc w:val="right"/>
      <w:pPr>
        <w:ind w:left="7200" w:hanging="180"/>
      </w:pPr>
    </w:lvl>
  </w:abstractNum>
  <w:abstractNum w:abstractNumId="30"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31" w15:restartNumberingAfterBreak="0">
    <w:nsid w:val="4A4E4B7B"/>
    <w:multiLevelType w:val="hybridMultilevel"/>
    <w:tmpl w:val="158CF016"/>
    <w:lvl w:ilvl="0" w:tplc="A440938E">
      <w:numFmt w:val="bullet"/>
      <w:lvlText w:val="-"/>
      <w:lvlJc w:val="left"/>
      <w:pPr>
        <w:ind w:left="1068" w:hanging="360"/>
      </w:pPr>
      <w:rPr>
        <w:rFonts w:ascii="Arial" w:eastAsia="Times New Roman" w:hAnsi="Arial" w:cs="Arial" w:hint="default"/>
      </w:rPr>
    </w:lvl>
    <w:lvl w:ilvl="1" w:tplc="08100003" w:tentative="1">
      <w:start w:val="1"/>
      <w:numFmt w:val="bullet"/>
      <w:lvlText w:val="o"/>
      <w:lvlJc w:val="left"/>
      <w:pPr>
        <w:ind w:left="1788" w:hanging="360"/>
      </w:pPr>
      <w:rPr>
        <w:rFonts w:ascii="Courier New" w:hAnsi="Courier New" w:cs="Courier New" w:hint="default"/>
      </w:rPr>
    </w:lvl>
    <w:lvl w:ilvl="2" w:tplc="08100005" w:tentative="1">
      <w:start w:val="1"/>
      <w:numFmt w:val="bullet"/>
      <w:lvlText w:val=""/>
      <w:lvlJc w:val="left"/>
      <w:pPr>
        <w:ind w:left="2508" w:hanging="360"/>
      </w:pPr>
      <w:rPr>
        <w:rFonts w:ascii="Wingdings" w:hAnsi="Wingdings" w:hint="default"/>
      </w:rPr>
    </w:lvl>
    <w:lvl w:ilvl="3" w:tplc="08100001" w:tentative="1">
      <w:start w:val="1"/>
      <w:numFmt w:val="bullet"/>
      <w:lvlText w:val=""/>
      <w:lvlJc w:val="left"/>
      <w:pPr>
        <w:ind w:left="3228" w:hanging="360"/>
      </w:pPr>
      <w:rPr>
        <w:rFonts w:ascii="Symbol" w:hAnsi="Symbol" w:hint="default"/>
      </w:rPr>
    </w:lvl>
    <w:lvl w:ilvl="4" w:tplc="08100003" w:tentative="1">
      <w:start w:val="1"/>
      <w:numFmt w:val="bullet"/>
      <w:lvlText w:val="o"/>
      <w:lvlJc w:val="left"/>
      <w:pPr>
        <w:ind w:left="3948" w:hanging="360"/>
      </w:pPr>
      <w:rPr>
        <w:rFonts w:ascii="Courier New" w:hAnsi="Courier New" w:cs="Courier New" w:hint="default"/>
      </w:rPr>
    </w:lvl>
    <w:lvl w:ilvl="5" w:tplc="08100005" w:tentative="1">
      <w:start w:val="1"/>
      <w:numFmt w:val="bullet"/>
      <w:lvlText w:val=""/>
      <w:lvlJc w:val="left"/>
      <w:pPr>
        <w:ind w:left="4668" w:hanging="360"/>
      </w:pPr>
      <w:rPr>
        <w:rFonts w:ascii="Wingdings" w:hAnsi="Wingdings" w:hint="default"/>
      </w:rPr>
    </w:lvl>
    <w:lvl w:ilvl="6" w:tplc="08100001" w:tentative="1">
      <w:start w:val="1"/>
      <w:numFmt w:val="bullet"/>
      <w:lvlText w:val=""/>
      <w:lvlJc w:val="left"/>
      <w:pPr>
        <w:ind w:left="5388" w:hanging="360"/>
      </w:pPr>
      <w:rPr>
        <w:rFonts w:ascii="Symbol" w:hAnsi="Symbol" w:hint="default"/>
      </w:rPr>
    </w:lvl>
    <w:lvl w:ilvl="7" w:tplc="08100003" w:tentative="1">
      <w:start w:val="1"/>
      <w:numFmt w:val="bullet"/>
      <w:lvlText w:val="o"/>
      <w:lvlJc w:val="left"/>
      <w:pPr>
        <w:ind w:left="6108" w:hanging="360"/>
      </w:pPr>
      <w:rPr>
        <w:rFonts w:ascii="Courier New" w:hAnsi="Courier New" w:cs="Courier New" w:hint="default"/>
      </w:rPr>
    </w:lvl>
    <w:lvl w:ilvl="8" w:tplc="08100005" w:tentative="1">
      <w:start w:val="1"/>
      <w:numFmt w:val="bullet"/>
      <w:lvlText w:val=""/>
      <w:lvlJc w:val="left"/>
      <w:pPr>
        <w:ind w:left="6828" w:hanging="360"/>
      </w:pPr>
      <w:rPr>
        <w:rFonts w:ascii="Wingdings" w:hAnsi="Wingdings" w:hint="default"/>
      </w:rPr>
    </w:lvl>
  </w:abstractNum>
  <w:abstractNum w:abstractNumId="32" w15:restartNumberingAfterBreak="0">
    <w:nsid w:val="50477F77"/>
    <w:multiLevelType w:val="multilevel"/>
    <w:tmpl w:val="1E2A9A5E"/>
    <w:lvl w:ilvl="0">
      <w:start w:val="6"/>
      <w:numFmt w:val="decimal"/>
      <w:lvlText w:val="%1"/>
      <w:lvlJc w:val="left"/>
      <w:pPr>
        <w:ind w:left="360" w:hanging="360"/>
      </w:pPr>
      <w:rPr>
        <w:rFonts w:cstheme="minorBidi" w:hint="default"/>
      </w:rPr>
    </w:lvl>
    <w:lvl w:ilvl="1">
      <w:start w:val="4"/>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1800" w:hanging="1800"/>
      </w:pPr>
      <w:rPr>
        <w:rFonts w:cstheme="minorBidi" w:hint="default"/>
      </w:rPr>
    </w:lvl>
  </w:abstractNum>
  <w:abstractNum w:abstractNumId="33" w15:restartNumberingAfterBreak="0">
    <w:nsid w:val="5CBC74B3"/>
    <w:multiLevelType w:val="hybridMultilevel"/>
    <w:tmpl w:val="BB8EA900"/>
    <w:lvl w:ilvl="0" w:tplc="0D7E058A">
      <w:numFmt w:val="bullet"/>
      <w:lvlText w:val="-"/>
      <w:lvlJc w:val="left"/>
      <w:pPr>
        <w:ind w:left="1068" w:hanging="360"/>
      </w:pPr>
      <w:rPr>
        <w:rFonts w:ascii="Arial" w:eastAsia="Times New Roman" w:hAnsi="Arial" w:cs="Arial" w:hint="default"/>
      </w:rPr>
    </w:lvl>
    <w:lvl w:ilvl="1" w:tplc="08100003" w:tentative="1">
      <w:start w:val="1"/>
      <w:numFmt w:val="bullet"/>
      <w:lvlText w:val="o"/>
      <w:lvlJc w:val="left"/>
      <w:pPr>
        <w:ind w:left="1788" w:hanging="360"/>
      </w:pPr>
      <w:rPr>
        <w:rFonts w:ascii="Courier New" w:hAnsi="Courier New" w:cs="Courier New" w:hint="default"/>
      </w:rPr>
    </w:lvl>
    <w:lvl w:ilvl="2" w:tplc="08100005" w:tentative="1">
      <w:start w:val="1"/>
      <w:numFmt w:val="bullet"/>
      <w:lvlText w:val=""/>
      <w:lvlJc w:val="left"/>
      <w:pPr>
        <w:ind w:left="2508" w:hanging="360"/>
      </w:pPr>
      <w:rPr>
        <w:rFonts w:ascii="Wingdings" w:hAnsi="Wingdings" w:hint="default"/>
      </w:rPr>
    </w:lvl>
    <w:lvl w:ilvl="3" w:tplc="08100001" w:tentative="1">
      <w:start w:val="1"/>
      <w:numFmt w:val="bullet"/>
      <w:lvlText w:val=""/>
      <w:lvlJc w:val="left"/>
      <w:pPr>
        <w:ind w:left="3228" w:hanging="360"/>
      </w:pPr>
      <w:rPr>
        <w:rFonts w:ascii="Symbol" w:hAnsi="Symbol" w:hint="default"/>
      </w:rPr>
    </w:lvl>
    <w:lvl w:ilvl="4" w:tplc="08100003" w:tentative="1">
      <w:start w:val="1"/>
      <w:numFmt w:val="bullet"/>
      <w:lvlText w:val="o"/>
      <w:lvlJc w:val="left"/>
      <w:pPr>
        <w:ind w:left="3948" w:hanging="360"/>
      </w:pPr>
      <w:rPr>
        <w:rFonts w:ascii="Courier New" w:hAnsi="Courier New" w:cs="Courier New" w:hint="default"/>
      </w:rPr>
    </w:lvl>
    <w:lvl w:ilvl="5" w:tplc="08100005" w:tentative="1">
      <w:start w:val="1"/>
      <w:numFmt w:val="bullet"/>
      <w:lvlText w:val=""/>
      <w:lvlJc w:val="left"/>
      <w:pPr>
        <w:ind w:left="4668" w:hanging="360"/>
      </w:pPr>
      <w:rPr>
        <w:rFonts w:ascii="Wingdings" w:hAnsi="Wingdings" w:hint="default"/>
      </w:rPr>
    </w:lvl>
    <w:lvl w:ilvl="6" w:tplc="08100001" w:tentative="1">
      <w:start w:val="1"/>
      <w:numFmt w:val="bullet"/>
      <w:lvlText w:val=""/>
      <w:lvlJc w:val="left"/>
      <w:pPr>
        <w:ind w:left="5388" w:hanging="360"/>
      </w:pPr>
      <w:rPr>
        <w:rFonts w:ascii="Symbol" w:hAnsi="Symbol" w:hint="default"/>
      </w:rPr>
    </w:lvl>
    <w:lvl w:ilvl="7" w:tplc="08100003" w:tentative="1">
      <w:start w:val="1"/>
      <w:numFmt w:val="bullet"/>
      <w:lvlText w:val="o"/>
      <w:lvlJc w:val="left"/>
      <w:pPr>
        <w:ind w:left="6108" w:hanging="360"/>
      </w:pPr>
      <w:rPr>
        <w:rFonts w:ascii="Courier New" w:hAnsi="Courier New" w:cs="Courier New" w:hint="default"/>
      </w:rPr>
    </w:lvl>
    <w:lvl w:ilvl="8" w:tplc="08100005" w:tentative="1">
      <w:start w:val="1"/>
      <w:numFmt w:val="bullet"/>
      <w:lvlText w:val=""/>
      <w:lvlJc w:val="left"/>
      <w:pPr>
        <w:ind w:left="6828" w:hanging="360"/>
      </w:pPr>
      <w:rPr>
        <w:rFonts w:ascii="Wingdings" w:hAnsi="Wingdings" w:hint="default"/>
      </w:rPr>
    </w:lvl>
  </w:abstractNum>
  <w:abstractNum w:abstractNumId="34" w15:restartNumberingAfterBreak="0">
    <w:nsid w:val="5DD5005C"/>
    <w:multiLevelType w:val="hybridMultilevel"/>
    <w:tmpl w:val="CC686B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894524"/>
    <w:multiLevelType w:val="hybridMultilevel"/>
    <w:tmpl w:val="88849910"/>
    <w:lvl w:ilvl="0" w:tplc="1E9E1B3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66C26496"/>
    <w:multiLevelType w:val="hybridMultilevel"/>
    <w:tmpl w:val="3FEA7520"/>
    <w:lvl w:ilvl="0" w:tplc="2000000F">
      <w:start w:val="1"/>
      <w:numFmt w:val="decimal"/>
      <w:lvlText w:val="%1."/>
      <w:lvlJc w:val="left"/>
      <w:pPr>
        <w:ind w:left="8157" w:hanging="360"/>
      </w:pPr>
    </w:lvl>
    <w:lvl w:ilvl="1" w:tplc="20000019" w:tentative="1">
      <w:start w:val="1"/>
      <w:numFmt w:val="lowerLetter"/>
      <w:lvlText w:val="%2."/>
      <w:lvlJc w:val="left"/>
      <w:pPr>
        <w:ind w:left="8877" w:hanging="360"/>
      </w:pPr>
    </w:lvl>
    <w:lvl w:ilvl="2" w:tplc="2000001B" w:tentative="1">
      <w:start w:val="1"/>
      <w:numFmt w:val="lowerRoman"/>
      <w:lvlText w:val="%3."/>
      <w:lvlJc w:val="right"/>
      <w:pPr>
        <w:ind w:left="9597" w:hanging="180"/>
      </w:pPr>
    </w:lvl>
    <w:lvl w:ilvl="3" w:tplc="2000000F" w:tentative="1">
      <w:start w:val="1"/>
      <w:numFmt w:val="decimal"/>
      <w:lvlText w:val="%4."/>
      <w:lvlJc w:val="left"/>
      <w:pPr>
        <w:ind w:left="10317" w:hanging="360"/>
      </w:pPr>
    </w:lvl>
    <w:lvl w:ilvl="4" w:tplc="20000019" w:tentative="1">
      <w:start w:val="1"/>
      <w:numFmt w:val="lowerLetter"/>
      <w:lvlText w:val="%5."/>
      <w:lvlJc w:val="left"/>
      <w:pPr>
        <w:ind w:left="11037" w:hanging="360"/>
      </w:pPr>
    </w:lvl>
    <w:lvl w:ilvl="5" w:tplc="2000001B" w:tentative="1">
      <w:start w:val="1"/>
      <w:numFmt w:val="lowerRoman"/>
      <w:lvlText w:val="%6."/>
      <w:lvlJc w:val="right"/>
      <w:pPr>
        <w:ind w:left="11757" w:hanging="180"/>
      </w:pPr>
    </w:lvl>
    <w:lvl w:ilvl="6" w:tplc="2000000F" w:tentative="1">
      <w:start w:val="1"/>
      <w:numFmt w:val="decimal"/>
      <w:lvlText w:val="%7."/>
      <w:lvlJc w:val="left"/>
      <w:pPr>
        <w:ind w:left="12477" w:hanging="360"/>
      </w:pPr>
    </w:lvl>
    <w:lvl w:ilvl="7" w:tplc="20000019" w:tentative="1">
      <w:start w:val="1"/>
      <w:numFmt w:val="lowerLetter"/>
      <w:lvlText w:val="%8."/>
      <w:lvlJc w:val="left"/>
      <w:pPr>
        <w:ind w:left="13197" w:hanging="360"/>
      </w:pPr>
    </w:lvl>
    <w:lvl w:ilvl="8" w:tplc="2000001B" w:tentative="1">
      <w:start w:val="1"/>
      <w:numFmt w:val="lowerRoman"/>
      <w:lvlText w:val="%9."/>
      <w:lvlJc w:val="right"/>
      <w:pPr>
        <w:ind w:left="13917" w:hanging="180"/>
      </w:pPr>
    </w:lvl>
  </w:abstractNum>
  <w:abstractNum w:abstractNumId="37" w15:restartNumberingAfterBreak="0">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29B7CAF"/>
    <w:multiLevelType w:val="hybridMultilevel"/>
    <w:tmpl w:val="B69CFA26"/>
    <w:lvl w:ilvl="0" w:tplc="A9B88E3A">
      <w:start w:val="1"/>
      <w:numFmt w:val="decimal"/>
      <w:lvlText w:val="%1."/>
      <w:lvlJc w:val="left"/>
      <w:pPr>
        <w:ind w:left="720" w:hanging="360"/>
      </w:pPr>
      <w:rPr>
        <w:rFonts w:cstheme="minorBid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77D91EEB"/>
    <w:multiLevelType w:val="hybridMultilevel"/>
    <w:tmpl w:val="905E00A4"/>
    <w:lvl w:ilvl="0" w:tplc="CC2C4E1C">
      <w:numFmt w:val="bullet"/>
      <w:lvlText w:val=""/>
      <w:lvlJc w:val="left"/>
      <w:pPr>
        <w:ind w:left="520" w:hanging="360"/>
      </w:pPr>
      <w:rPr>
        <w:rFonts w:ascii="Symbol" w:eastAsia="MS Mincho"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8100001">
      <w:start w:val="1"/>
      <w:numFmt w:val="bullet"/>
      <w:lvlText w:val=""/>
      <w:lvlJc w:val="left"/>
      <w:pPr>
        <w:ind w:left="5760" w:hanging="360"/>
      </w:pPr>
      <w:rPr>
        <w:rFonts w:ascii="Symbol" w:hAnsi="Symbol"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37"/>
  </w:num>
  <w:num w:numId="2">
    <w:abstractNumId w:val="7"/>
  </w:num>
  <w:num w:numId="3">
    <w:abstractNumId w:val="1"/>
  </w:num>
  <w:num w:numId="4">
    <w:abstractNumId w:val="15"/>
  </w:num>
  <w:num w:numId="5">
    <w:abstractNumId w:val="10"/>
  </w:num>
  <w:num w:numId="6">
    <w:abstractNumId w:val="30"/>
  </w:num>
  <w:num w:numId="7">
    <w:abstractNumId w:val="21"/>
  </w:num>
  <w:num w:numId="8">
    <w:abstractNumId w:val="17"/>
  </w:num>
  <w:num w:numId="9">
    <w:abstractNumId w:val="18"/>
  </w:num>
  <w:num w:numId="10">
    <w:abstractNumId w:val="0"/>
  </w:num>
  <w:num w:numId="11">
    <w:abstractNumId w:val="4"/>
  </w:num>
  <w:num w:numId="12">
    <w:abstractNumId w:val="39"/>
  </w:num>
  <w:num w:numId="13">
    <w:abstractNumId w:val="11"/>
  </w:num>
  <w:num w:numId="14">
    <w:abstractNumId w:val="36"/>
  </w:num>
  <w:num w:numId="15">
    <w:abstractNumId w:val="38"/>
  </w:num>
  <w:num w:numId="16">
    <w:abstractNumId w:val="3"/>
  </w:num>
  <w:num w:numId="17">
    <w:abstractNumId w:val="35"/>
  </w:num>
  <w:num w:numId="18">
    <w:abstractNumId w:val="23"/>
  </w:num>
  <w:num w:numId="19">
    <w:abstractNumId w:val="34"/>
  </w:num>
  <w:num w:numId="20">
    <w:abstractNumId w:val="40"/>
  </w:num>
  <w:num w:numId="21">
    <w:abstractNumId w:val="20"/>
  </w:num>
  <w:num w:numId="22">
    <w:abstractNumId w:val="19"/>
  </w:num>
  <w:num w:numId="23">
    <w:abstractNumId w:val="8"/>
  </w:num>
  <w:num w:numId="24">
    <w:abstractNumId w:val="28"/>
  </w:num>
  <w:num w:numId="25">
    <w:abstractNumId w:val="14"/>
  </w:num>
  <w:num w:numId="26">
    <w:abstractNumId w:val="25"/>
  </w:num>
  <w:num w:numId="27">
    <w:abstractNumId w:val="26"/>
  </w:num>
  <w:num w:numId="28">
    <w:abstractNumId w:val="29"/>
  </w:num>
  <w:num w:numId="29">
    <w:abstractNumId w:val="9"/>
  </w:num>
  <w:num w:numId="30">
    <w:abstractNumId w:val="27"/>
  </w:num>
  <w:num w:numId="31">
    <w:abstractNumId w:val="33"/>
  </w:num>
  <w:num w:numId="32">
    <w:abstractNumId w:val="2"/>
  </w:num>
  <w:num w:numId="33">
    <w:abstractNumId w:val="31"/>
  </w:num>
  <w:num w:numId="34">
    <w:abstractNumId w:val="5"/>
  </w:num>
  <w:num w:numId="35">
    <w:abstractNumId w:val="24"/>
  </w:num>
  <w:num w:numId="36">
    <w:abstractNumId w:val="12"/>
  </w:num>
  <w:num w:numId="37">
    <w:abstractNumId w:val="22"/>
  </w:num>
  <w:num w:numId="38">
    <w:abstractNumId w:val="32"/>
  </w:num>
  <w:num w:numId="39">
    <w:abstractNumId w:val="6"/>
  </w:num>
  <w:num w:numId="40">
    <w:abstractNumId w:val="16"/>
  </w:num>
  <w:num w:numId="41">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trackedChanges" w:enforcement="0"/>
  <w:defaultTabStop w:val="709"/>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E8F"/>
    <w:rsid w:val="0000619C"/>
    <w:rsid w:val="00007CAC"/>
    <w:rsid w:val="00016451"/>
    <w:rsid w:val="00056BEE"/>
    <w:rsid w:val="000740F3"/>
    <w:rsid w:val="00076E70"/>
    <w:rsid w:val="000B454A"/>
    <w:rsid w:val="000C4C59"/>
    <w:rsid w:val="001574D7"/>
    <w:rsid w:val="0019434C"/>
    <w:rsid w:val="001A316A"/>
    <w:rsid w:val="001C1BDE"/>
    <w:rsid w:val="001C63E0"/>
    <w:rsid w:val="001D1B57"/>
    <w:rsid w:val="00231ABD"/>
    <w:rsid w:val="00256778"/>
    <w:rsid w:val="00260C8C"/>
    <w:rsid w:val="002677DC"/>
    <w:rsid w:val="00276941"/>
    <w:rsid w:val="002A1006"/>
    <w:rsid w:val="002E2298"/>
    <w:rsid w:val="002E5E40"/>
    <w:rsid w:val="00320E8F"/>
    <w:rsid w:val="00357DAC"/>
    <w:rsid w:val="00386E5D"/>
    <w:rsid w:val="003A5E13"/>
    <w:rsid w:val="003C404C"/>
    <w:rsid w:val="00400A1A"/>
    <w:rsid w:val="00405FB7"/>
    <w:rsid w:val="00407CC6"/>
    <w:rsid w:val="00424DD4"/>
    <w:rsid w:val="0042617D"/>
    <w:rsid w:val="004429D8"/>
    <w:rsid w:val="00450A4D"/>
    <w:rsid w:val="00481A9E"/>
    <w:rsid w:val="004C45BD"/>
    <w:rsid w:val="00512C97"/>
    <w:rsid w:val="00516DCA"/>
    <w:rsid w:val="0052425A"/>
    <w:rsid w:val="0053130F"/>
    <w:rsid w:val="0057435A"/>
    <w:rsid w:val="00586A8D"/>
    <w:rsid w:val="005E24B6"/>
    <w:rsid w:val="006065AF"/>
    <w:rsid w:val="0061326D"/>
    <w:rsid w:val="00624547"/>
    <w:rsid w:val="006A1EB8"/>
    <w:rsid w:val="006B631A"/>
    <w:rsid w:val="006C17AA"/>
    <w:rsid w:val="006C471B"/>
    <w:rsid w:val="006D7A3B"/>
    <w:rsid w:val="006E4AE2"/>
    <w:rsid w:val="00702913"/>
    <w:rsid w:val="00726088"/>
    <w:rsid w:val="007352D3"/>
    <w:rsid w:val="00744FC0"/>
    <w:rsid w:val="0076317E"/>
    <w:rsid w:val="007B3CE3"/>
    <w:rsid w:val="007B5462"/>
    <w:rsid w:val="007E4FB3"/>
    <w:rsid w:val="007E65C7"/>
    <w:rsid w:val="008034BD"/>
    <w:rsid w:val="0080380F"/>
    <w:rsid w:val="00805068"/>
    <w:rsid w:val="00816297"/>
    <w:rsid w:val="00843C09"/>
    <w:rsid w:val="00876352"/>
    <w:rsid w:val="00892579"/>
    <w:rsid w:val="008B2655"/>
    <w:rsid w:val="008B4137"/>
    <w:rsid w:val="008C767A"/>
    <w:rsid w:val="008E77C6"/>
    <w:rsid w:val="009770BB"/>
    <w:rsid w:val="009A3543"/>
    <w:rsid w:val="009C28BF"/>
    <w:rsid w:val="009E008D"/>
    <w:rsid w:val="00A26369"/>
    <w:rsid w:val="00A5465F"/>
    <w:rsid w:val="00A55E07"/>
    <w:rsid w:val="00A77678"/>
    <w:rsid w:val="00AA023B"/>
    <w:rsid w:val="00AC7A67"/>
    <w:rsid w:val="00AD017C"/>
    <w:rsid w:val="00AD6413"/>
    <w:rsid w:val="00B11EDD"/>
    <w:rsid w:val="00B717CF"/>
    <w:rsid w:val="00B860C2"/>
    <w:rsid w:val="00B8703B"/>
    <w:rsid w:val="00BC4C95"/>
    <w:rsid w:val="00BD5944"/>
    <w:rsid w:val="00C41A5F"/>
    <w:rsid w:val="00C533FF"/>
    <w:rsid w:val="00C574C4"/>
    <w:rsid w:val="00C717D0"/>
    <w:rsid w:val="00C83596"/>
    <w:rsid w:val="00CC59CF"/>
    <w:rsid w:val="00CD2B5B"/>
    <w:rsid w:val="00CE08EB"/>
    <w:rsid w:val="00CF6858"/>
    <w:rsid w:val="00D377B5"/>
    <w:rsid w:val="00D37A6D"/>
    <w:rsid w:val="00D37DD1"/>
    <w:rsid w:val="00D46BAF"/>
    <w:rsid w:val="00D92CC6"/>
    <w:rsid w:val="00D93B31"/>
    <w:rsid w:val="00DB632E"/>
    <w:rsid w:val="00DE5307"/>
    <w:rsid w:val="00DF2942"/>
    <w:rsid w:val="00E03E00"/>
    <w:rsid w:val="00E2418D"/>
    <w:rsid w:val="00E505DB"/>
    <w:rsid w:val="00E62868"/>
    <w:rsid w:val="00E765A9"/>
    <w:rsid w:val="00E96866"/>
    <w:rsid w:val="00EA6E70"/>
    <w:rsid w:val="00EB1163"/>
    <w:rsid w:val="00EC5775"/>
    <w:rsid w:val="00ED7B60"/>
    <w:rsid w:val="00EF6D1E"/>
    <w:rsid w:val="00F05640"/>
    <w:rsid w:val="00F209DB"/>
    <w:rsid w:val="00F925ED"/>
    <w:rsid w:val="00F9572C"/>
    <w:rsid w:val="00FA6F80"/>
    <w:rsid w:val="00FD5C94"/>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ED29A26"/>
  <w15:docId w15:val="{8B2CC272-3B03-469D-882E-B824E1005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CH" w:eastAsia="it-C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76E70"/>
    <w:pPr>
      <w:jc w:val="both"/>
    </w:pPr>
    <w:rPr>
      <w:rFonts w:ascii="Arial" w:hAnsi="Arial"/>
      <w:sz w:val="24"/>
      <w:szCs w:val="22"/>
      <w:lang w:eastAsia="en-US"/>
    </w:rPr>
  </w:style>
  <w:style w:type="paragraph" w:styleId="Titolo1">
    <w:name w:val="heading 1"/>
    <w:basedOn w:val="Normale"/>
    <w:next w:val="Normale"/>
    <w:link w:val="Titolo1Carattere"/>
    <w:autoRedefine/>
    <w:qFormat/>
    <w:rsid w:val="00F05640"/>
    <w:pPr>
      <w:keepNext/>
      <w:tabs>
        <w:tab w:val="left" w:pos="0"/>
        <w:tab w:val="left" w:pos="567"/>
      </w:tabs>
      <w:spacing w:after="120"/>
      <w:outlineLvl w:val="0"/>
    </w:pPr>
    <w:rPr>
      <w:b/>
      <w:caps/>
      <w:szCs w:val="24"/>
      <w:lang w:val="it-IT" w:eastAsia="it-IT"/>
    </w:rPr>
  </w:style>
  <w:style w:type="paragraph" w:styleId="Titolo2">
    <w:name w:val="heading 2"/>
    <w:basedOn w:val="Normale"/>
    <w:next w:val="Normale"/>
    <w:link w:val="Titolo2Carattere"/>
    <w:autoRedefine/>
    <w:qFormat/>
    <w:rsid w:val="001A316A"/>
    <w:pPr>
      <w:keepNext/>
      <w:tabs>
        <w:tab w:val="left" w:pos="709"/>
      </w:tabs>
      <w:spacing w:after="120"/>
      <w:outlineLvl w:val="1"/>
    </w:pPr>
    <w:rPr>
      <w:b/>
      <w:lang w:val="it-IT" w:eastAsia="it-IT"/>
    </w:rPr>
  </w:style>
  <w:style w:type="paragraph" w:styleId="Titolo3">
    <w:name w:val="heading 3"/>
    <w:basedOn w:val="Normale"/>
    <w:next w:val="Normale"/>
    <w:link w:val="Titolo3Carattere"/>
    <w:autoRedefine/>
    <w:qFormat/>
    <w:rsid w:val="00EC5775"/>
    <w:pPr>
      <w:keepNext/>
      <w:tabs>
        <w:tab w:val="left" w:pos="709"/>
      </w:tabs>
      <w:spacing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imes New Roman"/>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imes New Roman"/>
      <w:b/>
      <w:i/>
      <w:color w:val="243F60"/>
      <w:sz w:val="22"/>
    </w:rPr>
  </w:style>
  <w:style w:type="paragraph" w:styleId="Titolo6">
    <w:name w:val="heading 6"/>
    <w:basedOn w:val="Normale"/>
    <w:next w:val="Normale"/>
    <w:link w:val="Titolo6Carattere"/>
    <w:uiPriority w:val="9"/>
    <w:semiHidden/>
    <w:unhideWhenUsed/>
    <w:qFormat/>
    <w:rsid w:val="00320E8F"/>
    <w:pPr>
      <w:spacing w:before="240" w:after="60"/>
      <w:outlineLvl w:val="5"/>
    </w:pPr>
    <w:rPr>
      <w:rFonts w:eastAsia="Times New Roman"/>
      <w:b/>
      <w:color w:val="243F60"/>
      <w:sz w:val="20"/>
      <w:szCs w:val="20"/>
      <w:lang w:eastAsia="it-CH"/>
    </w:rPr>
  </w:style>
  <w:style w:type="paragraph" w:styleId="Titolo7">
    <w:name w:val="heading 7"/>
    <w:basedOn w:val="Normale"/>
    <w:next w:val="Normale"/>
    <w:link w:val="Titolo7Carattere"/>
    <w:uiPriority w:val="9"/>
    <w:semiHidden/>
    <w:unhideWhenUsed/>
    <w:qFormat/>
    <w:rsid w:val="00320E8F"/>
    <w:pPr>
      <w:spacing w:before="240" w:after="60"/>
      <w:outlineLvl w:val="6"/>
    </w:pPr>
    <w:rPr>
      <w:rFonts w:eastAsia="Times New Roman"/>
      <w:b/>
      <w:i/>
      <w:iCs/>
      <w:color w:val="243F60"/>
      <w:sz w:val="20"/>
      <w:szCs w:val="20"/>
      <w:lang w:eastAsia="it-CH"/>
    </w:rPr>
  </w:style>
  <w:style w:type="paragraph" w:styleId="Titolo8">
    <w:name w:val="heading 8"/>
    <w:basedOn w:val="Normale"/>
    <w:next w:val="Normale"/>
    <w:link w:val="Titolo8Carattere"/>
    <w:uiPriority w:val="9"/>
    <w:semiHidden/>
    <w:unhideWhenUsed/>
    <w:qFormat/>
    <w:rsid w:val="00320E8F"/>
    <w:pPr>
      <w:spacing w:before="240" w:after="60"/>
      <w:outlineLvl w:val="7"/>
    </w:pPr>
    <w:rPr>
      <w:rFonts w:eastAsia="Times New Roman"/>
      <w:color w:val="272727"/>
      <w:sz w:val="20"/>
      <w:szCs w:val="21"/>
      <w:lang w:eastAsia="it-CH"/>
    </w:rPr>
  </w:style>
  <w:style w:type="paragraph" w:styleId="Titolo9">
    <w:name w:val="heading 9"/>
    <w:basedOn w:val="Normale"/>
    <w:next w:val="Normale"/>
    <w:link w:val="Titolo9Carattere"/>
    <w:uiPriority w:val="9"/>
    <w:semiHidden/>
    <w:unhideWhenUsed/>
    <w:qFormat/>
    <w:rsid w:val="00320E8F"/>
    <w:pPr>
      <w:spacing w:before="240" w:after="60"/>
      <w:outlineLvl w:val="8"/>
    </w:pPr>
    <w:rPr>
      <w:rFonts w:eastAsia="Times New Roman"/>
      <w:i/>
      <w:iCs/>
      <w:color w:val="272727"/>
      <w:sz w:val="20"/>
      <w:szCs w:val="21"/>
      <w:lang w:eastAsia="it-CH"/>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aliases w:val="NotYetCustomized8649"/>
    <w:basedOn w:val="Normale"/>
    <w:next w:val="Normale"/>
    <w:autoRedefine/>
    <w:uiPriority w:val="39"/>
    <w:unhideWhenUsed/>
    <w:rsid w:val="0052425A"/>
    <w:pPr>
      <w:spacing w:before="240"/>
    </w:pPr>
    <w:rPr>
      <w:caps/>
      <w:szCs w:val="24"/>
      <w:lang w:val="it-IT"/>
    </w:rPr>
  </w:style>
  <w:style w:type="character" w:customStyle="1" w:styleId="Titolo1Carattere">
    <w:name w:val="Titolo 1 Carattere"/>
    <w:link w:val="Titolo1"/>
    <w:rsid w:val="00F05640"/>
    <w:rPr>
      <w:rFonts w:ascii="Arial" w:hAnsi="Arial"/>
      <w:b/>
      <w:caps/>
      <w:sz w:val="24"/>
      <w:szCs w:val="24"/>
      <w:lang w:val="it-IT" w:eastAsia="it-IT"/>
    </w:rPr>
  </w:style>
  <w:style w:type="character" w:customStyle="1" w:styleId="Titolo2Carattere">
    <w:name w:val="Titolo 2 Carattere"/>
    <w:link w:val="Titolo2"/>
    <w:rsid w:val="001A316A"/>
    <w:rPr>
      <w:rFonts w:ascii="Arial" w:hAnsi="Arial"/>
      <w:b/>
      <w:sz w:val="24"/>
      <w:szCs w:val="22"/>
      <w:lang w:val="it-IT" w:eastAsia="it-IT"/>
    </w:rPr>
  </w:style>
  <w:style w:type="character" w:customStyle="1" w:styleId="Titolo3Carattere">
    <w:name w:val="Titolo 3 Carattere"/>
    <w:link w:val="Titolo3"/>
    <w:rsid w:val="00EC5775"/>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aliases w:val="NotYetCustomized1834"/>
    <w:basedOn w:val="Normale"/>
    <w:next w:val="Normale"/>
    <w:autoRedefine/>
    <w:uiPriority w:val="39"/>
    <w:unhideWhenUsed/>
    <w:rsid w:val="0052425A"/>
    <w:pPr>
      <w:spacing w:before="60"/>
    </w:pPr>
    <w:rPr>
      <w:szCs w:val="24"/>
      <w:lang w:val="it-IT"/>
    </w:rPr>
  </w:style>
  <w:style w:type="paragraph" w:styleId="Sommario2">
    <w:name w:val="toc 2"/>
    <w:aliases w:val="NotYetCustomized3819"/>
    <w:basedOn w:val="Normale"/>
    <w:next w:val="Normale"/>
    <w:autoRedefine/>
    <w:uiPriority w:val="39"/>
    <w:unhideWhenUsed/>
    <w:rsid w:val="0052425A"/>
    <w:rPr>
      <w:szCs w:val="24"/>
      <w:lang w:val="it-IT"/>
    </w:rPr>
  </w:style>
  <w:style w:type="paragraph" w:styleId="Paragrafoelenco">
    <w:name w:val="List Paragraph"/>
    <w:basedOn w:val="Normale"/>
    <w:uiPriority w:val="34"/>
    <w:qFormat/>
    <w:rsid w:val="0052425A"/>
  </w:style>
  <w:style w:type="character" w:customStyle="1" w:styleId="Titolo4Carattere">
    <w:name w:val="Titolo 4 Carattere"/>
    <w:link w:val="Titolo4"/>
    <w:uiPriority w:val="9"/>
    <w:rsid w:val="00076E70"/>
    <w:rPr>
      <w:rFonts w:ascii="Arial" w:eastAsia="Times New Roman" w:hAnsi="Arial" w:cs="Times New Roman"/>
      <w:b/>
      <w:bCs/>
      <w:iCs/>
    </w:rPr>
  </w:style>
  <w:style w:type="character" w:customStyle="1" w:styleId="Titolo5Carattere">
    <w:name w:val="Titolo 5 Carattere"/>
    <w:link w:val="Titolo5"/>
    <w:uiPriority w:val="9"/>
    <w:rsid w:val="00076E70"/>
    <w:rPr>
      <w:rFonts w:ascii="Arial" w:eastAsia="Times New Roman" w:hAnsi="Arial" w:cs="Times New Roman"/>
      <w:b/>
      <w:i/>
      <w:color w:val="243F60"/>
    </w:rPr>
  </w:style>
  <w:style w:type="paragraph" w:styleId="Nessunaspaziatura">
    <w:name w:val="No Spacing"/>
    <w:link w:val="NessunaspaziaturaCarattere"/>
    <w:uiPriority w:val="1"/>
    <w:qFormat/>
    <w:rsid w:val="00076E70"/>
    <w:pPr>
      <w:jc w:val="both"/>
    </w:pPr>
    <w:rPr>
      <w:sz w:val="22"/>
      <w:szCs w:val="22"/>
      <w:lang w:eastAsia="en-US"/>
    </w:rPr>
  </w:style>
  <w:style w:type="paragraph" w:styleId="Intestazione">
    <w:name w:val="header"/>
    <w:aliases w:val="NotYetCustomized2561"/>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aliases w:val="NotYetCustomized2561 Carattere"/>
    <w:link w:val="Intestazione"/>
    <w:uiPriority w:val="99"/>
    <w:rsid w:val="008E77C6"/>
    <w:rPr>
      <w:rFonts w:ascii="Arial" w:hAnsi="Arial"/>
      <w:sz w:val="24"/>
    </w:rPr>
  </w:style>
  <w:style w:type="paragraph" w:styleId="Pidipagina">
    <w:name w:val="footer"/>
    <w:aliases w:val="NotYetCustomized8954"/>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aliases w:val="NotYetCustomized8954 Carattere"/>
    <w:link w:val="Pidipagina"/>
    <w:uiPriority w:val="99"/>
    <w:rsid w:val="008E77C6"/>
    <w:rPr>
      <w:rFonts w:ascii="Arial" w:hAnsi="Arial"/>
      <w:sz w:val="24"/>
    </w:rPr>
  </w:style>
  <w:style w:type="table" w:styleId="Grigliatabella">
    <w:name w:val="Table Grid"/>
    <w:basedOn w:val="Tabellanormale"/>
    <w:rsid w:val="00260C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szCs w:val="20"/>
      <w:lang w:val="it-IT" w:eastAsia="it-IT"/>
    </w:rPr>
  </w:style>
  <w:style w:type="character" w:customStyle="1" w:styleId="CorpotestoCarattere">
    <w:name w:val="Corpo testo Carattere"/>
    <w:link w:val="Corpotesto"/>
    <w:rsid w:val="001574D7"/>
    <w:rPr>
      <w:rFonts w:ascii="Arial" w:eastAsia="Times New Roman" w:hAnsi="Arial" w:cs="Times New Roman"/>
      <w:sz w:val="24"/>
      <w:szCs w:val="20"/>
      <w:lang w:val="it-IT" w:eastAsia="it-IT"/>
    </w:rPr>
  </w:style>
  <w:style w:type="paragraph" w:customStyle="1" w:styleId="Default">
    <w:name w:val="Default"/>
    <w:rsid w:val="006E4AE2"/>
    <w:pPr>
      <w:autoSpaceDE w:val="0"/>
      <w:autoSpaceDN w:val="0"/>
      <w:adjustRightInd w:val="0"/>
    </w:pPr>
    <w:rPr>
      <w:rFonts w:ascii="Arial" w:eastAsia="Times New Roman" w:hAnsi="Arial" w:cs="Arial"/>
      <w:color w:val="000000"/>
      <w:sz w:val="24"/>
      <w:szCs w:val="24"/>
    </w:rPr>
  </w:style>
  <w:style w:type="paragraph" w:styleId="Puntoelenco">
    <w:name w:val="List Bullet"/>
    <w:basedOn w:val="Normale"/>
    <w:uiPriority w:val="99"/>
    <w:unhideWhenUsed/>
    <w:rsid w:val="006E4AE2"/>
    <w:pPr>
      <w:widowControl w:val="0"/>
      <w:numPr>
        <w:numId w:val="3"/>
      </w:numPr>
      <w:contextualSpacing/>
    </w:pPr>
    <w:rPr>
      <w:rFonts w:eastAsia="Arial" w:cs="Arial"/>
      <w:color w:val="000000"/>
      <w:szCs w:val="24"/>
      <w:lang w:eastAsia="it-CH"/>
    </w:rPr>
  </w:style>
  <w:style w:type="paragraph" w:styleId="Testofumetto">
    <w:name w:val="Balloon Text"/>
    <w:basedOn w:val="Normale"/>
    <w:link w:val="TestofumettoCarattere"/>
    <w:uiPriority w:val="99"/>
    <w:semiHidden/>
    <w:unhideWhenUsed/>
    <w:rsid w:val="00B860C2"/>
    <w:rPr>
      <w:rFonts w:ascii="Tahoma" w:hAnsi="Tahoma" w:cs="Tahoma"/>
      <w:sz w:val="16"/>
      <w:szCs w:val="16"/>
    </w:rPr>
  </w:style>
  <w:style w:type="character" w:customStyle="1" w:styleId="TestofumettoCarattere">
    <w:name w:val="Testo fumetto Carattere"/>
    <w:link w:val="Testofumetto"/>
    <w:uiPriority w:val="99"/>
    <w:semiHidden/>
    <w:rsid w:val="00B860C2"/>
    <w:rPr>
      <w:rFonts w:ascii="Tahoma" w:hAnsi="Tahoma" w:cs="Tahoma"/>
      <w:sz w:val="16"/>
      <w:szCs w:val="16"/>
    </w:rPr>
  </w:style>
  <w:style w:type="paragraph" w:customStyle="1" w:styleId="Titolo61">
    <w:name w:val="Titolo 61"/>
    <w:basedOn w:val="Normale"/>
    <w:next w:val="Normale"/>
    <w:uiPriority w:val="9"/>
    <w:semiHidden/>
    <w:unhideWhenUsed/>
    <w:qFormat/>
    <w:rsid w:val="00320E8F"/>
    <w:pPr>
      <w:keepNext/>
      <w:keepLines/>
      <w:spacing w:before="40"/>
      <w:outlineLvl w:val="5"/>
    </w:pPr>
    <w:rPr>
      <w:rFonts w:eastAsia="Times New Roman"/>
      <w:b/>
      <w:color w:val="243F60"/>
      <w:sz w:val="22"/>
    </w:rPr>
  </w:style>
  <w:style w:type="paragraph" w:customStyle="1" w:styleId="Titolo71">
    <w:name w:val="Titolo 71"/>
    <w:basedOn w:val="Normale"/>
    <w:next w:val="Normale"/>
    <w:uiPriority w:val="9"/>
    <w:semiHidden/>
    <w:unhideWhenUsed/>
    <w:qFormat/>
    <w:rsid w:val="00320E8F"/>
    <w:pPr>
      <w:keepNext/>
      <w:keepLines/>
      <w:spacing w:before="40"/>
      <w:outlineLvl w:val="6"/>
    </w:pPr>
    <w:rPr>
      <w:rFonts w:eastAsia="Times New Roman"/>
      <w:b/>
      <w:i/>
      <w:iCs/>
      <w:color w:val="243F60"/>
      <w:sz w:val="22"/>
    </w:rPr>
  </w:style>
  <w:style w:type="paragraph" w:customStyle="1" w:styleId="Titolo81">
    <w:name w:val="Titolo 81"/>
    <w:basedOn w:val="Normale"/>
    <w:next w:val="Normale"/>
    <w:uiPriority w:val="9"/>
    <w:semiHidden/>
    <w:unhideWhenUsed/>
    <w:qFormat/>
    <w:rsid w:val="00320E8F"/>
    <w:pPr>
      <w:keepNext/>
      <w:keepLines/>
      <w:spacing w:before="40"/>
      <w:outlineLvl w:val="7"/>
    </w:pPr>
    <w:rPr>
      <w:rFonts w:eastAsia="Times New Roman"/>
      <w:color w:val="272727"/>
      <w:sz w:val="22"/>
      <w:szCs w:val="21"/>
    </w:rPr>
  </w:style>
  <w:style w:type="paragraph" w:customStyle="1" w:styleId="Titolo91">
    <w:name w:val="Titolo 91"/>
    <w:basedOn w:val="Normale"/>
    <w:next w:val="Normale"/>
    <w:uiPriority w:val="9"/>
    <w:semiHidden/>
    <w:unhideWhenUsed/>
    <w:qFormat/>
    <w:rsid w:val="00320E8F"/>
    <w:pPr>
      <w:keepNext/>
      <w:keepLines/>
      <w:spacing w:before="40"/>
      <w:outlineLvl w:val="8"/>
    </w:pPr>
    <w:rPr>
      <w:rFonts w:eastAsia="Times New Roman"/>
      <w:i/>
      <w:iCs/>
      <w:color w:val="272727"/>
      <w:sz w:val="22"/>
      <w:szCs w:val="21"/>
    </w:rPr>
  </w:style>
  <w:style w:type="numbering" w:customStyle="1" w:styleId="Nessunelenco1">
    <w:name w:val="Nessun elenco1"/>
    <w:next w:val="Nessunelenco"/>
    <w:uiPriority w:val="99"/>
    <w:semiHidden/>
    <w:unhideWhenUsed/>
    <w:rsid w:val="00320E8F"/>
  </w:style>
  <w:style w:type="paragraph" w:customStyle="1" w:styleId="Subject">
    <w:name w:val="Subject"/>
    <w:basedOn w:val="Normale"/>
    <w:next w:val="Normale"/>
    <w:link w:val="SubjectZchn"/>
    <w:rsid w:val="00320E8F"/>
    <w:pPr>
      <w:spacing w:before="80" w:after="240"/>
    </w:pPr>
    <w:rPr>
      <w:rFonts w:eastAsia="Arial"/>
      <w:b/>
      <w:sz w:val="22"/>
    </w:rPr>
  </w:style>
  <w:style w:type="paragraph" w:customStyle="1" w:styleId="NotYetCustomized21781">
    <w:name w:val="NotYetCustomized21781"/>
    <w:basedOn w:val="Normale"/>
    <w:next w:val="Normale"/>
    <w:uiPriority w:val="10"/>
    <w:qFormat/>
    <w:rsid w:val="00320E8F"/>
    <w:pPr>
      <w:jc w:val="left"/>
    </w:pPr>
    <w:rPr>
      <w:rFonts w:ascii="Calibri Light" w:eastAsia="Arial" w:hAnsi="Calibri Light"/>
      <w:b/>
      <w:sz w:val="32"/>
    </w:rPr>
  </w:style>
  <w:style w:type="character" w:customStyle="1" w:styleId="TitoloCarattere">
    <w:name w:val="Titolo Carattere"/>
    <w:link w:val="Titolo"/>
    <w:uiPriority w:val="10"/>
    <w:rsid w:val="00320E8F"/>
    <w:rPr>
      <w:rFonts w:ascii="Calibri Light" w:hAnsi="Calibri Light"/>
      <w:b/>
      <w:sz w:val="32"/>
      <w:lang w:val="it-CH"/>
    </w:rPr>
  </w:style>
  <w:style w:type="paragraph" w:customStyle="1" w:styleId="NotYetCustomized33351">
    <w:name w:val="NotYetCustomized33351"/>
    <w:basedOn w:val="Normale"/>
    <w:next w:val="Normale"/>
    <w:uiPriority w:val="11"/>
    <w:qFormat/>
    <w:rsid w:val="00320E8F"/>
    <w:pPr>
      <w:spacing w:after="200"/>
      <w:jc w:val="left"/>
    </w:pPr>
    <w:rPr>
      <w:rFonts w:ascii="Calibri Light" w:eastAsia="Arial" w:hAnsi="Calibri Light"/>
      <w:b/>
      <w:sz w:val="22"/>
    </w:rPr>
  </w:style>
  <w:style w:type="character" w:customStyle="1" w:styleId="SottotitoloCarattere">
    <w:name w:val="Sottotitolo Carattere"/>
    <w:link w:val="Sottotitolo"/>
    <w:uiPriority w:val="11"/>
    <w:rsid w:val="00320E8F"/>
    <w:rPr>
      <w:rFonts w:ascii="Calibri Light" w:hAnsi="Calibri Light"/>
      <w:b/>
      <w:sz w:val="24"/>
      <w:lang w:val="it-CH"/>
    </w:rPr>
  </w:style>
  <w:style w:type="paragraph" w:customStyle="1" w:styleId="ListAlphabetic">
    <w:name w:val="ListAlphabetic"/>
    <w:basedOn w:val="Normale"/>
    <w:rsid w:val="00320E8F"/>
    <w:pPr>
      <w:numPr>
        <w:numId w:val="6"/>
      </w:numPr>
      <w:contextualSpacing/>
    </w:pPr>
    <w:rPr>
      <w:rFonts w:eastAsia="Arial"/>
      <w:sz w:val="22"/>
    </w:rPr>
  </w:style>
  <w:style w:type="paragraph" w:customStyle="1" w:styleId="ListNumeric">
    <w:name w:val="ListNumeric"/>
    <w:basedOn w:val="Normale"/>
    <w:rsid w:val="00320E8F"/>
    <w:pPr>
      <w:numPr>
        <w:numId w:val="9"/>
      </w:numPr>
      <w:contextualSpacing/>
    </w:pPr>
    <w:rPr>
      <w:rFonts w:eastAsia="Arial"/>
      <w:sz w:val="22"/>
    </w:rPr>
  </w:style>
  <w:style w:type="paragraph" w:customStyle="1" w:styleId="ListLine">
    <w:name w:val="ListLine"/>
    <w:basedOn w:val="Normale"/>
    <w:rsid w:val="00320E8F"/>
    <w:pPr>
      <w:numPr>
        <w:numId w:val="8"/>
      </w:numPr>
      <w:contextualSpacing/>
    </w:pPr>
    <w:rPr>
      <w:rFonts w:eastAsia="Arial"/>
      <w:sz w:val="22"/>
    </w:rPr>
  </w:style>
  <w:style w:type="paragraph" w:customStyle="1" w:styleId="ListBullet">
    <w:name w:val="ListBullet"/>
    <w:basedOn w:val="Normale"/>
    <w:rsid w:val="00320E8F"/>
    <w:pPr>
      <w:numPr>
        <w:numId w:val="7"/>
      </w:numPr>
      <w:contextualSpacing/>
    </w:pPr>
    <w:rPr>
      <w:rFonts w:eastAsia="Arial"/>
      <w:sz w:val="22"/>
    </w:rPr>
  </w:style>
  <w:style w:type="paragraph" w:customStyle="1" w:styleId="Transmission">
    <w:name w:val="Transmission"/>
    <w:aliases w:val="NotYetCustomized1228"/>
    <w:basedOn w:val="Nessunaspaziatura"/>
    <w:link w:val="TransmissionZchn"/>
    <w:rsid w:val="00320E8F"/>
    <w:pPr>
      <w:suppressAutoHyphens/>
      <w:spacing w:after="120"/>
    </w:pPr>
    <w:rPr>
      <w:rFonts w:ascii="Arial" w:eastAsia="Arial" w:hAnsi="Arial"/>
      <w:b/>
      <w:lang w:val="de-CH"/>
    </w:rPr>
  </w:style>
  <w:style w:type="paragraph" w:customStyle="1" w:styleId="EnclosuresBox">
    <w:name w:val="EnclosuresBox"/>
    <w:basedOn w:val="Nessunaspaziatura"/>
    <w:rsid w:val="00320E8F"/>
    <w:pPr>
      <w:tabs>
        <w:tab w:val="left" w:pos="284"/>
      </w:tabs>
      <w:suppressAutoHyphens/>
    </w:pPr>
    <w:rPr>
      <w:rFonts w:ascii="Arial" w:eastAsia="Arial" w:hAnsi="Arial"/>
      <w:lang w:val="de-CH"/>
    </w:rPr>
  </w:style>
  <w:style w:type="paragraph" w:customStyle="1" w:styleId="DraftText">
    <w:name w:val="DraftText"/>
    <w:rsid w:val="00320E8F"/>
    <w:pPr>
      <w:widowControl w:val="0"/>
      <w:suppressAutoHyphens/>
      <w:spacing w:line="216" w:lineRule="auto"/>
      <w:jc w:val="center"/>
    </w:pPr>
    <w:rPr>
      <w:rFonts w:ascii="Arial" w:eastAsia="Arial" w:hAnsi="Arial"/>
      <w:b/>
      <w:smallCaps/>
      <w:color w:val="E6E6E6"/>
      <w:sz w:val="300"/>
      <w:szCs w:val="22"/>
      <w:lang w:val="de-CH" w:eastAsia="en-US"/>
    </w:rPr>
  </w:style>
  <w:style w:type="paragraph" w:styleId="Titolosommario">
    <w:name w:val="TOC Heading"/>
    <w:aliases w:val="NotYetCustomized7842"/>
    <w:basedOn w:val="Titolo"/>
    <w:next w:val="Normale"/>
    <w:uiPriority w:val="39"/>
    <w:unhideWhenUsed/>
    <w:qFormat/>
    <w:rsid w:val="00320E8F"/>
    <w:pPr>
      <w:spacing w:before="0" w:after="0"/>
      <w:jc w:val="left"/>
      <w:outlineLvl w:val="9"/>
    </w:pPr>
    <w:rPr>
      <w:rFonts w:eastAsia="Arial"/>
      <w:szCs w:val="22"/>
      <w:lang w:eastAsia="en-US"/>
    </w:rPr>
  </w:style>
  <w:style w:type="paragraph" w:customStyle="1" w:styleId="InvisibleLine">
    <w:name w:val="InvisibleLine"/>
    <w:basedOn w:val="Nessunaspaziatura"/>
    <w:rsid w:val="00320E8F"/>
    <w:pPr>
      <w:suppressAutoHyphens/>
      <w:spacing w:line="14" w:lineRule="auto"/>
    </w:pPr>
    <w:rPr>
      <w:rFonts w:ascii="Arial" w:eastAsia="Arial" w:hAnsi="Arial"/>
      <w:sz w:val="2"/>
      <w:lang w:val="de-CH"/>
    </w:rPr>
  </w:style>
  <w:style w:type="paragraph" w:styleId="Testonotaapidipagina">
    <w:name w:val="footnote text"/>
    <w:aliases w:val="NotYetCustomized2879"/>
    <w:basedOn w:val="Nessunaspaziatura"/>
    <w:link w:val="TestonotaapidipaginaCarattere"/>
    <w:uiPriority w:val="99"/>
    <w:unhideWhenUsed/>
    <w:rsid w:val="00320E8F"/>
    <w:pPr>
      <w:suppressAutoHyphens/>
      <w:spacing w:after="60"/>
    </w:pPr>
    <w:rPr>
      <w:rFonts w:ascii="Arial" w:eastAsia="Arial" w:hAnsi="Arial"/>
      <w:szCs w:val="20"/>
      <w:lang w:val="de-CH"/>
    </w:rPr>
  </w:style>
  <w:style w:type="character" w:customStyle="1" w:styleId="TestonotaapidipaginaCarattere">
    <w:name w:val="Testo nota a piè di pagina Carattere"/>
    <w:aliases w:val="NotYetCustomized2879 Carattere"/>
    <w:basedOn w:val="Carpredefinitoparagrafo"/>
    <w:link w:val="Testonotaapidipagina"/>
    <w:uiPriority w:val="99"/>
    <w:rsid w:val="00320E8F"/>
    <w:rPr>
      <w:rFonts w:ascii="Arial" w:eastAsia="Arial" w:hAnsi="Arial"/>
      <w:sz w:val="22"/>
      <w:lang w:val="de-CH" w:eastAsia="en-US"/>
    </w:rPr>
  </w:style>
  <w:style w:type="character" w:customStyle="1" w:styleId="NotYetCustomized09131">
    <w:name w:val="NotYetCustomized09131"/>
    <w:uiPriority w:val="20"/>
    <w:rsid w:val="00320E8F"/>
    <w:rPr>
      <w:b/>
      <w:i w:val="0"/>
      <w:iCs/>
      <w:color w:val="4F81BD"/>
    </w:rPr>
  </w:style>
  <w:style w:type="character" w:customStyle="1" w:styleId="Enfasidelicata1">
    <w:name w:val="Enfasi delicata1"/>
    <w:uiPriority w:val="19"/>
    <w:rsid w:val="00320E8F"/>
    <w:rPr>
      <w:i/>
      <w:iCs/>
      <w:color w:val="404040"/>
    </w:rPr>
  </w:style>
  <w:style w:type="character" w:customStyle="1" w:styleId="Enfasiintensa1">
    <w:name w:val="Enfasi intensa1"/>
    <w:uiPriority w:val="21"/>
    <w:rsid w:val="00320E8F"/>
    <w:rPr>
      <w:i/>
      <w:iCs/>
      <w:color w:val="4F81BD"/>
    </w:rPr>
  </w:style>
  <w:style w:type="paragraph" w:styleId="Formuladiapertura">
    <w:name w:val="Salutation"/>
    <w:aliases w:val="NotYetCustomized3018"/>
    <w:basedOn w:val="Normale"/>
    <w:next w:val="Normale"/>
    <w:link w:val="FormuladiaperturaCarattere"/>
    <w:uiPriority w:val="99"/>
    <w:unhideWhenUsed/>
    <w:rsid w:val="00320E8F"/>
    <w:pPr>
      <w:jc w:val="left"/>
    </w:pPr>
    <w:rPr>
      <w:rFonts w:eastAsia="Arial"/>
      <w:sz w:val="22"/>
    </w:rPr>
  </w:style>
  <w:style w:type="character" w:customStyle="1" w:styleId="FormuladiaperturaCarattere">
    <w:name w:val="Formula di apertura Carattere"/>
    <w:aliases w:val="NotYetCustomized3018 Carattere"/>
    <w:basedOn w:val="Carpredefinitoparagrafo"/>
    <w:link w:val="Formuladiapertura"/>
    <w:uiPriority w:val="99"/>
    <w:rsid w:val="00320E8F"/>
    <w:rPr>
      <w:rFonts w:ascii="Arial" w:eastAsia="Arial" w:hAnsi="Arial"/>
      <w:sz w:val="22"/>
      <w:szCs w:val="22"/>
      <w:lang w:eastAsia="en-US"/>
    </w:rPr>
  </w:style>
  <w:style w:type="character" w:styleId="Enfasigrassetto">
    <w:name w:val="Strong"/>
    <w:aliases w:val="NotYetCustomized1427"/>
    <w:uiPriority w:val="22"/>
    <w:rsid w:val="00320E8F"/>
    <w:rPr>
      <w:b/>
      <w:bCs/>
    </w:rPr>
  </w:style>
  <w:style w:type="paragraph" w:styleId="Formuladichiusura">
    <w:name w:val="Closing"/>
    <w:aliases w:val="NotYetCustomized2787"/>
    <w:basedOn w:val="Normale"/>
    <w:link w:val="FormuladichiusuraCarattere"/>
    <w:uiPriority w:val="99"/>
    <w:unhideWhenUsed/>
    <w:rsid w:val="00320E8F"/>
    <w:pPr>
      <w:jc w:val="left"/>
    </w:pPr>
    <w:rPr>
      <w:rFonts w:eastAsia="Arial"/>
      <w:sz w:val="22"/>
    </w:rPr>
  </w:style>
  <w:style w:type="character" w:customStyle="1" w:styleId="FormuladichiusuraCarattere">
    <w:name w:val="Formula di chiusura Carattere"/>
    <w:aliases w:val="NotYetCustomized2787 Carattere"/>
    <w:basedOn w:val="Carpredefinitoparagrafo"/>
    <w:link w:val="Formuladichiusura"/>
    <w:uiPriority w:val="99"/>
    <w:rsid w:val="00320E8F"/>
    <w:rPr>
      <w:rFonts w:ascii="Arial" w:eastAsia="Arial" w:hAnsi="Arial"/>
      <w:sz w:val="22"/>
      <w:szCs w:val="22"/>
      <w:lang w:eastAsia="en-US"/>
    </w:rPr>
  </w:style>
  <w:style w:type="character" w:styleId="Numeropagina">
    <w:name w:val="page number"/>
    <w:uiPriority w:val="99"/>
    <w:unhideWhenUsed/>
    <w:rsid w:val="00320E8F"/>
  </w:style>
  <w:style w:type="paragraph" w:styleId="Firma">
    <w:name w:val="Signature"/>
    <w:aliases w:val="NotYetCustomized3210"/>
    <w:basedOn w:val="Normale"/>
    <w:link w:val="FirmaCarattere"/>
    <w:uiPriority w:val="99"/>
    <w:unhideWhenUsed/>
    <w:rsid w:val="00320E8F"/>
    <w:rPr>
      <w:rFonts w:eastAsia="Arial"/>
      <w:sz w:val="22"/>
    </w:rPr>
  </w:style>
  <w:style w:type="character" w:customStyle="1" w:styleId="FirmaCarattere">
    <w:name w:val="Firma Carattere"/>
    <w:aliases w:val="NotYetCustomized3210 Carattere"/>
    <w:basedOn w:val="Carpredefinitoparagrafo"/>
    <w:link w:val="Firma"/>
    <w:uiPriority w:val="99"/>
    <w:rsid w:val="00320E8F"/>
    <w:rPr>
      <w:rFonts w:ascii="Arial" w:eastAsia="Arial" w:hAnsi="Arial"/>
      <w:sz w:val="22"/>
      <w:szCs w:val="22"/>
      <w:lang w:eastAsia="en-US"/>
    </w:rPr>
  </w:style>
  <w:style w:type="character" w:customStyle="1" w:styleId="NessunaspaziaturaCarattere">
    <w:name w:val="Nessuna spaziatura Carattere"/>
    <w:link w:val="Nessunaspaziatura"/>
    <w:uiPriority w:val="1"/>
    <w:rsid w:val="00320E8F"/>
    <w:rPr>
      <w:sz w:val="22"/>
      <w:szCs w:val="22"/>
      <w:lang w:eastAsia="en-US"/>
    </w:rPr>
  </w:style>
  <w:style w:type="character" w:styleId="Rimandonotaapidipagina">
    <w:name w:val="footnote reference"/>
    <w:uiPriority w:val="99"/>
    <w:unhideWhenUsed/>
    <w:rsid w:val="00320E8F"/>
    <w:rPr>
      <w:vertAlign w:val="superscript"/>
    </w:rPr>
  </w:style>
  <w:style w:type="paragraph" w:styleId="Sommario4">
    <w:name w:val="toc 4"/>
    <w:aliases w:val="NotYetCustomized5839"/>
    <w:basedOn w:val="Sommario3"/>
    <w:next w:val="Normale"/>
    <w:autoRedefine/>
    <w:uiPriority w:val="39"/>
    <w:unhideWhenUsed/>
    <w:rsid w:val="00320E8F"/>
    <w:pPr>
      <w:tabs>
        <w:tab w:val="left" w:pos="567"/>
        <w:tab w:val="right" w:leader="dot" w:pos="9072"/>
      </w:tabs>
      <w:spacing w:before="0" w:after="40"/>
      <w:ind w:left="567" w:right="567" w:hanging="567"/>
      <w:jc w:val="left"/>
    </w:pPr>
    <w:rPr>
      <w:rFonts w:eastAsia="Arial"/>
      <w:sz w:val="22"/>
      <w:szCs w:val="22"/>
      <w:lang w:val="it-CH"/>
    </w:rPr>
  </w:style>
  <w:style w:type="character" w:customStyle="1" w:styleId="TransmissionZchn">
    <w:name w:val="Transmission Zchn"/>
    <w:aliases w:val="NotYetCustomized1228 Zchn"/>
    <w:link w:val="Transmission"/>
    <w:rsid w:val="00320E8F"/>
    <w:rPr>
      <w:rFonts w:ascii="Arial" w:eastAsia="Arial" w:hAnsi="Arial"/>
      <w:b/>
      <w:sz w:val="22"/>
      <w:szCs w:val="22"/>
      <w:lang w:val="de-CH" w:eastAsia="en-US"/>
    </w:rPr>
  </w:style>
  <w:style w:type="character" w:customStyle="1" w:styleId="SubjectZchn">
    <w:name w:val="Subject Zchn"/>
    <w:link w:val="Subject"/>
    <w:rsid w:val="00320E8F"/>
    <w:rPr>
      <w:rFonts w:ascii="Arial" w:eastAsia="Arial" w:hAnsi="Arial"/>
      <w:b/>
      <w:sz w:val="22"/>
      <w:szCs w:val="22"/>
      <w:lang w:eastAsia="en-US"/>
    </w:rPr>
  </w:style>
  <w:style w:type="numbering" w:customStyle="1" w:styleId="ListAlphabeticList">
    <w:name w:val="ListAlphabeticList"/>
    <w:uiPriority w:val="99"/>
    <w:rsid w:val="00320E8F"/>
    <w:pPr>
      <w:numPr>
        <w:numId w:val="6"/>
      </w:numPr>
    </w:pPr>
  </w:style>
  <w:style w:type="numbering" w:customStyle="1" w:styleId="ListNumericList">
    <w:name w:val="ListNumericList"/>
    <w:uiPriority w:val="99"/>
    <w:rsid w:val="00320E8F"/>
    <w:pPr>
      <w:numPr>
        <w:numId w:val="9"/>
      </w:numPr>
    </w:pPr>
  </w:style>
  <w:style w:type="numbering" w:customStyle="1" w:styleId="ListLineList">
    <w:name w:val="ListLineList"/>
    <w:uiPriority w:val="99"/>
    <w:rsid w:val="00320E8F"/>
    <w:pPr>
      <w:numPr>
        <w:numId w:val="8"/>
      </w:numPr>
    </w:pPr>
  </w:style>
  <w:style w:type="numbering" w:customStyle="1" w:styleId="ListBulletList">
    <w:name w:val="ListBulletList"/>
    <w:uiPriority w:val="99"/>
    <w:rsid w:val="00320E8F"/>
    <w:pPr>
      <w:numPr>
        <w:numId w:val="7"/>
      </w:numPr>
    </w:pPr>
  </w:style>
  <w:style w:type="numbering" w:customStyle="1" w:styleId="HeadingList">
    <w:name w:val="HeadingList"/>
    <w:uiPriority w:val="99"/>
    <w:rsid w:val="00320E8F"/>
    <w:pPr>
      <w:numPr>
        <w:numId w:val="4"/>
      </w:numPr>
    </w:pPr>
  </w:style>
  <w:style w:type="paragraph" w:customStyle="1" w:styleId="NormalNoSpacing">
    <w:name w:val="NormalNoSpacing"/>
    <w:basedOn w:val="Normale"/>
    <w:rsid w:val="00320E8F"/>
    <w:rPr>
      <w:rFonts w:eastAsia="Arial"/>
      <w:sz w:val="22"/>
    </w:rPr>
  </w:style>
  <w:style w:type="paragraph" w:customStyle="1" w:styleId="Sender">
    <w:name w:val="Sender"/>
    <w:basedOn w:val="Normale"/>
    <w:rsid w:val="00320E8F"/>
    <w:pPr>
      <w:spacing w:line="204" w:lineRule="auto"/>
      <w:jc w:val="right"/>
    </w:pPr>
    <w:rPr>
      <w:rFonts w:ascii="Gill Alt One MT Light" w:eastAsia="Arial" w:hAnsi="Gill Alt One MT Light"/>
      <w:sz w:val="16"/>
    </w:rPr>
  </w:style>
  <w:style w:type="paragraph" w:customStyle="1" w:styleId="Level">
    <w:name w:val="Level"/>
    <w:basedOn w:val="Sender"/>
    <w:rsid w:val="00320E8F"/>
    <w:pPr>
      <w:spacing w:line="192" w:lineRule="auto"/>
      <w:contextualSpacing/>
      <w:jc w:val="left"/>
    </w:pPr>
    <w:rPr>
      <w:rFonts w:ascii="Gill Sans MT Pro Light" w:hAnsi="Gill Sans MT Pro Light"/>
      <w:sz w:val="23"/>
    </w:rPr>
  </w:style>
  <w:style w:type="paragraph" w:customStyle="1" w:styleId="Unit">
    <w:name w:val="Unit"/>
    <w:basedOn w:val="Level"/>
    <w:rsid w:val="00320E8F"/>
    <w:pPr>
      <w:spacing w:after="40" w:line="240" w:lineRule="exact"/>
    </w:pPr>
    <w:rPr>
      <w:rFonts w:ascii="Gill Sans Display MT Pro BdCn" w:hAnsi="Gill Sans Display MT Pro BdCn"/>
      <w:sz w:val="24"/>
    </w:rPr>
  </w:style>
  <w:style w:type="paragraph" w:customStyle="1" w:styleId="SenderPerson">
    <w:name w:val="SenderPerson"/>
    <w:basedOn w:val="Sender"/>
    <w:rsid w:val="00320E8F"/>
    <w:pPr>
      <w:spacing w:before="200" w:after="100"/>
    </w:pPr>
  </w:style>
  <w:style w:type="paragraph" w:customStyle="1" w:styleId="Recipient">
    <w:name w:val="Recipient"/>
    <w:basedOn w:val="Normale"/>
    <w:link w:val="RecipientZchn"/>
    <w:rsid w:val="00320E8F"/>
    <w:pPr>
      <w:spacing w:after="240" w:line="240" w:lineRule="exact"/>
      <w:contextualSpacing/>
      <w:jc w:val="left"/>
    </w:pPr>
    <w:rPr>
      <w:rFonts w:eastAsia="Arial"/>
      <w:sz w:val="22"/>
    </w:rPr>
  </w:style>
  <w:style w:type="paragraph" w:customStyle="1" w:styleId="Prefix">
    <w:name w:val="Prefix"/>
    <w:basedOn w:val="Recipient"/>
    <w:link w:val="PrefixZchn"/>
    <w:rsid w:val="00320E8F"/>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320E8F"/>
    <w:pPr>
      <w:jc w:val="left"/>
    </w:pPr>
    <w:rPr>
      <w:rFonts w:eastAsia="Arial"/>
      <w:sz w:val="22"/>
    </w:rPr>
  </w:style>
  <w:style w:type="character" w:customStyle="1" w:styleId="DataCarattere">
    <w:name w:val="Data Carattere"/>
    <w:aliases w:val="Content Carattere"/>
    <w:basedOn w:val="Carpredefinitoparagrafo"/>
    <w:link w:val="Data"/>
    <w:uiPriority w:val="99"/>
    <w:rsid w:val="00320E8F"/>
    <w:rPr>
      <w:rFonts w:ascii="Arial" w:eastAsia="Arial" w:hAnsi="Arial"/>
      <w:sz w:val="22"/>
      <w:szCs w:val="22"/>
      <w:lang w:eastAsia="en-US"/>
    </w:rPr>
  </w:style>
  <w:style w:type="character" w:customStyle="1" w:styleId="RecipientZchn">
    <w:name w:val="Recipient Zchn"/>
    <w:link w:val="Recipient"/>
    <w:rsid w:val="00320E8F"/>
    <w:rPr>
      <w:rFonts w:ascii="Arial" w:eastAsia="Arial" w:hAnsi="Arial"/>
      <w:sz w:val="22"/>
      <w:szCs w:val="22"/>
      <w:lang w:eastAsia="en-US"/>
    </w:rPr>
  </w:style>
  <w:style w:type="character" w:customStyle="1" w:styleId="PrefixZchn">
    <w:name w:val="Prefix Zchn"/>
    <w:link w:val="Prefix"/>
    <w:rsid w:val="00320E8F"/>
    <w:rPr>
      <w:rFonts w:ascii="Gill Sans MT Pro Light" w:eastAsia="Arial" w:hAnsi="Gill Sans MT Pro Light"/>
      <w:sz w:val="16"/>
      <w:szCs w:val="22"/>
      <w:lang w:eastAsia="en-US"/>
    </w:rPr>
  </w:style>
  <w:style w:type="paragraph" w:customStyle="1" w:styleId="ShortText">
    <w:name w:val="ShortText"/>
    <w:basedOn w:val="Normale"/>
    <w:link w:val="ShortTextZchn"/>
    <w:rsid w:val="00320E8F"/>
    <w:pPr>
      <w:tabs>
        <w:tab w:val="left" w:pos="284"/>
      </w:tabs>
      <w:spacing w:after="240"/>
      <w:ind w:left="425" w:hanging="425"/>
      <w:jc w:val="left"/>
    </w:pPr>
    <w:rPr>
      <w:rFonts w:ascii="Gill Sans MT Pro Light" w:eastAsia="Arial" w:hAnsi="Gill Sans MT Pro Light"/>
      <w:sz w:val="16"/>
    </w:rPr>
  </w:style>
  <w:style w:type="character" w:customStyle="1" w:styleId="ShortTextZchn">
    <w:name w:val="ShortText Zchn"/>
    <w:link w:val="ShortText"/>
    <w:rsid w:val="00320E8F"/>
    <w:rPr>
      <w:rFonts w:ascii="Gill Sans MT Pro Light" w:eastAsia="Arial" w:hAnsi="Gill Sans MT Pro Light"/>
      <w:sz w:val="16"/>
      <w:szCs w:val="22"/>
      <w:lang w:eastAsia="en-US"/>
    </w:rPr>
  </w:style>
  <w:style w:type="paragraph" w:customStyle="1" w:styleId="SubjectMemo">
    <w:name w:val="SubjectMemo"/>
    <w:basedOn w:val="Subject"/>
    <w:rsid w:val="00320E8F"/>
    <w:pPr>
      <w:spacing w:before="964"/>
    </w:pPr>
  </w:style>
  <w:style w:type="paragraph" w:customStyle="1" w:styleId="HeaderDecisione">
    <w:name w:val="HeaderDecisione"/>
    <w:basedOn w:val="Level"/>
    <w:rsid w:val="00320E8F"/>
    <w:pPr>
      <w:spacing w:line="240" w:lineRule="auto"/>
    </w:pPr>
    <w:rPr>
      <w:rFonts w:ascii="Gill Alt One MT Light" w:hAnsi="Gill Alt One MT Light"/>
      <w:sz w:val="16"/>
    </w:rPr>
  </w:style>
  <w:style w:type="paragraph" w:customStyle="1" w:styleId="SenderDecisione">
    <w:name w:val="SenderDecisione"/>
    <w:basedOn w:val="HeaderDecisione"/>
    <w:rsid w:val="00320E8F"/>
    <w:pPr>
      <w:contextualSpacing w:val="0"/>
    </w:pPr>
    <w:rPr>
      <w:rFonts w:ascii="Gill Sans MT Pro Light" w:hAnsi="Gill Sans MT Pro Light"/>
    </w:rPr>
  </w:style>
  <w:style w:type="paragraph" w:customStyle="1" w:styleId="SubjectDecisione">
    <w:name w:val="SubjectDecisione"/>
    <w:basedOn w:val="Unit"/>
    <w:rsid w:val="00320E8F"/>
    <w:pPr>
      <w:spacing w:after="720" w:line="240" w:lineRule="auto"/>
      <w:contextualSpacing w:val="0"/>
    </w:pPr>
    <w:rPr>
      <w:sz w:val="42"/>
    </w:rPr>
  </w:style>
  <w:style w:type="paragraph" w:customStyle="1" w:styleId="EnclosuresBoxDecisione">
    <w:name w:val="EnclosuresBoxDecisione"/>
    <w:basedOn w:val="EnclosuresBox"/>
    <w:rsid w:val="00320E8F"/>
    <w:pPr>
      <w:spacing w:before="2400"/>
    </w:pPr>
  </w:style>
  <w:style w:type="paragraph" w:customStyle="1" w:styleId="EtiketteSender">
    <w:name w:val="EtiketteSender"/>
    <w:basedOn w:val="Normale"/>
    <w:rsid w:val="00320E8F"/>
    <w:pPr>
      <w:ind w:left="340"/>
      <w:jc w:val="left"/>
    </w:pPr>
    <w:rPr>
      <w:rFonts w:ascii="Gill Sans Display MT Pro BdCn" w:eastAsia="Arial" w:hAnsi="Gill Sans Display MT Pro BdCn"/>
      <w:sz w:val="22"/>
    </w:rPr>
  </w:style>
  <w:style w:type="paragraph" w:customStyle="1" w:styleId="EtiketteRecipient">
    <w:name w:val="EtiketteRecipient"/>
    <w:basedOn w:val="EtiketteSender"/>
    <w:rsid w:val="00320E8F"/>
    <w:rPr>
      <w:rFonts w:ascii="Arial" w:hAnsi="Arial"/>
    </w:rPr>
  </w:style>
  <w:style w:type="paragraph" w:customStyle="1" w:styleId="SenderPersonContent">
    <w:name w:val="SenderPersonContent"/>
    <w:basedOn w:val="SenderPerson"/>
    <w:rsid w:val="00320E8F"/>
    <w:pPr>
      <w:jc w:val="left"/>
    </w:pPr>
    <w:rPr>
      <w:lang w:val="de-CH"/>
    </w:rPr>
  </w:style>
  <w:style w:type="paragraph" w:customStyle="1" w:styleId="SenderContent">
    <w:name w:val="SenderContent"/>
    <w:basedOn w:val="Sender"/>
    <w:rsid w:val="00320E8F"/>
    <w:pPr>
      <w:jc w:val="left"/>
    </w:pPr>
  </w:style>
  <w:style w:type="paragraph" w:customStyle="1" w:styleId="EnclosuresBoxDecisione1">
    <w:name w:val="EnclosuresBoxDecisione1"/>
    <w:basedOn w:val="EnclosuresBoxDecisione"/>
    <w:qFormat/>
    <w:rsid w:val="00320E8F"/>
    <w:pPr>
      <w:ind w:left="153"/>
    </w:pPr>
    <w:rPr>
      <w:u w:val="single"/>
    </w:rPr>
  </w:style>
  <w:style w:type="paragraph" w:customStyle="1" w:styleId="EnclosuresBox1">
    <w:name w:val="EnclosuresBox1"/>
    <w:basedOn w:val="EnclosuresBox"/>
    <w:qFormat/>
    <w:rsid w:val="00320E8F"/>
    <w:pPr>
      <w:tabs>
        <w:tab w:val="clear" w:pos="284"/>
        <w:tab w:val="left" w:pos="437"/>
      </w:tabs>
      <w:ind w:left="153"/>
    </w:pPr>
  </w:style>
  <w:style w:type="paragraph" w:customStyle="1" w:styleId="DatumBig">
    <w:name w:val="DatumBig"/>
    <w:basedOn w:val="EnclosuresBox1"/>
    <w:qFormat/>
    <w:rsid w:val="00320E8F"/>
    <w:rPr>
      <w:lang w:val="it-CH"/>
    </w:rPr>
  </w:style>
  <w:style w:type="paragraph" w:customStyle="1" w:styleId="SubjectRisoluzione">
    <w:name w:val="SubjectRisoluzione"/>
    <w:basedOn w:val="SubjectDecisione"/>
    <w:qFormat/>
    <w:rsid w:val="00320E8F"/>
    <w:pPr>
      <w:spacing w:after="240"/>
    </w:pPr>
  </w:style>
  <w:style w:type="paragraph" w:customStyle="1" w:styleId="EnclosuresBoxRisoluzione">
    <w:name w:val="EnclosuresBoxRisoluzione"/>
    <w:basedOn w:val="EnclosuresBoxDecisione"/>
    <w:qFormat/>
    <w:rsid w:val="00320E8F"/>
    <w:pPr>
      <w:spacing w:before="0"/>
    </w:pPr>
  </w:style>
  <w:style w:type="paragraph" w:customStyle="1" w:styleId="ProgettoStandard">
    <w:name w:val="ProgettoStandard"/>
    <w:basedOn w:val="Normale"/>
    <w:qFormat/>
    <w:rsid w:val="00320E8F"/>
    <w:pPr>
      <w:jc w:val="left"/>
    </w:pPr>
    <w:rPr>
      <w:rFonts w:eastAsia="Arial"/>
      <w:sz w:val="22"/>
    </w:rPr>
  </w:style>
  <w:style w:type="paragraph" w:customStyle="1" w:styleId="StandardRisoluzionedelConsigliodiStato">
    <w:name w:val="StandardRisoluzionedelConsigliodiStato"/>
    <w:basedOn w:val="Normale"/>
    <w:qFormat/>
    <w:rsid w:val="00320E8F"/>
    <w:rPr>
      <w:rFonts w:eastAsia="Arial"/>
    </w:rPr>
  </w:style>
  <w:style w:type="paragraph" w:customStyle="1" w:styleId="DatumRisoluzionedelConsigliodiStato">
    <w:name w:val="DatumRisoluzionedelConsigliodiStato"/>
    <w:basedOn w:val="StandardRisoluzionedelConsigliodiStato"/>
    <w:qFormat/>
    <w:rsid w:val="00320E8F"/>
    <w:pPr>
      <w:spacing w:before="60"/>
      <w:jc w:val="left"/>
    </w:pPr>
  </w:style>
  <w:style w:type="paragraph" w:customStyle="1" w:styleId="EnclosuresBoxRisoluzionedelConsigliodiStato">
    <w:name w:val="EnclosuresBoxRisoluzionedelConsigliodiStato"/>
    <w:basedOn w:val="EnclosuresBox"/>
    <w:qFormat/>
    <w:rsid w:val="00320E8F"/>
    <w:rPr>
      <w:sz w:val="24"/>
      <w:lang w:val="it-CH"/>
    </w:rPr>
  </w:style>
  <w:style w:type="paragraph" w:customStyle="1" w:styleId="Page">
    <w:name w:val="Page"/>
    <w:basedOn w:val="Data"/>
    <w:qFormat/>
    <w:rsid w:val="00320E8F"/>
    <w:pPr>
      <w:spacing w:after="60"/>
    </w:pPr>
  </w:style>
  <w:style w:type="paragraph" w:customStyle="1" w:styleId="Information">
    <w:name w:val="Information"/>
    <w:basedOn w:val="Data"/>
    <w:qFormat/>
    <w:rsid w:val="00320E8F"/>
    <w:pPr>
      <w:spacing w:before="60"/>
    </w:pPr>
  </w:style>
  <w:style w:type="paragraph" w:customStyle="1" w:styleId="PageRisoluzioneConsigliodiStato">
    <w:name w:val="PageRisoluzioneConsigliodiStato"/>
    <w:basedOn w:val="Page"/>
    <w:qFormat/>
    <w:rsid w:val="00320E8F"/>
    <w:rPr>
      <w:sz w:val="24"/>
    </w:rPr>
  </w:style>
  <w:style w:type="paragraph" w:customStyle="1" w:styleId="ListAlphabetic12">
    <w:name w:val="ListAlphabetic12"/>
    <w:basedOn w:val="ListAlphabetic"/>
    <w:qFormat/>
    <w:rsid w:val="00320E8F"/>
    <w:pPr>
      <w:numPr>
        <w:numId w:val="5"/>
      </w:numPr>
      <w:ind w:left="720" w:hanging="360"/>
    </w:pPr>
    <w:rPr>
      <w:sz w:val="24"/>
      <w:szCs w:val="24"/>
    </w:rPr>
  </w:style>
  <w:style w:type="paragraph" w:customStyle="1" w:styleId="ListNumeric12">
    <w:name w:val="ListNumeric12"/>
    <w:basedOn w:val="ListNumeric"/>
    <w:qFormat/>
    <w:rsid w:val="00320E8F"/>
    <w:rPr>
      <w:sz w:val="24"/>
      <w:szCs w:val="24"/>
    </w:rPr>
  </w:style>
  <w:style w:type="paragraph" w:customStyle="1" w:styleId="ListBullet12">
    <w:name w:val="ListBullet12"/>
    <w:basedOn w:val="ListBullet"/>
    <w:qFormat/>
    <w:rsid w:val="00320E8F"/>
    <w:rPr>
      <w:sz w:val="24"/>
      <w:szCs w:val="24"/>
    </w:rPr>
  </w:style>
  <w:style w:type="paragraph" w:customStyle="1" w:styleId="ListLine12">
    <w:name w:val="ListLine12"/>
    <w:basedOn w:val="ListLine"/>
    <w:qFormat/>
    <w:rsid w:val="00320E8F"/>
    <w:rPr>
      <w:sz w:val="24"/>
      <w:szCs w:val="24"/>
    </w:rPr>
  </w:style>
  <w:style w:type="character" w:customStyle="1" w:styleId="Titolo6Carattere">
    <w:name w:val="Titolo 6 Carattere"/>
    <w:link w:val="Titolo6"/>
    <w:uiPriority w:val="9"/>
    <w:semiHidden/>
    <w:rsid w:val="00320E8F"/>
    <w:rPr>
      <w:rFonts w:ascii="Arial" w:eastAsia="Times New Roman" w:hAnsi="Arial" w:cs="Times New Roman"/>
      <w:b/>
      <w:color w:val="243F60"/>
      <w:lang w:val="it-CH"/>
    </w:rPr>
  </w:style>
  <w:style w:type="character" w:customStyle="1" w:styleId="Titolo7Carattere">
    <w:name w:val="Titolo 7 Carattere"/>
    <w:link w:val="Titolo7"/>
    <w:uiPriority w:val="9"/>
    <w:semiHidden/>
    <w:rsid w:val="00320E8F"/>
    <w:rPr>
      <w:rFonts w:ascii="Arial" w:eastAsia="Times New Roman" w:hAnsi="Arial" w:cs="Times New Roman"/>
      <w:b/>
      <w:i/>
      <w:iCs/>
      <w:color w:val="243F60"/>
      <w:lang w:val="it-CH"/>
    </w:rPr>
  </w:style>
  <w:style w:type="character" w:customStyle="1" w:styleId="Titolo8Carattere">
    <w:name w:val="Titolo 8 Carattere"/>
    <w:link w:val="Titolo8"/>
    <w:uiPriority w:val="9"/>
    <w:semiHidden/>
    <w:rsid w:val="00320E8F"/>
    <w:rPr>
      <w:rFonts w:ascii="Arial" w:eastAsia="Times New Roman" w:hAnsi="Arial" w:cs="Times New Roman"/>
      <w:color w:val="272727"/>
      <w:szCs w:val="21"/>
      <w:lang w:val="it-CH"/>
    </w:rPr>
  </w:style>
  <w:style w:type="character" w:customStyle="1" w:styleId="Titolo9Carattere">
    <w:name w:val="Titolo 9 Carattere"/>
    <w:link w:val="Titolo9"/>
    <w:uiPriority w:val="9"/>
    <w:semiHidden/>
    <w:rsid w:val="00320E8F"/>
    <w:rPr>
      <w:rFonts w:ascii="Arial" w:eastAsia="Times New Roman" w:hAnsi="Arial" w:cs="Times New Roman"/>
      <w:i/>
      <w:iCs/>
      <w:color w:val="272727"/>
      <w:szCs w:val="21"/>
      <w:lang w:val="it-CH"/>
    </w:rPr>
  </w:style>
  <w:style w:type="numbering" w:customStyle="1" w:styleId="Stile11">
    <w:name w:val="Stile11"/>
    <w:uiPriority w:val="99"/>
    <w:rsid w:val="00320E8F"/>
    <w:pPr>
      <w:numPr>
        <w:numId w:val="10"/>
      </w:numPr>
    </w:pPr>
  </w:style>
  <w:style w:type="table" w:customStyle="1" w:styleId="Grigliatabella1">
    <w:name w:val="Griglia tabella1"/>
    <w:basedOn w:val="Tabellanormale"/>
    <w:next w:val="Grigliatabella"/>
    <w:uiPriority w:val="39"/>
    <w:rsid w:val="00320E8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unhideWhenUsed/>
    <w:rsid w:val="00320E8F"/>
    <w:rPr>
      <w:color w:val="0000FF"/>
      <w:u w:val="single"/>
    </w:rPr>
  </w:style>
  <w:style w:type="paragraph" w:customStyle="1" w:styleId="Paragrafoelenco1">
    <w:name w:val="Paragrafo elenco1"/>
    <w:basedOn w:val="Normale"/>
    <w:rsid w:val="00320E8F"/>
    <w:pPr>
      <w:spacing w:before="120"/>
      <w:ind w:left="720"/>
      <w:contextualSpacing/>
      <w:jc w:val="left"/>
    </w:pPr>
    <w:rPr>
      <w:rFonts w:ascii="Cambria" w:eastAsia="MS Mincho" w:hAnsi="Cambria"/>
      <w:szCs w:val="24"/>
      <w:lang w:val="it-IT"/>
    </w:rPr>
  </w:style>
  <w:style w:type="character" w:styleId="Testosegnaposto">
    <w:name w:val="Placeholder Text"/>
    <w:uiPriority w:val="99"/>
    <w:semiHidden/>
    <w:rsid w:val="00320E8F"/>
    <w:rPr>
      <w:color w:val="808080"/>
    </w:rPr>
  </w:style>
  <w:style w:type="character" w:customStyle="1" w:styleId="UnresolvedMention1">
    <w:name w:val="Unresolved Mention1"/>
    <w:uiPriority w:val="99"/>
    <w:semiHidden/>
    <w:unhideWhenUsed/>
    <w:rsid w:val="00320E8F"/>
    <w:rPr>
      <w:color w:val="605E5C"/>
      <w:shd w:val="clear" w:color="auto" w:fill="E1DFDD"/>
    </w:rPr>
  </w:style>
  <w:style w:type="character" w:customStyle="1" w:styleId="UnresolvedMention">
    <w:name w:val="Unresolved Mention"/>
    <w:uiPriority w:val="99"/>
    <w:semiHidden/>
    <w:unhideWhenUsed/>
    <w:rsid w:val="00320E8F"/>
    <w:rPr>
      <w:color w:val="605E5C"/>
      <w:shd w:val="clear" w:color="auto" w:fill="E1DFDD"/>
    </w:rPr>
  </w:style>
  <w:style w:type="paragraph" w:customStyle="1" w:styleId="Revisione1">
    <w:name w:val="Revisione1"/>
    <w:next w:val="Revisione"/>
    <w:hidden/>
    <w:uiPriority w:val="99"/>
    <w:semiHidden/>
    <w:rsid w:val="00320E8F"/>
    <w:rPr>
      <w:rFonts w:ascii="Arial" w:eastAsia="Arial" w:hAnsi="Arial"/>
      <w:sz w:val="24"/>
      <w:szCs w:val="22"/>
      <w:lang w:eastAsia="en-US"/>
    </w:rPr>
  </w:style>
  <w:style w:type="character" w:styleId="Rimandocommento">
    <w:name w:val="annotation reference"/>
    <w:uiPriority w:val="99"/>
    <w:semiHidden/>
    <w:unhideWhenUsed/>
    <w:rsid w:val="00320E8F"/>
    <w:rPr>
      <w:sz w:val="16"/>
      <w:szCs w:val="16"/>
    </w:rPr>
  </w:style>
  <w:style w:type="paragraph" w:customStyle="1" w:styleId="Testocommento1">
    <w:name w:val="Testo commento1"/>
    <w:basedOn w:val="Normale"/>
    <w:next w:val="Testocommento"/>
    <w:link w:val="TestocommentoCarattere"/>
    <w:uiPriority w:val="99"/>
    <w:unhideWhenUsed/>
    <w:rsid w:val="00320E8F"/>
    <w:pPr>
      <w:spacing w:before="120"/>
    </w:pPr>
    <w:rPr>
      <w:sz w:val="20"/>
      <w:szCs w:val="20"/>
      <w:lang w:eastAsia="it-CH"/>
    </w:rPr>
  </w:style>
  <w:style w:type="character" w:customStyle="1" w:styleId="TestocommentoCarattere">
    <w:name w:val="Testo commento Carattere"/>
    <w:link w:val="Testocommento1"/>
    <w:uiPriority w:val="99"/>
    <w:rsid w:val="00320E8F"/>
    <w:rPr>
      <w:rFonts w:ascii="Arial" w:hAnsi="Arial"/>
      <w:sz w:val="20"/>
      <w:szCs w:val="20"/>
      <w:lang w:val="it-CH"/>
    </w:rPr>
  </w:style>
  <w:style w:type="paragraph" w:customStyle="1" w:styleId="Soggettocommento1">
    <w:name w:val="Soggetto commento1"/>
    <w:basedOn w:val="Testocommento"/>
    <w:next w:val="Testocommento"/>
    <w:uiPriority w:val="99"/>
    <w:semiHidden/>
    <w:unhideWhenUsed/>
    <w:rsid w:val="00320E8F"/>
    <w:pPr>
      <w:spacing w:before="120"/>
    </w:pPr>
    <w:rPr>
      <w:rFonts w:eastAsia="Arial"/>
      <w:b/>
      <w:bCs/>
    </w:rPr>
  </w:style>
  <w:style w:type="character" w:customStyle="1" w:styleId="SoggettocommentoCarattere">
    <w:name w:val="Soggetto commento Carattere"/>
    <w:link w:val="Soggettocommento"/>
    <w:uiPriority w:val="99"/>
    <w:semiHidden/>
    <w:rsid w:val="00320E8F"/>
    <w:rPr>
      <w:rFonts w:ascii="Arial" w:hAnsi="Arial"/>
      <w:b/>
      <w:bCs/>
      <w:sz w:val="20"/>
      <w:szCs w:val="20"/>
      <w:lang w:val="it-CH"/>
    </w:rPr>
  </w:style>
  <w:style w:type="paragraph" w:styleId="Titolo">
    <w:name w:val="Title"/>
    <w:basedOn w:val="Normale"/>
    <w:next w:val="Normale"/>
    <w:link w:val="TitoloCarattere"/>
    <w:uiPriority w:val="10"/>
    <w:qFormat/>
    <w:rsid w:val="00320E8F"/>
    <w:pPr>
      <w:spacing w:before="240" w:after="60"/>
      <w:jc w:val="center"/>
      <w:outlineLvl w:val="0"/>
    </w:pPr>
    <w:rPr>
      <w:rFonts w:ascii="Calibri Light" w:hAnsi="Calibri Light"/>
      <w:b/>
      <w:sz w:val="32"/>
      <w:szCs w:val="20"/>
      <w:lang w:eastAsia="it-CH"/>
    </w:rPr>
  </w:style>
  <w:style w:type="character" w:customStyle="1" w:styleId="TitoloCarattere1">
    <w:name w:val="Titolo Carattere1"/>
    <w:basedOn w:val="Carpredefinitoparagrafo"/>
    <w:uiPriority w:val="10"/>
    <w:rsid w:val="00320E8F"/>
    <w:rPr>
      <w:rFonts w:asciiTheme="majorHAnsi" w:eastAsiaTheme="majorEastAsia" w:hAnsiTheme="majorHAnsi" w:cstheme="majorBidi"/>
      <w:b/>
      <w:bCs/>
      <w:kern w:val="28"/>
      <w:sz w:val="32"/>
      <w:szCs w:val="32"/>
      <w:lang w:eastAsia="en-US"/>
    </w:rPr>
  </w:style>
  <w:style w:type="paragraph" w:styleId="Sottotitolo">
    <w:name w:val="Subtitle"/>
    <w:basedOn w:val="Normale"/>
    <w:next w:val="Normale"/>
    <w:link w:val="SottotitoloCarattere"/>
    <w:uiPriority w:val="11"/>
    <w:qFormat/>
    <w:rsid w:val="00320E8F"/>
    <w:pPr>
      <w:spacing w:after="60"/>
      <w:jc w:val="center"/>
      <w:outlineLvl w:val="1"/>
    </w:pPr>
    <w:rPr>
      <w:rFonts w:ascii="Calibri Light" w:hAnsi="Calibri Light"/>
      <w:b/>
      <w:szCs w:val="20"/>
      <w:lang w:eastAsia="it-CH"/>
    </w:rPr>
  </w:style>
  <w:style w:type="character" w:customStyle="1" w:styleId="SottotitoloCarattere1">
    <w:name w:val="Sottotitolo Carattere1"/>
    <w:basedOn w:val="Carpredefinitoparagrafo"/>
    <w:uiPriority w:val="11"/>
    <w:rsid w:val="00320E8F"/>
    <w:rPr>
      <w:rFonts w:asciiTheme="majorHAnsi" w:eastAsiaTheme="majorEastAsia" w:hAnsiTheme="majorHAnsi" w:cstheme="majorBidi"/>
      <w:sz w:val="24"/>
      <w:szCs w:val="24"/>
      <w:lang w:eastAsia="en-US"/>
    </w:rPr>
  </w:style>
  <w:style w:type="character" w:styleId="Enfasicorsivo">
    <w:name w:val="Emphasis"/>
    <w:basedOn w:val="Carpredefinitoparagrafo"/>
    <w:uiPriority w:val="20"/>
    <w:qFormat/>
    <w:rsid w:val="00320E8F"/>
    <w:rPr>
      <w:i/>
      <w:iCs/>
    </w:rPr>
  </w:style>
  <w:style w:type="character" w:styleId="Enfasidelicata">
    <w:name w:val="Subtle Emphasis"/>
    <w:basedOn w:val="Carpredefinitoparagrafo"/>
    <w:uiPriority w:val="19"/>
    <w:qFormat/>
    <w:rsid w:val="00320E8F"/>
    <w:rPr>
      <w:i/>
      <w:iCs/>
      <w:color w:val="404040" w:themeColor="text1" w:themeTint="BF"/>
    </w:rPr>
  </w:style>
  <w:style w:type="character" w:styleId="Enfasiintensa">
    <w:name w:val="Intense Emphasis"/>
    <w:basedOn w:val="Carpredefinitoparagrafo"/>
    <w:uiPriority w:val="21"/>
    <w:qFormat/>
    <w:rsid w:val="00320E8F"/>
    <w:rPr>
      <w:i/>
      <w:iCs/>
      <w:color w:val="5B9BD5" w:themeColor="accent1"/>
    </w:rPr>
  </w:style>
  <w:style w:type="character" w:customStyle="1" w:styleId="Titolo6Carattere1">
    <w:name w:val="Titolo 6 Carattere1"/>
    <w:basedOn w:val="Carpredefinitoparagrafo"/>
    <w:uiPriority w:val="9"/>
    <w:semiHidden/>
    <w:rsid w:val="00320E8F"/>
    <w:rPr>
      <w:rFonts w:asciiTheme="minorHAnsi" w:eastAsiaTheme="minorEastAsia" w:hAnsiTheme="minorHAnsi" w:cstheme="minorBidi"/>
      <w:b/>
      <w:bCs/>
      <w:sz w:val="22"/>
      <w:szCs w:val="22"/>
      <w:lang w:eastAsia="en-US"/>
    </w:rPr>
  </w:style>
  <w:style w:type="character" w:customStyle="1" w:styleId="Titolo7Carattere1">
    <w:name w:val="Titolo 7 Carattere1"/>
    <w:basedOn w:val="Carpredefinitoparagrafo"/>
    <w:uiPriority w:val="9"/>
    <w:semiHidden/>
    <w:rsid w:val="00320E8F"/>
    <w:rPr>
      <w:rFonts w:asciiTheme="minorHAnsi" w:eastAsiaTheme="minorEastAsia" w:hAnsiTheme="minorHAnsi" w:cstheme="minorBidi"/>
      <w:sz w:val="24"/>
      <w:szCs w:val="24"/>
      <w:lang w:eastAsia="en-US"/>
    </w:rPr>
  </w:style>
  <w:style w:type="character" w:customStyle="1" w:styleId="Titolo8Carattere1">
    <w:name w:val="Titolo 8 Carattere1"/>
    <w:basedOn w:val="Carpredefinitoparagrafo"/>
    <w:uiPriority w:val="9"/>
    <w:semiHidden/>
    <w:rsid w:val="00320E8F"/>
    <w:rPr>
      <w:rFonts w:asciiTheme="minorHAnsi" w:eastAsiaTheme="minorEastAsia" w:hAnsiTheme="minorHAnsi" w:cstheme="minorBidi"/>
      <w:i/>
      <w:iCs/>
      <w:sz w:val="24"/>
      <w:szCs w:val="24"/>
      <w:lang w:eastAsia="en-US"/>
    </w:rPr>
  </w:style>
  <w:style w:type="character" w:customStyle="1" w:styleId="Titolo9Carattere1">
    <w:name w:val="Titolo 9 Carattere1"/>
    <w:basedOn w:val="Carpredefinitoparagrafo"/>
    <w:uiPriority w:val="9"/>
    <w:semiHidden/>
    <w:rsid w:val="00320E8F"/>
    <w:rPr>
      <w:rFonts w:asciiTheme="majorHAnsi" w:eastAsiaTheme="majorEastAsia" w:hAnsiTheme="majorHAnsi" w:cstheme="majorBidi"/>
      <w:sz w:val="22"/>
      <w:szCs w:val="22"/>
      <w:lang w:eastAsia="en-US"/>
    </w:rPr>
  </w:style>
  <w:style w:type="paragraph" w:styleId="Revisione">
    <w:name w:val="Revision"/>
    <w:hidden/>
    <w:uiPriority w:val="99"/>
    <w:semiHidden/>
    <w:rsid w:val="00320E8F"/>
    <w:rPr>
      <w:rFonts w:ascii="Arial" w:hAnsi="Arial"/>
      <w:sz w:val="24"/>
      <w:szCs w:val="22"/>
      <w:lang w:eastAsia="en-US"/>
    </w:rPr>
  </w:style>
  <w:style w:type="paragraph" w:styleId="Testocommento">
    <w:name w:val="annotation text"/>
    <w:basedOn w:val="Normale"/>
    <w:link w:val="TestocommentoCarattere1"/>
    <w:uiPriority w:val="99"/>
    <w:unhideWhenUsed/>
    <w:rsid w:val="00320E8F"/>
    <w:rPr>
      <w:sz w:val="20"/>
      <w:szCs w:val="20"/>
    </w:rPr>
  </w:style>
  <w:style w:type="character" w:customStyle="1" w:styleId="TestocommentoCarattere1">
    <w:name w:val="Testo commento Carattere1"/>
    <w:basedOn w:val="Carpredefinitoparagrafo"/>
    <w:link w:val="Testocommento"/>
    <w:uiPriority w:val="99"/>
    <w:semiHidden/>
    <w:rsid w:val="00320E8F"/>
    <w:rPr>
      <w:rFonts w:ascii="Arial" w:hAnsi="Arial"/>
      <w:lang w:eastAsia="en-US"/>
    </w:rPr>
  </w:style>
  <w:style w:type="paragraph" w:styleId="Soggettocommento">
    <w:name w:val="annotation subject"/>
    <w:basedOn w:val="Testocommento"/>
    <w:next w:val="Testocommento"/>
    <w:link w:val="SoggettocommentoCarattere"/>
    <w:uiPriority w:val="99"/>
    <w:semiHidden/>
    <w:unhideWhenUsed/>
    <w:rsid w:val="00320E8F"/>
    <w:rPr>
      <w:b/>
      <w:bCs/>
      <w:lang w:eastAsia="it-CH"/>
    </w:rPr>
  </w:style>
  <w:style w:type="character" w:customStyle="1" w:styleId="SoggettocommentoCarattere1">
    <w:name w:val="Soggetto commento Carattere1"/>
    <w:basedOn w:val="TestocommentoCarattere1"/>
    <w:uiPriority w:val="99"/>
    <w:semiHidden/>
    <w:rsid w:val="00320E8F"/>
    <w:rPr>
      <w:rFonts w:ascii="Arial" w:hAnsi="Arial"/>
      <w:b/>
      <w:bCs/>
      <w:lang w:eastAsia="en-US"/>
    </w:rPr>
  </w:style>
  <w:style w:type="numbering" w:customStyle="1" w:styleId="Nessunelenco2">
    <w:name w:val="Nessun elenco2"/>
    <w:next w:val="Nessunelenco"/>
    <w:uiPriority w:val="99"/>
    <w:semiHidden/>
    <w:unhideWhenUsed/>
    <w:rsid w:val="001C63E0"/>
  </w:style>
  <w:style w:type="numbering" w:customStyle="1" w:styleId="Stile12">
    <w:name w:val="Stile12"/>
    <w:uiPriority w:val="99"/>
    <w:rsid w:val="001C63E0"/>
  </w:style>
  <w:style w:type="table" w:customStyle="1" w:styleId="Grigliatabella2">
    <w:name w:val="Griglia tabella2"/>
    <w:basedOn w:val="Tabellanormale"/>
    <w:next w:val="Grigliatabella"/>
    <w:uiPriority w:val="39"/>
    <w:rsid w:val="001C63E0"/>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Carpredefinitoparagrafo"/>
    <w:uiPriority w:val="99"/>
    <w:semiHidden/>
    <w:unhideWhenUsed/>
    <w:rsid w:val="001C63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4.ti.ch/poteri/gc/messaggi-e-atti/ricerca/risultati/dettaglio/?user_gcparlamento_pi8%5Battid%5D=84264&amp;user_gcparlamento_pi8%5bricerca%5d=4695" TargetMode="External"/><Relationship Id="rId18" Type="http://schemas.openxmlformats.org/officeDocument/2006/relationships/hyperlink" Target="https://www.ipct.ch/" TargetMode="External"/><Relationship Id="rId26" Type="http://schemas.openxmlformats.org/officeDocument/2006/relationships/hyperlink" Target="http://www.feoc.ch/" TargetMode="External"/><Relationship Id="rId39" Type="http://schemas.openxmlformats.org/officeDocument/2006/relationships/hyperlink" Target="https://www.cpval.ch/in_webcpv01/files/contextuel/files/N15%20-%20Fiche%20signal%C3%A9tique%20CP%20ferm%C3%A9e-1%20-%2001.2020.pdf" TargetMode="External"/><Relationship Id="rId21" Type="http://schemas.openxmlformats.org/officeDocument/2006/relationships/hyperlink" Target="http://www4.ti.ch/user_librerie/php/GC/allegato.php?allid=132720" TargetMode="External"/><Relationship Id="rId34" Type="http://schemas.openxmlformats.org/officeDocument/2006/relationships/hyperlink" Target="https://pkso.so.ch/" TargetMode="External"/><Relationship Id="rId42" Type="http://schemas.openxmlformats.org/officeDocument/2006/relationships/image" Target="media/image3.png"/><Relationship Id="rId47" Type="http://schemas.openxmlformats.org/officeDocument/2006/relationships/image" Target="media/image5.emf"/><Relationship Id="rId50" Type="http://schemas.openxmlformats.org/officeDocument/2006/relationships/image" Target="media/image7.jpg"/><Relationship Id="rId55" Type="http://schemas.openxmlformats.org/officeDocument/2006/relationships/image" Target="media/image11.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4.ti.ch/poteri/gc/messaggi-e-atti/ricerca/risultati/dettaglio/?user_gcparlamento_pi8%5Battid%5D=85059&amp;user_gcparlamento_pi8%5bricerca%5d=5526" TargetMode="External"/><Relationship Id="rId20" Type="http://schemas.openxmlformats.org/officeDocument/2006/relationships/image" Target="media/image1.emf"/><Relationship Id="rId29" Type="http://schemas.openxmlformats.org/officeDocument/2006/relationships/hyperlink" Target="http://www.skpe.ch/fr/" TargetMode="External"/><Relationship Id="rId41" Type="http://schemas.openxmlformats.org/officeDocument/2006/relationships/hyperlink" Target="https://www.ipct.ch/%20Confederazione-180d0200" TargetMode="External"/><Relationship Id="rId54" Type="http://schemas.openxmlformats.org/officeDocument/2006/relationships/image" Target="media/image10.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4.ti.ch/poteri/gc/messaggi-e-atti/ricerca/risultati/dettaglio/?user_gcparlamento_pi8%5Battid%5D=83896&amp;user_gcparlamento_pi8%5bricerca%5d=4279" TargetMode="External"/><Relationship Id="rId24" Type="http://schemas.openxmlformats.org/officeDocument/2006/relationships/hyperlink" Target="https://m3.ti.ch/CAN/RLeggi/public/index.php/raccolta-leggi/legge/num/129" TargetMode="External"/><Relationship Id="rId32" Type="http://schemas.openxmlformats.org/officeDocument/2006/relationships/hyperlink" Target="https://www.cpval.ch/in_webcpv01/core/menu.php" TargetMode="External"/><Relationship Id="rId37" Type="http://schemas.openxmlformats.org/officeDocument/2006/relationships/hyperlink" Target="https://m3.ti.ch/CAN/RLeggi/public/index.php/raccolta-leggi/legge/num/129" TargetMode="External"/><Relationship Id="rId40" Type="http://schemas.openxmlformats.org/officeDocument/2006/relationships/hyperlink" Target="https://www.cpval.ch/in_webcpv01/files/contextuel/files/N15%20-%20Fiche%20signal%C3%A9tique%20CP%20ferm%C3%A9e-1%20-%2001.2020.pdf" TargetMode="External"/><Relationship Id="rId45" Type="http://schemas.openxmlformats.org/officeDocument/2006/relationships/hyperlink" Target="https://www.blackrock.com/ch/individual/en" TargetMode="External"/><Relationship Id="rId53" Type="http://schemas.openxmlformats.org/officeDocument/2006/relationships/image" Target="media/image9.emf"/><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4.ti.ch/poteri/gc/messaggi-e-atti/ricerca/risultati/dettaglio/?user_gcparlamento_pi8%5Battid%5D=91534&amp;user_gcparlamento_pi8%5bricerca%5d=4877" TargetMode="External"/><Relationship Id="rId23" Type="http://schemas.openxmlformats.org/officeDocument/2006/relationships/hyperlink" Target="https://www.ipct.ch/Rendiconto-2012-4e471c00" TargetMode="External"/><Relationship Id="rId28" Type="http://schemas.openxmlformats.org/officeDocument/2006/relationships/hyperlink" Target="http://www4.ti.ch/user_librerie/php/GC/allegato.php?allid=132720" TargetMode="External"/><Relationship Id="rId36" Type="http://schemas.openxmlformats.org/officeDocument/2006/relationships/image" Target="media/image2.png"/><Relationship Id="rId49" Type="http://schemas.openxmlformats.org/officeDocument/2006/relationships/image" Target="media/image6.jpg"/><Relationship Id="rId57" Type="http://schemas.openxmlformats.org/officeDocument/2006/relationships/image" Target="media/image13.emf"/><Relationship Id="rId61" Type="http://schemas.openxmlformats.org/officeDocument/2006/relationships/footer" Target="footer2.xml"/><Relationship Id="rId10" Type="http://schemas.openxmlformats.org/officeDocument/2006/relationships/hyperlink" Target="https://www.admin.ch/opc/it/classified-compilation/19820152/index.html" TargetMode="External"/><Relationship Id="rId19" Type="http://schemas.openxmlformats.org/officeDocument/2006/relationships/hyperlink" Target="http://www4.ti.ch/user_librerie/php/GC/allegato.php?allid=132720" TargetMode="External"/><Relationship Id="rId31" Type="http://schemas.openxmlformats.org/officeDocument/2006/relationships/hyperlink" Target="https://www.zugerpk.ch/deu/startseite.asp" TargetMode="External"/><Relationship Id="rId44" Type="http://schemas.openxmlformats.org/officeDocument/2006/relationships/hyperlink" Target="https://www.svvk-asir.ch/fr/nos-activites/" TargetMode="External"/><Relationship Id="rId52" Type="http://schemas.openxmlformats.org/officeDocument/2006/relationships/image" Target="media/image8.emf"/><Relationship Id="rId60"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ww4.ti.ch/poteri/gc/messaggi-e-atti/ricerca/risultati/dettaglio/?user_gcparlamento_pi8%5Battid%5D=86206&amp;user_gcparlamento_pi8%5bricerca%5d=6666&amp;user_gcparlamento_pi8%5btat100%5d=100" TargetMode="External"/><Relationship Id="rId14" Type="http://schemas.openxmlformats.org/officeDocument/2006/relationships/hyperlink" Target="https://www4.ti.ch/poteri/gc/messaggi-e-atti/ricerca/risultati/dettaglio/?user_gcparlamento_pi8%5Battid%5D=84336&amp;user_gcparlamento_pi8%5bricerca%5d=4804" TargetMode="External"/><Relationship Id="rId22" Type="http://schemas.openxmlformats.org/officeDocument/2006/relationships/hyperlink" Target="http://www4.ti.ch/user_librerie/php/GC/allegato.php?allid=132720" TargetMode="External"/><Relationship Id="rId27" Type="http://schemas.openxmlformats.org/officeDocument/2006/relationships/hyperlink" Target="http://www4.ti.ch/user_librerie/php/GC/allegato.php?allid=132720" TargetMode="External"/><Relationship Id="rId30" Type="http://schemas.openxmlformats.org/officeDocument/2006/relationships/hyperlink" Target="https://bvk.ch/de/" TargetMode="External"/><Relationship Id="rId35" Type="http://schemas.openxmlformats.org/officeDocument/2006/relationships/hyperlink" Target="https://www.pktg.ch/" TargetMode="External"/><Relationship Id="rId43" Type="http://schemas.openxmlformats.org/officeDocument/2006/relationships/hyperlink" Target="https://www4.ti.ch/user_librerie/php/GC/allegato.php?allid=132720" TargetMode="External"/><Relationship Id="rId48" Type="http://schemas.openxmlformats.org/officeDocument/2006/relationships/package" Target="embeddings/Foglio_di_lavoro_di_Microsoft_Excel.xlsx"/><Relationship Id="rId56" Type="http://schemas.openxmlformats.org/officeDocument/2006/relationships/image" Target="media/image12.emf"/><Relationship Id="rId8" Type="http://schemas.openxmlformats.org/officeDocument/2006/relationships/hyperlink" Target="http://www4.ti.ch/fileadmin/POTERI/GC/allegati/rapporti/9858_6666R-magg.DOC" TargetMode="External"/><Relationship Id="rId51"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hyperlink" Target="https://www4.ti.ch/poteri/gc/messaggi-e-atti/ricerca/risultati/dettaglio/?user_gcparlamento_pi8%5Battid%5D=84082&amp;user_gcparlamento_pi8%5bricerca%5d=4502" TargetMode="External"/><Relationship Id="rId17" Type="http://schemas.openxmlformats.org/officeDocument/2006/relationships/hyperlink" Target="https://www4.ti.ch/poteri/gc/messaggi-e-atti/ricerca/risultati/dettaglio/?user_gcparlamento_pi8%5Battid%5D=85123&amp;user_gcparlamento_pi8%5bricerca%5d=5526" TargetMode="External"/><Relationship Id="rId25" Type="http://schemas.openxmlformats.org/officeDocument/2006/relationships/hyperlink" Target="https://www.cpdl.ch/cpdl/home.html" TargetMode="External"/><Relationship Id="rId33" Type="http://schemas.openxmlformats.org/officeDocument/2006/relationships/hyperlink" Target="https://www.pkuri.ch/pk-uri/portraet/" TargetMode="External"/><Relationship Id="rId38" Type="http://schemas.openxmlformats.org/officeDocument/2006/relationships/hyperlink" Target="https://www.cpval.ch/in_webcpv01/core/menu.php" TargetMode="External"/><Relationship Id="rId46" Type="http://schemas.openxmlformats.org/officeDocument/2006/relationships/image" Target="media/image4.png"/><Relationship Id="rId59" Type="http://schemas.openxmlformats.org/officeDocument/2006/relationships/chart" Target="charts/chart2.xml"/></Relationships>
</file>

<file path=word/_rels/footnotes.xml.rels><?xml version="1.0" encoding="UTF-8" standalone="yes"?>
<Relationships xmlns="http://schemas.openxmlformats.org/package/2006/relationships"><Relationship Id="rId13" Type="http://schemas.openxmlformats.org/officeDocument/2006/relationships/hyperlink" Target="http://www4.ti.ch/fileadmin/POTERI/GC/allegati/rapporti/9858_6666R-magg.DOC" TargetMode="External"/><Relationship Id="rId18" Type="http://schemas.openxmlformats.org/officeDocument/2006/relationships/hyperlink" Target="https://www.admin.ch/opc/it/federal-gazette/2008/7339.pdf" TargetMode="External"/><Relationship Id="rId26" Type="http://schemas.openxmlformats.org/officeDocument/2006/relationships/hyperlink" Target="http://www4.ti.ch/user_librerie/php/GC/allegato.php?allid=132720" TargetMode="External"/><Relationship Id="rId39" Type="http://schemas.openxmlformats.org/officeDocument/2006/relationships/hyperlink" Target="https://m3.ti.ch/CAN/RLeggi/public/index.php/raccolta-leggi/legge/num/129" TargetMode="External"/><Relationship Id="rId21" Type="http://schemas.openxmlformats.org/officeDocument/2006/relationships/hyperlink" Target="https://www4.ti.ch/fileadmin/POTERI/GC/allegati/odg-mes/pdf/M6666.pdf" TargetMode="External"/><Relationship Id="rId34" Type="http://schemas.openxmlformats.org/officeDocument/2006/relationships/hyperlink" Target="https://ostschweizeraufsicht.ch/it/" TargetMode="External"/><Relationship Id="rId42" Type="http://schemas.openxmlformats.org/officeDocument/2006/relationships/hyperlink" Target="https://www.fedlex.admin.ch/eli/cc/27/317_321_377/it" TargetMode="External"/><Relationship Id="rId47" Type="http://schemas.openxmlformats.org/officeDocument/2006/relationships/hyperlink" Target="https://www.fedlex.admin.ch/eli/cc/1983/797_797_797/it" TargetMode="External"/><Relationship Id="rId50" Type="http://schemas.openxmlformats.org/officeDocument/2006/relationships/hyperlink" Target="https://www.fedlex.admin.ch/eli/cc/1983/797_797_797/it" TargetMode="External"/><Relationship Id="rId55" Type="http://schemas.openxmlformats.org/officeDocument/2006/relationships/hyperlink" Target="https://doi.org/10.1016/0261-5606(92)90048-3" TargetMode="External"/><Relationship Id="rId7" Type="http://schemas.openxmlformats.org/officeDocument/2006/relationships/hyperlink" Target="https://www.admin.ch/opc/it/federal-gazette/2008/7339.pdf" TargetMode="External"/><Relationship Id="rId12" Type="http://schemas.openxmlformats.org/officeDocument/2006/relationships/hyperlink" Target="https://m3.ti.ch/CAN/RLeggi/public/index.php/raccolta-leggi/legge/num/129" TargetMode="External"/><Relationship Id="rId17" Type="http://schemas.openxmlformats.org/officeDocument/2006/relationships/hyperlink" Target="https://www.parlament.ch/it/ratsbetrieb/suche-curia-vista/geschaeft?AffairId=20080069" TargetMode="External"/><Relationship Id="rId25" Type="http://schemas.openxmlformats.org/officeDocument/2006/relationships/hyperlink" Target="http://www4.ti.ch/user_librerie/php/GC/allegato.php?allid=132720" TargetMode="External"/><Relationship Id="rId33" Type="http://schemas.openxmlformats.org/officeDocument/2006/relationships/hyperlink" Target="https://www.admin.ch/opc/it/classified-compilation/19820152/index.html" TargetMode="External"/><Relationship Id="rId38" Type="http://schemas.openxmlformats.org/officeDocument/2006/relationships/hyperlink" Target="https://m3.ti.ch/CAN/RLeggi/public/index.php/raccolta-leggi/legge/num/93" TargetMode="External"/><Relationship Id="rId46" Type="http://schemas.openxmlformats.org/officeDocument/2006/relationships/hyperlink" Target="https://www.fedlex.admin.ch/eli/cc/1983/797_797_797/it" TargetMode="External"/><Relationship Id="rId59" Type="http://schemas.openxmlformats.org/officeDocument/2006/relationships/hyperlink" Target="https://doi.org/10.1111%2Fj.1540-6261.1997.tb03808.x" TargetMode="External"/><Relationship Id="rId2" Type="http://schemas.openxmlformats.org/officeDocument/2006/relationships/hyperlink" Target="https://www3.ti.ch/POTERI/legislativo/attivita/vgc/2012/1233-Seduta27.pdf" TargetMode="External"/><Relationship Id="rId16" Type="http://schemas.openxmlformats.org/officeDocument/2006/relationships/hyperlink" Target="http://www4.ti.ch/fileadmin/POTERI/GC/allegati/rapporti/9858_6666R-magg.DOC" TargetMode="External"/><Relationship Id="rId20" Type="http://schemas.openxmlformats.org/officeDocument/2006/relationships/hyperlink" Target="http://www4.ti.ch/fileadmin/POTERI/GC/allegati/rapporti/9858_6666R-magg.DOC" TargetMode="External"/><Relationship Id="rId29" Type="http://schemas.openxmlformats.org/officeDocument/2006/relationships/hyperlink" Target="https://data.snb.ch/en/topics/ziredev" TargetMode="External"/><Relationship Id="rId41" Type="http://schemas.openxmlformats.org/officeDocument/2006/relationships/hyperlink" Target="https://doi.org/10.3905/jpm.2018.44.2.156" TargetMode="External"/><Relationship Id="rId54" Type="http://schemas.openxmlformats.org/officeDocument/2006/relationships/hyperlink" Target="https://data.snb.ch/en/topics/uvo" TargetMode="External"/><Relationship Id="rId1" Type="http://schemas.openxmlformats.org/officeDocument/2006/relationships/hyperlink" Target="https://www3.ti.ch/POTERI/legislativo/attivita/vgc/2012/1233-Seduta26.pdf" TargetMode="External"/><Relationship Id="rId6" Type="http://schemas.openxmlformats.org/officeDocument/2006/relationships/hyperlink" Target="https://www.parlament.ch/it/ratsbetrieb/suche-curia-vista/geschaeft?AffairId=20080069" TargetMode="External"/><Relationship Id="rId11" Type="http://schemas.openxmlformats.org/officeDocument/2006/relationships/hyperlink" Target="https://m3.ti.ch/CAN/RLeggi/public/index.php/raccolta-leggi/legge/num/129" TargetMode="External"/><Relationship Id="rId24" Type="http://schemas.openxmlformats.org/officeDocument/2006/relationships/hyperlink" Target="http://www4.ti.ch/user_librerie/php/GC/allegato.php?allid=132720" TargetMode="External"/><Relationship Id="rId32" Type="http://schemas.openxmlformats.org/officeDocument/2006/relationships/hyperlink" Target="https://www.admin.ch/gov/it/pagina-iniziale/documentazione/comunicati-stampa.msg-id-80170.html" TargetMode="External"/><Relationship Id="rId37" Type="http://schemas.openxmlformats.org/officeDocument/2006/relationships/hyperlink" Target="https://m3.ti.ch/CAN/RLeggi/public/index.php/raccolta-leggi/legge/num/112" TargetMode="External"/><Relationship Id="rId40" Type="http://schemas.openxmlformats.org/officeDocument/2006/relationships/hyperlink" Target="https://www.ipct.ch/Regolamento-dell-Istituto-di-previdenza-del-Cantone-Ticino-e4507a00?i=1" TargetMode="External"/><Relationship Id="rId45" Type="http://schemas.openxmlformats.org/officeDocument/2006/relationships/hyperlink" Target="https://www.fedlex.admin.ch/eli/cc/1983/797_797_797/it" TargetMode="External"/><Relationship Id="rId53" Type="http://schemas.openxmlformats.org/officeDocument/2006/relationships/hyperlink" Target="https://data.snb.ch/en/topics/ziredev" TargetMode="External"/><Relationship Id="rId58" Type="http://schemas.openxmlformats.org/officeDocument/2006/relationships/hyperlink" Target="https://doi.org/10.2307/2328882" TargetMode="External"/><Relationship Id="rId5" Type="http://schemas.openxmlformats.org/officeDocument/2006/relationships/hyperlink" Target="http://www4.ti.ch/user_librerie/php/GC/allegato.php?allid=132720" TargetMode="External"/><Relationship Id="rId15" Type="http://schemas.openxmlformats.org/officeDocument/2006/relationships/hyperlink" Target="http://www4.ti.ch/fileadmin/POTERI/GC/allegati/rapporti/9858_6666R-magg.DOC" TargetMode="External"/><Relationship Id="rId23" Type="http://schemas.openxmlformats.org/officeDocument/2006/relationships/hyperlink" Target="https://m3.ti.ch/CAN/RLeggi/public/index.php/raccolta-leggi/legge/num/129" TargetMode="External"/><Relationship Id="rId28" Type="http://schemas.openxmlformats.org/officeDocument/2006/relationships/hyperlink" Target="https://www4.ti.ch/fileadmin/POTERI/GC/allegati/odg-mes/pdf/M6666.pdf" TargetMode="External"/><Relationship Id="rId36" Type="http://schemas.openxmlformats.org/officeDocument/2006/relationships/hyperlink" Target="https://m3.ti.ch/CAN/RLeggi/public/index.php/raccolta-leggi/legge/num/129" TargetMode="External"/><Relationship Id="rId49" Type="http://schemas.openxmlformats.org/officeDocument/2006/relationships/hyperlink" Target="https://www.fedlex.admin.ch/eli/cc/1998/1_5494_4818_4364_fga/it" TargetMode="External"/><Relationship Id="rId57" Type="http://schemas.openxmlformats.org/officeDocument/2006/relationships/hyperlink" Target="https://www.amazon.com/Stocks-Long-Run-Definitive-Investment/dp/0071800514" TargetMode="External"/><Relationship Id="rId10" Type="http://schemas.openxmlformats.org/officeDocument/2006/relationships/hyperlink" Target="http://www4.ti.ch/user_librerie/php/GC/allegato.php?allid=132720" TargetMode="External"/><Relationship Id="rId19" Type="http://schemas.openxmlformats.org/officeDocument/2006/relationships/hyperlink" Target="https://www.admin.ch/opc/it/federal-gazette/2010/7965.pdf" TargetMode="External"/><Relationship Id="rId31" Type="http://schemas.openxmlformats.org/officeDocument/2006/relationships/hyperlink" Target="https://www.admin.ch/opc/it/classified-compilation/19820152/index.html" TargetMode="External"/><Relationship Id="rId44" Type="http://schemas.openxmlformats.org/officeDocument/2006/relationships/hyperlink" Target="https://www.fedlex.admin.ch/eli/cc/1983/797_797_797/it" TargetMode="External"/><Relationship Id="rId52" Type="http://schemas.openxmlformats.org/officeDocument/2006/relationships/hyperlink" Target="https://theideafarm.com" TargetMode="External"/><Relationship Id="rId60" Type="http://schemas.openxmlformats.org/officeDocument/2006/relationships/hyperlink" Target="https://doi.org/10.3905/jpm.2018.44.2.156" TargetMode="External"/><Relationship Id="rId4" Type="http://schemas.openxmlformats.org/officeDocument/2006/relationships/hyperlink" Target="http://www4.ti.ch/fileadmin/POTERI/GC/allegati/rapporti/9858_6666R-magg.DOC" TargetMode="External"/><Relationship Id="rId9" Type="http://schemas.openxmlformats.org/officeDocument/2006/relationships/hyperlink" Target="http://www4.ti.ch/user_librerie/php/GC/allegato.php?allid=132720" TargetMode="External"/><Relationship Id="rId14" Type="http://schemas.openxmlformats.org/officeDocument/2006/relationships/hyperlink" Target="http://www4.ti.ch/fileadmin/POTERI/GC/allegati/rapporti/9858_6666R-magg.DOC" TargetMode="External"/><Relationship Id="rId22" Type="http://schemas.openxmlformats.org/officeDocument/2006/relationships/hyperlink" Target="https://www.ipct.ch/Regolamento-dell-Istituto-di-previdenza-del-Cantone-Ticino-e4507a00?i=1" TargetMode="External"/><Relationship Id="rId27" Type="http://schemas.openxmlformats.org/officeDocument/2006/relationships/hyperlink" Target="http://www.skpe.ch/attachments/article/16/DTA%204%202019%20genehmigt%20durch%20GV%20vom%202019_04_25%20F.pdf" TargetMode="External"/><Relationship Id="rId30" Type="http://schemas.openxmlformats.org/officeDocument/2006/relationships/hyperlink" Target="https://www.snb.ch/en/iabout/stat/statrep/statpubdis/id/statpub_histz_arch" TargetMode="External"/><Relationship Id="rId35" Type="http://schemas.openxmlformats.org/officeDocument/2006/relationships/hyperlink" Target="https://www.admin.ch/opc/it/classified-compilation/19820152/index.html" TargetMode="External"/><Relationship Id="rId43" Type="http://schemas.openxmlformats.org/officeDocument/2006/relationships/hyperlink" Target="https://www.fedlex.admin.ch/eli/cc/1984/543_543_543/it" TargetMode="External"/><Relationship Id="rId48" Type="http://schemas.openxmlformats.org/officeDocument/2006/relationships/hyperlink" Target="https://www.fedlex.admin.ch/eli/cc/1998/1_5494_4818_4364_fga/it" TargetMode="External"/><Relationship Id="rId56" Type="http://schemas.openxmlformats.org/officeDocument/2006/relationships/hyperlink" Target="https://doi.org/10.2307/2328994" TargetMode="External"/><Relationship Id="rId8" Type="http://schemas.openxmlformats.org/officeDocument/2006/relationships/hyperlink" Target="https://www.admin.ch/opc/it/federal-gazette/2010/7965.pdf" TargetMode="External"/><Relationship Id="rId51" Type="http://schemas.openxmlformats.org/officeDocument/2006/relationships/hyperlink" Target="http://www.econ.yale.edu/~shiller/data.htm" TargetMode="External"/><Relationship Id="rId3" Type="http://schemas.openxmlformats.org/officeDocument/2006/relationships/hyperlink" Target="http://www4.ti.ch/fileadmin/POTERI/GC/allegati/rapporti/9261_6666R-min.DOC"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CH" sz="1200">
                <a:latin typeface="Arial" panose="020B0604020202020204" pitchFamily="34" charset="0"/>
                <a:cs typeface="Arial" panose="020B0604020202020204" pitchFamily="34" charset="0"/>
              </a:rPr>
              <a:t>Rendimento</a:t>
            </a:r>
            <a:r>
              <a:rPr lang="it-CH" sz="1200" baseline="0">
                <a:latin typeface="Arial" panose="020B0604020202020204" pitchFamily="34" charset="0"/>
                <a:cs typeface="Arial" panose="020B0604020202020204" pitchFamily="34" charset="0"/>
              </a:rPr>
              <a:t> 1927-2020 dei mercati azionari mondiali in CHF al netto dell'inflazione</a:t>
            </a:r>
            <a:endParaRPr lang="it-CH" sz="1200">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CH"/>
        </a:p>
      </c:txPr>
    </c:title>
    <c:autoTitleDeleted val="0"/>
    <c:plotArea>
      <c:layout/>
      <c:scatterChart>
        <c:scatterStyle val="smoothMarker"/>
        <c:varyColors val="0"/>
        <c:ser>
          <c:idx val="0"/>
          <c:order val="0"/>
          <c:spPr>
            <a:ln w="19050" cap="rnd">
              <a:solidFill>
                <a:schemeClr val="accent1"/>
              </a:solidFill>
              <a:round/>
            </a:ln>
            <a:effectLst/>
          </c:spPr>
          <c:marker>
            <c:symbol val="none"/>
          </c:marker>
          <c:xVal>
            <c:numRef>
              <c:f>'HistoricalWorldStocks_SMA-CHF'!$A$38:$A$1166</c:f>
              <c:numCache>
                <c:formatCode>m/d/yyyy</c:formatCode>
                <c:ptCount val="1129"/>
                <c:pt idx="0">
                  <c:v>9862</c:v>
                </c:pt>
                <c:pt idx="1">
                  <c:v>9893</c:v>
                </c:pt>
                <c:pt idx="2">
                  <c:v>9921</c:v>
                </c:pt>
                <c:pt idx="3">
                  <c:v>9952</c:v>
                </c:pt>
                <c:pt idx="4">
                  <c:v>9982</c:v>
                </c:pt>
                <c:pt idx="5">
                  <c:v>10013</c:v>
                </c:pt>
                <c:pt idx="6">
                  <c:v>10043</c:v>
                </c:pt>
                <c:pt idx="7">
                  <c:v>10074</c:v>
                </c:pt>
                <c:pt idx="8">
                  <c:v>10105</c:v>
                </c:pt>
                <c:pt idx="9">
                  <c:v>10135</c:v>
                </c:pt>
                <c:pt idx="10">
                  <c:v>10166</c:v>
                </c:pt>
                <c:pt idx="11">
                  <c:v>10196</c:v>
                </c:pt>
                <c:pt idx="12">
                  <c:v>10227</c:v>
                </c:pt>
                <c:pt idx="13">
                  <c:v>10258</c:v>
                </c:pt>
                <c:pt idx="14">
                  <c:v>10287</c:v>
                </c:pt>
                <c:pt idx="15">
                  <c:v>10318</c:v>
                </c:pt>
                <c:pt idx="16">
                  <c:v>10348</c:v>
                </c:pt>
                <c:pt idx="17">
                  <c:v>10379</c:v>
                </c:pt>
                <c:pt idx="18">
                  <c:v>10409</c:v>
                </c:pt>
                <c:pt idx="19">
                  <c:v>10440</c:v>
                </c:pt>
                <c:pt idx="20">
                  <c:v>10471</c:v>
                </c:pt>
                <c:pt idx="21">
                  <c:v>10501</c:v>
                </c:pt>
                <c:pt idx="22">
                  <c:v>10532</c:v>
                </c:pt>
                <c:pt idx="23">
                  <c:v>10562</c:v>
                </c:pt>
                <c:pt idx="24">
                  <c:v>10593</c:v>
                </c:pt>
                <c:pt idx="25">
                  <c:v>10624</c:v>
                </c:pt>
                <c:pt idx="26">
                  <c:v>10652</c:v>
                </c:pt>
                <c:pt idx="27">
                  <c:v>10683</c:v>
                </c:pt>
                <c:pt idx="28">
                  <c:v>10713</c:v>
                </c:pt>
                <c:pt idx="29">
                  <c:v>10744</c:v>
                </c:pt>
                <c:pt idx="30">
                  <c:v>10774</c:v>
                </c:pt>
                <c:pt idx="31">
                  <c:v>10805</c:v>
                </c:pt>
                <c:pt idx="32">
                  <c:v>10836</c:v>
                </c:pt>
                <c:pt idx="33">
                  <c:v>10866</c:v>
                </c:pt>
                <c:pt idx="34">
                  <c:v>10897</c:v>
                </c:pt>
                <c:pt idx="35">
                  <c:v>10927</c:v>
                </c:pt>
                <c:pt idx="36">
                  <c:v>10958</c:v>
                </c:pt>
                <c:pt idx="37">
                  <c:v>10989</c:v>
                </c:pt>
                <c:pt idx="38">
                  <c:v>11017</c:v>
                </c:pt>
                <c:pt idx="39">
                  <c:v>11048</c:v>
                </c:pt>
                <c:pt idx="40">
                  <c:v>11078</c:v>
                </c:pt>
                <c:pt idx="41">
                  <c:v>11109</c:v>
                </c:pt>
                <c:pt idx="42">
                  <c:v>11139</c:v>
                </c:pt>
                <c:pt idx="43">
                  <c:v>11170</c:v>
                </c:pt>
                <c:pt idx="44">
                  <c:v>11201</c:v>
                </c:pt>
                <c:pt idx="45">
                  <c:v>11231</c:v>
                </c:pt>
                <c:pt idx="46">
                  <c:v>11262</c:v>
                </c:pt>
                <c:pt idx="47">
                  <c:v>11292</c:v>
                </c:pt>
                <c:pt idx="48">
                  <c:v>11323</c:v>
                </c:pt>
                <c:pt idx="49">
                  <c:v>11354</c:v>
                </c:pt>
                <c:pt idx="50">
                  <c:v>11382</c:v>
                </c:pt>
                <c:pt idx="51">
                  <c:v>11413</c:v>
                </c:pt>
                <c:pt idx="52">
                  <c:v>11443</c:v>
                </c:pt>
                <c:pt idx="53">
                  <c:v>11474</c:v>
                </c:pt>
                <c:pt idx="54">
                  <c:v>11504</c:v>
                </c:pt>
                <c:pt idx="55">
                  <c:v>11535</c:v>
                </c:pt>
                <c:pt idx="56">
                  <c:v>11566</c:v>
                </c:pt>
                <c:pt idx="57">
                  <c:v>11596</c:v>
                </c:pt>
                <c:pt idx="58">
                  <c:v>11627</c:v>
                </c:pt>
                <c:pt idx="59">
                  <c:v>11657</c:v>
                </c:pt>
                <c:pt idx="60">
                  <c:v>11688</c:v>
                </c:pt>
                <c:pt idx="61">
                  <c:v>11719</c:v>
                </c:pt>
                <c:pt idx="62">
                  <c:v>11748</c:v>
                </c:pt>
                <c:pt idx="63">
                  <c:v>11779</c:v>
                </c:pt>
                <c:pt idx="64">
                  <c:v>11809</c:v>
                </c:pt>
                <c:pt idx="65">
                  <c:v>11840</c:v>
                </c:pt>
                <c:pt idx="66">
                  <c:v>11870</c:v>
                </c:pt>
                <c:pt idx="67">
                  <c:v>11901</c:v>
                </c:pt>
                <c:pt idx="68">
                  <c:v>11932</c:v>
                </c:pt>
                <c:pt idx="69">
                  <c:v>11962</c:v>
                </c:pt>
                <c:pt idx="70">
                  <c:v>11993</c:v>
                </c:pt>
                <c:pt idx="71">
                  <c:v>12023</c:v>
                </c:pt>
                <c:pt idx="72">
                  <c:v>12054</c:v>
                </c:pt>
                <c:pt idx="73">
                  <c:v>12085</c:v>
                </c:pt>
                <c:pt idx="74">
                  <c:v>12113</c:v>
                </c:pt>
                <c:pt idx="75">
                  <c:v>12144</c:v>
                </c:pt>
                <c:pt idx="76">
                  <c:v>12174</c:v>
                </c:pt>
                <c:pt idx="77">
                  <c:v>12205</c:v>
                </c:pt>
                <c:pt idx="78">
                  <c:v>12235</c:v>
                </c:pt>
                <c:pt idx="79">
                  <c:v>12266</c:v>
                </c:pt>
                <c:pt idx="80">
                  <c:v>12297</c:v>
                </c:pt>
                <c:pt idx="81">
                  <c:v>12327</c:v>
                </c:pt>
                <c:pt idx="82">
                  <c:v>12358</c:v>
                </c:pt>
                <c:pt idx="83">
                  <c:v>12388</c:v>
                </c:pt>
                <c:pt idx="84">
                  <c:v>12419</c:v>
                </c:pt>
                <c:pt idx="85">
                  <c:v>12450</c:v>
                </c:pt>
                <c:pt idx="86">
                  <c:v>12478</c:v>
                </c:pt>
                <c:pt idx="87">
                  <c:v>12509</c:v>
                </c:pt>
                <c:pt idx="88">
                  <c:v>12539</c:v>
                </c:pt>
                <c:pt idx="89">
                  <c:v>12570</c:v>
                </c:pt>
                <c:pt idx="90">
                  <c:v>12600</c:v>
                </c:pt>
                <c:pt idx="91">
                  <c:v>12631</c:v>
                </c:pt>
                <c:pt idx="92">
                  <c:v>12662</c:v>
                </c:pt>
                <c:pt idx="93">
                  <c:v>12692</c:v>
                </c:pt>
                <c:pt idx="94">
                  <c:v>12723</c:v>
                </c:pt>
                <c:pt idx="95">
                  <c:v>12753</c:v>
                </c:pt>
                <c:pt idx="96">
                  <c:v>12784</c:v>
                </c:pt>
                <c:pt idx="97">
                  <c:v>12815</c:v>
                </c:pt>
                <c:pt idx="98">
                  <c:v>12843</c:v>
                </c:pt>
                <c:pt idx="99">
                  <c:v>12874</c:v>
                </c:pt>
                <c:pt idx="100">
                  <c:v>12904</c:v>
                </c:pt>
                <c:pt idx="101">
                  <c:v>12935</c:v>
                </c:pt>
                <c:pt idx="102">
                  <c:v>12965</c:v>
                </c:pt>
                <c:pt idx="103">
                  <c:v>12996</c:v>
                </c:pt>
                <c:pt idx="104">
                  <c:v>13027</c:v>
                </c:pt>
                <c:pt idx="105">
                  <c:v>13057</c:v>
                </c:pt>
                <c:pt idx="106">
                  <c:v>13088</c:v>
                </c:pt>
                <c:pt idx="107">
                  <c:v>13118</c:v>
                </c:pt>
                <c:pt idx="108">
                  <c:v>13149</c:v>
                </c:pt>
                <c:pt idx="109">
                  <c:v>13180</c:v>
                </c:pt>
                <c:pt idx="110">
                  <c:v>13209</c:v>
                </c:pt>
                <c:pt idx="111">
                  <c:v>13240</c:v>
                </c:pt>
                <c:pt idx="112">
                  <c:v>13270</c:v>
                </c:pt>
                <c:pt idx="113">
                  <c:v>13301</c:v>
                </c:pt>
                <c:pt idx="114">
                  <c:v>13331</c:v>
                </c:pt>
                <c:pt idx="115">
                  <c:v>13362</c:v>
                </c:pt>
                <c:pt idx="116">
                  <c:v>13393</c:v>
                </c:pt>
                <c:pt idx="117">
                  <c:v>13423</c:v>
                </c:pt>
                <c:pt idx="118">
                  <c:v>13454</c:v>
                </c:pt>
                <c:pt idx="119">
                  <c:v>13484</c:v>
                </c:pt>
                <c:pt idx="120">
                  <c:v>13515</c:v>
                </c:pt>
                <c:pt idx="121">
                  <c:v>13546</c:v>
                </c:pt>
                <c:pt idx="122">
                  <c:v>13574</c:v>
                </c:pt>
                <c:pt idx="123">
                  <c:v>13605</c:v>
                </c:pt>
                <c:pt idx="124">
                  <c:v>13635</c:v>
                </c:pt>
                <c:pt idx="125">
                  <c:v>13666</c:v>
                </c:pt>
                <c:pt idx="126">
                  <c:v>13696</c:v>
                </c:pt>
                <c:pt idx="127">
                  <c:v>13727</c:v>
                </c:pt>
                <c:pt idx="128">
                  <c:v>13758</c:v>
                </c:pt>
                <c:pt idx="129">
                  <c:v>13788</c:v>
                </c:pt>
                <c:pt idx="130">
                  <c:v>13819</c:v>
                </c:pt>
                <c:pt idx="131">
                  <c:v>13849</c:v>
                </c:pt>
                <c:pt idx="132">
                  <c:v>13880</c:v>
                </c:pt>
                <c:pt idx="133">
                  <c:v>13911</c:v>
                </c:pt>
                <c:pt idx="134">
                  <c:v>13939</c:v>
                </c:pt>
                <c:pt idx="135">
                  <c:v>13970</c:v>
                </c:pt>
                <c:pt idx="136">
                  <c:v>14000</c:v>
                </c:pt>
                <c:pt idx="137">
                  <c:v>14031</c:v>
                </c:pt>
                <c:pt idx="138">
                  <c:v>14061</c:v>
                </c:pt>
                <c:pt idx="139">
                  <c:v>14092</c:v>
                </c:pt>
                <c:pt idx="140">
                  <c:v>14123</c:v>
                </c:pt>
                <c:pt idx="141">
                  <c:v>14153</c:v>
                </c:pt>
                <c:pt idx="142">
                  <c:v>14184</c:v>
                </c:pt>
                <c:pt idx="143">
                  <c:v>14214</c:v>
                </c:pt>
                <c:pt idx="144">
                  <c:v>14245</c:v>
                </c:pt>
                <c:pt idx="145">
                  <c:v>14276</c:v>
                </c:pt>
                <c:pt idx="146">
                  <c:v>14304</c:v>
                </c:pt>
                <c:pt idx="147">
                  <c:v>14335</c:v>
                </c:pt>
                <c:pt idx="148">
                  <c:v>14365</c:v>
                </c:pt>
                <c:pt idx="149">
                  <c:v>14396</c:v>
                </c:pt>
                <c:pt idx="150">
                  <c:v>14426</c:v>
                </c:pt>
                <c:pt idx="151">
                  <c:v>14457</c:v>
                </c:pt>
                <c:pt idx="152">
                  <c:v>14488</c:v>
                </c:pt>
                <c:pt idx="153">
                  <c:v>14518</c:v>
                </c:pt>
                <c:pt idx="154">
                  <c:v>14549</c:v>
                </c:pt>
                <c:pt idx="155">
                  <c:v>14579</c:v>
                </c:pt>
                <c:pt idx="156">
                  <c:v>14610</c:v>
                </c:pt>
                <c:pt idx="157">
                  <c:v>14641</c:v>
                </c:pt>
                <c:pt idx="158">
                  <c:v>14670</c:v>
                </c:pt>
                <c:pt idx="159">
                  <c:v>14701</c:v>
                </c:pt>
                <c:pt idx="160">
                  <c:v>14731</c:v>
                </c:pt>
                <c:pt idx="161">
                  <c:v>14762</c:v>
                </c:pt>
                <c:pt idx="162">
                  <c:v>14792</c:v>
                </c:pt>
                <c:pt idx="163">
                  <c:v>14823</c:v>
                </c:pt>
                <c:pt idx="164">
                  <c:v>14854</c:v>
                </c:pt>
                <c:pt idx="165">
                  <c:v>14884</c:v>
                </c:pt>
                <c:pt idx="166">
                  <c:v>14915</c:v>
                </c:pt>
                <c:pt idx="167">
                  <c:v>14945</c:v>
                </c:pt>
                <c:pt idx="168">
                  <c:v>14976</c:v>
                </c:pt>
                <c:pt idx="169">
                  <c:v>15007</c:v>
                </c:pt>
                <c:pt idx="170">
                  <c:v>15035</c:v>
                </c:pt>
                <c:pt idx="171">
                  <c:v>15066</c:v>
                </c:pt>
                <c:pt idx="172">
                  <c:v>15096</c:v>
                </c:pt>
                <c:pt idx="173">
                  <c:v>15127</c:v>
                </c:pt>
                <c:pt idx="174">
                  <c:v>15157</c:v>
                </c:pt>
                <c:pt idx="175">
                  <c:v>15188</c:v>
                </c:pt>
                <c:pt idx="176">
                  <c:v>15219</c:v>
                </c:pt>
                <c:pt idx="177">
                  <c:v>15249</c:v>
                </c:pt>
                <c:pt idx="178">
                  <c:v>15280</c:v>
                </c:pt>
                <c:pt idx="179">
                  <c:v>15310</c:v>
                </c:pt>
                <c:pt idx="180">
                  <c:v>15341</c:v>
                </c:pt>
                <c:pt idx="181">
                  <c:v>15372</c:v>
                </c:pt>
                <c:pt idx="182">
                  <c:v>15400</c:v>
                </c:pt>
                <c:pt idx="183">
                  <c:v>15431</c:v>
                </c:pt>
                <c:pt idx="184">
                  <c:v>15461</c:v>
                </c:pt>
                <c:pt idx="185">
                  <c:v>15492</c:v>
                </c:pt>
                <c:pt idx="186">
                  <c:v>15522</c:v>
                </c:pt>
                <c:pt idx="187">
                  <c:v>15553</c:v>
                </c:pt>
                <c:pt idx="188">
                  <c:v>15584</c:v>
                </c:pt>
                <c:pt idx="189">
                  <c:v>15614</c:v>
                </c:pt>
                <c:pt idx="190">
                  <c:v>15645</c:v>
                </c:pt>
                <c:pt idx="191">
                  <c:v>15675</c:v>
                </c:pt>
                <c:pt idx="192">
                  <c:v>15706</c:v>
                </c:pt>
                <c:pt idx="193">
                  <c:v>15737</c:v>
                </c:pt>
                <c:pt idx="194">
                  <c:v>15765</c:v>
                </c:pt>
                <c:pt idx="195">
                  <c:v>15796</c:v>
                </c:pt>
                <c:pt idx="196">
                  <c:v>15826</c:v>
                </c:pt>
                <c:pt idx="197">
                  <c:v>15857</c:v>
                </c:pt>
                <c:pt idx="198">
                  <c:v>15887</c:v>
                </c:pt>
                <c:pt idx="199">
                  <c:v>15918</c:v>
                </c:pt>
                <c:pt idx="200">
                  <c:v>15949</c:v>
                </c:pt>
                <c:pt idx="201">
                  <c:v>15979</c:v>
                </c:pt>
                <c:pt idx="202">
                  <c:v>16010</c:v>
                </c:pt>
                <c:pt idx="203">
                  <c:v>16040</c:v>
                </c:pt>
                <c:pt idx="204">
                  <c:v>16071</c:v>
                </c:pt>
                <c:pt idx="205">
                  <c:v>16102</c:v>
                </c:pt>
                <c:pt idx="206">
                  <c:v>16131</c:v>
                </c:pt>
                <c:pt idx="207">
                  <c:v>16162</c:v>
                </c:pt>
                <c:pt idx="208">
                  <c:v>16192</c:v>
                </c:pt>
                <c:pt idx="209">
                  <c:v>16223</c:v>
                </c:pt>
                <c:pt idx="210">
                  <c:v>16253</c:v>
                </c:pt>
                <c:pt idx="211">
                  <c:v>16284</c:v>
                </c:pt>
                <c:pt idx="212">
                  <c:v>16315</c:v>
                </c:pt>
                <c:pt idx="213">
                  <c:v>16345</c:v>
                </c:pt>
                <c:pt idx="214">
                  <c:v>16376</c:v>
                </c:pt>
                <c:pt idx="215">
                  <c:v>16406</c:v>
                </c:pt>
                <c:pt idx="216">
                  <c:v>16437</c:v>
                </c:pt>
                <c:pt idx="217">
                  <c:v>16468</c:v>
                </c:pt>
                <c:pt idx="218">
                  <c:v>16496</c:v>
                </c:pt>
                <c:pt idx="219">
                  <c:v>16527</c:v>
                </c:pt>
                <c:pt idx="220">
                  <c:v>16557</c:v>
                </c:pt>
                <c:pt idx="221">
                  <c:v>16588</c:v>
                </c:pt>
                <c:pt idx="222">
                  <c:v>16618</c:v>
                </c:pt>
                <c:pt idx="223">
                  <c:v>16649</c:v>
                </c:pt>
                <c:pt idx="224">
                  <c:v>16680</c:v>
                </c:pt>
                <c:pt idx="225">
                  <c:v>16710</c:v>
                </c:pt>
                <c:pt idx="226">
                  <c:v>16741</c:v>
                </c:pt>
                <c:pt idx="227">
                  <c:v>16771</c:v>
                </c:pt>
                <c:pt idx="228">
                  <c:v>16802</c:v>
                </c:pt>
                <c:pt idx="229">
                  <c:v>16833</c:v>
                </c:pt>
                <c:pt idx="230">
                  <c:v>16861</c:v>
                </c:pt>
                <c:pt idx="231">
                  <c:v>16892</c:v>
                </c:pt>
                <c:pt idx="232">
                  <c:v>16922</c:v>
                </c:pt>
                <c:pt idx="233">
                  <c:v>16953</c:v>
                </c:pt>
                <c:pt idx="234">
                  <c:v>16983</c:v>
                </c:pt>
                <c:pt idx="235">
                  <c:v>17014</c:v>
                </c:pt>
                <c:pt idx="236">
                  <c:v>17045</c:v>
                </c:pt>
                <c:pt idx="237">
                  <c:v>17075</c:v>
                </c:pt>
                <c:pt idx="238">
                  <c:v>17106</c:v>
                </c:pt>
                <c:pt idx="239">
                  <c:v>17136</c:v>
                </c:pt>
                <c:pt idx="240">
                  <c:v>17167</c:v>
                </c:pt>
                <c:pt idx="241">
                  <c:v>17198</c:v>
                </c:pt>
                <c:pt idx="242">
                  <c:v>17226</c:v>
                </c:pt>
                <c:pt idx="243">
                  <c:v>17257</c:v>
                </c:pt>
                <c:pt idx="244">
                  <c:v>17287</c:v>
                </c:pt>
                <c:pt idx="245">
                  <c:v>17318</c:v>
                </c:pt>
                <c:pt idx="246">
                  <c:v>17348</c:v>
                </c:pt>
                <c:pt idx="247">
                  <c:v>17379</c:v>
                </c:pt>
                <c:pt idx="248">
                  <c:v>17410</c:v>
                </c:pt>
                <c:pt idx="249">
                  <c:v>17440</c:v>
                </c:pt>
                <c:pt idx="250">
                  <c:v>17471</c:v>
                </c:pt>
                <c:pt idx="251">
                  <c:v>17501</c:v>
                </c:pt>
                <c:pt idx="252">
                  <c:v>17532</c:v>
                </c:pt>
                <c:pt idx="253">
                  <c:v>17563</c:v>
                </c:pt>
                <c:pt idx="254">
                  <c:v>17592</c:v>
                </c:pt>
                <c:pt idx="255">
                  <c:v>17623</c:v>
                </c:pt>
                <c:pt idx="256">
                  <c:v>17653</c:v>
                </c:pt>
                <c:pt idx="257">
                  <c:v>17684</c:v>
                </c:pt>
                <c:pt idx="258">
                  <c:v>17714</c:v>
                </c:pt>
                <c:pt idx="259">
                  <c:v>17745</c:v>
                </c:pt>
                <c:pt idx="260">
                  <c:v>17776</c:v>
                </c:pt>
                <c:pt idx="261">
                  <c:v>17806</c:v>
                </c:pt>
                <c:pt idx="262">
                  <c:v>17837</c:v>
                </c:pt>
                <c:pt idx="263">
                  <c:v>17867</c:v>
                </c:pt>
                <c:pt idx="264">
                  <c:v>17898</c:v>
                </c:pt>
                <c:pt idx="265">
                  <c:v>17929</c:v>
                </c:pt>
                <c:pt idx="266">
                  <c:v>17957</c:v>
                </c:pt>
                <c:pt idx="267">
                  <c:v>17988</c:v>
                </c:pt>
                <c:pt idx="268">
                  <c:v>18018</c:v>
                </c:pt>
                <c:pt idx="269">
                  <c:v>18049</c:v>
                </c:pt>
                <c:pt idx="270">
                  <c:v>18079</c:v>
                </c:pt>
                <c:pt idx="271">
                  <c:v>18110</c:v>
                </c:pt>
                <c:pt idx="272">
                  <c:v>18141</c:v>
                </c:pt>
                <c:pt idx="273">
                  <c:v>18171</c:v>
                </c:pt>
                <c:pt idx="274">
                  <c:v>18202</c:v>
                </c:pt>
                <c:pt idx="275">
                  <c:v>18232</c:v>
                </c:pt>
                <c:pt idx="276">
                  <c:v>18263</c:v>
                </c:pt>
                <c:pt idx="277">
                  <c:v>18294</c:v>
                </c:pt>
                <c:pt idx="278">
                  <c:v>18322</c:v>
                </c:pt>
                <c:pt idx="279">
                  <c:v>18353</c:v>
                </c:pt>
                <c:pt idx="280">
                  <c:v>18383</c:v>
                </c:pt>
                <c:pt idx="281">
                  <c:v>18414</c:v>
                </c:pt>
                <c:pt idx="282">
                  <c:v>18444</c:v>
                </c:pt>
                <c:pt idx="283">
                  <c:v>18475</c:v>
                </c:pt>
                <c:pt idx="284">
                  <c:v>18506</c:v>
                </c:pt>
                <c:pt idx="285">
                  <c:v>18536</c:v>
                </c:pt>
                <c:pt idx="286">
                  <c:v>18567</c:v>
                </c:pt>
                <c:pt idx="287">
                  <c:v>18597</c:v>
                </c:pt>
                <c:pt idx="288">
                  <c:v>18628</c:v>
                </c:pt>
                <c:pt idx="289">
                  <c:v>18659</c:v>
                </c:pt>
                <c:pt idx="290">
                  <c:v>18687</c:v>
                </c:pt>
                <c:pt idx="291">
                  <c:v>18718</c:v>
                </c:pt>
                <c:pt idx="292">
                  <c:v>18748</c:v>
                </c:pt>
                <c:pt idx="293">
                  <c:v>18779</c:v>
                </c:pt>
                <c:pt idx="294">
                  <c:v>18809</c:v>
                </c:pt>
                <c:pt idx="295">
                  <c:v>18840</c:v>
                </c:pt>
                <c:pt idx="296">
                  <c:v>18871</c:v>
                </c:pt>
                <c:pt idx="297">
                  <c:v>18901</c:v>
                </c:pt>
                <c:pt idx="298">
                  <c:v>18932</c:v>
                </c:pt>
                <c:pt idx="299">
                  <c:v>18962</c:v>
                </c:pt>
                <c:pt idx="300">
                  <c:v>18993</c:v>
                </c:pt>
                <c:pt idx="301">
                  <c:v>19024</c:v>
                </c:pt>
                <c:pt idx="302">
                  <c:v>19053</c:v>
                </c:pt>
                <c:pt idx="303">
                  <c:v>19084</c:v>
                </c:pt>
                <c:pt idx="304">
                  <c:v>19114</c:v>
                </c:pt>
                <c:pt idx="305">
                  <c:v>19145</c:v>
                </c:pt>
                <c:pt idx="306">
                  <c:v>19175</c:v>
                </c:pt>
                <c:pt idx="307">
                  <c:v>19206</c:v>
                </c:pt>
                <c:pt idx="308">
                  <c:v>19237</c:v>
                </c:pt>
                <c:pt idx="309">
                  <c:v>19267</c:v>
                </c:pt>
                <c:pt idx="310">
                  <c:v>19298</c:v>
                </c:pt>
                <c:pt idx="311">
                  <c:v>19328</c:v>
                </c:pt>
                <c:pt idx="312">
                  <c:v>19359</c:v>
                </c:pt>
                <c:pt idx="313">
                  <c:v>19390</c:v>
                </c:pt>
                <c:pt idx="314">
                  <c:v>19418</c:v>
                </c:pt>
                <c:pt idx="315">
                  <c:v>19449</c:v>
                </c:pt>
                <c:pt idx="316">
                  <c:v>19479</c:v>
                </c:pt>
                <c:pt idx="317">
                  <c:v>19510</c:v>
                </c:pt>
                <c:pt idx="318">
                  <c:v>19540</c:v>
                </c:pt>
                <c:pt idx="319">
                  <c:v>19571</c:v>
                </c:pt>
                <c:pt idx="320">
                  <c:v>19602</c:v>
                </c:pt>
                <c:pt idx="321">
                  <c:v>19632</c:v>
                </c:pt>
                <c:pt idx="322">
                  <c:v>19663</c:v>
                </c:pt>
                <c:pt idx="323">
                  <c:v>19693</c:v>
                </c:pt>
                <c:pt idx="324">
                  <c:v>19724</c:v>
                </c:pt>
                <c:pt idx="325">
                  <c:v>19755</c:v>
                </c:pt>
                <c:pt idx="326">
                  <c:v>19783</c:v>
                </c:pt>
                <c:pt idx="327">
                  <c:v>19814</c:v>
                </c:pt>
                <c:pt idx="328">
                  <c:v>19844</c:v>
                </c:pt>
                <c:pt idx="329">
                  <c:v>19875</c:v>
                </c:pt>
                <c:pt idx="330">
                  <c:v>19905</c:v>
                </c:pt>
                <c:pt idx="331">
                  <c:v>19936</c:v>
                </c:pt>
                <c:pt idx="332">
                  <c:v>19967</c:v>
                </c:pt>
                <c:pt idx="333">
                  <c:v>19997</c:v>
                </c:pt>
                <c:pt idx="334">
                  <c:v>20028</c:v>
                </c:pt>
                <c:pt idx="335">
                  <c:v>20058</c:v>
                </c:pt>
                <c:pt idx="336">
                  <c:v>20089</c:v>
                </c:pt>
                <c:pt idx="337">
                  <c:v>20120</c:v>
                </c:pt>
                <c:pt idx="338">
                  <c:v>20148</c:v>
                </c:pt>
                <c:pt idx="339">
                  <c:v>20179</c:v>
                </c:pt>
                <c:pt idx="340">
                  <c:v>20209</c:v>
                </c:pt>
                <c:pt idx="341">
                  <c:v>20240</c:v>
                </c:pt>
                <c:pt idx="342">
                  <c:v>20270</c:v>
                </c:pt>
                <c:pt idx="343">
                  <c:v>20301</c:v>
                </c:pt>
                <c:pt idx="344">
                  <c:v>20332</c:v>
                </c:pt>
                <c:pt idx="345">
                  <c:v>20362</c:v>
                </c:pt>
                <c:pt idx="346">
                  <c:v>20393</c:v>
                </c:pt>
                <c:pt idx="347">
                  <c:v>20423</c:v>
                </c:pt>
                <c:pt idx="348">
                  <c:v>20454</c:v>
                </c:pt>
                <c:pt idx="349">
                  <c:v>20485</c:v>
                </c:pt>
                <c:pt idx="350">
                  <c:v>20514</c:v>
                </c:pt>
                <c:pt idx="351">
                  <c:v>20545</c:v>
                </c:pt>
                <c:pt idx="352">
                  <c:v>20575</c:v>
                </c:pt>
                <c:pt idx="353">
                  <c:v>20606</c:v>
                </c:pt>
                <c:pt idx="354">
                  <c:v>20636</c:v>
                </c:pt>
                <c:pt idx="355">
                  <c:v>20667</c:v>
                </c:pt>
                <c:pt idx="356">
                  <c:v>20698</c:v>
                </c:pt>
                <c:pt idx="357">
                  <c:v>20728</c:v>
                </c:pt>
                <c:pt idx="358">
                  <c:v>20759</c:v>
                </c:pt>
                <c:pt idx="359">
                  <c:v>20789</c:v>
                </c:pt>
                <c:pt idx="360">
                  <c:v>20820</c:v>
                </c:pt>
                <c:pt idx="361">
                  <c:v>20851</c:v>
                </c:pt>
                <c:pt idx="362">
                  <c:v>20879</c:v>
                </c:pt>
                <c:pt idx="363">
                  <c:v>20910</c:v>
                </c:pt>
                <c:pt idx="364">
                  <c:v>20940</c:v>
                </c:pt>
                <c:pt idx="365">
                  <c:v>20971</c:v>
                </c:pt>
                <c:pt idx="366">
                  <c:v>21001</c:v>
                </c:pt>
                <c:pt idx="367">
                  <c:v>21032</c:v>
                </c:pt>
                <c:pt idx="368">
                  <c:v>21063</c:v>
                </c:pt>
                <c:pt idx="369">
                  <c:v>21093</c:v>
                </c:pt>
                <c:pt idx="370">
                  <c:v>21124</c:v>
                </c:pt>
                <c:pt idx="371">
                  <c:v>21154</c:v>
                </c:pt>
                <c:pt idx="372">
                  <c:v>21185</c:v>
                </c:pt>
                <c:pt idx="373">
                  <c:v>21216</c:v>
                </c:pt>
                <c:pt idx="374">
                  <c:v>21244</c:v>
                </c:pt>
                <c:pt idx="375">
                  <c:v>21275</c:v>
                </c:pt>
                <c:pt idx="376">
                  <c:v>21305</c:v>
                </c:pt>
                <c:pt idx="377">
                  <c:v>21336</c:v>
                </c:pt>
                <c:pt idx="378">
                  <c:v>21366</c:v>
                </c:pt>
                <c:pt idx="379">
                  <c:v>21397</c:v>
                </c:pt>
                <c:pt idx="380">
                  <c:v>21428</c:v>
                </c:pt>
                <c:pt idx="381">
                  <c:v>21458</c:v>
                </c:pt>
                <c:pt idx="382">
                  <c:v>21489</c:v>
                </c:pt>
                <c:pt idx="383">
                  <c:v>21519</c:v>
                </c:pt>
                <c:pt idx="384">
                  <c:v>21550</c:v>
                </c:pt>
                <c:pt idx="385">
                  <c:v>21581</c:v>
                </c:pt>
                <c:pt idx="386">
                  <c:v>21609</c:v>
                </c:pt>
                <c:pt idx="387">
                  <c:v>21640</c:v>
                </c:pt>
                <c:pt idx="388">
                  <c:v>21670</c:v>
                </c:pt>
                <c:pt idx="389">
                  <c:v>21701</c:v>
                </c:pt>
                <c:pt idx="390">
                  <c:v>21731</c:v>
                </c:pt>
                <c:pt idx="391">
                  <c:v>21762</c:v>
                </c:pt>
                <c:pt idx="392">
                  <c:v>21793</c:v>
                </c:pt>
                <c:pt idx="393">
                  <c:v>21823</c:v>
                </c:pt>
                <c:pt idx="394">
                  <c:v>21854</c:v>
                </c:pt>
                <c:pt idx="395">
                  <c:v>21884</c:v>
                </c:pt>
                <c:pt idx="396">
                  <c:v>21915</c:v>
                </c:pt>
                <c:pt idx="397">
                  <c:v>21946</c:v>
                </c:pt>
                <c:pt idx="398">
                  <c:v>21975</c:v>
                </c:pt>
                <c:pt idx="399">
                  <c:v>22006</c:v>
                </c:pt>
                <c:pt idx="400">
                  <c:v>22036</c:v>
                </c:pt>
                <c:pt idx="401">
                  <c:v>22067</c:v>
                </c:pt>
                <c:pt idx="402">
                  <c:v>22097</c:v>
                </c:pt>
                <c:pt idx="403">
                  <c:v>22128</c:v>
                </c:pt>
                <c:pt idx="404">
                  <c:v>22159</c:v>
                </c:pt>
                <c:pt idx="405">
                  <c:v>22189</c:v>
                </c:pt>
                <c:pt idx="406">
                  <c:v>22220</c:v>
                </c:pt>
                <c:pt idx="407">
                  <c:v>22250</c:v>
                </c:pt>
                <c:pt idx="408">
                  <c:v>22281</c:v>
                </c:pt>
                <c:pt idx="409">
                  <c:v>22312</c:v>
                </c:pt>
                <c:pt idx="410">
                  <c:v>22340</c:v>
                </c:pt>
                <c:pt idx="411">
                  <c:v>22371</c:v>
                </c:pt>
                <c:pt idx="412">
                  <c:v>22401</c:v>
                </c:pt>
                <c:pt idx="413">
                  <c:v>22432</c:v>
                </c:pt>
                <c:pt idx="414">
                  <c:v>22462</c:v>
                </c:pt>
                <c:pt idx="415">
                  <c:v>22493</c:v>
                </c:pt>
                <c:pt idx="416">
                  <c:v>22524</c:v>
                </c:pt>
                <c:pt idx="417">
                  <c:v>22554</c:v>
                </c:pt>
                <c:pt idx="418">
                  <c:v>22585</c:v>
                </c:pt>
                <c:pt idx="419">
                  <c:v>22615</c:v>
                </c:pt>
                <c:pt idx="420">
                  <c:v>22646</c:v>
                </c:pt>
                <c:pt idx="421">
                  <c:v>22677</c:v>
                </c:pt>
                <c:pt idx="422">
                  <c:v>22705</c:v>
                </c:pt>
                <c:pt idx="423">
                  <c:v>22736</c:v>
                </c:pt>
                <c:pt idx="424">
                  <c:v>22766</c:v>
                </c:pt>
                <c:pt idx="425">
                  <c:v>22797</c:v>
                </c:pt>
                <c:pt idx="426">
                  <c:v>22827</c:v>
                </c:pt>
                <c:pt idx="427">
                  <c:v>22858</c:v>
                </c:pt>
                <c:pt idx="428">
                  <c:v>22889</c:v>
                </c:pt>
                <c:pt idx="429">
                  <c:v>22919</c:v>
                </c:pt>
                <c:pt idx="430">
                  <c:v>22950</c:v>
                </c:pt>
                <c:pt idx="431">
                  <c:v>22980</c:v>
                </c:pt>
                <c:pt idx="432">
                  <c:v>23011</c:v>
                </c:pt>
                <c:pt idx="433">
                  <c:v>23042</c:v>
                </c:pt>
                <c:pt idx="434">
                  <c:v>23070</c:v>
                </c:pt>
                <c:pt idx="435">
                  <c:v>23101</c:v>
                </c:pt>
                <c:pt idx="436">
                  <c:v>23131</c:v>
                </c:pt>
                <c:pt idx="437">
                  <c:v>23162</c:v>
                </c:pt>
                <c:pt idx="438">
                  <c:v>23192</c:v>
                </c:pt>
                <c:pt idx="439">
                  <c:v>23223</c:v>
                </c:pt>
                <c:pt idx="440">
                  <c:v>23254</c:v>
                </c:pt>
                <c:pt idx="441">
                  <c:v>23284</c:v>
                </c:pt>
                <c:pt idx="442">
                  <c:v>23315</c:v>
                </c:pt>
                <c:pt idx="443">
                  <c:v>23345</c:v>
                </c:pt>
                <c:pt idx="444">
                  <c:v>23376</c:v>
                </c:pt>
                <c:pt idx="445">
                  <c:v>23407</c:v>
                </c:pt>
                <c:pt idx="446">
                  <c:v>23436</c:v>
                </c:pt>
                <c:pt idx="447">
                  <c:v>23467</c:v>
                </c:pt>
                <c:pt idx="448">
                  <c:v>23497</c:v>
                </c:pt>
                <c:pt idx="449">
                  <c:v>23528</c:v>
                </c:pt>
                <c:pt idx="450">
                  <c:v>23558</c:v>
                </c:pt>
                <c:pt idx="451">
                  <c:v>23589</c:v>
                </c:pt>
                <c:pt idx="452">
                  <c:v>23620</c:v>
                </c:pt>
                <c:pt idx="453">
                  <c:v>23650</c:v>
                </c:pt>
                <c:pt idx="454">
                  <c:v>23681</c:v>
                </c:pt>
                <c:pt idx="455">
                  <c:v>23711</c:v>
                </c:pt>
                <c:pt idx="456">
                  <c:v>23742</c:v>
                </c:pt>
                <c:pt idx="457">
                  <c:v>23773</c:v>
                </c:pt>
                <c:pt idx="458">
                  <c:v>23801</c:v>
                </c:pt>
                <c:pt idx="459">
                  <c:v>23832</c:v>
                </c:pt>
                <c:pt idx="460">
                  <c:v>23862</c:v>
                </c:pt>
                <c:pt idx="461">
                  <c:v>23893</c:v>
                </c:pt>
                <c:pt idx="462">
                  <c:v>23923</c:v>
                </c:pt>
                <c:pt idx="463">
                  <c:v>23954</c:v>
                </c:pt>
                <c:pt idx="464">
                  <c:v>23985</c:v>
                </c:pt>
                <c:pt idx="465">
                  <c:v>24015</c:v>
                </c:pt>
                <c:pt idx="466">
                  <c:v>24046</c:v>
                </c:pt>
                <c:pt idx="467">
                  <c:v>24076</c:v>
                </c:pt>
                <c:pt idx="468">
                  <c:v>24107</c:v>
                </c:pt>
                <c:pt idx="469">
                  <c:v>24138</c:v>
                </c:pt>
                <c:pt idx="470">
                  <c:v>24166</c:v>
                </c:pt>
                <c:pt idx="471">
                  <c:v>24197</c:v>
                </c:pt>
                <c:pt idx="472">
                  <c:v>24227</c:v>
                </c:pt>
                <c:pt idx="473">
                  <c:v>24258</c:v>
                </c:pt>
                <c:pt idx="474">
                  <c:v>24288</c:v>
                </c:pt>
                <c:pt idx="475">
                  <c:v>24319</c:v>
                </c:pt>
                <c:pt idx="476">
                  <c:v>24350</c:v>
                </c:pt>
                <c:pt idx="477">
                  <c:v>24380</c:v>
                </c:pt>
                <c:pt idx="478">
                  <c:v>24411</c:v>
                </c:pt>
                <c:pt idx="479">
                  <c:v>24441</c:v>
                </c:pt>
                <c:pt idx="480">
                  <c:v>24472</c:v>
                </c:pt>
                <c:pt idx="481">
                  <c:v>24503</c:v>
                </c:pt>
                <c:pt idx="482">
                  <c:v>24531</c:v>
                </c:pt>
                <c:pt idx="483">
                  <c:v>24562</c:v>
                </c:pt>
                <c:pt idx="484">
                  <c:v>24592</c:v>
                </c:pt>
                <c:pt idx="485">
                  <c:v>24623</c:v>
                </c:pt>
                <c:pt idx="486">
                  <c:v>24653</c:v>
                </c:pt>
                <c:pt idx="487">
                  <c:v>24684</c:v>
                </c:pt>
                <c:pt idx="488">
                  <c:v>24715</c:v>
                </c:pt>
                <c:pt idx="489">
                  <c:v>24745</c:v>
                </c:pt>
                <c:pt idx="490">
                  <c:v>24776</c:v>
                </c:pt>
                <c:pt idx="491">
                  <c:v>24806</c:v>
                </c:pt>
                <c:pt idx="492">
                  <c:v>24837</c:v>
                </c:pt>
                <c:pt idx="493">
                  <c:v>24868</c:v>
                </c:pt>
                <c:pt idx="494">
                  <c:v>24897</c:v>
                </c:pt>
                <c:pt idx="495">
                  <c:v>24928</c:v>
                </c:pt>
                <c:pt idx="496">
                  <c:v>24958</c:v>
                </c:pt>
                <c:pt idx="497">
                  <c:v>24989</c:v>
                </c:pt>
                <c:pt idx="498">
                  <c:v>25019</c:v>
                </c:pt>
                <c:pt idx="499">
                  <c:v>25050</c:v>
                </c:pt>
                <c:pt idx="500">
                  <c:v>25081</c:v>
                </c:pt>
                <c:pt idx="501">
                  <c:v>25111</c:v>
                </c:pt>
                <c:pt idx="502">
                  <c:v>25142</c:v>
                </c:pt>
                <c:pt idx="503">
                  <c:v>25172</c:v>
                </c:pt>
                <c:pt idx="504">
                  <c:v>25203</c:v>
                </c:pt>
                <c:pt idx="505">
                  <c:v>25234</c:v>
                </c:pt>
                <c:pt idx="506">
                  <c:v>25262</c:v>
                </c:pt>
                <c:pt idx="507">
                  <c:v>25293</c:v>
                </c:pt>
                <c:pt idx="508">
                  <c:v>25323</c:v>
                </c:pt>
                <c:pt idx="509">
                  <c:v>25354</c:v>
                </c:pt>
                <c:pt idx="510">
                  <c:v>25384</c:v>
                </c:pt>
                <c:pt idx="511">
                  <c:v>25415</c:v>
                </c:pt>
                <c:pt idx="512">
                  <c:v>25446</c:v>
                </c:pt>
                <c:pt idx="513">
                  <c:v>25476</c:v>
                </c:pt>
                <c:pt idx="514">
                  <c:v>25507</c:v>
                </c:pt>
                <c:pt idx="515">
                  <c:v>25537</c:v>
                </c:pt>
                <c:pt idx="516">
                  <c:v>25568</c:v>
                </c:pt>
                <c:pt idx="517">
                  <c:v>25599</c:v>
                </c:pt>
                <c:pt idx="518">
                  <c:v>25627</c:v>
                </c:pt>
                <c:pt idx="519">
                  <c:v>25658</c:v>
                </c:pt>
                <c:pt idx="520">
                  <c:v>25688</c:v>
                </c:pt>
                <c:pt idx="521">
                  <c:v>25719</c:v>
                </c:pt>
                <c:pt idx="522">
                  <c:v>25749</c:v>
                </c:pt>
                <c:pt idx="523">
                  <c:v>25780</c:v>
                </c:pt>
                <c:pt idx="524">
                  <c:v>25811</c:v>
                </c:pt>
                <c:pt idx="525">
                  <c:v>25841</c:v>
                </c:pt>
                <c:pt idx="526">
                  <c:v>25872</c:v>
                </c:pt>
                <c:pt idx="527">
                  <c:v>25902</c:v>
                </c:pt>
                <c:pt idx="528">
                  <c:v>25933</c:v>
                </c:pt>
                <c:pt idx="529">
                  <c:v>25964</c:v>
                </c:pt>
                <c:pt idx="530">
                  <c:v>25992</c:v>
                </c:pt>
                <c:pt idx="531">
                  <c:v>26023</c:v>
                </c:pt>
                <c:pt idx="532">
                  <c:v>26053</c:v>
                </c:pt>
                <c:pt idx="533">
                  <c:v>26084</c:v>
                </c:pt>
                <c:pt idx="534">
                  <c:v>26114</c:v>
                </c:pt>
                <c:pt idx="535">
                  <c:v>26145</c:v>
                </c:pt>
                <c:pt idx="536">
                  <c:v>26176</c:v>
                </c:pt>
                <c:pt idx="537">
                  <c:v>26206</c:v>
                </c:pt>
                <c:pt idx="538">
                  <c:v>26237</c:v>
                </c:pt>
                <c:pt idx="539">
                  <c:v>26267</c:v>
                </c:pt>
                <c:pt idx="540">
                  <c:v>26298</c:v>
                </c:pt>
                <c:pt idx="541">
                  <c:v>26329</c:v>
                </c:pt>
                <c:pt idx="542">
                  <c:v>26358</c:v>
                </c:pt>
                <c:pt idx="543">
                  <c:v>26389</c:v>
                </c:pt>
                <c:pt idx="544">
                  <c:v>26419</c:v>
                </c:pt>
                <c:pt idx="545">
                  <c:v>26450</c:v>
                </c:pt>
                <c:pt idx="546">
                  <c:v>26480</c:v>
                </c:pt>
                <c:pt idx="547">
                  <c:v>26511</c:v>
                </c:pt>
                <c:pt idx="548">
                  <c:v>26542</c:v>
                </c:pt>
                <c:pt idx="549">
                  <c:v>26572</c:v>
                </c:pt>
                <c:pt idx="550">
                  <c:v>26603</c:v>
                </c:pt>
                <c:pt idx="551">
                  <c:v>26633</c:v>
                </c:pt>
                <c:pt idx="552">
                  <c:v>26664</c:v>
                </c:pt>
                <c:pt idx="553">
                  <c:v>26695</c:v>
                </c:pt>
                <c:pt idx="554">
                  <c:v>26723</c:v>
                </c:pt>
                <c:pt idx="555">
                  <c:v>26754</c:v>
                </c:pt>
                <c:pt idx="556">
                  <c:v>26784</c:v>
                </c:pt>
                <c:pt idx="557">
                  <c:v>26815</c:v>
                </c:pt>
                <c:pt idx="558">
                  <c:v>26845</c:v>
                </c:pt>
                <c:pt idx="559">
                  <c:v>26876</c:v>
                </c:pt>
                <c:pt idx="560">
                  <c:v>26907</c:v>
                </c:pt>
                <c:pt idx="561">
                  <c:v>26937</c:v>
                </c:pt>
                <c:pt idx="562">
                  <c:v>26968</c:v>
                </c:pt>
                <c:pt idx="563">
                  <c:v>26998</c:v>
                </c:pt>
                <c:pt idx="564">
                  <c:v>27029</c:v>
                </c:pt>
                <c:pt idx="565">
                  <c:v>27060</c:v>
                </c:pt>
                <c:pt idx="566">
                  <c:v>27088</c:v>
                </c:pt>
                <c:pt idx="567">
                  <c:v>27119</c:v>
                </c:pt>
                <c:pt idx="568">
                  <c:v>27149</c:v>
                </c:pt>
                <c:pt idx="569">
                  <c:v>27180</c:v>
                </c:pt>
                <c:pt idx="570">
                  <c:v>27210</c:v>
                </c:pt>
                <c:pt idx="571">
                  <c:v>27241</c:v>
                </c:pt>
                <c:pt idx="572">
                  <c:v>27272</c:v>
                </c:pt>
                <c:pt idx="573">
                  <c:v>27302</c:v>
                </c:pt>
                <c:pt idx="574">
                  <c:v>27333</c:v>
                </c:pt>
                <c:pt idx="575">
                  <c:v>27363</c:v>
                </c:pt>
                <c:pt idx="576">
                  <c:v>27394</c:v>
                </c:pt>
                <c:pt idx="577">
                  <c:v>27425</c:v>
                </c:pt>
                <c:pt idx="578">
                  <c:v>27453</c:v>
                </c:pt>
                <c:pt idx="579">
                  <c:v>27484</c:v>
                </c:pt>
                <c:pt idx="580">
                  <c:v>27514</c:v>
                </c:pt>
                <c:pt idx="581">
                  <c:v>27545</c:v>
                </c:pt>
                <c:pt idx="582">
                  <c:v>27575</c:v>
                </c:pt>
                <c:pt idx="583">
                  <c:v>27606</c:v>
                </c:pt>
                <c:pt idx="584">
                  <c:v>27637</c:v>
                </c:pt>
                <c:pt idx="585">
                  <c:v>27667</c:v>
                </c:pt>
                <c:pt idx="586">
                  <c:v>27698</c:v>
                </c:pt>
                <c:pt idx="587">
                  <c:v>27728</c:v>
                </c:pt>
                <c:pt idx="588">
                  <c:v>27759</c:v>
                </c:pt>
                <c:pt idx="589">
                  <c:v>27790</c:v>
                </c:pt>
                <c:pt idx="590">
                  <c:v>27819</c:v>
                </c:pt>
                <c:pt idx="591">
                  <c:v>27850</c:v>
                </c:pt>
                <c:pt idx="592">
                  <c:v>27880</c:v>
                </c:pt>
                <c:pt idx="593">
                  <c:v>27911</c:v>
                </c:pt>
                <c:pt idx="594">
                  <c:v>27941</c:v>
                </c:pt>
                <c:pt idx="595">
                  <c:v>27972</c:v>
                </c:pt>
                <c:pt idx="596">
                  <c:v>28003</c:v>
                </c:pt>
                <c:pt idx="597">
                  <c:v>28033</c:v>
                </c:pt>
                <c:pt idx="598">
                  <c:v>28064</c:v>
                </c:pt>
                <c:pt idx="599">
                  <c:v>28094</c:v>
                </c:pt>
                <c:pt idx="600">
                  <c:v>28125</c:v>
                </c:pt>
                <c:pt idx="601">
                  <c:v>28156</c:v>
                </c:pt>
                <c:pt idx="602">
                  <c:v>28184</c:v>
                </c:pt>
                <c:pt idx="603">
                  <c:v>28215</c:v>
                </c:pt>
                <c:pt idx="604">
                  <c:v>28245</c:v>
                </c:pt>
                <c:pt idx="605">
                  <c:v>28276</c:v>
                </c:pt>
                <c:pt idx="606">
                  <c:v>28306</c:v>
                </c:pt>
                <c:pt idx="607">
                  <c:v>28337</c:v>
                </c:pt>
                <c:pt idx="608">
                  <c:v>28368</c:v>
                </c:pt>
                <c:pt idx="609">
                  <c:v>28398</c:v>
                </c:pt>
                <c:pt idx="610">
                  <c:v>28429</c:v>
                </c:pt>
                <c:pt idx="611">
                  <c:v>28459</c:v>
                </c:pt>
                <c:pt idx="612">
                  <c:v>28490</c:v>
                </c:pt>
                <c:pt idx="613">
                  <c:v>28521</c:v>
                </c:pt>
                <c:pt idx="614">
                  <c:v>28549</c:v>
                </c:pt>
                <c:pt idx="615">
                  <c:v>28580</c:v>
                </c:pt>
                <c:pt idx="616">
                  <c:v>28610</c:v>
                </c:pt>
                <c:pt idx="617">
                  <c:v>28641</c:v>
                </c:pt>
                <c:pt idx="618">
                  <c:v>28671</c:v>
                </c:pt>
                <c:pt idx="619">
                  <c:v>28702</c:v>
                </c:pt>
                <c:pt idx="620">
                  <c:v>28733</c:v>
                </c:pt>
                <c:pt idx="621">
                  <c:v>28763</c:v>
                </c:pt>
                <c:pt idx="622">
                  <c:v>28794</c:v>
                </c:pt>
                <c:pt idx="623">
                  <c:v>28824</c:v>
                </c:pt>
                <c:pt idx="624">
                  <c:v>28855</c:v>
                </c:pt>
                <c:pt idx="625">
                  <c:v>28886</c:v>
                </c:pt>
                <c:pt idx="626">
                  <c:v>28914</c:v>
                </c:pt>
                <c:pt idx="627">
                  <c:v>28945</c:v>
                </c:pt>
                <c:pt idx="628">
                  <c:v>28975</c:v>
                </c:pt>
                <c:pt idx="629">
                  <c:v>29006</c:v>
                </c:pt>
                <c:pt idx="630">
                  <c:v>29036</c:v>
                </c:pt>
                <c:pt idx="631">
                  <c:v>29067</c:v>
                </c:pt>
                <c:pt idx="632">
                  <c:v>29098</c:v>
                </c:pt>
                <c:pt idx="633">
                  <c:v>29128</c:v>
                </c:pt>
                <c:pt idx="634">
                  <c:v>29159</c:v>
                </c:pt>
                <c:pt idx="635">
                  <c:v>29189</c:v>
                </c:pt>
                <c:pt idx="636">
                  <c:v>29220</c:v>
                </c:pt>
                <c:pt idx="637">
                  <c:v>29251</c:v>
                </c:pt>
                <c:pt idx="638">
                  <c:v>29280</c:v>
                </c:pt>
                <c:pt idx="639">
                  <c:v>29311</c:v>
                </c:pt>
                <c:pt idx="640">
                  <c:v>29341</c:v>
                </c:pt>
                <c:pt idx="641">
                  <c:v>29372</c:v>
                </c:pt>
                <c:pt idx="642">
                  <c:v>29402</c:v>
                </c:pt>
                <c:pt idx="643">
                  <c:v>29433</c:v>
                </c:pt>
                <c:pt idx="644">
                  <c:v>29464</c:v>
                </c:pt>
                <c:pt idx="645">
                  <c:v>29494</c:v>
                </c:pt>
                <c:pt idx="646">
                  <c:v>29525</c:v>
                </c:pt>
                <c:pt idx="647">
                  <c:v>29555</c:v>
                </c:pt>
                <c:pt idx="648">
                  <c:v>29586</c:v>
                </c:pt>
                <c:pt idx="649">
                  <c:v>29617</c:v>
                </c:pt>
                <c:pt idx="650">
                  <c:v>29645</c:v>
                </c:pt>
                <c:pt idx="651">
                  <c:v>29676</c:v>
                </c:pt>
                <c:pt idx="652">
                  <c:v>29706</c:v>
                </c:pt>
                <c:pt idx="653">
                  <c:v>29737</c:v>
                </c:pt>
                <c:pt idx="654">
                  <c:v>29767</c:v>
                </c:pt>
                <c:pt idx="655">
                  <c:v>29798</c:v>
                </c:pt>
                <c:pt idx="656">
                  <c:v>29829</c:v>
                </c:pt>
                <c:pt idx="657">
                  <c:v>29859</c:v>
                </c:pt>
                <c:pt idx="658">
                  <c:v>29890</c:v>
                </c:pt>
                <c:pt idx="659">
                  <c:v>29920</c:v>
                </c:pt>
                <c:pt idx="660">
                  <c:v>29951</c:v>
                </c:pt>
                <c:pt idx="661">
                  <c:v>29982</c:v>
                </c:pt>
                <c:pt idx="662">
                  <c:v>30010</c:v>
                </c:pt>
                <c:pt idx="663">
                  <c:v>30041</c:v>
                </c:pt>
                <c:pt idx="664">
                  <c:v>30071</c:v>
                </c:pt>
                <c:pt idx="665">
                  <c:v>30102</c:v>
                </c:pt>
                <c:pt idx="666">
                  <c:v>30132</c:v>
                </c:pt>
                <c:pt idx="667">
                  <c:v>30163</c:v>
                </c:pt>
                <c:pt idx="668">
                  <c:v>30194</c:v>
                </c:pt>
                <c:pt idx="669">
                  <c:v>30224</c:v>
                </c:pt>
                <c:pt idx="670">
                  <c:v>30255</c:v>
                </c:pt>
                <c:pt idx="671">
                  <c:v>30285</c:v>
                </c:pt>
                <c:pt idx="672">
                  <c:v>30316</c:v>
                </c:pt>
                <c:pt idx="673">
                  <c:v>30347</c:v>
                </c:pt>
                <c:pt idx="674">
                  <c:v>30375</c:v>
                </c:pt>
                <c:pt idx="675">
                  <c:v>30406</c:v>
                </c:pt>
                <c:pt idx="676">
                  <c:v>30436</c:v>
                </c:pt>
                <c:pt idx="677">
                  <c:v>30467</c:v>
                </c:pt>
                <c:pt idx="678">
                  <c:v>30497</c:v>
                </c:pt>
                <c:pt idx="679">
                  <c:v>30528</c:v>
                </c:pt>
                <c:pt idx="680">
                  <c:v>30559</c:v>
                </c:pt>
                <c:pt idx="681">
                  <c:v>30589</c:v>
                </c:pt>
                <c:pt idx="682">
                  <c:v>30620</c:v>
                </c:pt>
                <c:pt idx="683">
                  <c:v>30650</c:v>
                </c:pt>
                <c:pt idx="684">
                  <c:v>30681</c:v>
                </c:pt>
                <c:pt idx="685">
                  <c:v>30712</c:v>
                </c:pt>
                <c:pt idx="686">
                  <c:v>30741</c:v>
                </c:pt>
                <c:pt idx="687">
                  <c:v>30772</c:v>
                </c:pt>
                <c:pt idx="688">
                  <c:v>30802</c:v>
                </c:pt>
                <c:pt idx="689">
                  <c:v>30833</c:v>
                </c:pt>
                <c:pt idx="690">
                  <c:v>30863</c:v>
                </c:pt>
                <c:pt idx="691">
                  <c:v>30894</c:v>
                </c:pt>
                <c:pt idx="692">
                  <c:v>30925</c:v>
                </c:pt>
                <c:pt idx="693">
                  <c:v>30955</c:v>
                </c:pt>
                <c:pt idx="694">
                  <c:v>30986</c:v>
                </c:pt>
                <c:pt idx="695">
                  <c:v>31016</c:v>
                </c:pt>
                <c:pt idx="696">
                  <c:v>31047</c:v>
                </c:pt>
                <c:pt idx="697">
                  <c:v>31078</c:v>
                </c:pt>
                <c:pt idx="698">
                  <c:v>31106</c:v>
                </c:pt>
                <c:pt idx="699">
                  <c:v>31137</c:v>
                </c:pt>
                <c:pt idx="700">
                  <c:v>31167</c:v>
                </c:pt>
                <c:pt idx="701">
                  <c:v>31198</c:v>
                </c:pt>
                <c:pt idx="702">
                  <c:v>31228</c:v>
                </c:pt>
                <c:pt idx="703">
                  <c:v>31259</c:v>
                </c:pt>
                <c:pt idx="704">
                  <c:v>31290</c:v>
                </c:pt>
                <c:pt idx="705">
                  <c:v>31320</c:v>
                </c:pt>
                <c:pt idx="706">
                  <c:v>31351</c:v>
                </c:pt>
                <c:pt idx="707">
                  <c:v>31381</c:v>
                </c:pt>
                <c:pt idx="708">
                  <c:v>31412</c:v>
                </c:pt>
                <c:pt idx="709">
                  <c:v>31443</c:v>
                </c:pt>
                <c:pt idx="710">
                  <c:v>31471</c:v>
                </c:pt>
                <c:pt idx="711">
                  <c:v>31502</c:v>
                </c:pt>
                <c:pt idx="712">
                  <c:v>31532</c:v>
                </c:pt>
                <c:pt idx="713">
                  <c:v>31563</c:v>
                </c:pt>
                <c:pt idx="714">
                  <c:v>31593</c:v>
                </c:pt>
                <c:pt idx="715">
                  <c:v>31624</c:v>
                </c:pt>
                <c:pt idx="716">
                  <c:v>31655</c:v>
                </c:pt>
                <c:pt idx="717">
                  <c:v>31685</c:v>
                </c:pt>
                <c:pt idx="718">
                  <c:v>31716</c:v>
                </c:pt>
                <c:pt idx="719">
                  <c:v>31746</c:v>
                </c:pt>
                <c:pt idx="720">
                  <c:v>31777</c:v>
                </c:pt>
                <c:pt idx="721">
                  <c:v>31808</c:v>
                </c:pt>
                <c:pt idx="722">
                  <c:v>31836</c:v>
                </c:pt>
                <c:pt idx="723">
                  <c:v>31867</c:v>
                </c:pt>
                <c:pt idx="724">
                  <c:v>31897</c:v>
                </c:pt>
                <c:pt idx="725">
                  <c:v>31928</c:v>
                </c:pt>
                <c:pt idx="726">
                  <c:v>31958</c:v>
                </c:pt>
                <c:pt idx="727">
                  <c:v>31989</c:v>
                </c:pt>
                <c:pt idx="728">
                  <c:v>32020</c:v>
                </c:pt>
                <c:pt idx="729">
                  <c:v>32050</c:v>
                </c:pt>
                <c:pt idx="730">
                  <c:v>32081</c:v>
                </c:pt>
                <c:pt idx="731">
                  <c:v>32111</c:v>
                </c:pt>
                <c:pt idx="732">
                  <c:v>32142</c:v>
                </c:pt>
                <c:pt idx="733">
                  <c:v>32173</c:v>
                </c:pt>
                <c:pt idx="734">
                  <c:v>32202</c:v>
                </c:pt>
                <c:pt idx="735">
                  <c:v>32233</c:v>
                </c:pt>
                <c:pt idx="736">
                  <c:v>32263</c:v>
                </c:pt>
                <c:pt idx="737">
                  <c:v>32294</c:v>
                </c:pt>
                <c:pt idx="738">
                  <c:v>32324</c:v>
                </c:pt>
                <c:pt idx="739">
                  <c:v>32355</c:v>
                </c:pt>
                <c:pt idx="740">
                  <c:v>32386</c:v>
                </c:pt>
                <c:pt idx="741">
                  <c:v>32416</c:v>
                </c:pt>
                <c:pt idx="742">
                  <c:v>32447</c:v>
                </c:pt>
                <c:pt idx="743">
                  <c:v>32477</c:v>
                </c:pt>
                <c:pt idx="744">
                  <c:v>32508</c:v>
                </c:pt>
                <c:pt idx="745">
                  <c:v>32539</c:v>
                </c:pt>
                <c:pt idx="746">
                  <c:v>32567</c:v>
                </c:pt>
                <c:pt idx="747">
                  <c:v>32598</c:v>
                </c:pt>
                <c:pt idx="748">
                  <c:v>32628</c:v>
                </c:pt>
                <c:pt idx="749">
                  <c:v>32659</c:v>
                </c:pt>
                <c:pt idx="750">
                  <c:v>32689</c:v>
                </c:pt>
                <c:pt idx="751">
                  <c:v>32720</c:v>
                </c:pt>
                <c:pt idx="752">
                  <c:v>32751</c:v>
                </c:pt>
                <c:pt idx="753">
                  <c:v>32781</c:v>
                </c:pt>
                <c:pt idx="754">
                  <c:v>32812</c:v>
                </c:pt>
                <c:pt idx="755">
                  <c:v>32842</c:v>
                </c:pt>
                <c:pt idx="756">
                  <c:v>32873</c:v>
                </c:pt>
                <c:pt idx="757">
                  <c:v>32904</c:v>
                </c:pt>
                <c:pt idx="758">
                  <c:v>32932</c:v>
                </c:pt>
                <c:pt idx="759">
                  <c:v>32963</c:v>
                </c:pt>
                <c:pt idx="760">
                  <c:v>32993</c:v>
                </c:pt>
                <c:pt idx="761">
                  <c:v>33024</c:v>
                </c:pt>
                <c:pt idx="762">
                  <c:v>33054</c:v>
                </c:pt>
                <c:pt idx="763">
                  <c:v>33085</c:v>
                </c:pt>
                <c:pt idx="764">
                  <c:v>33116</c:v>
                </c:pt>
                <c:pt idx="765">
                  <c:v>33146</c:v>
                </c:pt>
                <c:pt idx="766">
                  <c:v>33177</c:v>
                </c:pt>
                <c:pt idx="767">
                  <c:v>33207</c:v>
                </c:pt>
                <c:pt idx="768">
                  <c:v>33238</c:v>
                </c:pt>
                <c:pt idx="769">
                  <c:v>33269</c:v>
                </c:pt>
                <c:pt idx="770">
                  <c:v>33297</c:v>
                </c:pt>
                <c:pt idx="771">
                  <c:v>33328</c:v>
                </c:pt>
                <c:pt idx="772">
                  <c:v>33358</c:v>
                </c:pt>
                <c:pt idx="773">
                  <c:v>33389</c:v>
                </c:pt>
                <c:pt idx="774">
                  <c:v>33419</c:v>
                </c:pt>
                <c:pt idx="775">
                  <c:v>33450</c:v>
                </c:pt>
                <c:pt idx="776">
                  <c:v>33481</c:v>
                </c:pt>
                <c:pt idx="777">
                  <c:v>33511</c:v>
                </c:pt>
                <c:pt idx="778">
                  <c:v>33542</c:v>
                </c:pt>
                <c:pt idx="779">
                  <c:v>33572</c:v>
                </c:pt>
                <c:pt idx="780">
                  <c:v>33603</c:v>
                </c:pt>
                <c:pt idx="781">
                  <c:v>33634</c:v>
                </c:pt>
                <c:pt idx="782">
                  <c:v>33663</c:v>
                </c:pt>
                <c:pt idx="783">
                  <c:v>33694</c:v>
                </c:pt>
                <c:pt idx="784">
                  <c:v>33724</c:v>
                </c:pt>
                <c:pt idx="785">
                  <c:v>33755</c:v>
                </c:pt>
                <c:pt idx="786">
                  <c:v>33785</c:v>
                </c:pt>
                <c:pt idx="787">
                  <c:v>33816</c:v>
                </c:pt>
                <c:pt idx="788">
                  <c:v>33847</c:v>
                </c:pt>
                <c:pt idx="789">
                  <c:v>33877</c:v>
                </c:pt>
                <c:pt idx="790">
                  <c:v>33908</c:v>
                </c:pt>
                <c:pt idx="791">
                  <c:v>33938</c:v>
                </c:pt>
                <c:pt idx="792">
                  <c:v>33969</c:v>
                </c:pt>
                <c:pt idx="793">
                  <c:v>34000</c:v>
                </c:pt>
                <c:pt idx="794">
                  <c:v>34028</c:v>
                </c:pt>
                <c:pt idx="795">
                  <c:v>34059</c:v>
                </c:pt>
                <c:pt idx="796">
                  <c:v>34089</c:v>
                </c:pt>
                <c:pt idx="797">
                  <c:v>34120</c:v>
                </c:pt>
                <c:pt idx="798">
                  <c:v>34150</c:v>
                </c:pt>
                <c:pt idx="799">
                  <c:v>34181</c:v>
                </c:pt>
                <c:pt idx="800">
                  <c:v>34212</c:v>
                </c:pt>
                <c:pt idx="801">
                  <c:v>34242</c:v>
                </c:pt>
                <c:pt idx="802">
                  <c:v>34273</c:v>
                </c:pt>
                <c:pt idx="803">
                  <c:v>34303</c:v>
                </c:pt>
                <c:pt idx="804">
                  <c:v>34334</c:v>
                </c:pt>
                <c:pt idx="805">
                  <c:v>34365</c:v>
                </c:pt>
                <c:pt idx="806">
                  <c:v>34393</c:v>
                </c:pt>
                <c:pt idx="807">
                  <c:v>34424</c:v>
                </c:pt>
                <c:pt idx="808">
                  <c:v>34454</c:v>
                </c:pt>
                <c:pt idx="809">
                  <c:v>34485</c:v>
                </c:pt>
                <c:pt idx="810">
                  <c:v>34515</c:v>
                </c:pt>
                <c:pt idx="811">
                  <c:v>34546</c:v>
                </c:pt>
                <c:pt idx="812">
                  <c:v>34577</c:v>
                </c:pt>
                <c:pt idx="813">
                  <c:v>34607</c:v>
                </c:pt>
                <c:pt idx="814">
                  <c:v>34638</c:v>
                </c:pt>
                <c:pt idx="815">
                  <c:v>34668</c:v>
                </c:pt>
                <c:pt idx="816">
                  <c:v>34699</c:v>
                </c:pt>
                <c:pt idx="817">
                  <c:v>34730</c:v>
                </c:pt>
                <c:pt idx="818">
                  <c:v>34758</c:v>
                </c:pt>
                <c:pt idx="819">
                  <c:v>34789</c:v>
                </c:pt>
                <c:pt idx="820">
                  <c:v>34819</c:v>
                </c:pt>
                <c:pt idx="821">
                  <c:v>34850</c:v>
                </c:pt>
                <c:pt idx="822">
                  <c:v>34880</c:v>
                </c:pt>
                <c:pt idx="823">
                  <c:v>34911</c:v>
                </c:pt>
                <c:pt idx="824">
                  <c:v>34942</c:v>
                </c:pt>
                <c:pt idx="825">
                  <c:v>34972</c:v>
                </c:pt>
                <c:pt idx="826">
                  <c:v>35003</c:v>
                </c:pt>
                <c:pt idx="827">
                  <c:v>35033</c:v>
                </c:pt>
                <c:pt idx="828">
                  <c:v>35064</c:v>
                </c:pt>
                <c:pt idx="829">
                  <c:v>35095</c:v>
                </c:pt>
                <c:pt idx="830">
                  <c:v>35124</c:v>
                </c:pt>
                <c:pt idx="831">
                  <c:v>35155</c:v>
                </c:pt>
                <c:pt idx="832">
                  <c:v>35185</c:v>
                </c:pt>
                <c:pt idx="833">
                  <c:v>35216</c:v>
                </c:pt>
                <c:pt idx="834">
                  <c:v>35246</c:v>
                </c:pt>
                <c:pt idx="835">
                  <c:v>35277</c:v>
                </c:pt>
                <c:pt idx="836">
                  <c:v>35308</c:v>
                </c:pt>
                <c:pt idx="837">
                  <c:v>35338</c:v>
                </c:pt>
                <c:pt idx="838">
                  <c:v>35369</c:v>
                </c:pt>
                <c:pt idx="839">
                  <c:v>35399</c:v>
                </c:pt>
                <c:pt idx="840">
                  <c:v>35430</c:v>
                </c:pt>
                <c:pt idx="841">
                  <c:v>35461</c:v>
                </c:pt>
                <c:pt idx="842">
                  <c:v>35489</c:v>
                </c:pt>
                <c:pt idx="843">
                  <c:v>35520</c:v>
                </c:pt>
                <c:pt idx="844">
                  <c:v>35550</c:v>
                </c:pt>
                <c:pt idx="845">
                  <c:v>35581</c:v>
                </c:pt>
                <c:pt idx="846">
                  <c:v>35611</c:v>
                </c:pt>
                <c:pt idx="847">
                  <c:v>35642</c:v>
                </c:pt>
                <c:pt idx="848">
                  <c:v>35673</c:v>
                </c:pt>
                <c:pt idx="849">
                  <c:v>35703</c:v>
                </c:pt>
                <c:pt idx="850">
                  <c:v>35734</c:v>
                </c:pt>
                <c:pt idx="851">
                  <c:v>35764</c:v>
                </c:pt>
                <c:pt idx="852">
                  <c:v>35795</c:v>
                </c:pt>
                <c:pt idx="853">
                  <c:v>35826</c:v>
                </c:pt>
                <c:pt idx="854">
                  <c:v>35854</c:v>
                </c:pt>
                <c:pt idx="855">
                  <c:v>35885</c:v>
                </c:pt>
                <c:pt idx="856">
                  <c:v>35915</c:v>
                </c:pt>
                <c:pt idx="857">
                  <c:v>35946</c:v>
                </c:pt>
                <c:pt idx="858">
                  <c:v>35976</c:v>
                </c:pt>
                <c:pt idx="859">
                  <c:v>36007</c:v>
                </c:pt>
                <c:pt idx="860">
                  <c:v>36038</c:v>
                </c:pt>
                <c:pt idx="861">
                  <c:v>36068</c:v>
                </c:pt>
                <c:pt idx="862">
                  <c:v>36099</c:v>
                </c:pt>
                <c:pt idx="863">
                  <c:v>36129</c:v>
                </c:pt>
                <c:pt idx="864">
                  <c:v>36160</c:v>
                </c:pt>
                <c:pt idx="865">
                  <c:v>36191</c:v>
                </c:pt>
                <c:pt idx="866">
                  <c:v>36219</c:v>
                </c:pt>
                <c:pt idx="867">
                  <c:v>36250</c:v>
                </c:pt>
                <c:pt idx="868">
                  <c:v>36280</c:v>
                </c:pt>
                <c:pt idx="869">
                  <c:v>36311</c:v>
                </c:pt>
                <c:pt idx="870">
                  <c:v>36341</c:v>
                </c:pt>
                <c:pt idx="871">
                  <c:v>36372</c:v>
                </c:pt>
                <c:pt idx="872">
                  <c:v>36403</c:v>
                </c:pt>
                <c:pt idx="873">
                  <c:v>36433</c:v>
                </c:pt>
                <c:pt idx="874">
                  <c:v>36464</c:v>
                </c:pt>
                <c:pt idx="875">
                  <c:v>36494</c:v>
                </c:pt>
                <c:pt idx="876">
                  <c:v>36525</c:v>
                </c:pt>
                <c:pt idx="877">
                  <c:v>36556</c:v>
                </c:pt>
                <c:pt idx="878">
                  <c:v>36585</c:v>
                </c:pt>
                <c:pt idx="879">
                  <c:v>36616</c:v>
                </c:pt>
                <c:pt idx="880">
                  <c:v>36646</c:v>
                </c:pt>
                <c:pt idx="881">
                  <c:v>36677</c:v>
                </c:pt>
                <c:pt idx="882">
                  <c:v>36707</c:v>
                </c:pt>
                <c:pt idx="883">
                  <c:v>36738</c:v>
                </c:pt>
                <c:pt idx="884">
                  <c:v>36769</c:v>
                </c:pt>
                <c:pt idx="885">
                  <c:v>36799</c:v>
                </c:pt>
                <c:pt idx="886">
                  <c:v>36830</c:v>
                </c:pt>
                <c:pt idx="887">
                  <c:v>36860</c:v>
                </c:pt>
                <c:pt idx="888">
                  <c:v>36891</c:v>
                </c:pt>
                <c:pt idx="889">
                  <c:v>36922</c:v>
                </c:pt>
                <c:pt idx="890">
                  <c:v>36950</c:v>
                </c:pt>
                <c:pt idx="891">
                  <c:v>36981</c:v>
                </c:pt>
                <c:pt idx="892">
                  <c:v>37011</c:v>
                </c:pt>
                <c:pt idx="893">
                  <c:v>37042</c:v>
                </c:pt>
                <c:pt idx="894">
                  <c:v>37072</c:v>
                </c:pt>
                <c:pt idx="895">
                  <c:v>37103</c:v>
                </c:pt>
                <c:pt idx="896">
                  <c:v>37134</c:v>
                </c:pt>
                <c:pt idx="897">
                  <c:v>37164</c:v>
                </c:pt>
                <c:pt idx="898">
                  <c:v>37195</c:v>
                </c:pt>
                <c:pt idx="899">
                  <c:v>37225</c:v>
                </c:pt>
                <c:pt idx="900">
                  <c:v>37256</c:v>
                </c:pt>
                <c:pt idx="901">
                  <c:v>37287</c:v>
                </c:pt>
                <c:pt idx="902">
                  <c:v>37315</c:v>
                </c:pt>
                <c:pt idx="903">
                  <c:v>37346</c:v>
                </c:pt>
                <c:pt idx="904">
                  <c:v>37376</c:v>
                </c:pt>
                <c:pt idx="905">
                  <c:v>37407</c:v>
                </c:pt>
                <c:pt idx="906">
                  <c:v>37437</c:v>
                </c:pt>
                <c:pt idx="907">
                  <c:v>37468</c:v>
                </c:pt>
                <c:pt idx="908">
                  <c:v>37499</c:v>
                </c:pt>
                <c:pt idx="909">
                  <c:v>37529</c:v>
                </c:pt>
                <c:pt idx="910">
                  <c:v>37560</c:v>
                </c:pt>
                <c:pt idx="911">
                  <c:v>37590</c:v>
                </c:pt>
                <c:pt idx="912">
                  <c:v>37621</c:v>
                </c:pt>
                <c:pt idx="913">
                  <c:v>37652</c:v>
                </c:pt>
                <c:pt idx="914">
                  <c:v>37680</c:v>
                </c:pt>
                <c:pt idx="915">
                  <c:v>37711</c:v>
                </c:pt>
                <c:pt idx="916">
                  <c:v>37741</c:v>
                </c:pt>
                <c:pt idx="917">
                  <c:v>37772</c:v>
                </c:pt>
                <c:pt idx="918">
                  <c:v>37802</c:v>
                </c:pt>
                <c:pt idx="919">
                  <c:v>37833</c:v>
                </c:pt>
                <c:pt idx="920">
                  <c:v>37864</c:v>
                </c:pt>
                <c:pt idx="921">
                  <c:v>37894</c:v>
                </c:pt>
                <c:pt idx="922">
                  <c:v>37925</c:v>
                </c:pt>
                <c:pt idx="923">
                  <c:v>37955</c:v>
                </c:pt>
                <c:pt idx="924">
                  <c:v>37986</c:v>
                </c:pt>
                <c:pt idx="925">
                  <c:v>38017</c:v>
                </c:pt>
                <c:pt idx="926">
                  <c:v>38046</c:v>
                </c:pt>
                <c:pt idx="927">
                  <c:v>38077</c:v>
                </c:pt>
                <c:pt idx="928">
                  <c:v>38107</c:v>
                </c:pt>
                <c:pt idx="929">
                  <c:v>38138</c:v>
                </c:pt>
                <c:pt idx="930">
                  <c:v>38168</c:v>
                </c:pt>
                <c:pt idx="931">
                  <c:v>38199</c:v>
                </c:pt>
                <c:pt idx="932">
                  <c:v>38230</c:v>
                </c:pt>
                <c:pt idx="933">
                  <c:v>38260</c:v>
                </c:pt>
                <c:pt idx="934">
                  <c:v>38291</c:v>
                </c:pt>
                <c:pt idx="935">
                  <c:v>38321</c:v>
                </c:pt>
                <c:pt idx="936">
                  <c:v>38352</c:v>
                </c:pt>
                <c:pt idx="937">
                  <c:v>38383</c:v>
                </c:pt>
                <c:pt idx="938">
                  <c:v>38411</c:v>
                </c:pt>
                <c:pt idx="939">
                  <c:v>38442</c:v>
                </c:pt>
                <c:pt idx="940">
                  <c:v>38472</c:v>
                </c:pt>
                <c:pt idx="941">
                  <c:v>38503</c:v>
                </c:pt>
                <c:pt idx="942">
                  <c:v>38533</c:v>
                </c:pt>
                <c:pt idx="943">
                  <c:v>38564</c:v>
                </c:pt>
                <c:pt idx="944">
                  <c:v>38595</c:v>
                </c:pt>
                <c:pt idx="945">
                  <c:v>38625</c:v>
                </c:pt>
                <c:pt idx="946">
                  <c:v>38656</c:v>
                </c:pt>
                <c:pt idx="947">
                  <c:v>38686</c:v>
                </c:pt>
                <c:pt idx="948">
                  <c:v>38717</c:v>
                </c:pt>
                <c:pt idx="949">
                  <c:v>38748</c:v>
                </c:pt>
                <c:pt idx="950">
                  <c:v>38776</c:v>
                </c:pt>
                <c:pt idx="951">
                  <c:v>38807</c:v>
                </c:pt>
                <c:pt idx="952">
                  <c:v>38837</c:v>
                </c:pt>
                <c:pt idx="953">
                  <c:v>38868</c:v>
                </c:pt>
                <c:pt idx="954">
                  <c:v>38898</c:v>
                </c:pt>
                <c:pt idx="955">
                  <c:v>38929</c:v>
                </c:pt>
                <c:pt idx="956">
                  <c:v>38960</c:v>
                </c:pt>
                <c:pt idx="957">
                  <c:v>38990</c:v>
                </c:pt>
                <c:pt idx="958">
                  <c:v>39021</c:v>
                </c:pt>
                <c:pt idx="959">
                  <c:v>39051</c:v>
                </c:pt>
                <c:pt idx="960">
                  <c:v>39082</c:v>
                </c:pt>
                <c:pt idx="961">
                  <c:v>39113</c:v>
                </c:pt>
                <c:pt idx="962">
                  <c:v>39141</c:v>
                </c:pt>
                <c:pt idx="963">
                  <c:v>39172</c:v>
                </c:pt>
                <c:pt idx="964">
                  <c:v>39202</c:v>
                </c:pt>
                <c:pt idx="965">
                  <c:v>39233</c:v>
                </c:pt>
                <c:pt idx="966">
                  <c:v>39263</c:v>
                </c:pt>
                <c:pt idx="967">
                  <c:v>39294</c:v>
                </c:pt>
                <c:pt idx="968">
                  <c:v>39325</c:v>
                </c:pt>
                <c:pt idx="969">
                  <c:v>39355</c:v>
                </c:pt>
                <c:pt idx="970">
                  <c:v>39386</c:v>
                </c:pt>
                <c:pt idx="971">
                  <c:v>39416</c:v>
                </c:pt>
                <c:pt idx="972">
                  <c:v>39447</c:v>
                </c:pt>
                <c:pt idx="973">
                  <c:v>39478</c:v>
                </c:pt>
                <c:pt idx="974">
                  <c:v>39507</c:v>
                </c:pt>
                <c:pt idx="975">
                  <c:v>39538</c:v>
                </c:pt>
                <c:pt idx="976">
                  <c:v>39568</c:v>
                </c:pt>
                <c:pt idx="977">
                  <c:v>39599</c:v>
                </c:pt>
                <c:pt idx="978">
                  <c:v>39629</c:v>
                </c:pt>
                <c:pt idx="979">
                  <c:v>39660</c:v>
                </c:pt>
                <c:pt idx="980">
                  <c:v>39691</c:v>
                </c:pt>
                <c:pt idx="981">
                  <c:v>39721</c:v>
                </c:pt>
                <c:pt idx="982">
                  <c:v>39752</c:v>
                </c:pt>
                <c:pt idx="983">
                  <c:v>39782</c:v>
                </c:pt>
                <c:pt idx="984">
                  <c:v>39813</c:v>
                </c:pt>
                <c:pt idx="985">
                  <c:v>39844</c:v>
                </c:pt>
                <c:pt idx="986">
                  <c:v>39872</c:v>
                </c:pt>
                <c:pt idx="987">
                  <c:v>39903</c:v>
                </c:pt>
                <c:pt idx="988">
                  <c:v>39933</c:v>
                </c:pt>
                <c:pt idx="989">
                  <c:v>39964</c:v>
                </c:pt>
                <c:pt idx="990">
                  <c:v>39994</c:v>
                </c:pt>
                <c:pt idx="991">
                  <c:v>40025</c:v>
                </c:pt>
                <c:pt idx="992">
                  <c:v>40056</c:v>
                </c:pt>
                <c:pt idx="993">
                  <c:v>40086</c:v>
                </c:pt>
                <c:pt idx="994">
                  <c:v>40117</c:v>
                </c:pt>
                <c:pt idx="995">
                  <c:v>40147</c:v>
                </c:pt>
                <c:pt idx="996">
                  <c:v>40178</c:v>
                </c:pt>
                <c:pt idx="997">
                  <c:v>40209</c:v>
                </c:pt>
                <c:pt idx="998">
                  <c:v>40237</c:v>
                </c:pt>
                <c:pt idx="999">
                  <c:v>40268</c:v>
                </c:pt>
                <c:pt idx="1000">
                  <c:v>40298</c:v>
                </c:pt>
                <c:pt idx="1001">
                  <c:v>40329</c:v>
                </c:pt>
                <c:pt idx="1002">
                  <c:v>40359</c:v>
                </c:pt>
                <c:pt idx="1003">
                  <c:v>40390</c:v>
                </c:pt>
                <c:pt idx="1004">
                  <c:v>40421</c:v>
                </c:pt>
                <c:pt idx="1005">
                  <c:v>40451</c:v>
                </c:pt>
                <c:pt idx="1006">
                  <c:v>40482</c:v>
                </c:pt>
                <c:pt idx="1007">
                  <c:v>40512</c:v>
                </c:pt>
                <c:pt idx="1008">
                  <c:v>40543</c:v>
                </c:pt>
                <c:pt idx="1009">
                  <c:v>40574</c:v>
                </c:pt>
                <c:pt idx="1010">
                  <c:v>40602</c:v>
                </c:pt>
                <c:pt idx="1011">
                  <c:v>40633</c:v>
                </c:pt>
                <c:pt idx="1012">
                  <c:v>40663</c:v>
                </c:pt>
                <c:pt idx="1013">
                  <c:v>40694</c:v>
                </c:pt>
                <c:pt idx="1014">
                  <c:v>40724</c:v>
                </c:pt>
                <c:pt idx="1015">
                  <c:v>40755</c:v>
                </c:pt>
                <c:pt idx="1016">
                  <c:v>40786</c:v>
                </c:pt>
                <c:pt idx="1017">
                  <c:v>40816</c:v>
                </c:pt>
                <c:pt idx="1018">
                  <c:v>40847</c:v>
                </c:pt>
                <c:pt idx="1019">
                  <c:v>40877</c:v>
                </c:pt>
                <c:pt idx="1020">
                  <c:v>40908</c:v>
                </c:pt>
                <c:pt idx="1021">
                  <c:v>40939</c:v>
                </c:pt>
                <c:pt idx="1022">
                  <c:v>40968</c:v>
                </c:pt>
                <c:pt idx="1023">
                  <c:v>40999</c:v>
                </c:pt>
                <c:pt idx="1024">
                  <c:v>41029</c:v>
                </c:pt>
                <c:pt idx="1025">
                  <c:v>41060</c:v>
                </c:pt>
                <c:pt idx="1026">
                  <c:v>41090</c:v>
                </c:pt>
                <c:pt idx="1027">
                  <c:v>41121</c:v>
                </c:pt>
                <c:pt idx="1028">
                  <c:v>41152</c:v>
                </c:pt>
                <c:pt idx="1029">
                  <c:v>41182</c:v>
                </c:pt>
                <c:pt idx="1030">
                  <c:v>41213</c:v>
                </c:pt>
                <c:pt idx="1031">
                  <c:v>41243</c:v>
                </c:pt>
                <c:pt idx="1032">
                  <c:v>41274</c:v>
                </c:pt>
                <c:pt idx="1033">
                  <c:v>41305</c:v>
                </c:pt>
                <c:pt idx="1034">
                  <c:v>41333</c:v>
                </c:pt>
                <c:pt idx="1035">
                  <c:v>41364</c:v>
                </c:pt>
                <c:pt idx="1036">
                  <c:v>41394</c:v>
                </c:pt>
                <c:pt idx="1037">
                  <c:v>41425</c:v>
                </c:pt>
                <c:pt idx="1038">
                  <c:v>41455</c:v>
                </c:pt>
                <c:pt idx="1039">
                  <c:v>41486</c:v>
                </c:pt>
                <c:pt idx="1040">
                  <c:v>41517</c:v>
                </c:pt>
                <c:pt idx="1041">
                  <c:v>41547</c:v>
                </c:pt>
                <c:pt idx="1042">
                  <c:v>41578</c:v>
                </c:pt>
                <c:pt idx="1043">
                  <c:v>41608</c:v>
                </c:pt>
                <c:pt idx="1044">
                  <c:v>41639</c:v>
                </c:pt>
                <c:pt idx="1045">
                  <c:v>41670</c:v>
                </c:pt>
                <c:pt idx="1046">
                  <c:v>41698</c:v>
                </c:pt>
                <c:pt idx="1047">
                  <c:v>41729</c:v>
                </c:pt>
                <c:pt idx="1048">
                  <c:v>41759</c:v>
                </c:pt>
                <c:pt idx="1049">
                  <c:v>41790</c:v>
                </c:pt>
                <c:pt idx="1050">
                  <c:v>41820</c:v>
                </c:pt>
                <c:pt idx="1051">
                  <c:v>41851</c:v>
                </c:pt>
                <c:pt idx="1052">
                  <c:v>41880</c:v>
                </c:pt>
                <c:pt idx="1053">
                  <c:v>41912</c:v>
                </c:pt>
                <c:pt idx="1054">
                  <c:v>41943</c:v>
                </c:pt>
                <c:pt idx="1055">
                  <c:v>41973</c:v>
                </c:pt>
                <c:pt idx="1056">
                  <c:v>42004</c:v>
                </c:pt>
                <c:pt idx="1057">
                  <c:v>42034</c:v>
                </c:pt>
                <c:pt idx="1058">
                  <c:v>42063</c:v>
                </c:pt>
                <c:pt idx="1059">
                  <c:v>42094</c:v>
                </c:pt>
                <c:pt idx="1060">
                  <c:v>42124</c:v>
                </c:pt>
                <c:pt idx="1061">
                  <c:v>42155</c:v>
                </c:pt>
                <c:pt idx="1062">
                  <c:v>42185</c:v>
                </c:pt>
                <c:pt idx="1063">
                  <c:v>42216</c:v>
                </c:pt>
                <c:pt idx="1064">
                  <c:v>42247</c:v>
                </c:pt>
                <c:pt idx="1065">
                  <c:v>42277</c:v>
                </c:pt>
                <c:pt idx="1066">
                  <c:v>42308</c:v>
                </c:pt>
                <c:pt idx="1067">
                  <c:v>42338</c:v>
                </c:pt>
                <c:pt idx="1068">
                  <c:v>42369</c:v>
                </c:pt>
                <c:pt idx="1069">
                  <c:v>42399</c:v>
                </c:pt>
                <c:pt idx="1070">
                  <c:v>42429</c:v>
                </c:pt>
                <c:pt idx="1071">
                  <c:v>42460</c:v>
                </c:pt>
                <c:pt idx="1072">
                  <c:v>42490</c:v>
                </c:pt>
                <c:pt idx="1073">
                  <c:v>42521</c:v>
                </c:pt>
                <c:pt idx="1074">
                  <c:v>42551</c:v>
                </c:pt>
                <c:pt idx="1075">
                  <c:v>42582</c:v>
                </c:pt>
                <c:pt idx="1076">
                  <c:v>42613</c:v>
                </c:pt>
                <c:pt idx="1077">
                  <c:v>42643</c:v>
                </c:pt>
                <c:pt idx="1078">
                  <c:v>42674</c:v>
                </c:pt>
                <c:pt idx="1079">
                  <c:v>42704</c:v>
                </c:pt>
                <c:pt idx="1080">
                  <c:v>42735</c:v>
                </c:pt>
                <c:pt idx="1081">
                  <c:v>42766</c:v>
                </c:pt>
                <c:pt idx="1082">
                  <c:v>42794</c:v>
                </c:pt>
                <c:pt idx="1083">
                  <c:v>42825</c:v>
                </c:pt>
                <c:pt idx="1084">
                  <c:v>42855</c:v>
                </c:pt>
                <c:pt idx="1085">
                  <c:v>42886</c:v>
                </c:pt>
                <c:pt idx="1086">
                  <c:v>42916</c:v>
                </c:pt>
                <c:pt idx="1087">
                  <c:v>42947</c:v>
                </c:pt>
                <c:pt idx="1088">
                  <c:v>42978</c:v>
                </c:pt>
                <c:pt idx="1089">
                  <c:v>43007</c:v>
                </c:pt>
                <c:pt idx="1090">
                  <c:v>43039</c:v>
                </c:pt>
                <c:pt idx="1091">
                  <c:v>43069</c:v>
                </c:pt>
                <c:pt idx="1092">
                  <c:v>43100</c:v>
                </c:pt>
                <c:pt idx="1093">
                  <c:v>43131</c:v>
                </c:pt>
                <c:pt idx="1094">
                  <c:v>43159</c:v>
                </c:pt>
                <c:pt idx="1095">
                  <c:v>43189</c:v>
                </c:pt>
                <c:pt idx="1096">
                  <c:v>43220</c:v>
                </c:pt>
                <c:pt idx="1097">
                  <c:v>43251</c:v>
                </c:pt>
                <c:pt idx="1098">
                  <c:v>43280</c:v>
                </c:pt>
                <c:pt idx="1099">
                  <c:v>43312</c:v>
                </c:pt>
                <c:pt idx="1100">
                  <c:v>43343</c:v>
                </c:pt>
                <c:pt idx="1101">
                  <c:v>43373</c:v>
                </c:pt>
                <c:pt idx="1102">
                  <c:v>43404</c:v>
                </c:pt>
                <c:pt idx="1103">
                  <c:v>43434</c:v>
                </c:pt>
                <c:pt idx="1104">
                  <c:v>43465</c:v>
                </c:pt>
                <c:pt idx="1105">
                  <c:v>43496</c:v>
                </c:pt>
                <c:pt idx="1106">
                  <c:v>43524</c:v>
                </c:pt>
                <c:pt idx="1107">
                  <c:v>43555</c:v>
                </c:pt>
                <c:pt idx="1108">
                  <c:v>43585</c:v>
                </c:pt>
                <c:pt idx="1109">
                  <c:v>43616</c:v>
                </c:pt>
                <c:pt idx="1110">
                  <c:v>43646</c:v>
                </c:pt>
                <c:pt idx="1111">
                  <c:v>43677</c:v>
                </c:pt>
                <c:pt idx="1112">
                  <c:v>43708</c:v>
                </c:pt>
                <c:pt idx="1113">
                  <c:v>43707</c:v>
                </c:pt>
                <c:pt idx="1114">
                  <c:v>43769</c:v>
                </c:pt>
                <c:pt idx="1115">
                  <c:v>43799</c:v>
                </c:pt>
                <c:pt idx="1116">
                  <c:v>43830</c:v>
                </c:pt>
                <c:pt idx="1117">
                  <c:v>43861</c:v>
                </c:pt>
                <c:pt idx="1118">
                  <c:v>43889</c:v>
                </c:pt>
                <c:pt idx="1119">
                  <c:v>43921</c:v>
                </c:pt>
                <c:pt idx="1120">
                  <c:v>43951</c:v>
                </c:pt>
                <c:pt idx="1121">
                  <c:v>43980</c:v>
                </c:pt>
                <c:pt idx="1122">
                  <c:v>44012</c:v>
                </c:pt>
                <c:pt idx="1123">
                  <c:v>44043</c:v>
                </c:pt>
                <c:pt idx="1124">
                  <c:v>44074</c:v>
                </c:pt>
                <c:pt idx="1125">
                  <c:v>44104</c:v>
                </c:pt>
                <c:pt idx="1126">
                  <c:v>44134</c:v>
                </c:pt>
                <c:pt idx="1127">
                  <c:v>44165</c:v>
                </c:pt>
                <c:pt idx="1128">
                  <c:v>44196</c:v>
                </c:pt>
              </c:numCache>
            </c:numRef>
          </c:xVal>
          <c:yVal>
            <c:numRef>
              <c:f>'HistoricalWorldStocks_SMA-CHF'!$J$38:$J$1166</c:f>
              <c:numCache>
                <c:formatCode>_(* #,##0.00_);_(* \(#,##0.00\);_(* "-"??_);_(@_)</c:formatCode>
                <c:ptCount val="1129"/>
                <c:pt idx="0">
                  <c:v>1</c:v>
                </c:pt>
                <c:pt idx="1">
                  <c:v>1.0404990651081771</c:v>
                </c:pt>
                <c:pt idx="2">
                  <c:v>1.0733660437813173</c:v>
                </c:pt>
                <c:pt idx="3">
                  <c:v>1.0833235813143014</c:v>
                </c:pt>
                <c:pt idx="4">
                  <c:v>1.1284218713672816</c:v>
                </c:pt>
                <c:pt idx="5">
                  <c:v>1.1287641760613618</c:v>
                </c:pt>
                <c:pt idx="6">
                  <c:v>1.1182538149537877</c:v>
                </c:pt>
                <c:pt idx="7">
                  <c:v>1.1270736687646672</c:v>
                </c:pt>
                <c:pt idx="8">
                  <c:v>1.1502338415197761</c:v>
                </c:pt>
                <c:pt idx="9">
                  <c:v>1.1818842487817984</c:v>
                </c:pt>
                <c:pt idx="10">
                  <c:v>1.1833969428807218</c:v>
                </c:pt>
                <c:pt idx="11">
                  <c:v>1.165576012608071</c:v>
                </c:pt>
                <c:pt idx="12">
                  <c:v>1.2111093835182873</c:v>
                </c:pt>
                <c:pt idx="13">
                  <c:v>1.2511628341866239</c:v>
                </c:pt>
                <c:pt idx="14">
                  <c:v>1.2293130918750088</c:v>
                </c:pt>
                <c:pt idx="15">
                  <c:v>1.3222629209392225</c:v>
                </c:pt>
                <c:pt idx="16">
                  <c:v>1.3796641535174587</c:v>
                </c:pt>
                <c:pt idx="17">
                  <c:v>1.4146125585347022</c:v>
                </c:pt>
                <c:pt idx="18">
                  <c:v>1.3699009459433629</c:v>
                </c:pt>
                <c:pt idx="19">
                  <c:v>1.3607907199065556</c:v>
                </c:pt>
                <c:pt idx="20">
                  <c:v>1.441391849147688</c:v>
                </c:pt>
                <c:pt idx="21">
                  <c:v>1.4867768782084962</c:v>
                </c:pt>
                <c:pt idx="22">
                  <c:v>1.4827998788644914</c:v>
                </c:pt>
                <c:pt idx="23">
                  <c:v>1.5865543382311782</c:v>
                </c:pt>
                <c:pt idx="24">
                  <c:v>1.5913301580075905</c:v>
                </c:pt>
                <c:pt idx="25">
                  <c:v>1.6881627633957401</c:v>
                </c:pt>
                <c:pt idx="26">
                  <c:v>1.6842069684281062</c:v>
                </c:pt>
                <c:pt idx="27">
                  <c:v>1.6739476440437084</c:v>
                </c:pt>
                <c:pt idx="28">
                  <c:v>1.6803783260578351</c:v>
                </c:pt>
                <c:pt idx="29">
                  <c:v>1.6324169383593312</c:v>
                </c:pt>
                <c:pt idx="30">
                  <c:v>1.7346052769518649</c:v>
                </c:pt>
                <c:pt idx="31">
                  <c:v>1.8151673785225917</c:v>
                </c:pt>
                <c:pt idx="32">
                  <c:v>1.9186133407127892</c:v>
                </c:pt>
                <c:pt idx="33">
                  <c:v>1.8601375625307572</c:v>
                </c:pt>
                <c:pt idx="34">
                  <c:v>1.6055991711022419</c:v>
                </c:pt>
                <c:pt idx="35">
                  <c:v>1.6098781667252786</c:v>
                </c:pt>
                <c:pt idx="36">
                  <c:v>1.6141941107197422</c:v>
                </c:pt>
                <c:pt idx="37">
                  <c:v>1.62257216494418</c:v>
                </c:pt>
                <c:pt idx="38">
                  <c:v>1.6300129450781684</c:v>
                </c:pt>
                <c:pt idx="39">
                  <c:v>1.6334262663372436</c:v>
                </c:pt>
                <c:pt idx="40">
                  <c:v>1.6482601693844108</c:v>
                </c:pt>
                <c:pt idx="41">
                  <c:v>1.6486184597663303</c:v>
                </c:pt>
                <c:pt idx="42">
                  <c:v>1.6427321879151355</c:v>
                </c:pt>
                <c:pt idx="43">
                  <c:v>1.6389387841454326</c:v>
                </c:pt>
                <c:pt idx="44">
                  <c:v>1.6361906634238199</c:v>
                </c:pt>
                <c:pt idx="45">
                  <c:v>1.6365404505574292</c:v>
                </c:pt>
                <c:pt idx="46">
                  <c:v>1.6462415557673895</c:v>
                </c:pt>
                <c:pt idx="47">
                  <c:v>1.6497333574732493</c:v>
                </c:pt>
                <c:pt idx="48">
                  <c:v>1.6606590252093907</c:v>
                </c:pt>
                <c:pt idx="49">
                  <c:v>1.6663739726944538</c:v>
                </c:pt>
                <c:pt idx="50">
                  <c:v>1.6753791878718347</c:v>
                </c:pt>
                <c:pt idx="51">
                  <c:v>1.6921879096052279</c:v>
                </c:pt>
                <c:pt idx="52">
                  <c:v>1.7195767916963993</c:v>
                </c:pt>
                <c:pt idx="53">
                  <c:v>1.722294385587497</c:v>
                </c:pt>
                <c:pt idx="54">
                  <c:v>1.7227240304435234</c:v>
                </c:pt>
                <c:pt idx="55">
                  <c:v>1.7254557834377657</c:v>
                </c:pt>
                <c:pt idx="56">
                  <c:v>1.732824548548219</c:v>
                </c:pt>
                <c:pt idx="57">
                  <c:v>1.7321025383196571</c:v>
                </c:pt>
                <c:pt idx="58">
                  <c:v>1.7501547678906473</c:v>
                </c:pt>
                <c:pt idx="59">
                  <c:v>1.7601682868419557</c:v>
                </c:pt>
                <c:pt idx="60">
                  <c:v>1.782530654254316</c:v>
                </c:pt>
                <c:pt idx="61">
                  <c:v>1.795427326373614</c:v>
                </c:pt>
                <c:pt idx="62">
                  <c:v>1.8123395526746402</c:v>
                </c:pt>
                <c:pt idx="63">
                  <c:v>1.8192623775111501</c:v>
                </c:pt>
                <c:pt idx="64">
                  <c:v>1.8445498442493127</c:v>
                </c:pt>
                <c:pt idx="65">
                  <c:v>1.857073402129249</c:v>
                </c:pt>
                <c:pt idx="66">
                  <c:v>1.8616872908498334</c:v>
                </c:pt>
                <c:pt idx="67">
                  <c:v>1.8703734865954014</c:v>
                </c:pt>
                <c:pt idx="68">
                  <c:v>1.8777898540784395</c:v>
                </c:pt>
                <c:pt idx="69">
                  <c:v>1.9098030774288119</c:v>
                </c:pt>
                <c:pt idx="70">
                  <c:v>1.7450107361771949</c:v>
                </c:pt>
                <c:pt idx="71">
                  <c:v>1.7100451771875056</c:v>
                </c:pt>
                <c:pt idx="72">
                  <c:v>1.7233358997134502</c:v>
                </c:pt>
                <c:pt idx="73">
                  <c:v>1.7366632528341435</c:v>
                </c:pt>
                <c:pt idx="74">
                  <c:v>1.5680099106347565</c:v>
                </c:pt>
                <c:pt idx="75">
                  <c:v>1.5756576666698767</c:v>
                </c:pt>
                <c:pt idx="76">
                  <c:v>1.5858154051606983</c:v>
                </c:pt>
                <c:pt idx="77">
                  <c:v>1.6514298120291513</c:v>
                </c:pt>
                <c:pt idx="78">
                  <c:v>1.7598648321771246</c:v>
                </c:pt>
                <c:pt idx="79">
                  <c:v>1.6506447641115423</c:v>
                </c:pt>
                <c:pt idx="80">
                  <c:v>1.7572525329556128</c:v>
                </c:pt>
                <c:pt idx="81">
                  <c:v>1.5898245977995766</c:v>
                </c:pt>
                <c:pt idx="82">
                  <c:v>1.5178883352304011</c:v>
                </c:pt>
                <c:pt idx="83">
                  <c:v>1.5149443467454995</c:v>
                </c:pt>
                <c:pt idx="84">
                  <c:v>1.5154675247955298</c:v>
                </c:pt>
                <c:pt idx="85">
                  <c:v>1.5796913883594395</c:v>
                </c:pt>
                <c:pt idx="86">
                  <c:v>1.5182262333397185</c:v>
                </c:pt>
                <c:pt idx="87">
                  <c:v>1.5257547365226038</c:v>
                </c:pt>
                <c:pt idx="88">
                  <c:v>1.5274813560177851</c:v>
                </c:pt>
                <c:pt idx="89">
                  <c:v>1.5351129791696654</c:v>
                </c:pt>
                <c:pt idx="90">
                  <c:v>1.5309152520769636</c:v>
                </c:pt>
                <c:pt idx="91">
                  <c:v>1.5362142502312286</c:v>
                </c:pt>
                <c:pt idx="92">
                  <c:v>1.5391447400872116</c:v>
                </c:pt>
                <c:pt idx="93">
                  <c:v>1.537320016600221</c:v>
                </c:pt>
                <c:pt idx="94">
                  <c:v>1.5366794665933043</c:v>
                </c:pt>
                <c:pt idx="95">
                  <c:v>1.5336554902437647</c:v>
                </c:pt>
                <c:pt idx="96">
                  <c:v>1.5378028752086126</c:v>
                </c:pt>
                <c:pt idx="97">
                  <c:v>1.596053436372793</c:v>
                </c:pt>
                <c:pt idx="98">
                  <c:v>1.6052453242996105</c:v>
                </c:pt>
                <c:pt idx="99">
                  <c:v>1.571704250512286</c:v>
                </c:pt>
                <c:pt idx="100">
                  <c:v>1.6568904530665907</c:v>
                </c:pt>
                <c:pt idx="101">
                  <c:v>1.7308948717619967</c:v>
                </c:pt>
                <c:pt idx="102">
                  <c:v>1.7436240338503808</c:v>
                </c:pt>
                <c:pt idx="103">
                  <c:v>1.7769937339185735</c:v>
                </c:pt>
                <c:pt idx="104">
                  <c:v>1.7968652928503799</c:v>
                </c:pt>
                <c:pt idx="105">
                  <c:v>1.7865529864771883</c:v>
                </c:pt>
                <c:pt idx="106">
                  <c:v>1.8138486907519029</c:v>
                </c:pt>
                <c:pt idx="107">
                  <c:v>1.8664806893953525</c:v>
                </c:pt>
                <c:pt idx="108">
                  <c:v>1.9158775476728076</c:v>
                </c:pt>
                <c:pt idx="109">
                  <c:v>2.0078788282026507</c:v>
                </c:pt>
                <c:pt idx="110">
                  <c:v>2.0548228866492932</c:v>
                </c:pt>
                <c:pt idx="111">
                  <c:v>2.0487182438462832</c:v>
                </c:pt>
                <c:pt idx="112">
                  <c:v>1.9982268745844225</c:v>
                </c:pt>
                <c:pt idx="113">
                  <c:v>2.0374596769776985</c:v>
                </c:pt>
                <c:pt idx="114">
                  <c:v>2.067501079853951</c:v>
                </c:pt>
                <c:pt idx="115">
                  <c:v>2.1126144570947658</c:v>
                </c:pt>
                <c:pt idx="116">
                  <c:v>2.1512996650397871</c:v>
                </c:pt>
                <c:pt idx="117">
                  <c:v>2.1828004505688665</c:v>
                </c:pt>
                <c:pt idx="118">
                  <c:v>3.1427831410671798</c:v>
                </c:pt>
                <c:pt idx="119">
                  <c:v>3.1851637451264869</c:v>
                </c:pt>
                <c:pt idx="120">
                  <c:v>3.2061984276695816</c:v>
                </c:pt>
                <c:pt idx="121">
                  <c:v>3.3458923890204022</c:v>
                </c:pt>
                <c:pt idx="122">
                  <c:v>3.3370922529979272</c:v>
                </c:pt>
                <c:pt idx="123">
                  <c:v>3.3636782267260874</c:v>
                </c:pt>
                <c:pt idx="124">
                  <c:v>3.2023700956062018</c:v>
                </c:pt>
                <c:pt idx="125">
                  <c:v>3.210235367690792</c:v>
                </c:pt>
                <c:pt idx="126">
                  <c:v>3.135088994946583</c:v>
                </c:pt>
                <c:pt idx="127">
                  <c:v>3.2489435064698595</c:v>
                </c:pt>
                <c:pt idx="128">
                  <c:v>3.1945825217353265</c:v>
                </c:pt>
                <c:pt idx="129">
                  <c:v>3.1932514456846035</c:v>
                </c:pt>
                <c:pt idx="130">
                  <c:v>3.1779896309364721</c:v>
                </c:pt>
                <c:pt idx="131">
                  <c:v>3.1720506096717647</c:v>
                </c:pt>
                <c:pt idx="132">
                  <c:v>3.170728921917735</c:v>
                </c:pt>
                <c:pt idx="133">
                  <c:v>3.169407784866936</c:v>
                </c:pt>
                <c:pt idx="134">
                  <c:v>3.1773188031974571</c:v>
                </c:pt>
                <c:pt idx="135">
                  <c:v>3.1852766028343127</c:v>
                </c:pt>
                <c:pt idx="136">
                  <c:v>3.1955992816537511</c:v>
                </c:pt>
                <c:pt idx="137">
                  <c:v>3.1989832441001567</c:v>
                </c:pt>
                <c:pt idx="138">
                  <c:v>3.1836226359131095</c:v>
                </c:pt>
                <c:pt idx="139">
                  <c:v>3.1846007751301868</c:v>
                </c:pt>
                <c:pt idx="140">
                  <c:v>3.1197569159889071</c:v>
                </c:pt>
                <c:pt idx="141">
                  <c:v>3.1132963741447859</c:v>
                </c:pt>
                <c:pt idx="142">
                  <c:v>3.2096590655770334</c:v>
                </c:pt>
                <c:pt idx="143">
                  <c:v>3.2000462337429156</c:v>
                </c:pt>
                <c:pt idx="144">
                  <c:v>3.2577950611354156</c:v>
                </c:pt>
                <c:pt idx="145">
                  <c:v>3.1023653849608643</c:v>
                </c:pt>
                <c:pt idx="146">
                  <c:v>3.1147668311058174</c:v>
                </c:pt>
                <c:pt idx="147">
                  <c:v>3.1157387552138203</c:v>
                </c:pt>
                <c:pt idx="148">
                  <c:v>3.1030365378933062</c:v>
                </c:pt>
                <c:pt idx="149">
                  <c:v>3.0949301631652357</c:v>
                </c:pt>
                <c:pt idx="150">
                  <c:v>3.0778649324513263</c:v>
                </c:pt>
                <c:pt idx="151">
                  <c:v>3.074342878071763</c:v>
                </c:pt>
                <c:pt idx="152">
                  <c:v>3.0797877275251873</c:v>
                </c:pt>
                <c:pt idx="153">
                  <c:v>3.0562079534292068</c:v>
                </c:pt>
                <c:pt idx="154">
                  <c:v>3.0252622860341822</c:v>
                </c:pt>
                <c:pt idx="155">
                  <c:v>3.0169353790769433</c:v>
                </c:pt>
                <c:pt idx="156">
                  <c:v>3.0974399041554972</c:v>
                </c:pt>
                <c:pt idx="157">
                  <c:v>3.0201490012574124</c:v>
                </c:pt>
                <c:pt idx="158">
                  <c:v>3.0751401422194129</c:v>
                </c:pt>
                <c:pt idx="159">
                  <c:v>3.1308127838970807</c:v>
                </c:pt>
                <c:pt idx="160">
                  <c:v>3.0636501431688203</c:v>
                </c:pt>
                <c:pt idx="161">
                  <c:v>2.6680399608341294</c:v>
                </c:pt>
                <c:pt idx="162">
                  <c:v>2.6419650766496976</c:v>
                </c:pt>
                <c:pt idx="163">
                  <c:v>2.6233121717513574</c:v>
                </c:pt>
                <c:pt idx="164">
                  <c:v>2.6152663358788537</c:v>
                </c:pt>
                <c:pt idx="165">
                  <c:v>2.576635682553444</c:v>
                </c:pt>
                <c:pt idx="166">
                  <c:v>2.5482373989372773</c:v>
                </c:pt>
                <c:pt idx="167">
                  <c:v>2.5165288081269903</c:v>
                </c:pt>
                <c:pt idx="168">
                  <c:v>2.5040759611261816</c:v>
                </c:pt>
                <c:pt idx="169">
                  <c:v>2.4437607175024496</c:v>
                </c:pt>
                <c:pt idx="170">
                  <c:v>2.4212115524384177</c:v>
                </c:pt>
                <c:pt idx="171">
                  <c:v>2.5668295768970144</c:v>
                </c:pt>
                <c:pt idx="172">
                  <c:v>2.5868223095999499</c:v>
                </c:pt>
                <c:pt idx="173">
                  <c:v>2.6099071567674148</c:v>
                </c:pt>
                <c:pt idx="174">
                  <c:v>2.6895424063299962</c:v>
                </c:pt>
                <c:pt idx="175">
                  <c:v>2.745459535897163</c:v>
                </c:pt>
                <c:pt idx="176">
                  <c:v>2.8790236840471373</c:v>
                </c:pt>
                <c:pt idx="177">
                  <c:v>2.9479420250471495</c:v>
                </c:pt>
                <c:pt idx="178">
                  <c:v>2.8181237610357717</c:v>
                </c:pt>
                <c:pt idx="179">
                  <c:v>2.8098897148060487</c:v>
                </c:pt>
                <c:pt idx="180">
                  <c:v>2.8192883274941338</c:v>
                </c:pt>
                <c:pt idx="181">
                  <c:v>2.8992240745622087</c:v>
                </c:pt>
                <c:pt idx="182">
                  <c:v>2.8985641816212819</c:v>
                </c:pt>
                <c:pt idx="183">
                  <c:v>2.9064923303972798</c:v>
                </c:pt>
                <c:pt idx="184">
                  <c:v>2.9005593978497748</c:v>
                </c:pt>
                <c:pt idx="185">
                  <c:v>2.9856058403551811</c:v>
                </c:pt>
                <c:pt idx="186">
                  <c:v>2.9851143070686961</c:v>
                </c:pt>
                <c:pt idx="187">
                  <c:v>3.007019673803379</c:v>
                </c:pt>
                <c:pt idx="188">
                  <c:v>3.1437155411714186</c:v>
                </c:pt>
                <c:pt idx="189">
                  <c:v>3.1750050118272752</c:v>
                </c:pt>
                <c:pt idx="190">
                  <c:v>3.2617641992802735</c:v>
                </c:pt>
                <c:pt idx="191">
                  <c:v>3.1941766938937355</c:v>
                </c:pt>
                <c:pt idx="192">
                  <c:v>2.8544206929320901</c:v>
                </c:pt>
                <c:pt idx="193">
                  <c:v>2.8361642134913798</c:v>
                </c:pt>
                <c:pt idx="194">
                  <c:v>2.9212275743958886</c:v>
                </c:pt>
                <c:pt idx="195">
                  <c:v>2.9966867390952419</c:v>
                </c:pt>
                <c:pt idx="196">
                  <c:v>3.0257573547746373</c:v>
                </c:pt>
                <c:pt idx="197">
                  <c:v>3.1155953340486588</c:v>
                </c:pt>
                <c:pt idx="198">
                  <c:v>3.1543341622602377</c:v>
                </c:pt>
                <c:pt idx="199">
                  <c:v>3.1113613549171477</c:v>
                </c:pt>
                <c:pt idx="200">
                  <c:v>3.1534786134498343</c:v>
                </c:pt>
                <c:pt idx="201">
                  <c:v>3.2491285314425564</c:v>
                </c:pt>
                <c:pt idx="202">
                  <c:v>3.2346364654014335</c:v>
                </c:pt>
                <c:pt idx="203">
                  <c:v>3.1423067002220959</c:v>
                </c:pt>
                <c:pt idx="204">
                  <c:v>3.2431812942955194</c:v>
                </c:pt>
                <c:pt idx="205">
                  <c:v>3.2141279931479341</c:v>
                </c:pt>
                <c:pt idx="206">
                  <c:v>3.2157500244045196</c:v>
                </c:pt>
                <c:pt idx="207">
                  <c:v>3.2501875475172151</c:v>
                </c:pt>
                <c:pt idx="208">
                  <c:v>3.2652052793790132</c:v>
                </c:pt>
                <c:pt idx="209">
                  <c:v>3.377303248434576</c:v>
                </c:pt>
                <c:pt idx="210">
                  <c:v>3.5627002265025536</c:v>
                </c:pt>
                <c:pt idx="211">
                  <c:v>3.6313027170377317</c:v>
                </c:pt>
                <c:pt idx="212">
                  <c:v>3.7128942608410314</c:v>
                </c:pt>
                <c:pt idx="213">
                  <c:v>3.6203072736632276</c:v>
                </c:pt>
                <c:pt idx="214">
                  <c:v>2.941682377986405</c:v>
                </c:pt>
                <c:pt idx="215">
                  <c:v>2.9404566769955776</c:v>
                </c:pt>
                <c:pt idx="216">
                  <c:v>2.9392314867134961</c:v>
                </c:pt>
                <c:pt idx="217">
                  <c:v>2.9337755018060587</c:v>
                </c:pt>
                <c:pt idx="218">
                  <c:v>2.9297544992142641</c:v>
                </c:pt>
                <c:pt idx="219">
                  <c:v>2.9271155766424863</c:v>
                </c:pt>
                <c:pt idx="220">
                  <c:v>2.918913942015847</c:v>
                </c:pt>
                <c:pt idx="221">
                  <c:v>2.9135177156037813</c:v>
                </c:pt>
                <c:pt idx="222">
                  <c:v>2.9026008407106767</c:v>
                </c:pt>
                <c:pt idx="223">
                  <c:v>2.8301402788678409</c:v>
                </c:pt>
                <c:pt idx="224">
                  <c:v>3.0046278688574546</c:v>
                </c:pt>
                <c:pt idx="225">
                  <c:v>3.0742598915877939</c:v>
                </c:pt>
                <c:pt idx="226">
                  <c:v>3.1553225981015616</c:v>
                </c:pt>
                <c:pt idx="227">
                  <c:v>3.194499462004472</c:v>
                </c:pt>
                <c:pt idx="228">
                  <c:v>3.1742057707475992</c:v>
                </c:pt>
                <c:pt idx="229">
                  <c:v>2.5371349546040984</c:v>
                </c:pt>
                <c:pt idx="230">
                  <c:v>2.547160962324726</c:v>
                </c:pt>
                <c:pt idx="231">
                  <c:v>2.5585246349536286</c:v>
                </c:pt>
                <c:pt idx="232">
                  <c:v>2.5549751102094276</c:v>
                </c:pt>
                <c:pt idx="233">
                  <c:v>2.5378097973120006</c:v>
                </c:pt>
                <c:pt idx="234">
                  <c:v>2.5257411357164647</c:v>
                </c:pt>
                <c:pt idx="235">
                  <c:v>2.5271291694170994</c:v>
                </c:pt>
                <c:pt idx="236">
                  <c:v>2.5293940710437277</c:v>
                </c:pt>
                <c:pt idx="237">
                  <c:v>2.4323184653661816</c:v>
                </c:pt>
                <c:pt idx="238">
                  <c:v>2.515110247453916</c:v>
                </c:pt>
                <c:pt idx="239">
                  <c:v>2.5346923928829233</c:v>
                </c:pt>
                <c:pt idx="240">
                  <c:v>2.6837368775119201</c:v>
                </c:pt>
                <c:pt idx="241">
                  <c:v>2.7623515895094473</c:v>
                </c:pt>
                <c:pt idx="242">
                  <c:v>2.7657020544684769</c:v>
                </c:pt>
                <c:pt idx="243">
                  <c:v>2.8571896590238079</c:v>
                </c:pt>
                <c:pt idx="244">
                  <c:v>2.8775567164145044</c:v>
                </c:pt>
                <c:pt idx="245">
                  <c:v>2.797930780684676</c:v>
                </c:pt>
                <c:pt idx="246">
                  <c:v>2.8228590221255092</c:v>
                </c:pt>
                <c:pt idx="247">
                  <c:v>2.8624224254148549</c:v>
                </c:pt>
                <c:pt idx="248">
                  <c:v>2.9160116853261897</c:v>
                </c:pt>
                <c:pt idx="249">
                  <c:v>2.896508342392202</c:v>
                </c:pt>
                <c:pt idx="250">
                  <c:v>2.8217601035640447</c:v>
                </c:pt>
                <c:pt idx="251">
                  <c:v>2.8006816527725915</c:v>
                </c:pt>
                <c:pt idx="252">
                  <c:v>2.847513688215356</c:v>
                </c:pt>
                <c:pt idx="253">
                  <c:v>2.8343737154550852</c:v>
                </c:pt>
                <c:pt idx="254">
                  <c:v>2.6683399444122977</c:v>
                </c:pt>
                <c:pt idx="255">
                  <c:v>2.6738029906426806</c:v>
                </c:pt>
                <c:pt idx="256">
                  <c:v>2.6726889060632462</c:v>
                </c:pt>
                <c:pt idx="257">
                  <c:v>2.8226008775024858</c:v>
                </c:pt>
                <c:pt idx="258">
                  <c:v>2.8421755386048857</c:v>
                </c:pt>
                <c:pt idx="259">
                  <c:v>2.611128184437876</c:v>
                </c:pt>
                <c:pt idx="260">
                  <c:v>2.6132611242472286</c:v>
                </c:pt>
                <c:pt idx="261">
                  <c:v>2.6073518538987832</c:v>
                </c:pt>
                <c:pt idx="262">
                  <c:v>2.6046553255966165</c:v>
                </c:pt>
                <c:pt idx="263">
                  <c:v>2.3790970457624625</c:v>
                </c:pt>
                <c:pt idx="264">
                  <c:v>2.3955416146514494</c:v>
                </c:pt>
                <c:pt idx="265">
                  <c:v>2.4033649175591671</c:v>
                </c:pt>
                <c:pt idx="266">
                  <c:v>2.4112354326106624</c:v>
                </c:pt>
                <c:pt idx="267">
                  <c:v>2.4206564202480982</c:v>
                </c:pt>
                <c:pt idx="268">
                  <c:v>2.4286668107568685</c:v>
                </c:pt>
                <c:pt idx="269">
                  <c:v>2.4246311416361306</c:v>
                </c:pt>
                <c:pt idx="270">
                  <c:v>2.4176318494746152</c:v>
                </c:pt>
                <c:pt idx="271">
                  <c:v>2.4241206898445382</c:v>
                </c:pt>
                <c:pt idx="272">
                  <c:v>2.4216016072414734</c:v>
                </c:pt>
                <c:pt idx="273">
                  <c:v>2.4145106537750536</c:v>
                </c:pt>
                <c:pt idx="274">
                  <c:v>2.4770308824879246</c:v>
                </c:pt>
                <c:pt idx="275">
                  <c:v>2.4758734366620341</c:v>
                </c:pt>
                <c:pt idx="276">
                  <c:v>2.5369969232181675</c:v>
                </c:pt>
                <c:pt idx="277">
                  <c:v>2.6210848137201874</c:v>
                </c:pt>
                <c:pt idx="278">
                  <c:v>2.6517597975899352</c:v>
                </c:pt>
                <c:pt idx="279">
                  <c:v>2.71157189221669</c:v>
                </c:pt>
                <c:pt idx="280">
                  <c:v>2.8275494715001002</c:v>
                </c:pt>
                <c:pt idx="281">
                  <c:v>2.9297642793449832</c:v>
                </c:pt>
                <c:pt idx="282">
                  <c:v>2.8656952972736582</c:v>
                </c:pt>
                <c:pt idx="283">
                  <c:v>2.8958529000058544</c:v>
                </c:pt>
                <c:pt idx="284">
                  <c:v>3.0416569970480269</c:v>
                </c:pt>
                <c:pt idx="285">
                  <c:v>3.2354724677112046</c:v>
                </c:pt>
                <c:pt idx="286">
                  <c:v>3.2598882464305761</c:v>
                </c:pt>
                <c:pt idx="287">
                  <c:v>3.2812225082295026</c:v>
                </c:pt>
                <c:pt idx="288">
                  <c:v>3.3664453783809973</c:v>
                </c:pt>
                <c:pt idx="289">
                  <c:v>3.5969300276149441</c:v>
                </c:pt>
                <c:pt idx="290">
                  <c:v>3.751080358846488</c:v>
                </c:pt>
                <c:pt idx="291">
                  <c:v>3.7367627767628764</c:v>
                </c:pt>
                <c:pt idx="292">
                  <c:v>3.8707845189894341</c:v>
                </c:pt>
                <c:pt idx="293">
                  <c:v>3.7921815238442727</c:v>
                </c:pt>
                <c:pt idx="294">
                  <c:v>3.7569016035683358</c:v>
                </c:pt>
                <c:pt idx="295">
                  <c:v>3.8769811495642914</c:v>
                </c:pt>
                <c:pt idx="296">
                  <c:v>4.0003633362999809</c:v>
                </c:pt>
                <c:pt idx="297">
                  <c:v>4.0645497210145942</c:v>
                </c:pt>
                <c:pt idx="298">
                  <c:v>4.0300978374969496</c:v>
                </c:pt>
                <c:pt idx="299">
                  <c:v>3.9739897987567119</c:v>
                </c:pt>
                <c:pt idx="300">
                  <c:v>4.1417676285738194</c:v>
                </c:pt>
                <c:pt idx="301">
                  <c:v>4.2224980187617227</c:v>
                </c:pt>
                <c:pt idx="302">
                  <c:v>4.0750513378850322</c:v>
                </c:pt>
                <c:pt idx="303">
                  <c:v>4.2181508134621231</c:v>
                </c:pt>
                <c:pt idx="304">
                  <c:v>4.1723515480941389</c:v>
                </c:pt>
                <c:pt idx="305">
                  <c:v>4.1981547038166438</c:v>
                </c:pt>
                <c:pt idx="306">
                  <c:v>4.3539820315195747</c:v>
                </c:pt>
                <c:pt idx="307">
                  <c:v>4.4903894489927723</c:v>
                </c:pt>
                <c:pt idx="308">
                  <c:v>4.4396738658036945</c:v>
                </c:pt>
                <c:pt idx="309">
                  <c:v>4.4083918158875814</c:v>
                </c:pt>
                <c:pt idx="310">
                  <c:v>4.4287327517067689</c:v>
                </c:pt>
                <c:pt idx="311">
                  <c:v>4.5730710030657287</c:v>
                </c:pt>
                <c:pt idx="312">
                  <c:v>4.7190866087602199</c:v>
                </c:pt>
                <c:pt idx="313">
                  <c:v>4.7841498703281147</c:v>
                </c:pt>
                <c:pt idx="314">
                  <c:v>4.7535217541096788</c:v>
                </c:pt>
                <c:pt idx="315">
                  <c:v>4.7189934868057177</c:v>
                </c:pt>
                <c:pt idx="316">
                  <c:v>4.6058765117825224</c:v>
                </c:pt>
                <c:pt idx="317">
                  <c:v>4.5849472453447886</c:v>
                </c:pt>
                <c:pt idx="318">
                  <c:v>4.577647904875807</c:v>
                </c:pt>
                <c:pt idx="319">
                  <c:v>4.5811272493292101</c:v>
                </c:pt>
                <c:pt idx="320">
                  <c:v>4.4581905443874978</c:v>
                </c:pt>
                <c:pt idx="321">
                  <c:v>4.4432325659969933</c:v>
                </c:pt>
                <c:pt idx="322">
                  <c:v>4.4361802794917438</c:v>
                </c:pt>
                <c:pt idx="323">
                  <c:v>4.5022622048691288</c:v>
                </c:pt>
                <c:pt idx="324">
                  <c:v>4.5447328425994051</c:v>
                </c:pt>
                <c:pt idx="325">
                  <c:v>4.7622259772592059</c:v>
                </c:pt>
                <c:pt idx="326">
                  <c:v>4.8540849178946699</c:v>
                </c:pt>
                <c:pt idx="327">
                  <c:v>4.9768843994494381</c:v>
                </c:pt>
                <c:pt idx="328">
                  <c:v>5.2046992423016247</c:v>
                </c:pt>
                <c:pt idx="329">
                  <c:v>5.3854900009078825</c:v>
                </c:pt>
                <c:pt idx="330">
                  <c:v>5.383511594607544</c:v>
                </c:pt>
                <c:pt idx="331">
                  <c:v>5.6344728032174913</c:v>
                </c:pt>
                <c:pt idx="332">
                  <c:v>5.6306753550370603</c:v>
                </c:pt>
                <c:pt idx="333">
                  <c:v>5.9778286701529515</c:v>
                </c:pt>
                <c:pt idx="334">
                  <c:v>5.9630817112843859</c:v>
                </c:pt>
                <c:pt idx="335">
                  <c:v>6.325021700079458</c:v>
                </c:pt>
                <c:pt idx="336">
                  <c:v>6.6029452036064269</c:v>
                </c:pt>
                <c:pt idx="337">
                  <c:v>6.8006514294910687</c:v>
                </c:pt>
                <c:pt idx="338">
                  <c:v>6.8602128967827793</c:v>
                </c:pt>
                <c:pt idx="339">
                  <c:v>6.9147365714425426</c:v>
                </c:pt>
                <c:pt idx="340">
                  <c:v>7.2191095944630614</c:v>
                </c:pt>
                <c:pt idx="341">
                  <c:v>7.1752911971865503</c:v>
                </c:pt>
                <c:pt idx="342">
                  <c:v>7.6083797954539172</c:v>
                </c:pt>
                <c:pt idx="343">
                  <c:v>8.0553478031321877</c:v>
                </c:pt>
                <c:pt idx="344">
                  <c:v>8.0048078795226125</c:v>
                </c:pt>
                <c:pt idx="345">
                  <c:v>8.0570620643960673</c:v>
                </c:pt>
                <c:pt idx="346">
                  <c:v>7.8481340212287174</c:v>
                </c:pt>
                <c:pt idx="347">
                  <c:v>8.1991198570877462</c:v>
                </c:pt>
                <c:pt idx="348">
                  <c:v>8.1936155114386509</c:v>
                </c:pt>
                <c:pt idx="349">
                  <c:v>7.992720483109669</c:v>
                </c:pt>
                <c:pt idx="350">
                  <c:v>8.1848472697077206</c:v>
                </c:pt>
                <c:pt idx="351">
                  <c:v>8.5973383236809244</c:v>
                </c:pt>
                <c:pt idx="352">
                  <c:v>8.7696312635043761</c:v>
                </c:pt>
                <c:pt idx="353">
                  <c:v>8.3069309447288191</c:v>
                </c:pt>
                <c:pt idx="354">
                  <c:v>8.6111766656847752</c:v>
                </c:pt>
                <c:pt idx="355">
                  <c:v>9.0420877043637091</c:v>
                </c:pt>
                <c:pt idx="356">
                  <c:v>8.7785896950329398</c:v>
                </c:pt>
                <c:pt idx="357">
                  <c:v>8.510423331694243</c:v>
                </c:pt>
                <c:pt idx="358">
                  <c:v>8.6518303464890582</c:v>
                </c:pt>
                <c:pt idx="359">
                  <c:v>8.3787399748970728</c:v>
                </c:pt>
                <c:pt idx="360">
                  <c:v>8.3657931666598628</c:v>
                </c:pt>
                <c:pt idx="361">
                  <c:v>8.2572052093533159</c:v>
                </c:pt>
                <c:pt idx="362">
                  <c:v>8.1711451439115255</c:v>
                </c:pt>
                <c:pt idx="363">
                  <c:v>8.1909206622767563</c:v>
                </c:pt>
                <c:pt idx="364">
                  <c:v>8.5609860364194468</c:v>
                </c:pt>
                <c:pt idx="365">
                  <c:v>8.785283263488628</c:v>
                </c:pt>
                <c:pt idx="366">
                  <c:v>8.9104302755956297</c:v>
                </c:pt>
                <c:pt idx="367">
                  <c:v>9.1142366162434474</c:v>
                </c:pt>
                <c:pt idx="368">
                  <c:v>8.6184072651676544</c:v>
                </c:pt>
                <c:pt idx="369">
                  <c:v>8.1607212506603961</c:v>
                </c:pt>
                <c:pt idx="370">
                  <c:v>8.1301665512687133</c:v>
                </c:pt>
                <c:pt idx="371">
                  <c:v>8.1043473857066548</c:v>
                </c:pt>
                <c:pt idx="372">
                  <c:v>8.1009705742959444</c:v>
                </c:pt>
                <c:pt idx="373">
                  <c:v>8.120008051105156</c:v>
                </c:pt>
                <c:pt idx="374">
                  <c:v>8.1166247144171955</c:v>
                </c:pt>
                <c:pt idx="375">
                  <c:v>8.1132427874528545</c:v>
                </c:pt>
                <c:pt idx="376">
                  <c:v>8.1009068129160848</c:v>
                </c:pt>
                <c:pt idx="377">
                  <c:v>8.1636318889353845</c:v>
                </c:pt>
                <c:pt idx="378">
                  <c:v>8.4374724517036626</c:v>
                </c:pt>
                <c:pt idx="379">
                  <c:v>8.744694055403027</c:v>
                </c:pt>
                <c:pt idx="380">
                  <c:v>8.8526470106355166</c:v>
                </c:pt>
                <c:pt idx="381">
                  <c:v>9.2415704033537374</c:v>
                </c:pt>
                <c:pt idx="382">
                  <c:v>9.4960135602949052</c:v>
                </c:pt>
                <c:pt idx="383">
                  <c:v>9.7377118175924426</c:v>
                </c:pt>
                <c:pt idx="384">
                  <c:v>10.084414670122582</c:v>
                </c:pt>
                <c:pt idx="385">
                  <c:v>10.464443801206226</c:v>
                </c:pt>
                <c:pt idx="386">
                  <c:v>10.54671709796323</c:v>
                </c:pt>
                <c:pt idx="387">
                  <c:v>10.669589047273853</c:v>
                </c:pt>
                <c:pt idx="388">
                  <c:v>11.149576750338143</c:v>
                </c:pt>
                <c:pt idx="389">
                  <c:v>11.462321606498923</c:v>
                </c:pt>
                <c:pt idx="390">
                  <c:v>11.59216235726716</c:v>
                </c:pt>
                <c:pt idx="391">
                  <c:v>12.081157726258187</c:v>
                </c:pt>
                <c:pt idx="392">
                  <c:v>12.085934977918019</c:v>
                </c:pt>
                <c:pt idx="393">
                  <c:v>11.750749766550822</c:v>
                </c:pt>
                <c:pt idx="394">
                  <c:v>12.153513764369562</c:v>
                </c:pt>
                <c:pt idx="395">
                  <c:v>12.416746228310759</c:v>
                </c:pt>
                <c:pt idx="396">
                  <c:v>12.770332959472237</c:v>
                </c:pt>
                <c:pt idx="397">
                  <c:v>12.138351509703309</c:v>
                </c:pt>
                <c:pt idx="398">
                  <c:v>12.208858645514825</c:v>
                </c:pt>
                <c:pt idx="399">
                  <c:v>12.114181716416025</c:v>
                </c:pt>
                <c:pt idx="400">
                  <c:v>12.094613218383293</c:v>
                </c:pt>
                <c:pt idx="401">
                  <c:v>12.036697030825838</c:v>
                </c:pt>
                <c:pt idx="402">
                  <c:v>12.304600842049295</c:v>
                </c:pt>
                <c:pt idx="403">
                  <c:v>12.318464274968877</c:v>
                </c:pt>
                <c:pt idx="404">
                  <c:v>12.668699768562689</c:v>
                </c:pt>
                <c:pt idx="405">
                  <c:v>12.033290754212047</c:v>
                </c:pt>
                <c:pt idx="406">
                  <c:v>11.970450457835138</c:v>
                </c:pt>
                <c:pt idx="407">
                  <c:v>12.178258539078863</c:v>
                </c:pt>
                <c:pt idx="408">
                  <c:v>12.653883352373871</c:v>
                </c:pt>
                <c:pt idx="409">
                  <c:v>13.394648545042447</c:v>
                </c:pt>
                <c:pt idx="410">
                  <c:v>13.818103484516906</c:v>
                </c:pt>
                <c:pt idx="411">
                  <c:v>14.265340481767701</c:v>
                </c:pt>
                <c:pt idx="412">
                  <c:v>14.514113786256051</c:v>
                </c:pt>
                <c:pt idx="413">
                  <c:v>14.677300621635746</c:v>
                </c:pt>
                <c:pt idx="414">
                  <c:v>14.255508114511315</c:v>
                </c:pt>
                <c:pt idx="415">
                  <c:v>14.393018897445391</c:v>
                </c:pt>
                <c:pt idx="416">
                  <c:v>14.400515099736218</c:v>
                </c:pt>
                <c:pt idx="417">
                  <c:v>14.192173672002516</c:v>
                </c:pt>
                <c:pt idx="418">
                  <c:v>14.362466321852759</c:v>
                </c:pt>
                <c:pt idx="419">
                  <c:v>14.709427519788743</c:v>
                </c:pt>
                <c:pt idx="420">
                  <c:v>14.827184596212071</c:v>
                </c:pt>
                <c:pt idx="421">
                  <c:v>14.451828337494032</c:v>
                </c:pt>
                <c:pt idx="422">
                  <c:v>14.797185464219384</c:v>
                </c:pt>
                <c:pt idx="423">
                  <c:v>14.858678898981458</c:v>
                </c:pt>
                <c:pt idx="424">
                  <c:v>14.364133004024135</c:v>
                </c:pt>
                <c:pt idx="425">
                  <c:v>13.067064262474304</c:v>
                </c:pt>
                <c:pt idx="426">
                  <c:v>13.028122667168264</c:v>
                </c:pt>
                <c:pt idx="427">
                  <c:v>12.982760352562714</c:v>
                </c:pt>
                <c:pt idx="428">
                  <c:v>12.924490668272691</c:v>
                </c:pt>
                <c:pt idx="429">
                  <c:v>12.925668306769195</c:v>
                </c:pt>
                <c:pt idx="430">
                  <c:v>12.940052106108421</c:v>
                </c:pt>
                <c:pt idx="431">
                  <c:v>12.875557126446903</c:v>
                </c:pt>
                <c:pt idx="432">
                  <c:v>13.051700367179542</c:v>
                </c:pt>
                <c:pt idx="433">
                  <c:v>13.484185550124163</c:v>
                </c:pt>
                <c:pt idx="434">
                  <c:v>13.139406277680694</c:v>
                </c:pt>
                <c:pt idx="435">
                  <c:v>13.533340260099928</c:v>
                </c:pt>
                <c:pt idx="436">
                  <c:v>13.978297135959407</c:v>
                </c:pt>
                <c:pt idx="437">
                  <c:v>14.037684728057766</c:v>
                </c:pt>
                <c:pt idx="438">
                  <c:v>13.80987845211434</c:v>
                </c:pt>
                <c:pt idx="439">
                  <c:v>13.826730818903858</c:v>
                </c:pt>
                <c:pt idx="440">
                  <c:v>14.375437685005309</c:v>
                </c:pt>
                <c:pt idx="441">
                  <c:v>14.275914045098377</c:v>
                </c:pt>
                <c:pt idx="442">
                  <c:v>14.588583968146184</c:v>
                </c:pt>
                <c:pt idx="443">
                  <c:v>14.393993532287912</c:v>
                </c:pt>
                <c:pt idx="444">
                  <c:v>14.666581034226789</c:v>
                </c:pt>
                <c:pt idx="445">
                  <c:v>15.047068265031578</c:v>
                </c:pt>
                <c:pt idx="446">
                  <c:v>15.058293691770722</c:v>
                </c:pt>
                <c:pt idx="447">
                  <c:v>15.251896182428537</c:v>
                </c:pt>
                <c:pt idx="448">
                  <c:v>15.232760127339857</c:v>
                </c:pt>
                <c:pt idx="449">
                  <c:v>15.197299646998026</c:v>
                </c:pt>
                <c:pt idx="450">
                  <c:v>15.388292791056427</c:v>
                </c:pt>
                <c:pt idx="451">
                  <c:v>15.812278523448013</c:v>
                </c:pt>
                <c:pt idx="452">
                  <c:v>15.706231711645719</c:v>
                </c:pt>
                <c:pt idx="453">
                  <c:v>16.025977662208049</c:v>
                </c:pt>
                <c:pt idx="454">
                  <c:v>16.003065318584625</c:v>
                </c:pt>
                <c:pt idx="455">
                  <c:v>15.989255474573325</c:v>
                </c:pt>
                <c:pt idx="456">
                  <c:v>16.014119610672481</c:v>
                </c:pt>
                <c:pt idx="457">
                  <c:v>16.478207618324987</c:v>
                </c:pt>
                <c:pt idx="458">
                  <c:v>16.446505118879163</c:v>
                </c:pt>
                <c:pt idx="459">
                  <c:v>16.326024369505713</c:v>
                </c:pt>
                <c:pt idx="460">
                  <c:v>16.794285328405273</c:v>
                </c:pt>
                <c:pt idx="461">
                  <c:v>16.541324256552834</c:v>
                </c:pt>
                <c:pt idx="462">
                  <c:v>15.794904565674464</c:v>
                </c:pt>
                <c:pt idx="463">
                  <c:v>15.744241198295317</c:v>
                </c:pt>
                <c:pt idx="464">
                  <c:v>15.65039508740395</c:v>
                </c:pt>
                <c:pt idx="465">
                  <c:v>16.015553800892029</c:v>
                </c:pt>
                <c:pt idx="466">
                  <c:v>16.461482163735816</c:v>
                </c:pt>
                <c:pt idx="467">
                  <c:v>16.267177247361349</c:v>
                </c:pt>
                <c:pt idx="468">
                  <c:v>16.49687263101136</c:v>
                </c:pt>
                <c:pt idx="469">
                  <c:v>16.721767592194269</c:v>
                </c:pt>
                <c:pt idx="470">
                  <c:v>16.377358660887943</c:v>
                </c:pt>
                <c:pt idx="471">
                  <c:v>16.099906260577441</c:v>
                </c:pt>
                <c:pt idx="472">
                  <c:v>16.386054343428725</c:v>
                </c:pt>
                <c:pt idx="473">
                  <c:v>15.462928395109518</c:v>
                </c:pt>
                <c:pt idx="474">
                  <c:v>15.477097972366703</c:v>
                </c:pt>
                <c:pt idx="475">
                  <c:v>15.470649181544884</c:v>
                </c:pt>
                <c:pt idx="476">
                  <c:v>15.416198616612029</c:v>
                </c:pt>
                <c:pt idx="477">
                  <c:v>15.396163515215751</c:v>
                </c:pt>
                <c:pt idx="478">
                  <c:v>15.359020512036484</c:v>
                </c:pt>
                <c:pt idx="479">
                  <c:v>15.170874490246483</c:v>
                </c:pt>
                <c:pt idx="480">
                  <c:v>15.090095855406933</c:v>
                </c:pt>
                <c:pt idx="481">
                  <c:v>15.03949249627459</c:v>
                </c:pt>
                <c:pt idx="482">
                  <c:v>15.163523613792563</c:v>
                </c:pt>
                <c:pt idx="483">
                  <c:v>15.714296709213274</c:v>
                </c:pt>
                <c:pt idx="484">
                  <c:v>16.304574081045878</c:v>
                </c:pt>
                <c:pt idx="485">
                  <c:v>15.549996128159298</c:v>
                </c:pt>
                <c:pt idx="486">
                  <c:v>15.758836160710171</c:v>
                </c:pt>
                <c:pt idx="487">
                  <c:v>16.402132926563038</c:v>
                </c:pt>
                <c:pt idx="488">
                  <c:v>16.391959278778437</c:v>
                </c:pt>
                <c:pt idx="489">
                  <c:v>17.187439679925223</c:v>
                </c:pt>
                <c:pt idx="490">
                  <c:v>16.986844578264719</c:v>
                </c:pt>
                <c:pt idx="491">
                  <c:v>16.727998655148586</c:v>
                </c:pt>
                <c:pt idx="492">
                  <c:v>17.036410489421453</c:v>
                </c:pt>
                <c:pt idx="493">
                  <c:v>16.713996231530302</c:v>
                </c:pt>
                <c:pt idx="494">
                  <c:v>16.416073971593057</c:v>
                </c:pt>
                <c:pt idx="495">
                  <c:v>16.708498568978488</c:v>
                </c:pt>
                <c:pt idx="496">
                  <c:v>18.154899310388014</c:v>
                </c:pt>
                <c:pt idx="497">
                  <c:v>18.339259781419898</c:v>
                </c:pt>
                <c:pt idx="498">
                  <c:v>18.484448243443914</c:v>
                </c:pt>
                <c:pt idx="499">
                  <c:v>18.351937352764708</c:v>
                </c:pt>
                <c:pt idx="500">
                  <c:v>18.687430146952728</c:v>
                </c:pt>
                <c:pt idx="501">
                  <c:v>19.412849680466074</c:v>
                </c:pt>
                <c:pt idx="502">
                  <c:v>19.535844456323893</c:v>
                </c:pt>
                <c:pt idx="503">
                  <c:v>20.180615606443897</c:v>
                </c:pt>
                <c:pt idx="504">
                  <c:v>19.708706420880123</c:v>
                </c:pt>
                <c:pt idx="505">
                  <c:v>19.936389529673754</c:v>
                </c:pt>
                <c:pt idx="506">
                  <c:v>19.320496125382739</c:v>
                </c:pt>
                <c:pt idx="507">
                  <c:v>20.0981521080402</c:v>
                </c:pt>
                <c:pt idx="508">
                  <c:v>20.662967321790564</c:v>
                </c:pt>
                <c:pt idx="509">
                  <c:v>20.694173773557548</c:v>
                </c:pt>
                <c:pt idx="510">
                  <c:v>19.652949484518199</c:v>
                </c:pt>
                <c:pt idx="511">
                  <c:v>19.644760755566317</c:v>
                </c:pt>
                <c:pt idx="512">
                  <c:v>19.672716901712914</c:v>
                </c:pt>
                <c:pt idx="513">
                  <c:v>19.646410361669925</c:v>
                </c:pt>
                <c:pt idx="514">
                  <c:v>19.602179384632446</c:v>
                </c:pt>
                <c:pt idx="515">
                  <c:v>19.312586458442091</c:v>
                </c:pt>
                <c:pt idx="516">
                  <c:v>19.242780048575504</c:v>
                </c:pt>
                <c:pt idx="517">
                  <c:v>18.203455176608998</c:v>
                </c:pt>
                <c:pt idx="518">
                  <c:v>18.195870403618745</c:v>
                </c:pt>
                <c:pt idx="519">
                  <c:v>18.155447384703372</c:v>
                </c:pt>
                <c:pt idx="520">
                  <c:v>16.580694226636737</c:v>
                </c:pt>
                <c:pt idx="521">
                  <c:v>16.410639617283245</c:v>
                </c:pt>
                <c:pt idx="522">
                  <c:v>16.330766818228017</c:v>
                </c:pt>
                <c:pt idx="523">
                  <c:v>16.280480261192139</c:v>
                </c:pt>
                <c:pt idx="524">
                  <c:v>16.216024787281658</c:v>
                </c:pt>
                <c:pt idx="525">
                  <c:v>16.109466200622304</c:v>
                </c:pt>
                <c:pt idx="526">
                  <c:v>15.965605219509412</c:v>
                </c:pt>
                <c:pt idx="527">
                  <c:v>16.162048796875943</c:v>
                </c:pt>
                <c:pt idx="528">
                  <c:v>16.958293878255624</c:v>
                </c:pt>
                <c:pt idx="529">
                  <c:v>17.612000611984385</c:v>
                </c:pt>
                <c:pt idx="530">
                  <c:v>17.743290346372735</c:v>
                </c:pt>
                <c:pt idx="531">
                  <c:v>18.477437153717855</c:v>
                </c:pt>
                <c:pt idx="532">
                  <c:v>19.114733756839719</c:v>
                </c:pt>
                <c:pt idx="533">
                  <c:v>17.766782322822188</c:v>
                </c:pt>
                <c:pt idx="534">
                  <c:v>17.970768875734233</c:v>
                </c:pt>
                <c:pt idx="535">
                  <c:v>17.669292149789996</c:v>
                </c:pt>
                <c:pt idx="536">
                  <c:v>17.777676118072929</c:v>
                </c:pt>
                <c:pt idx="537">
                  <c:v>17.284750210683921</c:v>
                </c:pt>
                <c:pt idx="538">
                  <c:v>17.206576303402031</c:v>
                </c:pt>
                <c:pt idx="539">
                  <c:v>16.976328484815433</c:v>
                </c:pt>
                <c:pt idx="540">
                  <c:v>16.887119346635529</c:v>
                </c:pt>
                <c:pt idx="541">
                  <c:v>17.340233847287259</c:v>
                </c:pt>
                <c:pt idx="542">
                  <c:v>17.86464041549177</c:v>
                </c:pt>
                <c:pt idx="543">
                  <c:v>18.083201885033823</c:v>
                </c:pt>
                <c:pt idx="544">
                  <c:v>18.38688792448546</c:v>
                </c:pt>
                <c:pt idx="545">
                  <c:v>18.636604998797576</c:v>
                </c:pt>
                <c:pt idx="546">
                  <c:v>17.965981574564054</c:v>
                </c:pt>
                <c:pt idx="547">
                  <c:v>18.051882510585227</c:v>
                </c:pt>
                <c:pt idx="548">
                  <c:v>18.624501101844231</c:v>
                </c:pt>
                <c:pt idx="549">
                  <c:v>18.261191279415517</c:v>
                </c:pt>
                <c:pt idx="550">
                  <c:v>18.384468021530019</c:v>
                </c:pt>
                <c:pt idx="551">
                  <c:v>19.277962602354457</c:v>
                </c:pt>
                <c:pt idx="552">
                  <c:v>19.409738055712356</c:v>
                </c:pt>
                <c:pt idx="553">
                  <c:v>19.073188794629754</c:v>
                </c:pt>
                <c:pt idx="554">
                  <c:v>17.613568889601794</c:v>
                </c:pt>
                <c:pt idx="555">
                  <c:v>17.463802006776223</c:v>
                </c:pt>
                <c:pt idx="556">
                  <c:v>17.418069683977802</c:v>
                </c:pt>
                <c:pt idx="557">
                  <c:v>17.28392129201778</c:v>
                </c:pt>
                <c:pt idx="558">
                  <c:v>17.151798467998926</c:v>
                </c:pt>
                <c:pt idx="559">
                  <c:v>17.119845531486636</c:v>
                </c:pt>
                <c:pt idx="560">
                  <c:v>17.051115780083563</c:v>
                </c:pt>
                <c:pt idx="561">
                  <c:v>16.898081280030556</c:v>
                </c:pt>
                <c:pt idx="562">
                  <c:v>16.548604793107209</c:v>
                </c:pt>
                <c:pt idx="563">
                  <c:v>16.201897710294773</c:v>
                </c:pt>
                <c:pt idx="564">
                  <c:v>15.954782332793888</c:v>
                </c:pt>
                <c:pt idx="565">
                  <c:v>15.820081640967294</c:v>
                </c:pt>
                <c:pt idx="566">
                  <c:v>15.450141351961502</c:v>
                </c:pt>
                <c:pt idx="567">
                  <c:v>14.756079696172659</c:v>
                </c:pt>
                <c:pt idx="568">
                  <c:v>14.839550985346843</c:v>
                </c:pt>
                <c:pt idx="569">
                  <c:v>14.577505686144697</c:v>
                </c:pt>
                <c:pt idx="570">
                  <c:v>14.494512929819059</c:v>
                </c:pt>
                <c:pt idx="571">
                  <c:v>14.440814472719657</c:v>
                </c:pt>
                <c:pt idx="572">
                  <c:v>14.293772012464233</c:v>
                </c:pt>
                <c:pt idx="573">
                  <c:v>14.058903057976208</c:v>
                </c:pt>
                <c:pt idx="574">
                  <c:v>13.963563567629194</c:v>
                </c:pt>
                <c:pt idx="575">
                  <c:v>13.764892397035736</c:v>
                </c:pt>
                <c:pt idx="576">
                  <c:v>13.741898629848265</c:v>
                </c:pt>
                <c:pt idx="577">
                  <c:v>13.659060753256336</c:v>
                </c:pt>
                <c:pt idx="578">
                  <c:v>13.610913814976952</c:v>
                </c:pt>
                <c:pt idx="579">
                  <c:v>13.706150913586381</c:v>
                </c:pt>
                <c:pt idx="580">
                  <c:v>14.784402435438547</c:v>
                </c:pt>
                <c:pt idx="581">
                  <c:v>14.796955917415353</c:v>
                </c:pt>
                <c:pt idx="582">
                  <c:v>14.993432227295809</c:v>
                </c:pt>
                <c:pt idx="583">
                  <c:v>15.0130853650262</c:v>
                </c:pt>
                <c:pt idx="584">
                  <c:v>15.181967829773466</c:v>
                </c:pt>
                <c:pt idx="585">
                  <c:v>14.726961232731705</c:v>
                </c:pt>
                <c:pt idx="586">
                  <c:v>15.571007561920629</c:v>
                </c:pt>
                <c:pt idx="587">
                  <c:v>15.992957029449801</c:v>
                </c:pt>
                <c:pt idx="588">
                  <c:v>16.002989133604029</c:v>
                </c:pt>
                <c:pt idx="589">
                  <c:v>17.149602454479236</c:v>
                </c:pt>
                <c:pt idx="590">
                  <c:v>16.897537899826613</c:v>
                </c:pt>
                <c:pt idx="591">
                  <c:v>17.123846571815381</c:v>
                </c:pt>
                <c:pt idx="592">
                  <c:v>16.834373757385464</c:v>
                </c:pt>
                <c:pt idx="593">
                  <c:v>16.440333141450338</c:v>
                </c:pt>
                <c:pt idx="594">
                  <c:v>16.893329002081721</c:v>
                </c:pt>
                <c:pt idx="595">
                  <c:v>16.894660768258802</c:v>
                </c:pt>
                <c:pt idx="596">
                  <c:v>16.860862550725965</c:v>
                </c:pt>
                <c:pt idx="597">
                  <c:v>17.074073852762265</c:v>
                </c:pt>
                <c:pt idx="598">
                  <c:v>16.342674082876652</c:v>
                </c:pt>
                <c:pt idx="599">
                  <c:v>16.306472672735829</c:v>
                </c:pt>
                <c:pt idx="600">
                  <c:v>16.260647995802707</c:v>
                </c:pt>
                <c:pt idx="601">
                  <c:v>16.028618665591672</c:v>
                </c:pt>
                <c:pt idx="602">
                  <c:v>16.322105399401618</c:v>
                </c:pt>
                <c:pt idx="603">
                  <c:v>16.585966923612126</c:v>
                </c:pt>
                <c:pt idx="604">
                  <c:v>16.71985839926873</c:v>
                </c:pt>
                <c:pt idx="605">
                  <c:v>16.559924308628588</c:v>
                </c:pt>
                <c:pt idx="606">
                  <c:v>16.990684950582715</c:v>
                </c:pt>
                <c:pt idx="607">
                  <c:v>16.322559216435018</c:v>
                </c:pt>
                <c:pt idx="608">
                  <c:v>16.406669389503993</c:v>
                </c:pt>
                <c:pt idx="609">
                  <c:v>16.458860160701505</c:v>
                </c:pt>
                <c:pt idx="610">
                  <c:v>15.540252781364387</c:v>
                </c:pt>
                <c:pt idx="611">
                  <c:v>15.547728287025651</c:v>
                </c:pt>
                <c:pt idx="612">
                  <c:v>15.522642373070932</c:v>
                </c:pt>
                <c:pt idx="613">
                  <c:v>15.508432729643486</c:v>
                </c:pt>
                <c:pt idx="614">
                  <c:v>15.485009175720437</c:v>
                </c:pt>
                <c:pt idx="615">
                  <c:v>15.461609433544984</c:v>
                </c:pt>
                <c:pt idx="616">
                  <c:v>15.427534148417696</c:v>
                </c:pt>
                <c:pt idx="617">
                  <c:v>15.39967094782018</c:v>
                </c:pt>
                <c:pt idx="618">
                  <c:v>15.072882050904287</c:v>
                </c:pt>
                <c:pt idx="619">
                  <c:v>15.576268758528364</c:v>
                </c:pt>
                <c:pt idx="620">
                  <c:v>14.785328356767456</c:v>
                </c:pt>
                <c:pt idx="621">
                  <c:v>14.283126001791331</c:v>
                </c:pt>
                <c:pt idx="622">
                  <c:v>14.305548189071313</c:v>
                </c:pt>
                <c:pt idx="623">
                  <c:v>14.281165966110448</c:v>
                </c:pt>
                <c:pt idx="624">
                  <c:v>14.861340380155848</c:v>
                </c:pt>
                <c:pt idx="625">
                  <c:v>15.285773456048101</c:v>
                </c:pt>
                <c:pt idx="626">
                  <c:v>15.030815306531181</c:v>
                </c:pt>
                <c:pt idx="627">
                  <c:v>15.801792663545434</c:v>
                </c:pt>
                <c:pt idx="628">
                  <c:v>16.254195252318876</c:v>
                </c:pt>
                <c:pt idx="629">
                  <c:v>16.250988673007985</c:v>
                </c:pt>
                <c:pt idx="630">
                  <c:v>16.419793328366282</c:v>
                </c:pt>
                <c:pt idx="631">
                  <c:v>16.174526054317671</c:v>
                </c:pt>
                <c:pt idx="632">
                  <c:v>17.133840962468991</c:v>
                </c:pt>
                <c:pt idx="633">
                  <c:v>17.185295713465724</c:v>
                </c:pt>
                <c:pt idx="634">
                  <c:v>16.169053826362678</c:v>
                </c:pt>
                <c:pt idx="635">
                  <c:v>17.004235307810706</c:v>
                </c:pt>
                <c:pt idx="636">
                  <c:v>17.105714587407732</c:v>
                </c:pt>
                <c:pt idx="637">
                  <c:v>18.287030055147348</c:v>
                </c:pt>
                <c:pt idx="638">
                  <c:v>19.048265692358928</c:v>
                </c:pt>
                <c:pt idx="639">
                  <c:v>18.50416606402699</c:v>
                </c:pt>
                <c:pt idx="640">
                  <c:v>19.803048443515426</c:v>
                </c:pt>
                <c:pt idx="641">
                  <c:v>19.798541167767873</c:v>
                </c:pt>
                <c:pt idx="642">
                  <c:v>20.551636901882251</c:v>
                </c:pt>
                <c:pt idx="643">
                  <c:v>20.775257367788679</c:v>
                </c:pt>
                <c:pt idx="644">
                  <c:v>21.810142485831513</c:v>
                </c:pt>
                <c:pt idx="645">
                  <c:v>22.487904325133279</c:v>
                </c:pt>
                <c:pt idx="646">
                  <c:v>23.714369849990796</c:v>
                </c:pt>
                <c:pt idx="647">
                  <c:v>25.675623877276543</c:v>
                </c:pt>
                <c:pt idx="648">
                  <c:v>26.142024648296072</c:v>
                </c:pt>
                <c:pt idx="649">
                  <c:v>25.828519717462537</c:v>
                </c:pt>
                <c:pt idx="650">
                  <c:v>27.845856618622239</c:v>
                </c:pt>
                <c:pt idx="651">
                  <c:v>28.454805954626263</c:v>
                </c:pt>
                <c:pt idx="652">
                  <c:v>29.442949919949985</c:v>
                </c:pt>
                <c:pt idx="653">
                  <c:v>30.200309462309871</c:v>
                </c:pt>
                <c:pt idx="654">
                  <c:v>30.368111787489529</c:v>
                </c:pt>
                <c:pt idx="655">
                  <c:v>30.372283339895983</c:v>
                </c:pt>
                <c:pt idx="656">
                  <c:v>30.615102373452004</c:v>
                </c:pt>
                <c:pt idx="657">
                  <c:v>26.758424663130924</c:v>
                </c:pt>
                <c:pt idx="658">
                  <c:v>26.838354265957602</c:v>
                </c:pt>
                <c:pt idx="659">
                  <c:v>26.647907463132491</c:v>
                </c:pt>
                <c:pt idx="660">
                  <c:v>26.64129656154747</c:v>
                </c:pt>
                <c:pt idx="661">
                  <c:v>26.500146567859318</c:v>
                </c:pt>
                <c:pt idx="662">
                  <c:v>26.446764343572678</c:v>
                </c:pt>
                <c:pt idx="663">
                  <c:v>26.389142286757092</c:v>
                </c:pt>
                <c:pt idx="664">
                  <c:v>26.230691156137333</c:v>
                </c:pt>
                <c:pt idx="665">
                  <c:v>25.30458192168069</c:v>
                </c:pt>
                <c:pt idx="666">
                  <c:v>25.07303992187018</c:v>
                </c:pt>
                <c:pt idx="667">
                  <c:v>25.04685601389842</c:v>
                </c:pt>
                <c:pt idx="668">
                  <c:v>26.87745484397264</c:v>
                </c:pt>
                <c:pt idx="669">
                  <c:v>27.323462545257492</c:v>
                </c:pt>
                <c:pt idx="670">
                  <c:v>29.692583117155092</c:v>
                </c:pt>
                <c:pt idx="671">
                  <c:v>31.52071409902895</c:v>
                </c:pt>
                <c:pt idx="672">
                  <c:v>30.708646325912021</c:v>
                </c:pt>
                <c:pt idx="673">
                  <c:v>30.230137505119124</c:v>
                </c:pt>
                <c:pt idx="674">
                  <c:v>31.613070315467564</c:v>
                </c:pt>
                <c:pt idx="675">
                  <c:v>33.426919524485861</c:v>
                </c:pt>
                <c:pt idx="676">
                  <c:v>35.833126539555636</c:v>
                </c:pt>
                <c:pt idx="677">
                  <c:v>35.792183798996014</c:v>
                </c:pt>
                <c:pt idx="678">
                  <c:v>37.80627911957766</c:v>
                </c:pt>
                <c:pt idx="679">
                  <c:v>37.445490657796519</c:v>
                </c:pt>
                <c:pt idx="680">
                  <c:v>38.514409299415462</c:v>
                </c:pt>
                <c:pt idx="681">
                  <c:v>39.449238323631704</c:v>
                </c:pt>
                <c:pt idx="682">
                  <c:v>38.05444701276376</c:v>
                </c:pt>
                <c:pt idx="683">
                  <c:v>39.986452003514003</c:v>
                </c:pt>
                <c:pt idx="684">
                  <c:v>41.012002447881244</c:v>
                </c:pt>
                <c:pt idx="685">
                  <c:v>42.248925771593441</c:v>
                </c:pt>
                <c:pt idx="686">
                  <c:v>41.075346801175371</c:v>
                </c:pt>
                <c:pt idx="687">
                  <c:v>41.625424354501817</c:v>
                </c:pt>
                <c:pt idx="688">
                  <c:v>42.408253746982929</c:v>
                </c:pt>
                <c:pt idx="689">
                  <c:v>40.899532752285779</c:v>
                </c:pt>
                <c:pt idx="690">
                  <c:v>41.5279836007482</c:v>
                </c:pt>
                <c:pt idx="691">
                  <c:v>42.469342091063062</c:v>
                </c:pt>
                <c:pt idx="692">
                  <c:v>46.959339290533634</c:v>
                </c:pt>
                <c:pt idx="693">
                  <c:v>48.650492965834246</c:v>
                </c:pt>
                <c:pt idx="694">
                  <c:v>49.521755986960855</c:v>
                </c:pt>
                <c:pt idx="695">
                  <c:v>47.900416027367093</c:v>
                </c:pt>
                <c:pt idx="696">
                  <c:v>50.788099234331504</c:v>
                </c:pt>
                <c:pt idx="697">
                  <c:v>55.288858465955045</c:v>
                </c:pt>
                <c:pt idx="698">
                  <c:v>58.09260104024748</c:v>
                </c:pt>
                <c:pt idx="699">
                  <c:v>60.293820825419232</c:v>
                </c:pt>
                <c:pt idx="700">
                  <c:v>55.615109207276703</c:v>
                </c:pt>
                <c:pt idx="701">
                  <c:v>59.570176251042234</c:v>
                </c:pt>
                <c:pt idx="702">
                  <c:v>59.691035552394801</c:v>
                </c:pt>
                <c:pt idx="703">
                  <c:v>57.551634798099201</c:v>
                </c:pt>
                <c:pt idx="704">
                  <c:v>55.035682589986955</c:v>
                </c:pt>
                <c:pt idx="705">
                  <c:v>54.843547383736414</c:v>
                </c:pt>
                <c:pt idx="706">
                  <c:v>53.698014832479132</c:v>
                </c:pt>
                <c:pt idx="707">
                  <c:v>53.298532816420725</c:v>
                </c:pt>
                <c:pt idx="708">
                  <c:v>55.260192887850586</c:v>
                </c:pt>
                <c:pt idx="709">
                  <c:v>55.277115378990089</c:v>
                </c:pt>
                <c:pt idx="710">
                  <c:v>56.873834979375381</c:v>
                </c:pt>
                <c:pt idx="711">
                  <c:v>60.506828966600395</c:v>
                </c:pt>
                <c:pt idx="712">
                  <c:v>61.979634053806372</c:v>
                </c:pt>
                <c:pt idx="713">
                  <c:v>60.535359820333554</c:v>
                </c:pt>
                <c:pt idx="714">
                  <c:v>62.899165332198216</c:v>
                </c:pt>
                <c:pt idx="715">
                  <c:v>60.374674862190382</c:v>
                </c:pt>
                <c:pt idx="716">
                  <c:v>62.436906861806726</c:v>
                </c:pt>
                <c:pt idx="717">
                  <c:v>59.829438669850227</c:v>
                </c:pt>
                <c:pt idx="718">
                  <c:v>58.39947361489444</c:v>
                </c:pt>
                <c:pt idx="719">
                  <c:v>58.231173117215995</c:v>
                </c:pt>
                <c:pt idx="720">
                  <c:v>58.630307099161335</c:v>
                </c:pt>
                <c:pt idx="721">
                  <c:v>61.230691788032587</c:v>
                </c:pt>
                <c:pt idx="722">
                  <c:v>62.697276898083487</c:v>
                </c:pt>
                <c:pt idx="723">
                  <c:v>66.516341906334389</c:v>
                </c:pt>
                <c:pt idx="724">
                  <c:v>68.76704143739731</c:v>
                </c:pt>
                <c:pt idx="725">
                  <c:v>68.146360767605827</c:v>
                </c:pt>
                <c:pt idx="726">
                  <c:v>70.089152990050167</c:v>
                </c:pt>
                <c:pt idx="727">
                  <c:v>72.868889102021271</c:v>
                </c:pt>
                <c:pt idx="728">
                  <c:v>77.395999080072116</c:v>
                </c:pt>
                <c:pt idx="729">
                  <c:v>74.809536817982334</c:v>
                </c:pt>
                <c:pt idx="730">
                  <c:v>61.774509867677594</c:v>
                </c:pt>
                <c:pt idx="731">
                  <c:v>61.524944726174873</c:v>
                </c:pt>
                <c:pt idx="732">
                  <c:v>61.503581492483512</c:v>
                </c:pt>
                <c:pt idx="733">
                  <c:v>61.321298731369836</c:v>
                </c:pt>
                <c:pt idx="734">
                  <c:v>60.9975628239428</c:v>
                </c:pt>
                <c:pt idx="735">
                  <c:v>60.831331744064485</c:v>
                </c:pt>
                <c:pt idx="736">
                  <c:v>61.632114442132334</c:v>
                </c:pt>
                <c:pt idx="737">
                  <c:v>61.92170289840417</c:v>
                </c:pt>
                <c:pt idx="738">
                  <c:v>64.125881343136214</c:v>
                </c:pt>
                <c:pt idx="739">
                  <c:v>68.972506802061787</c:v>
                </c:pt>
                <c:pt idx="740">
                  <c:v>67.495354976406261</c:v>
                </c:pt>
                <c:pt idx="741">
                  <c:v>70.431368219028215</c:v>
                </c:pt>
                <c:pt idx="742">
                  <c:v>73.628062114094234</c:v>
                </c:pt>
                <c:pt idx="743">
                  <c:v>72.315572473942765</c:v>
                </c:pt>
                <c:pt idx="744">
                  <c:v>73.403012007582703</c:v>
                </c:pt>
                <c:pt idx="745">
                  <c:v>80.110359494727135</c:v>
                </c:pt>
                <c:pt idx="746">
                  <c:v>80.413845314636859</c:v>
                </c:pt>
                <c:pt idx="747">
                  <c:v>81.644819099529286</c:v>
                </c:pt>
                <c:pt idx="748">
                  <c:v>85.742154210844291</c:v>
                </c:pt>
                <c:pt idx="749">
                  <c:v>88.497417581490083</c:v>
                </c:pt>
                <c:pt idx="750">
                  <c:v>86.391093519908765</c:v>
                </c:pt>
                <c:pt idx="751">
                  <c:v>92.108677843358777</c:v>
                </c:pt>
                <c:pt idx="752">
                  <c:v>91.440649864338482</c:v>
                </c:pt>
                <c:pt idx="753">
                  <c:v>95.306057654481165</c:v>
                </c:pt>
                <c:pt idx="754">
                  <c:v>89.114584645490496</c:v>
                </c:pt>
                <c:pt idx="755">
                  <c:v>91.073871793188147</c:v>
                </c:pt>
                <c:pt idx="756">
                  <c:v>90.539716462806624</c:v>
                </c:pt>
                <c:pt idx="757">
                  <c:v>83.770478692270999</c:v>
                </c:pt>
                <c:pt idx="758">
                  <c:v>83.464857172551561</c:v>
                </c:pt>
                <c:pt idx="759">
                  <c:v>83.143603480893063</c:v>
                </c:pt>
                <c:pt idx="760">
                  <c:v>82.938260950245493</c:v>
                </c:pt>
                <c:pt idx="761">
                  <c:v>82.502246962990299</c:v>
                </c:pt>
                <c:pt idx="762">
                  <c:v>82.353121187501216</c:v>
                </c:pt>
                <c:pt idx="763">
                  <c:v>82.278262473486464</c:v>
                </c:pt>
                <c:pt idx="764">
                  <c:v>81.37372505581331</c:v>
                </c:pt>
                <c:pt idx="765">
                  <c:v>80.955062792862364</c:v>
                </c:pt>
                <c:pt idx="766">
                  <c:v>80.431128434626373</c:v>
                </c:pt>
                <c:pt idx="767">
                  <c:v>79.701852679266693</c:v>
                </c:pt>
                <c:pt idx="768">
                  <c:v>79.672952269706883</c:v>
                </c:pt>
                <c:pt idx="769">
                  <c:v>78.998389257004192</c:v>
                </c:pt>
                <c:pt idx="770">
                  <c:v>78.187913161944778</c:v>
                </c:pt>
                <c:pt idx="771">
                  <c:v>82.998858711873496</c:v>
                </c:pt>
                <c:pt idx="772">
                  <c:v>87.069952138327039</c:v>
                </c:pt>
                <c:pt idx="773">
                  <c:v>89.299974263716607</c:v>
                </c:pt>
                <c:pt idx="774">
                  <c:v>88.075635211301318</c:v>
                </c:pt>
                <c:pt idx="775">
                  <c:v>93.579338488777438</c:v>
                </c:pt>
                <c:pt idx="776">
                  <c:v>91.28847616882409</c:v>
                </c:pt>
                <c:pt idx="777">
                  <c:v>91.63633137224501</c:v>
                </c:pt>
                <c:pt idx="778">
                  <c:v>92.82571053820395</c:v>
                </c:pt>
                <c:pt idx="779">
                  <c:v>85.478523816216622</c:v>
                </c:pt>
                <c:pt idx="780">
                  <c:v>85.646344169630083</c:v>
                </c:pt>
                <c:pt idx="781">
                  <c:v>84.618805192433385</c:v>
                </c:pt>
                <c:pt idx="782">
                  <c:v>83.983868202202316</c:v>
                </c:pt>
                <c:pt idx="783">
                  <c:v>83.103488845522733</c:v>
                </c:pt>
                <c:pt idx="784">
                  <c:v>84.648174991538724</c:v>
                </c:pt>
                <c:pt idx="785">
                  <c:v>86.421922548315834</c:v>
                </c:pt>
                <c:pt idx="786">
                  <c:v>79.904361925672958</c:v>
                </c:pt>
                <c:pt idx="787">
                  <c:v>80.112145917267156</c:v>
                </c:pt>
                <c:pt idx="788">
                  <c:v>79.869791483970218</c:v>
                </c:pt>
                <c:pt idx="789">
                  <c:v>79.742575133675473</c:v>
                </c:pt>
                <c:pt idx="790">
                  <c:v>79.593678181363046</c:v>
                </c:pt>
                <c:pt idx="791">
                  <c:v>78.802189568105575</c:v>
                </c:pt>
                <c:pt idx="792">
                  <c:v>79.110868530753095</c:v>
                </c:pt>
                <c:pt idx="793">
                  <c:v>82.378176406890645</c:v>
                </c:pt>
                <c:pt idx="794">
                  <c:v>86.373419432816377</c:v>
                </c:pt>
                <c:pt idx="795">
                  <c:v>91.381394254666176</c:v>
                </c:pt>
                <c:pt idx="796">
                  <c:v>91.708490518889462</c:v>
                </c:pt>
                <c:pt idx="797">
                  <c:v>93.2042799249881</c:v>
                </c:pt>
                <c:pt idx="798">
                  <c:v>94.084753171749952</c:v>
                </c:pt>
                <c:pt idx="799">
                  <c:v>98.845820889229657</c:v>
                </c:pt>
                <c:pt idx="800">
                  <c:v>101.97855676055283</c:v>
                </c:pt>
                <c:pt idx="801">
                  <c:v>95.056815142426188</c:v>
                </c:pt>
                <c:pt idx="802">
                  <c:v>99.378288674712422</c:v>
                </c:pt>
                <c:pt idx="803">
                  <c:v>97.643089444331906</c:v>
                </c:pt>
                <c:pt idx="804">
                  <c:v>100.05354255661591</c:v>
                </c:pt>
                <c:pt idx="805">
                  <c:v>107.31626344093698</c:v>
                </c:pt>
                <c:pt idx="806">
                  <c:v>104.85773380191078</c:v>
                </c:pt>
                <c:pt idx="807">
                  <c:v>98.754237226749183</c:v>
                </c:pt>
                <c:pt idx="808">
                  <c:v>98.661511414571493</c:v>
                </c:pt>
                <c:pt idx="809">
                  <c:v>97.823772763990092</c:v>
                </c:pt>
                <c:pt idx="810">
                  <c:v>95.125928351716993</c:v>
                </c:pt>
                <c:pt idx="811">
                  <c:v>95.102790912934964</c:v>
                </c:pt>
                <c:pt idx="812">
                  <c:v>94.69114645568348</c:v>
                </c:pt>
                <c:pt idx="813">
                  <c:v>94.613359957580272</c:v>
                </c:pt>
                <c:pt idx="814">
                  <c:v>94.65187574551706</c:v>
                </c:pt>
                <c:pt idx="815">
                  <c:v>94.619236404502473</c:v>
                </c:pt>
                <c:pt idx="816">
                  <c:v>94.595637694399599</c:v>
                </c:pt>
                <c:pt idx="817">
                  <c:v>93.88931830655423</c:v>
                </c:pt>
                <c:pt idx="818">
                  <c:v>93.020585594229217</c:v>
                </c:pt>
                <c:pt idx="819">
                  <c:v>92.924825899536302</c:v>
                </c:pt>
                <c:pt idx="820">
                  <c:v>92.807992514232652</c:v>
                </c:pt>
                <c:pt idx="821">
                  <c:v>92.944524256607536</c:v>
                </c:pt>
                <c:pt idx="822">
                  <c:v>92.191796094281088</c:v>
                </c:pt>
                <c:pt idx="823">
                  <c:v>96.708753793118362</c:v>
                </c:pt>
                <c:pt idx="824">
                  <c:v>97.930517132190616</c:v>
                </c:pt>
                <c:pt idx="825">
                  <c:v>100.12249587895353</c:v>
                </c:pt>
                <c:pt idx="826">
                  <c:v>95.281399774767351</c:v>
                </c:pt>
                <c:pt idx="827">
                  <c:v>98.310200312687414</c:v>
                </c:pt>
                <c:pt idx="828">
                  <c:v>103.01778759101178</c:v>
                </c:pt>
                <c:pt idx="829">
                  <c:v>106.62150102690825</c:v>
                </c:pt>
                <c:pt idx="830">
                  <c:v>108.80548537117242</c:v>
                </c:pt>
                <c:pt idx="831">
                  <c:v>111.06245604116243</c:v>
                </c:pt>
                <c:pt idx="832">
                  <c:v>116.13618816501224</c:v>
                </c:pt>
                <c:pt idx="833">
                  <c:v>120.15820151170091</c:v>
                </c:pt>
                <c:pt idx="834">
                  <c:v>120.85078095195219</c:v>
                </c:pt>
                <c:pt idx="835">
                  <c:v>114.8247850197899</c:v>
                </c:pt>
                <c:pt idx="836">
                  <c:v>113.10357966818016</c:v>
                </c:pt>
                <c:pt idx="837">
                  <c:v>120.62447143195018</c:v>
                </c:pt>
                <c:pt idx="838">
                  <c:v>124.24869839245009</c:v>
                </c:pt>
                <c:pt idx="839">
                  <c:v>133.39112466191185</c:v>
                </c:pt>
                <c:pt idx="840">
                  <c:v>136.60660522432758</c:v>
                </c:pt>
                <c:pt idx="841">
                  <c:v>145.00677350049079</c:v>
                </c:pt>
                <c:pt idx="842">
                  <c:v>152.89840686967099</c:v>
                </c:pt>
                <c:pt idx="843">
                  <c:v>151.4594715278588</c:v>
                </c:pt>
                <c:pt idx="844">
                  <c:v>156.42513209787771</c:v>
                </c:pt>
                <c:pt idx="845">
                  <c:v>163.32130370583522</c:v>
                </c:pt>
                <c:pt idx="846">
                  <c:v>172.51271624285002</c:v>
                </c:pt>
                <c:pt idx="847">
                  <c:v>185.73841345257529</c:v>
                </c:pt>
                <c:pt idx="848">
                  <c:v>177.22106358686739</c:v>
                </c:pt>
                <c:pt idx="849">
                  <c:v>182.01420031309877</c:v>
                </c:pt>
                <c:pt idx="850">
                  <c:v>170.48746291257169</c:v>
                </c:pt>
                <c:pt idx="851">
                  <c:v>167.99364938131126</c:v>
                </c:pt>
                <c:pt idx="852">
                  <c:v>173.52914807755033</c:v>
                </c:pt>
                <c:pt idx="853">
                  <c:v>183.09199768340224</c:v>
                </c:pt>
                <c:pt idx="854">
                  <c:v>194.19911046890638</c:v>
                </c:pt>
                <c:pt idx="855">
                  <c:v>206.13147684415091</c:v>
                </c:pt>
                <c:pt idx="856">
                  <c:v>210.94226948325075</c:v>
                </c:pt>
                <c:pt idx="857">
                  <c:v>205.30731104486202</c:v>
                </c:pt>
                <c:pt idx="858">
                  <c:v>212.2789975098955</c:v>
                </c:pt>
                <c:pt idx="859">
                  <c:v>215.24407135887776</c:v>
                </c:pt>
                <c:pt idx="860">
                  <c:v>183.79225711005165</c:v>
                </c:pt>
                <c:pt idx="861">
                  <c:v>183.86244861931431</c:v>
                </c:pt>
                <c:pt idx="862">
                  <c:v>183.82265357169649</c:v>
                </c:pt>
                <c:pt idx="863">
                  <c:v>184.04459617001231</c:v>
                </c:pt>
                <c:pt idx="864">
                  <c:v>189.49250855951948</c:v>
                </c:pt>
                <c:pt idx="865">
                  <c:v>196.88346632714999</c:v>
                </c:pt>
                <c:pt idx="866">
                  <c:v>197.09940879140987</c:v>
                </c:pt>
                <c:pt idx="867">
                  <c:v>211.50178150841407</c:v>
                </c:pt>
                <c:pt idx="868">
                  <c:v>225.75422587941</c:v>
                </c:pt>
                <c:pt idx="869">
                  <c:v>219.73702036033276</c:v>
                </c:pt>
                <c:pt idx="870">
                  <c:v>234.12600609490025</c:v>
                </c:pt>
                <c:pt idx="871">
                  <c:v>236.06866292230828</c:v>
                </c:pt>
                <c:pt idx="872">
                  <c:v>228.82010638503212</c:v>
                </c:pt>
                <c:pt idx="873">
                  <c:v>229.56621398836398</c:v>
                </c:pt>
                <c:pt idx="874">
                  <c:v>235.849571640037</c:v>
                </c:pt>
                <c:pt idx="875">
                  <c:v>253.00791993891752</c:v>
                </c:pt>
                <c:pt idx="876">
                  <c:v>277.95304465382475</c:v>
                </c:pt>
                <c:pt idx="877">
                  <c:v>262.82998220727893</c:v>
                </c:pt>
                <c:pt idx="878">
                  <c:v>271.703780134917</c:v>
                </c:pt>
                <c:pt idx="879">
                  <c:v>298.46796172976963</c:v>
                </c:pt>
                <c:pt idx="880">
                  <c:v>285.53756493235619</c:v>
                </c:pt>
                <c:pt idx="881">
                  <c:v>288.34169325173895</c:v>
                </c:pt>
                <c:pt idx="882">
                  <c:v>285.47773216836271</c:v>
                </c:pt>
                <c:pt idx="883">
                  <c:v>278.8693537873508</c:v>
                </c:pt>
                <c:pt idx="884">
                  <c:v>300.35179114993275</c:v>
                </c:pt>
                <c:pt idx="885">
                  <c:v>290.90245828232128</c:v>
                </c:pt>
                <c:pt idx="886">
                  <c:v>288.78525140448784</c:v>
                </c:pt>
                <c:pt idx="887">
                  <c:v>271.26098564157769</c:v>
                </c:pt>
                <c:pt idx="888">
                  <c:v>271.35144265428005</c:v>
                </c:pt>
                <c:pt idx="889">
                  <c:v>271.43289507108511</c:v>
                </c:pt>
                <c:pt idx="890">
                  <c:v>271.68734524000018</c:v>
                </c:pt>
                <c:pt idx="891">
                  <c:v>271.13963862857076</c:v>
                </c:pt>
                <c:pt idx="892">
                  <c:v>270.27898250955968</c:v>
                </c:pt>
                <c:pt idx="893">
                  <c:v>268.7067528193204</c:v>
                </c:pt>
                <c:pt idx="894">
                  <c:v>268.08725346812446</c:v>
                </c:pt>
                <c:pt idx="895">
                  <c:v>268.38153934442948</c:v>
                </c:pt>
                <c:pt idx="896">
                  <c:v>269.7667781425472</c:v>
                </c:pt>
                <c:pt idx="897">
                  <c:v>269.31137950106915</c:v>
                </c:pt>
                <c:pt idx="898">
                  <c:v>269.60796498347656</c:v>
                </c:pt>
                <c:pt idx="899">
                  <c:v>269.1348927749151</c:v>
                </c:pt>
                <c:pt idx="900">
                  <c:v>269.12223610685561</c:v>
                </c:pt>
                <c:pt idx="901">
                  <c:v>268.67750235716738</c:v>
                </c:pt>
                <c:pt idx="902">
                  <c:v>268.57403153394756</c:v>
                </c:pt>
                <c:pt idx="903">
                  <c:v>268.41862839513823</c:v>
                </c:pt>
                <c:pt idx="904">
                  <c:v>255.35988577766355</c:v>
                </c:pt>
                <c:pt idx="905">
                  <c:v>255.00849942445001</c:v>
                </c:pt>
                <c:pt idx="906">
                  <c:v>255.23711877415963</c:v>
                </c:pt>
                <c:pt idx="907">
                  <c:v>256.48311567458194</c:v>
                </c:pt>
                <c:pt idx="908">
                  <c:v>256.46152963903228</c:v>
                </c:pt>
                <c:pt idx="909">
                  <c:v>255.96654595471051</c:v>
                </c:pt>
                <c:pt idx="910">
                  <c:v>254.37349297276069</c:v>
                </c:pt>
                <c:pt idx="911">
                  <c:v>254.73691397150702</c:v>
                </c:pt>
                <c:pt idx="912">
                  <c:v>254.78712013518742</c:v>
                </c:pt>
                <c:pt idx="913">
                  <c:v>254.47740550385916</c:v>
                </c:pt>
                <c:pt idx="914">
                  <c:v>254.12107038872367</c:v>
                </c:pt>
                <c:pt idx="915">
                  <c:v>252.99670439379943</c:v>
                </c:pt>
                <c:pt idx="916">
                  <c:v>252.38949919732312</c:v>
                </c:pt>
                <c:pt idx="917">
                  <c:v>253.72299340858561</c:v>
                </c:pt>
                <c:pt idx="918">
                  <c:v>260.19421638686271</c:v>
                </c:pt>
                <c:pt idx="919">
                  <c:v>276.21609001809281</c:v>
                </c:pt>
                <c:pt idx="920">
                  <c:v>287.02968042994712</c:v>
                </c:pt>
                <c:pt idx="921">
                  <c:v>288.6646095737953</c:v>
                </c:pt>
                <c:pt idx="922">
                  <c:v>291.42576674815945</c:v>
                </c:pt>
                <c:pt idx="923">
                  <c:v>297.4839147992958</c:v>
                </c:pt>
                <c:pt idx="924">
                  <c:v>300.18307780067573</c:v>
                </c:pt>
                <c:pt idx="925">
                  <c:v>301.47475950614012</c:v>
                </c:pt>
                <c:pt idx="926">
                  <c:v>308.58088347815237</c:v>
                </c:pt>
                <c:pt idx="927">
                  <c:v>316.03942395163261</c:v>
                </c:pt>
                <c:pt idx="928">
                  <c:v>312.78150384426033</c:v>
                </c:pt>
                <c:pt idx="929">
                  <c:v>313.48366086419878</c:v>
                </c:pt>
                <c:pt idx="930">
                  <c:v>312.44057013555232</c:v>
                </c:pt>
                <c:pt idx="931">
                  <c:v>303.15064340890729</c:v>
                </c:pt>
                <c:pt idx="932">
                  <c:v>301.90515395572544</c:v>
                </c:pt>
                <c:pt idx="933">
                  <c:v>308.26778884719306</c:v>
                </c:pt>
                <c:pt idx="934">
                  <c:v>307.4727869053886</c:v>
                </c:pt>
                <c:pt idx="935">
                  <c:v>307.29747081368424</c:v>
                </c:pt>
                <c:pt idx="936">
                  <c:v>310.771051112534</c:v>
                </c:pt>
                <c:pt idx="937">
                  <c:v>314.41498106513131</c:v>
                </c:pt>
                <c:pt idx="938">
                  <c:v>329.13728326175107</c:v>
                </c:pt>
                <c:pt idx="939">
                  <c:v>319.59870242944726</c:v>
                </c:pt>
                <c:pt idx="940">
                  <c:v>318.15863519306657</c:v>
                </c:pt>
                <c:pt idx="941">
                  <c:v>329.98630721352094</c:v>
                </c:pt>
                <c:pt idx="942">
                  <c:v>346.66394592086505</c:v>
                </c:pt>
                <c:pt idx="943">
                  <c:v>370.77889963023028</c:v>
                </c:pt>
                <c:pt idx="944">
                  <c:v>365.85926824992953</c:v>
                </c:pt>
                <c:pt idx="945">
                  <c:v>378.69755331966695</c:v>
                </c:pt>
                <c:pt idx="946">
                  <c:v>373.99011987152619</c:v>
                </c:pt>
                <c:pt idx="947">
                  <c:v>390.9850745569052</c:v>
                </c:pt>
                <c:pt idx="948">
                  <c:v>396.84962623071738</c:v>
                </c:pt>
                <c:pt idx="949">
                  <c:v>409.81329483991186</c:v>
                </c:pt>
                <c:pt idx="950">
                  <c:v>417.14061950995529</c:v>
                </c:pt>
                <c:pt idx="951">
                  <c:v>429.34168311583585</c:v>
                </c:pt>
                <c:pt idx="952">
                  <c:v>435.2099656616985</c:v>
                </c:pt>
                <c:pt idx="953">
                  <c:v>400.55607159209575</c:v>
                </c:pt>
                <c:pt idx="954">
                  <c:v>405.81931287539504</c:v>
                </c:pt>
                <c:pt idx="955">
                  <c:v>413.52555101611836</c:v>
                </c:pt>
                <c:pt idx="956">
                  <c:v>422.48661186533201</c:v>
                </c:pt>
                <c:pt idx="957">
                  <c:v>430.72155519376622</c:v>
                </c:pt>
                <c:pt idx="958">
                  <c:v>448.46426572425111</c:v>
                </c:pt>
                <c:pt idx="959">
                  <c:v>450.18774236660914</c:v>
                </c:pt>
                <c:pt idx="960">
                  <c:v>449.47252185522785</c:v>
                </c:pt>
                <c:pt idx="961">
                  <c:v>473.01206784567341</c:v>
                </c:pt>
                <c:pt idx="962">
                  <c:v>470.72820301997751</c:v>
                </c:pt>
                <c:pt idx="963">
                  <c:v>474.68271712243813</c:v>
                </c:pt>
                <c:pt idx="964">
                  <c:v>490.74246849648773</c:v>
                </c:pt>
                <c:pt idx="965">
                  <c:v>510.60683114866828</c:v>
                </c:pt>
                <c:pt idx="966">
                  <c:v>512.1042617467939</c:v>
                </c:pt>
                <c:pt idx="967">
                  <c:v>493.05822387070583</c:v>
                </c:pt>
                <c:pt idx="968">
                  <c:v>490.34121627076576</c:v>
                </c:pt>
                <c:pt idx="969">
                  <c:v>507.44355056463189</c:v>
                </c:pt>
                <c:pt idx="970">
                  <c:v>514.37246959912136</c:v>
                </c:pt>
                <c:pt idx="971">
                  <c:v>472.66021553058351</c:v>
                </c:pt>
                <c:pt idx="972">
                  <c:v>471.31757230343686</c:v>
                </c:pt>
                <c:pt idx="973">
                  <c:v>472.47983061741326</c:v>
                </c:pt>
                <c:pt idx="974">
                  <c:v>471.63421906407069</c:v>
                </c:pt>
                <c:pt idx="975">
                  <c:v>469.84791661294526</c:v>
                </c:pt>
                <c:pt idx="976">
                  <c:v>465.96941699052184</c:v>
                </c:pt>
                <c:pt idx="977">
                  <c:v>462.10377701917236</c:v>
                </c:pt>
                <c:pt idx="978">
                  <c:v>461.13133899429107</c:v>
                </c:pt>
                <c:pt idx="979">
                  <c:v>462.95751684308669</c:v>
                </c:pt>
                <c:pt idx="980">
                  <c:v>463.97282643770842</c:v>
                </c:pt>
                <c:pt idx="981">
                  <c:v>463.31238020753153</c:v>
                </c:pt>
                <c:pt idx="982">
                  <c:v>460.67089920277806</c:v>
                </c:pt>
                <c:pt idx="983">
                  <c:v>463.56774082619319</c:v>
                </c:pt>
                <c:pt idx="984">
                  <c:v>465.70039041765568</c:v>
                </c:pt>
                <c:pt idx="985">
                  <c:v>469.4691288556748</c:v>
                </c:pt>
                <c:pt idx="986">
                  <c:v>468.16896959669219</c:v>
                </c:pt>
                <c:pt idx="987">
                  <c:v>469.49661622380972</c:v>
                </c:pt>
                <c:pt idx="988">
                  <c:v>465.19767388723335</c:v>
                </c:pt>
                <c:pt idx="989">
                  <c:v>464.26355343319028</c:v>
                </c:pt>
                <c:pt idx="990">
                  <c:v>453.71760833096187</c:v>
                </c:pt>
                <c:pt idx="991">
                  <c:v>493.95674669136685</c:v>
                </c:pt>
                <c:pt idx="992">
                  <c:v>509.82534807615667</c:v>
                </c:pt>
                <c:pt idx="993">
                  <c:v>516.45970683095959</c:v>
                </c:pt>
                <c:pt idx="994">
                  <c:v>495.30063508375378</c:v>
                </c:pt>
                <c:pt idx="995">
                  <c:v>510.26660364077713</c:v>
                </c:pt>
                <c:pt idx="996">
                  <c:v>527.94112729578592</c:v>
                </c:pt>
                <c:pt idx="997">
                  <c:v>510.96660691000636</c:v>
                </c:pt>
                <c:pt idx="998">
                  <c:v>536.4690293016979</c:v>
                </c:pt>
                <c:pt idx="999">
                  <c:v>568.81806438928368</c:v>
                </c:pt>
                <c:pt idx="1000">
                  <c:v>565.98352077369998</c:v>
                </c:pt>
                <c:pt idx="1001">
                  <c:v>541.8215528706379</c:v>
                </c:pt>
                <c:pt idx="1002">
                  <c:v>524.90169935772678</c:v>
                </c:pt>
                <c:pt idx="1003">
                  <c:v>528.54684575854151</c:v>
                </c:pt>
                <c:pt idx="1004">
                  <c:v>502.28496712478108</c:v>
                </c:pt>
                <c:pt idx="1005">
                  <c:v>502.19196028620502</c:v>
                </c:pt>
                <c:pt idx="1006">
                  <c:v>499.3244258928442</c:v>
                </c:pt>
                <c:pt idx="1007">
                  <c:v>497.92070987587715</c:v>
                </c:pt>
                <c:pt idx="1008">
                  <c:v>497.53639901554442</c:v>
                </c:pt>
                <c:pt idx="1009">
                  <c:v>506.86776499815056</c:v>
                </c:pt>
                <c:pt idx="1010">
                  <c:v>521.39201405649021</c:v>
                </c:pt>
                <c:pt idx="1011">
                  <c:v>501.56886298045225</c:v>
                </c:pt>
                <c:pt idx="1012">
                  <c:v>513.76432094416532</c:v>
                </c:pt>
                <c:pt idx="1013">
                  <c:v>491.56107672230803</c:v>
                </c:pt>
                <c:pt idx="1014">
                  <c:v>466.00283559628866</c:v>
                </c:pt>
                <c:pt idx="1015">
                  <c:v>469.6694553177233</c:v>
                </c:pt>
                <c:pt idx="1016">
                  <c:v>470.85108544786016</c:v>
                </c:pt>
                <c:pt idx="1017">
                  <c:v>469.38859298735525</c:v>
                </c:pt>
                <c:pt idx="1018">
                  <c:v>469.50480485157129</c:v>
                </c:pt>
                <c:pt idx="1019">
                  <c:v>470.13018080403646</c:v>
                </c:pt>
                <c:pt idx="1020">
                  <c:v>470.66228643657121</c:v>
                </c:pt>
                <c:pt idx="1021">
                  <c:v>501.02692630452788</c:v>
                </c:pt>
                <c:pt idx="1022">
                  <c:v>512.68902903790888</c:v>
                </c:pt>
                <c:pt idx="1023">
                  <c:v>521.19193571482333</c:v>
                </c:pt>
                <c:pt idx="1024">
                  <c:v>518.46397732799551</c:v>
                </c:pt>
                <c:pt idx="1025">
                  <c:v>484.41541639200415</c:v>
                </c:pt>
                <c:pt idx="1026">
                  <c:v>521.08879597122495</c:v>
                </c:pt>
                <c:pt idx="1027">
                  <c:v>539.46178918981923</c:v>
                </c:pt>
                <c:pt idx="1028">
                  <c:v>551.81690907620123</c:v>
                </c:pt>
                <c:pt idx="1029">
                  <c:v>551.33336111521533</c:v>
                </c:pt>
                <c:pt idx="1030">
                  <c:v>542.16905378230069</c:v>
                </c:pt>
                <c:pt idx="1031">
                  <c:v>552.13872605149356</c:v>
                </c:pt>
                <c:pt idx="1032">
                  <c:v>551.73484861255099</c:v>
                </c:pt>
                <c:pt idx="1033">
                  <c:v>584.59997957673238</c:v>
                </c:pt>
                <c:pt idx="1034">
                  <c:v>586.1865687843981</c:v>
                </c:pt>
                <c:pt idx="1035">
                  <c:v>617.07566801739517</c:v>
                </c:pt>
                <c:pt idx="1036">
                  <c:v>630.2333312139973</c:v>
                </c:pt>
                <c:pt idx="1037">
                  <c:v>642.84710159861868</c:v>
                </c:pt>
                <c:pt idx="1038">
                  <c:v>614.26924631070665</c:v>
                </c:pt>
                <c:pt idx="1039">
                  <c:v>656.67721329128119</c:v>
                </c:pt>
                <c:pt idx="1040">
                  <c:v>631.13022578394919</c:v>
                </c:pt>
                <c:pt idx="1041">
                  <c:v>660.03096559925314</c:v>
                </c:pt>
                <c:pt idx="1042">
                  <c:v>668.43236138807572</c:v>
                </c:pt>
                <c:pt idx="1043">
                  <c:v>686.50446760202237</c:v>
                </c:pt>
                <c:pt idx="1044">
                  <c:v>688.21203756044099</c:v>
                </c:pt>
                <c:pt idx="1045">
                  <c:v>673.82100420186237</c:v>
                </c:pt>
                <c:pt idx="1046">
                  <c:v>702.23514815144165</c:v>
                </c:pt>
                <c:pt idx="1047">
                  <c:v>695.00006144297856</c:v>
                </c:pt>
                <c:pt idx="1048">
                  <c:v>705.24425224113804</c:v>
                </c:pt>
                <c:pt idx="1049">
                  <c:v>724.30066414042255</c:v>
                </c:pt>
                <c:pt idx="1050">
                  <c:v>745.84058403025483</c:v>
                </c:pt>
                <c:pt idx="1051">
                  <c:v>737.00691213842788</c:v>
                </c:pt>
                <c:pt idx="1052">
                  <c:v>763.05078507801863</c:v>
                </c:pt>
                <c:pt idx="1053">
                  <c:v>762.74187066172169</c:v>
                </c:pt>
                <c:pt idx="1054">
                  <c:v>779.70909121711634</c:v>
                </c:pt>
                <c:pt idx="1055">
                  <c:v>801.36247820452559</c:v>
                </c:pt>
                <c:pt idx="1056">
                  <c:v>797.10791233821396</c:v>
                </c:pt>
                <c:pt idx="1057">
                  <c:v>755.18212834515111</c:v>
                </c:pt>
                <c:pt idx="1058">
                  <c:v>756.81339317047173</c:v>
                </c:pt>
                <c:pt idx="1059">
                  <c:v>782.70259417957914</c:v>
                </c:pt>
                <c:pt idx="1060">
                  <c:v>789.69035812426796</c:v>
                </c:pt>
                <c:pt idx="1061">
                  <c:v>769.73242130481242</c:v>
                </c:pt>
                <c:pt idx="1062">
                  <c:v>754.15051505794497</c:v>
                </c:pt>
                <c:pt idx="1063">
                  <c:v>787.29052384220165</c:v>
                </c:pt>
                <c:pt idx="1064">
                  <c:v>749.47762591336107</c:v>
                </c:pt>
                <c:pt idx="1065">
                  <c:v>748.42184824405615</c:v>
                </c:pt>
                <c:pt idx="1066">
                  <c:v>747.4866008577178</c:v>
                </c:pt>
                <c:pt idx="1067">
                  <c:v>773.94800070148983</c:v>
                </c:pt>
                <c:pt idx="1068">
                  <c:v>757.27171020666071</c:v>
                </c:pt>
                <c:pt idx="1069">
                  <c:v>716.84852174449441</c:v>
                </c:pt>
                <c:pt idx="1070">
                  <c:v>715.22167781598625</c:v>
                </c:pt>
                <c:pt idx="1071">
                  <c:v>712.82994106014678</c:v>
                </c:pt>
                <c:pt idx="1072">
                  <c:v>711.05806532280883</c:v>
                </c:pt>
                <c:pt idx="1073">
                  <c:v>727.09363254727862</c:v>
                </c:pt>
                <c:pt idx="1074">
                  <c:v>715.03828442106737</c:v>
                </c:pt>
                <c:pt idx="1075">
                  <c:v>756.57841262698469</c:v>
                </c:pt>
                <c:pt idx="1076">
                  <c:v>749.62425911909554</c:v>
                </c:pt>
                <c:pt idx="1077">
                  <c:v>758.08809396296203</c:v>
                </c:pt>
                <c:pt idx="1078">
                  <c:v>753.30803201674473</c:v>
                </c:pt>
                <c:pt idx="1079">
                  <c:v>771.62034674688402</c:v>
                </c:pt>
                <c:pt idx="1080">
                  <c:v>809.59737169319487</c:v>
                </c:pt>
                <c:pt idx="1081">
                  <c:v>825.34809983204457</c:v>
                </c:pt>
                <c:pt idx="1082">
                  <c:v>841.09572089940571</c:v>
                </c:pt>
                <c:pt idx="1083">
                  <c:v>849.50492149024353</c:v>
                </c:pt>
                <c:pt idx="1084">
                  <c:v>861.85127438498193</c:v>
                </c:pt>
                <c:pt idx="1085">
                  <c:v>867.27812832151221</c:v>
                </c:pt>
                <c:pt idx="1086">
                  <c:v>856.24185526969063</c:v>
                </c:pt>
                <c:pt idx="1087">
                  <c:v>871.97412216832481</c:v>
                </c:pt>
                <c:pt idx="1088">
                  <c:v>879.34930509408264</c:v>
                </c:pt>
                <c:pt idx="1089">
                  <c:v>899.14784584470635</c:v>
                </c:pt>
                <c:pt idx="1090">
                  <c:v>933.4055394147681</c:v>
                </c:pt>
                <c:pt idx="1091">
                  <c:v>964.35705703293797</c:v>
                </c:pt>
                <c:pt idx="1092">
                  <c:v>972.07416826818564</c:v>
                </c:pt>
                <c:pt idx="1093">
                  <c:v>1003.7311404647851</c:v>
                </c:pt>
                <c:pt idx="1094">
                  <c:v>935.40054831678071</c:v>
                </c:pt>
                <c:pt idx="1095">
                  <c:v>926.52579817465789</c:v>
                </c:pt>
                <c:pt idx="1096">
                  <c:v>959.41790282942964</c:v>
                </c:pt>
                <c:pt idx="1097">
                  <c:v>995.58428535376402</c:v>
                </c:pt>
                <c:pt idx="1098">
                  <c:v>989.24879485540862</c:v>
                </c:pt>
                <c:pt idx="1099">
                  <c:v>1027.6569877728507</c:v>
                </c:pt>
                <c:pt idx="1100">
                  <c:v>1034.8407411963287</c:v>
                </c:pt>
                <c:pt idx="1101">
                  <c:v>1019.4139664914115</c:v>
                </c:pt>
                <c:pt idx="1102">
                  <c:v>969.32457715967303</c:v>
                </c:pt>
                <c:pt idx="1103">
                  <c:v>971.3994614255256</c:v>
                </c:pt>
                <c:pt idx="1104">
                  <c:v>889.09771445727893</c:v>
                </c:pt>
                <c:pt idx="1105">
                  <c:v>891.06451561677352</c:v>
                </c:pt>
                <c:pt idx="1106">
                  <c:v>887.24141646415558</c:v>
                </c:pt>
                <c:pt idx="1107">
                  <c:v>898.59324615786375</c:v>
                </c:pt>
                <c:pt idx="1108">
                  <c:v>939.300215109889</c:v>
                </c:pt>
                <c:pt idx="1109">
                  <c:v>888.44476252522702</c:v>
                </c:pt>
                <c:pt idx="1110">
                  <c:v>926.95113672883258</c:v>
                </c:pt>
                <c:pt idx="1111">
                  <c:v>936.36304227600272</c:v>
                </c:pt>
                <c:pt idx="1112">
                  <c:v>909.40591108928561</c:v>
                </c:pt>
                <c:pt idx="1113">
                  <c:v>941.63282028888943</c:v>
                </c:pt>
                <c:pt idx="1114">
                  <c:v>972.90006630067319</c:v>
                </c:pt>
                <c:pt idx="1115">
                  <c:v>1000.2955939240494</c:v>
                </c:pt>
                <c:pt idx="1116">
                  <c:v>1019.1255423307662</c:v>
                </c:pt>
                <c:pt idx="1117">
                  <c:v>1005.0499171307988</c:v>
                </c:pt>
                <c:pt idx="1118">
                  <c:v>927.10885367447031</c:v>
                </c:pt>
                <c:pt idx="1119">
                  <c:v>926.0103908947134</c:v>
                </c:pt>
                <c:pt idx="1120">
                  <c:v>929.00585131066805</c:v>
                </c:pt>
                <c:pt idx="1121">
                  <c:v>928.22917492945885</c:v>
                </c:pt>
                <c:pt idx="1122">
                  <c:v>927.64919442740393</c:v>
                </c:pt>
                <c:pt idx="1123">
                  <c:v>928.73566256408139</c:v>
                </c:pt>
                <c:pt idx="1124">
                  <c:v>967.35168014522549</c:v>
                </c:pt>
                <c:pt idx="1125">
                  <c:v>940.07766194880548</c:v>
                </c:pt>
                <c:pt idx="1126">
                  <c:v>909.81692930832708</c:v>
                </c:pt>
                <c:pt idx="1127">
                  <c:v>1025.9306513504978</c:v>
                </c:pt>
                <c:pt idx="1128">
                  <c:v>1045.5534760486671</c:v>
                </c:pt>
              </c:numCache>
            </c:numRef>
          </c:yVal>
          <c:smooth val="1"/>
          <c:extLst>
            <c:ext xmlns:c16="http://schemas.microsoft.com/office/drawing/2014/chart" uri="{C3380CC4-5D6E-409C-BE32-E72D297353CC}">
              <c16:uniqueId val="{00000000-3407-4046-B256-A9D4819CCD9C}"/>
            </c:ext>
          </c:extLst>
        </c:ser>
        <c:dLbls>
          <c:showLegendKey val="0"/>
          <c:showVal val="0"/>
          <c:showCatName val="0"/>
          <c:showSerName val="0"/>
          <c:showPercent val="0"/>
          <c:showBubbleSize val="0"/>
        </c:dLbls>
        <c:axId val="133393152"/>
        <c:axId val="133390240"/>
      </c:scatterChart>
      <c:valAx>
        <c:axId val="133393152"/>
        <c:scaling>
          <c:orientation val="minMax"/>
          <c:max val="45000"/>
          <c:min val="9862"/>
        </c:scaling>
        <c:delete val="0"/>
        <c:axPos val="b"/>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133390240"/>
        <c:crosses val="autoZero"/>
        <c:crossBetween val="midCat"/>
      </c:valAx>
      <c:valAx>
        <c:axId val="133390240"/>
        <c:scaling>
          <c:logBase val="10"/>
          <c:orientation val="minMax"/>
          <c:min val="0.1"/>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13339315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t-CH"/>
    </a:p>
  </c:tx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H" sz="1200">
                <a:latin typeface="Arial" panose="020B0604020202020204" pitchFamily="34" charset="0"/>
                <a:cs typeface="Arial" panose="020B0604020202020204" pitchFamily="34" charset="0"/>
              </a:rPr>
              <a:t>Evoluzione </a:t>
            </a:r>
            <a:r>
              <a:rPr lang="en-CH" sz="1200" baseline="0">
                <a:latin typeface="Arial" panose="020B0604020202020204" pitchFamily="34" charset="0"/>
                <a:cs typeface="Arial" panose="020B0604020202020204" pitchFamily="34" charset="0"/>
              </a:rPr>
              <a:t>da</a:t>
            </a:r>
            <a:r>
              <a:rPr lang="it-CH" sz="1200" baseline="0">
                <a:latin typeface="Arial" panose="020B0604020202020204" pitchFamily="34" charset="0"/>
                <a:cs typeface="Arial" panose="020B0604020202020204" pitchFamily="34" charset="0"/>
              </a:rPr>
              <a:t>l</a:t>
            </a:r>
            <a:r>
              <a:rPr lang="en-CH" sz="1200" baseline="0">
                <a:latin typeface="Arial" panose="020B0604020202020204" pitchFamily="34" charset="0"/>
                <a:cs typeface="Arial" panose="020B0604020202020204" pitchFamily="34" charset="0"/>
              </a:rPr>
              <a:t> 192</a:t>
            </a:r>
            <a:r>
              <a:rPr lang="it-CH" sz="1200" baseline="0">
                <a:latin typeface="Arial" panose="020B0604020202020204" pitchFamily="34" charset="0"/>
                <a:cs typeface="Arial" panose="020B0604020202020204" pitchFamily="34" charset="0"/>
              </a:rPr>
              <a:t>7</a:t>
            </a:r>
            <a:r>
              <a:rPr lang="en-CH" sz="1200" baseline="0">
                <a:latin typeface="Arial" panose="020B0604020202020204" pitchFamily="34" charset="0"/>
                <a:cs typeface="Arial" panose="020B0604020202020204" pitchFamily="34" charset="0"/>
              </a:rPr>
              <a:t> al 2020 </a:t>
            </a:r>
            <a:r>
              <a:rPr lang="it-CH" sz="1200" baseline="0">
                <a:latin typeface="Arial" panose="020B0604020202020204" pitchFamily="34" charset="0"/>
                <a:cs typeface="Arial" panose="020B0604020202020204" pitchFamily="34" charset="0"/>
              </a:rPr>
              <a:t>di un patrimonio investito n</a:t>
            </a:r>
            <a:r>
              <a:rPr lang="en-CH" sz="1200" baseline="0">
                <a:latin typeface="Arial" panose="020B0604020202020204" pitchFamily="34" charset="0"/>
                <a:cs typeface="Arial" panose="020B0604020202020204" pitchFamily="34" charset="0"/>
              </a:rPr>
              <a:t>el mercato azionario mondiale espress</a:t>
            </a:r>
            <a:r>
              <a:rPr lang="it-CH" sz="1200" baseline="0">
                <a:latin typeface="Arial" panose="020B0604020202020204" pitchFamily="34" charset="0"/>
                <a:cs typeface="Arial" panose="020B0604020202020204" pitchFamily="34" charset="0"/>
              </a:rPr>
              <a:t>a</a:t>
            </a:r>
            <a:r>
              <a:rPr lang="en-CH" sz="1200" baseline="0">
                <a:latin typeface="Arial" panose="020B0604020202020204" pitchFamily="34" charset="0"/>
                <a:cs typeface="Arial" panose="020B0604020202020204" pitchFamily="34" charset="0"/>
              </a:rPr>
              <a:t> in potere d'acquisto in </a:t>
            </a:r>
            <a:r>
              <a:rPr lang="it-CH" sz="1200" baseline="0">
                <a:latin typeface="Arial" panose="020B0604020202020204" pitchFamily="34" charset="0"/>
                <a:cs typeface="Arial" panose="020B0604020202020204" pitchFamily="34" charset="0"/>
              </a:rPr>
              <a:t>CHF</a:t>
            </a:r>
            <a:r>
              <a:rPr lang="en-CH" sz="1200" baseline="0">
                <a:latin typeface="Arial" panose="020B0604020202020204" pitchFamily="34" charset="0"/>
                <a:cs typeface="Arial" panose="020B0604020202020204" pitchFamily="34" charset="0"/>
              </a:rPr>
              <a:t> </a:t>
            </a:r>
            <a:r>
              <a:rPr lang="it-CH" sz="1200" baseline="0">
                <a:latin typeface="Arial" panose="020B0604020202020204" pitchFamily="34" charset="0"/>
                <a:cs typeface="Arial" panose="020B0604020202020204" pitchFamily="34" charset="0"/>
              </a:rPr>
              <a:t>reali (</a:t>
            </a:r>
            <a:r>
              <a:rPr lang="en-CH" sz="1200" baseline="0">
                <a:latin typeface="Arial" panose="020B0604020202020204" pitchFamily="34" charset="0"/>
                <a:cs typeface="Arial" panose="020B0604020202020204" pitchFamily="34" charset="0"/>
              </a:rPr>
              <a:t>al netto dell'inflazione) </a:t>
            </a:r>
            <a:r>
              <a:rPr lang="it-CH" sz="1200" baseline="0">
                <a:latin typeface="Arial" panose="020B0604020202020204" pitchFamily="34" charset="0"/>
                <a:cs typeface="Arial" panose="020B0604020202020204" pitchFamily="34" charset="0"/>
              </a:rPr>
              <a:t>attuando </a:t>
            </a:r>
            <a:r>
              <a:rPr lang="en-CH" sz="1200" baseline="0">
                <a:latin typeface="Arial" panose="020B0604020202020204" pitchFamily="34" charset="0"/>
                <a:cs typeface="Arial" panose="020B0604020202020204" pitchFamily="34" charset="0"/>
              </a:rPr>
              <a:t>una </a:t>
            </a:r>
            <a:r>
              <a:rPr lang="it-CH" sz="1200" b="0" i="0" u="none" strike="noStrike" baseline="0">
                <a:effectLst/>
                <a:latin typeface="Arial" panose="020B0604020202020204" pitchFamily="34" charset="0"/>
                <a:cs typeface="Arial" panose="020B0604020202020204" pitchFamily="34" charset="0"/>
              </a:rPr>
              <a:t>strategia di continua detenzione - buy and hold - vs. di allocazione tattica basata su</a:t>
            </a:r>
            <a:endParaRPr lang="it-CH" sz="1200">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CH"/>
        </a:p>
      </c:txPr>
    </c:title>
    <c:autoTitleDeleted val="0"/>
    <c:plotArea>
      <c:layout/>
      <c:scatterChart>
        <c:scatterStyle val="smoothMarker"/>
        <c:varyColors val="0"/>
        <c:ser>
          <c:idx val="0"/>
          <c:order val="0"/>
          <c:tx>
            <c:strRef>
              <c:f>'HistoricalWorldStocks_SMA-CHF'!$AL$27</c:f>
              <c:strCache>
                <c:ptCount val="1"/>
                <c:pt idx="0">
                  <c:v>Buy and hold senza costi</c:v>
                </c:pt>
              </c:strCache>
            </c:strRef>
          </c:tx>
          <c:spPr>
            <a:ln w="19050" cap="rnd">
              <a:solidFill>
                <a:schemeClr val="accent1"/>
              </a:solidFill>
              <a:round/>
            </a:ln>
            <a:effectLst/>
          </c:spPr>
          <c:marker>
            <c:symbol val="none"/>
          </c:marker>
          <c:xVal>
            <c:numRef>
              <c:f>'HistoricalWorldStocks_SMA-CHF'!$AK$38:$AK$1166</c:f>
              <c:numCache>
                <c:formatCode>m/d/yyyy</c:formatCode>
                <c:ptCount val="1129"/>
                <c:pt idx="0">
                  <c:v>9862</c:v>
                </c:pt>
                <c:pt idx="1">
                  <c:v>9893</c:v>
                </c:pt>
                <c:pt idx="2">
                  <c:v>9924</c:v>
                </c:pt>
                <c:pt idx="3">
                  <c:v>9955</c:v>
                </c:pt>
                <c:pt idx="4">
                  <c:v>9986</c:v>
                </c:pt>
                <c:pt idx="5">
                  <c:v>10017</c:v>
                </c:pt>
                <c:pt idx="6">
                  <c:v>10048</c:v>
                </c:pt>
                <c:pt idx="7">
                  <c:v>10079</c:v>
                </c:pt>
                <c:pt idx="8">
                  <c:v>10110</c:v>
                </c:pt>
                <c:pt idx="9">
                  <c:v>10141</c:v>
                </c:pt>
                <c:pt idx="10">
                  <c:v>10172</c:v>
                </c:pt>
                <c:pt idx="11">
                  <c:v>10203</c:v>
                </c:pt>
                <c:pt idx="12">
                  <c:v>10234</c:v>
                </c:pt>
                <c:pt idx="13">
                  <c:v>10265</c:v>
                </c:pt>
                <c:pt idx="14">
                  <c:v>10296</c:v>
                </c:pt>
                <c:pt idx="15">
                  <c:v>10327</c:v>
                </c:pt>
                <c:pt idx="16">
                  <c:v>10358</c:v>
                </c:pt>
                <c:pt idx="17">
                  <c:v>10389</c:v>
                </c:pt>
                <c:pt idx="18">
                  <c:v>10420</c:v>
                </c:pt>
                <c:pt idx="19">
                  <c:v>10451</c:v>
                </c:pt>
                <c:pt idx="20">
                  <c:v>10482</c:v>
                </c:pt>
                <c:pt idx="21">
                  <c:v>10513</c:v>
                </c:pt>
                <c:pt idx="22">
                  <c:v>10544</c:v>
                </c:pt>
                <c:pt idx="23">
                  <c:v>10575</c:v>
                </c:pt>
                <c:pt idx="24">
                  <c:v>10606</c:v>
                </c:pt>
                <c:pt idx="25">
                  <c:v>10637</c:v>
                </c:pt>
                <c:pt idx="26">
                  <c:v>10668</c:v>
                </c:pt>
                <c:pt idx="27">
                  <c:v>10699</c:v>
                </c:pt>
                <c:pt idx="28">
                  <c:v>10730</c:v>
                </c:pt>
                <c:pt idx="29">
                  <c:v>10761</c:v>
                </c:pt>
                <c:pt idx="30">
                  <c:v>10792</c:v>
                </c:pt>
                <c:pt idx="31">
                  <c:v>10823</c:v>
                </c:pt>
                <c:pt idx="32">
                  <c:v>10854</c:v>
                </c:pt>
                <c:pt idx="33">
                  <c:v>10885</c:v>
                </c:pt>
                <c:pt idx="34">
                  <c:v>10916</c:v>
                </c:pt>
                <c:pt idx="35">
                  <c:v>10947</c:v>
                </c:pt>
                <c:pt idx="36">
                  <c:v>10978</c:v>
                </c:pt>
                <c:pt idx="37">
                  <c:v>11009</c:v>
                </c:pt>
                <c:pt idx="38">
                  <c:v>11040</c:v>
                </c:pt>
                <c:pt idx="39">
                  <c:v>11071</c:v>
                </c:pt>
                <c:pt idx="40">
                  <c:v>11102</c:v>
                </c:pt>
                <c:pt idx="41">
                  <c:v>11133</c:v>
                </c:pt>
                <c:pt idx="42">
                  <c:v>11164</c:v>
                </c:pt>
                <c:pt idx="43">
                  <c:v>11195</c:v>
                </c:pt>
                <c:pt idx="44">
                  <c:v>11226</c:v>
                </c:pt>
                <c:pt idx="45">
                  <c:v>11257</c:v>
                </c:pt>
                <c:pt idx="46">
                  <c:v>11288</c:v>
                </c:pt>
                <c:pt idx="47">
                  <c:v>11319</c:v>
                </c:pt>
                <c:pt idx="48">
                  <c:v>11350</c:v>
                </c:pt>
                <c:pt idx="49">
                  <c:v>11381</c:v>
                </c:pt>
                <c:pt idx="50">
                  <c:v>11412</c:v>
                </c:pt>
                <c:pt idx="51">
                  <c:v>11443</c:v>
                </c:pt>
                <c:pt idx="52">
                  <c:v>11474</c:v>
                </c:pt>
                <c:pt idx="53">
                  <c:v>11505</c:v>
                </c:pt>
                <c:pt idx="54">
                  <c:v>11536</c:v>
                </c:pt>
                <c:pt idx="55">
                  <c:v>11567</c:v>
                </c:pt>
                <c:pt idx="56">
                  <c:v>11598</c:v>
                </c:pt>
                <c:pt idx="57">
                  <c:v>11629</c:v>
                </c:pt>
                <c:pt idx="58">
                  <c:v>11660</c:v>
                </c:pt>
                <c:pt idx="59">
                  <c:v>11691</c:v>
                </c:pt>
                <c:pt idx="60">
                  <c:v>11722</c:v>
                </c:pt>
                <c:pt idx="61">
                  <c:v>11753</c:v>
                </c:pt>
                <c:pt idx="62">
                  <c:v>11784</c:v>
                </c:pt>
                <c:pt idx="63">
                  <c:v>11815</c:v>
                </c:pt>
                <c:pt idx="64">
                  <c:v>11846</c:v>
                </c:pt>
                <c:pt idx="65">
                  <c:v>11877</c:v>
                </c:pt>
                <c:pt idx="66">
                  <c:v>11908</c:v>
                </c:pt>
                <c:pt idx="67">
                  <c:v>11939</c:v>
                </c:pt>
                <c:pt idx="68">
                  <c:v>11970</c:v>
                </c:pt>
                <c:pt idx="69">
                  <c:v>12001</c:v>
                </c:pt>
                <c:pt idx="70">
                  <c:v>12032</c:v>
                </c:pt>
                <c:pt idx="71">
                  <c:v>12063</c:v>
                </c:pt>
                <c:pt idx="72">
                  <c:v>12094</c:v>
                </c:pt>
                <c:pt idx="73">
                  <c:v>12125</c:v>
                </c:pt>
                <c:pt idx="74">
                  <c:v>12156</c:v>
                </c:pt>
                <c:pt idx="75">
                  <c:v>12187</c:v>
                </c:pt>
                <c:pt idx="76">
                  <c:v>12218</c:v>
                </c:pt>
                <c:pt idx="77">
                  <c:v>12249</c:v>
                </c:pt>
                <c:pt idx="78">
                  <c:v>12280</c:v>
                </c:pt>
                <c:pt idx="79">
                  <c:v>12311</c:v>
                </c:pt>
                <c:pt idx="80">
                  <c:v>12342</c:v>
                </c:pt>
                <c:pt idx="81">
                  <c:v>12373</c:v>
                </c:pt>
                <c:pt idx="82">
                  <c:v>12404</c:v>
                </c:pt>
                <c:pt idx="83">
                  <c:v>12435</c:v>
                </c:pt>
                <c:pt idx="84">
                  <c:v>12466</c:v>
                </c:pt>
                <c:pt idx="85">
                  <c:v>12497</c:v>
                </c:pt>
                <c:pt idx="86">
                  <c:v>12528</c:v>
                </c:pt>
                <c:pt idx="87">
                  <c:v>12559</c:v>
                </c:pt>
                <c:pt idx="88">
                  <c:v>12590</c:v>
                </c:pt>
                <c:pt idx="89">
                  <c:v>12621</c:v>
                </c:pt>
                <c:pt idx="90">
                  <c:v>12652</c:v>
                </c:pt>
                <c:pt idx="91">
                  <c:v>12683</c:v>
                </c:pt>
                <c:pt idx="92">
                  <c:v>12714</c:v>
                </c:pt>
                <c:pt idx="93">
                  <c:v>12745</c:v>
                </c:pt>
                <c:pt idx="94">
                  <c:v>12776</c:v>
                </c:pt>
                <c:pt idx="95">
                  <c:v>12807</c:v>
                </c:pt>
                <c:pt idx="96">
                  <c:v>12838</c:v>
                </c:pt>
                <c:pt idx="97">
                  <c:v>12869</c:v>
                </c:pt>
                <c:pt idx="98">
                  <c:v>12900</c:v>
                </c:pt>
                <c:pt idx="99">
                  <c:v>12931</c:v>
                </c:pt>
                <c:pt idx="100">
                  <c:v>12962</c:v>
                </c:pt>
                <c:pt idx="101">
                  <c:v>12993</c:v>
                </c:pt>
                <c:pt idx="102">
                  <c:v>13024</c:v>
                </c:pt>
                <c:pt idx="103">
                  <c:v>13055</c:v>
                </c:pt>
                <c:pt idx="104">
                  <c:v>13086</c:v>
                </c:pt>
                <c:pt idx="105">
                  <c:v>13117</c:v>
                </c:pt>
                <c:pt idx="106">
                  <c:v>13148</c:v>
                </c:pt>
                <c:pt idx="107">
                  <c:v>13179</c:v>
                </c:pt>
                <c:pt idx="108">
                  <c:v>13210</c:v>
                </c:pt>
                <c:pt idx="109">
                  <c:v>13241</c:v>
                </c:pt>
                <c:pt idx="110">
                  <c:v>13272</c:v>
                </c:pt>
                <c:pt idx="111">
                  <c:v>13303</c:v>
                </c:pt>
                <c:pt idx="112">
                  <c:v>13334</c:v>
                </c:pt>
                <c:pt idx="113">
                  <c:v>13365</c:v>
                </c:pt>
                <c:pt idx="114">
                  <c:v>13396</c:v>
                </c:pt>
                <c:pt idx="115">
                  <c:v>13427</c:v>
                </c:pt>
                <c:pt idx="116">
                  <c:v>13458</c:v>
                </c:pt>
                <c:pt idx="117">
                  <c:v>13489</c:v>
                </c:pt>
                <c:pt idx="118">
                  <c:v>13520</c:v>
                </c:pt>
                <c:pt idx="119">
                  <c:v>13551</c:v>
                </c:pt>
                <c:pt idx="120">
                  <c:v>13582</c:v>
                </c:pt>
                <c:pt idx="121">
                  <c:v>13613</c:v>
                </c:pt>
                <c:pt idx="122">
                  <c:v>13644</c:v>
                </c:pt>
                <c:pt idx="123">
                  <c:v>13675</c:v>
                </c:pt>
                <c:pt idx="124">
                  <c:v>13706</c:v>
                </c:pt>
                <c:pt idx="125">
                  <c:v>13737</c:v>
                </c:pt>
                <c:pt idx="126">
                  <c:v>13768</c:v>
                </c:pt>
                <c:pt idx="127">
                  <c:v>13799</c:v>
                </c:pt>
                <c:pt idx="128">
                  <c:v>13830</c:v>
                </c:pt>
                <c:pt idx="129">
                  <c:v>13861</c:v>
                </c:pt>
                <c:pt idx="130">
                  <c:v>13892</c:v>
                </c:pt>
                <c:pt idx="131">
                  <c:v>13923</c:v>
                </c:pt>
                <c:pt idx="132">
                  <c:v>13954</c:v>
                </c:pt>
                <c:pt idx="133">
                  <c:v>13985</c:v>
                </c:pt>
                <c:pt idx="134">
                  <c:v>14016</c:v>
                </c:pt>
                <c:pt idx="135">
                  <c:v>14047</c:v>
                </c:pt>
                <c:pt idx="136">
                  <c:v>14078</c:v>
                </c:pt>
                <c:pt idx="137">
                  <c:v>14109</c:v>
                </c:pt>
                <c:pt idx="138">
                  <c:v>14140</c:v>
                </c:pt>
                <c:pt idx="139">
                  <c:v>14171</c:v>
                </c:pt>
                <c:pt idx="140">
                  <c:v>14202</c:v>
                </c:pt>
                <c:pt idx="141">
                  <c:v>14233</c:v>
                </c:pt>
                <c:pt idx="142">
                  <c:v>14264</c:v>
                </c:pt>
                <c:pt idx="143">
                  <c:v>14295</c:v>
                </c:pt>
                <c:pt idx="144">
                  <c:v>14326</c:v>
                </c:pt>
                <c:pt idx="145">
                  <c:v>14357</c:v>
                </c:pt>
                <c:pt idx="146">
                  <c:v>14388</c:v>
                </c:pt>
                <c:pt idx="147">
                  <c:v>14419</c:v>
                </c:pt>
                <c:pt idx="148">
                  <c:v>14450</c:v>
                </c:pt>
                <c:pt idx="149">
                  <c:v>14481</c:v>
                </c:pt>
                <c:pt idx="150">
                  <c:v>14512</c:v>
                </c:pt>
                <c:pt idx="151">
                  <c:v>14543</c:v>
                </c:pt>
                <c:pt idx="152">
                  <c:v>14574</c:v>
                </c:pt>
                <c:pt idx="153">
                  <c:v>14605</c:v>
                </c:pt>
                <c:pt idx="154">
                  <c:v>14636</c:v>
                </c:pt>
                <c:pt idx="155">
                  <c:v>14667</c:v>
                </c:pt>
                <c:pt idx="156">
                  <c:v>14698</c:v>
                </c:pt>
                <c:pt idx="157">
                  <c:v>14729</c:v>
                </c:pt>
                <c:pt idx="158">
                  <c:v>14760</c:v>
                </c:pt>
                <c:pt idx="159">
                  <c:v>14791</c:v>
                </c:pt>
                <c:pt idx="160">
                  <c:v>14822</c:v>
                </c:pt>
                <c:pt idx="161">
                  <c:v>14853</c:v>
                </c:pt>
                <c:pt idx="162">
                  <c:v>14884</c:v>
                </c:pt>
                <c:pt idx="163">
                  <c:v>14915</c:v>
                </c:pt>
                <c:pt idx="164">
                  <c:v>14946</c:v>
                </c:pt>
                <c:pt idx="165">
                  <c:v>14977</c:v>
                </c:pt>
                <c:pt idx="166">
                  <c:v>15008</c:v>
                </c:pt>
                <c:pt idx="167">
                  <c:v>15039</c:v>
                </c:pt>
                <c:pt idx="168">
                  <c:v>15070</c:v>
                </c:pt>
                <c:pt idx="169">
                  <c:v>15101</c:v>
                </c:pt>
                <c:pt idx="170">
                  <c:v>15132</c:v>
                </c:pt>
                <c:pt idx="171">
                  <c:v>15163</c:v>
                </c:pt>
                <c:pt idx="172">
                  <c:v>15194</c:v>
                </c:pt>
                <c:pt idx="173">
                  <c:v>15225</c:v>
                </c:pt>
                <c:pt idx="174">
                  <c:v>15256</c:v>
                </c:pt>
                <c:pt idx="175">
                  <c:v>15287</c:v>
                </c:pt>
                <c:pt idx="176">
                  <c:v>15318</c:v>
                </c:pt>
                <c:pt idx="177">
                  <c:v>15349</c:v>
                </c:pt>
                <c:pt idx="178">
                  <c:v>15380</c:v>
                </c:pt>
                <c:pt idx="179">
                  <c:v>15411</c:v>
                </c:pt>
                <c:pt idx="180">
                  <c:v>15442</c:v>
                </c:pt>
                <c:pt idx="181">
                  <c:v>15473</c:v>
                </c:pt>
                <c:pt idx="182">
                  <c:v>15504</c:v>
                </c:pt>
                <c:pt idx="183">
                  <c:v>15535</c:v>
                </c:pt>
                <c:pt idx="184">
                  <c:v>15566</c:v>
                </c:pt>
                <c:pt idx="185">
                  <c:v>15597</c:v>
                </c:pt>
                <c:pt idx="186">
                  <c:v>15628</c:v>
                </c:pt>
                <c:pt idx="187">
                  <c:v>15659</c:v>
                </c:pt>
                <c:pt idx="188">
                  <c:v>15690</c:v>
                </c:pt>
                <c:pt idx="189">
                  <c:v>15721</c:v>
                </c:pt>
                <c:pt idx="190">
                  <c:v>15752</c:v>
                </c:pt>
                <c:pt idx="191">
                  <c:v>15783</c:v>
                </c:pt>
                <c:pt idx="192">
                  <c:v>15814</c:v>
                </c:pt>
                <c:pt idx="193">
                  <c:v>15845</c:v>
                </c:pt>
                <c:pt idx="194">
                  <c:v>15876</c:v>
                </c:pt>
                <c:pt idx="195">
                  <c:v>15907</c:v>
                </c:pt>
                <c:pt idx="196">
                  <c:v>15938</c:v>
                </c:pt>
                <c:pt idx="197">
                  <c:v>15969</c:v>
                </c:pt>
                <c:pt idx="198">
                  <c:v>16000</c:v>
                </c:pt>
                <c:pt idx="199">
                  <c:v>16031</c:v>
                </c:pt>
                <c:pt idx="200">
                  <c:v>16062</c:v>
                </c:pt>
                <c:pt idx="201">
                  <c:v>16093</c:v>
                </c:pt>
                <c:pt idx="202">
                  <c:v>16124</c:v>
                </c:pt>
                <c:pt idx="203">
                  <c:v>16155</c:v>
                </c:pt>
                <c:pt idx="204">
                  <c:v>16186</c:v>
                </c:pt>
                <c:pt idx="205">
                  <c:v>16217</c:v>
                </c:pt>
                <c:pt idx="206">
                  <c:v>16248</c:v>
                </c:pt>
                <c:pt idx="207">
                  <c:v>16279</c:v>
                </c:pt>
                <c:pt idx="208">
                  <c:v>16310</c:v>
                </c:pt>
                <c:pt idx="209">
                  <c:v>16341</c:v>
                </c:pt>
                <c:pt idx="210">
                  <c:v>16372</c:v>
                </c:pt>
                <c:pt idx="211">
                  <c:v>16403</c:v>
                </c:pt>
                <c:pt idx="212">
                  <c:v>16434</c:v>
                </c:pt>
                <c:pt idx="213">
                  <c:v>16465</c:v>
                </c:pt>
                <c:pt idx="214">
                  <c:v>16496</c:v>
                </c:pt>
                <c:pt idx="215">
                  <c:v>16527</c:v>
                </c:pt>
                <c:pt idx="216">
                  <c:v>16558</c:v>
                </c:pt>
                <c:pt idx="217">
                  <c:v>16589</c:v>
                </c:pt>
                <c:pt idx="218">
                  <c:v>16620</c:v>
                </c:pt>
                <c:pt idx="219">
                  <c:v>16651</c:v>
                </c:pt>
                <c:pt idx="220">
                  <c:v>16682</c:v>
                </c:pt>
                <c:pt idx="221">
                  <c:v>16713</c:v>
                </c:pt>
                <c:pt idx="222">
                  <c:v>16744</c:v>
                </c:pt>
                <c:pt idx="223">
                  <c:v>16775</c:v>
                </c:pt>
                <c:pt idx="224">
                  <c:v>16806</c:v>
                </c:pt>
                <c:pt idx="225">
                  <c:v>16837</c:v>
                </c:pt>
                <c:pt idx="226">
                  <c:v>16868</c:v>
                </c:pt>
                <c:pt idx="227">
                  <c:v>16899</c:v>
                </c:pt>
                <c:pt idx="228">
                  <c:v>16930</c:v>
                </c:pt>
                <c:pt idx="229">
                  <c:v>16961</c:v>
                </c:pt>
                <c:pt idx="230">
                  <c:v>16992</c:v>
                </c:pt>
                <c:pt idx="231">
                  <c:v>17023</c:v>
                </c:pt>
                <c:pt idx="232">
                  <c:v>17054</c:v>
                </c:pt>
                <c:pt idx="233">
                  <c:v>17085</c:v>
                </c:pt>
                <c:pt idx="234">
                  <c:v>17116</c:v>
                </c:pt>
                <c:pt idx="235">
                  <c:v>17147</c:v>
                </c:pt>
                <c:pt idx="236">
                  <c:v>17178</c:v>
                </c:pt>
                <c:pt idx="237">
                  <c:v>17209</c:v>
                </c:pt>
                <c:pt idx="238">
                  <c:v>17240</c:v>
                </c:pt>
                <c:pt idx="239">
                  <c:v>17271</c:v>
                </c:pt>
                <c:pt idx="240">
                  <c:v>17302</c:v>
                </c:pt>
                <c:pt idx="241">
                  <c:v>17333</c:v>
                </c:pt>
                <c:pt idx="242">
                  <c:v>17364</c:v>
                </c:pt>
                <c:pt idx="243">
                  <c:v>17395</c:v>
                </c:pt>
                <c:pt idx="244">
                  <c:v>17426</c:v>
                </c:pt>
                <c:pt idx="245">
                  <c:v>17457</c:v>
                </c:pt>
                <c:pt idx="246">
                  <c:v>17488</c:v>
                </c:pt>
                <c:pt idx="247">
                  <c:v>17519</c:v>
                </c:pt>
                <c:pt idx="248">
                  <c:v>17550</c:v>
                </c:pt>
                <c:pt idx="249">
                  <c:v>17581</c:v>
                </c:pt>
                <c:pt idx="250">
                  <c:v>17612</c:v>
                </c:pt>
                <c:pt idx="251">
                  <c:v>17643</c:v>
                </c:pt>
                <c:pt idx="252">
                  <c:v>17674</c:v>
                </c:pt>
                <c:pt idx="253">
                  <c:v>17705</c:v>
                </c:pt>
                <c:pt idx="254">
                  <c:v>17736</c:v>
                </c:pt>
                <c:pt idx="255">
                  <c:v>17767</c:v>
                </c:pt>
                <c:pt idx="256">
                  <c:v>17798</c:v>
                </c:pt>
                <c:pt idx="257">
                  <c:v>17829</c:v>
                </c:pt>
                <c:pt idx="258">
                  <c:v>17860</c:v>
                </c:pt>
                <c:pt idx="259">
                  <c:v>17891</c:v>
                </c:pt>
                <c:pt idx="260">
                  <c:v>17922</c:v>
                </c:pt>
                <c:pt idx="261">
                  <c:v>17953</c:v>
                </c:pt>
                <c:pt idx="262">
                  <c:v>17984</c:v>
                </c:pt>
                <c:pt idx="263">
                  <c:v>18015</c:v>
                </c:pt>
                <c:pt idx="264">
                  <c:v>18046</c:v>
                </c:pt>
                <c:pt idx="265">
                  <c:v>18077</c:v>
                </c:pt>
                <c:pt idx="266">
                  <c:v>18108</c:v>
                </c:pt>
                <c:pt idx="267">
                  <c:v>18139</c:v>
                </c:pt>
                <c:pt idx="268">
                  <c:v>18170</c:v>
                </c:pt>
                <c:pt idx="269">
                  <c:v>18201</c:v>
                </c:pt>
                <c:pt idx="270">
                  <c:v>18232</c:v>
                </c:pt>
                <c:pt idx="271">
                  <c:v>18263</c:v>
                </c:pt>
                <c:pt idx="272">
                  <c:v>18294</c:v>
                </c:pt>
                <c:pt idx="273">
                  <c:v>18325</c:v>
                </c:pt>
                <c:pt idx="274">
                  <c:v>18356</c:v>
                </c:pt>
                <c:pt idx="275">
                  <c:v>18387</c:v>
                </c:pt>
                <c:pt idx="276">
                  <c:v>18418</c:v>
                </c:pt>
                <c:pt idx="277">
                  <c:v>18449</c:v>
                </c:pt>
                <c:pt idx="278">
                  <c:v>18480</c:v>
                </c:pt>
                <c:pt idx="279">
                  <c:v>18511</c:v>
                </c:pt>
                <c:pt idx="280">
                  <c:v>18542</c:v>
                </c:pt>
                <c:pt idx="281">
                  <c:v>18573</c:v>
                </c:pt>
                <c:pt idx="282">
                  <c:v>18604</c:v>
                </c:pt>
                <c:pt idx="283">
                  <c:v>18635</c:v>
                </c:pt>
                <c:pt idx="284">
                  <c:v>18666</c:v>
                </c:pt>
                <c:pt idx="285">
                  <c:v>18697</c:v>
                </c:pt>
                <c:pt idx="286">
                  <c:v>18728</c:v>
                </c:pt>
                <c:pt idx="287">
                  <c:v>18759</c:v>
                </c:pt>
                <c:pt idx="288">
                  <c:v>18790</c:v>
                </c:pt>
                <c:pt idx="289">
                  <c:v>18821</c:v>
                </c:pt>
                <c:pt idx="290">
                  <c:v>18852</c:v>
                </c:pt>
                <c:pt idx="291">
                  <c:v>18883</c:v>
                </c:pt>
                <c:pt idx="292">
                  <c:v>18914</c:v>
                </c:pt>
                <c:pt idx="293">
                  <c:v>18945</c:v>
                </c:pt>
                <c:pt idx="294">
                  <c:v>18976</c:v>
                </c:pt>
                <c:pt idx="295">
                  <c:v>19007</c:v>
                </c:pt>
                <c:pt idx="296">
                  <c:v>19038</c:v>
                </c:pt>
                <c:pt idx="297">
                  <c:v>19069</c:v>
                </c:pt>
                <c:pt idx="298">
                  <c:v>19100</c:v>
                </c:pt>
                <c:pt idx="299">
                  <c:v>19131</c:v>
                </c:pt>
                <c:pt idx="300">
                  <c:v>19162</c:v>
                </c:pt>
                <c:pt idx="301">
                  <c:v>19193</c:v>
                </c:pt>
                <c:pt idx="302">
                  <c:v>19224</c:v>
                </c:pt>
                <c:pt idx="303">
                  <c:v>19255</c:v>
                </c:pt>
                <c:pt idx="304">
                  <c:v>19286</c:v>
                </c:pt>
                <c:pt idx="305">
                  <c:v>19317</c:v>
                </c:pt>
                <c:pt idx="306">
                  <c:v>19348</c:v>
                </c:pt>
                <c:pt idx="307">
                  <c:v>19379</c:v>
                </c:pt>
                <c:pt idx="308">
                  <c:v>19410</c:v>
                </c:pt>
                <c:pt idx="309">
                  <c:v>19441</c:v>
                </c:pt>
                <c:pt idx="310">
                  <c:v>19472</c:v>
                </c:pt>
                <c:pt idx="311">
                  <c:v>19503</c:v>
                </c:pt>
                <c:pt idx="312">
                  <c:v>19534</c:v>
                </c:pt>
                <c:pt idx="313">
                  <c:v>19565</c:v>
                </c:pt>
                <c:pt idx="314">
                  <c:v>19596</c:v>
                </c:pt>
                <c:pt idx="315">
                  <c:v>19627</c:v>
                </c:pt>
                <c:pt idx="316">
                  <c:v>19658</c:v>
                </c:pt>
                <c:pt idx="317">
                  <c:v>19689</c:v>
                </c:pt>
                <c:pt idx="318">
                  <c:v>19720</c:v>
                </c:pt>
                <c:pt idx="319">
                  <c:v>19751</c:v>
                </c:pt>
                <c:pt idx="320">
                  <c:v>19782</c:v>
                </c:pt>
                <c:pt idx="321">
                  <c:v>19813</c:v>
                </c:pt>
                <c:pt idx="322">
                  <c:v>19844</c:v>
                </c:pt>
                <c:pt idx="323">
                  <c:v>19875</c:v>
                </c:pt>
                <c:pt idx="324">
                  <c:v>19906</c:v>
                </c:pt>
                <c:pt idx="325">
                  <c:v>19937</c:v>
                </c:pt>
                <c:pt idx="326">
                  <c:v>19968</c:v>
                </c:pt>
                <c:pt idx="327">
                  <c:v>19999</c:v>
                </c:pt>
                <c:pt idx="328">
                  <c:v>20030</c:v>
                </c:pt>
                <c:pt idx="329">
                  <c:v>20061</c:v>
                </c:pt>
                <c:pt idx="330">
                  <c:v>20092</c:v>
                </c:pt>
                <c:pt idx="331">
                  <c:v>20123</c:v>
                </c:pt>
                <c:pt idx="332">
                  <c:v>20154</c:v>
                </c:pt>
                <c:pt idx="333">
                  <c:v>20185</c:v>
                </c:pt>
                <c:pt idx="334">
                  <c:v>20216</c:v>
                </c:pt>
                <c:pt idx="335">
                  <c:v>20247</c:v>
                </c:pt>
                <c:pt idx="336">
                  <c:v>20278</c:v>
                </c:pt>
                <c:pt idx="337">
                  <c:v>20309</c:v>
                </c:pt>
                <c:pt idx="338">
                  <c:v>20340</c:v>
                </c:pt>
                <c:pt idx="339">
                  <c:v>20371</c:v>
                </c:pt>
                <c:pt idx="340">
                  <c:v>20402</c:v>
                </c:pt>
                <c:pt idx="341">
                  <c:v>20433</c:v>
                </c:pt>
                <c:pt idx="342">
                  <c:v>20464</c:v>
                </c:pt>
                <c:pt idx="343">
                  <c:v>20495</c:v>
                </c:pt>
                <c:pt idx="344">
                  <c:v>20526</c:v>
                </c:pt>
                <c:pt idx="345">
                  <c:v>20557</c:v>
                </c:pt>
                <c:pt idx="346">
                  <c:v>20588</c:v>
                </c:pt>
                <c:pt idx="347">
                  <c:v>20619</c:v>
                </c:pt>
                <c:pt idx="348">
                  <c:v>20650</c:v>
                </c:pt>
                <c:pt idx="349">
                  <c:v>20681</c:v>
                </c:pt>
                <c:pt idx="350">
                  <c:v>20712</c:v>
                </c:pt>
                <c:pt idx="351">
                  <c:v>20743</c:v>
                </c:pt>
                <c:pt idx="352">
                  <c:v>20774</c:v>
                </c:pt>
                <c:pt idx="353">
                  <c:v>20805</c:v>
                </c:pt>
                <c:pt idx="354">
                  <c:v>20836</c:v>
                </c:pt>
                <c:pt idx="355">
                  <c:v>20867</c:v>
                </c:pt>
                <c:pt idx="356">
                  <c:v>20898</c:v>
                </c:pt>
                <c:pt idx="357">
                  <c:v>20929</c:v>
                </c:pt>
                <c:pt idx="358">
                  <c:v>20960</c:v>
                </c:pt>
                <c:pt idx="359">
                  <c:v>20991</c:v>
                </c:pt>
                <c:pt idx="360">
                  <c:v>21022</c:v>
                </c:pt>
                <c:pt idx="361">
                  <c:v>21053</c:v>
                </c:pt>
                <c:pt idx="362">
                  <c:v>21084</c:v>
                </c:pt>
                <c:pt idx="363">
                  <c:v>21115</c:v>
                </c:pt>
                <c:pt idx="364">
                  <c:v>21146</c:v>
                </c:pt>
                <c:pt idx="365">
                  <c:v>21177</c:v>
                </c:pt>
                <c:pt idx="366">
                  <c:v>21208</c:v>
                </c:pt>
                <c:pt idx="367">
                  <c:v>21239</c:v>
                </c:pt>
                <c:pt idx="368">
                  <c:v>21270</c:v>
                </c:pt>
                <c:pt idx="369">
                  <c:v>21301</c:v>
                </c:pt>
                <c:pt idx="370">
                  <c:v>21332</c:v>
                </c:pt>
                <c:pt idx="371">
                  <c:v>21363</c:v>
                </c:pt>
                <c:pt idx="372">
                  <c:v>21394</c:v>
                </c:pt>
                <c:pt idx="373">
                  <c:v>21425</c:v>
                </c:pt>
                <c:pt idx="374">
                  <c:v>21456</c:v>
                </c:pt>
                <c:pt idx="375">
                  <c:v>21487</c:v>
                </c:pt>
                <c:pt idx="376">
                  <c:v>21518</c:v>
                </c:pt>
                <c:pt idx="377">
                  <c:v>21549</c:v>
                </c:pt>
                <c:pt idx="378">
                  <c:v>21580</c:v>
                </c:pt>
                <c:pt idx="379">
                  <c:v>21611</c:v>
                </c:pt>
                <c:pt idx="380">
                  <c:v>21642</c:v>
                </c:pt>
                <c:pt idx="381">
                  <c:v>21673</c:v>
                </c:pt>
                <c:pt idx="382">
                  <c:v>21704</c:v>
                </c:pt>
                <c:pt idx="383">
                  <c:v>21735</c:v>
                </c:pt>
                <c:pt idx="384">
                  <c:v>21766</c:v>
                </c:pt>
                <c:pt idx="385">
                  <c:v>21797</c:v>
                </c:pt>
                <c:pt idx="386">
                  <c:v>21828</c:v>
                </c:pt>
                <c:pt idx="387">
                  <c:v>21859</c:v>
                </c:pt>
                <c:pt idx="388">
                  <c:v>21890</c:v>
                </c:pt>
                <c:pt idx="389">
                  <c:v>21921</c:v>
                </c:pt>
                <c:pt idx="390">
                  <c:v>21952</c:v>
                </c:pt>
                <c:pt idx="391">
                  <c:v>21983</c:v>
                </c:pt>
                <c:pt idx="392">
                  <c:v>22014</c:v>
                </c:pt>
                <c:pt idx="393">
                  <c:v>22045</c:v>
                </c:pt>
                <c:pt idx="394">
                  <c:v>22076</c:v>
                </c:pt>
                <c:pt idx="395">
                  <c:v>22107</c:v>
                </c:pt>
                <c:pt idx="396">
                  <c:v>22138</c:v>
                </c:pt>
                <c:pt idx="397">
                  <c:v>22169</c:v>
                </c:pt>
                <c:pt idx="398">
                  <c:v>22200</c:v>
                </c:pt>
                <c:pt idx="399">
                  <c:v>22231</c:v>
                </c:pt>
                <c:pt idx="400">
                  <c:v>22262</c:v>
                </c:pt>
                <c:pt idx="401">
                  <c:v>22293</c:v>
                </c:pt>
                <c:pt idx="402">
                  <c:v>22324</c:v>
                </c:pt>
                <c:pt idx="403">
                  <c:v>22355</c:v>
                </c:pt>
                <c:pt idx="404">
                  <c:v>22386</c:v>
                </c:pt>
                <c:pt idx="405">
                  <c:v>22417</c:v>
                </c:pt>
                <c:pt idx="406">
                  <c:v>22448</c:v>
                </c:pt>
                <c:pt idx="407">
                  <c:v>22479</c:v>
                </c:pt>
                <c:pt idx="408">
                  <c:v>22510</c:v>
                </c:pt>
                <c:pt idx="409">
                  <c:v>22541</c:v>
                </c:pt>
                <c:pt idx="410">
                  <c:v>22572</c:v>
                </c:pt>
                <c:pt idx="411">
                  <c:v>22603</c:v>
                </c:pt>
                <c:pt idx="412">
                  <c:v>22634</c:v>
                </c:pt>
                <c:pt idx="413">
                  <c:v>22665</c:v>
                </c:pt>
                <c:pt idx="414">
                  <c:v>22696</c:v>
                </c:pt>
                <c:pt idx="415">
                  <c:v>22727</c:v>
                </c:pt>
                <c:pt idx="416">
                  <c:v>22758</c:v>
                </c:pt>
                <c:pt idx="417">
                  <c:v>22789</c:v>
                </c:pt>
                <c:pt idx="418">
                  <c:v>22820</c:v>
                </c:pt>
                <c:pt idx="419">
                  <c:v>22851</c:v>
                </c:pt>
                <c:pt idx="420">
                  <c:v>22882</c:v>
                </c:pt>
                <c:pt idx="421">
                  <c:v>22913</c:v>
                </c:pt>
                <c:pt idx="422">
                  <c:v>22944</c:v>
                </c:pt>
                <c:pt idx="423">
                  <c:v>22975</c:v>
                </c:pt>
                <c:pt idx="424">
                  <c:v>23006</c:v>
                </c:pt>
                <c:pt idx="425">
                  <c:v>23037</c:v>
                </c:pt>
                <c:pt idx="426">
                  <c:v>23068</c:v>
                </c:pt>
                <c:pt idx="427">
                  <c:v>23099</c:v>
                </c:pt>
                <c:pt idx="428">
                  <c:v>23130</c:v>
                </c:pt>
                <c:pt idx="429">
                  <c:v>23161</c:v>
                </c:pt>
                <c:pt idx="430">
                  <c:v>23192</c:v>
                </c:pt>
                <c:pt idx="431">
                  <c:v>23223</c:v>
                </c:pt>
                <c:pt idx="432">
                  <c:v>23254</c:v>
                </c:pt>
                <c:pt idx="433">
                  <c:v>23285</c:v>
                </c:pt>
                <c:pt idx="434">
                  <c:v>23316</c:v>
                </c:pt>
                <c:pt idx="435">
                  <c:v>23347</c:v>
                </c:pt>
                <c:pt idx="436">
                  <c:v>23378</c:v>
                </c:pt>
                <c:pt idx="437">
                  <c:v>23409</c:v>
                </c:pt>
                <c:pt idx="438">
                  <c:v>23440</c:v>
                </c:pt>
                <c:pt idx="439">
                  <c:v>23471</c:v>
                </c:pt>
                <c:pt idx="440">
                  <c:v>23502</c:v>
                </c:pt>
                <c:pt idx="441">
                  <c:v>23533</c:v>
                </c:pt>
                <c:pt idx="442">
                  <c:v>23564</c:v>
                </c:pt>
                <c:pt idx="443">
                  <c:v>23595</c:v>
                </c:pt>
                <c:pt idx="444">
                  <c:v>23626</c:v>
                </c:pt>
                <c:pt idx="445">
                  <c:v>23657</c:v>
                </c:pt>
                <c:pt idx="446">
                  <c:v>23688</c:v>
                </c:pt>
                <c:pt idx="447">
                  <c:v>23719</c:v>
                </c:pt>
                <c:pt idx="448">
                  <c:v>23750</c:v>
                </c:pt>
                <c:pt idx="449">
                  <c:v>23781</c:v>
                </c:pt>
                <c:pt idx="450">
                  <c:v>23812</c:v>
                </c:pt>
                <c:pt idx="451">
                  <c:v>23843</c:v>
                </c:pt>
                <c:pt idx="452">
                  <c:v>23874</c:v>
                </c:pt>
                <c:pt idx="453">
                  <c:v>23905</c:v>
                </c:pt>
                <c:pt idx="454">
                  <c:v>23936</c:v>
                </c:pt>
                <c:pt idx="455">
                  <c:v>23967</c:v>
                </c:pt>
                <c:pt idx="456">
                  <c:v>23998</c:v>
                </c:pt>
                <c:pt idx="457">
                  <c:v>24029</c:v>
                </c:pt>
                <c:pt idx="458">
                  <c:v>24060</c:v>
                </c:pt>
                <c:pt idx="459">
                  <c:v>24091</c:v>
                </c:pt>
                <c:pt idx="460">
                  <c:v>24122</c:v>
                </c:pt>
                <c:pt idx="461">
                  <c:v>24153</c:v>
                </c:pt>
                <c:pt idx="462">
                  <c:v>24184</c:v>
                </c:pt>
                <c:pt idx="463">
                  <c:v>24215</c:v>
                </c:pt>
                <c:pt idx="464">
                  <c:v>24246</c:v>
                </c:pt>
                <c:pt idx="465">
                  <c:v>24277</c:v>
                </c:pt>
                <c:pt idx="466">
                  <c:v>24308</c:v>
                </c:pt>
                <c:pt idx="467">
                  <c:v>24339</c:v>
                </c:pt>
                <c:pt idx="468">
                  <c:v>24370</c:v>
                </c:pt>
                <c:pt idx="469">
                  <c:v>24401</c:v>
                </c:pt>
                <c:pt idx="470">
                  <c:v>24432</c:v>
                </c:pt>
                <c:pt idx="471">
                  <c:v>24463</c:v>
                </c:pt>
                <c:pt idx="472">
                  <c:v>24494</c:v>
                </c:pt>
                <c:pt idx="473">
                  <c:v>24525</c:v>
                </c:pt>
                <c:pt idx="474">
                  <c:v>24556</c:v>
                </c:pt>
                <c:pt idx="475">
                  <c:v>24587</c:v>
                </c:pt>
                <c:pt idx="476">
                  <c:v>24618</c:v>
                </c:pt>
                <c:pt idx="477">
                  <c:v>24649</c:v>
                </c:pt>
                <c:pt idx="478">
                  <c:v>24680</c:v>
                </c:pt>
                <c:pt idx="479">
                  <c:v>24711</c:v>
                </c:pt>
                <c:pt idx="480">
                  <c:v>24742</c:v>
                </c:pt>
                <c:pt idx="481">
                  <c:v>24773</c:v>
                </c:pt>
                <c:pt idx="482">
                  <c:v>24804</c:v>
                </c:pt>
                <c:pt idx="483">
                  <c:v>24835</c:v>
                </c:pt>
                <c:pt idx="484">
                  <c:v>24866</c:v>
                </c:pt>
                <c:pt idx="485">
                  <c:v>24897</c:v>
                </c:pt>
                <c:pt idx="486">
                  <c:v>24928</c:v>
                </c:pt>
                <c:pt idx="487">
                  <c:v>24959</c:v>
                </c:pt>
                <c:pt idx="488">
                  <c:v>24990</c:v>
                </c:pt>
                <c:pt idx="489">
                  <c:v>25021</c:v>
                </c:pt>
                <c:pt idx="490">
                  <c:v>25052</c:v>
                </c:pt>
                <c:pt idx="491">
                  <c:v>25083</c:v>
                </c:pt>
                <c:pt idx="492">
                  <c:v>25114</c:v>
                </c:pt>
                <c:pt idx="493">
                  <c:v>25145</c:v>
                </c:pt>
                <c:pt idx="494">
                  <c:v>25176</c:v>
                </c:pt>
                <c:pt idx="495">
                  <c:v>25207</c:v>
                </c:pt>
                <c:pt idx="496">
                  <c:v>25238</c:v>
                </c:pt>
                <c:pt idx="497">
                  <c:v>25269</c:v>
                </c:pt>
                <c:pt idx="498">
                  <c:v>25300</c:v>
                </c:pt>
                <c:pt idx="499">
                  <c:v>25331</c:v>
                </c:pt>
                <c:pt idx="500">
                  <c:v>25362</c:v>
                </c:pt>
                <c:pt idx="501">
                  <c:v>25393</c:v>
                </c:pt>
                <c:pt idx="502">
                  <c:v>25424</c:v>
                </c:pt>
                <c:pt idx="503">
                  <c:v>25455</c:v>
                </c:pt>
                <c:pt idx="504">
                  <c:v>25486</c:v>
                </c:pt>
                <c:pt idx="505">
                  <c:v>25517</c:v>
                </c:pt>
                <c:pt idx="506">
                  <c:v>25548</c:v>
                </c:pt>
                <c:pt idx="507">
                  <c:v>25579</c:v>
                </c:pt>
                <c:pt idx="508">
                  <c:v>25610</c:v>
                </c:pt>
                <c:pt idx="509">
                  <c:v>25641</c:v>
                </c:pt>
                <c:pt idx="510">
                  <c:v>25672</c:v>
                </c:pt>
                <c:pt idx="511">
                  <c:v>25703</c:v>
                </c:pt>
                <c:pt idx="512">
                  <c:v>25734</c:v>
                </c:pt>
                <c:pt idx="513">
                  <c:v>25765</c:v>
                </c:pt>
                <c:pt idx="514">
                  <c:v>25796</c:v>
                </c:pt>
                <c:pt idx="515">
                  <c:v>25827</c:v>
                </c:pt>
                <c:pt idx="516">
                  <c:v>25858</c:v>
                </c:pt>
                <c:pt idx="517">
                  <c:v>25889</c:v>
                </c:pt>
                <c:pt idx="518">
                  <c:v>25920</c:v>
                </c:pt>
                <c:pt idx="519">
                  <c:v>25951</c:v>
                </c:pt>
                <c:pt idx="520">
                  <c:v>25982</c:v>
                </c:pt>
                <c:pt idx="521">
                  <c:v>26013</c:v>
                </c:pt>
                <c:pt idx="522">
                  <c:v>26044</c:v>
                </c:pt>
                <c:pt idx="523">
                  <c:v>26075</c:v>
                </c:pt>
                <c:pt idx="524">
                  <c:v>26106</c:v>
                </c:pt>
                <c:pt idx="525">
                  <c:v>26137</c:v>
                </c:pt>
                <c:pt idx="526">
                  <c:v>26168</c:v>
                </c:pt>
                <c:pt idx="527">
                  <c:v>26199</c:v>
                </c:pt>
                <c:pt idx="528">
                  <c:v>26230</c:v>
                </c:pt>
                <c:pt idx="529">
                  <c:v>26261</c:v>
                </c:pt>
                <c:pt idx="530">
                  <c:v>26292</c:v>
                </c:pt>
                <c:pt idx="531">
                  <c:v>26323</c:v>
                </c:pt>
                <c:pt idx="532">
                  <c:v>26354</c:v>
                </c:pt>
                <c:pt idx="533">
                  <c:v>26385</c:v>
                </c:pt>
                <c:pt idx="534">
                  <c:v>26416</c:v>
                </c:pt>
                <c:pt idx="535">
                  <c:v>26447</c:v>
                </c:pt>
                <c:pt idx="536">
                  <c:v>26478</c:v>
                </c:pt>
                <c:pt idx="537">
                  <c:v>26509</c:v>
                </c:pt>
                <c:pt idx="538">
                  <c:v>26540</c:v>
                </c:pt>
                <c:pt idx="539">
                  <c:v>26571</c:v>
                </c:pt>
                <c:pt idx="540">
                  <c:v>26602</c:v>
                </c:pt>
                <c:pt idx="541">
                  <c:v>26633</c:v>
                </c:pt>
                <c:pt idx="542">
                  <c:v>26664</c:v>
                </c:pt>
                <c:pt idx="543">
                  <c:v>26695</c:v>
                </c:pt>
                <c:pt idx="544">
                  <c:v>26726</c:v>
                </c:pt>
                <c:pt idx="545">
                  <c:v>26757</c:v>
                </c:pt>
                <c:pt idx="546">
                  <c:v>26788</c:v>
                </c:pt>
                <c:pt idx="547">
                  <c:v>26819</c:v>
                </c:pt>
                <c:pt idx="548">
                  <c:v>26850</c:v>
                </c:pt>
                <c:pt idx="549">
                  <c:v>26881</c:v>
                </c:pt>
                <c:pt idx="550">
                  <c:v>26912</c:v>
                </c:pt>
                <c:pt idx="551">
                  <c:v>26943</c:v>
                </c:pt>
                <c:pt idx="552">
                  <c:v>26974</c:v>
                </c:pt>
                <c:pt idx="553">
                  <c:v>27005</c:v>
                </c:pt>
                <c:pt idx="554">
                  <c:v>27036</c:v>
                </c:pt>
                <c:pt idx="555">
                  <c:v>27067</c:v>
                </c:pt>
                <c:pt idx="556">
                  <c:v>27098</c:v>
                </c:pt>
                <c:pt idx="557">
                  <c:v>27129</c:v>
                </c:pt>
                <c:pt idx="558">
                  <c:v>27160</c:v>
                </c:pt>
                <c:pt idx="559">
                  <c:v>27191</c:v>
                </c:pt>
                <c:pt idx="560">
                  <c:v>27222</c:v>
                </c:pt>
                <c:pt idx="561">
                  <c:v>27253</c:v>
                </c:pt>
                <c:pt idx="562">
                  <c:v>27284</c:v>
                </c:pt>
                <c:pt idx="563">
                  <c:v>27315</c:v>
                </c:pt>
                <c:pt idx="564">
                  <c:v>27346</c:v>
                </c:pt>
                <c:pt idx="565">
                  <c:v>27377</c:v>
                </c:pt>
                <c:pt idx="566">
                  <c:v>27408</c:v>
                </c:pt>
                <c:pt idx="567">
                  <c:v>27439</c:v>
                </c:pt>
                <c:pt idx="568">
                  <c:v>27470</c:v>
                </c:pt>
                <c:pt idx="569">
                  <c:v>27501</c:v>
                </c:pt>
                <c:pt idx="570">
                  <c:v>27532</c:v>
                </c:pt>
                <c:pt idx="571">
                  <c:v>27563</c:v>
                </c:pt>
                <c:pt idx="572">
                  <c:v>27594</c:v>
                </c:pt>
                <c:pt idx="573">
                  <c:v>27625</c:v>
                </c:pt>
                <c:pt idx="574">
                  <c:v>27656</c:v>
                </c:pt>
                <c:pt idx="575">
                  <c:v>27687</c:v>
                </c:pt>
                <c:pt idx="576">
                  <c:v>27718</c:v>
                </c:pt>
                <c:pt idx="577">
                  <c:v>27749</c:v>
                </c:pt>
                <c:pt idx="578">
                  <c:v>27780</c:v>
                </c:pt>
                <c:pt idx="579">
                  <c:v>27811</c:v>
                </c:pt>
                <c:pt idx="580">
                  <c:v>27842</c:v>
                </c:pt>
                <c:pt idx="581">
                  <c:v>27873</c:v>
                </c:pt>
                <c:pt idx="582">
                  <c:v>27904</c:v>
                </c:pt>
                <c:pt idx="583">
                  <c:v>27935</c:v>
                </c:pt>
                <c:pt idx="584">
                  <c:v>27966</c:v>
                </c:pt>
                <c:pt idx="585">
                  <c:v>27997</c:v>
                </c:pt>
                <c:pt idx="586">
                  <c:v>28028</c:v>
                </c:pt>
                <c:pt idx="587">
                  <c:v>28059</c:v>
                </c:pt>
                <c:pt idx="588">
                  <c:v>28090</c:v>
                </c:pt>
                <c:pt idx="589">
                  <c:v>28121</c:v>
                </c:pt>
                <c:pt idx="590">
                  <c:v>28152</c:v>
                </c:pt>
                <c:pt idx="591">
                  <c:v>28183</c:v>
                </c:pt>
                <c:pt idx="592">
                  <c:v>28214</c:v>
                </c:pt>
                <c:pt idx="593">
                  <c:v>28245</c:v>
                </c:pt>
                <c:pt idx="594">
                  <c:v>28276</c:v>
                </c:pt>
                <c:pt idx="595">
                  <c:v>28307</c:v>
                </c:pt>
                <c:pt idx="596">
                  <c:v>28338</c:v>
                </c:pt>
                <c:pt idx="597">
                  <c:v>28369</c:v>
                </c:pt>
                <c:pt idx="598">
                  <c:v>28400</c:v>
                </c:pt>
                <c:pt idx="599">
                  <c:v>28431</c:v>
                </c:pt>
                <c:pt idx="600">
                  <c:v>28462</c:v>
                </c:pt>
                <c:pt idx="601">
                  <c:v>28493</c:v>
                </c:pt>
                <c:pt idx="602">
                  <c:v>28524</c:v>
                </c:pt>
                <c:pt idx="603">
                  <c:v>28555</c:v>
                </c:pt>
                <c:pt idx="604">
                  <c:v>28586</c:v>
                </c:pt>
                <c:pt idx="605">
                  <c:v>28617</c:v>
                </c:pt>
                <c:pt idx="606">
                  <c:v>28648</c:v>
                </c:pt>
                <c:pt idx="607">
                  <c:v>28679</c:v>
                </c:pt>
                <c:pt idx="608">
                  <c:v>28710</c:v>
                </c:pt>
                <c:pt idx="609">
                  <c:v>28741</c:v>
                </c:pt>
                <c:pt idx="610">
                  <c:v>28772</c:v>
                </c:pt>
                <c:pt idx="611">
                  <c:v>28803</c:v>
                </c:pt>
                <c:pt idx="612">
                  <c:v>28834</c:v>
                </c:pt>
                <c:pt idx="613">
                  <c:v>28865</c:v>
                </c:pt>
                <c:pt idx="614">
                  <c:v>28896</c:v>
                </c:pt>
                <c:pt idx="615">
                  <c:v>28927</c:v>
                </c:pt>
                <c:pt idx="616">
                  <c:v>28958</c:v>
                </c:pt>
                <c:pt idx="617">
                  <c:v>28989</c:v>
                </c:pt>
                <c:pt idx="618">
                  <c:v>29020</c:v>
                </c:pt>
                <c:pt idx="619">
                  <c:v>29051</c:v>
                </c:pt>
                <c:pt idx="620">
                  <c:v>29082</c:v>
                </c:pt>
                <c:pt idx="621">
                  <c:v>29113</c:v>
                </c:pt>
                <c:pt idx="622">
                  <c:v>29144</c:v>
                </c:pt>
                <c:pt idx="623">
                  <c:v>29175</c:v>
                </c:pt>
                <c:pt idx="624">
                  <c:v>29206</c:v>
                </c:pt>
                <c:pt idx="625">
                  <c:v>29237</c:v>
                </c:pt>
                <c:pt idx="626">
                  <c:v>29268</c:v>
                </c:pt>
                <c:pt idx="627">
                  <c:v>29299</c:v>
                </c:pt>
                <c:pt idx="628">
                  <c:v>29330</c:v>
                </c:pt>
                <c:pt idx="629">
                  <c:v>29361</c:v>
                </c:pt>
                <c:pt idx="630">
                  <c:v>29392</c:v>
                </c:pt>
                <c:pt idx="631">
                  <c:v>29423</c:v>
                </c:pt>
                <c:pt idx="632">
                  <c:v>29454</c:v>
                </c:pt>
                <c:pt idx="633">
                  <c:v>29485</c:v>
                </c:pt>
                <c:pt idx="634">
                  <c:v>29516</c:v>
                </c:pt>
                <c:pt idx="635">
                  <c:v>29547</c:v>
                </c:pt>
                <c:pt idx="636">
                  <c:v>29578</c:v>
                </c:pt>
                <c:pt idx="637">
                  <c:v>29609</c:v>
                </c:pt>
                <c:pt idx="638">
                  <c:v>29640</c:v>
                </c:pt>
                <c:pt idx="639">
                  <c:v>29671</c:v>
                </c:pt>
                <c:pt idx="640">
                  <c:v>29702</c:v>
                </c:pt>
                <c:pt idx="641">
                  <c:v>29733</c:v>
                </c:pt>
                <c:pt idx="642">
                  <c:v>29764</c:v>
                </c:pt>
                <c:pt idx="643">
                  <c:v>29795</c:v>
                </c:pt>
                <c:pt idx="644">
                  <c:v>29826</c:v>
                </c:pt>
                <c:pt idx="645">
                  <c:v>29857</c:v>
                </c:pt>
                <c:pt idx="646">
                  <c:v>29888</c:v>
                </c:pt>
                <c:pt idx="647">
                  <c:v>29919</c:v>
                </c:pt>
                <c:pt idx="648">
                  <c:v>29950</c:v>
                </c:pt>
                <c:pt idx="649">
                  <c:v>29981</c:v>
                </c:pt>
                <c:pt idx="650">
                  <c:v>30012</c:v>
                </c:pt>
                <c:pt idx="651">
                  <c:v>30043</c:v>
                </c:pt>
                <c:pt idx="652">
                  <c:v>30074</c:v>
                </c:pt>
                <c:pt idx="653">
                  <c:v>30105</c:v>
                </c:pt>
                <c:pt idx="654">
                  <c:v>30136</c:v>
                </c:pt>
                <c:pt idx="655">
                  <c:v>30167</c:v>
                </c:pt>
                <c:pt idx="656">
                  <c:v>30198</c:v>
                </c:pt>
                <c:pt idx="657">
                  <c:v>30229</c:v>
                </c:pt>
                <c:pt idx="658">
                  <c:v>30260</c:v>
                </c:pt>
                <c:pt idx="659">
                  <c:v>30291</c:v>
                </c:pt>
                <c:pt idx="660">
                  <c:v>30322</c:v>
                </c:pt>
                <c:pt idx="661">
                  <c:v>30353</c:v>
                </c:pt>
                <c:pt idx="662">
                  <c:v>30384</c:v>
                </c:pt>
                <c:pt idx="663">
                  <c:v>30415</c:v>
                </c:pt>
                <c:pt idx="664">
                  <c:v>30446</c:v>
                </c:pt>
                <c:pt idx="665">
                  <c:v>30477</c:v>
                </c:pt>
                <c:pt idx="666">
                  <c:v>30508</c:v>
                </c:pt>
                <c:pt idx="667">
                  <c:v>30539</c:v>
                </c:pt>
                <c:pt idx="668">
                  <c:v>30570</c:v>
                </c:pt>
                <c:pt idx="669">
                  <c:v>30601</c:v>
                </c:pt>
                <c:pt idx="670">
                  <c:v>30632</c:v>
                </c:pt>
                <c:pt idx="671">
                  <c:v>30663</c:v>
                </c:pt>
                <c:pt idx="672">
                  <c:v>30694</c:v>
                </c:pt>
                <c:pt idx="673">
                  <c:v>30725</c:v>
                </c:pt>
                <c:pt idx="674">
                  <c:v>30756</c:v>
                </c:pt>
                <c:pt idx="675">
                  <c:v>30787</c:v>
                </c:pt>
                <c:pt idx="676">
                  <c:v>30818</c:v>
                </c:pt>
                <c:pt idx="677">
                  <c:v>30849</c:v>
                </c:pt>
                <c:pt idx="678">
                  <c:v>30880</c:v>
                </c:pt>
                <c:pt idx="679">
                  <c:v>30911</c:v>
                </c:pt>
                <c:pt idx="680">
                  <c:v>30942</c:v>
                </c:pt>
                <c:pt idx="681">
                  <c:v>30973</c:v>
                </c:pt>
                <c:pt idx="682">
                  <c:v>31004</c:v>
                </c:pt>
                <c:pt idx="683">
                  <c:v>31035</c:v>
                </c:pt>
                <c:pt idx="684">
                  <c:v>31066</c:v>
                </c:pt>
                <c:pt idx="685">
                  <c:v>31097</c:v>
                </c:pt>
                <c:pt idx="686">
                  <c:v>31128</c:v>
                </c:pt>
                <c:pt idx="687">
                  <c:v>31159</c:v>
                </c:pt>
                <c:pt idx="688">
                  <c:v>31190</c:v>
                </c:pt>
                <c:pt idx="689">
                  <c:v>31221</c:v>
                </c:pt>
                <c:pt idx="690">
                  <c:v>31252</c:v>
                </c:pt>
                <c:pt idx="691">
                  <c:v>31283</c:v>
                </c:pt>
                <c:pt idx="692">
                  <c:v>31314</c:v>
                </c:pt>
                <c:pt idx="693">
                  <c:v>31345</c:v>
                </c:pt>
                <c:pt idx="694">
                  <c:v>31376</c:v>
                </c:pt>
                <c:pt idx="695">
                  <c:v>31407</c:v>
                </c:pt>
                <c:pt idx="696">
                  <c:v>31438</c:v>
                </c:pt>
                <c:pt idx="697">
                  <c:v>31469</c:v>
                </c:pt>
                <c:pt idx="698">
                  <c:v>31500</c:v>
                </c:pt>
                <c:pt idx="699">
                  <c:v>31531</c:v>
                </c:pt>
                <c:pt idx="700">
                  <c:v>31562</c:v>
                </c:pt>
                <c:pt idx="701">
                  <c:v>31593</c:v>
                </c:pt>
                <c:pt idx="702">
                  <c:v>31624</c:v>
                </c:pt>
                <c:pt idx="703">
                  <c:v>31655</c:v>
                </c:pt>
                <c:pt idx="704">
                  <c:v>31686</c:v>
                </c:pt>
                <c:pt idx="705">
                  <c:v>31717</c:v>
                </c:pt>
                <c:pt idx="706">
                  <c:v>31748</c:v>
                </c:pt>
                <c:pt idx="707">
                  <c:v>31779</c:v>
                </c:pt>
                <c:pt idx="708">
                  <c:v>31810</c:v>
                </c:pt>
                <c:pt idx="709">
                  <c:v>31841</c:v>
                </c:pt>
                <c:pt idx="710">
                  <c:v>31872</c:v>
                </c:pt>
                <c:pt idx="711">
                  <c:v>31903</c:v>
                </c:pt>
                <c:pt idx="712">
                  <c:v>31934</c:v>
                </c:pt>
                <c:pt idx="713">
                  <c:v>31965</c:v>
                </c:pt>
                <c:pt idx="714">
                  <c:v>31996</c:v>
                </c:pt>
                <c:pt idx="715">
                  <c:v>32027</c:v>
                </c:pt>
                <c:pt idx="716">
                  <c:v>32058</c:v>
                </c:pt>
                <c:pt idx="717">
                  <c:v>32089</c:v>
                </c:pt>
                <c:pt idx="718">
                  <c:v>32120</c:v>
                </c:pt>
                <c:pt idx="719">
                  <c:v>32151</c:v>
                </c:pt>
                <c:pt idx="720">
                  <c:v>32182</c:v>
                </c:pt>
                <c:pt idx="721">
                  <c:v>32213</c:v>
                </c:pt>
                <c:pt idx="722">
                  <c:v>32244</c:v>
                </c:pt>
                <c:pt idx="723">
                  <c:v>32275</c:v>
                </c:pt>
                <c:pt idx="724">
                  <c:v>32306</c:v>
                </c:pt>
                <c:pt idx="725">
                  <c:v>32337</c:v>
                </c:pt>
                <c:pt idx="726">
                  <c:v>32368</c:v>
                </c:pt>
                <c:pt idx="727">
                  <c:v>32399</c:v>
                </c:pt>
                <c:pt idx="728">
                  <c:v>32430</c:v>
                </c:pt>
                <c:pt idx="729">
                  <c:v>32461</c:v>
                </c:pt>
                <c:pt idx="730">
                  <c:v>32492</c:v>
                </c:pt>
                <c:pt idx="731">
                  <c:v>32523</c:v>
                </c:pt>
                <c:pt idx="732">
                  <c:v>32554</c:v>
                </c:pt>
                <c:pt idx="733">
                  <c:v>32585</c:v>
                </c:pt>
                <c:pt idx="734">
                  <c:v>32616</c:v>
                </c:pt>
                <c:pt idx="735">
                  <c:v>32647</c:v>
                </c:pt>
                <c:pt idx="736">
                  <c:v>32678</c:v>
                </c:pt>
                <c:pt idx="737">
                  <c:v>32709</c:v>
                </c:pt>
                <c:pt idx="738">
                  <c:v>32740</c:v>
                </c:pt>
                <c:pt idx="739">
                  <c:v>32771</c:v>
                </c:pt>
                <c:pt idx="740">
                  <c:v>32802</c:v>
                </c:pt>
                <c:pt idx="741">
                  <c:v>32833</c:v>
                </c:pt>
                <c:pt idx="742">
                  <c:v>32864</c:v>
                </c:pt>
                <c:pt idx="743">
                  <c:v>32895</c:v>
                </c:pt>
                <c:pt idx="744">
                  <c:v>32926</c:v>
                </c:pt>
                <c:pt idx="745">
                  <c:v>32957</c:v>
                </c:pt>
                <c:pt idx="746">
                  <c:v>32988</c:v>
                </c:pt>
                <c:pt idx="747">
                  <c:v>33019</c:v>
                </c:pt>
                <c:pt idx="748">
                  <c:v>33050</c:v>
                </c:pt>
                <c:pt idx="749">
                  <c:v>33081</c:v>
                </c:pt>
                <c:pt idx="750">
                  <c:v>33112</c:v>
                </c:pt>
                <c:pt idx="751">
                  <c:v>33143</c:v>
                </c:pt>
                <c:pt idx="752">
                  <c:v>33174</c:v>
                </c:pt>
                <c:pt idx="753">
                  <c:v>33205</c:v>
                </c:pt>
                <c:pt idx="754">
                  <c:v>33236</c:v>
                </c:pt>
                <c:pt idx="755">
                  <c:v>33267</c:v>
                </c:pt>
                <c:pt idx="756">
                  <c:v>33298</c:v>
                </c:pt>
                <c:pt idx="757">
                  <c:v>33329</c:v>
                </c:pt>
                <c:pt idx="758">
                  <c:v>33360</c:v>
                </c:pt>
                <c:pt idx="759">
                  <c:v>33391</c:v>
                </c:pt>
                <c:pt idx="760">
                  <c:v>33422</c:v>
                </c:pt>
                <c:pt idx="761">
                  <c:v>33453</c:v>
                </c:pt>
                <c:pt idx="762">
                  <c:v>33484</c:v>
                </c:pt>
                <c:pt idx="763">
                  <c:v>33515</c:v>
                </c:pt>
                <c:pt idx="764">
                  <c:v>33546</c:v>
                </c:pt>
                <c:pt idx="765">
                  <c:v>33577</c:v>
                </c:pt>
                <c:pt idx="766">
                  <c:v>33608</c:v>
                </c:pt>
                <c:pt idx="767">
                  <c:v>33639</c:v>
                </c:pt>
                <c:pt idx="768">
                  <c:v>33670</c:v>
                </c:pt>
                <c:pt idx="769">
                  <c:v>33701</c:v>
                </c:pt>
                <c:pt idx="770">
                  <c:v>33732</c:v>
                </c:pt>
                <c:pt idx="771">
                  <c:v>33763</c:v>
                </c:pt>
                <c:pt idx="772">
                  <c:v>33794</c:v>
                </c:pt>
                <c:pt idx="773">
                  <c:v>33825</c:v>
                </c:pt>
                <c:pt idx="774">
                  <c:v>33856</c:v>
                </c:pt>
                <c:pt idx="775">
                  <c:v>33887</c:v>
                </c:pt>
                <c:pt idx="776">
                  <c:v>33918</c:v>
                </c:pt>
                <c:pt idx="777">
                  <c:v>33949</c:v>
                </c:pt>
                <c:pt idx="778">
                  <c:v>33980</c:v>
                </c:pt>
                <c:pt idx="779">
                  <c:v>34011</c:v>
                </c:pt>
                <c:pt idx="780">
                  <c:v>34042</c:v>
                </c:pt>
                <c:pt idx="781">
                  <c:v>34073</c:v>
                </c:pt>
                <c:pt idx="782">
                  <c:v>34104</c:v>
                </c:pt>
                <c:pt idx="783">
                  <c:v>34135</c:v>
                </c:pt>
                <c:pt idx="784">
                  <c:v>34166</c:v>
                </c:pt>
                <c:pt idx="785">
                  <c:v>34197</c:v>
                </c:pt>
                <c:pt idx="786">
                  <c:v>34228</c:v>
                </c:pt>
                <c:pt idx="787">
                  <c:v>34259</c:v>
                </c:pt>
                <c:pt idx="788">
                  <c:v>34290</c:v>
                </c:pt>
                <c:pt idx="789">
                  <c:v>34321</c:v>
                </c:pt>
                <c:pt idx="790">
                  <c:v>34352</c:v>
                </c:pt>
                <c:pt idx="791">
                  <c:v>34383</c:v>
                </c:pt>
                <c:pt idx="792">
                  <c:v>34414</c:v>
                </c:pt>
                <c:pt idx="793">
                  <c:v>34445</c:v>
                </c:pt>
                <c:pt idx="794">
                  <c:v>34476</c:v>
                </c:pt>
                <c:pt idx="795">
                  <c:v>34507</c:v>
                </c:pt>
                <c:pt idx="796">
                  <c:v>34538</c:v>
                </c:pt>
                <c:pt idx="797">
                  <c:v>34569</c:v>
                </c:pt>
                <c:pt idx="798">
                  <c:v>34600</c:v>
                </c:pt>
                <c:pt idx="799">
                  <c:v>34631</c:v>
                </c:pt>
                <c:pt idx="800">
                  <c:v>34662</c:v>
                </c:pt>
                <c:pt idx="801">
                  <c:v>34693</c:v>
                </c:pt>
                <c:pt idx="802">
                  <c:v>34724</c:v>
                </c:pt>
                <c:pt idx="803">
                  <c:v>34755</c:v>
                </c:pt>
                <c:pt idx="804">
                  <c:v>34786</c:v>
                </c:pt>
                <c:pt idx="805">
                  <c:v>34817</c:v>
                </c:pt>
                <c:pt idx="806">
                  <c:v>34848</c:v>
                </c:pt>
                <c:pt idx="807">
                  <c:v>34879</c:v>
                </c:pt>
                <c:pt idx="808">
                  <c:v>34910</c:v>
                </c:pt>
                <c:pt idx="809">
                  <c:v>34941</c:v>
                </c:pt>
                <c:pt idx="810">
                  <c:v>34972</c:v>
                </c:pt>
                <c:pt idx="811">
                  <c:v>35003</c:v>
                </c:pt>
                <c:pt idx="812">
                  <c:v>35034</c:v>
                </c:pt>
                <c:pt idx="813">
                  <c:v>35065</c:v>
                </c:pt>
                <c:pt idx="814">
                  <c:v>35096</c:v>
                </c:pt>
                <c:pt idx="815">
                  <c:v>35127</c:v>
                </c:pt>
                <c:pt idx="816">
                  <c:v>35158</c:v>
                </c:pt>
                <c:pt idx="817">
                  <c:v>35189</c:v>
                </c:pt>
                <c:pt idx="818">
                  <c:v>35220</c:v>
                </c:pt>
                <c:pt idx="819">
                  <c:v>35251</c:v>
                </c:pt>
                <c:pt idx="820">
                  <c:v>35282</c:v>
                </c:pt>
                <c:pt idx="821">
                  <c:v>35313</c:v>
                </c:pt>
                <c:pt idx="822">
                  <c:v>35344</c:v>
                </c:pt>
                <c:pt idx="823">
                  <c:v>35375</c:v>
                </c:pt>
                <c:pt idx="824">
                  <c:v>35406</c:v>
                </c:pt>
                <c:pt idx="825">
                  <c:v>35437</c:v>
                </c:pt>
                <c:pt idx="826">
                  <c:v>35468</c:v>
                </c:pt>
                <c:pt idx="827">
                  <c:v>35499</c:v>
                </c:pt>
                <c:pt idx="828">
                  <c:v>35530</c:v>
                </c:pt>
                <c:pt idx="829">
                  <c:v>35561</c:v>
                </c:pt>
                <c:pt idx="830">
                  <c:v>35592</c:v>
                </c:pt>
                <c:pt idx="831">
                  <c:v>35623</c:v>
                </c:pt>
                <c:pt idx="832">
                  <c:v>35654</c:v>
                </c:pt>
                <c:pt idx="833">
                  <c:v>35685</c:v>
                </c:pt>
                <c:pt idx="834">
                  <c:v>35716</c:v>
                </c:pt>
                <c:pt idx="835">
                  <c:v>35747</c:v>
                </c:pt>
                <c:pt idx="836">
                  <c:v>35778</c:v>
                </c:pt>
                <c:pt idx="837">
                  <c:v>35809</c:v>
                </c:pt>
                <c:pt idx="838">
                  <c:v>35840</c:v>
                </c:pt>
                <c:pt idx="839">
                  <c:v>35871</c:v>
                </c:pt>
                <c:pt idx="840">
                  <c:v>35902</c:v>
                </c:pt>
                <c:pt idx="841">
                  <c:v>35933</c:v>
                </c:pt>
                <c:pt idx="842">
                  <c:v>35964</c:v>
                </c:pt>
                <c:pt idx="843">
                  <c:v>35995</c:v>
                </c:pt>
                <c:pt idx="844">
                  <c:v>36026</c:v>
                </c:pt>
                <c:pt idx="845">
                  <c:v>36057</c:v>
                </c:pt>
                <c:pt idx="846">
                  <c:v>36088</c:v>
                </c:pt>
                <c:pt idx="847">
                  <c:v>36119</c:v>
                </c:pt>
                <c:pt idx="848">
                  <c:v>36150</c:v>
                </c:pt>
                <c:pt idx="849">
                  <c:v>36181</c:v>
                </c:pt>
                <c:pt idx="850">
                  <c:v>36212</c:v>
                </c:pt>
                <c:pt idx="851">
                  <c:v>36243</c:v>
                </c:pt>
                <c:pt idx="852">
                  <c:v>36274</c:v>
                </c:pt>
                <c:pt idx="853">
                  <c:v>36305</c:v>
                </c:pt>
                <c:pt idx="854">
                  <c:v>36336</c:v>
                </c:pt>
                <c:pt idx="855">
                  <c:v>36367</c:v>
                </c:pt>
                <c:pt idx="856">
                  <c:v>36398</c:v>
                </c:pt>
                <c:pt idx="857">
                  <c:v>36429</c:v>
                </c:pt>
                <c:pt idx="858">
                  <c:v>36460</c:v>
                </c:pt>
                <c:pt idx="859">
                  <c:v>36491</c:v>
                </c:pt>
                <c:pt idx="860">
                  <c:v>36522</c:v>
                </c:pt>
                <c:pt idx="861">
                  <c:v>36553</c:v>
                </c:pt>
                <c:pt idx="862">
                  <c:v>36584</c:v>
                </c:pt>
                <c:pt idx="863">
                  <c:v>36615</c:v>
                </c:pt>
                <c:pt idx="864">
                  <c:v>36646</c:v>
                </c:pt>
                <c:pt idx="865">
                  <c:v>36677</c:v>
                </c:pt>
                <c:pt idx="866">
                  <c:v>36708</c:v>
                </c:pt>
                <c:pt idx="867">
                  <c:v>36739</c:v>
                </c:pt>
                <c:pt idx="868">
                  <c:v>36770</c:v>
                </c:pt>
                <c:pt idx="869">
                  <c:v>36801</c:v>
                </c:pt>
                <c:pt idx="870">
                  <c:v>36832</c:v>
                </c:pt>
                <c:pt idx="871">
                  <c:v>36863</c:v>
                </c:pt>
                <c:pt idx="872">
                  <c:v>36894</c:v>
                </c:pt>
                <c:pt idx="873">
                  <c:v>36925</c:v>
                </c:pt>
                <c:pt idx="874">
                  <c:v>36956</c:v>
                </c:pt>
                <c:pt idx="875">
                  <c:v>36987</c:v>
                </c:pt>
                <c:pt idx="876">
                  <c:v>37018</c:v>
                </c:pt>
                <c:pt idx="877">
                  <c:v>37049</c:v>
                </c:pt>
                <c:pt idx="878">
                  <c:v>37080</c:v>
                </c:pt>
                <c:pt idx="879">
                  <c:v>37111</c:v>
                </c:pt>
                <c:pt idx="880">
                  <c:v>37142</c:v>
                </c:pt>
                <c:pt idx="881">
                  <c:v>37173</c:v>
                </c:pt>
                <c:pt idx="882">
                  <c:v>37204</c:v>
                </c:pt>
                <c:pt idx="883">
                  <c:v>37235</c:v>
                </c:pt>
                <c:pt idx="884">
                  <c:v>37266</c:v>
                </c:pt>
                <c:pt idx="885">
                  <c:v>37297</c:v>
                </c:pt>
                <c:pt idx="886">
                  <c:v>37328</c:v>
                </c:pt>
                <c:pt idx="887">
                  <c:v>37359</c:v>
                </c:pt>
                <c:pt idx="888">
                  <c:v>37390</c:v>
                </c:pt>
                <c:pt idx="889">
                  <c:v>37421</c:v>
                </c:pt>
                <c:pt idx="890">
                  <c:v>37452</c:v>
                </c:pt>
                <c:pt idx="891">
                  <c:v>37483</c:v>
                </c:pt>
                <c:pt idx="892">
                  <c:v>37514</c:v>
                </c:pt>
                <c:pt idx="893">
                  <c:v>37545</c:v>
                </c:pt>
                <c:pt idx="894">
                  <c:v>37576</c:v>
                </c:pt>
                <c:pt idx="895">
                  <c:v>37607</c:v>
                </c:pt>
                <c:pt idx="896">
                  <c:v>37638</c:v>
                </c:pt>
                <c:pt idx="897">
                  <c:v>37669</c:v>
                </c:pt>
                <c:pt idx="898">
                  <c:v>37700</c:v>
                </c:pt>
                <c:pt idx="899">
                  <c:v>37731</c:v>
                </c:pt>
                <c:pt idx="900">
                  <c:v>37762</c:v>
                </c:pt>
                <c:pt idx="901">
                  <c:v>37793</c:v>
                </c:pt>
                <c:pt idx="902">
                  <c:v>37824</c:v>
                </c:pt>
                <c:pt idx="903">
                  <c:v>37855</c:v>
                </c:pt>
                <c:pt idx="904">
                  <c:v>37886</c:v>
                </c:pt>
                <c:pt idx="905">
                  <c:v>37917</c:v>
                </c:pt>
                <c:pt idx="906">
                  <c:v>37948</c:v>
                </c:pt>
                <c:pt idx="907">
                  <c:v>37979</c:v>
                </c:pt>
                <c:pt idx="908">
                  <c:v>38010</c:v>
                </c:pt>
                <c:pt idx="909">
                  <c:v>38041</c:v>
                </c:pt>
                <c:pt idx="910">
                  <c:v>38072</c:v>
                </c:pt>
                <c:pt idx="911">
                  <c:v>38103</c:v>
                </c:pt>
                <c:pt idx="912">
                  <c:v>38134</c:v>
                </c:pt>
                <c:pt idx="913">
                  <c:v>38165</c:v>
                </c:pt>
                <c:pt idx="914">
                  <c:v>38196</c:v>
                </c:pt>
                <c:pt idx="915">
                  <c:v>38227</c:v>
                </c:pt>
                <c:pt idx="916">
                  <c:v>38258</c:v>
                </c:pt>
                <c:pt idx="917">
                  <c:v>38289</c:v>
                </c:pt>
                <c:pt idx="918">
                  <c:v>38320</c:v>
                </c:pt>
                <c:pt idx="919">
                  <c:v>38351</c:v>
                </c:pt>
                <c:pt idx="920">
                  <c:v>38382</c:v>
                </c:pt>
                <c:pt idx="921">
                  <c:v>38413</c:v>
                </c:pt>
                <c:pt idx="922">
                  <c:v>38444</c:v>
                </c:pt>
                <c:pt idx="923">
                  <c:v>38475</c:v>
                </c:pt>
                <c:pt idx="924">
                  <c:v>38506</c:v>
                </c:pt>
                <c:pt idx="925">
                  <c:v>38537</c:v>
                </c:pt>
                <c:pt idx="926">
                  <c:v>38568</c:v>
                </c:pt>
                <c:pt idx="927">
                  <c:v>38599</c:v>
                </c:pt>
                <c:pt idx="928">
                  <c:v>38630</c:v>
                </c:pt>
                <c:pt idx="929">
                  <c:v>38661</c:v>
                </c:pt>
                <c:pt idx="930">
                  <c:v>38692</c:v>
                </c:pt>
                <c:pt idx="931">
                  <c:v>38723</c:v>
                </c:pt>
                <c:pt idx="932">
                  <c:v>38754</c:v>
                </c:pt>
                <c:pt idx="933">
                  <c:v>38785</c:v>
                </c:pt>
                <c:pt idx="934">
                  <c:v>38816</c:v>
                </c:pt>
                <c:pt idx="935">
                  <c:v>38847</c:v>
                </c:pt>
                <c:pt idx="936">
                  <c:v>38878</c:v>
                </c:pt>
                <c:pt idx="937">
                  <c:v>38909</c:v>
                </c:pt>
                <c:pt idx="938">
                  <c:v>38940</c:v>
                </c:pt>
                <c:pt idx="939">
                  <c:v>38971</c:v>
                </c:pt>
                <c:pt idx="940">
                  <c:v>39002</c:v>
                </c:pt>
                <c:pt idx="941">
                  <c:v>39033</c:v>
                </c:pt>
                <c:pt idx="942">
                  <c:v>39064</c:v>
                </c:pt>
                <c:pt idx="943">
                  <c:v>39095</c:v>
                </c:pt>
                <c:pt idx="944">
                  <c:v>39126</c:v>
                </c:pt>
                <c:pt idx="945">
                  <c:v>39157</c:v>
                </c:pt>
                <c:pt idx="946">
                  <c:v>39188</c:v>
                </c:pt>
                <c:pt idx="947">
                  <c:v>39219</c:v>
                </c:pt>
                <c:pt idx="948">
                  <c:v>39250</c:v>
                </c:pt>
                <c:pt idx="949">
                  <c:v>39281</c:v>
                </c:pt>
                <c:pt idx="950">
                  <c:v>39312</c:v>
                </c:pt>
                <c:pt idx="951">
                  <c:v>39343</c:v>
                </c:pt>
                <c:pt idx="952">
                  <c:v>39374</c:v>
                </c:pt>
                <c:pt idx="953">
                  <c:v>39405</c:v>
                </c:pt>
                <c:pt idx="954">
                  <c:v>39436</c:v>
                </c:pt>
                <c:pt idx="955">
                  <c:v>39467</c:v>
                </c:pt>
                <c:pt idx="956">
                  <c:v>39498</c:v>
                </c:pt>
                <c:pt idx="957">
                  <c:v>39529</c:v>
                </c:pt>
                <c:pt idx="958">
                  <c:v>39560</c:v>
                </c:pt>
                <c:pt idx="959">
                  <c:v>39591</c:v>
                </c:pt>
                <c:pt idx="960">
                  <c:v>39622</c:v>
                </c:pt>
                <c:pt idx="961">
                  <c:v>39653</c:v>
                </c:pt>
                <c:pt idx="962">
                  <c:v>39684</c:v>
                </c:pt>
                <c:pt idx="963">
                  <c:v>39715</c:v>
                </c:pt>
                <c:pt idx="964">
                  <c:v>39746</c:v>
                </c:pt>
                <c:pt idx="965">
                  <c:v>39777</c:v>
                </c:pt>
                <c:pt idx="966">
                  <c:v>39808</c:v>
                </c:pt>
                <c:pt idx="967">
                  <c:v>39839</c:v>
                </c:pt>
                <c:pt idx="968">
                  <c:v>39870</c:v>
                </c:pt>
                <c:pt idx="969">
                  <c:v>39901</c:v>
                </c:pt>
                <c:pt idx="970">
                  <c:v>39932</c:v>
                </c:pt>
                <c:pt idx="971">
                  <c:v>39963</c:v>
                </c:pt>
                <c:pt idx="972">
                  <c:v>39994</c:v>
                </c:pt>
                <c:pt idx="973">
                  <c:v>40025</c:v>
                </c:pt>
                <c:pt idx="974">
                  <c:v>40056</c:v>
                </c:pt>
                <c:pt idx="975">
                  <c:v>40087</c:v>
                </c:pt>
                <c:pt idx="976">
                  <c:v>40118</c:v>
                </c:pt>
                <c:pt idx="977">
                  <c:v>40149</c:v>
                </c:pt>
                <c:pt idx="978">
                  <c:v>40180</c:v>
                </c:pt>
                <c:pt idx="979">
                  <c:v>40211</c:v>
                </c:pt>
                <c:pt idx="980">
                  <c:v>40242</c:v>
                </c:pt>
                <c:pt idx="981">
                  <c:v>40273</c:v>
                </c:pt>
                <c:pt idx="982">
                  <c:v>40304</c:v>
                </c:pt>
                <c:pt idx="983">
                  <c:v>40335</c:v>
                </c:pt>
                <c:pt idx="984">
                  <c:v>40366</c:v>
                </c:pt>
                <c:pt idx="985">
                  <c:v>40397</c:v>
                </c:pt>
                <c:pt idx="986">
                  <c:v>40428</c:v>
                </c:pt>
                <c:pt idx="987">
                  <c:v>40459</c:v>
                </c:pt>
                <c:pt idx="988">
                  <c:v>40490</c:v>
                </c:pt>
                <c:pt idx="989">
                  <c:v>40521</c:v>
                </c:pt>
                <c:pt idx="990">
                  <c:v>40552</c:v>
                </c:pt>
                <c:pt idx="991">
                  <c:v>40583</c:v>
                </c:pt>
                <c:pt idx="992">
                  <c:v>40614</c:v>
                </c:pt>
                <c:pt idx="993">
                  <c:v>40645</c:v>
                </c:pt>
                <c:pt idx="994">
                  <c:v>40676</c:v>
                </c:pt>
                <c:pt idx="995">
                  <c:v>40707</c:v>
                </c:pt>
                <c:pt idx="996">
                  <c:v>40738</c:v>
                </c:pt>
                <c:pt idx="997">
                  <c:v>40769</c:v>
                </c:pt>
                <c:pt idx="998">
                  <c:v>40800</c:v>
                </c:pt>
                <c:pt idx="999">
                  <c:v>40831</c:v>
                </c:pt>
                <c:pt idx="1000">
                  <c:v>40862</c:v>
                </c:pt>
                <c:pt idx="1001">
                  <c:v>40893</c:v>
                </c:pt>
                <c:pt idx="1002">
                  <c:v>40924</c:v>
                </c:pt>
                <c:pt idx="1003">
                  <c:v>40955</c:v>
                </c:pt>
                <c:pt idx="1004">
                  <c:v>40986</c:v>
                </c:pt>
                <c:pt idx="1005">
                  <c:v>41017</c:v>
                </c:pt>
                <c:pt idx="1006">
                  <c:v>41048</c:v>
                </c:pt>
                <c:pt idx="1007">
                  <c:v>41079</c:v>
                </c:pt>
                <c:pt idx="1008">
                  <c:v>41110</c:v>
                </c:pt>
                <c:pt idx="1009">
                  <c:v>41141</c:v>
                </c:pt>
                <c:pt idx="1010">
                  <c:v>41172</c:v>
                </c:pt>
                <c:pt idx="1011">
                  <c:v>41203</c:v>
                </c:pt>
                <c:pt idx="1012">
                  <c:v>41234</c:v>
                </c:pt>
                <c:pt idx="1013">
                  <c:v>41265</c:v>
                </c:pt>
                <c:pt idx="1014">
                  <c:v>41296</c:v>
                </c:pt>
                <c:pt idx="1015">
                  <c:v>41327</c:v>
                </c:pt>
                <c:pt idx="1016">
                  <c:v>41358</c:v>
                </c:pt>
                <c:pt idx="1017">
                  <c:v>41389</c:v>
                </c:pt>
                <c:pt idx="1018">
                  <c:v>41420</c:v>
                </c:pt>
                <c:pt idx="1019">
                  <c:v>41451</c:v>
                </c:pt>
                <c:pt idx="1020">
                  <c:v>41482</c:v>
                </c:pt>
                <c:pt idx="1021">
                  <c:v>41513</c:v>
                </c:pt>
                <c:pt idx="1022">
                  <c:v>41544</c:v>
                </c:pt>
                <c:pt idx="1023">
                  <c:v>41575</c:v>
                </c:pt>
                <c:pt idx="1024">
                  <c:v>41606</c:v>
                </c:pt>
                <c:pt idx="1025">
                  <c:v>41637</c:v>
                </c:pt>
                <c:pt idx="1026">
                  <c:v>41668</c:v>
                </c:pt>
                <c:pt idx="1027">
                  <c:v>41699</c:v>
                </c:pt>
                <c:pt idx="1028">
                  <c:v>41730</c:v>
                </c:pt>
                <c:pt idx="1029">
                  <c:v>41761</c:v>
                </c:pt>
                <c:pt idx="1030">
                  <c:v>41792</c:v>
                </c:pt>
                <c:pt idx="1031">
                  <c:v>41823</c:v>
                </c:pt>
                <c:pt idx="1032">
                  <c:v>41854</c:v>
                </c:pt>
                <c:pt idx="1033">
                  <c:v>41885</c:v>
                </c:pt>
                <c:pt idx="1034">
                  <c:v>41916</c:v>
                </c:pt>
                <c:pt idx="1035">
                  <c:v>41947</c:v>
                </c:pt>
                <c:pt idx="1036">
                  <c:v>41978</c:v>
                </c:pt>
                <c:pt idx="1037">
                  <c:v>42009</c:v>
                </c:pt>
                <c:pt idx="1038">
                  <c:v>42040</c:v>
                </c:pt>
                <c:pt idx="1039">
                  <c:v>42071</c:v>
                </c:pt>
                <c:pt idx="1040">
                  <c:v>42102</c:v>
                </c:pt>
                <c:pt idx="1041">
                  <c:v>42133</c:v>
                </c:pt>
                <c:pt idx="1042">
                  <c:v>42164</c:v>
                </c:pt>
                <c:pt idx="1043">
                  <c:v>42195</c:v>
                </c:pt>
                <c:pt idx="1044">
                  <c:v>42226</c:v>
                </c:pt>
                <c:pt idx="1045">
                  <c:v>42257</c:v>
                </c:pt>
                <c:pt idx="1046">
                  <c:v>42288</c:v>
                </c:pt>
                <c:pt idx="1047">
                  <c:v>42319</c:v>
                </c:pt>
                <c:pt idx="1048">
                  <c:v>42350</c:v>
                </c:pt>
                <c:pt idx="1049">
                  <c:v>42381</c:v>
                </c:pt>
                <c:pt idx="1050">
                  <c:v>42412</c:v>
                </c:pt>
                <c:pt idx="1051">
                  <c:v>42443</c:v>
                </c:pt>
                <c:pt idx="1052">
                  <c:v>42474</c:v>
                </c:pt>
                <c:pt idx="1053">
                  <c:v>42505</c:v>
                </c:pt>
                <c:pt idx="1054">
                  <c:v>42536</c:v>
                </c:pt>
                <c:pt idx="1055">
                  <c:v>42567</c:v>
                </c:pt>
                <c:pt idx="1056">
                  <c:v>42598</c:v>
                </c:pt>
                <c:pt idx="1057">
                  <c:v>42629</c:v>
                </c:pt>
                <c:pt idx="1058">
                  <c:v>42660</c:v>
                </c:pt>
                <c:pt idx="1059">
                  <c:v>42691</c:v>
                </c:pt>
                <c:pt idx="1060">
                  <c:v>42722</c:v>
                </c:pt>
                <c:pt idx="1061">
                  <c:v>42753</c:v>
                </c:pt>
                <c:pt idx="1062">
                  <c:v>42784</c:v>
                </c:pt>
                <c:pt idx="1063">
                  <c:v>42815</c:v>
                </c:pt>
                <c:pt idx="1064">
                  <c:v>42846</c:v>
                </c:pt>
                <c:pt idx="1065">
                  <c:v>42877</c:v>
                </c:pt>
                <c:pt idx="1066">
                  <c:v>42908</c:v>
                </c:pt>
                <c:pt idx="1067">
                  <c:v>42939</c:v>
                </c:pt>
                <c:pt idx="1068">
                  <c:v>42970</c:v>
                </c:pt>
                <c:pt idx="1069">
                  <c:v>43001</c:v>
                </c:pt>
                <c:pt idx="1070">
                  <c:v>43032</c:v>
                </c:pt>
                <c:pt idx="1071">
                  <c:v>43063</c:v>
                </c:pt>
                <c:pt idx="1072">
                  <c:v>43094</c:v>
                </c:pt>
                <c:pt idx="1073">
                  <c:v>43125</c:v>
                </c:pt>
                <c:pt idx="1074">
                  <c:v>43156</c:v>
                </c:pt>
                <c:pt idx="1075">
                  <c:v>43187</c:v>
                </c:pt>
                <c:pt idx="1076">
                  <c:v>43218</c:v>
                </c:pt>
                <c:pt idx="1077">
                  <c:v>43249</c:v>
                </c:pt>
                <c:pt idx="1078">
                  <c:v>43280</c:v>
                </c:pt>
                <c:pt idx="1079">
                  <c:v>43311</c:v>
                </c:pt>
                <c:pt idx="1080">
                  <c:v>43342</c:v>
                </c:pt>
                <c:pt idx="1081">
                  <c:v>43373</c:v>
                </c:pt>
                <c:pt idx="1082">
                  <c:v>43404</c:v>
                </c:pt>
                <c:pt idx="1083">
                  <c:v>43435</c:v>
                </c:pt>
                <c:pt idx="1084">
                  <c:v>43466</c:v>
                </c:pt>
                <c:pt idx="1085">
                  <c:v>43497</c:v>
                </c:pt>
                <c:pt idx="1086">
                  <c:v>43528</c:v>
                </c:pt>
                <c:pt idx="1087">
                  <c:v>43559</c:v>
                </c:pt>
                <c:pt idx="1088">
                  <c:v>43590</c:v>
                </c:pt>
                <c:pt idx="1089">
                  <c:v>43621</c:v>
                </c:pt>
                <c:pt idx="1090">
                  <c:v>43652</c:v>
                </c:pt>
                <c:pt idx="1091">
                  <c:v>43683</c:v>
                </c:pt>
                <c:pt idx="1092">
                  <c:v>43714</c:v>
                </c:pt>
                <c:pt idx="1093">
                  <c:v>43745</c:v>
                </c:pt>
                <c:pt idx="1094">
                  <c:v>43776</c:v>
                </c:pt>
                <c:pt idx="1095">
                  <c:v>43807</c:v>
                </c:pt>
                <c:pt idx="1096">
                  <c:v>43838</c:v>
                </c:pt>
                <c:pt idx="1097">
                  <c:v>43869</c:v>
                </c:pt>
                <c:pt idx="1098">
                  <c:v>43900</c:v>
                </c:pt>
                <c:pt idx="1099">
                  <c:v>43931</c:v>
                </c:pt>
                <c:pt idx="1100">
                  <c:v>43962</c:v>
                </c:pt>
                <c:pt idx="1101">
                  <c:v>43993</c:v>
                </c:pt>
                <c:pt idx="1102">
                  <c:v>44024</c:v>
                </c:pt>
                <c:pt idx="1103">
                  <c:v>44055</c:v>
                </c:pt>
                <c:pt idx="1104">
                  <c:v>44086</c:v>
                </c:pt>
                <c:pt idx="1105">
                  <c:v>44117</c:v>
                </c:pt>
                <c:pt idx="1106">
                  <c:v>44148</c:v>
                </c:pt>
                <c:pt idx="1107">
                  <c:v>44179</c:v>
                </c:pt>
                <c:pt idx="1108">
                  <c:v>44210</c:v>
                </c:pt>
                <c:pt idx="1109">
                  <c:v>44241</c:v>
                </c:pt>
                <c:pt idx="1110">
                  <c:v>44272</c:v>
                </c:pt>
                <c:pt idx="1111">
                  <c:v>44303</c:v>
                </c:pt>
                <c:pt idx="1112">
                  <c:v>44334</c:v>
                </c:pt>
                <c:pt idx="1113">
                  <c:v>44365</c:v>
                </c:pt>
                <c:pt idx="1114">
                  <c:v>44396</c:v>
                </c:pt>
                <c:pt idx="1115">
                  <c:v>44427</c:v>
                </c:pt>
                <c:pt idx="1116">
                  <c:v>44458</c:v>
                </c:pt>
                <c:pt idx="1117">
                  <c:v>44489</c:v>
                </c:pt>
                <c:pt idx="1118">
                  <c:v>44520</c:v>
                </c:pt>
                <c:pt idx="1119">
                  <c:v>44551</c:v>
                </c:pt>
                <c:pt idx="1120">
                  <c:v>44582</c:v>
                </c:pt>
                <c:pt idx="1121">
                  <c:v>44613</c:v>
                </c:pt>
                <c:pt idx="1122">
                  <c:v>44644</c:v>
                </c:pt>
                <c:pt idx="1123">
                  <c:v>44675</c:v>
                </c:pt>
                <c:pt idx="1124">
                  <c:v>44706</c:v>
                </c:pt>
                <c:pt idx="1125">
                  <c:v>44737</c:v>
                </c:pt>
                <c:pt idx="1126">
                  <c:v>44768</c:v>
                </c:pt>
                <c:pt idx="1127">
                  <c:v>44799</c:v>
                </c:pt>
                <c:pt idx="1128">
                  <c:v>44830</c:v>
                </c:pt>
              </c:numCache>
            </c:numRef>
          </c:xVal>
          <c:yVal>
            <c:numRef>
              <c:f>'HistoricalWorldStocks_SMA-CHF'!$AL$38:$AL$1166</c:f>
              <c:numCache>
                <c:formatCode>_(* #,##0.0000_);_(* \(#,##0.0000\);_(* "-"??_);_(@_)</c:formatCode>
                <c:ptCount val="1129"/>
                <c:pt idx="0">
                  <c:v>1</c:v>
                </c:pt>
                <c:pt idx="1">
                  <c:v>1.0409157317748439</c:v>
                </c:pt>
                <c:pt idx="2">
                  <c:v>1.074229586880435</c:v>
                </c:pt>
                <c:pt idx="3">
                  <c:v>1.0846427311001876</c:v>
                </c:pt>
                <c:pt idx="4">
                  <c:v>1.130247871256957</c:v>
                </c:pt>
                <c:pt idx="5">
                  <c:v>1.1310616664777609</c:v>
                </c:pt>
                <c:pt idx="6">
                  <c:v>1.1210011882400548</c:v>
                </c:pt>
                <c:pt idx="7">
                  <c:v>1.1303097948693812</c:v>
                </c:pt>
                <c:pt idx="8">
                  <c:v>1.1540074290103992</c:v>
                </c:pt>
                <c:pt idx="9">
                  <c:v>1.1862425086140189</c:v>
                </c:pt>
                <c:pt idx="10">
                  <c:v>1.1882550485632795</c:v>
                </c:pt>
                <c:pt idx="11">
                  <c:v>1.1708560657081666</c:v>
                </c:pt>
                <c:pt idx="12">
                  <c:v>1.2170835592390015</c:v>
                </c:pt>
                <c:pt idx="13">
                  <c:v>1.2578417042262506</c:v>
                </c:pt>
                <c:pt idx="14">
                  <c:v>1.236399425856668</c:v>
                </c:pt>
                <c:pt idx="15">
                  <c:v>1.3304002275124642</c:v>
                </c:pt>
                <c:pt idx="16">
                  <c:v>1.3887090450694675</c:v>
                </c:pt>
                <c:pt idx="17">
                  <c:v>1.4244651958710266</c:v>
                </c:pt>
                <c:pt idx="18">
                  <c:v>1.3800356984605344</c:v>
                </c:pt>
                <c:pt idx="19">
                  <c:v>1.3714330883474302</c:v>
                </c:pt>
                <c:pt idx="20">
                  <c:v>1.4532360072160022</c:v>
                </c:pt>
                <c:pt idx="21">
                  <c:v>1.4995994876596428</c:v>
                </c:pt>
                <c:pt idx="22">
                  <c:v>1.4962130220660863</c:v>
                </c:pt>
                <c:pt idx="23">
                  <c:v>1.6015294478569573</c:v>
                </c:pt>
                <c:pt idx="24">
                  <c:v>1.607017649398691</c:v>
                </c:pt>
                <c:pt idx="25">
                  <c:v>1.7054744309545202</c:v>
                </c:pt>
                <c:pt idx="26">
                  <c:v>1.7021886846904584</c:v>
                </c:pt>
                <c:pt idx="27">
                  <c:v>1.6925290702055067</c:v>
                </c:pt>
                <c:pt idx="28">
                  <c:v>1.6997363555689786</c:v>
                </c:pt>
                <c:pt idx="29">
                  <c:v>1.6519306741336273</c:v>
                </c:pt>
                <c:pt idx="30">
                  <c:v>1.7560288655365468</c:v>
                </c:pt>
                <c:pt idx="31">
                  <c:v>1.8383176441115265</c:v>
                </c:pt>
                <c:pt idx="32">
                  <c:v>1.9438489001804908</c:v>
                </c:pt>
                <c:pt idx="33">
                  <c:v>1.8854139259655893</c:v>
                </c:pt>
                <c:pt idx="34">
                  <c:v>1.6282023445914626</c:v>
                </c:pt>
                <c:pt idx="35">
                  <c:v>1.4783620051108151</c:v>
                </c:pt>
                <c:pt idx="36">
                  <c:v>1.4858276312534671</c:v>
                </c:pt>
                <c:pt idx="37">
                  <c:v>1.5663926252299913</c:v>
                </c:pt>
                <c:pt idx="38">
                  <c:v>1.5858220904429126</c:v>
                </c:pt>
                <c:pt idx="39">
                  <c:v>1.6439051339818618</c:v>
                </c:pt>
                <c:pt idx="40">
                  <c:v>1.6712002795725451</c:v>
                </c:pt>
                <c:pt idx="41">
                  <c:v>1.6358649996484305</c:v>
                </c:pt>
                <c:pt idx="42">
                  <c:v>1.4382736623744057</c:v>
                </c:pt>
                <c:pt idx="43">
                  <c:v>1.4402666773618391</c:v>
                </c:pt>
                <c:pt idx="44">
                  <c:v>1.4123480615571091</c:v>
                </c:pt>
                <c:pt idx="45">
                  <c:v>1.3197302498591776</c:v>
                </c:pt>
                <c:pt idx="46">
                  <c:v>1.2330223699598477</c:v>
                </c:pt>
                <c:pt idx="47">
                  <c:v>1.2023448072085892</c:v>
                </c:pt>
                <c:pt idx="48">
                  <c:v>1.1157628878069779</c:v>
                </c:pt>
                <c:pt idx="49">
                  <c:v>1.1384983459912887</c:v>
                </c:pt>
                <c:pt idx="50">
                  <c:v>1.2194507827648915</c:v>
                </c:pt>
                <c:pt idx="51">
                  <c:v>1.1897856316640441</c:v>
                </c:pt>
                <c:pt idx="52">
                  <c:v>1.1274783752323936</c:v>
                </c:pt>
                <c:pt idx="53">
                  <c:v>0.9986942060837124</c:v>
                </c:pt>
                <c:pt idx="54">
                  <c:v>1.0499257107884521</c:v>
                </c:pt>
                <c:pt idx="55">
                  <c:v>1.0025305994352856</c:v>
                </c:pt>
                <c:pt idx="56">
                  <c:v>1.0042937880108074</c:v>
                </c:pt>
                <c:pt idx="57">
                  <c:v>0.77285180573660073</c:v>
                </c:pt>
                <c:pt idx="58">
                  <c:v>0.78788289522072674</c:v>
                </c:pt>
                <c:pt idx="59">
                  <c:v>0.74501929572333614</c:v>
                </c:pt>
                <c:pt idx="60">
                  <c:v>0.65951295431786949</c:v>
                </c:pt>
                <c:pt idx="61">
                  <c:v>0.66765529725027983</c:v>
                </c:pt>
                <c:pt idx="62">
                  <c:v>0.70634394878736706</c:v>
                </c:pt>
                <c:pt idx="63">
                  <c:v>0.66611453862093184</c:v>
                </c:pt>
                <c:pt idx="64">
                  <c:v>0.58756372939794133</c:v>
                </c:pt>
                <c:pt idx="65">
                  <c:v>0.50838708536707811</c:v>
                </c:pt>
                <c:pt idx="66">
                  <c:v>0.50424924972617824</c:v>
                </c:pt>
                <c:pt idx="67">
                  <c:v>0.58492533545379621</c:v>
                </c:pt>
                <c:pt idx="68">
                  <c:v>0.69599373298161082</c:v>
                </c:pt>
                <c:pt idx="69">
                  <c:v>0.70814927686694706</c:v>
                </c:pt>
                <c:pt idx="70">
                  <c:v>0.64733983113508842</c:v>
                </c:pt>
                <c:pt idx="71">
                  <c:v>0.63463851893431167</c:v>
                </c:pt>
                <c:pt idx="72">
                  <c:v>0.66518607435776189</c:v>
                </c:pt>
                <c:pt idx="73">
                  <c:v>0.67060742661587835</c:v>
                </c:pt>
                <c:pt idx="74">
                  <c:v>0.60576185244511394</c:v>
                </c:pt>
                <c:pt idx="75">
                  <c:v>0.61731356858174313</c:v>
                </c:pt>
                <c:pt idx="76">
                  <c:v>0.71518444497105338</c:v>
                </c:pt>
                <c:pt idx="77">
                  <c:v>0.74507377869597646</c:v>
                </c:pt>
                <c:pt idx="78">
                  <c:v>0.79430673532343099</c:v>
                </c:pt>
                <c:pt idx="79">
                  <c:v>0.7453417311646936</c:v>
                </c:pt>
                <c:pt idx="80">
                  <c:v>0.79379058182118145</c:v>
                </c:pt>
                <c:pt idx="81">
                  <c:v>0.71849035535988937</c:v>
                </c:pt>
                <c:pt idx="82">
                  <c:v>0.68627952934966807</c:v>
                </c:pt>
                <c:pt idx="83">
                  <c:v>0.70441086343894255</c:v>
                </c:pt>
                <c:pt idx="84">
                  <c:v>0.72403960474089557</c:v>
                </c:pt>
                <c:pt idx="85">
                  <c:v>0.75502529797832507</c:v>
                </c:pt>
                <c:pt idx="86">
                  <c:v>0.72596216191990093</c:v>
                </c:pt>
                <c:pt idx="87">
                  <c:v>0.72505430026540985</c:v>
                </c:pt>
                <c:pt idx="88">
                  <c:v>0.72038500311852605</c:v>
                </c:pt>
                <c:pt idx="89">
                  <c:v>0.70319200951716343</c:v>
                </c:pt>
                <c:pt idx="90">
                  <c:v>0.70821285910064269</c:v>
                </c:pt>
                <c:pt idx="91">
                  <c:v>0.67925313721631797</c:v>
                </c:pt>
                <c:pt idx="92">
                  <c:v>0.69271219427296138</c:v>
                </c:pt>
                <c:pt idx="93">
                  <c:v>0.70637156331448403</c:v>
                </c:pt>
                <c:pt idx="94">
                  <c:v>0.69919705821843492</c:v>
                </c:pt>
                <c:pt idx="95">
                  <c:v>0.71719145778951177</c:v>
                </c:pt>
                <c:pt idx="96">
                  <c:v>0.71942975120968045</c:v>
                </c:pt>
                <c:pt idx="97">
                  <c:v>0.74698085212395737</c:v>
                </c:pt>
                <c:pt idx="98">
                  <c:v>0.75159405805222657</c:v>
                </c:pt>
                <c:pt idx="99">
                  <c:v>0.73620291127102289</c:v>
                </c:pt>
                <c:pt idx="100">
                  <c:v>0.77641178166465596</c:v>
                </c:pt>
                <c:pt idx="101">
                  <c:v>0.81141344074133703</c:v>
                </c:pt>
                <c:pt idx="102">
                  <c:v>0.81771873968662823</c:v>
                </c:pt>
                <c:pt idx="103">
                  <c:v>0.83370906179466764</c:v>
                </c:pt>
                <c:pt idx="104">
                  <c:v>0.84337954533843318</c:v>
                </c:pt>
                <c:pt idx="105">
                  <c:v>0.83889075299817073</c:v>
                </c:pt>
                <c:pt idx="106">
                  <c:v>0.85205721484717201</c:v>
                </c:pt>
                <c:pt idx="107">
                  <c:v>0.87713617205810634</c:v>
                </c:pt>
                <c:pt idx="108">
                  <c:v>0.90071526424169923</c:v>
                </c:pt>
                <c:pt idx="109">
                  <c:v>0.9443433044928693</c:v>
                </c:pt>
                <c:pt idx="110">
                  <c:v>0.96681545745974851</c:v>
                </c:pt>
                <c:pt idx="111">
                  <c:v>0.96434599954683464</c:v>
                </c:pt>
                <c:pt idx="112">
                  <c:v>0.94098116989363079</c:v>
                </c:pt>
                <c:pt idx="113">
                  <c:v>0.95984828881273299</c:v>
                </c:pt>
                <c:pt idx="114">
                  <c:v>0.97440074575516933</c:v>
                </c:pt>
                <c:pt idx="115">
                  <c:v>0.99606840771886074</c:v>
                </c:pt>
                <c:pt idx="116">
                  <c:v>1.0147229750790914</c:v>
                </c:pt>
                <c:pt idx="117">
                  <c:v>1.0300040368060048</c:v>
                </c:pt>
                <c:pt idx="118">
                  <c:v>1.4834228708932264</c:v>
                </c:pt>
                <c:pt idx="119">
                  <c:v>1.5040450030174581</c:v>
                </c:pt>
                <c:pt idx="120">
                  <c:v>1.5146043360794499</c:v>
                </c:pt>
                <c:pt idx="121">
                  <c:v>1.5812266829455563</c:v>
                </c:pt>
                <c:pt idx="122">
                  <c:v>1.5777266937361585</c:v>
                </c:pt>
                <c:pt idx="123">
                  <c:v>1.590953525726341</c:v>
                </c:pt>
                <c:pt idx="124">
                  <c:v>1.5153208553093098</c:v>
                </c:pt>
                <c:pt idx="125">
                  <c:v>1.5196739858510846</c:v>
                </c:pt>
                <c:pt idx="126">
                  <c:v>1.4847340945493388</c:v>
                </c:pt>
                <c:pt idx="127">
                  <c:v>1.539272630558761</c:v>
                </c:pt>
                <c:pt idx="128">
                  <c:v>1.5141590446441759</c:v>
                </c:pt>
                <c:pt idx="129">
                  <c:v>1.4170762938346453</c:v>
                </c:pt>
                <c:pt idx="130">
                  <c:v>1.3364904011030436</c:v>
                </c:pt>
                <c:pt idx="131">
                  <c:v>1.2647231322312753</c:v>
                </c:pt>
                <c:pt idx="132">
                  <c:v>1.2316710433249818</c:v>
                </c:pt>
                <c:pt idx="133">
                  <c:v>1.2352416012909837</c:v>
                </c:pt>
                <c:pt idx="134">
                  <c:v>1.2503293256476586</c:v>
                </c:pt>
                <c:pt idx="135">
                  <c:v>1.1329646220439342</c:v>
                </c:pt>
                <c:pt idx="136">
                  <c:v>1.1930056676413168</c:v>
                </c:pt>
                <c:pt idx="137">
                  <c:v>1.1750429662394628</c:v>
                </c:pt>
                <c:pt idx="138">
                  <c:v>1.2353069668627845</c:v>
                </c:pt>
                <c:pt idx="139">
                  <c:v>1.2699724091463216</c:v>
                </c:pt>
                <c:pt idx="140">
                  <c:v>1.2446427776660205</c:v>
                </c:pt>
                <c:pt idx="141">
                  <c:v>1.2425839130263239</c:v>
                </c:pt>
                <c:pt idx="142">
                  <c:v>1.2815620904741893</c:v>
                </c:pt>
                <c:pt idx="143">
                  <c:v>1.2782578349748939</c:v>
                </c:pt>
                <c:pt idx="144">
                  <c:v>1.3018582000831016</c:v>
                </c:pt>
                <c:pt idx="145">
                  <c:v>1.2402888768566103</c:v>
                </c:pt>
                <c:pt idx="146">
                  <c:v>1.2585503669295635</c:v>
                </c:pt>
                <c:pt idx="147">
                  <c:v>1.1999703858860922</c:v>
                </c:pt>
                <c:pt idx="148">
                  <c:v>1.1898217550091823</c:v>
                </c:pt>
                <c:pt idx="149">
                  <c:v>1.2198565667964283</c:v>
                </c:pt>
                <c:pt idx="150">
                  <c:v>1.1874297649703158</c:v>
                </c:pt>
                <c:pt idx="151">
                  <c:v>1.2314843729849532</c:v>
                </c:pt>
                <c:pt idx="152">
                  <c:v>1.1930889519110668</c:v>
                </c:pt>
                <c:pt idx="153">
                  <c:v>1.2292322348451412</c:v>
                </c:pt>
                <c:pt idx="154">
                  <c:v>1.2172978103694798</c:v>
                </c:pt>
                <c:pt idx="155">
                  <c:v>1.214454456864563</c:v>
                </c:pt>
                <c:pt idx="156">
                  <c:v>1.2473672324331795</c:v>
                </c:pt>
                <c:pt idx="157">
                  <c:v>1.2167612189274135</c:v>
                </c:pt>
                <c:pt idx="158">
                  <c:v>1.2394230989937121</c:v>
                </c:pt>
                <c:pt idx="159">
                  <c:v>1.2623781638139668</c:v>
                </c:pt>
                <c:pt idx="160">
                  <c:v>1.2358234389616414</c:v>
                </c:pt>
                <c:pt idx="161">
                  <c:v>1.0767560654667141</c:v>
                </c:pt>
                <c:pt idx="162">
                  <c:v>1.1037856484197761</c:v>
                </c:pt>
                <c:pt idx="163">
                  <c:v>1.0938724013699663</c:v>
                </c:pt>
                <c:pt idx="164">
                  <c:v>1.1268592781548286</c:v>
                </c:pt>
                <c:pt idx="165">
                  <c:v>1.1473095815830023</c:v>
                </c:pt>
                <c:pt idx="166">
                  <c:v>1.1351426021366022</c:v>
                </c:pt>
                <c:pt idx="167">
                  <c:v>1.1214906099986794</c:v>
                </c:pt>
                <c:pt idx="168">
                  <c:v>1.1164082887302682</c:v>
                </c:pt>
                <c:pt idx="169">
                  <c:v>1.0899827259160826</c:v>
                </c:pt>
                <c:pt idx="170">
                  <c:v>1.0803793538815798</c:v>
                </c:pt>
                <c:pt idx="171">
                  <c:v>1.1458063649677515</c:v>
                </c:pt>
                <c:pt idx="172">
                  <c:v>1.1552083348644877</c:v>
                </c:pt>
                <c:pt idx="173">
                  <c:v>1.1659987708917456</c:v>
                </c:pt>
                <c:pt idx="174">
                  <c:v>1.2020623455758586</c:v>
                </c:pt>
                <c:pt idx="175">
                  <c:v>1.2275547706514502</c:v>
                </c:pt>
                <c:pt idx="176">
                  <c:v>1.2877856922513728</c:v>
                </c:pt>
                <c:pt idx="177">
                  <c:v>1.3191494052126491</c:v>
                </c:pt>
                <c:pt idx="178">
                  <c:v>1.2616077843141709</c:v>
                </c:pt>
                <c:pt idx="179">
                  <c:v>1.2584472652203087</c:v>
                </c:pt>
                <c:pt idx="180">
                  <c:v>1.2631809145667887</c:v>
                </c:pt>
                <c:pt idx="181">
                  <c:v>1.2995224168147728</c:v>
                </c:pt>
                <c:pt idx="182">
                  <c:v>1.2997680999449339</c:v>
                </c:pt>
                <c:pt idx="183">
                  <c:v>1.3038647939117258</c:v>
                </c:pt>
                <c:pt idx="184">
                  <c:v>1.3017465321903554</c:v>
                </c:pt>
                <c:pt idx="185">
                  <c:v>1.3404570508683826</c:v>
                </c:pt>
                <c:pt idx="186">
                  <c:v>1.3407948893599939</c:v>
                </c:pt>
                <c:pt idx="187">
                  <c:v>1.351192575370499</c:v>
                </c:pt>
                <c:pt idx="188">
                  <c:v>1.4131793277250704</c:v>
                </c:pt>
                <c:pt idx="189">
                  <c:v>1.4278335577041863</c:v>
                </c:pt>
                <c:pt idx="190">
                  <c:v>1.4674450186651757</c:v>
                </c:pt>
                <c:pt idx="191">
                  <c:v>1.4376493056742419</c:v>
                </c:pt>
                <c:pt idx="192">
                  <c:v>1.2853294285834207</c:v>
                </c:pt>
                <c:pt idx="193">
                  <c:v>1.3397662774555961</c:v>
                </c:pt>
                <c:pt idx="194">
                  <c:v>1.3805073144725328</c:v>
                </c:pt>
                <c:pt idx="195">
                  <c:v>1.4167428522603436</c:v>
                </c:pt>
                <c:pt idx="196">
                  <c:v>1.431076869603586</c:v>
                </c:pt>
                <c:pt idx="197">
                  <c:v>1.4741633579103988</c:v>
                </c:pt>
                <c:pt idx="198">
                  <c:v>1.4931071107461271</c:v>
                </c:pt>
                <c:pt idx="199">
                  <c:v>1.4733880190054698</c:v>
                </c:pt>
                <c:pt idx="200">
                  <c:v>1.493946597029191</c:v>
                </c:pt>
                <c:pt idx="201">
                  <c:v>1.5398828019368711</c:v>
                </c:pt>
                <c:pt idx="202">
                  <c:v>1.5336560909113492</c:v>
                </c:pt>
                <c:pt idx="203">
                  <c:v>1.4905182916768935</c:v>
                </c:pt>
                <c:pt idx="204">
                  <c:v>1.538988084571594</c:v>
                </c:pt>
                <c:pt idx="205">
                  <c:v>1.5258426552811477</c:v>
                </c:pt>
                <c:pt idx="206">
                  <c:v>1.5272484497876451</c:v>
                </c:pt>
                <c:pt idx="207">
                  <c:v>1.5442401336012443</c:v>
                </c:pt>
                <c:pt idx="208">
                  <c:v>1.5520188426989856</c:v>
                </c:pt>
                <c:pt idx="209">
                  <c:v>1.6059479743110547</c:v>
                </c:pt>
                <c:pt idx="210">
                  <c:v>1.6947755935237319</c:v>
                </c:pt>
                <c:pt idx="211">
                  <c:v>1.7281159373571089</c:v>
                </c:pt>
                <c:pt idx="212">
                  <c:v>1.7676649289354422</c:v>
                </c:pt>
                <c:pt idx="213">
                  <c:v>1.7243218893190047</c:v>
                </c:pt>
                <c:pt idx="214">
                  <c:v>1.4018170296357049</c:v>
                </c:pt>
                <c:pt idx="215">
                  <c:v>1.3626892748077639</c:v>
                </c:pt>
                <c:pt idx="216">
                  <c:v>1.3934727227492343</c:v>
                </c:pt>
                <c:pt idx="217">
                  <c:v>1.4187092560035672</c:v>
                </c:pt>
                <c:pt idx="218">
                  <c:v>1.4602743748437039</c:v>
                </c:pt>
                <c:pt idx="219">
                  <c:v>1.4281789586276623</c:v>
                </c:pt>
                <c:pt idx="220">
                  <c:v>1.4675677054623248</c:v>
                </c:pt>
                <c:pt idx="221">
                  <c:v>1.4490675125930244</c:v>
                </c:pt>
                <c:pt idx="222">
                  <c:v>1.4535122955449542</c:v>
                </c:pt>
                <c:pt idx="223">
                  <c:v>1.4178324274681902</c:v>
                </c:pt>
                <c:pt idx="224">
                  <c:v>1.5058372902471864</c:v>
                </c:pt>
                <c:pt idx="225">
                  <c:v>1.5413623873202029</c:v>
                </c:pt>
                <c:pt idx="226">
                  <c:v>1.5826475767792083</c:v>
                </c:pt>
                <c:pt idx="227">
                  <c:v>1.602957355443438</c:v>
                </c:pt>
                <c:pt idx="228">
                  <c:v>1.5934421498970983</c:v>
                </c:pt>
                <c:pt idx="229">
                  <c:v>1.2742983702509774</c:v>
                </c:pt>
                <c:pt idx="230">
                  <c:v>1.2297771000122093</c:v>
                </c:pt>
                <c:pt idx="231">
                  <c:v>1.2915342665319804</c:v>
                </c:pt>
                <c:pt idx="232">
                  <c:v>1.3346804134512071</c:v>
                </c:pt>
                <c:pt idx="233">
                  <c:v>1.3861582143972297</c:v>
                </c:pt>
                <c:pt idx="234">
                  <c:v>1.3751821686107508</c:v>
                </c:pt>
                <c:pt idx="235">
                  <c:v>1.460408799754332</c:v>
                </c:pt>
                <c:pt idx="236">
                  <c:v>1.4623261729104877</c:v>
                </c:pt>
                <c:pt idx="237">
                  <c:v>1.4068128647124225</c:v>
                </c:pt>
                <c:pt idx="238">
                  <c:v>1.4552844373528118</c:v>
                </c:pt>
                <c:pt idx="239">
                  <c:v>1.4672213594779686</c:v>
                </c:pt>
                <c:pt idx="240">
                  <c:v>1.5541079641350686</c:v>
                </c:pt>
                <c:pt idx="241">
                  <c:v>1.6002799981403788</c:v>
                </c:pt>
                <c:pt idx="242">
                  <c:v>1.6028877661320835</c:v>
                </c:pt>
                <c:pt idx="243">
                  <c:v>1.6565781088847205</c:v>
                </c:pt>
                <c:pt idx="244">
                  <c:v>1.6690770238251067</c:v>
                </c:pt>
                <c:pt idx="245">
                  <c:v>1.6235868252026151</c:v>
                </c:pt>
                <c:pt idx="246">
                  <c:v>1.6387287113011464</c:v>
                </c:pt>
                <c:pt idx="247">
                  <c:v>1.6623788981330883</c:v>
                </c:pt>
                <c:pt idx="248">
                  <c:v>1.6941940255814023</c:v>
                </c:pt>
                <c:pt idx="249">
                  <c:v>1.6835685561281677</c:v>
                </c:pt>
                <c:pt idx="250">
                  <c:v>1.6408233238594654</c:v>
                </c:pt>
                <c:pt idx="251">
                  <c:v>1.6292501065255691</c:v>
                </c:pt>
                <c:pt idx="252">
                  <c:v>1.657172720718552</c:v>
                </c:pt>
                <c:pt idx="253">
                  <c:v>1.6502161155034618</c:v>
                </c:pt>
                <c:pt idx="254">
                  <c:v>1.5542362819163009</c:v>
                </c:pt>
                <c:pt idx="255">
                  <c:v>1.6214882976489</c:v>
                </c:pt>
                <c:pt idx="256">
                  <c:v>1.7106509010054964</c:v>
                </c:pt>
                <c:pt idx="257">
                  <c:v>1.8073146257398429</c:v>
                </c:pt>
                <c:pt idx="258">
                  <c:v>1.8206013517780195</c:v>
                </c:pt>
                <c:pt idx="259">
                  <c:v>1.6733588289140762</c:v>
                </c:pt>
                <c:pt idx="260">
                  <c:v>1.6533193151290688</c:v>
                </c:pt>
                <c:pt idx="261">
                  <c:v>1.6005059773692603</c:v>
                </c:pt>
                <c:pt idx="262">
                  <c:v>1.7094511836638739</c:v>
                </c:pt>
                <c:pt idx="263">
                  <c:v>1.5621281795900512</c:v>
                </c:pt>
                <c:pt idx="264">
                  <c:v>1.5999269878598397</c:v>
                </c:pt>
                <c:pt idx="265">
                  <c:v>1.6103200150060946</c:v>
                </c:pt>
                <c:pt idx="266">
                  <c:v>1.5786098303126759</c:v>
                </c:pt>
                <c:pt idx="267">
                  <c:v>1.5972523132397638</c:v>
                </c:pt>
                <c:pt idx="268">
                  <c:v>1.6099395811007169</c:v>
                </c:pt>
                <c:pt idx="269">
                  <c:v>1.5353953611619711</c:v>
                </c:pt>
                <c:pt idx="270">
                  <c:v>1.501779184540446</c:v>
                </c:pt>
                <c:pt idx="271">
                  <c:v>1.5797345255768425</c:v>
                </c:pt>
                <c:pt idx="272">
                  <c:v>1.6084467478267717</c:v>
                </c:pt>
                <c:pt idx="273">
                  <c:v>1.604407067159608</c:v>
                </c:pt>
                <c:pt idx="274">
                  <c:v>1.646619349018853</c:v>
                </c:pt>
                <c:pt idx="275">
                  <c:v>1.6465360221943326</c:v>
                </c:pt>
                <c:pt idx="276">
                  <c:v>1.6878711770537429</c:v>
                </c:pt>
                <c:pt idx="277">
                  <c:v>1.7445183663855888</c:v>
                </c:pt>
                <c:pt idx="278">
                  <c:v>1.7656616325406989</c:v>
                </c:pt>
                <c:pt idx="279">
                  <c:v>1.8062229232469662</c:v>
                </c:pt>
                <c:pt idx="280">
                  <c:v>1.884230101520181</c:v>
                </c:pt>
                <c:pt idx="281">
                  <c:v>1.9531293788464583</c:v>
                </c:pt>
                <c:pt idx="282">
                  <c:v>1.9112315516382852</c:v>
                </c:pt>
                <c:pt idx="283">
                  <c:v>1.9321410489888438</c:v>
                </c:pt>
                <c:pt idx="284">
                  <c:v>2.0302280107887105</c:v>
                </c:pt>
                <c:pt idx="285">
                  <c:v>2.1604407933926408</c:v>
                </c:pt>
                <c:pt idx="286">
                  <c:v>2.1776442665681146</c:v>
                </c:pt>
                <c:pt idx="287">
                  <c:v>2.1928031599251572</c:v>
                </c:pt>
                <c:pt idx="288">
                  <c:v>2.2506702891557202</c:v>
                </c:pt>
                <c:pt idx="289">
                  <c:v>2.4057008558882416</c:v>
                </c:pt>
                <c:pt idx="290">
                  <c:v>2.5098021464119933</c:v>
                </c:pt>
                <c:pt idx="291">
                  <c:v>2.5012681776503309</c:v>
                </c:pt>
                <c:pt idx="292">
                  <c:v>2.5920201934893048</c:v>
                </c:pt>
                <c:pt idx="293">
                  <c:v>2.5404647349364247</c:v>
                </c:pt>
                <c:pt idx="294">
                  <c:v>2.5178884773535564</c:v>
                </c:pt>
                <c:pt idx="295">
                  <c:v>2.5994153255136787</c:v>
                </c:pt>
                <c:pt idx="296">
                  <c:v>2.68322297197499</c:v>
                </c:pt>
                <c:pt idx="297">
                  <c:v>2.7273936663844118</c:v>
                </c:pt>
                <c:pt idx="298">
                  <c:v>2.7054121816654475</c:v>
                </c:pt>
                <c:pt idx="299">
                  <c:v>2.6688740058712361</c:v>
                </c:pt>
                <c:pt idx="300">
                  <c:v>2.7826631978060345</c:v>
                </c:pt>
                <c:pt idx="301">
                  <c:v>2.8380616773388421</c:v>
                </c:pt>
                <c:pt idx="302">
                  <c:v>2.740141072003071</c:v>
                </c:pt>
                <c:pt idx="303">
                  <c:v>2.8375055730416645</c:v>
                </c:pt>
                <c:pt idx="304">
                  <c:v>2.8078791841573305</c:v>
                </c:pt>
                <c:pt idx="305">
                  <c:v>2.8264139562691106</c:v>
                </c:pt>
                <c:pt idx="306">
                  <c:v>2.932502611042056</c:v>
                </c:pt>
                <c:pt idx="307">
                  <c:v>3.0255978814182178</c:v>
                </c:pt>
                <c:pt idx="308">
                  <c:v>2.9926866868780486</c:v>
                </c:pt>
                <c:pt idx="309">
                  <c:v>2.9728470965640241</c:v>
                </c:pt>
                <c:pt idx="310">
                  <c:v>2.9878029147510965</c:v>
                </c:pt>
                <c:pt idx="311">
                  <c:v>3.0864242769331951</c:v>
                </c:pt>
                <c:pt idx="312">
                  <c:v>3.1862580922159349</c:v>
                </c:pt>
                <c:pt idx="313">
                  <c:v>3.2315154600795517</c:v>
                </c:pt>
                <c:pt idx="314">
                  <c:v>3.2121737704790609</c:v>
                </c:pt>
                <c:pt idx="315">
                  <c:v>3.1901798343634837</c:v>
                </c:pt>
                <c:pt idx="316">
                  <c:v>3.1150386392775142</c:v>
                </c:pt>
                <c:pt idx="317">
                  <c:v>3.1131402105216979</c:v>
                </c:pt>
                <c:pt idx="318">
                  <c:v>3.1119535996352203</c:v>
                </c:pt>
                <c:pt idx="319">
                  <c:v>3.2264876376472902</c:v>
                </c:pt>
                <c:pt idx="320">
                  <c:v>3.1412476938286185</c:v>
                </c:pt>
                <c:pt idx="321">
                  <c:v>3.1588468561571297</c:v>
                </c:pt>
                <c:pt idx="322">
                  <c:v>3.3066386795625338</c:v>
                </c:pt>
                <c:pt idx="323">
                  <c:v>3.3572725707023823</c:v>
                </c:pt>
                <c:pt idx="324">
                  <c:v>3.3903411817524294</c:v>
                </c:pt>
                <c:pt idx="325">
                  <c:v>3.5540022897121362</c:v>
                </c:pt>
                <c:pt idx="326">
                  <c:v>3.6240365456363581</c:v>
                </c:pt>
                <c:pt idx="327">
                  <c:v>3.7172280655071601</c:v>
                </c:pt>
                <c:pt idx="328">
                  <c:v>3.8889315011620633</c:v>
                </c:pt>
                <c:pt idx="329">
                  <c:v>4.0256380572928956</c:v>
                </c:pt>
                <c:pt idx="330">
                  <c:v>4.0258365535482161</c:v>
                </c:pt>
                <c:pt idx="331">
                  <c:v>4.215184948791566</c:v>
                </c:pt>
                <c:pt idx="332">
                  <c:v>4.2141003807116375</c:v>
                </c:pt>
                <c:pt idx="333">
                  <c:v>4.4756721438678726</c:v>
                </c:pt>
                <c:pt idx="334">
                  <c:v>4.4664957819840945</c:v>
                </c:pt>
                <c:pt idx="335">
                  <c:v>4.7394588311488617</c:v>
                </c:pt>
                <c:pt idx="336">
                  <c:v>4.9496869628255284</c:v>
                </c:pt>
                <c:pt idx="337">
                  <c:v>5.099953489561929</c:v>
                </c:pt>
                <c:pt idx="338">
                  <c:v>5.1467448842911656</c:v>
                </c:pt>
                <c:pt idx="339">
                  <c:v>5.1897947162839291</c:v>
                </c:pt>
                <c:pt idx="340">
                  <c:v>5.4204016261149377</c:v>
                </c:pt>
                <c:pt idx="341">
                  <c:v>5.3897594887368561</c:v>
                </c:pt>
                <c:pt idx="342">
                  <c:v>5.717322106960105</c:v>
                </c:pt>
                <c:pt idx="343">
                  <c:v>6.0555787340510783</c:v>
                </c:pt>
                <c:pt idx="344">
                  <c:v>6.0201086860872568</c:v>
                </c:pt>
                <c:pt idx="345">
                  <c:v>6.0619154310102683</c:v>
                </c:pt>
                <c:pt idx="346">
                  <c:v>5.9072494241130391</c:v>
                </c:pt>
                <c:pt idx="347">
                  <c:v>6.1738959806805038</c:v>
                </c:pt>
                <c:pt idx="348">
                  <c:v>6.1723236927724399</c:v>
                </c:pt>
                <c:pt idx="349">
                  <c:v>6.0235594764830571</c:v>
                </c:pt>
                <c:pt idx="350">
                  <c:v>6.1708619362555419</c:v>
                </c:pt>
                <c:pt idx="351">
                  <c:v>6.4844255345897297</c:v>
                </c:pt>
                <c:pt idx="352">
                  <c:v>6.6170769857965421</c:v>
                </c:pt>
                <c:pt idx="353">
                  <c:v>6.2707061232235297</c:v>
                </c:pt>
                <c:pt idx="354">
                  <c:v>6.5029868318683102</c:v>
                </c:pt>
                <c:pt idx="355">
                  <c:v>6.8311117297143946</c:v>
                </c:pt>
                <c:pt idx="356">
                  <c:v>6.6348906868278901</c:v>
                </c:pt>
                <c:pt idx="357">
                  <c:v>6.4349740914881908</c:v>
                </c:pt>
                <c:pt idx="358">
                  <c:v>6.5445772123778188</c:v>
                </c:pt>
                <c:pt idx="359">
                  <c:v>6.3407280597721911</c:v>
                </c:pt>
                <c:pt idx="360">
                  <c:v>6.6312918215651271</c:v>
                </c:pt>
                <c:pt idx="361">
                  <c:v>6.5479807220989423</c:v>
                </c:pt>
                <c:pt idx="362">
                  <c:v>6.482463238416277</c:v>
                </c:pt>
                <c:pt idx="363">
                  <c:v>6.6841533937358255</c:v>
                </c:pt>
                <c:pt idx="364">
                  <c:v>6.9889281641149958</c:v>
                </c:pt>
                <c:pt idx="365">
                  <c:v>7.1749496398108201</c:v>
                </c:pt>
                <c:pt idx="366">
                  <c:v>7.2801468922840957</c:v>
                </c:pt>
                <c:pt idx="367">
                  <c:v>7.4496975089547668</c:v>
                </c:pt>
                <c:pt idx="368">
                  <c:v>7.0475258433336823</c:v>
                </c:pt>
                <c:pt idx="369">
                  <c:v>6.6761989577188503</c:v>
                </c:pt>
                <c:pt idx="370">
                  <c:v>6.3625484114035151</c:v>
                </c:pt>
                <c:pt idx="371">
                  <c:v>6.4163958803499153</c:v>
                </c:pt>
                <c:pt idx="372">
                  <c:v>6.283918403685492</c:v>
                </c:pt>
                <c:pt idx="373">
                  <c:v>6.5984983466555978</c:v>
                </c:pt>
                <c:pt idx="374">
                  <c:v>6.4688415436402638</c:v>
                </c:pt>
                <c:pt idx="375">
                  <c:v>6.6708893591346463</c:v>
                </c:pt>
                <c:pt idx="376">
                  <c:v>6.8288414479177568</c:v>
                </c:pt>
                <c:pt idx="377">
                  <c:v>6.8845623109589278</c:v>
                </c:pt>
                <c:pt idx="378">
                  <c:v>7.1183663792694443</c:v>
                </c:pt>
                <c:pt idx="379">
                  <c:v>7.380523248226857</c:v>
                </c:pt>
                <c:pt idx="380">
                  <c:v>7.4747107785543108</c:v>
                </c:pt>
                <c:pt idx="381">
                  <c:v>7.806211753581243</c:v>
                </c:pt>
                <c:pt idx="382">
                  <c:v>8.0243885457774606</c:v>
                </c:pt>
                <c:pt idx="383">
                  <c:v>8.2319736119628306</c:v>
                </c:pt>
                <c:pt idx="384">
                  <c:v>8.5284959399774927</c:v>
                </c:pt>
                <c:pt idx="385">
                  <c:v>8.8534441277868758</c:v>
                </c:pt>
                <c:pt idx="386">
                  <c:v>8.9267403969597812</c:v>
                </c:pt>
                <c:pt idx="387">
                  <c:v>9.0344586788985382</c:v>
                </c:pt>
                <c:pt idx="388">
                  <c:v>9.4446519113550575</c:v>
                </c:pt>
                <c:pt idx="389">
                  <c:v>9.7135090154136119</c:v>
                </c:pt>
                <c:pt idx="390">
                  <c:v>9.8275871882150039</c:v>
                </c:pt>
                <c:pt idx="391">
                  <c:v>10.246241826130285</c:v>
                </c:pt>
                <c:pt idx="392">
                  <c:v>10.25456276450528</c:v>
                </c:pt>
                <c:pt idx="393">
                  <c:v>9.9744406388510889</c:v>
                </c:pt>
                <c:pt idx="394">
                  <c:v>10.320476592598272</c:v>
                </c:pt>
                <c:pt idx="395">
                  <c:v>10.548307577022662</c:v>
                </c:pt>
                <c:pt idx="396">
                  <c:v>10.853082653909102</c:v>
                </c:pt>
                <c:pt idx="397">
                  <c:v>10.320504687302641</c:v>
                </c:pt>
                <c:pt idx="398">
                  <c:v>10.384752842336651</c:v>
                </c:pt>
                <c:pt idx="399">
                  <c:v>10.308548420276502</c:v>
                </c:pt>
                <c:pt idx="400">
                  <c:v>10.296191858824663</c:v>
                </c:pt>
                <c:pt idx="401">
                  <c:v>10.566983355808549</c:v>
                </c:pt>
                <c:pt idx="402">
                  <c:v>10.806578287646031</c:v>
                </c:pt>
                <c:pt idx="403">
                  <c:v>10.823256659089321</c:v>
                </c:pt>
                <c:pt idx="404">
                  <c:v>11.13549047419591</c:v>
                </c:pt>
                <c:pt idx="405">
                  <c:v>10.581620615617254</c:v>
                </c:pt>
                <c:pt idx="406">
                  <c:v>10.530770245104945</c:v>
                </c:pt>
                <c:pt idx="407">
                  <c:v>10.71797317114962</c:v>
                </c:pt>
                <c:pt idx="408">
                  <c:v>11.141032010694298</c:v>
                </c:pt>
                <c:pt idx="409">
                  <c:v>11.797876162189997</c:v>
                </c:pt>
                <c:pt idx="410">
                  <c:v>12.175766936092765</c:v>
                </c:pt>
                <c:pt idx="411">
                  <c:v>12.574921273953946</c:v>
                </c:pt>
                <c:pt idx="412">
                  <c:v>12.799454904636622</c:v>
                </c:pt>
                <c:pt idx="413">
                  <c:v>12.94869638659978</c:v>
                </c:pt>
                <c:pt idx="414">
                  <c:v>12.581975355531741</c:v>
                </c:pt>
                <c:pt idx="415">
                  <c:v>12.708585478608756</c:v>
                </c:pt>
                <c:pt idx="416">
                  <c:v>12.720499634702788</c:v>
                </c:pt>
                <c:pt idx="417">
                  <c:v>12.541764269362758</c:v>
                </c:pt>
                <c:pt idx="418">
                  <c:v>12.697479303759726</c:v>
                </c:pt>
                <c:pt idx="419">
                  <c:v>13.009509203715796</c:v>
                </c:pt>
                <c:pt idx="420">
                  <c:v>13.119078125709674</c:v>
                </c:pt>
                <c:pt idx="421">
                  <c:v>12.792429565343454</c:v>
                </c:pt>
                <c:pt idx="422">
                  <c:v>13.103462013644064</c:v>
                </c:pt>
                <c:pt idx="423">
                  <c:v>13.163376529436283</c:v>
                </c:pt>
                <c:pt idx="424">
                  <c:v>12.730740635200171</c:v>
                </c:pt>
                <c:pt idx="425">
                  <c:v>11.586470281961764</c:v>
                </c:pt>
                <c:pt idx="426">
                  <c:v>10.790856348245377</c:v>
                </c:pt>
                <c:pt idx="427">
                  <c:v>11.217990225630796</c:v>
                </c:pt>
                <c:pt idx="428">
                  <c:v>11.374282306880431</c:v>
                </c:pt>
                <c:pt idx="429">
                  <c:v>11.050444230801315</c:v>
                </c:pt>
                <c:pt idx="430">
                  <c:v>11.082950843876322</c:v>
                </c:pt>
                <c:pt idx="431">
                  <c:v>11.908765224780785</c:v>
                </c:pt>
                <c:pt idx="432">
                  <c:v>12.076644315874713</c:v>
                </c:pt>
                <c:pt idx="433">
                  <c:v>12.48185167484935</c:v>
                </c:pt>
                <c:pt idx="434">
                  <c:v>12.167902007282477</c:v>
                </c:pt>
                <c:pt idx="435">
                  <c:v>12.537779172661946</c:v>
                </c:pt>
                <c:pt idx="436">
                  <c:v>12.955227498216423</c:v>
                </c:pt>
                <c:pt idx="437">
                  <c:v>13.015666532104872</c:v>
                </c:pt>
                <c:pt idx="438">
                  <c:v>12.809868960459523</c:v>
                </c:pt>
                <c:pt idx="439">
                  <c:v>12.830838448603313</c:v>
                </c:pt>
                <c:pt idx="440">
                  <c:v>13.345370009005228</c:v>
                </c:pt>
                <c:pt idx="441">
                  <c:v>13.258538276504906</c:v>
                </c:pt>
                <c:pt idx="442">
                  <c:v>13.554450108113654</c:v>
                </c:pt>
                <c:pt idx="443">
                  <c:v>13.379301197433946</c:v>
                </c:pt>
                <c:pt idx="444">
                  <c:v>13.638247584036909</c:v>
                </c:pt>
                <c:pt idx="445">
                  <c:v>13.997739915869923</c:v>
                </c:pt>
                <c:pt idx="446">
                  <c:v>14.014014913407987</c:v>
                </c:pt>
                <c:pt idx="447">
                  <c:v>14.200030422790384</c:v>
                </c:pt>
                <c:pt idx="448">
                  <c:v>14.188130788595457</c:v>
                </c:pt>
                <c:pt idx="449">
                  <c:v>14.16101383151978</c:v>
                </c:pt>
                <c:pt idx="450">
                  <c:v>14.344883802327258</c:v>
                </c:pt>
                <c:pt idx="451">
                  <c:v>14.746098057356585</c:v>
                </c:pt>
                <c:pt idx="452">
                  <c:v>14.653345911443012</c:v>
                </c:pt>
                <c:pt idx="453">
                  <c:v>14.957762875215817</c:v>
                </c:pt>
                <c:pt idx="454">
                  <c:v>14.942610159695306</c:v>
                </c:pt>
                <c:pt idx="455">
                  <c:v>14.935941522950035</c:v>
                </c:pt>
                <c:pt idx="456">
                  <c:v>14.965391009233455</c:v>
                </c:pt>
                <c:pt idx="457">
                  <c:v>15.405322518791541</c:v>
                </c:pt>
                <c:pt idx="458">
                  <c:v>15.382103032307407</c:v>
                </c:pt>
                <c:pt idx="459">
                  <c:v>15.275828891436955</c:v>
                </c:pt>
                <c:pt idx="460">
                  <c:v>15.720333205628037</c:v>
                </c:pt>
                <c:pt idx="461">
                  <c:v>15.490098494152328</c:v>
                </c:pt>
                <c:pt idx="462">
                  <c:v>14.797569092665004</c:v>
                </c:pt>
                <c:pt idx="463">
                  <c:v>14.867970504501978</c:v>
                </c:pt>
                <c:pt idx="464">
                  <c:v>15.131698580295565</c:v>
                </c:pt>
                <c:pt idx="465">
                  <c:v>15.491059818815701</c:v>
                </c:pt>
                <c:pt idx="466">
                  <c:v>15.928839064959927</c:v>
                </c:pt>
                <c:pt idx="467">
                  <c:v>15.747458276298524</c:v>
                </c:pt>
                <c:pt idx="468">
                  <c:v>15.976376578261307</c:v>
                </c:pt>
                <c:pt idx="469">
                  <c:v>16.200832658141735</c:v>
                </c:pt>
                <c:pt idx="470">
                  <c:v>15.873903480397219</c:v>
                </c:pt>
                <c:pt idx="471">
                  <c:v>15.61159435040973</c:v>
                </c:pt>
                <c:pt idx="472">
                  <c:v>15.895568361725866</c:v>
                </c:pt>
                <c:pt idx="473">
                  <c:v>15.006697620801134</c:v>
                </c:pt>
                <c:pt idx="474">
                  <c:v>14.937773881310806</c:v>
                </c:pt>
                <c:pt idx="475">
                  <c:v>14.809184446148731</c:v>
                </c:pt>
                <c:pt idx="476">
                  <c:v>13.911231741613935</c:v>
                </c:pt>
                <c:pt idx="477">
                  <c:v>13.813913398141423</c:v>
                </c:pt>
                <c:pt idx="478">
                  <c:v>14.335262622856485</c:v>
                </c:pt>
                <c:pt idx="479">
                  <c:v>14.177502259461049</c:v>
                </c:pt>
                <c:pt idx="480">
                  <c:v>14.225267941222329</c:v>
                </c:pt>
                <c:pt idx="481">
                  <c:v>15.07188201871478</c:v>
                </c:pt>
                <c:pt idx="482">
                  <c:v>15.202460204376221</c:v>
                </c:pt>
                <c:pt idx="483">
                  <c:v>15.760981922278782</c:v>
                </c:pt>
                <c:pt idx="484">
                  <c:v>16.359580010268104</c:v>
                </c:pt>
                <c:pt idx="485">
                  <c:v>15.609272867008718</c:v>
                </c:pt>
                <c:pt idx="486">
                  <c:v>15.825412863521265</c:v>
                </c:pt>
                <c:pt idx="487">
                  <c:v>16.478021301440183</c:v>
                </c:pt>
                <c:pt idx="488">
                  <c:v>16.474666425059738</c:v>
                </c:pt>
                <c:pt idx="489">
                  <c:v>17.281024940471184</c:v>
                </c:pt>
                <c:pt idx="490">
                  <c:v>17.086538029608153</c:v>
                </c:pt>
                <c:pt idx="491">
                  <c:v>16.833292366264068</c:v>
                </c:pt>
                <c:pt idx="492">
                  <c:v>17.150659358175993</c:v>
                </c:pt>
                <c:pt idx="493">
                  <c:v>16.833229047239563</c:v>
                </c:pt>
                <c:pt idx="494">
                  <c:v>16.540195341490378</c:v>
                </c:pt>
                <c:pt idx="495">
                  <c:v>16.841722699243917</c:v>
                </c:pt>
                <c:pt idx="496">
                  <c:v>18.306673607664845</c:v>
                </c:pt>
                <c:pt idx="497">
                  <c:v>18.50020310619248</c:v>
                </c:pt>
                <c:pt idx="498">
                  <c:v>18.654374144135545</c:v>
                </c:pt>
                <c:pt idx="499">
                  <c:v>18.528417748431231</c:v>
                </c:pt>
                <c:pt idx="500">
                  <c:v>18.874856964674617</c:v>
                </c:pt>
                <c:pt idx="501">
                  <c:v>19.615416665155649</c:v>
                </c:pt>
                <c:pt idx="502">
                  <c:v>19.74786794311774</c:v>
                </c:pt>
                <c:pt idx="503">
                  <c:v>20.407865104752009</c:v>
                </c:pt>
                <c:pt idx="504">
                  <c:v>19.939145130195637</c:v>
                </c:pt>
                <c:pt idx="505">
                  <c:v>20.177798339180637</c:v>
                </c:pt>
                <c:pt idx="506">
                  <c:v>19.56285452640255</c:v>
                </c:pt>
                <c:pt idx="507">
                  <c:v>20.358416699522447</c:v>
                </c:pt>
                <c:pt idx="508">
                  <c:v>20.939028761856559</c:v>
                </c:pt>
                <c:pt idx="509">
                  <c:v>20.97937673347462</c:v>
                </c:pt>
                <c:pt idx="510">
                  <c:v>19.932543906711956</c:v>
                </c:pt>
                <c:pt idx="511">
                  <c:v>18.915873282730558</c:v>
                </c:pt>
                <c:pt idx="512">
                  <c:v>19.703053205946965</c:v>
                </c:pt>
                <c:pt idx="513">
                  <c:v>19.488024967993827</c:v>
                </c:pt>
                <c:pt idx="514">
                  <c:v>20.293587334192672</c:v>
                </c:pt>
                <c:pt idx="515">
                  <c:v>20.002235549496831</c:v>
                </c:pt>
                <c:pt idx="516">
                  <c:v>19.938270629732223</c:v>
                </c:pt>
                <c:pt idx="517">
                  <c:v>18.869689117473715</c:v>
                </c:pt>
                <c:pt idx="518">
                  <c:v>19.511430877469277</c:v>
                </c:pt>
                <c:pt idx="519">
                  <c:v>19.704725755964052</c:v>
                </c:pt>
                <c:pt idx="520">
                  <c:v>18.003802790779808</c:v>
                </c:pt>
                <c:pt idx="521">
                  <c:v>16.796177418069298</c:v>
                </c:pt>
                <c:pt idx="522">
                  <c:v>16.426672947366114</c:v>
                </c:pt>
                <c:pt idx="523">
                  <c:v>17.463107479720396</c:v>
                </c:pt>
                <c:pt idx="524">
                  <c:v>17.983036453849671</c:v>
                </c:pt>
                <c:pt idx="525">
                  <c:v>18.581454703037561</c:v>
                </c:pt>
                <c:pt idx="526">
                  <c:v>18.423260608306379</c:v>
                </c:pt>
                <c:pt idx="527">
                  <c:v>18.657619962676456</c:v>
                </c:pt>
                <c:pt idx="528">
                  <c:v>19.584586723858845</c:v>
                </c:pt>
                <c:pt idx="529">
                  <c:v>20.347691794179983</c:v>
                </c:pt>
                <c:pt idx="530">
                  <c:v>20.507853110509526</c:v>
                </c:pt>
                <c:pt idx="531">
                  <c:v>21.364931471950097</c:v>
                </c:pt>
                <c:pt idx="532">
                  <c:v>22.110721339673638</c:v>
                </c:pt>
                <c:pt idx="533">
                  <c:v>20.560708732432971</c:v>
                </c:pt>
                <c:pt idx="534">
                  <c:v>20.805340279626314</c:v>
                </c:pt>
                <c:pt idx="535">
                  <c:v>20.464979816403599</c:v>
                </c:pt>
                <c:pt idx="536">
                  <c:v>20.599039691652571</c:v>
                </c:pt>
                <c:pt idx="537">
                  <c:v>20.036468090152656</c:v>
                </c:pt>
                <c:pt idx="538">
                  <c:v>19.229073291098384</c:v>
                </c:pt>
                <c:pt idx="539">
                  <c:v>19.177891010645347</c:v>
                </c:pt>
                <c:pt idx="540">
                  <c:v>20.531889405356175</c:v>
                </c:pt>
                <c:pt idx="541">
                  <c:v>21.091355182156068</c:v>
                </c:pt>
                <c:pt idx="542">
                  <c:v>21.737991922171382</c:v>
                </c:pt>
                <c:pt idx="543">
                  <c:v>22.012998654217213</c:v>
                </c:pt>
                <c:pt idx="544">
                  <c:v>22.391853076447962</c:v>
                </c:pt>
                <c:pt idx="545">
                  <c:v>22.705292555769905</c:v>
                </c:pt>
                <c:pt idx="546">
                  <c:v>21.897721180906544</c:v>
                </c:pt>
                <c:pt idx="547">
                  <c:v>22.011545035211906</c:v>
                </c:pt>
                <c:pt idx="548">
                  <c:v>22.718938423631698</c:v>
                </c:pt>
                <c:pt idx="549">
                  <c:v>22.28522426750062</c:v>
                </c:pt>
                <c:pt idx="550">
                  <c:v>22.444951761541425</c:v>
                </c:pt>
                <c:pt idx="551">
                  <c:v>23.545139999219909</c:v>
                </c:pt>
                <c:pt idx="552">
                  <c:v>23.715894426740455</c:v>
                </c:pt>
                <c:pt idx="553">
                  <c:v>23.314561497098044</c:v>
                </c:pt>
                <c:pt idx="554">
                  <c:v>21.540075132732586</c:v>
                </c:pt>
                <c:pt idx="555">
                  <c:v>20.271308848949175</c:v>
                </c:pt>
                <c:pt idx="556">
                  <c:v>19.546153610155741</c:v>
                </c:pt>
                <c:pt idx="557">
                  <c:v>19.088492722987027</c:v>
                </c:pt>
                <c:pt idx="558">
                  <c:v>18.475524958493605</c:v>
                </c:pt>
                <c:pt idx="559">
                  <c:v>17.479723946813621</c:v>
                </c:pt>
                <c:pt idx="560">
                  <c:v>17.955113913799309</c:v>
                </c:pt>
                <c:pt idx="561">
                  <c:v>18.627548448337595</c:v>
                </c:pt>
                <c:pt idx="562">
                  <c:v>18.688995450608456</c:v>
                </c:pt>
                <c:pt idx="563">
                  <c:v>16.767091960009104</c:v>
                </c:pt>
                <c:pt idx="564">
                  <c:v>16.693216269117844</c:v>
                </c:pt>
                <c:pt idx="565">
                  <c:v>17.742619217567714</c:v>
                </c:pt>
                <c:pt idx="566">
                  <c:v>17.335114642550565</c:v>
                </c:pt>
                <c:pt idx="567">
                  <c:v>16.563597911469451</c:v>
                </c:pt>
                <c:pt idx="568">
                  <c:v>16.137416112378411</c:v>
                </c:pt>
                <c:pt idx="569">
                  <c:v>14.854164759605228</c:v>
                </c:pt>
                <c:pt idx="570">
                  <c:v>14.851948453616314</c:v>
                </c:pt>
                <c:pt idx="571">
                  <c:v>13.935753638218053</c:v>
                </c:pt>
                <c:pt idx="572">
                  <c:v>12.706062518582955</c:v>
                </c:pt>
                <c:pt idx="573">
                  <c:v>11.550381845486465</c:v>
                </c:pt>
                <c:pt idx="574">
                  <c:v>12.301322742777243</c:v>
                </c:pt>
                <c:pt idx="575">
                  <c:v>11.437297989864183</c:v>
                </c:pt>
                <c:pt idx="576">
                  <c:v>10.781161386651966</c:v>
                </c:pt>
                <c:pt idx="577">
                  <c:v>11.893154014600324</c:v>
                </c:pt>
                <c:pt idx="578">
                  <c:v>12.787850511151204</c:v>
                </c:pt>
                <c:pt idx="579">
                  <c:v>12.882656814068753</c:v>
                </c:pt>
                <c:pt idx="580">
                  <c:v>13.901492511948907</c:v>
                </c:pt>
                <c:pt idx="581">
                  <c:v>13.91908860091708</c:v>
                </c:pt>
                <c:pt idx="582">
                  <c:v>14.109708070633163</c:v>
                </c:pt>
                <c:pt idx="583">
                  <c:v>14.134081882694183</c:v>
                </c:pt>
                <c:pt idx="584">
                  <c:v>14.298965622392654</c:v>
                </c:pt>
                <c:pt idx="585">
                  <c:v>13.876380679564562</c:v>
                </c:pt>
                <c:pt idx="586">
                  <c:v>14.677459510789657</c:v>
                </c:pt>
                <c:pt idx="587">
                  <c:v>15.081310859566035</c:v>
                </c:pt>
                <c:pt idx="588">
                  <c:v>15.097054983437589</c:v>
                </c:pt>
                <c:pt idx="589">
                  <c:v>16.18504861017956</c:v>
                </c:pt>
                <c:pt idx="590">
                  <c:v>15.953904821186596</c:v>
                </c:pt>
                <c:pt idx="591">
                  <c:v>16.174222878660842</c:v>
                </c:pt>
                <c:pt idx="592">
                  <c:v>15.907542389992361</c:v>
                </c:pt>
                <c:pt idx="593">
                  <c:v>15.541824172065306</c:v>
                </c:pt>
                <c:pt idx="594">
                  <c:v>15.976538335582473</c:v>
                </c:pt>
                <c:pt idx="595">
                  <c:v>15.984454718594153</c:v>
                </c:pt>
                <c:pt idx="596">
                  <c:v>15.959137581901791</c:v>
                </c:pt>
                <c:pt idx="597">
                  <c:v>16.167595907791387</c:v>
                </c:pt>
                <c:pt idx="598">
                  <c:v>15.481763308134955</c:v>
                </c:pt>
                <c:pt idx="599">
                  <c:v>15.408458654420903</c:v>
                </c:pt>
                <c:pt idx="600">
                  <c:v>16.659023790629124</c:v>
                </c:pt>
                <c:pt idx="601">
                  <c:v>16.428251145591286</c:v>
                </c:pt>
                <c:pt idx="602">
                  <c:v>16.735900322720909</c:v>
                </c:pt>
                <c:pt idx="603">
                  <c:v>17.013424506096985</c:v>
                </c:pt>
                <c:pt idx="604">
                  <c:v>17.157855592378606</c:v>
                </c:pt>
                <c:pt idx="605">
                  <c:v>17.000880938615477</c:v>
                </c:pt>
                <c:pt idx="606">
                  <c:v>17.450195548424908</c:v>
                </c:pt>
                <c:pt idx="607">
                  <c:v>16.771271365998341</c:v>
                </c:pt>
                <c:pt idx="608">
                  <c:v>16.864681783208837</c:v>
                </c:pt>
                <c:pt idx="609">
                  <c:v>16.925356474841251</c:v>
                </c:pt>
                <c:pt idx="610">
                  <c:v>15.987765079875308</c:v>
                </c:pt>
                <c:pt idx="611">
                  <c:v>15.730051435993012</c:v>
                </c:pt>
                <c:pt idx="612">
                  <c:v>15.198720724869554</c:v>
                </c:pt>
                <c:pt idx="613">
                  <c:v>14.218634670056177</c:v>
                </c:pt>
                <c:pt idx="614">
                  <c:v>13.607429938092775</c:v>
                </c:pt>
                <c:pt idx="615">
                  <c:v>14.276897093833382</c:v>
                </c:pt>
                <c:pt idx="616">
                  <c:v>15.075271381386385</c:v>
                </c:pt>
                <c:pt idx="617">
                  <c:v>15.894821618580707</c:v>
                </c:pt>
                <c:pt idx="618">
                  <c:v>15.564148213423316</c:v>
                </c:pt>
                <c:pt idx="619">
                  <c:v>16.09042672275374</c:v>
                </c:pt>
                <c:pt idx="620">
                  <c:v>15.280082467592633</c:v>
                </c:pt>
                <c:pt idx="621">
                  <c:v>14.767441865279975</c:v>
                </c:pt>
                <c:pt idx="622">
                  <c:v>14.336309584295666</c:v>
                </c:pt>
                <c:pt idx="623">
                  <c:v>15.087522876473386</c:v>
                </c:pt>
                <c:pt idx="624">
                  <c:v>15.706742123428649</c:v>
                </c:pt>
                <c:pt idx="625">
                  <c:v>16.161863961863755</c:v>
                </c:pt>
                <c:pt idx="626">
                  <c:v>15.899027222828733</c:v>
                </c:pt>
                <c:pt idx="627">
                  <c:v>16.72116246928093</c:v>
                </c:pt>
                <c:pt idx="628">
                  <c:v>17.206853607484728</c:v>
                </c:pt>
                <c:pt idx="629">
                  <c:v>17.210628612902511</c:v>
                </c:pt>
                <c:pt idx="630">
                  <c:v>17.396572476384975</c:v>
                </c:pt>
                <c:pt idx="631">
                  <c:v>17.14396333727025</c:v>
                </c:pt>
                <c:pt idx="632">
                  <c:v>18.167919114561933</c:v>
                </c:pt>
                <c:pt idx="633">
                  <c:v>18.23004927878705</c:v>
                </c:pt>
                <c:pt idx="634">
                  <c:v>17.159622386350406</c:v>
                </c:pt>
                <c:pt idx="635">
                  <c:v>18.053119630635742</c:v>
                </c:pt>
                <c:pt idx="636">
                  <c:v>18.16838066188572</c:v>
                </c:pt>
                <c:pt idx="637">
                  <c:v>19.430653685434869</c:v>
                </c:pt>
                <c:pt idx="638">
                  <c:v>20.247591139079589</c:v>
                </c:pt>
                <c:pt idx="639">
                  <c:v>19.67767016225498</c:v>
                </c:pt>
                <c:pt idx="640">
                  <c:v>21.067124577692596</c:v>
                </c:pt>
                <c:pt idx="641">
                  <c:v>21.071107560285029</c:v>
                </c:pt>
                <c:pt idx="642">
                  <c:v>21.881388727475308</c:v>
                </c:pt>
                <c:pt idx="643">
                  <c:v>22.128595345672586</c:v>
                </c:pt>
                <c:pt idx="644">
                  <c:v>23.240115006973525</c:v>
                </c:pt>
                <c:pt idx="645">
                  <c:v>23.971997388207448</c:v>
                </c:pt>
                <c:pt idx="646">
                  <c:v>25.289392045805471</c:v>
                </c:pt>
                <c:pt idx="647">
                  <c:v>27.391442679150469</c:v>
                </c:pt>
                <c:pt idx="648">
                  <c:v>27.900424604532024</c:v>
                </c:pt>
                <c:pt idx="649">
                  <c:v>27.577457461094845</c:v>
                </c:pt>
                <c:pt idx="650">
                  <c:v>29.742885776957426</c:v>
                </c:pt>
                <c:pt idx="651">
                  <c:v>30.405713315460911</c:v>
                </c:pt>
                <c:pt idx="652">
                  <c:v>31.474275070991663</c:v>
                </c:pt>
                <c:pt idx="653">
                  <c:v>32.297000570871447</c:v>
                </c:pt>
                <c:pt idx="654">
                  <c:v>32.489909848430408</c:v>
                </c:pt>
                <c:pt idx="655">
                  <c:v>32.507910326630707</c:v>
                </c:pt>
                <c:pt idx="656">
                  <c:v>32.781348142237448</c:v>
                </c:pt>
                <c:pt idx="657">
                  <c:v>28.665440748337502</c:v>
                </c:pt>
                <c:pt idx="658">
                  <c:v>27.630523425147018</c:v>
                </c:pt>
                <c:pt idx="659">
                  <c:v>28.044243328811188</c:v>
                </c:pt>
                <c:pt idx="660">
                  <c:v>28.041828980802713</c:v>
                </c:pt>
                <c:pt idx="661">
                  <c:v>28.033511139107812</c:v>
                </c:pt>
                <c:pt idx="662">
                  <c:v>27.089697562255679</c:v>
                </c:pt>
                <c:pt idx="663">
                  <c:v>26.251415883264816</c:v>
                </c:pt>
                <c:pt idx="664">
                  <c:v>28.587780603775151</c:v>
                </c:pt>
                <c:pt idx="665">
                  <c:v>27.59036278499045</c:v>
                </c:pt>
                <c:pt idx="666">
                  <c:v>28.24845146101363</c:v>
                </c:pt>
                <c:pt idx="667">
                  <c:v>28.23072164211467</c:v>
                </c:pt>
                <c:pt idx="668">
                  <c:v>30.305782366559438</c:v>
                </c:pt>
                <c:pt idx="669">
                  <c:v>30.821307554236725</c:v>
                </c:pt>
                <c:pt idx="670">
                  <c:v>33.506556078006177</c:v>
                </c:pt>
                <c:pt idx="671">
                  <c:v>35.583469127391531</c:v>
                </c:pt>
                <c:pt idx="672">
                  <c:v>34.681559091470902</c:v>
                </c:pt>
                <c:pt idx="673">
                  <c:v>34.15559412758757</c:v>
                </c:pt>
                <c:pt idx="674">
                  <c:v>35.732335612665153</c:v>
                </c:pt>
                <c:pt idx="675">
                  <c:v>37.797422565157134</c:v>
                </c:pt>
                <c:pt idx="676">
                  <c:v>40.533985273100654</c:v>
                </c:pt>
                <c:pt idx="677">
                  <c:v>40.504560516785141</c:v>
                </c:pt>
                <c:pt idx="678">
                  <c:v>42.800707278186238</c:v>
                </c:pt>
                <c:pt idx="679">
                  <c:v>42.410090201689016</c:v>
                </c:pt>
                <c:pt idx="680">
                  <c:v>43.638399128430272</c:v>
                </c:pt>
                <c:pt idx="681">
                  <c:v>44.715781268843557</c:v>
                </c:pt>
                <c:pt idx="682">
                  <c:v>43.153414431657815</c:v>
                </c:pt>
                <c:pt idx="683">
                  <c:v>45.362272003710537</c:v>
                </c:pt>
                <c:pt idx="684">
                  <c:v>46.544599458107541</c:v>
                </c:pt>
                <c:pt idx="685">
                  <c:v>47.967779670159601</c:v>
                </c:pt>
                <c:pt idx="686">
                  <c:v>46.655330533333682</c:v>
                </c:pt>
                <c:pt idx="687">
                  <c:v>47.299574475608338</c:v>
                </c:pt>
                <c:pt idx="688">
                  <c:v>48.208823044153405</c:v>
                </c:pt>
                <c:pt idx="689">
                  <c:v>46.513827327399575</c:v>
                </c:pt>
                <c:pt idx="690">
                  <c:v>47.247926626676993</c:v>
                </c:pt>
                <c:pt idx="691">
                  <c:v>48.338631718841988</c:v>
                </c:pt>
                <c:pt idx="692">
                  <c:v>53.469290434865357</c:v>
                </c:pt>
                <c:pt idx="693">
                  <c:v>55.417166820682802</c:v>
                </c:pt>
                <c:pt idx="694">
                  <c:v>56.432702095040874</c:v>
                </c:pt>
                <c:pt idx="695">
                  <c:v>54.608611711099783</c:v>
                </c:pt>
                <c:pt idx="696">
                  <c:v>57.923453011112322</c:v>
                </c:pt>
                <c:pt idx="697">
                  <c:v>63.080670528912684</c:v>
                </c:pt>
                <c:pt idx="698">
                  <c:v>66.305825785650313</c:v>
                </c:pt>
                <c:pt idx="699">
                  <c:v>68.845884968189438</c:v>
                </c:pt>
                <c:pt idx="700">
                  <c:v>63.5322315643973</c:v>
                </c:pt>
                <c:pt idx="701">
                  <c:v>68.076796321680149</c:v>
                </c:pt>
                <c:pt idx="702">
                  <c:v>68.243279660838866</c:v>
                </c:pt>
                <c:pt idx="703">
                  <c:v>65.825790569446667</c:v>
                </c:pt>
                <c:pt idx="704">
                  <c:v>62.975549194582378</c:v>
                </c:pt>
                <c:pt idx="705">
                  <c:v>64.719695713439677</c:v>
                </c:pt>
                <c:pt idx="706">
                  <c:v>63.394843822822523</c:v>
                </c:pt>
                <c:pt idx="707">
                  <c:v>65.500358904801956</c:v>
                </c:pt>
                <c:pt idx="708">
                  <c:v>67.93840073490928</c:v>
                </c:pt>
                <c:pt idx="709">
                  <c:v>67.987513377840202</c:v>
                </c:pt>
                <c:pt idx="710">
                  <c:v>69.979710180785645</c:v>
                </c:pt>
                <c:pt idx="711">
                  <c:v>74.479041125808834</c:v>
                </c:pt>
                <c:pt idx="712">
                  <c:v>76.322978694241257</c:v>
                </c:pt>
                <c:pt idx="713">
                  <c:v>74.576271345682727</c:v>
                </c:pt>
                <c:pt idx="714">
                  <c:v>77.519424637384404</c:v>
                </c:pt>
                <c:pt idx="715">
                  <c:v>74.440442273252856</c:v>
                </c:pt>
                <c:pt idx="716">
                  <c:v>77.0141388565862</c:v>
                </c:pt>
                <c:pt idx="717">
                  <c:v>73.82999064250744</c:v>
                </c:pt>
                <c:pt idx="718">
                  <c:v>72.09616518703038</c:v>
                </c:pt>
                <c:pt idx="719">
                  <c:v>77.115107061104936</c:v>
                </c:pt>
                <c:pt idx="720">
                  <c:v>77.675808502969446</c:v>
                </c:pt>
                <c:pt idx="721">
                  <c:v>81.153268513423001</c:v>
                </c:pt>
                <c:pt idx="722">
                  <c:v>83.130849002108405</c:v>
                </c:pt>
                <c:pt idx="723">
                  <c:v>88.229217407446384</c:v>
                </c:pt>
                <c:pt idx="724">
                  <c:v>91.251373133594512</c:v>
                </c:pt>
                <c:pt idx="725">
                  <c:v>90.465773772314606</c:v>
                </c:pt>
                <c:pt idx="726">
                  <c:v>93.082566709318385</c:v>
                </c:pt>
                <c:pt idx="727">
                  <c:v>96.813006112047859</c:v>
                </c:pt>
                <c:pt idx="728">
                  <c:v>102.86802590853533</c:v>
                </c:pt>
                <c:pt idx="729">
                  <c:v>99.473187056893167</c:v>
                </c:pt>
                <c:pt idx="730">
                  <c:v>82.182142543019538</c:v>
                </c:pt>
                <c:pt idx="731">
                  <c:v>73.835641699180883</c:v>
                </c:pt>
                <c:pt idx="732">
                  <c:v>74.181160065021388</c:v>
                </c:pt>
                <c:pt idx="733">
                  <c:v>76.808999828405376</c:v>
                </c:pt>
                <c:pt idx="734">
                  <c:v>83.938259392588165</c:v>
                </c:pt>
                <c:pt idx="735">
                  <c:v>86.38050006563293</c:v>
                </c:pt>
                <c:pt idx="736">
                  <c:v>87.553603490248491</c:v>
                </c:pt>
                <c:pt idx="737">
                  <c:v>88.001468922713087</c:v>
                </c:pt>
                <c:pt idx="738">
                  <c:v>91.170655686924562</c:v>
                </c:pt>
                <c:pt idx="739">
                  <c:v>98.099309314601228</c:v>
                </c:pt>
                <c:pt idx="740">
                  <c:v>96.039237134085383</c:v>
                </c:pt>
                <c:pt idx="741">
                  <c:v>100.25691092517823</c:v>
                </c:pt>
                <c:pt idx="742">
                  <c:v>104.84908119000958</c:v>
                </c:pt>
                <c:pt idx="743">
                  <c:v>103.02373455984839</c:v>
                </c:pt>
                <c:pt idx="744">
                  <c:v>104.61587213687422</c:v>
                </c:pt>
                <c:pt idx="745">
                  <c:v>114.2189472859245</c:v>
                </c:pt>
                <c:pt idx="746">
                  <c:v>114.69923949152334</c:v>
                </c:pt>
                <c:pt idx="747">
                  <c:v>116.5028448607595</c:v>
                </c:pt>
                <c:pt idx="748">
                  <c:v>122.39806851973424</c:v>
                </c:pt>
                <c:pt idx="749">
                  <c:v>126.38224291837443</c:v>
                </c:pt>
                <c:pt idx="750">
                  <c:v>123.42688267008913</c:v>
                </c:pt>
                <c:pt idx="751">
                  <c:v>131.64701845316029</c:v>
                </c:pt>
                <c:pt idx="752">
                  <c:v>130.74708737952079</c:v>
                </c:pt>
                <c:pt idx="753">
                  <c:v>136.32854716009862</c:v>
                </c:pt>
                <c:pt idx="754">
                  <c:v>127.52888827957625</c:v>
                </c:pt>
                <c:pt idx="755">
                  <c:v>130.38589533113131</c:v>
                </c:pt>
                <c:pt idx="756">
                  <c:v>129.67549938632419</c:v>
                </c:pt>
                <c:pt idx="757">
                  <c:v>120.03429075913412</c:v>
                </c:pt>
                <c:pt idx="758">
                  <c:v>112.94845190644713</c:v>
                </c:pt>
                <c:pt idx="759">
                  <c:v>108.06978606817383</c:v>
                </c:pt>
                <c:pt idx="760">
                  <c:v>104.7802640105309</c:v>
                </c:pt>
                <c:pt idx="761">
                  <c:v>110.16577875125395</c:v>
                </c:pt>
                <c:pt idx="762">
                  <c:v>110.32707006982224</c:v>
                </c:pt>
                <c:pt idx="763">
                  <c:v>109.23847769412457</c:v>
                </c:pt>
                <c:pt idx="764">
                  <c:v>92.851113618682504</c:v>
                </c:pt>
                <c:pt idx="765">
                  <c:v>83.273506388620206</c:v>
                </c:pt>
                <c:pt idx="766">
                  <c:v>89.302056240428257</c:v>
                </c:pt>
                <c:pt idx="767">
                  <c:v>85.659254332310809</c:v>
                </c:pt>
                <c:pt idx="768">
                  <c:v>88.908484825122414</c:v>
                </c:pt>
                <c:pt idx="769">
                  <c:v>91.613997717769706</c:v>
                </c:pt>
                <c:pt idx="770">
                  <c:v>98.688235669587556</c:v>
                </c:pt>
                <c:pt idx="771">
                  <c:v>104.80169750225996</c:v>
                </c:pt>
                <c:pt idx="772">
                  <c:v>109.98588738947142</c:v>
                </c:pt>
                <c:pt idx="773">
                  <c:v>112.84865635148181</c:v>
                </c:pt>
                <c:pt idx="774">
                  <c:v>111.34847554094236</c:v>
                </c:pt>
                <c:pt idx="775">
                  <c:v>118.35285597877555</c:v>
                </c:pt>
                <c:pt idx="776">
                  <c:v>115.50484102123455</c:v>
                </c:pt>
                <c:pt idx="777">
                  <c:v>115.9930998233643</c:v>
                </c:pt>
                <c:pt idx="778">
                  <c:v>117.54694424381536</c:v>
                </c:pt>
                <c:pt idx="779">
                  <c:v>108.2920413163984</c:v>
                </c:pt>
                <c:pt idx="780">
                  <c:v>112.52526272784566</c:v>
                </c:pt>
                <c:pt idx="781">
                  <c:v>111.22213040449697</c:v>
                </c:pt>
                <c:pt idx="782">
                  <c:v>113.07465008669766</c:v>
                </c:pt>
                <c:pt idx="783">
                  <c:v>111.93643465278252</c:v>
                </c:pt>
                <c:pt idx="784">
                  <c:v>114.06369337643768</c:v>
                </c:pt>
                <c:pt idx="785">
                  <c:v>116.50135056451273</c:v>
                </c:pt>
                <c:pt idx="786">
                  <c:v>107.76387424058424</c:v>
                </c:pt>
                <c:pt idx="787">
                  <c:v>101.50548650576168</c:v>
                </c:pt>
                <c:pt idx="788">
                  <c:v>101.44251217960202</c:v>
                </c:pt>
                <c:pt idx="789">
                  <c:v>98.955517093913159</c:v>
                </c:pt>
                <c:pt idx="790">
                  <c:v>99.098429316121354</c:v>
                </c:pt>
                <c:pt idx="791">
                  <c:v>108.90863647450985</c:v>
                </c:pt>
                <c:pt idx="792">
                  <c:v>109.38062510906349</c:v>
                </c:pt>
                <c:pt idx="793">
                  <c:v>113.94366029068381</c:v>
                </c:pt>
                <c:pt idx="794">
                  <c:v>119.51726805566479</c:v>
                </c:pt>
                <c:pt idx="795">
                  <c:v>126.49673895221723</c:v>
                </c:pt>
                <c:pt idx="796">
                  <c:v>127.00223624679249</c:v>
                </c:pt>
                <c:pt idx="797">
                  <c:v>129.12659345189911</c:v>
                </c:pt>
                <c:pt idx="798">
                  <c:v>130.40021690988695</c:v>
                </c:pt>
                <c:pt idx="799">
                  <c:v>137.05332688508457</c:v>
                </c:pt>
                <c:pt idx="800">
                  <c:v>141.45408469916765</c:v>
                </c:pt>
                <c:pt idx="801">
                  <c:v>131.91190131007738</c:v>
                </c:pt>
                <c:pt idx="802">
                  <c:v>137.96384429544423</c:v>
                </c:pt>
                <c:pt idx="803">
                  <c:v>135.61240511208723</c:v>
                </c:pt>
                <c:pt idx="804">
                  <c:v>139.01668784330033</c:v>
                </c:pt>
                <c:pt idx="805">
                  <c:v>149.1656025093279</c:v>
                </c:pt>
                <c:pt idx="806">
                  <c:v>145.81049036641517</c:v>
                </c:pt>
                <c:pt idx="807">
                  <c:v>137.38399447644017</c:v>
                </c:pt>
                <c:pt idx="808">
                  <c:v>142.58425606085609</c:v>
                </c:pt>
                <c:pt idx="809">
                  <c:v>141.43297781953916</c:v>
                </c:pt>
                <c:pt idx="810">
                  <c:v>137.59138222862455</c:v>
                </c:pt>
                <c:pt idx="811">
                  <c:v>135.42963540709886</c:v>
                </c:pt>
                <c:pt idx="812">
                  <c:v>138.76003309074514</c:v>
                </c:pt>
                <c:pt idx="813">
                  <c:v>132.84655655046237</c:v>
                </c:pt>
                <c:pt idx="814">
                  <c:v>133.968391906211</c:v>
                </c:pt>
                <c:pt idx="815">
                  <c:v>131.34002681523458</c:v>
                </c:pt>
                <c:pt idx="816">
                  <c:v>136.22552443166168</c:v>
                </c:pt>
                <c:pt idx="817">
                  <c:v>129.53529618023705</c:v>
                </c:pt>
                <c:pt idx="818">
                  <c:v>129.17082332794539</c:v>
                </c:pt>
                <c:pt idx="819">
                  <c:v>125.19531110690635</c:v>
                </c:pt>
                <c:pt idx="820">
                  <c:v>125.77488558778148</c:v>
                </c:pt>
                <c:pt idx="821">
                  <c:v>130.97159420982081</c:v>
                </c:pt>
                <c:pt idx="822">
                  <c:v>129.96546839129371</c:v>
                </c:pt>
                <c:pt idx="823">
                  <c:v>136.3873079033992</c:v>
                </c:pt>
                <c:pt idx="824">
                  <c:v>138.16717555103648</c:v>
                </c:pt>
                <c:pt idx="825">
                  <c:v>141.31734107218736</c:v>
                </c:pt>
                <c:pt idx="826">
                  <c:v>134.54328507218653</c:v>
                </c:pt>
                <c:pt idx="827">
                  <c:v>138.87620022734177</c:v>
                </c:pt>
                <c:pt idx="828">
                  <c:v>145.58415687169497</c:v>
                </c:pt>
                <c:pt idx="829">
                  <c:v>150.7375644561086</c:v>
                </c:pt>
                <c:pt idx="830">
                  <c:v>153.8880086742623</c:v>
                </c:pt>
                <c:pt idx="831">
                  <c:v>157.1442537886295</c:v>
                </c:pt>
                <c:pt idx="832">
                  <c:v>164.38864481294917</c:v>
                </c:pt>
                <c:pt idx="833">
                  <c:v>170.15022622409319</c:v>
                </c:pt>
                <c:pt idx="834">
                  <c:v>171.20185044950014</c:v>
                </c:pt>
                <c:pt idx="835">
                  <c:v>162.73652764306829</c:v>
                </c:pt>
                <c:pt idx="836">
                  <c:v>160.36493974009579</c:v>
                </c:pt>
                <c:pt idx="837">
                  <c:v>171.09532329668554</c:v>
                </c:pt>
                <c:pt idx="838">
                  <c:v>176.30726379765687</c:v>
                </c:pt>
                <c:pt idx="839">
                  <c:v>189.35370741730921</c:v>
                </c:pt>
                <c:pt idx="840">
                  <c:v>193.99710012569193</c:v>
                </c:pt>
                <c:pt idx="841">
                  <c:v>206.00713789543073</c:v>
                </c:pt>
                <c:pt idx="842">
                  <c:v>217.30440084496323</c:v>
                </c:pt>
                <c:pt idx="843">
                  <c:v>215.34988064119395</c:v>
                </c:pt>
                <c:pt idx="844">
                  <c:v>222.49994345843101</c:v>
                </c:pt>
                <c:pt idx="845">
                  <c:v>232.40180310003922</c:v>
                </c:pt>
                <c:pt idx="846">
                  <c:v>245.57776892173368</c:v>
                </c:pt>
                <c:pt idx="847">
                  <c:v>264.50732662413901</c:v>
                </c:pt>
                <c:pt idx="848">
                  <c:v>252.4881060794697</c:v>
                </c:pt>
                <c:pt idx="849">
                  <c:v>259.42212534204526</c:v>
                </c:pt>
                <c:pt idx="850">
                  <c:v>243.10133097467627</c:v>
                </c:pt>
                <c:pt idx="851">
                  <c:v>239.64664683087966</c:v>
                </c:pt>
                <c:pt idx="852">
                  <c:v>247.64301060527805</c:v>
                </c:pt>
                <c:pt idx="853">
                  <c:v>261.39331380448294</c:v>
                </c:pt>
                <c:pt idx="854">
                  <c:v>277.35941999586447</c:v>
                </c:pt>
                <c:pt idx="855">
                  <c:v>294.51705324096736</c:v>
                </c:pt>
                <c:pt idx="856">
                  <c:v>301.51334516368621</c:v>
                </c:pt>
                <c:pt idx="857">
                  <c:v>293.58456741246079</c:v>
                </c:pt>
                <c:pt idx="858">
                  <c:v>303.67623999815351</c:v>
                </c:pt>
                <c:pt idx="859">
                  <c:v>308.04446542428667</c:v>
                </c:pt>
                <c:pt idx="860">
                  <c:v>263.1608583224899</c:v>
                </c:pt>
                <c:pt idx="861">
                  <c:v>251.92720539246085</c:v>
                </c:pt>
                <c:pt idx="862">
                  <c:v>262.78076029901558</c:v>
                </c:pt>
                <c:pt idx="863">
                  <c:v>288.43051934609218</c:v>
                </c:pt>
                <c:pt idx="864">
                  <c:v>297.08854353719096</c:v>
                </c:pt>
                <c:pt idx="865">
                  <c:v>308.79995938316972</c:v>
                </c:pt>
                <c:pt idx="866">
                  <c:v>309.26731889238192</c:v>
                </c:pt>
                <c:pt idx="867">
                  <c:v>331.99484367657601</c:v>
                </c:pt>
                <c:pt idx="868">
                  <c:v>354.50527029823382</c:v>
                </c:pt>
                <c:pt idx="869">
                  <c:v>345.20407212749473</c:v>
                </c:pt>
                <c:pt idx="870">
                  <c:v>367.95282125537187</c:v>
                </c:pt>
                <c:pt idx="871">
                  <c:v>371.15921763750407</c:v>
                </c:pt>
                <c:pt idx="872">
                  <c:v>359.91731624001193</c:v>
                </c:pt>
                <c:pt idx="873">
                  <c:v>361.24085455903742</c:v>
                </c:pt>
                <c:pt idx="874">
                  <c:v>371.27873892627639</c:v>
                </c:pt>
                <c:pt idx="875">
                  <c:v>398.4444262697794</c:v>
                </c:pt>
                <c:pt idx="876">
                  <c:v>437.89477195775146</c:v>
                </c:pt>
                <c:pt idx="877">
                  <c:v>414.25194499852745</c:v>
                </c:pt>
                <c:pt idx="878">
                  <c:v>428.41073229840521</c:v>
                </c:pt>
                <c:pt idx="879">
                  <c:v>470.7898371104813</c:v>
                </c:pt>
                <c:pt idx="880">
                  <c:v>450.59017760330403</c:v>
                </c:pt>
                <c:pt idx="881">
                  <c:v>455.20295486422776</c:v>
                </c:pt>
                <c:pt idx="882">
                  <c:v>450.87130802238823</c:v>
                </c:pt>
                <c:pt idx="883">
                  <c:v>440.62218117707391</c:v>
                </c:pt>
                <c:pt idx="884">
                  <c:v>474.74868744726405</c:v>
                </c:pt>
                <c:pt idx="885">
                  <c:v>460.01048600429095</c:v>
                </c:pt>
                <c:pt idx="886">
                  <c:v>456.85417101555078</c:v>
                </c:pt>
                <c:pt idx="887">
                  <c:v>429.3213870823763</c:v>
                </c:pt>
                <c:pt idx="888">
                  <c:v>414.29874916163328</c:v>
                </c:pt>
                <c:pt idx="889">
                  <c:v>410.62612864446447</c:v>
                </c:pt>
                <c:pt idx="890">
                  <c:v>386.56737515960231</c:v>
                </c:pt>
                <c:pt idx="891">
                  <c:v>366.20152844585101</c:v>
                </c:pt>
                <c:pt idx="892">
                  <c:v>399.48090383261479</c:v>
                </c:pt>
                <c:pt idx="893">
                  <c:v>403.35034283527563</c:v>
                </c:pt>
                <c:pt idx="894">
                  <c:v>397.55944479131995</c:v>
                </c:pt>
                <c:pt idx="895">
                  <c:v>386.86920865444097</c:v>
                </c:pt>
                <c:pt idx="896">
                  <c:v>353.52989505458726</c:v>
                </c:pt>
                <c:pt idx="897">
                  <c:v>315.51441874295955</c:v>
                </c:pt>
                <c:pt idx="898">
                  <c:v>319.87762840962131</c:v>
                </c:pt>
                <c:pt idx="899">
                  <c:v>341.54890625423536</c:v>
                </c:pt>
                <c:pt idx="900">
                  <c:v>342.27971666939158</c:v>
                </c:pt>
                <c:pt idx="901">
                  <c:v>335.97332912743911</c:v>
                </c:pt>
                <c:pt idx="902">
                  <c:v>340.42020326883642</c:v>
                </c:pt>
                <c:pt idx="903">
                  <c:v>352.72418335370628</c:v>
                </c:pt>
                <c:pt idx="904">
                  <c:v>335.71088851004492</c:v>
                </c:pt>
                <c:pt idx="905">
                  <c:v>322.49525772708677</c:v>
                </c:pt>
                <c:pt idx="906">
                  <c:v>294.61205202841154</c:v>
                </c:pt>
                <c:pt idx="907">
                  <c:v>259.77417999620957</c:v>
                </c:pt>
                <c:pt idx="908">
                  <c:v>265.46928600005759</c:v>
                </c:pt>
                <c:pt idx="909">
                  <c:v>235.75164532495879</c:v>
                </c:pt>
                <c:pt idx="910">
                  <c:v>251.98896927392056</c:v>
                </c:pt>
                <c:pt idx="911">
                  <c:v>261.16634691148016</c:v>
                </c:pt>
                <c:pt idx="912">
                  <c:v>244.08286469528588</c:v>
                </c:pt>
                <c:pt idx="913">
                  <c:v>226.83223714111006</c:v>
                </c:pt>
                <c:pt idx="914">
                  <c:v>222.11141863147682</c:v>
                </c:pt>
                <c:pt idx="915">
                  <c:v>221.54767474340429</c:v>
                </c:pt>
                <c:pt idx="916">
                  <c:v>243.53300760828577</c:v>
                </c:pt>
                <c:pt idx="917">
                  <c:v>244.92118083302913</c:v>
                </c:pt>
                <c:pt idx="918">
                  <c:v>251.26996344805997</c:v>
                </c:pt>
                <c:pt idx="919">
                  <c:v>266.84700779716582</c:v>
                </c:pt>
                <c:pt idx="920">
                  <c:v>277.40499403501525</c:v>
                </c:pt>
                <c:pt idx="921">
                  <c:v>279.10068610826227</c:v>
                </c:pt>
                <c:pt idx="922">
                  <c:v>281.88665365060558</c:v>
                </c:pt>
                <c:pt idx="923">
                  <c:v>287.86395574414411</c:v>
                </c:pt>
                <c:pt idx="924">
                  <c:v>290.5957772148688</c:v>
                </c:pt>
                <c:pt idx="925">
                  <c:v>291.9672865338822</c:v>
                </c:pt>
                <c:pt idx="926">
                  <c:v>298.9709609281457</c:v>
                </c:pt>
                <c:pt idx="927">
                  <c:v>306.32179643120031</c:v>
                </c:pt>
                <c:pt idx="928">
                  <c:v>303.29168542086364</c:v>
                </c:pt>
                <c:pt idx="929">
                  <c:v>304.09891047045778</c:v>
                </c:pt>
                <c:pt idx="930">
                  <c:v>303.21375459517128</c:v>
                </c:pt>
                <c:pt idx="931">
                  <c:v>294.32451171554453</c:v>
                </c:pt>
                <c:pt idx="932">
                  <c:v>299.32656487081255</c:v>
                </c:pt>
                <c:pt idx="933">
                  <c:v>305.7595755379507</c:v>
                </c:pt>
                <c:pt idx="934">
                  <c:v>305.0984419331034</c:v>
                </c:pt>
                <c:pt idx="935">
                  <c:v>305.05160400593576</c:v>
                </c:pt>
                <c:pt idx="936">
                  <c:v>308.62690266759682</c:v>
                </c:pt>
                <c:pt idx="937">
                  <c:v>312.37428606082221</c:v>
                </c:pt>
                <c:pt idx="938">
                  <c:v>327.1311898300749</c:v>
                </c:pt>
                <c:pt idx="939">
                  <c:v>317.78705135935593</c:v>
                </c:pt>
                <c:pt idx="940">
                  <c:v>316.4875584417527</c:v>
                </c:pt>
                <c:pt idx="941">
                  <c:v>328.38497734472764</c:v>
                </c:pt>
                <c:pt idx="942">
                  <c:v>345.11851127994873</c:v>
                </c:pt>
                <c:pt idx="943">
                  <c:v>369.26975943443665</c:v>
                </c:pt>
                <c:pt idx="944">
                  <c:v>364.5240142833897</c:v>
                </c:pt>
                <c:pt idx="945">
                  <c:v>377.46732926327917</c:v>
                </c:pt>
                <c:pt idx="946">
                  <c:v>372.93246627799567</c:v>
                </c:pt>
                <c:pt idx="947">
                  <c:v>390.03474732586955</c:v>
                </c:pt>
                <c:pt idx="948">
                  <c:v>396.04755911480294</c:v>
                </c:pt>
                <c:pt idx="949">
                  <c:v>409.15004685468091</c:v>
                </c:pt>
                <c:pt idx="950">
                  <c:v>416.63599205872822</c:v>
                </c:pt>
                <c:pt idx="951">
                  <c:v>428.99589400401686</c:v>
                </c:pt>
                <c:pt idx="952">
                  <c:v>435.03819856091269</c:v>
                </c:pt>
                <c:pt idx="953">
                  <c:v>400.57924748139851</c:v>
                </c:pt>
                <c:pt idx="954">
                  <c:v>406.00970131187756</c:v>
                </c:pt>
                <c:pt idx="955">
                  <c:v>413.88872551093374</c:v>
                </c:pt>
                <c:pt idx="956">
                  <c:v>423.03010995384591</c:v>
                </c:pt>
                <c:pt idx="957">
                  <c:v>431.45190947966177</c:v>
                </c:pt>
                <c:pt idx="958">
                  <c:v>449.40447711896883</c:v>
                </c:pt>
                <c:pt idx="959">
                  <c:v>451.31881891886906</c:v>
                </c:pt>
                <c:pt idx="960">
                  <c:v>450.78985095584909</c:v>
                </c:pt>
                <c:pt idx="961">
                  <c:v>474.5862165395788</c:v>
                </c:pt>
                <c:pt idx="962">
                  <c:v>472.4924954398856</c:v>
                </c:pt>
                <c:pt idx="963">
                  <c:v>476.65870296047081</c:v>
                </c:pt>
                <c:pt idx="964">
                  <c:v>492.98391486954239</c:v>
                </c:pt>
                <c:pt idx="965">
                  <c:v>513.14441715910095</c:v>
                </c:pt>
                <c:pt idx="966">
                  <c:v>514.86309978004601</c:v>
                </c:pt>
                <c:pt idx="967">
                  <c:v>495.92898226623237</c:v>
                </c:pt>
                <c:pt idx="968">
                  <c:v>493.40279236837642</c:v>
                </c:pt>
                <c:pt idx="969">
                  <c:v>510.81749414232013</c:v>
                </c:pt>
                <c:pt idx="970">
                  <c:v>518.00532351855395</c:v>
                </c:pt>
                <c:pt idx="971">
                  <c:v>476.21430423134501</c:v>
                </c:pt>
                <c:pt idx="972">
                  <c:v>475.30502497857179</c:v>
                </c:pt>
                <c:pt idx="973">
                  <c:v>427.66333775322187</c:v>
                </c:pt>
                <c:pt idx="974">
                  <c:v>422.17385012772354</c:v>
                </c:pt>
                <c:pt idx="975">
                  <c:v>390.15898713335054</c:v>
                </c:pt>
                <c:pt idx="976">
                  <c:v>410.43370197446239</c:v>
                </c:pt>
                <c:pt idx="977">
                  <c:v>430.18072336659736</c:v>
                </c:pt>
                <c:pt idx="978">
                  <c:v>396.96701345085341</c:v>
                </c:pt>
                <c:pt idx="979">
                  <c:v>386.88406129356144</c:v>
                </c:pt>
                <c:pt idx="980">
                  <c:v>402.56069494720811</c:v>
                </c:pt>
                <c:pt idx="981">
                  <c:v>362.43268883649114</c:v>
                </c:pt>
                <c:pt idx="982">
                  <c:v>296.16213873459481</c:v>
                </c:pt>
                <c:pt idx="983">
                  <c:v>281.41788915802994</c:v>
                </c:pt>
                <c:pt idx="984">
                  <c:v>283.66020169610539</c:v>
                </c:pt>
                <c:pt idx="985">
                  <c:v>258.20663106011023</c:v>
                </c:pt>
                <c:pt idx="986">
                  <c:v>240.05535398549381</c:v>
                </c:pt>
                <c:pt idx="987">
                  <c:v>257.5863514104143</c:v>
                </c:pt>
                <c:pt idx="988">
                  <c:v>283.1940783568528</c:v>
                </c:pt>
                <c:pt idx="989">
                  <c:v>298.93240568161366</c:v>
                </c:pt>
                <c:pt idx="990">
                  <c:v>292.26658345340701</c:v>
                </c:pt>
                <c:pt idx="991">
                  <c:v>318.30879115947278</c:v>
                </c:pt>
                <c:pt idx="992">
                  <c:v>328.66724497418727</c:v>
                </c:pt>
                <c:pt idx="993">
                  <c:v>333.08113748562738</c:v>
                </c:pt>
                <c:pt idx="994">
                  <c:v>319.57376924565165</c:v>
                </c:pt>
                <c:pt idx="995">
                  <c:v>329.36314313279212</c:v>
                </c:pt>
                <c:pt idx="996">
                  <c:v>340.90879961417772</c:v>
                </c:pt>
                <c:pt idx="997">
                  <c:v>330.08984367362228</c:v>
                </c:pt>
                <c:pt idx="998">
                  <c:v>346.70221626743984</c:v>
                </c:pt>
                <c:pt idx="999">
                  <c:v>367.75278854546343</c:v>
                </c:pt>
                <c:pt idx="1000">
                  <c:v>366.07342707684927</c:v>
                </c:pt>
                <c:pt idx="1001">
                  <c:v>350.59819808033097</c:v>
                </c:pt>
                <c:pt idx="1002">
                  <c:v>339.79589715545143</c:v>
                </c:pt>
                <c:pt idx="1003">
                  <c:v>346.16354094440533</c:v>
                </c:pt>
                <c:pt idx="1004">
                  <c:v>329.107966554256</c:v>
                </c:pt>
                <c:pt idx="1005">
                  <c:v>347.22424747822862</c:v>
                </c:pt>
                <c:pt idx="1006">
                  <c:v>346.68493472709775</c:v>
                </c:pt>
                <c:pt idx="1007">
                  <c:v>343.79799555802379</c:v>
                </c:pt>
                <c:pt idx="1008">
                  <c:v>364.12766183470796</c:v>
                </c:pt>
                <c:pt idx="1009">
                  <c:v>371.10864782125577</c:v>
                </c:pt>
                <c:pt idx="1010">
                  <c:v>381.89736050101777</c:v>
                </c:pt>
                <c:pt idx="1011">
                  <c:v>367.53687368863973</c:v>
                </c:pt>
                <c:pt idx="1012">
                  <c:v>376.62653468625325</c:v>
                </c:pt>
                <c:pt idx="1013">
                  <c:v>360.50687295124482</c:v>
                </c:pt>
                <c:pt idx="1014">
                  <c:v>341.91287915975812</c:v>
                </c:pt>
                <c:pt idx="1015">
                  <c:v>332.47357356579289</c:v>
                </c:pt>
                <c:pt idx="1016">
                  <c:v>294.65509431177111</c:v>
                </c:pt>
                <c:pt idx="1017">
                  <c:v>300.37698928586315</c:v>
                </c:pt>
                <c:pt idx="1018">
                  <c:v>340.63163029571894</c:v>
                </c:pt>
                <c:pt idx="1019">
                  <c:v>336.77877080268991</c:v>
                </c:pt>
                <c:pt idx="1020">
                  <c:v>345.0757239604925</c:v>
                </c:pt>
                <c:pt idx="1021">
                  <c:v>367.48196500207865</c:v>
                </c:pt>
                <c:pt idx="1022">
                  <c:v>376.18873939397974</c:v>
                </c:pt>
                <c:pt idx="1023">
                  <c:v>382.58454495653035</c:v>
                </c:pt>
                <c:pt idx="1024">
                  <c:v>380.74147846328049</c:v>
                </c:pt>
                <c:pt idx="1025">
                  <c:v>355.89607032548452</c:v>
                </c:pt>
                <c:pt idx="1026">
                  <c:v>382.98799434358943</c:v>
                </c:pt>
                <c:pt idx="1027">
                  <c:v>396.65129003959328</c:v>
                </c:pt>
                <c:pt idx="1028">
                  <c:v>405.90093835748741</c:v>
                </c:pt>
                <c:pt idx="1029">
                  <c:v>405.71437952082681</c:v>
                </c:pt>
                <c:pt idx="1030">
                  <c:v>399.13961023345433</c:v>
                </c:pt>
                <c:pt idx="1031">
                  <c:v>406.64549464157597</c:v>
                </c:pt>
                <c:pt idx="1032">
                  <c:v>406.51747795175538</c:v>
                </c:pt>
                <c:pt idx="1033">
                  <c:v>430.90184354679968</c:v>
                </c:pt>
                <c:pt idx="1034">
                  <c:v>432.25084242775989</c:v>
                </c:pt>
                <c:pt idx="1035">
                  <c:v>455.20840360567178</c:v>
                </c:pt>
                <c:pt idx="1036">
                  <c:v>465.10430458042896</c:v>
                </c:pt>
                <c:pt idx="1037">
                  <c:v>474.60690259338418</c:v>
                </c:pt>
                <c:pt idx="1038">
                  <c:v>453.70594109830381</c:v>
                </c:pt>
                <c:pt idx="1039">
                  <c:v>485.21797053481993</c:v>
                </c:pt>
                <c:pt idx="1040">
                  <c:v>466.54350761289345</c:v>
                </c:pt>
                <c:pt idx="1041">
                  <c:v>488.10187916452202</c:v>
                </c:pt>
                <c:pt idx="1042">
                  <c:v>494.51820143920116</c:v>
                </c:pt>
                <c:pt idx="1043">
                  <c:v>508.0943176964019</c:v>
                </c:pt>
                <c:pt idx="1044">
                  <c:v>509.5698269349005</c:v>
                </c:pt>
                <c:pt idx="1045">
                  <c:v>499.12665785037757</c:v>
                </c:pt>
                <c:pt idx="1046">
                  <c:v>520.38214082485308</c:v>
                </c:pt>
                <c:pt idx="1047">
                  <c:v>515.23750066049411</c:v>
                </c:pt>
                <c:pt idx="1048">
                  <c:v>523.04670208409505</c:v>
                </c:pt>
                <c:pt idx="1049">
                  <c:v>537.39788830849648</c:v>
                </c:pt>
                <c:pt idx="1050">
                  <c:v>553.6034371880454</c:v>
                </c:pt>
                <c:pt idx="1051">
                  <c:v>547.27727367028194</c:v>
                </c:pt>
                <c:pt idx="1052">
                  <c:v>566.84463572119876</c:v>
                </c:pt>
                <c:pt idx="1053">
                  <c:v>566.85133890808822</c:v>
                </c:pt>
                <c:pt idx="1054">
                  <c:v>579.69715554323386</c:v>
                </c:pt>
                <c:pt idx="1055">
                  <c:v>596.03752953309458</c:v>
                </c:pt>
                <c:pt idx="1056">
                  <c:v>593.12141673123574</c:v>
                </c:pt>
                <c:pt idx="1057">
                  <c:v>562.17192092052721</c:v>
                </c:pt>
                <c:pt idx="1058">
                  <c:v>595.12486587072965</c:v>
                </c:pt>
                <c:pt idx="1059">
                  <c:v>615.73096698834581</c:v>
                </c:pt>
                <c:pt idx="1060">
                  <c:v>621.48460650787194</c:v>
                </c:pt>
                <c:pt idx="1061">
                  <c:v>606.03670524949302</c:v>
                </c:pt>
                <c:pt idx="1062">
                  <c:v>594.02105194087289</c:v>
                </c:pt>
                <c:pt idx="1063">
                  <c:v>620.37192136306271</c:v>
                </c:pt>
                <c:pt idx="1064">
                  <c:v>590.83447102342166</c:v>
                </c:pt>
                <c:pt idx="1065">
                  <c:v>569.91098164458901</c:v>
                </c:pt>
                <c:pt idx="1066">
                  <c:v>612.23686457620374</c:v>
                </c:pt>
                <c:pt idx="1067">
                  <c:v>634.16545474649195</c:v>
                </c:pt>
                <c:pt idx="1068">
                  <c:v>620.76530032184291</c:v>
                </c:pt>
                <c:pt idx="1069">
                  <c:v>587.88748065704431</c:v>
                </c:pt>
                <c:pt idx="1070">
                  <c:v>576.07158392015253</c:v>
                </c:pt>
                <c:pt idx="1071">
                  <c:v>610.40473453447419</c:v>
                </c:pt>
                <c:pt idx="1072">
                  <c:v>609.14179162762389</c:v>
                </c:pt>
                <c:pt idx="1073">
                  <c:v>623.13278283821955</c:v>
                </c:pt>
                <c:pt idx="1074">
                  <c:v>613.06076366207003</c:v>
                </c:pt>
                <c:pt idx="1075">
                  <c:v>648.93195276899996</c:v>
                </c:pt>
                <c:pt idx="1076">
                  <c:v>643.23762897824577</c:v>
                </c:pt>
                <c:pt idx="1077">
                  <c:v>650.76829256465965</c:v>
                </c:pt>
                <c:pt idx="1078">
                  <c:v>646.93608022921001</c:v>
                </c:pt>
                <c:pt idx="1079">
                  <c:v>662.93213473356184</c:v>
                </c:pt>
                <c:pt idx="1080">
                  <c:v>695.83604742463865</c:v>
                </c:pt>
                <c:pt idx="1081">
                  <c:v>709.66347910229649</c:v>
                </c:pt>
                <c:pt idx="1082">
                  <c:v>723.49953362067185</c:v>
                </c:pt>
                <c:pt idx="1083">
                  <c:v>731.03447607593409</c:v>
                </c:pt>
                <c:pt idx="1084">
                  <c:v>741.96362625366612</c:v>
                </c:pt>
                <c:pt idx="1085">
                  <c:v>746.94473027609888</c:v>
                </c:pt>
                <c:pt idx="1086">
                  <c:v>737.75094872815339</c:v>
                </c:pt>
                <c:pt idx="1087">
                  <c:v>751.61350435326244</c:v>
                </c:pt>
                <c:pt idx="1088">
                  <c:v>758.28384590572375</c:v>
                </c:pt>
                <c:pt idx="1089">
                  <c:v>775.67255066410803</c:v>
                </c:pt>
                <c:pt idx="1090">
                  <c:v>805.54901032357975</c:v>
                </c:pt>
                <c:pt idx="1091">
                  <c:v>832.59647963297505</c:v>
                </c:pt>
                <c:pt idx="1092">
                  <c:v>839.60611337731234</c:v>
                </c:pt>
                <c:pt idx="1093">
                  <c:v>867.29891161088597</c:v>
                </c:pt>
                <c:pt idx="1094">
                  <c:v>808.61753475660259</c:v>
                </c:pt>
                <c:pt idx="1095">
                  <c:v>801.28258105688735</c:v>
                </c:pt>
                <c:pt idx="1096">
                  <c:v>830.06235992860604</c:v>
                </c:pt>
                <c:pt idx="1097">
                  <c:v>861.6983929429573</c:v>
                </c:pt>
                <c:pt idx="1098">
                  <c:v>856.57393840754332</c:v>
                </c:pt>
                <c:pt idx="1099">
                  <c:v>890.18785422675307</c:v>
                </c:pt>
                <c:pt idx="1100">
                  <c:v>896.78155234746851</c:v>
                </c:pt>
                <c:pt idx="1101">
                  <c:v>883.7865388190329</c:v>
                </c:pt>
                <c:pt idx="1102">
                  <c:v>840.72951194242444</c:v>
                </c:pt>
                <c:pt idx="1103">
                  <c:v>856.53525091117672</c:v>
                </c:pt>
                <c:pt idx="1104">
                  <c:v>784.32225530549738</c:v>
                </c:pt>
                <c:pt idx="1105">
                  <c:v>846.78990891114756</c:v>
                </c:pt>
                <c:pt idx="1106">
                  <c:v>883.85567255697458</c:v>
                </c:pt>
                <c:pt idx="1107">
                  <c:v>895.53245647316533</c:v>
                </c:pt>
                <c:pt idx="1108">
                  <c:v>936.47390780903118</c:v>
                </c:pt>
                <c:pt idx="1109">
                  <c:v>886.16167419560395</c:v>
                </c:pt>
                <c:pt idx="1110">
                  <c:v>924.93833035424018</c:v>
                </c:pt>
                <c:pt idx="1111">
                  <c:v>934.7151896101326</c:v>
                </c:pt>
                <c:pt idx="1112">
                  <c:v>908.19496342511354</c:v>
                </c:pt>
                <c:pt idx="1113">
                  <c:v>940.75737445170978</c:v>
                </c:pt>
                <c:pt idx="1114">
                  <c:v>972.38753321868091</c:v>
                </c:pt>
                <c:pt idx="1115">
                  <c:v>1000.1737900876423</c:v>
                </c:pt>
                <c:pt idx="1116">
                  <c:v>1019.418184691369</c:v>
                </c:pt>
                <c:pt idx="1117">
                  <c:v>1005.7632752462114</c:v>
                </c:pt>
                <c:pt idx="1118">
                  <c:v>928.18595929516721</c:v>
                </c:pt>
                <c:pt idx="1119">
                  <c:v>787.88423499909584</c:v>
                </c:pt>
                <c:pt idx="1120">
                  <c:v>884.42814027824124</c:v>
                </c:pt>
                <c:pt idx="1121">
                  <c:v>927.12735149115224</c:v>
                </c:pt>
                <c:pt idx="1122">
                  <c:v>937.67170882993139</c:v>
                </c:pt>
                <c:pt idx="1123">
                  <c:v>972.2804540846962</c:v>
                </c:pt>
                <c:pt idx="1124">
                  <c:v>1013.1121429159323</c:v>
                </c:pt>
                <c:pt idx="1125">
                  <c:v>984.97006040621625</c:v>
                </c:pt>
                <c:pt idx="1126">
                  <c:v>953.67466319113441</c:v>
                </c:pt>
                <c:pt idx="1127">
                  <c:v>1075.78301277113</c:v>
                </c:pt>
                <c:pt idx="1128">
                  <c:v>1096.8075991770445</c:v>
                </c:pt>
              </c:numCache>
            </c:numRef>
          </c:yVal>
          <c:smooth val="1"/>
          <c:extLst>
            <c:ext xmlns:c16="http://schemas.microsoft.com/office/drawing/2014/chart" uri="{C3380CC4-5D6E-409C-BE32-E72D297353CC}">
              <c16:uniqueId val="{00000000-4B68-4FEC-B8E9-CBBD6F2590D8}"/>
            </c:ext>
          </c:extLst>
        </c:ser>
        <c:ser>
          <c:idx val="1"/>
          <c:order val="1"/>
          <c:tx>
            <c:strRef>
              <c:f>'HistoricalWorldStocks_SMA-CHF'!$AM$27</c:f>
              <c:strCache>
                <c:ptCount val="1"/>
                <c:pt idx="0">
                  <c:v>Buy and hold con 0.5% costi annui</c:v>
                </c:pt>
              </c:strCache>
            </c:strRef>
          </c:tx>
          <c:spPr>
            <a:ln w="19050" cap="rnd">
              <a:solidFill>
                <a:schemeClr val="accent2"/>
              </a:solidFill>
              <a:round/>
            </a:ln>
            <a:effectLst/>
          </c:spPr>
          <c:marker>
            <c:symbol val="none"/>
          </c:marker>
          <c:xVal>
            <c:numRef>
              <c:f>'HistoricalWorldStocks_SMA-CHF'!$AK$38:$AK$1166</c:f>
              <c:numCache>
                <c:formatCode>m/d/yyyy</c:formatCode>
                <c:ptCount val="1129"/>
                <c:pt idx="0">
                  <c:v>9862</c:v>
                </c:pt>
                <c:pt idx="1">
                  <c:v>9893</c:v>
                </c:pt>
                <c:pt idx="2">
                  <c:v>9924</c:v>
                </c:pt>
                <c:pt idx="3">
                  <c:v>9955</c:v>
                </c:pt>
                <c:pt idx="4">
                  <c:v>9986</c:v>
                </c:pt>
                <c:pt idx="5">
                  <c:v>10017</c:v>
                </c:pt>
                <c:pt idx="6">
                  <c:v>10048</c:v>
                </c:pt>
                <c:pt idx="7">
                  <c:v>10079</c:v>
                </c:pt>
                <c:pt idx="8">
                  <c:v>10110</c:v>
                </c:pt>
                <c:pt idx="9">
                  <c:v>10141</c:v>
                </c:pt>
                <c:pt idx="10">
                  <c:v>10172</c:v>
                </c:pt>
                <c:pt idx="11">
                  <c:v>10203</c:v>
                </c:pt>
                <c:pt idx="12">
                  <c:v>10234</c:v>
                </c:pt>
                <c:pt idx="13">
                  <c:v>10265</c:v>
                </c:pt>
                <c:pt idx="14">
                  <c:v>10296</c:v>
                </c:pt>
                <c:pt idx="15">
                  <c:v>10327</c:v>
                </c:pt>
                <c:pt idx="16">
                  <c:v>10358</c:v>
                </c:pt>
                <c:pt idx="17">
                  <c:v>10389</c:v>
                </c:pt>
                <c:pt idx="18">
                  <c:v>10420</c:v>
                </c:pt>
                <c:pt idx="19">
                  <c:v>10451</c:v>
                </c:pt>
                <c:pt idx="20">
                  <c:v>10482</c:v>
                </c:pt>
                <c:pt idx="21">
                  <c:v>10513</c:v>
                </c:pt>
                <c:pt idx="22">
                  <c:v>10544</c:v>
                </c:pt>
                <c:pt idx="23">
                  <c:v>10575</c:v>
                </c:pt>
                <c:pt idx="24">
                  <c:v>10606</c:v>
                </c:pt>
                <c:pt idx="25">
                  <c:v>10637</c:v>
                </c:pt>
                <c:pt idx="26">
                  <c:v>10668</c:v>
                </c:pt>
                <c:pt idx="27">
                  <c:v>10699</c:v>
                </c:pt>
                <c:pt idx="28">
                  <c:v>10730</c:v>
                </c:pt>
                <c:pt idx="29">
                  <c:v>10761</c:v>
                </c:pt>
                <c:pt idx="30">
                  <c:v>10792</c:v>
                </c:pt>
                <c:pt idx="31">
                  <c:v>10823</c:v>
                </c:pt>
                <c:pt idx="32">
                  <c:v>10854</c:v>
                </c:pt>
                <c:pt idx="33">
                  <c:v>10885</c:v>
                </c:pt>
                <c:pt idx="34">
                  <c:v>10916</c:v>
                </c:pt>
                <c:pt idx="35">
                  <c:v>10947</c:v>
                </c:pt>
                <c:pt idx="36">
                  <c:v>10978</c:v>
                </c:pt>
                <c:pt idx="37">
                  <c:v>11009</c:v>
                </c:pt>
                <c:pt idx="38">
                  <c:v>11040</c:v>
                </c:pt>
                <c:pt idx="39">
                  <c:v>11071</c:v>
                </c:pt>
                <c:pt idx="40">
                  <c:v>11102</c:v>
                </c:pt>
                <c:pt idx="41">
                  <c:v>11133</c:v>
                </c:pt>
                <c:pt idx="42">
                  <c:v>11164</c:v>
                </c:pt>
                <c:pt idx="43">
                  <c:v>11195</c:v>
                </c:pt>
                <c:pt idx="44">
                  <c:v>11226</c:v>
                </c:pt>
                <c:pt idx="45">
                  <c:v>11257</c:v>
                </c:pt>
                <c:pt idx="46">
                  <c:v>11288</c:v>
                </c:pt>
                <c:pt idx="47">
                  <c:v>11319</c:v>
                </c:pt>
                <c:pt idx="48">
                  <c:v>11350</c:v>
                </c:pt>
                <c:pt idx="49">
                  <c:v>11381</c:v>
                </c:pt>
                <c:pt idx="50">
                  <c:v>11412</c:v>
                </c:pt>
                <c:pt idx="51">
                  <c:v>11443</c:v>
                </c:pt>
                <c:pt idx="52">
                  <c:v>11474</c:v>
                </c:pt>
                <c:pt idx="53">
                  <c:v>11505</c:v>
                </c:pt>
                <c:pt idx="54">
                  <c:v>11536</c:v>
                </c:pt>
                <c:pt idx="55">
                  <c:v>11567</c:v>
                </c:pt>
                <c:pt idx="56">
                  <c:v>11598</c:v>
                </c:pt>
                <c:pt idx="57">
                  <c:v>11629</c:v>
                </c:pt>
                <c:pt idx="58">
                  <c:v>11660</c:v>
                </c:pt>
                <c:pt idx="59">
                  <c:v>11691</c:v>
                </c:pt>
                <c:pt idx="60">
                  <c:v>11722</c:v>
                </c:pt>
                <c:pt idx="61">
                  <c:v>11753</c:v>
                </c:pt>
                <c:pt idx="62">
                  <c:v>11784</c:v>
                </c:pt>
                <c:pt idx="63">
                  <c:v>11815</c:v>
                </c:pt>
                <c:pt idx="64">
                  <c:v>11846</c:v>
                </c:pt>
                <c:pt idx="65">
                  <c:v>11877</c:v>
                </c:pt>
                <c:pt idx="66">
                  <c:v>11908</c:v>
                </c:pt>
                <c:pt idx="67">
                  <c:v>11939</c:v>
                </c:pt>
                <c:pt idx="68">
                  <c:v>11970</c:v>
                </c:pt>
                <c:pt idx="69">
                  <c:v>12001</c:v>
                </c:pt>
                <c:pt idx="70">
                  <c:v>12032</c:v>
                </c:pt>
                <c:pt idx="71">
                  <c:v>12063</c:v>
                </c:pt>
                <c:pt idx="72">
                  <c:v>12094</c:v>
                </c:pt>
                <c:pt idx="73">
                  <c:v>12125</c:v>
                </c:pt>
                <c:pt idx="74">
                  <c:v>12156</c:v>
                </c:pt>
                <c:pt idx="75">
                  <c:v>12187</c:v>
                </c:pt>
                <c:pt idx="76">
                  <c:v>12218</c:v>
                </c:pt>
                <c:pt idx="77">
                  <c:v>12249</c:v>
                </c:pt>
                <c:pt idx="78">
                  <c:v>12280</c:v>
                </c:pt>
                <c:pt idx="79">
                  <c:v>12311</c:v>
                </c:pt>
                <c:pt idx="80">
                  <c:v>12342</c:v>
                </c:pt>
                <c:pt idx="81">
                  <c:v>12373</c:v>
                </c:pt>
                <c:pt idx="82">
                  <c:v>12404</c:v>
                </c:pt>
                <c:pt idx="83">
                  <c:v>12435</c:v>
                </c:pt>
                <c:pt idx="84">
                  <c:v>12466</c:v>
                </c:pt>
                <c:pt idx="85">
                  <c:v>12497</c:v>
                </c:pt>
                <c:pt idx="86">
                  <c:v>12528</c:v>
                </c:pt>
                <c:pt idx="87">
                  <c:v>12559</c:v>
                </c:pt>
                <c:pt idx="88">
                  <c:v>12590</c:v>
                </c:pt>
                <c:pt idx="89">
                  <c:v>12621</c:v>
                </c:pt>
                <c:pt idx="90">
                  <c:v>12652</c:v>
                </c:pt>
                <c:pt idx="91">
                  <c:v>12683</c:v>
                </c:pt>
                <c:pt idx="92">
                  <c:v>12714</c:v>
                </c:pt>
                <c:pt idx="93">
                  <c:v>12745</c:v>
                </c:pt>
                <c:pt idx="94">
                  <c:v>12776</c:v>
                </c:pt>
                <c:pt idx="95">
                  <c:v>12807</c:v>
                </c:pt>
                <c:pt idx="96">
                  <c:v>12838</c:v>
                </c:pt>
                <c:pt idx="97">
                  <c:v>12869</c:v>
                </c:pt>
                <c:pt idx="98">
                  <c:v>12900</c:v>
                </c:pt>
                <c:pt idx="99">
                  <c:v>12931</c:v>
                </c:pt>
                <c:pt idx="100">
                  <c:v>12962</c:v>
                </c:pt>
                <c:pt idx="101">
                  <c:v>12993</c:v>
                </c:pt>
                <c:pt idx="102">
                  <c:v>13024</c:v>
                </c:pt>
                <c:pt idx="103">
                  <c:v>13055</c:v>
                </c:pt>
                <c:pt idx="104">
                  <c:v>13086</c:v>
                </c:pt>
                <c:pt idx="105">
                  <c:v>13117</c:v>
                </c:pt>
                <c:pt idx="106">
                  <c:v>13148</c:v>
                </c:pt>
                <c:pt idx="107">
                  <c:v>13179</c:v>
                </c:pt>
                <c:pt idx="108">
                  <c:v>13210</c:v>
                </c:pt>
                <c:pt idx="109">
                  <c:v>13241</c:v>
                </c:pt>
                <c:pt idx="110">
                  <c:v>13272</c:v>
                </c:pt>
                <c:pt idx="111">
                  <c:v>13303</c:v>
                </c:pt>
                <c:pt idx="112">
                  <c:v>13334</c:v>
                </c:pt>
                <c:pt idx="113">
                  <c:v>13365</c:v>
                </c:pt>
                <c:pt idx="114">
                  <c:v>13396</c:v>
                </c:pt>
                <c:pt idx="115">
                  <c:v>13427</c:v>
                </c:pt>
                <c:pt idx="116">
                  <c:v>13458</c:v>
                </c:pt>
                <c:pt idx="117">
                  <c:v>13489</c:v>
                </c:pt>
                <c:pt idx="118">
                  <c:v>13520</c:v>
                </c:pt>
                <c:pt idx="119">
                  <c:v>13551</c:v>
                </c:pt>
                <c:pt idx="120">
                  <c:v>13582</c:v>
                </c:pt>
                <c:pt idx="121">
                  <c:v>13613</c:v>
                </c:pt>
                <c:pt idx="122">
                  <c:v>13644</c:v>
                </c:pt>
                <c:pt idx="123">
                  <c:v>13675</c:v>
                </c:pt>
                <c:pt idx="124">
                  <c:v>13706</c:v>
                </c:pt>
                <c:pt idx="125">
                  <c:v>13737</c:v>
                </c:pt>
                <c:pt idx="126">
                  <c:v>13768</c:v>
                </c:pt>
                <c:pt idx="127">
                  <c:v>13799</c:v>
                </c:pt>
                <c:pt idx="128">
                  <c:v>13830</c:v>
                </c:pt>
                <c:pt idx="129">
                  <c:v>13861</c:v>
                </c:pt>
                <c:pt idx="130">
                  <c:v>13892</c:v>
                </c:pt>
                <c:pt idx="131">
                  <c:v>13923</c:v>
                </c:pt>
                <c:pt idx="132">
                  <c:v>13954</c:v>
                </c:pt>
                <c:pt idx="133">
                  <c:v>13985</c:v>
                </c:pt>
                <c:pt idx="134">
                  <c:v>14016</c:v>
                </c:pt>
                <c:pt idx="135">
                  <c:v>14047</c:v>
                </c:pt>
                <c:pt idx="136">
                  <c:v>14078</c:v>
                </c:pt>
                <c:pt idx="137">
                  <c:v>14109</c:v>
                </c:pt>
                <c:pt idx="138">
                  <c:v>14140</c:v>
                </c:pt>
                <c:pt idx="139">
                  <c:v>14171</c:v>
                </c:pt>
                <c:pt idx="140">
                  <c:v>14202</c:v>
                </c:pt>
                <c:pt idx="141">
                  <c:v>14233</c:v>
                </c:pt>
                <c:pt idx="142">
                  <c:v>14264</c:v>
                </c:pt>
                <c:pt idx="143">
                  <c:v>14295</c:v>
                </c:pt>
                <c:pt idx="144">
                  <c:v>14326</c:v>
                </c:pt>
                <c:pt idx="145">
                  <c:v>14357</c:v>
                </c:pt>
                <c:pt idx="146">
                  <c:v>14388</c:v>
                </c:pt>
                <c:pt idx="147">
                  <c:v>14419</c:v>
                </c:pt>
                <c:pt idx="148">
                  <c:v>14450</c:v>
                </c:pt>
                <c:pt idx="149">
                  <c:v>14481</c:v>
                </c:pt>
                <c:pt idx="150">
                  <c:v>14512</c:v>
                </c:pt>
                <c:pt idx="151">
                  <c:v>14543</c:v>
                </c:pt>
                <c:pt idx="152">
                  <c:v>14574</c:v>
                </c:pt>
                <c:pt idx="153">
                  <c:v>14605</c:v>
                </c:pt>
                <c:pt idx="154">
                  <c:v>14636</c:v>
                </c:pt>
                <c:pt idx="155">
                  <c:v>14667</c:v>
                </c:pt>
                <c:pt idx="156">
                  <c:v>14698</c:v>
                </c:pt>
                <c:pt idx="157">
                  <c:v>14729</c:v>
                </c:pt>
                <c:pt idx="158">
                  <c:v>14760</c:v>
                </c:pt>
                <c:pt idx="159">
                  <c:v>14791</c:v>
                </c:pt>
                <c:pt idx="160">
                  <c:v>14822</c:v>
                </c:pt>
                <c:pt idx="161">
                  <c:v>14853</c:v>
                </c:pt>
                <c:pt idx="162">
                  <c:v>14884</c:v>
                </c:pt>
                <c:pt idx="163">
                  <c:v>14915</c:v>
                </c:pt>
                <c:pt idx="164">
                  <c:v>14946</c:v>
                </c:pt>
                <c:pt idx="165">
                  <c:v>14977</c:v>
                </c:pt>
                <c:pt idx="166">
                  <c:v>15008</c:v>
                </c:pt>
                <c:pt idx="167">
                  <c:v>15039</c:v>
                </c:pt>
                <c:pt idx="168">
                  <c:v>15070</c:v>
                </c:pt>
                <c:pt idx="169">
                  <c:v>15101</c:v>
                </c:pt>
                <c:pt idx="170">
                  <c:v>15132</c:v>
                </c:pt>
                <c:pt idx="171">
                  <c:v>15163</c:v>
                </c:pt>
                <c:pt idx="172">
                  <c:v>15194</c:v>
                </c:pt>
                <c:pt idx="173">
                  <c:v>15225</c:v>
                </c:pt>
                <c:pt idx="174">
                  <c:v>15256</c:v>
                </c:pt>
                <c:pt idx="175">
                  <c:v>15287</c:v>
                </c:pt>
                <c:pt idx="176">
                  <c:v>15318</c:v>
                </c:pt>
                <c:pt idx="177">
                  <c:v>15349</c:v>
                </c:pt>
                <c:pt idx="178">
                  <c:v>15380</c:v>
                </c:pt>
                <c:pt idx="179">
                  <c:v>15411</c:v>
                </c:pt>
                <c:pt idx="180">
                  <c:v>15442</c:v>
                </c:pt>
                <c:pt idx="181">
                  <c:v>15473</c:v>
                </c:pt>
                <c:pt idx="182">
                  <c:v>15504</c:v>
                </c:pt>
                <c:pt idx="183">
                  <c:v>15535</c:v>
                </c:pt>
                <c:pt idx="184">
                  <c:v>15566</c:v>
                </c:pt>
                <c:pt idx="185">
                  <c:v>15597</c:v>
                </c:pt>
                <c:pt idx="186">
                  <c:v>15628</c:v>
                </c:pt>
                <c:pt idx="187">
                  <c:v>15659</c:v>
                </c:pt>
                <c:pt idx="188">
                  <c:v>15690</c:v>
                </c:pt>
                <c:pt idx="189">
                  <c:v>15721</c:v>
                </c:pt>
                <c:pt idx="190">
                  <c:v>15752</c:v>
                </c:pt>
                <c:pt idx="191">
                  <c:v>15783</c:v>
                </c:pt>
                <c:pt idx="192">
                  <c:v>15814</c:v>
                </c:pt>
                <c:pt idx="193">
                  <c:v>15845</c:v>
                </c:pt>
                <c:pt idx="194">
                  <c:v>15876</c:v>
                </c:pt>
                <c:pt idx="195">
                  <c:v>15907</c:v>
                </c:pt>
                <c:pt idx="196">
                  <c:v>15938</c:v>
                </c:pt>
                <c:pt idx="197">
                  <c:v>15969</c:v>
                </c:pt>
                <c:pt idx="198">
                  <c:v>16000</c:v>
                </c:pt>
                <c:pt idx="199">
                  <c:v>16031</c:v>
                </c:pt>
                <c:pt idx="200">
                  <c:v>16062</c:v>
                </c:pt>
                <c:pt idx="201">
                  <c:v>16093</c:v>
                </c:pt>
                <c:pt idx="202">
                  <c:v>16124</c:v>
                </c:pt>
                <c:pt idx="203">
                  <c:v>16155</c:v>
                </c:pt>
                <c:pt idx="204">
                  <c:v>16186</c:v>
                </c:pt>
                <c:pt idx="205">
                  <c:v>16217</c:v>
                </c:pt>
                <c:pt idx="206">
                  <c:v>16248</c:v>
                </c:pt>
                <c:pt idx="207">
                  <c:v>16279</c:v>
                </c:pt>
                <c:pt idx="208">
                  <c:v>16310</c:v>
                </c:pt>
                <c:pt idx="209">
                  <c:v>16341</c:v>
                </c:pt>
                <c:pt idx="210">
                  <c:v>16372</c:v>
                </c:pt>
                <c:pt idx="211">
                  <c:v>16403</c:v>
                </c:pt>
                <c:pt idx="212">
                  <c:v>16434</c:v>
                </c:pt>
                <c:pt idx="213">
                  <c:v>16465</c:v>
                </c:pt>
                <c:pt idx="214">
                  <c:v>16496</c:v>
                </c:pt>
                <c:pt idx="215">
                  <c:v>16527</c:v>
                </c:pt>
                <c:pt idx="216">
                  <c:v>16558</c:v>
                </c:pt>
                <c:pt idx="217">
                  <c:v>16589</c:v>
                </c:pt>
                <c:pt idx="218">
                  <c:v>16620</c:v>
                </c:pt>
                <c:pt idx="219">
                  <c:v>16651</c:v>
                </c:pt>
                <c:pt idx="220">
                  <c:v>16682</c:v>
                </c:pt>
                <c:pt idx="221">
                  <c:v>16713</c:v>
                </c:pt>
                <c:pt idx="222">
                  <c:v>16744</c:v>
                </c:pt>
                <c:pt idx="223">
                  <c:v>16775</c:v>
                </c:pt>
                <c:pt idx="224">
                  <c:v>16806</c:v>
                </c:pt>
                <c:pt idx="225">
                  <c:v>16837</c:v>
                </c:pt>
                <c:pt idx="226">
                  <c:v>16868</c:v>
                </c:pt>
                <c:pt idx="227">
                  <c:v>16899</c:v>
                </c:pt>
                <c:pt idx="228">
                  <c:v>16930</c:v>
                </c:pt>
                <c:pt idx="229">
                  <c:v>16961</c:v>
                </c:pt>
                <c:pt idx="230">
                  <c:v>16992</c:v>
                </c:pt>
                <c:pt idx="231">
                  <c:v>17023</c:v>
                </c:pt>
                <c:pt idx="232">
                  <c:v>17054</c:v>
                </c:pt>
                <c:pt idx="233">
                  <c:v>17085</c:v>
                </c:pt>
                <c:pt idx="234">
                  <c:v>17116</c:v>
                </c:pt>
                <c:pt idx="235">
                  <c:v>17147</c:v>
                </c:pt>
                <c:pt idx="236">
                  <c:v>17178</c:v>
                </c:pt>
                <c:pt idx="237">
                  <c:v>17209</c:v>
                </c:pt>
                <c:pt idx="238">
                  <c:v>17240</c:v>
                </c:pt>
                <c:pt idx="239">
                  <c:v>17271</c:v>
                </c:pt>
                <c:pt idx="240">
                  <c:v>17302</c:v>
                </c:pt>
                <c:pt idx="241">
                  <c:v>17333</c:v>
                </c:pt>
                <c:pt idx="242">
                  <c:v>17364</c:v>
                </c:pt>
                <c:pt idx="243">
                  <c:v>17395</c:v>
                </c:pt>
                <c:pt idx="244">
                  <c:v>17426</c:v>
                </c:pt>
                <c:pt idx="245">
                  <c:v>17457</c:v>
                </c:pt>
                <c:pt idx="246">
                  <c:v>17488</c:v>
                </c:pt>
                <c:pt idx="247">
                  <c:v>17519</c:v>
                </c:pt>
                <c:pt idx="248">
                  <c:v>17550</c:v>
                </c:pt>
                <c:pt idx="249">
                  <c:v>17581</c:v>
                </c:pt>
                <c:pt idx="250">
                  <c:v>17612</c:v>
                </c:pt>
                <c:pt idx="251">
                  <c:v>17643</c:v>
                </c:pt>
                <c:pt idx="252">
                  <c:v>17674</c:v>
                </c:pt>
                <c:pt idx="253">
                  <c:v>17705</c:v>
                </c:pt>
                <c:pt idx="254">
                  <c:v>17736</c:v>
                </c:pt>
                <c:pt idx="255">
                  <c:v>17767</c:v>
                </c:pt>
                <c:pt idx="256">
                  <c:v>17798</c:v>
                </c:pt>
                <c:pt idx="257">
                  <c:v>17829</c:v>
                </c:pt>
                <c:pt idx="258">
                  <c:v>17860</c:v>
                </c:pt>
                <c:pt idx="259">
                  <c:v>17891</c:v>
                </c:pt>
                <c:pt idx="260">
                  <c:v>17922</c:v>
                </c:pt>
                <c:pt idx="261">
                  <c:v>17953</c:v>
                </c:pt>
                <c:pt idx="262">
                  <c:v>17984</c:v>
                </c:pt>
                <c:pt idx="263">
                  <c:v>18015</c:v>
                </c:pt>
                <c:pt idx="264">
                  <c:v>18046</c:v>
                </c:pt>
                <c:pt idx="265">
                  <c:v>18077</c:v>
                </c:pt>
                <c:pt idx="266">
                  <c:v>18108</c:v>
                </c:pt>
                <c:pt idx="267">
                  <c:v>18139</c:v>
                </c:pt>
                <c:pt idx="268">
                  <c:v>18170</c:v>
                </c:pt>
                <c:pt idx="269">
                  <c:v>18201</c:v>
                </c:pt>
                <c:pt idx="270">
                  <c:v>18232</c:v>
                </c:pt>
                <c:pt idx="271">
                  <c:v>18263</c:v>
                </c:pt>
                <c:pt idx="272">
                  <c:v>18294</c:v>
                </c:pt>
                <c:pt idx="273">
                  <c:v>18325</c:v>
                </c:pt>
                <c:pt idx="274">
                  <c:v>18356</c:v>
                </c:pt>
                <c:pt idx="275">
                  <c:v>18387</c:v>
                </c:pt>
                <c:pt idx="276">
                  <c:v>18418</c:v>
                </c:pt>
                <c:pt idx="277">
                  <c:v>18449</c:v>
                </c:pt>
                <c:pt idx="278">
                  <c:v>18480</c:v>
                </c:pt>
                <c:pt idx="279">
                  <c:v>18511</c:v>
                </c:pt>
                <c:pt idx="280">
                  <c:v>18542</c:v>
                </c:pt>
                <c:pt idx="281">
                  <c:v>18573</c:v>
                </c:pt>
                <c:pt idx="282">
                  <c:v>18604</c:v>
                </c:pt>
                <c:pt idx="283">
                  <c:v>18635</c:v>
                </c:pt>
                <c:pt idx="284">
                  <c:v>18666</c:v>
                </c:pt>
                <c:pt idx="285">
                  <c:v>18697</c:v>
                </c:pt>
                <c:pt idx="286">
                  <c:v>18728</c:v>
                </c:pt>
                <c:pt idx="287">
                  <c:v>18759</c:v>
                </c:pt>
                <c:pt idx="288">
                  <c:v>18790</c:v>
                </c:pt>
                <c:pt idx="289">
                  <c:v>18821</c:v>
                </c:pt>
                <c:pt idx="290">
                  <c:v>18852</c:v>
                </c:pt>
                <c:pt idx="291">
                  <c:v>18883</c:v>
                </c:pt>
                <c:pt idx="292">
                  <c:v>18914</c:v>
                </c:pt>
                <c:pt idx="293">
                  <c:v>18945</c:v>
                </c:pt>
                <c:pt idx="294">
                  <c:v>18976</c:v>
                </c:pt>
                <c:pt idx="295">
                  <c:v>19007</c:v>
                </c:pt>
                <c:pt idx="296">
                  <c:v>19038</c:v>
                </c:pt>
                <c:pt idx="297">
                  <c:v>19069</c:v>
                </c:pt>
                <c:pt idx="298">
                  <c:v>19100</c:v>
                </c:pt>
                <c:pt idx="299">
                  <c:v>19131</c:v>
                </c:pt>
                <c:pt idx="300">
                  <c:v>19162</c:v>
                </c:pt>
                <c:pt idx="301">
                  <c:v>19193</c:v>
                </c:pt>
                <c:pt idx="302">
                  <c:v>19224</c:v>
                </c:pt>
                <c:pt idx="303">
                  <c:v>19255</c:v>
                </c:pt>
                <c:pt idx="304">
                  <c:v>19286</c:v>
                </c:pt>
                <c:pt idx="305">
                  <c:v>19317</c:v>
                </c:pt>
                <c:pt idx="306">
                  <c:v>19348</c:v>
                </c:pt>
                <c:pt idx="307">
                  <c:v>19379</c:v>
                </c:pt>
                <c:pt idx="308">
                  <c:v>19410</c:v>
                </c:pt>
                <c:pt idx="309">
                  <c:v>19441</c:v>
                </c:pt>
                <c:pt idx="310">
                  <c:v>19472</c:v>
                </c:pt>
                <c:pt idx="311">
                  <c:v>19503</c:v>
                </c:pt>
                <c:pt idx="312">
                  <c:v>19534</c:v>
                </c:pt>
                <c:pt idx="313">
                  <c:v>19565</c:v>
                </c:pt>
                <c:pt idx="314">
                  <c:v>19596</c:v>
                </c:pt>
                <c:pt idx="315">
                  <c:v>19627</c:v>
                </c:pt>
                <c:pt idx="316">
                  <c:v>19658</c:v>
                </c:pt>
                <c:pt idx="317">
                  <c:v>19689</c:v>
                </c:pt>
                <c:pt idx="318">
                  <c:v>19720</c:v>
                </c:pt>
                <c:pt idx="319">
                  <c:v>19751</c:v>
                </c:pt>
                <c:pt idx="320">
                  <c:v>19782</c:v>
                </c:pt>
                <c:pt idx="321">
                  <c:v>19813</c:v>
                </c:pt>
                <c:pt idx="322">
                  <c:v>19844</c:v>
                </c:pt>
                <c:pt idx="323">
                  <c:v>19875</c:v>
                </c:pt>
                <c:pt idx="324">
                  <c:v>19906</c:v>
                </c:pt>
                <c:pt idx="325">
                  <c:v>19937</c:v>
                </c:pt>
                <c:pt idx="326">
                  <c:v>19968</c:v>
                </c:pt>
                <c:pt idx="327">
                  <c:v>19999</c:v>
                </c:pt>
                <c:pt idx="328">
                  <c:v>20030</c:v>
                </c:pt>
                <c:pt idx="329">
                  <c:v>20061</c:v>
                </c:pt>
                <c:pt idx="330">
                  <c:v>20092</c:v>
                </c:pt>
                <c:pt idx="331">
                  <c:v>20123</c:v>
                </c:pt>
                <c:pt idx="332">
                  <c:v>20154</c:v>
                </c:pt>
                <c:pt idx="333">
                  <c:v>20185</c:v>
                </c:pt>
                <c:pt idx="334">
                  <c:v>20216</c:v>
                </c:pt>
                <c:pt idx="335">
                  <c:v>20247</c:v>
                </c:pt>
                <c:pt idx="336">
                  <c:v>20278</c:v>
                </c:pt>
                <c:pt idx="337">
                  <c:v>20309</c:v>
                </c:pt>
                <c:pt idx="338">
                  <c:v>20340</c:v>
                </c:pt>
                <c:pt idx="339">
                  <c:v>20371</c:v>
                </c:pt>
                <c:pt idx="340">
                  <c:v>20402</c:v>
                </c:pt>
                <c:pt idx="341">
                  <c:v>20433</c:v>
                </c:pt>
                <c:pt idx="342">
                  <c:v>20464</c:v>
                </c:pt>
                <c:pt idx="343">
                  <c:v>20495</c:v>
                </c:pt>
                <c:pt idx="344">
                  <c:v>20526</c:v>
                </c:pt>
                <c:pt idx="345">
                  <c:v>20557</c:v>
                </c:pt>
                <c:pt idx="346">
                  <c:v>20588</c:v>
                </c:pt>
                <c:pt idx="347">
                  <c:v>20619</c:v>
                </c:pt>
                <c:pt idx="348">
                  <c:v>20650</c:v>
                </c:pt>
                <c:pt idx="349">
                  <c:v>20681</c:v>
                </c:pt>
                <c:pt idx="350">
                  <c:v>20712</c:v>
                </c:pt>
                <c:pt idx="351">
                  <c:v>20743</c:v>
                </c:pt>
                <c:pt idx="352">
                  <c:v>20774</c:v>
                </c:pt>
                <c:pt idx="353">
                  <c:v>20805</c:v>
                </c:pt>
                <c:pt idx="354">
                  <c:v>20836</c:v>
                </c:pt>
                <c:pt idx="355">
                  <c:v>20867</c:v>
                </c:pt>
                <c:pt idx="356">
                  <c:v>20898</c:v>
                </c:pt>
                <c:pt idx="357">
                  <c:v>20929</c:v>
                </c:pt>
                <c:pt idx="358">
                  <c:v>20960</c:v>
                </c:pt>
                <c:pt idx="359">
                  <c:v>20991</c:v>
                </c:pt>
                <c:pt idx="360">
                  <c:v>21022</c:v>
                </c:pt>
                <c:pt idx="361">
                  <c:v>21053</c:v>
                </c:pt>
                <c:pt idx="362">
                  <c:v>21084</c:v>
                </c:pt>
                <c:pt idx="363">
                  <c:v>21115</c:v>
                </c:pt>
                <c:pt idx="364">
                  <c:v>21146</c:v>
                </c:pt>
                <c:pt idx="365">
                  <c:v>21177</c:v>
                </c:pt>
                <c:pt idx="366">
                  <c:v>21208</c:v>
                </c:pt>
                <c:pt idx="367">
                  <c:v>21239</c:v>
                </c:pt>
                <c:pt idx="368">
                  <c:v>21270</c:v>
                </c:pt>
                <c:pt idx="369">
                  <c:v>21301</c:v>
                </c:pt>
                <c:pt idx="370">
                  <c:v>21332</c:v>
                </c:pt>
                <c:pt idx="371">
                  <c:v>21363</c:v>
                </c:pt>
                <c:pt idx="372">
                  <c:v>21394</c:v>
                </c:pt>
                <c:pt idx="373">
                  <c:v>21425</c:v>
                </c:pt>
                <c:pt idx="374">
                  <c:v>21456</c:v>
                </c:pt>
                <c:pt idx="375">
                  <c:v>21487</c:v>
                </c:pt>
                <c:pt idx="376">
                  <c:v>21518</c:v>
                </c:pt>
                <c:pt idx="377">
                  <c:v>21549</c:v>
                </c:pt>
                <c:pt idx="378">
                  <c:v>21580</c:v>
                </c:pt>
                <c:pt idx="379">
                  <c:v>21611</c:v>
                </c:pt>
                <c:pt idx="380">
                  <c:v>21642</c:v>
                </c:pt>
                <c:pt idx="381">
                  <c:v>21673</c:v>
                </c:pt>
                <c:pt idx="382">
                  <c:v>21704</c:v>
                </c:pt>
                <c:pt idx="383">
                  <c:v>21735</c:v>
                </c:pt>
                <c:pt idx="384">
                  <c:v>21766</c:v>
                </c:pt>
                <c:pt idx="385">
                  <c:v>21797</c:v>
                </c:pt>
                <c:pt idx="386">
                  <c:v>21828</c:v>
                </c:pt>
                <c:pt idx="387">
                  <c:v>21859</c:v>
                </c:pt>
                <c:pt idx="388">
                  <c:v>21890</c:v>
                </c:pt>
                <c:pt idx="389">
                  <c:v>21921</c:v>
                </c:pt>
                <c:pt idx="390">
                  <c:v>21952</c:v>
                </c:pt>
                <c:pt idx="391">
                  <c:v>21983</c:v>
                </c:pt>
                <c:pt idx="392">
                  <c:v>22014</c:v>
                </c:pt>
                <c:pt idx="393">
                  <c:v>22045</c:v>
                </c:pt>
                <c:pt idx="394">
                  <c:v>22076</c:v>
                </c:pt>
                <c:pt idx="395">
                  <c:v>22107</c:v>
                </c:pt>
                <c:pt idx="396">
                  <c:v>22138</c:v>
                </c:pt>
                <c:pt idx="397">
                  <c:v>22169</c:v>
                </c:pt>
                <c:pt idx="398">
                  <c:v>22200</c:v>
                </c:pt>
                <c:pt idx="399">
                  <c:v>22231</c:v>
                </c:pt>
                <c:pt idx="400">
                  <c:v>22262</c:v>
                </c:pt>
                <c:pt idx="401">
                  <c:v>22293</c:v>
                </c:pt>
                <c:pt idx="402">
                  <c:v>22324</c:v>
                </c:pt>
                <c:pt idx="403">
                  <c:v>22355</c:v>
                </c:pt>
                <c:pt idx="404">
                  <c:v>22386</c:v>
                </c:pt>
                <c:pt idx="405">
                  <c:v>22417</c:v>
                </c:pt>
                <c:pt idx="406">
                  <c:v>22448</c:v>
                </c:pt>
                <c:pt idx="407">
                  <c:v>22479</c:v>
                </c:pt>
                <c:pt idx="408">
                  <c:v>22510</c:v>
                </c:pt>
                <c:pt idx="409">
                  <c:v>22541</c:v>
                </c:pt>
                <c:pt idx="410">
                  <c:v>22572</c:v>
                </c:pt>
                <c:pt idx="411">
                  <c:v>22603</c:v>
                </c:pt>
                <c:pt idx="412">
                  <c:v>22634</c:v>
                </c:pt>
                <c:pt idx="413">
                  <c:v>22665</c:v>
                </c:pt>
                <c:pt idx="414">
                  <c:v>22696</c:v>
                </c:pt>
                <c:pt idx="415">
                  <c:v>22727</c:v>
                </c:pt>
                <c:pt idx="416">
                  <c:v>22758</c:v>
                </c:pt>
                <c:pt idx="417">
                  <c:v>22789</c:v>
                </c:pt>
                <c:pt idx="418">
                  <c:v>22820</c:v>
                </c:pt>
                <c:pt idx="419">
                  <c:v>22851</c:v>
                </c:pt>
                <c:pt idx="420">
                  <c:v>22882</c:v>
                </c:pt>
                <c:pt idx="421">
                  <c:v>22913</c:v>
                </c:pt>
                <c:pt idx="422">
                  <c:v>22944</c:v>
                </c:pt>
                <c:pt idx="423">
                  <c:v>22975</c:v>
                </c:pt>
                <c:pt idx="424">
                  <c:v>23006</c:v>
                </c:pt>
                <c:pt idx="425">
                  <c:v>23037</c:v>
                </c:pt>
                <c:pt idx="426">
                  <c:v>23068</c:v>
                </c:pt>
                <c:pt idx="427">
                  <c:v>23099</c:v>
                </c:pt>
                <c:pt idx="428">
                  <c:v>23130</c:v>
                </c:pt>
                <c:pt idx="429">
                  <c:v>23161</c:v>
                </c:pt>
                <c:pt idx="430">
                  <c:v>23192</c:v>
                </c:pt>
                <c:pt idx="431">
                  <c:v>23223</c:v>
                </c:pt>
                <c:pt idx="432">
                  <c:v>23254</c:v>
                </c:pt>
                <c:pt idx="433">
                  <c:v>23285</c:v>
                </c:pt>
                <c:pt idx="434">
                  <c:v>23316</c:v>
                </c:pt>
                <c:pt idx="435">
                  <c:v>23347</c:v>
                </c:pt>
                <c:pt idx="436">
                  <c:v>23378</c:v>
                </c:pt>
                <c:pt idx="437">
                  <c:v>23409</c:v>
                </c:pt>
                <c:pt idx="438">
                  <c:v>23440</c:v>
                </c:pt>
                <c:pt idx="439">
                  <c:v>23471</c:v>
                </c:pt>
                <c:pt idx="440">
                  <c:v>23502</c:v>
                </c:pt>
                <c:pt idx="441">
                  <c:v>23533</c:v>
                </c:pt>
                <c:pt idx="442">
                  <c:v>23564</c:v>
                </c:pt>
                <c:pt idx="443">
                  <c:v>23595</c:v>
                </c:pt>
                <c:pt idx="444">
                  <c:v>23626</c:v>
                </c:pt>
                <c:pt idx="445">
                  <c:v>23657</c:v>
                </c:pt>
                <c:pt idx="446">
                  <c:v>23688</c:v>
                </c:pt>
                <c:pt idx="447">
                  <c:v>23719</c:v>
                </c:pt>
                <c:pt idx="448">
                  <c:v>23750</c:v>
                </c:pt>
                <c:pt idx="449">
                  <c:v>23781</c:v>
                </c:pt>
                <c:pt idx="450">
                  <c:v>23812</c:v>
                </c:pt>
                <c:pt idx="451">
                  <c:v>23843</c:v>
                </c:pt>
                <c:pt idx="452">
                  <c:v>23874</c:v>
                </c:pt>
                <c:pt idx="453">
                  <c:v>23905</c:v>
                </c:pt>
                <c:pt idx="454">
                  <c:v>23936</c:v>
                </c:pt>
                <c:pt idx="455">
                  <c:v>23967</c:v>
                </c:pt>
                <c:pt idx="456">
                  <c:v>23998</c:v>
                </c:pt>
                <c:pt idx="457">
                  <c:v>24029</c:v>
                </c:pt>
                <c:pt idx="458">
                  <c:v>24060</c:v>
                </c:pt>
                <c:pt idx="459">
                  <c:v>24091</c:v>
                </c:pt>
                <c:pt idx="460">
                  <c:v>24122</c:v>
                </c:pt>
                <c:pt idx="461">
                  <c:v>24153</c:v>
                </c:pt>
                <c:pt idx="462">
                  <c:v>24184</c:v>
                </c:pt>
                <c:pt idx="463">
                  <c:v>24215</c:v>
                </c:pt>
                <c:pt idx="464">
                  <c:v>24246</c:v>
                </c:pt>
                <c:pt idx="465">
                  <c:v>24277</c:v>
                </c:pt>
                <c:pt idx="466">
                  <c:v>24308</c:v>
                </c:pt>
                <c:pt idx="467">
                  <c:v>24339</c:v>
                </c:pt>
                <c:pt idx="468">
                  <c:v>24370</c:v>
                </c:pt>
                <c:pt idx="469">
                  <c:v>24401</c:v>
                </c:pt>
                <c:pt idx="470">
                  <c:v>24432</c:v>
                </c:pt>
                <c:pt idx="471">
                  <c:v>24463</c:v>
                </c:pt>
                <c:pt idx="472">
                  <c:v>24494</c:v>
                </c:pt>
                <c:pt idx="473">
                  <c:v>24525</c:v>
                </c:pt>
                <c:pt idx="474">
                  <c:v>24556</c:v>
                </c:pt>
                <c:pt idx="475">
                  <c:v>24587</c:v>
                </c:pt>
                <c:pt idx="476">
                  <c:v>24618</c:v>
                </c:pt>
                <c:pt idx="477">
                  <c:v>24649</c:v>
                </c:pt>
                <c:pt idx="478">
                  <c:v>24680</c:v>
                </c:pt>
                <c:pt idx="479">
                  <c:v>24711</c:v>
                </c:pt>
                <c:pt idx="480">
                  <c:v>24742</c:v>
                </c:pt>
                <c:pt idx="481">
                  <c:v>24773</c:v>
                </c:pt>
                <c:pt idx="482">
                  <c:v>24804</c:v>
                </c:pt>
                <c:pt idx="483">
                  <c:v>24835</c:v>
                </c:pt>
                <c:pt idx="484">
                  <c:v>24866</c:v>
                </c:pt>
                <c:pt idx="485">
                  <c:v>24897</c:v>
                </c:pt>
                <c:pt idx="486">
                  <c:v>24928</c:v>
                </c:pt>
                <c:pt idx="487">
                  <c:v>24959</c:v>
                </c:pt>
                <c:pt idx="488">
                  <c:v>24990</c:v>
                </c:pt>
                <c:pt idx="489">
                  <c:v>25021</c:v>
                </c:pt>
                <c:pt idx="490">
                  <c:v>25052</c:v>
                </c:pt>
                <c:pt idx="491">
                  <c:v>25083</c:v>
                </c:pt>
                <c:pt idx="492">
                  <c:v>25114</c:v>
                </c:pt>
                <c:pt idx="493">
                  <c:v>25145</c:v>
                </c:pt>
                <c:pt idx="494">
                  <c:v>25176</c:v>
                </c:pt>
                <c:pt idx="495">
                  <c:v>25207</c:v>
                </c:pt>
                <c:pt idx="496">
                  <c:v>25238</c:v>
                </c:pt>
                <c:pt idx="497">
                  <c:v>25269</c:v>
                </c:pt>
                <c:pt idx="498">
                  <c:v>25300</c:v>
                </c:pt>
                <c:pt idx="499">
                  <c:v>25331</c:v>
                </c:pt>
                <c:pt idx="500">
                  <c:v>25362</c:v>
                </c:pt>
                <c:pt idx="501">
                  <c:v>25393</c:v>
                </c:pt>
                <c:pt idx="502">
                  <c:v>25424</c:v>
                </c:pt>
                <c:pt idx="503">
                  <c:v>25455</c:v>
                </c:pt>
                <c:pt idx="504">
                  <c:v>25486</c:v>
                </c:pt>
                <c:pt idx="505">
                  <c:v>25517</c:v>
                </c:pt>
                <c:pt idx="506">
                  <c:v>25548</c:v>
                </c:pt>
                <c:pt idx="507">
                  <c:v>25579</c:v>
                </c:pt>
                <c:pt idx="508">
                  <c:v>25610</c:v>
                </c:pt>
                <c:pt idx="509">
                  <c:v>25641</c:v>
                </c:pt>
                <c:pt idx="510">
                  <c:v>25672</c:v>
                </c:pt>
                <c:pt idx="511">
                  <c:v>25703</c:v>
                </c:pt>
                <c:pt idx="512">
                  <c:v>25734</c:v>
                </c:pt>
                <c:pt idx="513">
                  <c:v>25765</c:v>
                </c:pt>
                <c:pt idx="514">
                  <c:v>25796</c:v>
                </c:pt>
                <c:pt idx="515">
                  <c:v>25827</c:v>
                </c:pt>
                <c:pt idx="516">
                  <c:v>25858</c:v>
                </c:pt>
                <c:pt idx="517">
                  <c:v>25889</c:v>
                </c:pt>
                <c:pt idx="518">
                  <c:v>25920</c:v>
                </c:pt>
                <c:pt idx="519">
                  <c:v>25951</c:v>
                </c:pt>
                <c:pt idx="520">
                  <c:v>25982</c:v>
                </c:pt>
                <c:pt idx="521">
                  <c:v>26013</c:v>
                </c:pt>
                <c:pt idx="522">
                  <c:v>26044</c:v>
                </c:pt>
                <c:pt idx="523">
                  <c:v>26075</c:v>
                </c:pt>
                <c:pt idx="524">
                  <c:v>26106</c:v>
                </c:pt>
                <c:pt idx="525">
                  <c:v>26137</c:v>
                </c:pt>
                <c:pt idx="526">
                  <c:v>26168</c:v>
                </c:pt>
                <c:pt idx="527">
                  <c:v>26199</c:v>
                </c:pt>
                <c:pt idx="528">
                  <c:v>26230</c:v>
                </c:pt>
                <c:pt idx="529">
                  <c:v>26261</c:v>
                </c:pt>
                <c:pt idx="530">
                  <c:v>26292</c:v>
                </c:pt>
                <c:pt idx="531">
                  <c:v>26323</c:v>
                </c:pt>
                <c:pt idx="532">
                  <c:v>26354</c:v>
                </c:pt>
                <c:pt idx="533">
                  <c:v>26385</c:v>
                </c:pt>
                <c:pt idx="534">
                  <c:v>26416</c:v>
                </c:pt>
                <c:pt idx="535">
                  <c:v>26447</c:v>
                </c:pt>
                <c:pt idx="536">
                  <c:v>26478</c:v>
                </c:pt>
                <c:pt idx="537">
                  <c:v>26509</c:v>
                </c:pt>
                <c:pt idx="538">
                  <c:v>26540</c:v>
                </c:pt>
                <c:pt idx="539">
                  <c:v>26571</c:v>
                </c:pt>
                <c:pt idx="540">
                  <c:v>26602</c:v>
                </c:pt>
                <c:pt idx="541">
                  <c:v>26633</c:v>
                </c:pt>
                <c:pt idx="542">
                  <c:v>26664</c:v>
                </c:pt>
                <c:pt idx="543">
                  <c:v>26695</c:v>
                </c:pt>
                <c:pt idx="544">
                  <c:v>26726</c:v>
                </c:pt>
                <c:pt idx="545">
                  <c:v>26757</c:v>
                </c:pt>
                <c:pt idx="546">
                  <c:v>26788</c:v>
                </c:pt>
                <c:pt idx="547">
                  <c:v>26819</c:v>
                </c:pt>
                <c:pt idx="548">
                  <c:v>26850</c:v>
                </c:pt>
                <c:pt idx="549">
                  <c:v>26881</c:v>
                </c:pt>
                <c:pt idx="550">
                  <c:v>26912</c:v>
                </c:pt>
                <c:pt idx="551">
                  <c:v>26943</c:v>
                </c:pt>
                <c:pt idx="552">
                  <c:v>26974</c:v>
                </c:pt>
                <c:pt idx="553">
                  <c:v>27005</c:v>
                </c:pt>
                <c:pt idx="554">
                  <c:v>27036</c:v>
                </c:pt>
                <c:pt idx="555">
                  <c:v>27067</c:v>
                </c:pt>
                <c:pt idx="556">
                  <c:v>27098</c:v>
                </c:pt>
                <c:pt idx="557">
                  <c:v>27129</c:v>
                </c:pt>
                <c:pt idx="558">
                  <c:v>27160</c:v>
                </c:pt>
                <c:pt idx="559">
                  <c:v>27191</c:v>
                </c:pt>
                <c:pt idx="560">
                  <c:v>27222</c:v>
                </c:pt>
                <c:pt idx="561">
                  <c:v>27253</c:v>
                </c:pt>
                <c:pt idx="562">
                  <c:v>27284</c:v>
                </c:pt>
                <c:pt idx="563">
                  <c:v>27315</c:v>
                </c:pt>
                <c:pt idx="564">
                  <c:v>27346</c:v>
                </c:pt>
                <c:pt idx="565">
                  <c:v>27377</c:v>
                </c:pt>
                <c:pt idx="566">
                  <c:v>27408</c:v>
                </c:pt>
                <c:pt idx="567">
                  <c:v>27439</c:v>
                </c:pt>
                <c:pt idx="568">
                  <c:v>27470</c:v>
                </c:pt>
                <c:pt idx="569">
                  <c:v>27501</c:v>
                </c:pt>
                <c:pt idx="570">
                  <c:v>27532</c:v>
                </c:pt>
                <c:pt idx="571">
                  <c:v>27563</c:v>
                </c:pt>
                <c:pt idx="572">
                  <c:v>27594</c:v>
                </c:pt>
                <c:pt idx="573">
                  <c:v>27625</c:v>
                </c:pt>
                <c:pt idx="574">
                  <c:v>27656</c:v>
                </c:pt>
                <c:pt idx="575">
                  <c:v>27687</c:v>
                </c:pt>
                <c:pt idx="576">
                  <c:v>27718</c:v>
                </c:pt>
                <c:pt idx="577">
                  <c:v>27749</c:v>
                </c:pt>
                <c:pt idx="578">
                  <c:v>27780</c:v>
                </c:pt>
                <c:pt idx="579">
                  <c:v>27811</c:v>
                </c:pt>
                <c:pt idx="580">
                  <c:v>27842</c:v>
                </c:pt>
                <c:pt idx="581">
                  <c:v>27873</c:v>
                </c:pt>
                <c:pt idx="582">
                  <c:v>27904</c:v>
                </c:pt>
                <c:pt idx="583">
                  <c:v>27935</c:v>
                </c:pt>
                <c:pt idx="584">
                  <c:v>27966</c:v>
                </c:pt>
                <c:pt idx="585">
                  <c:v>27997</c:v>
                </c:pt>
                <c:pt idx="586">
                  <c:v>28028</c:v>
                </c:pt>
                <c:pt idx="587">
                  <c:v>28059</c:v>
                </c:pt>
                <c:pt idx="588">
                  <c:v>28090</c:v>
                </c:pt>
                <c:pt idx="589">
                  <c:v>28121</c:v>
                </c:pt>
                <c:pt idx="590">
                  <c:v>28152</c:v>
                </c:pt>
                <c:pt idx="591">
                  <c:v>28183</c:v>
                </c:pt>
                <c:pt idx="592">
                  <c:v>28214</c:v>
                </c:pt>
                <c:pt idx="593">
                  <c:v>28245</c:v>
                </c:pt>
                <c:pt idx="594">
                  <c:v>28276</c:v>
                </c:pt>
                <c:pt idx="595">
                  <c:v>28307</c:v>
                </c:pt>
                <c:pt idx="596">
                  <c:v>28338</c:v>
                </c:pt>
                <c:pt idx="597">
                  <c:v>28369</c:v>
                </c:pt>
                <c:pt idx="598">
                  <c:v>28400</c:v>
                </c:pt>
                <c:pt idx="599">
                  <c:v>28431</c:v>
                </c:pt>
                <c:pt idx="600">
                  <c:v>28462</c:v>
                </c:pt>
                <c:pt idx="601">
                  <c:v>28493</c:v>
                </c:pt>
                <c:pt idx="602">
                  <c:v>28524</c:v>
                </c:pt>
                <c:pt idx="603">
                  <c:v>28555</c:v>
                </c:pt>
                <c:pt idx="604">
                  <c:v>28586</c:v>
                </c:pt>
                <c:pt idx="605">
                  <c:v>28617</c:v>
                </c:pt>
                <c:pt idx="606">
                  <c:v>28648</c:v>
                </c:pt>
                <c:pt idx="607">
                  <c:v>28679</c:v>
                </c:pt>
                <c:pt idx="608">
                  <c:v>28710</c:v>
                </c:pt>
                <c:pt idx="609">
                  <c:v>28741</c:v>
                </c:pt>
                <c:pt idx="610">
                  <c:v>28772</c:v>
                </c:pt>
                <c:pt idx="611">
                  <c:v>28803</c:v>
                </c:pt>
                <c:pt idx="612">
                  <c:v>28834</c:v>
                </c:pt>
                <c:pt idx="613">
                  <c:v>28865</c:v>
                </c:pt>
                <c:pt idx="614">
                  <c:v>28896</c:v>
                </c:pt>
                <c:pt idx="615">
                  <c:v>28927</c:v>
                </c:pt>
                <c:pt idx="616">
                  <c:v>28958</c:v>
                </c:pt>
                <c:pt idx="617">
                  <c:v>28989</c:v>
                </c:pt>
                <c:pt idx="618">
                  <c:v>29020</c:v>
                </c:pt>
                <c:pt idx="619">
                  <c:v>29051</c:v>
                </c:pt>
                <c:pt idx="620">
                  <c:v>29082</c:v>
                </c:pt>
                <c:pt idx="621">
                  <c:v>29113</c:v>
                </c:pt>
                <c:pt idx="622">
                  <c:v>29144</c:v>
                </c:pt>
                <c:pt idx="623">
                  <c:v>29175</c:v>
                </c:pt>
                <c:pt idx="624">
                  <c:v>29206</c:v>
                </c:pt>
                <c:pt idx="625">
                  <c:v>29237</c:v>
                </c:pt>
                <c:pt idx="626">
                  <c:v>29268</c:v>
                </c:pt>
                <c:pt idx="627">
                  <c:v>29299</c:v>
                </c:pt>
                <c:pt idx="628">
                  <c:v>29330</c:v>
                </c:pt>
                <c:pt idx="629">
                  <c:v>29361</c:v>
                </c:pt>
                <c:pt idx="630">
                  <c:v>29392</c:v>
                </c:pt>
                <c:pt idx="631">
                  <c:v>29423</c:v>
                </c:pt>
                <c:pt idx="632">
                  <c:v>29454</c:v>
                </c:pt>
                <c:pt idx="633">
                  <c:v>29485</c:v>
                </c:pt>
                <c:pt idx="634">
                  <c:v>29516</c:v>
                </c:pt>
                <c:pt idx="635">
                  <c:v>29547</c:v>
                </c:pt>
                <c:pt idx="636">
                  <c:v>29578</c:v>
                </c:pt>
                <c:pt idx="637">
                  <c:v>29609</c:v>
                </c:pt>
                <c:pt idx="638">
                  <c:v>29640</c:v>
                </c:pt>
                <c:pt idx="639">
                  <c:v>29671</c:v>
                </c:pt>
                <c:pt idx="640">
                  <c:v>29702</c:v>
                </c:pt>
                <c:pt idx="641">
                  <c:v>29733</c:v>
                </c:pt>
                <c:pt idx="642">
                  <c:v>29764</c:v>
                </c:pt>
                <c:pt idx="643">
                  <c:v>29795</c:v>
                </c:pt>
                <c:pt idx="644">
                  <c:v>29826</c:v>
                </c:pt>
                <c:pt idx="645">
                  <c:v>29857</c:v>
                </c:pt>
                <c:pt idx="646">
                  <c:v>29888</c:v>
                </c:pt>
                <c:pt idx="647">
                  <c:v>29919</c:v>
                </c:pt>
                <c:pt idx="648">
                  <c:v>29950</c:v>
                </c:pt>
                <c:pt idx="649">
                  <c:v>29981</c:v>
                </c:pt>
                <c:pt idx="650">
                  <c:v>30012</c:v>
                </c:pt>
                <c:pt idx="651">
                  <c:v>30043</c:v>
                </c:pt>
                <c:pt idx="652">
                  <c:v>30074</c:v>
                </c:pt>
                <c:pt idx="653">
                  <c:v>30105</c:v>
                </c:pt>
                <c:pt idx="654">
                  <c:v>30136</c:v>
                </c:pt>
                <c:pt idx="655">
                  <c:v>30167</c:v>
                </c:pt>
                <c:pt idx="656">
                  <c:v>30198</c:v>
                </c:pt>
                <c:pt idx="657">
                  <c:v>30229</c:v>
                </c:pt>
                <c:pt idx="658">
                  <c:v>30260</c:v>
                </c:pt>
                <c:pt idx="659">
                  <c:v>30291</c:v>
                </c:pt>
                <c:pt idx="660">
                  <c:v>30322</c:v>
                </c:pt>
                <c:pt idx="661">
                  <c:v>30353</c:v>
                </c:pt>
                <c:pt idx="662">
                  <c:v>30384</c:v>
                </c:pt>
                <c:pt idx="663">
                  <c:v>30415</c:v>
                </c:pt>
                <c:pt idx="664">
                  <c:v>30446</c:v>
                </c:pt>
                <c:pt idx="665">
                  <c:v>30477</c:v>
                </c:pt>
                <c:pt idx="666">
                  <c:v>30508</c:v>
                </c:pt>
                <c:pt idx="667">
                  <c:v>30539</c:v>
                </c:pt>
                <c:pt idx="668">
                  <c:v>30570</c:v>
                </c:pt>
                <c:pt idx="669">
                  <c:v>30601</c:v>
                </c:pt>
                <c:pt idx="670">
                  <c:v>30632</c:v>
                </c:pt>
                <c:pt idx="671">
                  <c:v>30663</c:v>
                </c:pt>
                <c:pt idx="672">
                  <c:v>30694</c:v>
                </c:pt>
                <c:pt idx="673">
                  <c:v>30725</c:v>
                </c:pt>
                <c:pt idx="674">
                  <c:v>30756</c:v>
                </c:pt>
                <c:pt idx="675">
                  <c:v>30787</c:v>
                </c:pt>
                <c:pt idx="676">
                  <c:v>30818</c:v>
                </c:pt>
                <c:pt idx="677">
                  <c:v>30849</c:v>
                </c:pt>
                <c:pt idx="678">
                  <c:v>30880</c:v>
                </c:pt>
                <c:pt idx="679">
                  <c:v>30911</c:v>
                </c:pt>
                <c:pt idx="680">
                  <c:v>30942</c:v>
                </c:pt>
                <c:pt idx="681">
                  <c:v>30973</c:v>
                </c:pt>
                <c:pt idx="682">
                  <c:v>31004</c:v>
                </c:pt>
                <c:pt idx="683">
                  <c:v>31035</c:v>
                </c:pt>
                <c:pt idx="684">
                  <c:v>31066</c:v>
                </c:pt>
                <c:pt idx="685">
                  <c:v>31097</c:v>
                </c:pt>
                <c:pt idx="686">
                  <c:v>31128</c:v>
                </c:pt>
                <c:pt idx="687">
                  <c:v>31159</c:v>
                </c:pt>
                <c:pt idx="688">
                  <c:v>31190</c:v>
                </c:pt>
                <c:pt idx="689">
                  <c:v>31221</c:v>
                </c:pt>
                <c:pt idx="690">
                  <c:v>31252</c:v>
                </c:pt>
                <c:pt idx="691">
                  <c:v>31283</c:v>
                </c:pt>
                <c:pt idx="692">
                  <c:v>31314</c:v>
                </c:pt>
                <c:pt idx="693">
                  <c:v>31345</c:v>
                </c:pt>
                <c:pt idx="694">
                  <c:v>31376</c:v>
                </c:pt>
                <c:pt idx="695">
                  <c:v>31407</c:v>
                </c:pt>
                <c:pt idx="696">
                  <c:v>31438</c:v>
                </c:pt>
                <c:pt idx="697">
                  <c:v>31469</c:v>
                </c:pt>
                <c:pt idx="698">
                  <c:v>31500</c:v>
                </c:pt>
                <c:pt idx="699">
                  <c:v>31531</c:v>
                </c:pt>
                <c:pt idx="700">
                  <c:v>31562</c:v>
                </c:pt>
                <c:pt idx="701">
                  <c:v>31593</c:v>
                </c:pt>
                <c:pt idx="702">
                  <c:v>31624</c:v>
                </c:pt>
                <c:pt idx="703">
                  <c:v>31655</c:v>
                </c:pt>
                <c:pt idx="704">
                  <c:v>31686</c:v>
                </c:pt>
                <c:pt idx="705">
                  <c:v>31717</c:v>
                </c:pt>
                <c:pt idx="706">
                  <c:v>31748</c:v>
                </c:pt>
                <c:pt idx="707">
                  <c:v>31779</c:v>
                </c:pt>
                <c:pt idx="708">
                  <c:v>31810</c:v>
                </c:pt>
                <c:pt idx="709">
                  <c:v>31841</c:v>
                </c:pt>
                <c:pt idx="710">
                  <c:v>31872</c:v>
                </c:pt>
                <c:pt idx="711">
                  <c:v>31903</c:v>
                </c:pt>
                <c:pt idx="712">
                  <c:v>31934</c:v>
                </c:pt>
                <c:pt idx="713">
                  <c:v>31965</c:v>
                </c:pt>
                <c:pt idx="714">
                  <c:v>31996</c:v>
                </c:pt>
                <c:pt idx="715">
                  <c:v>32027</c:v>
                </c:pt>
                <c:pt idx="716">
                  <c:v>32058</c:v>
                </c:pt>
                <c:pt idx="717">
                  <c:v>32089</c:v>
                </c:pt>
                <c:pt idx="718">
                  <c:v>32120</c:v>
                </c:pt>
                <c:pt idx="719">
                  <c:v>32151</c:v>
                </c:pt>
                <c:pt idx="720">
                  <c:v>32182</c:v>
                </c:pt>
                <c:pt idx="721">
                  <c:v>32213</c:v>
                </c:pt>
                <c:pt idx="722">
                  <c:v>32244</c:v>
                </c:pt>
                <c:pt idx="723">
                  <c:v>32275</c:v>
                </c:pt>
                <c:pt idx="724">
                  <c:v>32306</c:v>
                </c:pt>
                <c:pt idx="725">
                  <c:v>32337</c:v>
                </c:pt>
                <c:pt idx="726">
                  <c:v>32368</c:v>
                </c:pt>
                <c:pt idx="727">
                  <c:v>32399</c:v>
                </c:pt>
                <c:pt idx="728">
                  <c:v>32430</c:v>
                </c:pt>
                <c:pt idx="729">
                  <c:v>32461</c:v>
                </c:pt>
                <c:pt idx="730">
                  <c:v>32492</c:v>
                </c:pt>
                <c:pt idx="731">
                  <c:v>32523</c:v>
                </c:pt>
                <c:pt idx="732">
                  <c:v>32554</c:v>
                </c:pt>
                <c:pt idx="733">
                  <c:v>32585</c:v>
                </c:pt>
                <c:pt idx="734">
                  <c:v>32616</c:v>
                </c:pt>
                <c:pt idx="735">
                  <c:v>32647</c:v>
                </c:pt>
                <c:pt idx="736">
                  <c:v>32678</c:v>
                </c:pt>
                <c:pt idx="737">
                  <c:v>32709</c:v>
                </c:pt>
                <c:pt idx="738">
                  <c:v>32740</c:v>
                </c:pt>
                <c:pt idx="739">
                  <c:v>32771</c:v>
                </c:pt>
                <c:pt idx="740">
                  <c:v>32802</c:v>
                </c:pt>
                <c:pt idx="741">
                  <c:v>32833</c:v>
                </c:pt>
                <c:pt idx="742">
                  <c:v>32864</c:v>
                </c:pt>
                <c:pt idx="743">
                  <c:v>32895</c:v>
                </c:pt>
                <c:pt idx="744">
                  <c:v>32926</c:v>
                </c:pt>
                <c:pt idx="745">
                  <c:v>32957</c:v>
                </c:pt>
                <c:pt idx="746">
                  <c:v>32988</c:v>
                </c:pt>
                <c:pt idx="747">
                  <c:v>33019</c:v>
                </c:pt>
                <c:pt idx="748">
                  <c:v>33050</c:v>
                </c:pt>
                <c:pt idx="749">
                  <c:v>33081</c:v>
                </c:pt>
                <c:pt idx="750">
                  <c:v>33112</c:v>
                </c:pt>
                <c:pt idx="751">
                  <c:v>33143</c:v>
                </c:pt>
                <c:pt idx="752">
                  <c:v>33174</c:v>
                </c:pt>
                <c:pt idx="753">
                  <c:v>33205</c:v>
                </c:pt>
                <c:pt idx="754">
                  <c:v>33236</c:v>
                </c:pt>
                <c:pt idx="755">
                  <c:v>33267</c:v>
                </c:pt>
                <c:pt idx="756">
                  <c:v>33298</c:v>
                </c:pt>
                <c:pt idx="757">
                  <c:v>33329</c:v>
                </c:pt>
                <c:pt idx="758">
                  <c:v>33360</c:v>
                </c:pt>
                <c:pt idx="759">
                  <c:v>33391</c:v>
                </c:pt>
                <c:pt idx="760">
                  <c:v>33422</c:v>
                </c:pt>
                <c:pt idx="761">
                  <c:v>33453</c:v>
                </c:pt>
                <c:pt idx="762">
                  <c:v>33484</c:v>
                </c:pt>
                <c:pt idx="763">
                  <c:v>33515</c:v>
                </c:pt>
                <c:pt idx="764">
                  <c:v>33546</c:v>
                </c:pt>
                <c:pt idx="765">
                  <c:v>33577</c:v>
                </c:pt>
                <c:pt idx="766">
                  <c:v>33608</c:v>
                </c:pt>
                <c:pt idx="767">
                  <c:v>33639</c:v>
                </c:pt>
                <c:pt idx="768">
                  <c:v>33670</c:v>
                </c:pt>
                <c:pt idx="769">
                  <c:v>33701</c:v>
                </c:pt>
                <c:pt idx="770">
                  <c:v>33732</c:v>
                </c:pt>
                <c:pt idx="771">
                  <c:v>33763</c:v>
                </c:pt>
                <c:pt idx="772">
                  <c:v>33794</c:v>
                </c:pt>
                <c:pt idx="773">
                  <c:v>33825</c:v>
                </c:pt>
                <c:pt idx="774">
                  <c:v>33856</c:v>
                </c:pt>
                <c:pt idx="775">
                  <c:v>33887</c:v>
                </c:pt>
                <c:pt idx="776">
                  <c:v>33918</c:v>
                </c:pt>
                <c:pt idx="777">
                  <c:v>33949</c:v>
                </c:pt>
                <c:pt idx="778">
                  <c:v>33980</c:v>
                </c:pt>
                <c:pt idx="779">
                  <c:v>34011</c:v>
                </c:pt>
                <c:pt idx="780">
                  <c:v>34042</c:v>
                </c:pt>
                <c:pt idx="781">
                  <c:v>34073</c:v>
                </c:pt>
                <c:pt idx="782">
                  <c:v>34104</c:v>
                </c:pt>
                <c:pt idx="783">
                  <c:v>34135</c:v>
                </c:pt>
                <c:pt idx="784">
                  <c:v>34166</c:v>
                </c:pt>
                <c:pt idx="785">
                  <c:v>34197</c:v>
                </c:pt>
                <c:pt idx="786">
                  <c:v>34228</c:v>
                </c:pt>
                <c:pt idx="787">
                  <c:v>34259</c:v>
                </c:pt>
                <c:pt idx="788">
                  <c:v>34290</c:v>
                </c:pt>
                <c:pt idx="789">
                  <c:v>34321</c:v>
                </c:pt>
                <c:pt idx="790">
                  <c:v>34352</c:v>
                </c:pt>
                <c:pt idx="791">
                  <c:v>34383</c:v>
                </c:pt>
                <c:pt idx="792">
                  <c:v>34414</c:v>
                </c:pt>
                <c:pt idx="793">
                  <c:v>34445</c:v>
                </c:pt>
                <c:pt idx="794">
                  <c:v>34476</c:v>
                </c:pt>
                <c:pt idx="795">
                  <c:v>34507</c:v>
                </c:pt>
                <c:pt idx="796">
                  <c:v>34538</c:v>
                </c:pt>
                <c:pt idx="797">
                  <c:v>34569</c:v>
                </c:pt>
                <c:pt idx="798">
                  <c:v>34600</c:v>
                </c:pt>
                <c:pt idx="799">
                  <c:v>34631</c:v>
                </c:pt>
                <c:pt idx="800">
                  <c:v>34662</c:v>
                </c:pt>
                <c:pt idx="801">
                  <c:v>34693</c:v>
                </c:pt>
                <c:pt idx="802">
                  <c:v>34724</c:v>
                </c:pt>
                <c:pt idx="803">
                  <c:v>34755</c:v>
                </c:pt>
                <c:pt idx="804">
                  <c:v>34786</c:v>
                </c:pt>
                <c:pt idx="805">
                  <c:v>34817</c:v>
                </c:pt>
                <c:pt idx="806">
                  <c:v>34848</c:v>
                </c:pt>
                <c:pt idx="807">
                  <c:v>34879</c:v>
                </c:pt>
                <c:pt idx="808">
                  <c:v>34910</c:v>
                </c:pt>
                <c:pt idx="809">
                  <c:v>34941</c:v>
                </c:pt>
                <c:pt idx="810">
                  <c:v>34972</c:v>
                </c:pt>
                <c:pt idx="811">
                  <c:v>35003</c:v>
                </c:pt>
                <c:pt idx="812">
                  <c:v>35034</c:v>
                </c:pt>
                <c:pt idx="813">
                  <c:v>35065</c:v>
                </c:pt>
                <c:pt idx="814">
                  <c:v>35096</c:v>
                </c:pt>
                <c:pt idx="815">
                  <c:v>35127</c:v>
                </c:pt>
                <c:pt idx="816">
                  <c:v>35158</c:v>
                </c:pt>
                <c:pt idx="817">
                  <c:v>35189</c:v>
                </c:pt>
                <c:pt idx="818">
                  <c:v>35220</c:v>
                </c:pt>
                <c:pt idx="819">
                  <c:v>35251</c:v>
                </c:pt>
                <c:pt idx="820">
                  <c:v>35282</c:v>
                </c:pt>
                <c:pt idx="821">
                  <c:v>35313</c:v>
                </c:pt>
                <c:pt idx="822">
                  <c:v>35344</c:v>
                </c:pt>
                <c:pt idx="823">
                  <c:v>35375</c:v>
                </c:pt>
                <c:pt idx="824">
                  <c:v>35406</c:v>
                </c:pt>
                <c:pt idx="825">
                  <c:v>35437</c:v>
                </c:pt>
                <c:pt idx="826">
                  <c:v>35468</c:v>
                </c:pt>
                <c:pt idx="827">
                  <c:v>35499</c:v>
                </c:pt>
                <c:pt idx="828">
                  <c:v>35530</c:v>
                </c:pt>
                <c:pt idx="829">
                  <c:v>35561</c:v>
                </c:pt>
                <c:pt idx="830">
                  <c:v>35592</c:v>
                </c:pt>
                <c:pt idx="831">
                  <c:v>35623</c:v>
                </c:pt>
                <c:pt idx="832">
                  <c:v>35654</c:v>
                </c:pt>
                <c:pt idx="833">
                  <c:v>35685</c:v>
                </c:pt>
                <c:pt idx="834">
                  <c:v>35716</c:v>
                </c:pt>
                <c:pt idx="835">
                  <c:v>35747</c:v>
                </c:pt>
                <c:pt idx="836">
                  <c:v>35778</c:v>
                </c:pt>
                <c:pt idx="837">
                  <c:v>35809</c:v>
                </c:pt>
                <c:pt idx="838">
                  <c:v>35840</c:v>
                </c:pt>
                <c:pt idx="839">
                  <c:v>35871</c:v>
                </c:pt>
                <c:pt idx="840">
                  <c:v>35902</c:v>
                </c:pt>
                <c:pt idx="841">
                  <c:v>35933</c:v>
                </c:pt>
                <c:pt idx="842">
                  <c:v>35964</c:v>
                </c:pt>
                <c:pt idx="843">
                  <c:v>35995</c:v>
                </c:pt>
                <c:pt idx="844">
                  <c:v>36026</c:v>
                </c:pt>
                <c:pt idx="845">
                  <c:v>36057</c:v>
                </c:pt>
                <c:pt idx="846">
                  <c:v>36088</c:v>
                </c:pt>
                <c:pt idx="847">
                  <c:v>36119</c:v>
                </c:pt>
                <c:pt idx="848">
                  <c:v>36150</c:v>
                </c:pt>
                <c:pt idx="849">
                  <c:v>36181</c:v>
                </c:pt>
                <c:pt idx="850">
                  <c:v>36212</c:v>
                </c:pt>
                <c:pt idx="851">
                  <c:v>36243</c:v>
                </c:pt>
                <c:pt idx="852">
                  <c:v>36274</c:v>
                </c:pt>
                <c:pt idx="853">
                  <c:v>36305</c:v>
                </c:pt>
                <c:pt idx="854">
                  <c:v>36336</c:v>
                </c:pt>
                <c:pt idx="855">
                  <c:v>36367</c:v>
                </c:pt>
                <c:pt idx="856">
                  <c:v>36398</c:v>
                </c:pt>
                <c:pt idx="857">
                  <c:v>36429</c:v>
                </c:pt>
                <c:pt idx="858">
                  <c:v>36460</c:v>
                </c:pt>
                <c:pt idx="859">
                  <c:v>36491</c:v>
                </c:pt>
                <c:pt idx="860">
                  <c:v>36522</c:v>
                </c:pt>
                <c:pt idx="861">
                  <c:v>36553</c:v>
                </c:pt>
                <c:pt idx="862">
                  <c:v>36584</c:v>
                </c:pt>
                <c:pt idx="863">
                  <c:v>36615</c:v>
                </c:pt>
                <c:pt idx="864">
                  <c:v>36646</c:v>
                </c:pt>
                <c:pt idx="865">
                  <c:v>36677</c:v>
                </c:pt>
                <c:pt idx="866">
                  <c:v>36708</c:v>
                </c:pt>
                <c:pt idx="867">
                  <c:v>36739</c:v>
                </c:pt>
                <c:pt idx="868">
                  <c:v>36770</c:v>
                </c:pt>
                <c:pt idx="869">
                  <c:v>36801</c:v>
                </c:pt>
                <c:pt idx="870">
                  <c:v>36832</c:v>
                </c:pt>
                <c:pt idx="871">
                  <c:v>36863</c:v>
                </c:pt>
                <c:pt idx="872">
                  <c:v>36894</c:v>
                </c:pt>
                <c:pt idx="873">
                  <c:v>36925</c:v>
                </c:pt>
                <c:pt idx="874">
                  <c:v>36956</c:v>
                </c:pt>
                <c:pt idx="875">
                  <c:v>36987</c:v>
                </c:pt>
                <c:pt idx="876">
                  <c:v>37018</c:v>
                </c:pt>
                <c:pt idx="877">
                  <c:v>37049</c:v>
                </c:pt>
                <c:pt idx="878">
                  <c:v>37080</c:v>
                </c:pt>
                <c:pt idx="879">
                  <c:v>37111</c:v>
                </c:pt>
                <c:pt idx="880">
                  <c:v>37142</c:v>
                </c:pt>
                <c:pt idx="881">
                  <c:v>37173</c:v>
                </c:pt>
                <c:pt idx="882">
                  <c:v>37204</c:v>
                </c:pt>
                <c:pt idx="883">
                  <c:v>37235</c:v>
                </c:pt>
                <c:pt idx="884">
                  <c:v>37266</c:v>
                </c:pt>
                <c:pt idx="885">
                  <c:v>37297</c:v>
                </c:pt>
                <c:pt idx="886">
                  <c:v>37328</c:v>
                </c:pt>
                <c:pt idx="887">
                  <c:v>37359</c:v>
                </c:pt>
                <c:pt idx="888">
                  <c:v>37390</c:v>
                </c:pt>
                <c:pt idx="889">
                  <c:v>37421</c:v>
                </c:pt>
                <c:pt idx="890">
                  <c:v>37452</c:v>
                </c:pt>
                <c:pt idx="891">
                  <c:v>37483</c:v>
                </c:pt>
                <c:pt idx="892">
                  <c:v>37514</c:v>
                </c:pt>
                <c:pt idx="893">
                  <c:v>37545</c:v>
                </c:pt>
                <c:pt idx="894">
                  <c:v>37576</c:v>
                </c:pt>
                <c:pt idx="895">
                  <c:v>37607</c:v>
                </c:pt>
                <c:pt idx="896">
                  <c:v>37638</c:v>
                </c:pt>
                <c:pt idx="897">
                  <c:v>37669</c:v>
                </c:pt>
                <c:pt idx="898">
                  <c:v>37700</c:v>
                </c:pt>
                <c:pt idx="899">
                  <c:v>37731</c:v>
                </c:pt>
                <c:pt idx="900">
                  <c:v>37762</c:v>
                </c:pt>
                <c:pt idx="901">
                  <c:v>37793</c:v>
                </c:pt>
                <c:pt idx="902">
                  <c:v>37824</c:v>
                </c:pt>
                <c:pt idx="903">
                  <c:v>37855</c:v>
                </c:pt>
                <c:pt idx="904">
                  <c:v>37886</c:v>
                </c:pt>
                <c:pt idx="905">
                  <c:v>37917</c:v>
                </c:pt>
                <c:pt idx="906">
                  <c:v>37948</c:v>
                </c:pt>
                <c:pt idx="907">
                  <c:v>37979</c:v>
                </c:pt>
                <c:pt idx="908">
                  <c:v>38010</c:v>
                </c:pt>
                <c:pt idx="909">
                  <c:v>38041</c:v>
                </c:pt>
                <c:pt idx="910">
                  <c:v>38072</c:v>
                </c:pt>
                <c:pt idx="911">
                  <c:v>38103</c:v>
                </c:pt>
                <c:pt idx="912">
                  <c:v>38134</c:v>
                </c:pt>
                <c:pt idx="913">
                  <c:v>38165</c:v>
                </c:pt>
                <c:pt idx="914">
                  <c:v>38196</c:v>
                </c:pt>
                <c:pt idx="915">
                  <c:v>38227</c:v>
                </c:pt>
                <c:pt idx="916">
                  <c:v>38258</c:v>
                </c:pt>
                <c:pt idx="917">
                  <c:v>38289</c:v>
                </c:pt>
                <c:pt idx="918">
                  <c:v>38320</c:v>
                </c:pt>
                <c:pt idx="919">
                  <c:v>38351</c:v>
                </c:pt>
                <c:pt idx="920">
                  <c:v>38382</c:v>
                </c:pt>
                <c:pt idx="921">
                  <c:v>38413</c:v>
                </c:pt>
                <c:pt idx="922">
                  <c:v>38444</c:v>
                </c:pt>
                <c:pt idx="923">
                  <c:v>38475</c:v>
                </c:pt>
                <c:pt idx="924">
                  <c:v>38506</c:v>
                </c:pt>
                <c:pt idx="925">
                  <c:v>38537</c:v>
                </c:pt>
                <c:pt idx="926">
                  <c:v>38568</c:v>
                </c:pt>
                <c:pt idx="927">
                  <c:v>38599</c:v>
                </c:pt>
                <c:pt idx="928">
                  <c:v>38630</c:v>
                </c:pt>
                <c:pt idx="929">
                  <c:v>38661</c:v>
                </c:pt>
                <c:pt idx="930">
                  <c:v>38692</c:v>
                </c:pt>
                <c:pt idx="931">
                  <c:v>38723</c:v>
                </c:pt>
                <c:pt idx="932">
                  <c:v>38754</c:v>
                </c:pt>
                <c:pt idx="933">
                  <c:v>38785</c:v>
                </c:pt>
                <c:pt idx="934">
                  <c:v>38816</c:v>
                </c:pt>
                <c:pt idx="935">
                  <c:v>38847</c:v>
                </c:pt>
                <c:pt idx="936">
                  <c:v>38878</c:v>
                </c:pt>
                <c:pt idx="937">
                  <c:v>38909</c:v>
                </c:pt>
                <c:pt idx="938">
                  <c:v>38940</c:v>
                </c:pt>
                <c:pt idx="939">
                  <c:v>38971</c:v>
                </c:pt>
                <c:pt idx="940">
                  <c:v>39002</c:v>
                </c:pt>
                <c:pt idx="941">
                  <c:v>39033</c:v>
                </c:pt>
                <c:pt idx="942">
                  <c:v>39064</c:v>
                </c:pt>
                <c:pt idx="943">
                  <c:v>39095</c:v>
                </c:pt>
                <c:pt idx="944">
                  <c:v>39126</c:v>
                </c:pt>
                <c:pt idx="945">
                  <c:v>39157</c:v>
                </c:pt>
                <c:pt idx="946">
                  <c:v>39188</c:v>
                </c:pt>
                <c:pt idx="947">
                  <c:v>39219</c:v>
                </c:pt>
                <c:pt idx="948">
                  <c:v>39250</c:v>
                </c:pt>
                <c:pt idx="949">
                  <c:v>39281</c:v>
                </c:pt>
                <c:pt idx="950">
                  <c:v>39312</c:v>
                </c:pt>
                <c:pt idx="951">
                  <c:v>39343</c:v>
                </c:pt>
                <c:pt idx="952">
                  <c:v>39374</c:v>
                </c:pt>
                <c:pt idx="953">
                  <c:v>39405</c:v>
                </c:pt>
                <c:pt idx="954">
                  <c:v>39436</c:v>
                </c:pt>
                <c:pt idx="955">
                  <c:v>39467</c:v>
                </c:pt>
                <c:pt idx="956">
                  <c:v>39498</c:v>
                </c:pt>
                <c:pt idx="957">
                  <c:v>39529</c:v>
                </c:pt>
                <c:pt idx="958">
                  <c:v>39560</c:v>
                </c:pt>
                <c:pt idx="959">
                  <c:v>39591</c:v>
                </c:pt>
                <c:pt idx="960">
                  <c:v>39622</c:v>
                </c:pt>
                <c:pt idx="961">
                  <c:v>39653</c:v>
                </c:pt>
                <c:pt idx="962">
                  <c:v>39684</c:v>
                </c:pt>
                <c:pt idx="963">
                  <c:v>39715</c:v>
                </c:pt>
                <c:pt idx="964">
                  <c:v>39746</c:v>
                </c:pt>
                <c:pt idx="965">
                  <c:v>39777</c:v>
                </c:pt>
                <c:pt idx="966">
                  <c:v>39808</c:v>
                </c:pt>
                <c:pt idx="967">
                  <c:v>39839</c:v>
                </c:pt>
                <c:pt idx="968">
                  <c:v>39870</c:v>
                </c:pt>
                <c:pt idx="969">
                  <c:v>39901</c:v>
                </c:pt>
                <c:pt idx="970">
                  <c:v>39932</c:v>
                </c:pt>
                <c:pt idx="971">
                  <c:v>39963</c:v>
                </c:pt>
                <c:pt idx="972">
                  <c:v>39994</c:v>
                </c:pt>
                <c:pt idx="973">
                  <c:v>40025</c:v>
                </c:pt>
                <c:pt idx="974">
                  <c:v>40056</c:v>
                </c:pt>
                <c:pt idx="975">
                  <c:v>40087</c:v>
                </c:pt>
                <c:pt idx="976">
                  <c:v>40118</c:v>
                </c:pt>
                <c:pt idx="977">
                  <c:v>40149</c:v>
                </c:pt>
                <c:pt idx="978">
                  <c:v>40180</c:v>
                </c:pt>
                <c:pt idx="979">
                  <c:v>40211</c:v>
                </c:pt>
                <c:pt idx="980">
                  <c:v>40242</c:v>
                </c:pt>
                <c:pt idx="981">
                  <c:v>40273</c:v>
                </c:pt>
                <c:pt idx="982">
                  <c:v>40304</c:v>
                </c:pt>
                <c:pt idx="983">
                  <c:v>40335</c:v>
                </c:pt>
                <c:pt idx="984">
                  <c:v>40366</c:v>
                </c:pt>
                <c:pt idx="985">
                  <c:v>40397</c:v>
                </c:pt>
                <c:pt idx="986">
                  <c:v>40428</c:v>
                </c:pt>
                <c:pt idx="987">
                  <c:v>40459</c:v>
                </c:pt>
                <c:pt idx="988">
                  <c:v>40490</c:v>
                </c:pt>
                <c:pt idx="989">
                  <c:v>40521</c:v>
                </c:pt>
                <c:pt idx="990">
                  <c:v>40552</c:v>
                </c:pt>
                <c:pt idx="991">
                  <c:v>40583</c:v>
                </c:pt>
                <c:pt idx="992">
                  <c:v>40614</c:v>
                </c:pt>
                <c:pt idx="993">
                  <c:v>40645</c:v>
                </c:pt>
                <c:pt idx="994">
                  <c:v>40676</c:v>
                </c:pt>
                <c:pt idx="995">
                  <c:v>40707</c:v>
                </c:pt>
                <c:pt idx="996">
                  <c:v>40738</c:v>
                </c:pt>
                <c:pt idx="997">
                  <c:v>40769</c:v>
                </c:pt>
                <c:pt idx="998">
                  <c:v>40800</c:v>
                </c:pt>
                <c:pt idx="999">
                  <c:v>40831</c:v>
                </c:pt>
                <c:pt idx="1000">
                  <c:v>40862</c:v>
                </c:pt>
                <c:pt idx="1001">
                  <c:v>40893</c:v>
                </c:pt>
                <c:pt idx="1002">
                  <c:v>40924</c:v>
                </c:pt>
                <c:pt idx="1003">
                  <c:v>40955</c:v>
                </c:pt>
                <c:pt idx="1004">
                  <c:v>40986</c:v>
                </c:pt>
                <c:pt idx="1005">
                  <c:v>41017</c:v>
                </c:pt>
                <c:pt idx="1006">
                  <c:v>41048</c:v>
                </c:pt>
                <c:pt idx="1007">
                  <c:v>41079</c:v>
                </c:pt>
                <c:pt idx="1008">
                  <c:v>41110</c:v>
                </c:pt>
                <c:pt idx="1009">
                  <c:v>41141</c:v>
                </c:pt>
                <c:pt idx="1010">
                  <c:v>41172</c:v>
                </c:pt>
                <c:pt idx="1011">
                  <c:v>41203</c:v>
                </c:pt>
                <c:pt idx="1012">
                  <c:v>41234</c:v>
                </c:pt>
                <c:pt idx="1013">
                  <c:v>41265</c:v>
                </c:pt>
                <c:pt idx="1014">
                  <c:v>41296</c:v>
                </c:pt>
                <c:pt idx="1015">
                  <c:v>41327</c:v>
                </c:pt>
                <c:pt idx="1016">
                  <c:v>41358</c:v>
                </c:pt>
                <c:pt idx="1017">
                  <c:v>41389</c:v>
                </c:pt>
                <c:pt idx="1018">
                  <c:v>41420</c:v>
                </c:pt>
                <c:pt idx="1019">
                  <c:v>41451</c:v>
                </c:pt>
                <c:pt idx="1020">
                  <c:v>41482</c:v>
                </c:pt>
                <c:pt idx="1021">
                  <c:v>41513</c:v>
                </c:pt>
                <c:pt idx="1022">
                  <c:v>41544</c:v>
                </c:pt>
                <c:pt idx="1023">
                  <c:v>41575</c:v>
                </c:pt>
                <c:pt idx="1024">
                  <c:v>41606</c:v>
                </c:pt>
                <c:pt idx="1025">
                  <c:v>41637</c:v>
                </c:pt>
                <c:pt idx="1026">
                  <c:v>41668</c:v>
                </c:pt>
                <c:pt idx="1027">
                  <c:v>41699</c:v>
                </c:pt>
                <c:pt idx="1028">
                  <c:v>41730</c:v>
                </c:pt>
                <c:pt idx="1029">
                  <c:v>41761</c:v>
                </c:pt>
                <c:pt idx="1030">
                  <c:v>41792</c:v>
                </c:pt>
                <c:pt idx="1031">
                  <c:v>41823</c:v>
                </c:pt>
                <c:pt idx="1032">
                  <c:v>41854</c:v>
                </c:pt>
                <c:pt idx="1033">
                  <c:v>41885</c:v>
                </c:pt>
                <c:pt idx="1034">
                  <c:v>41916</c:v>
                </c:pt>
                <c:pt idx="1035">
                  <c:v>41947</c:v>
                </c:pt>
                <c:pt idx="1036">
                  <c:v>41978</c:v>
                </c:pt>
                <c:pt idx="1037">
                  <c:v>42009</c:v>
                </c:pt>
                <c:pt idx="1038">
                  <c:v>42040</c:v>
                </c:pt>
                <c:pt idx="1039">
                  <c:v>42071</c:v>
                </c:pt>
                <c:pt idx="1040">
                  <c:v>42102</c:v>
                </c:pt>
                <c:pt idx="1041">
                  <c:v>42133</c:v>
                </c:pt>
                <c:pt idx="1042">
                  <c:v>42164</c:v>
                </c:pt>
                <c:pt idx="1043">
                  <c:v>42195</c:v>
                </c:pt>
                <c:pt idx="1044">
                  <c:v>42226</c:v>
                </c:pt>
                <c:pt idx="1045">
                  <c:v>42257</c:v>
                </c:pt>
                <c:pt idx="1046">
                  <c:v>42288</c:v>
                </c:pt>
                <c:pt idx="1047">
                  <c:v>42319</c:v>
                </c:pt>
                <c:pt idx="1048">
                  <c:v>42350</c:v>
                </c:pt>
                <c:pt idx="1049">
                  <c:v>42381</c:v>
                </c:pt>
                <c:pt idx="1050">
                  <c:v>42412</c:v>
                </c:pt>
                <c:pt idx="1051">
                  <c:v>42443</c:v>
                </c:pt>
                <c:pt idx="1052">
                  <c:v>42474</c:v>
                </c:pt>
                <c:pt idx="1053">
                  <c:v>42505</c:v>
                </c:pt>
                <c:pt idx="1054">
                  <c:v>42536</c:v>
                </c:pt>
                <c:pt idx="1055">
                  <c:v>42567</c:v>
                </c:pt>
                <c:pt idx="1056">
                  <c:v>42598</c:v>
                </c:pt>
                <c:pt idx="1057">
                  <c:v>42629</c:v>
                </c:pt>
                <c:pt idx="1058">
                  <c:v>42660</c:v>
                </c:pt>
                <c:pt idx="1059">
                  <c:v>42691</c:v>
                </c:pt>
                <c:pt idx="1060">
                  <c:v>42722</c:v>
                </c:pt>
                <c:pt idx="1061">
                  <c:v>42753</c:v>
                </c:pt>
                <c:pt idx="1062">
                  <c:v>42784</c:v>
                </c:pt>
                <c:pt idx="1063">
                  <c:v>42815</c:v>
                </c:pt>
                <c:pt idx="1064">
                  <c:v>42846</c:v>
                </c:pt>
                <c:pt idx="1065">
                  <c:v>42877</c:v>
                </c:pt>
                <c:pt idx="1066">
                  <c:v>42908</c:v>
                </c:pt>
                <c:pt idx="1067">
                  <c:v>42939</c:v>
                </c:pt>
                <c:pt idx="1068">
                  <c:v>42970</c:v>
                </c:pt>
                <c:pt idx="1069">
                  <c:v>43001</c:v>
                </c:pt>
                <c:pt idx="1070">
                  <c:v>43032</c:v>
                </c:pt>
                <c:pt idx="1071">
                  <c:v>43063</c:v>
                </c:pt>
                <c:pt idx="1072">
                  <c:v>43094</c:v>
                </c:pt>
                <c:pt idx="1073">
                  <c:v>43125</c:v>
                </c:pt>
                <c:pt idx="1074">
                  <c:v>43156</c:v>
                </c:pt>
                <c:pt idx="1075">
                  <c:v>43187</c:v>
                </c:pt>
                <c:pt idx="1076">
                  <c:v>43218</c:v>
                </c:pt>
                <c:pt idx="1077">
                  <c:v>43249</c:v>
                </c:pt>
                <c:pt idx="1078">
                  <c:v>43280</c:v>
                </c:pt>
                <c:pt idx="1079">
                  <c:v>43311</c:v>
                </c:pt>
                <c:pt idx="1080">
                  <c:v>43342</c:v>
                </c:pt>
                <c:pt idx="1081">
                  <c:v>43373</c:v>
                </c:pt>
                <c:pt idx="1082">
                  <c:v>43404</c:v>
                </c:pt>
                <c:pt idx="1083">
                  <c:v>43435</c:v>
                </c:pt>
                <c:pt idx="1084">
                  <c:v>43466</c:v>
                </c:pt>
                <c:pt idx="1085">
                  <c:v>43497</c:v>
                </c:pt>
                <c:pt idx="1086">
                  <c:v>43528</c:v>
                </c:pt>
                <c:pt idx="1087">
                  <c:v>43559</c:v>
                </c:pt>
                <c:pt idx="1088">
                  <c:v>43590</c:v>
                </c:pt>
                <c:pt idx="1089">
                  <c:v>43621</c:v>
                </c:pt>
                <c:pt idx="1090">
                  <c:v>43652</c:v>
                </c:pt>
                <c:pt idx="1091">
                  <c:v>43683</c:v>
                </c:pt>
                <c:pt idx="1092">
                  <c:v>43714</c:v>
                </c:pt>
                <c:pt idx="1093">
                  <c:v>43745</c:v>
                </c:pt>
                <c:pt idx="1094">
                  <c:v>43776</c:v>
                </c:pt>
                <c:pt idx="1095">
                  <c:v>43807</c:v>
                </c:pt>
                <c:pt idx="1096">
                  <c:v>43838</c:v>
                </c:pt>
                <c:pt idx="1097">
                  <c:v>43869</c:v>
                </c:pt>
                <c:pt idx="1098">
                  <c:v>43900</c:v>
                </c:pt>
                <c:pt idx="1099">
                  <c:v>43931</c:v>
                </c:pt>
                <c:pt idx="1100">
                  <c:v>43962</c:v>
                </c:pt>
                <c:pt idx="1101">
                  <c:v>43993</c:v>
                </c:pt>
                <c:pt idx="1102">
                  <c:v>44024</c:v>
                </c:pt>
                <c:pt idx="1103">
                  <c:v>44055</c:v>
                </c:pt>
                <c:pt idx="1104">
                  <c:v>44086</c:v>
                </c:pt>
                <c:pt idx="1105">
                  <c:v>44117</c:v>
                </c:pt>
                <c:pt idx="1106">
                  <c:v>44148</c:v>
                </c:pt>
                <c:pt idx="1107">
                  <c:v>44179</c:v>
                </c:pt>
                <c:pt idx="1108">
                  <c:v>44210</c:v>
                </c:pt>
                <c:pt idx="1109">
                  <c:v>44241</c:v>
                </c:pt>
                <c:pt idx="1110">
                  <c:v>44272</c:v>
                </c:pt>
                <c:pt idx="1111">
                  <c:v>44303</c:v>
                </c:pt>
                <c:pt idx="1112">
                  <c:v>44334</c:v>
                </c:pt>
                <c:pt idx="1113">
                  <c:v>44365</c:v>
                </c:pt>
                <c:pt idx="1114">
                  <c:v>44396</c:v>
                </c:pt>
                <c:pt idx="1115">
                  <c:v>44427</c:v>
                </c:pt>
                <c:pt idx="1116">
                  <c:v>44458</c:v>
                </c:pt>
                <c:pt idx="1117">
                  <c:v>44489</c:v>
                </c:pt>
                <c:pt idx="1118">
                  <c:v>44520</c:v>
                </c:pt>
                <c:pt idx="1119">
                  <c:v>44551</c:v>
                </c:pt>
                <c:pt idx="1120">
                  <c:v>44582</c:v>
                </c:pt>
                <c:pt idx="1121">
                  <c:v>44613</c:v>
                </c:pt>
                <c:pt idx="1122">
                  <c:v>44644</c:v>
                </c:pt>
                <c:pt idx="1123">
                  <c:v>44675</c:v>
                </c:pt>
                <c:pt idx="1124">
                  <c:v>44706</c:v>
                </c:pt>
                <c:pt idx="1125">
                  <c:v>44737</c:v>
                </c:pt>
                <c:pt idx="1126">
                  <c:v>44768</c:v>
                </c:pt>
                <c:pt idx="1127">
                  <c:v>44799</c:v>
                </c:pt>
                <c:pt idx="1128">
                  <c:v>44830</c:v>
                </c:pt>
              </c:numCache>
            </c:numRef>
          </c:xVal>
          <c:yVal>
            <c:numRef>
              <c:f>'HistoricalWorldStocks_SMA-CHF'!$AM$38:$AM$1166</c:f>
              <c:numCache>
                <c:formatCode>_(* #,##0.00_);_(* \(#,##0.00\);_(* "-"??_);_(@_)</c:formatCode>
                <c:ptCount val="1129"/>
                <c:pt idx="0">
                  <c:v>1</c:v>
                </c:pt>
                <c:pt idx="1">
                  <c:v>1.0404990651081771</c:v>
                </c:pt>
                <c:pt idx="2">
                  <c:v>1.0733660437813173</c:v>
                </c:pt>
                <c:pt idx="3">
                  <c:v>1.0833235813143014</c:v>
                </c:pt>
                <c:pt idx="4">
                  <c:v>1.1284218713672816</c:v>
                </c:pt>
                <c:pt idx="5">
                  <c:v>1.1287641760613618</c:v>
                </c:pt>
                <c:pt idx="6">
                  <c:v>1.1182538149537877</c:v>
                </c:pt>
                <c:pt idx="7">
                  <c:v>1.1270736687646672</c:v>
                </c:pt>
                <c:pt idx="8">
                  <c:v>1.1502338415197761</c:v>
                </c:pt>
                <c:pt idx="9">
                  <c:v>1.1818842487817984</c:v>
                </c:pt>
                <c:pt idx="10">
                  <c:v>1.1833969428807218</c:v>
                </c:pt>
                <c:pt idx="11">
                  <c:v>1.165576012608071</c:v>
                </c:pt>
                <c:pt idx="12">
                  <c:v>1.2111093835182873</c:v>
                </c:pt>
                <c:pt idx="13">
                  <c:v>1.2511628341866239</c:v>
                </c:pt>
                <c:pt idx="14">
                  <c:v>1.2293130918750088</c:v>
                </c:pt>
                <c:pt idx="15">
                  <c:v>1.3222629209392225</c:v>
                </c:pt>
                <c:pt idx="16">
                  <c:v>1.3796641535174587</c:v>
                </c:pt>
                <c:pt idx="17">
                  <c:v>1.4146125585347022</c:v>
                </c:pt>
                <c:pt idx="18">
                  <c:v>1.3699009459433629</c:v>
                </c:pt>
                <c:pt idx="19">
                  <c:v>1.3607907199065556</c:v>
                </c:pt>
                <c:pt idx="20">
                  <c:v>1.441391849147688</c:v>
                </c:pt>
                <c:pt idx="21">
                  <c:v>1.4867768782084962</c:v>
                </c:pt>
                <c:pt idx="22">
                  <c:v>1.4827998788644914</c:v>
                </c:pt>
                <c:pt idx="23">
                  <c:v>1.5865543382311782</c:v>
                </c:pt>
                <c:pt idx="24">
                  <c:v>1.5913301580075905</c:v>
                </c:pt>
                <c:pt idx="25">
                  <c:v>1.6881627633957401</c:v>
                </c:pt>
                <c:pt idx="26">
                  <c:v>1.6842069684281062</c:v>
                </c:pt>
                <c:pt idx="27">
                  <c:v>1.6739476440437084</c:v>
                </c:pt>
                <c:pt idx="28">
                  <c:v>1.6803783260578351</c:v>
                </c:pt>
                <c:pt idx="29">
                  <c:v>1.6324169383593312</c:v>
                </c:pt>
                <c:pt idx="30">
                  <c:v>1.7346052769518649</c:v>
                </c:pt>
                <c:pt idx="31">
                  <c:v>1.8151673785225917</c:v>
                </c:pt>
                <c:pt idx="32">
                  <c:v>1.9186133407127892</c:v>
                </c:pt>
                <c:pt idx="33">
                  <c:v>1.8601375625307572</c:v>
                </c:pt>
                <c:pt idx="34">
                  <c:v>1.6055991711022419</c:v>
                </c:pt>
                <c:pt idx="35">
                  <c:v>1.457169958678624</c:v>
                </c:pt>
                <c:pt idx="36">
                  <c:v>1.4639214122992537</c:v>
                </c:pt>
                <c:pt idx="37">
                  <c:v>1.5426886334091734</c:v>
                </c:pt>
                <c:pt idx="38">
                  <c:v>1.5611812884197735</c:v>
                </c:pt>
                <c:pt idx="39">
                  <c:v>1.617711334496037</c:v>
                </c:pt>
                <c:pt idx="40">
                  <c:v>1.6438975159178719</c:v>
                </c:pt>
                <c:pt idx="41">
                  <c:v>1.6084545588744004</c:v>
                </c:pt>
                <c:pt idx="42">
                  <c:v>1.413503858979934</c:v>
                </c:pt>
                <c:pt idx="43">
                  <c:v>1.4148735905237961</c:v>
                </c:pt>
                <c:pt idx="44">
                  <c:v>1.386857672229554</c:v>
                </c:pt>
                <c:pt idx="45">
                  <c:v>1.2953335911733794</c:v>
                </c:pt>
                <c:pt idx="46">
                  <c:v>1.2096888790437146</c:v>
                </c:pt>
                <c:pt idx="47">
                  <c:v>1.1790878158736371</c:v>
                </c:pt>
                <c:pt idx="48">
                  <c:v>1.0936893665219494</c:v>
                </c:pt>
                <c:pt idx="49">
                  <c:v>1.1155193374081274</c:v>
                </c:pt>
                <c:pt idx="50">
                  <c:v>1.1943730619044908</c:v>
                </c:pt>
                <c:pt idx="51">
                  <c:v>1.164820312272953</c:v>
                </c:pt>
                <c:pt idx="52">
                  <c:v>1.1033351096927815</c:v>
                </c:pt>
                <c:pt idx="53">
                  <c:v>0.97684893822751373</c:v>
                </c:pt>
                <c:pt idx="54">
                  <c:v>1.026552793287512</c:v>
                </c:pt>
                <c:pt idx="55">
                  <c:v>0.97978503770773306</c:v>
                </c:pt>
                <c:pt idx="56">
                  <c:v>0.98109997903574975</c:v>
                </c:pt>
                <c:pt idx="57">
                  <c:v>0.75459427562954706</c:v>
                </c:pt>
                <c:pt idx="58">
                  <c:v>0.76895586261633297</c:v>
                </c:pt>
                <c:pt idx="59">
                  <c:v>0.72680156195920043</c:v>
                </c:pt>
                <c:pt idx="60">
                  <c:v>0.6430832475336048</c:v>
                </c:pt>
                <c:pt idx="61">
                  <c:v>0.65075479805260483</c:v>
                </c:pt>
                <c:pt idx="62">
                  <c:v>0.68819296777007433</c:v>
                </c:pt>
                <c:pt idx="63">
                  <c:v>0.64871058913624358</c:v>
                </c:pt>
                <c:pt idx="64">
                  <c:v>0.5719418250407029</c:v>
                </c:pt>
                <c:pt idx="65">
                  <c:v>0.49463198817579263</c:v>
                </c:pt>
                <c:pt idx="66">
                  <c:v>0.49040001058844829</c:v>
                </c:pt>
                <c:pt idx="67">
                  <c:v>0.568655988925024</c:v>
                </c:pt>
                <c:pt idx="68">
                  <c:v>0.67639814575829027</c:v>
                </c:pt>
                <c:pt idx="69">
                  <c:v>0.68792961977648648</c:v>
                </c:pt>
                <c:pt idx="70">
                  <c:v>0.62856981771148657</c:v>
                </c:pt>
                <c:pt idx="71">
                  <c:v>0.61597488371785558</c:v>
                </c:pt>
                <c:pt idx="72">
                  <c:v>0.64536743149374753</c:v>
                </c:pt>
                <c:pt idx="73">
                  <c:v>0.65035835616115689</c:v>
                </c:pt>
                <c:pt idx="74">
                  <c:v>0.58719981911324159</c:v>
                </c:pt>
                <c:pt idx="75">
                  <c:v>0.59815289565894847</c:v>
                </c:pt>
                <c:pt idx="76">
                  <c:v>0.69273674703291954</c:v>
                </c:pt>
                <c:pt idx="77">
                  <c:v>0.72139929541315839</c:v>
                </c:pt>
                <c:pt idx="78">
                  <c:v>0.76876730740074795</c:v>
                </c:pt>
                <c:pt idx="79">
                  <c:v>0.72105636045431032</c:v>
                </c:pt>
                <c:pt idx="80">
                  <c:v>0.76762616848943599</c:v>
                </c:pt>
                <c:pt idx="81">
                  <c:v>0.69448809530324573</c:v>
                </c:pt>
                <c:pt idx="82">
                  <c:v>0.66306395075041435</c:v>
                </c:pt>
                <c:pt idx="83">
                  <c:v>0.68030565839414281</c:v>
                </c:pt>
                <c:pt idx="84">
                  <c:v>0.6989792360850936</c:v>
                </c:pt>
                <c:pt idx="85">
                  <c:v>0.72860121501756314</c:v>
                </c:pt>
                <c:pt idx="86">
                  <c:v>0.70025163549929992</c:v>
                </c:pt>
                <c:pt idx="87">
                  <c:v>0.6990841549714063</c:v>
                </c:pt>
                <c:pt idx="88">
                  <c:v>0.69429081861351138</c:v>
                </c:pt>
                <c:pt idx="89">
                  <c:v>0.67743131130612011</c:v>
                </c:pt>
                <c:pt idx="90">
                  <c:v>0.68198596430994418</c:v>
                </c:pt>
                <c:pt idx="91">
                  <c:v>0.6538145325931396</c:v>
                </c:pt>
                <c:pt idx="92">
                  <c:v>0.66649711385500765</c:v>
                </c:pt>
                <c:pt idx="93">
                  <c:v>0.67936184902353669</c:v>
                </c:pt>
                <c:pt idx="94">
                  <c:v>0.67217860991898537</c:v>
                </c:pt>
                <c:pt idx="95">
                  <c:v>0.68919759353603371</c:v>
                </c:pt>
                <c:pt idx="96">
                  <c:v>0.69106135482755193</c:v>
                </c:pt>
                <c:pt idx="97">
                  <c:v>0.71723812453356695</c:v>
                </c:pt>
                <c:pt idx="98">
                  <c:v>0.72136879604324788</c:v>
                </c:pt>
                <c:pt idx="99">
                  <c:v>0.7062960319929823</c:v>
                </c:pt>
                <c:pt idx="100">
                  <c:v>0.74457720151011308</c:v>
                </c:pt>
                <c:pt idx="101">
                  <c:v>0.7778334755562486</c:v>
                </c:pt>
                <c:pt idx="102">
                  <c:v>0.78355373537656192</c:v>
                </c:pt>
                <c:pt idx="103">
                  <c:v>0.79854948711501927</c:v>
                </c:pt>
                <c:pt idx="104">
                  <c:v>0.80747941347901231</c:v>
                </c:pt>
                <c:pt idx="105">
                  <c:v>0.80284524577875505</c:v>
                </c:pt>
                <c:pt idx="106">
                  <c:v>0.81511145146815311</c:v>
                </c:pt>
                <c:pt idx="107">
                  <c:v>0.8387633387654051</c:v>
                </c:pt>
                <c:pt idx="108">
                  <c:v>0.86096141132448512</c:v>
                </c:pt>
                <c:pt idx="109">
                  <c:v>0.9023051560877392</c:v>
                </c:pt>
                <c:pt idx="110">
                  <c:v>0.92340098387830682</c:v>
                </c:pt>
                <c:pt idx="111">
                  <c:v>0.92065766560637685</c:v>
                </c:pt>
                <c:pt idx="112">
                  <c:v>0.89796773921092365</c:v>
                </c:pt>
                <c:pt idx="113">
                  <c:v>0.9155982652117941</c:v>
                </c:pt>
                <c:pt idx="114">
                  <c:v>0.92909833918568818</c:v>
                </c:pt>
                <c:pt idx="115">
                  <c:v>0.94937149129086595</c:v>
                </c:pt>
                <c:pt idx="116">
                  <c:v>0.96675593805270821</c:v>
                </c:pt>
                <c:pt idx="117">
                  <c:v>0.9809118327234766</c:v>
                </c:pt>
                <c:pt idx="118">
                  <c:v>1.4123110383055104</c:v>
                </c:pt>
                <c:pt idx="119">
                  <c:v>1.4313561305808526</c:v>
                </c:pt>
                <c:pt idx="120">
                  <c:v>1.4408087440795929</c:v>
                </c:pt>
                <c:pt idx="121">
                  <c:v>1.5035847342592379</c:v>
                </c:pt>
                <c:pt idx="122">
                  <c:v>1.4996301091116335</c:v>
                </c:pt>
                <c:pt idx="123">
                  <c:v>1.5115773744732617</c:v>
                </c:pt>
                <c:pt idx="124">
                  <c:v>1.4390883595068367</c:v>
                </c:pt>
                <c:pt idx="125">
                  <c:v>1.442622873371058</c:v>
                </c:pt>
                <c:pt idx="126">
                  <c:v>1.4088534254163292</c:v>
                </c:pt>
                <c:pt idx="127">
                  <c:v>1.4600176248432752</c:v>
                </c:pt>
                <c:pt idx="128">
                  <c:v>1.4355887618426713</c:v>
                </c:pt>
                <c:pt idx="129">
                  <c:v>1.3429455095334077</c:v>
                </c:pt>
                <c:pt idx="130">
                  <c:v>1.2660157045876723</c:v>
                </c:pt>
                <c:pt idx="131">
                  <c:v>1.1975053009039152</c:v>
                </c:pt>
                <c:pt idx="132">
                  <c:v>1.1657109124041298</c:v>
                </c:pt>
                <c:pt idx="133">
                  <c:v>1.1686045420902229</c:v>
                </c:pt>
                <c:pt idx="134">
                  <c:v>1.1823914167667615</c:v>
                </c:pt>
                <c:pt idx="135">
                  <c:v>1.0709111799821782</c:v>
                </c:pt>
                <c:pt idx="136">
                  <c:v>1.1272175131309785</c:v>
                </c:pt>
                <c:pt idx="137">
                  <c:v>1.1097756887805423</c:v>
                </c:pt>
                <c:pt idx="138">
                  <c:v>1.1662299437801538</c:v>
                </c:pt>
                <c:pt idx="139">
                  <c:v>1.198471003061591</c:v>
                </c:pt>
                <c:pt idx="140">
                  <c:v>1.1740681059969638</c:v>
                </c:pt>
                <c:pt idx="141">
                  <c:v>1.1716367896056874</c:v>
                </c:pt>
                <c:pt idx="142">
                  <c:v>1.2079012697127109</c:v>
                </c:pt>
                <c:pt idx="143">
                  <c:v>1.2042836419395635</c:v>
                </c:pt>
                <c:pt idx="144">
                  <c:v>1.2260164429962017</c:v>
                </c:pt>
                <c:pt idx="145">
                  <c:v>1.1675230954578946</c:v>
                </c:pt>
                <c:pt idx="146">
                  <c:v>1.1842267449132</c:v>
                </c:pt>
                <c:pt idx="147">
                  <c:v>1.1286127735862093</c:v>
                </c:pt>
                <c:pt idx="148">
                  <c:v>1.118597387336643</c:v>
                </c:pt>
                <c:pt idx="149">
                  <c:v>1.1463681917120516</c:v>
                </c:pt>
                <c:pt idx="150">
                  <c:v>1.1154172390731523</c:v>
                </c:pt>
                <c:pt idx="151">
                  <c:v>1.1563353667477065</c:v>
                </c:pt>
                <c:pt idx="152">
                  <c:v>1.1198011472709961</c:v>
                </c:pt>
                <c:pt idx="153">
                  <c:v>1.1532576750858765</c:v>
                </c:pt>
                <c:pt idx="154">
                  <c:v>1.1415803517565126</c:v>
                </c:pt>
                <c:pt idx="155">
                  <c:v>1.138438199944694</c:v>
                </c:pt>
                <c:pt idx="156">
                  <c:v>1.1688165193655999</c:v>
                </c:pt>
                <c:pt idx="157">
                  <c:v>1.1396508577549367</c:v>
                </c:pt>
                <c:pt idx="158">
                  <c:v>1.1604017216825688</c:v>
                </c:pt>
                <c:pt idx="159">
                  <c:v>1.181409749370945</c:v>
                </c:pt>
                <c:pt idx="160">
                  <c:v>1.1560659795492636</c:v>
                </c:pt>
                <c:pt idx="161">
                  <c:v>1.0067827874131781</c:v>
                </c:pt>
                <c:pt idx="162">
                  <c:v>1.0316363529321571</c:v>
                </c:pt>
                <c:pt idx="163">
                  <c:v>1.0219412399080392</c:v>
                </c:pt>
                <c:pt idx="164">
                  <c:v>1.0523331477497104</c:v>
                </c:pt>
                <c:pt idx="165">
                  <c:v>1.0709924747676751</c:v>
                </c:pt>
                <c:pt idx="166">
                  <c:v>1.0591885754988843</c:v>
                </c:pt>
                <c:pt idx="167">
                  <c:v>1.0460087292469491</c:v>
                </c:pt>
                <c:pt idx="168">
                  <c:v>1.0408326364381735</c:v>
                </c:pt>
                <c:pt idx="169">
                  <c:v>1.0157622811402991</c:v>
                </c:pt>
                <c:pt idx="170">
                  <c:v>1.0063895994455629</c:v>
                </c:pt>
                <c:pt idx="171">
                  <c:v>1.066916514228929</c:v>
                </c:pt>
                <c:pt idx="172">
                  <c:v>1.0752266010680844</c:v>
                </c:pt>
                <c:pt idx="173">
                  <c:v>1.084821941909214</c:v>
                </c:pt>
                <c:pt idx="174">
                  <c:v>1.1179227615498275</c:v>
                </c:pt>
                <c:pt idx="175">
                  <c:v>1.1411650170935748</c:v>
                </c:pt>
                <c:pt idx="176">
                  <c:v>1.1966816733814434</c:v>
                </c:pt>
                <c:pt idx="177">
                  <c:v>1.2253279523584304</c:v>
                </c:pt>
                <c:pt idx="178">
                  <c:v>1.1713682929525628</c:v>
                </c:pt>
                <c:pt idx="179">
                  <c:v>1.1679457673667248</c:v>
                </c:pt>
                <c:pt idx="180">
                  <c:v>1.1718523512622874</c:v>
                </c:pt>
                <c:pt idx="181">
                  <c:v>1.2050780743066878</c:v>
                </c:pt>
                <c:pt idx="182">
                  <c:v>1.2048037862578689</c:v>
                </c:pt>
                <c:pt idx="183">
                  <c:v>1.2080991639224046</c:v>
                </c:pt>
                <c:pt idx="184">
                  <c:v>1.2056331086105472</c:v>
                </c:pt>
                <c:pt idx="185">
                  <c:v>1.2409831196911931</c:v>
                </c:pt>
                <c:pt idx="186">
                  <c:v>1.2407788112379305</c:v>
                </c:pt>
                <c:pt idx="187">
                  <c:v>1.2498838946956827</c:v>
                </c:pt>
                <c:pt idx="188">
                  <c:v>1.3067022669142681</c:v>
                </c:pt>
                <c:pt idx="189">
                  <c:v>1.3197079036206096</c:v>
                </c:pt>
                <c:pt idx="190">
                  <c:v>1.355769826347317</c:v>
                </c:pt>
                <c:pt idx="191">
                  <c:v>1.327676716348325</c:v>
                </c:pt>
                <c:pt idx="192">
                  <c:v>1.1864553078461808</c:v>
                </c:pt>
                <c:pt idx="193">
                  <c:v>1.236210239199536</c:v>
                </c:pt>
                <c:pt idx="194">
                  <c:v>1.2732871465346827</c:v>
                </c:pt>
                <c:pt idx="195">
                  <c:v>1.3061778344571393</c:v>
                </c:pt>
                <c:pt idx="196">
                  <c:v>1.318848959983564</c:v>
                </c:pt>
                <c:pt idx="197">
                  <c:v>1.3580069993238975</c:v>
                </c:pt>
                <c:pt idx="198">
                  <c:v>1.3748922473155123</c:v>
                </c:pt>
                <c:pt idx="199">
                  <c:v>1.3561615179057083</c:v>
                </c:pt>
                <c:pt idx="200">
                  <c:v>1.374519335833686</c:v>
                </c:pt>
                <c:pt idx="201">
                  <c:v>1.4162106481486518</c:v>
                </c:pt>
                <c:pt idx="202">
                  <c:v>1.4098939333611333</c:v>
                </c:pt>
                <c:pt idx="203">
                  <c:v>1.3696497893321533</c:v>
                </c:pt>
                <c:pt idx="204">
                  <c:v>1.4136184021069234</c:v>
                </c:pt>
                <c:pt idx="205">
                  <c:v>1.4009548235347296</c:v>
                </c:pt>
                <c:pt idx="206">
                  <c:v>1.4016618247859809</c:v>
                </c:pt>
                <c:pt idx="207">
                  <c:v>1.4166722457207326</c:v>
                </c:pt>
                <c:pt idx="208">
                  <c:v>1.4232180845719513</c:v>
                </c:pt>
                <c:pt idx="209">
                  <c:v>1.4720786746889702</c:v>
                </c:pt>
                <c:pt idx="210">
                  <c:v>1.5528883970294649</c:v>
                </c:pt>
                <c:pt idx="211">
                  <c:v>1.5827904389601672</c:v>
                </c:pt>
                <c:pt idx="212">
                  <c:v>1.6183540714896005</c:v>
                </c:pt>
                <c:pt idx="213">
                  <c:v>1.5779978110793691</c:v>
                </c:pt>
                <c:pt idx="214">
                  <c:v>1.2822028635862999</c:v>
                </c:pt>
                <c:pt idx="215">
                  <c:v>1.2458795484672096</c:v>
                </c:pt>
                <c:pt idx="216">
                  <c:v>1.2735051227341145</c:v>
                </c:pt>
                <c:pt idx="217">
                  <c:v>1.2960383517159173</c:v>
                </c:pt>
                <c:pt idx="218">
                  <c:v>1.3334694618723348</c:v>
                </c:pt>
                <c:pt idx="219">
                  <c:v>1.3036054825338552</c:v>
                </c:pt>
                <c:pt idx="220">
                  <c:v>1.3390153613529079</c:v>
                </c:pt>
                <c:pt idx="221">
                  <c:v>1.3215777792772496</c:v>
                </c:pt>
                <c:pt idx="222">
                  <c:v>1.3250808504442713</c:v>
                </c:pt>
                <c:pt idx="223">
                  <c:v>1.292001516364403</c:v>
                </c:pt>
                <c:pt idx="224">
                  <c:v>1.3716577201705036</c:v>
                </c:pt>
                <c:pt idx="225">
                  <c:v>1.4034457836904886</c:v>
                </c:pt>
                <c:pt idx="226">
                  <c:v>1.4404521259267424</c:v>
                </c:pt>
                <c:pt idx="227">
                  <c:v>1.4583369523245386</c:v>
                </c:pt>
                <c:pt idx="228">
                  <c:v>1.4490725776671103</c:v>
                </c:pt>
                <c:pt idx="229">
                  <c:v>1.1582401879672686</c:v>
                </c:pt>
                <c:pt idx="230">
                  <c:v>1.1172911432840358</c:v>
                </c:pt>
                <c:pt idx="231">
                  <c:v>1.1729339319191912</c:v>
                </c:pt>
                <c:pt idx="232">
                  <c:v>1.211629287690424</c:v>
                </c:pt>
                <c:pt idx="233">
                  <c:v>1.2578562370191588</c:v>
                </c:pt>
                <c:pt idx="234">
                  <c:v>1.2473720207172236</c:v>
                </c:pt>
                <c:pt idx="235">
                  <c:v>1.324157905975575</c:v>
                </c:pt>
                <c:pt idx="236">
                  <c:v>1.325344662644546</c:v>
                </c:pt>
                <c:pt idx="237">
                  <c:v>1.274479264749218</c:v>
                </c:pt>
                <c:pt idx="238">
                  <c:v>1.3178602656604488</c:v>
                </c:pt>
                <c:pt idx="239">
                  <c:v>1.3281208621505618</c:v>
                </c:pt>
                <c:pt idx="240">
                  <c:v>1.406216764430485</c:v>
                </c:pt>
                <c:pt idx="241">
                  <c:v>1.4474090761165275</c:v>
                </c:pt>
                <c:pt idx="242">
                  <c:v>1.4491646431519936</c:v>
                </c:pt>
                <c:pt idx="243">
                  <c:v>1.4971020562200608</c:v>
                </c:pt>
                <c:pt idx="244">
                  <c:v>1.5077739286323324</c:v>
                </c:pt>
                <c:pt idx="245">
                  <c:v>1.4660517588305906</c:v>
                </c:pt>
                <c:pt idx="246">
                  <c:v>1.4791135874008972</c:v>
                </c:pt>
                <c:pt idx="247">
                  <c:v>1.4998439061700684</c:v>
                </c:pt>
                <c:pt idx="248">
                  <c:v>1.5279234531302031</c:v>
                </c:pt>
                <c:pt idx="249">
                  <c:v>1.5177041473457862</c:v>
                </c:pt>
                <c:pt idx="250">
                  <c:v>1.478537779199719</c:v>
                </c:pt>
                <c:pt idx="251">
                  <c:v>1.4674931529103323</c:v>
                </c:pt>
                <c:pt idx="252">
                  <c:v>1.4920320687421529</c:v>
                </c:pt>
                <c:pt idx="253">
                  <c:v>1.4851470234404005</c:v>
                </c:pt>
                <c:pt idx="254">
                  <c:v>1.3981491235127301</c:v>
                </c:pt>
                <c:pt idx="255">
                  <c:v>1.4580646644945745</c:v>
                </c:pt>
                <c:pt idx="256">
                  <c:v>1.5376333815221452</c:v>
                </c:pt>
                <c:pt idx="257">
                  <c:v>1.6238797273096539</c:v>
                </c:pt>
                <c:pt idx="258">
                  <c:v>1.6351412895044728</c:v>
                </c:pt>
                <c:pt idx="259">
                  <c:v>1.5022166817532268</c:v>
                </c:pt>
                <c:pt idx="260">
                  <c:v>1.4836007781136742</c:v>
                </c:pt>
                <c:pt idx="261">
                  <c:v>1.4355907320839185</c:v>
                </c:pt>
                <c:pt idx="262">
                  <c:v>1.5327121221409057</c:v>
                </c:pt>
                <c:pt idx="263">
                  <c:v>1.399982118921816</c:v>
                </c:pt>
                <c:pt idx="264">
                  <c:v>1.4332741538356015</c:v>
                </c:pt>
                <c:pt idx="265">
                  <c:v>1.4419874168749367</c:v>
                </c:pt>
                <c:pt idx="266">
                  <c:v>1.4129911848346828</c:v>
                </c:pt>
                <c:pt idx="267">
                  <c:v>1.4290890595672803</c:v>
                </c:pt>
                <c:pt idx="268">
                  <c:v>1.4398451221093229</c:v>
                </c:pt>
                <c:pt idx="269">
                  <c:v>1.3725767645964828</c:v>
                </c:pt>
                <c:pt idx="270">
                  <c:v>1.3419534557948594</c:v>
                </c:pt>
                <c:pt idx="271">
                  <c:v>1.4110533105762118</c:v>
                </c:pt>
                <c:pt idx="272">
                  <c:v>1.4361117544299851</c:v>
                </c:pt>
                <c:pt idx="273">
                  <c:v>1.4319065203432595</c:v>
                </c:pt>
                <c:pt idx="274">
                  <c:v>1.4689836494117701</c:v>
                </c:pt>
                <c:pt idx="275">
                  <c:v>1.4682972352837373</c:v>
                </c:pt>
                <c:pt idx="276">
                  <c:v>1.504546037420518</c:v>
                </c:pt>
                <c:pt idx="277">
                  <c:v>1.5544136983908678</c:v>
                </c:pt>
                <c:pt idx="278">
                  <c:v>1.5726052558999815</c:v>
                </c:pt>
                <c:pt idx="279">
                  <c:v>1.6080763473849302</c:v>
                </c:pt>
                <c:pt idx="280">
                  <c:v>1.6768559370421121</c:v>
                </c:pt>
                <c:pt idx="281">
                  <c:v>1.7374736235285586</c:v>
                </c:pt>
                <c:pt idx="282">
                  <c:v>1.69947801848277</c:v>
                </c:pt>
                <c:pt idx="283">
                  <c:v>1.7173627471844795</c:v>
                </c:pt>
                <c:pt idx="284">
                  <c:v>1.8038307182083502</c:v>
                </c:pt>
                <c:pt idx="285">
                  <c:v>1.9187714560974518</c:v>
                </c:pt>
                <c:pt idx="286">
                  <c:v>1.9332510413056865</c:v>
                </c:pt>
                <c:pt idx="287">
                  <c:v>1.9459031571821812</c:v>
                </c:pt>
                <c:pt idx="288">
                  <c:v>1.9964439088916417</c:v>
                </c:pt>
                <c:pt idx="289">
                  <c:v>2.1331310142316475</c:v>
                </c:pt>
                <c:pt idx="290">
                  <c:v>2.2245486536851802</c:v>
                </c:pt>
                <c:pt idx="291">
                  <c:v>2.2160577244324888</c:v>
                </c:pt>
                <c:pt idx="292">
                  <c:v>2.2955382627610019</c:v>
                </c:pt>
                <c:pt idx="293">
                  <c:v>2.2489233757689346</c:v>
                </c:pt>
                <c:pt idx="294">
                  <c:v>2.2280008970044194</c:v>
                </c:pt>
                <c:pt idx="295">
                  <c:v>2.2992131257028667</c:v>
                </c:pt>
                <c:pt idx="296">
                  <c:v>2.3723839594719451</c:v>
                </c:pt>
                <c:pt idx="297">
                  <c:v>2.4104491892303712</c:v>
                </c:pt>
                <c:pt idx="298">
                  <c:v>2.3900177711416202</c:v>
                </c:pt>
                <c:pt idx="299">
                  <c:v>2.3567433408175269</c:v>
                </c:pt>
                <c:pt idx="300">
                  <c:v>2.4562426609421006</c:v>
                </c:pt>
                <c:pt idx="301">
                  <c:v>2.5041191828034468</c:v>
                </c:pt>
                <c:pt idx="302">
                  <c:v>2.4166770903777182</c:v>
                </c:pt>
                <c:pt idx="303">
                  <c:v>2.5015411069502567</c:v>
                </c:pt>
                <c:pt idx="304">
                  <c:v>2.474380213456242</c:v>
                </c:pt>
                <c:pt idx="305">
                  <c:v>2.4896825716656457</c:v>
                </c:pt>
                <c:pt idx="306">
                  <c:v>2.5820947406642092</c:v>
                </c:pt>
                <c:pt idx="307">
                  <c:v>2.6629900849020456</c:v>
                </c:pt>
                <c:pt idx="308">
                  <c:v>2.6329136078577586</c:v>
                </c:pt>
                <c:pt idx="309">
                  <c:v>2.6143620346126575</c:v>
                </c:pt>
                <c:pt idx="310">
                  <c:v>2.626425066342851</c:v>
                </c:pt>
                <c:pt idx="311">
                  <c:v>2.7120237291330525</c:v>
                </c:pt>
                <c:pt idx="312">
                  <c:v>2.7986171336967964</c:v>
                </c:pt>
                <c:pt idx="313">
                  <c:v>2.8372023883645303</c:v>
                </c:pt>
                <c:pt idx="314">
                  <c:v>2.8190386253467774</c:v>
                </c:pt>
                <c:pt idx="315">
                  <c:v>2.7985619084553459</c:v>
                </c:pt>
                <c:pt idx="316">
                  <c:v>2.7314787776172293</c:v>
                </c:pt>
                <c:pt idx="317">
                  <c:v>2.728675989377833</c:v>
                </c:pt>
                <c:pt idx="318">
                  <c:v>2.7264989733308953</c:v>
                </c:pt>
                <c:pt idx="319">
                  <c:v>2.8257104877522057</c:v>
                </c:pt>
                <c:pt idx="320">
                  <c:v>2.749881217448841</c:v>
                </c:pt>
                <c:pt idx="321">
                  <c:v>2.7641419251195831</c:v>
                </c:pt>
                <c:pt idx="322">
                  <c:v>2.8923151061164218</c:v>
                </c:pt>
                <c:pt idx="323">
                  <c:v>2.9353994126523517</c:v>
                </c:pt>
                <c:pt idx="324">
                  <c:v>2.9630895558238439</c:v>
                </c:pt>
                <c:pt idx="325">
                  <c:v>3.1048914302339674</c:v>
                </c:pt>
                <c:pt idx="326">
                  <c:v>3.1647819181972392</c:v>
                </c:pt>
                <c:pt idx="327">
                  <c:v>3.2448451196784949</c:v>
                </c:pt>
                <c:pt idx="328">
                  <c:v>3.3933765746387539</c:v>
                </c:pt>
                <c:pt idx="329">
                  <c:v>3.5112491157030759</c:v>
                </c:pt>
                <c:pt idx="330">
                  <c:v>3.5099592279915779</c:v>
                </c:pt>
                <c:pt idx="331">
                  <c:v>3.6735817250454952</c:v>
                </c:pt>
                <c:pt idx="332">
                  <c:v>3.6711058525504723</c:v>
                </c:pt>
                <c:pt idx="333">
                  <c:v>3.8974439890076145</c:v>
                </c:pt>
                <c:pt idx="334">
                  <c:v>3.8878292192693302</c:v>
                </c:pt>
                <c:pt idx="335">
                  <c:v>4.1238080188548896</c:v>
                </c:pt>
                <c:pt idx="336">
                  <c:v>4.3050094797855865</c:v>
                </c:pt>
                <c:pt idx="337">
                  <c:v>4.4339106216852864</c:v>
                </c:pt>
                <c:pt idx="338">
                  <c:v>4.4727436989582445</c:v>
                </c:pt>
                <c:pt idx="339">
                  <c:v>4.5082922199659334</c:v>
                </c:pt>
                <c:pt idx="340">
                  <c:v>4.7067383238013329</c:v>
                </c:pt>
                <c:pt idx="341">
                  <c:v>4.6781694640201916</c:v>
                </c:pt>
                <c:pt idx="342">
                  <c:v>4.9605359631560217</c:v>
                </c:pt>
                <c:pt idx="343">
                  <c:v>5.2519516043406353</c:v>
                </c:pt>
                <c:pt idx="344">
                  <c:v>5.2190004221730142</c:v>
                </c:pt>
                <c:pt idx="345">
                  <c:v>5.2530692739205378</c:v>
                </c:pt>
                <c:pt idx="346">
                  <c:v>5.1168516954470356</c:v>
                </c:pt>
                <c:pt idx="347">
                  <c:v>5.3456885711215909</c:v>
                </c:pt>
                <c:pt idx="348">
                  <c:v>5.3420998301175873</c:v>
                </c:pt>
                <c:pt idx="349">
                  <c:v>5.2111196425301314</c:v>
                </c:pt>
                <c:pt idx="350">
                  <c:v>5.3363830836342006</c:v>
                </c:pt>
                <c:pt idx="351">
                  <c:v>5.6053203295031331</c:v>
                </c:pt>
                <c:pt idx="352">
                  <c:v>5.7176524353087324</c:v>
                </c:pt>
                <c:pt idx="353">
                  <c:v>5.4159795912662556</c:v>
                </c:pt>
                <c:pt idx="354">
                  <c:v>5.6143426962916028</c:v>
                </c:pt>
                <c:pt idx="355">
                  <c:v>5.8952894631137553</c:v>
                </c:pt>
                <c:pt idx="356">
                  <c:v>5.7234931823489203</c:v>
                </c:pt>
                <c:pt idx="357">
                  <c:v>5.5486532131027468</c:v>
                </c:pt>
                <c:pt idx="358">
                  <c:v>5.6408482140346594</c:v>
                </c:pt>
                <c:pt idx="359">
                  <c:v>5.4627978740288787</c:v>
                </c:pt>
                <c:pt idx="360">
                  <c:v>5.7108543333392454</c:v>
                </c:pt>
                <c:pt idx="361">
                  <c:v>5.6367274700307011</c:v>
                </c:pt>
                <c:pt idx="362">
                  <c:v>5.577979125687885</c:v>
                </c:pt>
                <c:pt idx="363">
                  <c:v>5.7492037307202466</c:v>
                </c:pt>
                <c:pt idx="364">
                  <c:v>6.0089524595084658</c:v>
                </c:pt>
                <c:pt idx="365">
                  <c:v>6.1663865878348787</c:v>
                </c:pt>
                <c:pt idx="366">
                  <c:v>6.2542272224301687</c:v>
                </c:pt>
                <c:pt idx="367">
                  <c:v>6.3972788062885311</c:v>
                </c:pt>
                <c:pt idx="368">
                  <c:v>6.0492563955558669</c:v>
                </c:pt>
                <c:pt idx="369">
                  <c:v>5.7280067765451266</c:v>
                </c:pt>
                <c:pt idx="370">
                  <c:v>5.4565160156191368</c:v>
                </c:pt>
                <c:pt idx="371">
                  <c:v>5.5004220100832413</c:v>
                </c:pt>
                <c:pt idx="372">
                  <c:v>5.3845645394486352</c:v>
                </c:pt>
                <c:pt idx="373">
                  <c:v>5.6518782593405454</c:v>
                </c:pt>
                <c:pt idx="374">
                  <c:v>5.5384670624713381</c:v>
                </c:pt>
                <c:pt idx="375">
                  <c:v>5.709147864119096</c:v>
                </c:pt>
                <c:pt idx="376">
                  <c:v>5.8419492034246687</c:v>
                </c:pt>
                <c:pt idx="377">
                  <c:v>5.8871832391132966</c:v>
                </c:pt>
                <c:pt idx="378">
                  <c:v>6.084662693509542</c:v>
                </c:pt>
                <c:pt idx="379">
                  <c:v>6.3062148042121073</c:v>
                </c:pt>
                <c:pt idx="380">
                  <c:v>6.3840648147593546</c:v>
                </c:pt>
                <c:pt idx="381">
                  <c:v>6.6645359714773695</c:v>
                </c:pt>
                <c:pt idx="382">
                  <c:v>6.8480270339395783</c:v>
                </c:pt>
                <c:pt idx="383">
                  <c:v>7.0223271430875087</c:v>
                </c:pt>
                <c:pt idx="384">
                  <c:v>7.2723510601549384</c:v>
                </c:pt>
                <c:pt idx="385">
                  <c:v>7.5464081417735684</c:v>
                </c:pt>
                <c:pt idx="386">
                  <c:v>7.6057393292014215</c:v>
                </c:pt>
                <c:pt idx="387">
                  <c:v>7.6943481359653694</c:v>
                </c:pt>
                <c:pt idx="388">
                  <c:v>8.0404900981342546</c:v>
                </c:pt>
                <c:pt idx="389">
                  <c:v>8.2660252888872954</c:v>
                </c:pt>
                <c:pt idx="390">
                  <c:v>8.359659629837024</c:v>
                </c:pt>
                <c:pt idx="391">
                  <c:v>8.71229744833418</c:v>
                </c:pt>
                <c:pt idx="392">
                  <c:v>8.7157425517248548</c:v>
                </c:pt>
                <c:pt idx="393">
                  <c:v>8.4740245535096097</c:v>
                </c:pt>
                <c:pt idx="394">
                  <c:v>8.7644768288615271</c:v>
                </c:pt>
                <c:pt idx="395">
                  <c:v>8.9543062786442267</c:v>
                </c:pt>
                <c:pt idx="396">
                  <c:v>9.2092944880082541</c:v>
                </c:pt>
                <c:pt idx="397">
                  <c:v>8.7535426058646131</c:v>
                </c:pt>
                <c:pt idx="398">
                  <c:v>8.8043886550048285</c:v>
                </c:pt>
                <c:pt idx="399">
                  <c:v>8.7361126183456275</c:v>
                </c:pt>
                <c:pt idx="400">
                  <c:v>8.7220008436845156</c:v>
                </c:pt>
                <c:pt idx="401">
                  <c:v>8.9477566975148228</c:v>
                </c:pt>
                <c:pt idx="402">
                  <c:v>9.1469091822060467</c:v>
                </c:pt>
                <c:pt idx="403">
                  <c:v>9.1572148852107045</c:v>
                </c:pt>
                <c:pt idx="404">
                  <c:v>9.4175705272515202</c:v>
                </c:pt>
                <c:pt idx="405">
                  <c:v>8.9452245631338894</c:v>
                </c:pt>
                <c:pt idx="406">
                  <c:v>8.8985107776709587</c:v>
                </c:pt>
                <c:pt idx="407">
                  <c:v>9.0529897137099979</c:v>
                </c:pt>
                <c:pt idx="408">
                  <c:v>9.4065564021267338</c:v>
                </c:pt>
                <c:pt idx="409">
                  <c:v>9.9572213143540171</c:v>
                </c:pt>
                <c:pt idx="410">
                  <c:v>10.272006322323795</c:v>
                </c:pt>
                <c:pt idx="411">
                  <c:v>10.604470272133177</c:v>
                </c:pt>
                <c:pt idx="412">
                  <c:v>10.789401652868095</c:v>
                </c:pt>
                <c:pt idx="413">
                  <c:v>10.910710355369742</c:v>
                </c:pt>
                <c:pt idx="414">
                  <c:v>10.597161154877384</c:v>
                </c:pt>
                <c:pt idx="415">
                  <c:v>10.699382970864594</c:v>
                </c:pt>
                <c:pt idx="416">
                  <c:v>10.704955445944917</c:v>
                </c:pt>
                <c:pt idx="417">
                  <c:v>10.550080034476149</c:v>
                </c:pt>
                <c:pt idx="418">
                  <c:v>10.676671008256813</c:v>
                </c:pt>
                <c:pt idx="419">
                  <c:v>10.934592627008104</c:v>
                </c:pt>
                <c:pt idx="420">
                  <c:v>11.022130069094432</c:v>
                </c:pt>
                <c:pt idx="421">
                  <c:v>10.743100326192613</c:v>
                </c:pt>
                <c:pt idx="422">
                  <c:v>10.99982952156717</c:v>
                </c:pt>
                <c:pt idx="423">
                  <c:v>11.045542086346064</c:v>
                </c:pt>
                <c:pt idx="424">
                  <c:v>10.677909974937071</c:v>
                </c:pt>
                <c:pt idx="425">
                  <c:v>9.7137039731064068</c:v>
                </c:pt>
                <c:pt idx="426">
                  <c:v>9.04264084092517</c:v>
                </c:pt>
                <c:pt idx="427">
                  <c:v>9.3968074323630102</c:v>
                </c:pt>
                <c:pt idx="428">
                  <c:v>9.5238109647468541</c:v>
                </c:pt>
                <c:pt idx="429">
                  <c:v>9.248689547582698</c:v>
                </c:pt>
                <c:pt idx="430">
                  <c:v>9.2720423963154666</c:v>
                </c:pt>
                <c:pt idx="431">
                  <c:v>9.9590587631011793</c:v>
                </c:pt>
                <c:pt idx="432">
                  <c:v>10.095303033384148</c:v>
                </c:pt>
                <c:pt idx="433">
                  <c:v>10.429824119253823</c:v>
                </c:pt>
                <c:pt idx="434">
                  <c:v>10.163142297190303</c:v>
                </c:pt>
                <c:pt idx="435">
                  <c:v>10.467844582393727</c:v>
                </c:pt>
                <c:pt idx="436">
                  <c:v>10.812012343851466</c:v>
                </c:pt>
                <c:pt idx="437">
                  <c:v>10.8579477945429</c:v>
                </c:pt>
                <c:pt idx="438">
                  <c:v>10.681742907527662</c:v>
                </c:pt>
                <c:pt idx="439">
                  <c:v>10.69477797152574</c:v>
                </c:pt>
                <c:pt idx="440">
                  <c:v>11.119194862348813</c:v>
                </c:pt>
                <c:pt idx="441">
                  <c:v>11.042214754349061</c:v>
                </c:pt>
                <c:pt idx="442">
                  <c:v>11.284060455199656</c:v>
                </c:pt>
                <c:pt idx="443">
                  <c:v>11.13354754407526</c:v>
                </c:pt>
                <c:pt idx="444">
                  <c:v>11.344390067100544</c:v>
                </c:pt>
                <c:pt idx="445">
                  <c:v>11.63869148279705</c:v>
                </c:pt>
                <c:pt idx="446">
                  <c:v>11.647374189373403</c:v>
                </c:pt>
                <c:pt idx="447">
                  <c:v>11.797122939055352</c:v>
                </c:pt>
                <c:pt idx="448">
                  <c:v>11.78232147491283</c:v>
                </c:pt>
                <c:pt idx="449">
                  <c:v>11.75489330197834</c:v>
                </c:pt>
                <c:pt idx="450">
                  <c:v>11.902623759491519</c:v>
                </c:pt>
                <c:pt idx="451">
                  <c:v>12.230570642266098</c:v>
                </c:pt>
                <c:pt idx="452">
                  <c:v>12.148544954367184</c:v>
                </c:pt>
                <c:pt idx="453">
                  <c:v>12.395863861008753</c:v>
                </c:pt>
                <c:pt idx="454">
                  <c:v>12.378141491847936</c:v>
                </c:pt>
                <c:pt idx="455">
                  <c:v>12.367459775579885</c:v>
                </c:pt>
                <c:pt idx="456">
                  <c:v>12.386691828226105</c:v>
                </c:pt>
                <c:pt idx="457">
                  <c:v>12.745657245727795</c:v>
                </c:pt>
                <c:pt idx="458">
                  <c:v>12.72113581711562</c:v>
                </c:pt>
                <c:pt idx="459">
                  <c:v>12.627945685531483</c:v>
                </c:pt>
                <c:pt idx="460">
                  <c:v>12.990138820970099</c:v>
                </c:pt>
                <c:pt idx="461">
                  <c:v>12.794477060114652</c:v>
                </c:pt>
                <c:pt idx="462">
                  <c:v>12.217132135123055</c:v>
                </c:pt>
                <c:pt idx="463">
                  <c:v>12.270166301678536</c:v>
                </c:pt>
                <c:pt idx="464">
                  <c:v>12.482701954611869</c:v>
                </c:pt>
                <c:pt idx="465">
                  <c:v>12.773951303982594</c:v>
                </c:pt>
                <c:pt idx="466">
                  <c:v>13.129622251290952</c:v>
                </c:pt>
                <c:pt idx="467">
                  <c:v>12.974645310078117</c:v>
                </c:pt>
                <c:pt idx="468">
                  <c:v>13.157849567762382</c:v>
                </c:pt>
                <c:pt idx="469">
                  <c:v>13.337225024794751</c:v>
                </c:pt>
                <c:pt idx="470">
                  <c:v>13.06252563120159</c:v>
                </c:pt>
                <c:pt idx="471">
                  <c:v>12.841230539267771</c:v>
                </c:pt>
                <c:pt idx="472">
                  <c:v>13.06946127805538</c:v>
                </c:pt>
                <c:pt idx="473">
                  <c:v>12.333179157694639</c:v>
                </c:pt>
                <c:pt idx="474">
                  <c:v>12.271395703505373</c:v>
                </c:pt>
                <c:pt idx="475">
                  <c:v>12.160646276499932</c:v>
                </c:pt>
                <c:pt idx="476">
                  <c:v>11.418220355484941</c:v>
                </c:pt>
                <c:pt idx="477">
                  <c:v>11.333584697439983</c:v>
                </c:pt>
                <c:pt idx="478">
                  <c:v>11.756601811505114</c:v>
                </c:pt>
                <c:pt idx="479">
                  <c:v>11.622321169838127</c:v>
                </c:pt>
                <c:pt idx="480">
                  <c:v>11.656635510508789</c:v>
                </c:pt>
                <c:pt idx="481">
                  <c:v>12.34552099290933</c:v>
                </c:pt>
                <c:pt idx="482">
                  <c:v>12.447334851686243</c:v>
                </c:pt>
                <c:pt idx="483">
                  <c:v>12.899449895696561</c:v>
                </c:pt>
                <c:pt idx="484">
                  <c:v>13.383992953742162</c:v>
                </c:pt>
                <c:pt idx="485">
                  <c:v>12.764579901044048</c:v>
                </c:pt>
                <c:pt idx="486">
                  <c:v>12.936011151576958</c:v>
                </c:pt>
                <c:pt idx="487">
                  <c:v>13.464076425686075</c:v>
                </c:pt>
                <c:pt idx="488">
                  <c:v>13.455725147720388</c:v>
                </c:pt>
                <c:pt idx="489">
                  <c:v>14.108713936686389</c:v>
                </c:pt>
                <c:pt idx="490">
                  <c:v>13.944050731512547</c:v>
                </c:pt>
                <c:pt idx="491">
                  <c:v>13.731570970074401</c:v>
                </c:pt>
                <c:pt idx="492">
                  <c:v>13.984738074976411</c:v>
                </c:pt>
                <c:pt idx="493">
                  <c:v>13.720076751451401</c:v>
                </c:pt>
                <c:pt idx="494">
                  <c:v>13.475520260251892</c:v>
                </c:pt>
                <c:pt idx="495">
                  <c:v>13.71556386589611</c:v>
                </c:pt>
                <c:pt idx="496">
                  <c:v>14.902875919255234</c:v>
                </c:pt>
                <c:pt idx="497">
                  <c:v>15.054212546202622</c:v>
                </c:pt>
                <c:pt idx="498">
                  <c:v>15.173393908624906</c:v>
                </c:pt>
                <c:pt idx="499">
                  <c:v>15.064619228689761</c:v>
                </c:pt>
                <c:pt idx="500">
                  <c:v>15.340016376209464</c:v>
                </c:pt>
                <c:pt idx="501">
                  <c:v>15.935494054852803</c:v>
                </c:pt>
                <c:pt idx="502">
                  <c:v>16.036457208213662</c:v>
                </c:pt>
                <c:pt idx="503">
                  <c:v>16.565732765311122</c:v>
                </c:pt>
                <c:pt idx="504">
                  <c:v>16.178355015791485</c:v>
                </c:pt>
                <c:pt idx="505">
                  <c:v>16.365254048457576</c:v>
                </c:pt>
                <c:pt idx="506">
                  <c:v>15.859683467937485</c:v>
                </c:pt>
                <c:pt idx="507">
                  <c:v>16.498040663935779</c:v>
                </c:pt>
                <c:pt idx="508">
                  <c:v>16.961682510906144</c:v>
                </c:pt>
                <c:pt idx="509">
                  <c:v>16.987299060500419</c:v>
                </c:pt>
                <c:pt idx="510">
                  <c:v>16.132585623737405</c:v>
                </c:pt>
                <c:pt idx="511">
                  <c:v>15.303012100678574</c:v>
                </c:pt>
                <c:pt idx="512">
                  <c:v>15.933467342144352</c:v>
                </c:pt>
                <c:pt idx="513">
                  <c:v>15.75293933711632</c:v>
                </c:pt>
                <c:pt idx="514">
                  <c:v>16.397543450479535</c:v>
                </c:pt>
                <c:pt idx="515">
                  <c:v>16.155294234360198</c:v>
                </c:pt>
                <c:pt idx="516">
                  <c:v>16.096900031529533</c:v>
                </c:pt>
                <c:pt idx="517">
                  <c:v>15.227487788491107</c:v>
                </c:pt>
                <c:pt idx="518">
                  <c:v>15.739016653823876</c:v>
                </c:pt>
                <c:pt idx="519">
                  <c:v>15.888381242043796</c:v>
                </c:pt>
                <c:pt idx="520">
                  <c:v>14.510267114239067</c:v>
                </c:pt>
                <c:pt idx="521">
                  <c:v>13.530928641601999</c:v>
                </c:pt>
                <c:pt idx="522">
                  <c:v>13.227619534521267</c:v>
                </c:pt>
                <c:pt idx="523">
                  <c:v>14.056699529503037</c:v>
                </c:pt>
                <c:pt idx="524">
                  <c:v>14.469352585949643</c:v>
                </c:pt>
                <c:pt idx="525">
                  <c:v>14.94481771612304</c:v>
                </c:pt>
                <c:pt idx="526">
                  <c:v>14.811357295248776</c:v>
                </c:pt>
                <c:pt idx="527">
                  <c:v>14.993598805841629</c:v>
                </c:pt>
                <c:pt idx="528">
                  <c:v>15.732278626164861</c:v>
                </c:pt>
                <c:pt idx="529">
                  <c:v>16.338725038088871</c:v>
                </c:pt>
                <c:pt idx="530">
                  <c:v>16.460523061933777</c:v>
                </c:pt>
                <c:pt idx="531">
                  <c:v>17.1415940593218</c:v>
                </c:pt>
                <c:pt idx="532">
                  <c:v>17.732816725929634</c:v>
                </c:pt>
                <c:pt idx="533">
                  <c:v>16.482316664617827</c:v>
                </c:pt>
                <c:pt idx="534">
                  <c:v>16.671555824490987</c:v>
                </c:pt>
                <c:pt idx="535">
                  <c:v>16.39187463215476</c:v>
                </c:pt>
                <c:pt idx="536">
                  <c:v>16.492422883050615</c:v>
                </c:pt>
                <c:pt idx="537">
                  <c:v>16.0351335016558</c:v>
                </c:pt>
                <c:pt idx="538">
                  <c:v>15.382296230162019</c:v>
                </c:pt>
                <c:pt idx="539">
                  <c:v>15.334943677343817</c:v>
                </c:pt>
                <c:pt idx="540">
                  <c:v>16.411232557489154</c:v>
                </c:pt>
                <c:pt idx="541">
                  <c:v>16.851578083136644</c:v>
                </c:pt>
                <c:pt idx="542">
                  <c:v>17.36120663308786</c:v>
                </c:pt>
                <c:pt idx="543">
                  <c:v>17.573608939907338</c:v>
                </c:pt>
                <c:pt idx="544">
                  <c:v>17.868736967109715</c:v>
                </c:pt>
                <c:pt idx="545">
                  <c:v>18.111416899429162</c:v>
                </c:pt>
                <c:pt idx="546">
                  <c:v>17.459691951693255</c:v>
                </c:pt>
                <c:pt idx="547">
                  <c:v>17.543172159833688</c:v>
                </c:pt>
                <c:pt idx="548">
                  <c:v>18.099654095858234</c:v>
                </c:pt>
                <c:pt idx="549">
                  <c:v>17.746582511302538</c:v>
                </c:pt>
                <c:pt idx="550">
                  <c:v>17.866385258132404</c:v>
                </c:pt>
                <c:pt idx="551">
                  <c:v>18.734700750773698</c:v>
                </c:pt>
                <c:pt idx="552">
                  <c:v>18.86276271125578</c:v>
                </c:pt>
                <c:pt idx="553">
                  <c:v>18.535697563120962</c:v>
                </c:pt>
                <c:pt idx="554">
                  <c:v>17.117210418258892</c:v>
                </c:pt>
                <c:pt idx="555">
                  <c:v>16.10183016467564</c:v>
                </c:pt>
                <c:pt idx="556">
                  <c:v>15.519118473919935</c:v>
                </c:pt>
                <c:pt idx="557">
                  <c:v>15.149281781049824</c:v>
                </c:pt>
                <c:pt idx="558">
                  <c:v>14.656497362633429</c:v>
                </c:pt>
                <c:pt idx="559">
                  <c:v>13.860428907982456</c:v>
                </c:pt>
                <c:pt idx="560">
                  <c:v>14.231610989066331</c:v>
                </c:pt>
                <c:pt idx="561">
                  <c:v>14.758667282966389</c:v>
                </c:pt>
                <c:pt idx="562">
                  <c:v>14.801202498222766</c:v>
                </c:pt>
                <c:pt idx="563">
                  <c:v>13.272937322541395</c:v>
                </c:pt>
                <c:pt idx="564">
                  <c:v>13.208926462198805</c:v>
                </c:pt>
                <c:pt idx="565">
                  <c:v>14.033789171442798</c:v>
                </c:pt>
                <c:pt idx="566">
                  <c:v>13.705619940729999</c:v>
                </c:pt>
                <c:pt idx="567">
                  <c:v>13.089926850746201</c:v>
                </c:pt>
                <c:pt idx="568">
                  <c:v>12.747668560953686</c:v>
                </c:pt>
                <c:pt idx="569">
                  <c:v>11.728659250063217</c:v>
                </c:pt>
                <c:pt idx="570">
                  <c:v>11.722022341736224</c:v>
                </c:pt>
                <c:pt idx="571">
                  <c:v>10.994023880182279</c:v>
                </c:pt>
                <c:pt idx="572">
                  <c:v>10.019330197257352</c:v>
                </c:pt>
                <c:pt idx="573">
                  <c:v>9.1038467015418014</c:v>
                </c:pt>
                <c:pt idx="574">
                  <c:v>9.6919343674758807</c:v>
                </c:pt>
                <c:pt idx="575">
                  <c:v>9.0071504724002587</c:v>
                </c:pt>
                <c:pt idx="576">
                  <c:v>8.4866739521427963</c:v>
                </c:pt>
                <c:pt idx="577">
                  <c:v>9.3584720002569313</c:v>
                </c:pt>
                <c:pt idx="578">
                  <c:v>10.058590435853908</c:v>
                </c:pt>
                <c:pt idx="579">
                  <c:v>10.128971527251107</c:v>
                </c:pt>
                <c:pt idx="580">
                  <c:v>10.925809314381382</c:v>
                </c:pt>
                <c:pt idx="581">
                  <c:v>10.935086452967743</c:v>
                </c:pt>
                <c:pt idx="582">
                  <c:v>11.080284252197124</c:v>
                </c:pt>
                <c:pt idx="583">
                  <c:v>11.094808101653278</c:v>
                </c:pt>
                <c:pt idx="584">
                  <c:v>11.219613795656063</c:v>
                </c:pt>
                <c:pt idx="585">
                  <c:v>10.883359737517907</c:v>
                </c:pt>
                <c:pt idx="586">
                  <c:v>11.507117734196669</c:v>
                </c:pt>
                <c:pt idx="587">
                  <c:v>11.818942269727296</c:v>
                </c:pt>
                <c:pt idx="588">
                  <c:v>11.826356086923475</c:v>
                </c:pt>
                <c:pt idx="589">
                  <c:v>12.673713871989104</c:v>
                </c:pt>
                <c:pt idx="590">
                  <c:v>12.487435848844415</c:v>
                </c:pt>
                <c:pt idx="591">
                  <c:v>12.654680037923933</c:v>
                </c:pt>
                <c:pt idx="592">
                  <c:v>12.440756966905692</c:v>
                </c:pt>
                <c:pt idx="593">
                  <c:v>12.149557329272122</c:v>
                </c:pt>
                <c:pt idx="594">
                  <c:v>12.484325434718095</c:v>
                </c:pt>
                <c:pt idx="595">
                  <c:v>12.485309622166028</c:v>
                </c:pt>
                <c:pt idx="596">
                  <c:v>12.460332428698633</c:v>
                </c:pt>
                <c:pt idx="597">
                  <c:v>12.617897540977753</c:v>
                </c:pt>
                <c:pt idx="598">
                  <c:v>12.077386387196</c:v>
                </c:pt>
                <c:pt idx="599">
                  <c:v>12.015168885009228</c:v>
                </c:pt>
                <c:pt idx="600">
                  <c:v>12.985325080907813</c:v>
                </c:pt>
                <c:pt idx="601">
                  <c:v>12.800032570924612</c:v>
                </c:pt>
                <c:pt idx="602">
                  <c:v>13.034403344244332</c:v>
                </c:pt>
                <c:pt idx="603">
                  <c:v>13.245116205693748</c:v>
                </c:pt>
                <c:pt idx="604">
                  <c:v>13.352038410602939</c:v>
                </c:pt>
                <c:pt idx="605">
                  <c:v>13.22431925949545</c:v>
                </c:pt>
                <c:pt idx="606">
                  <c:v>13.568313359194226</c:v>
                </c:pt>
                <c:pt idx="607">
                  <c:v>13.034765750570786</c:v>
                </c:pt>
                <c:pt idx="608">
                  <c:v>13.101933918788559</c:v>
                </c:pt>
                <c:pt idx="609">
                  <c:v>13.143612093631155</c:v>
                </c:pt>
                <c:pt idx="610">
                  <c:v>12.410036442433718</c:v>
                </c:pt>
                <c:pt idx="611">
                  <c:v>12.20482289274341</c:v>
                </c:pt>
                <c:pt idx="612">
                  <c:v>11.787482240146325</c:v>
                </c:pt>
                <c:pt idx="613">
                  <c:v>11.022457673506812</c:v>
                </c:pt>
                <c:pt idx="614">
                  <c:v>10.544051677647282</c:v>
                </c:pt>
                <c:pt idx="615">
                  <c:v>11.058411409788551</c:v>
                </c:pt>
                <c:pt idx="616">
                  <c:v>11.672198006585324</c:v>
                </c:pt>
                <c:pt idx="617">
                  <c:v>12.301880556978903</c:v>
                </c:pt>
                <c:pt idx="618">
                  <c:v>12.040828357173604</c:v>
                </c:pt>
                <c:pt idx="619">
                  <c:v>12.442954037140733</c:v>
                </c:pt>
                <c:pt idx="620">
                  <c:v>11.811118825653381</c:v>
                </c:pt>
                <c:pt idx="621">
                  <c:v>11.409939254525966</c:v>
                </c:pt>
                <c:pt idx="622">
                  <c:v>11.072074396935317</c:v>
                </c:pt>
                <c:pt idx="623">
                  <c:v>11.647630525320521</c:v>
                </c:pt>
                <c:pt idx="624">
                  <c:v>12.120817184664809</c:v>
                </c:pt>
                <c:pt idx="625">
                  <c:v>12.466982173045285</c:v>
                </c:pt>
                <c:pt idx="626">
                  <c:v>12.25903988513689</c:v>
                </c:pt>
                <c:pt idx="627">
                  <c:v>12.887844243212417</c:v>
                </c:pt>
                <c:pt idx="628">
                  <c:v>13.256820993096568</c:v>
                </c:pt>
                <c:pt idx="629">
                  <c:v>13.254205726867463</c:v>
                </c:pt>
                <c:pt idx="630">
                  <c:v>13.391881758448729</c:v>
                </c:pt>
                <c:pt idx="631">
                  <c:v>13.19184328856119</c:v>
                </c:pt>
                <c:pt idx="632">
                  <c:v>13.974254587056979</c:v>
                </c:pt>
                <c:pt idx="633">
                  <c:v>14.0162207633345</c:v>
                </c:pt>
                <c:pt idx="634">
                  <c:v>13.187380173328068</c:v>
                </c:pt>
                <c:pt idx="635">
                  <c:v>13.868549017705408</c:v>
                </c:pt>
                <c:pt idx="636">
                  <c:v>13.951314889730616</c:v>
                </c:pt>
                <c:pt idx="637">
                  <c:v>14.914788469880088</c:v>
                </c:pt>
                <c:pt idx="638">
                  <c:v>15.53564754161051</c:v>
                </c:pt>
                <c:pt idx="639">
                  <c:v>15.091883254099699</c:v>
                </c:pt>
                <c:pt idx="640">
                  <c:v>16.151243679434138</c:v>
                </c:pt>
                <c:pt idx="641">
                  <c:v>16.147567573245905</c:v>
                </c:pt>
                <c:pt idx="642">
                  <c:v>16.761787790416893</c:v>
                </c:pt>
                <c:pt idx="643">
                  <c:v>16.944171257632316</c:v>
                </c:pt>
                <c:pt idx="644">
                  <c:v>17.788217151344355</c:v>
                </c:pt>
                <c:pt idx="645">
                  <c:v>18.340995510414061</c:v>
                </c:pt>
                <c:pt idx="646">
                  <c:v>19.341293197555526</c:v>
                </c:pt>
                <c:pt idx="647">
                  <c:v>20.940879837072956</c:v>
                </c:pt>
                <c:pt idx="648">
                  <c:v>21.321273417712764</c:v>
                </c:pt>
                <c:pt idx="649">
                  <c:v>21.065580737515607</c:v>
                </c:pt>
                <c:pt idx="650">
                  <c:v>22.710908221669399</c:v>
                </c:pt>
                <c:pt idx="651">
                  <c:v>23.207563529173392</c:v>
                </c:pt>
                <c:pt idx="652">
                  <c:v>24.013487628174008</c:v>
                </c:pt>
                <c:pt idx="653">
                  <c:v>24.631185380946246</c:v>
                </c:pt>
                <c:pt idx="654">
                  <c:v>24.768043918240778</c:v>
                </c:pt>
                <c:pt idx="655">
                  <c:v>24.771446210550994</c:v>
                </c:pt>
                <c:pt idx="656">
                  <c:v>24.969487910653598</c:v>
                </c:pt>
                <c:pt idx="657">
                  <c:v>21.824005452732578</c:v>
                </c:pt>
                <c:pt idx="658">
                  <c:v>21.026993260315471</c:v>
                </c:pt>
                <c:pt idx="659">
                  <c:v>21.333075329413781</c:v>
                </c:pt>
                <c:pt idx="660">
                  <c:v>21.322349969041941</c:v>
                </c:pt>
                <c:pt idx="661">
                  <c:v>21.307140964548225</c:v>
                </c:pt>
                <c:pt idx="662">
                  <c:v>20.580908362162461</c:v>
                </c:pt>
                <c:pt idx="663">
                  <c:v>19.935463621170879</c:v>
                </c:pt>
                <c:pt idx="664">
                  <c:v>21.701404864239741</c:v>
                </c:pt>
                <c:pt idx="665">
                  <c:v>20.93520807110826</c:v>
                </c:pt>
                <c:pt idx="666">
                  <c:v>21.425834187187846</c:v>
                </c:pt>
                <c:pt idx="667">
                  <c:v>21.403459075421438</c:v>
                </c:pt>
                <c:pt idx="668">
                  <c:v>22.967773060428836</c:v>
                </c:pt>
                <c:pt idx="669">
                  <c:v>23.348903034445378</c:v>
                </c:pt>
                <c:pt idx="670">
                  <c:v>25.37340364151606</c:v>
                </c:pt>
                <c:pt idx="671">
                  <c:v>26.935608759529075</c:v>
                </c:pt>
                <c:pt idx="672">
                  <c:v>26.241666999384325</c:v>
                </c:pt>
                <c:pt idx="673">
                  <c:v>25.832763624150889</c:v>
                </c:pt>
                <c:pt idx="674">
                  <c:v>27.014530541081527</c:v>
                </c:pt>
                <c:pt idx="675">
                  <c:v>28.564531359254719</c:v>
                </c:pt>
                <c:pt idx="676">
                  <c:v>30.620723695149493</c:v>
                </c:pt>
                <c:pt idx="677">
                  <c:v>30.585736618467408</c:v>
                </c:pt>
                <c:pt idx="678">
                  <c:v>32.306855099132058</c:v>
                </c:pt>
                <c:pt idx="679">
                  <c:v>31.998548097553421</c:v>
                </c:pt>
                <c:pt idx="680">
                  <c:v>32.911978365533997</c:v>
                </c:pt>
                <c:pt idx="681">
                  <c:v>33.71082412690324</c:v>
                </c:pt>
                <c:pt idx="682">
                  <c:v>32.518923685412702</c:v>
                </c:pt>
                <c:pt idx="683">
                  <c:v>34.169892961959306</c:v>
                </c:pt>
                <c:pt idx="684">
                  <c:v>35.04626351136536</c:v>
                </c:pt>
                <c:pt idx="685">
                  <c:v>36.103259955302981</c:v>
                </c:pt>
                <c:pt idx="686">
                  <c:v>35.100393589513189</c:v>
                </c:pt>
                <c:pt idx="687">
                  <c:v>35.570455077246315</c:v>
                </c:pt>
                <c:pt idx="688">
                  <c:v>36.239411566464327</c:v>
                </c:pt>
                <c:pt idx="689">
                  <c:v>34.950154022590922</c:v>
                </c:pt>
                <c:pt idx="690">
                  <c:v>35.487188371673113</c:v>
                </c:pt>
                <c:pt idx="691">
                  <c:v>36.291613801817896</c:v>
                </c:pt>
                <c:pt idx="692">
                  <c:v>40.128481441185443</c:v>
                </c:pt>
                <c:pt idx="693">
                  <c:v>41.573634416052222</c:v>
                </c:pt>
                <c:pt idx="694">
                  <c:v>42.318160691376505</c:v>
                </c:pt>
                <c:pt idx="695">
                  <c:v>40.932666102624353</c:v>
                </c:pt>
                <c:pt idx="696">
                  <c:v>43.400297541426426</c:v>
                </c:pt>
                <c:pt idx="697">
                  <c:v>47.246361732833343</c:v>
                </c:pt>
                <c:pt idx="698">
                  <c:v>49.642262815731158</c:v>
                </c:pt>
                <c:pt idx="699">
                  <c:v>51.523286029254976</c:v>
                </c:pt>
                <c:pt idx="700">
                  <c:v>47.525154982825647</c:v>
                </c:pt>
                <c:pt idx="701">
                  <c:v>50.904905142478839</c:v>
                </c:pt>
                <c:pt idx="702">
                  <c:v>51.008183857737485</c:v>
                </c:pt>
                <c:pt idx="703">
                  <c:v>49.179987278291243</c:v>
                </c:pt>
                <c:pt idx="704">
                  <c:v>47.030013641194216</c:v>
                </c:pt>
                <c:pt idx="705">
                  <c:v>48.312942919038704</c:v>
                </c:pt>
                <c:pt idx="706">
                  <c:v>47.303816934288747</c:v>
                </c:pt>
                <c:pt idx="707">
                  <c:v>48.855195351263049</c:v>
                </c:pt>
                <c:pt idx="708">
                  <c:v>50.653317756106283</c:v>
                </c:pt>
                <c:pt idx="709">
                  <c:v>50.668829470346111</c:v>
                </c:pt>
                <c:pt idx="710">
                  <c:v>52.132435387355152</c:v>
                </c:pt>
                <c:pt idx="711">
                  <c:v>55.462557654832636</c:v>
                </c:pt>
                <c:pt idx="712">
                  <c:v>56.812579436813358</c:v>
                </c:pt>
                <c:pt idx="713">
                  <c:v>55.488709977589309</c:v>
                </c:pt>
                <c:pt idx="714">
                  <c:v>57.655452173895341</c:v>
                </c:pt>
                <c:pt idx="715">
                  <c:v>55.341420838371668</c:v>
                </c:pt>
                <c:pt idx="716">
                  <c:v>57.231730793955322</c:v>
                </c:pt>
                <c:pt idx="717">
                  <c:v>54.841639338173401</c:v>
                </c:pt>
                <c:pt idx="718">
                  <c:v>53.530886144535373</c:v>
                </c:pt>
                <c:pt idx="719">
                  <c:v>57.235109993752893</c:v>
                </c:pt>
                <c:pt idx="720">
                  <c:v>57.627416659340781</c:v>
                </c:pt>
                <c:pt idx="721">
                  <c:v>60.18332092378045</c:v>
                </c:pt>
                <c:pt idx="722">
                  <c:v>61.624819619333032</c:v>
                </c:pt>
                <c:pt idx="723">
                  <c:v>65.378558280591577</c:v>
                </c:pt>
                <c:pt idx="724">
                  <c:v>67.59075886538777</c:v>
                </c:pt>
                <c:pt idx="725">
                  <c:v>66.980695139984164</c:v>
                </c:pt>
                <c:pt idx="726">
                  <c:v>68.890255270651267</c:v>
                </c:pt>
                <c:pt idx="727">
                  <c:v>71.622443093864405</c:v>
                </c:pt>
                <c:pt idx="728">
                  <c:v>76.072115385816758</c:v>
                </c:pt>
                <c:pt idx="729">
                  <c:v>73.529895400527934</c:v>
                </c:pt>
                <c:pt idx="730">
                  <c:v>60.717836818598855</c:v>
                </c:pt>
                <c:pt idx="731">
                  <c:v>54.525973298983352</c:v>
                </c:pt>
                <c:pt idx="732">
                  <c:v>54.758411744250722</c:v>
                </c:pt>
                <c:pt idx="733">
                  <c:v>56.675391930670095</c:v>
                </c:pt>
                <c:pt idx="734">
                  <c:v>61.912275053789905</c:v>
                </c:pt>
                <c:pt idx="735">
                  <c:v>63.687857969824535</c:v>
                </c:pt>
                <c:pt idx="736">
                  <c:v>64.526243934376666</c:v>
                </c:pt>
                <c:pt idx="737">
                  <c:v>64.829430926079198</c:v>
                </c:pt>
                <c:pt idx="738">
                  <c:v>67.137113492011849</c:v>
                </c:pt>
                <c:pt idx="739">
                  <c:v>72.211327470421182</c:v>
                </c:pt>
                <c:pt idx="740">
                  <c:v>70.664811341725795</c:v>
                </c:pt>
                <c:pt idx="741">
                  <c:v>73.738694306845588</c:v>
                </c:pt>
                <c:pt idx="742">
                  <c:v>77.085499003125065</c:v>
                </c:pt>
                <c:pt idx="743">
                  <c:v>75.711377289983574</c:v>
                </c:pt>
                <c:pt idx="744">
                  <c:v>76.849880962081642</c:v>
                </c:pt>
                <c:pt idx="745">
                  <c:v>83.872193015231716</c:v>
                </c:pt>
                <c:pt idx="746">
                  <c:v>84.189929964927089</c:v>
                </c:pt>
                <c:pt idx="747">
                  <c:v>85.478707989821402</c:v>
                </c:pt>
                <c:pt idx="748">
                  <c:v>89.768446339165806</c:v>
                </c:pt>
                <c:pt idx="749">
                  <c:v>92.653091754417147</c:v>
                </c:pt>
                <c:pt idx="750">
                  <c:v>90.447858631512446</c:v>
                </c:pt>
                <c:pt idx="751">
                  <c:v>96.433930083218087</c:v>
                </c:pt>
                <c:pt idx="752">
                  <c:v>95.734532752468965</c:v>
                </c:pt>
                <c:pt idx="753">
                  <c:v>99.781452904896526</c:v>
                </c:pt>
                <c:pt idx="754">
                  <c:v>93.299239836150491</c:v>
                </c:pt>
                <c:pt idx="755">
                  <c:v>95.350531465103629</c:v>
                </c:pt>
                <c:pt idx="756">
                  <c:v>94.791293193643583</c:v>
                </c:pt>
                <c:pt idx="757">
                  <c:v>87.704184604476282</c:v>
                </c:pt>
                <c:pt idx="758">
                  <c:v>82.490306326968252</c:v>
                </c:pt>
                <c:pt idx="759">
                  <c:v>78.892870687614121</c:v>
                </c:pt>
                <c:pt idx="760">
                  <c:v>76.45858890470808</c:v>
                </c:pt>
                <c:pt idx="761">
                  <c:v>80.356563380023019</c:v>
                </c:pt>
                <c:pt idx="762">
                  <c:v>80.440729773848389</c:v>
                </c:pt>
                <c:pt idx="763">
                  <c:v>79.613507640161075</c:v>
                </c:pt>
                <c:pt idx="764">
                  <c:v>67.63714863526333</c:v>
                </c:pt>
                <c:pt idx="765">
                  <c:v>60.632183783328415</c:v>
                </c:pt>
                <c:pt idx="766">
                  <c:v>64.99636136628331</c:v>
                </c:pt>
                <c:pt idx="767">
                  <c:v>62.317953485867655</c:v>
                </c:pt>
                <c:pt idx="768">
                  <c:v>64.655834944392794</c:v>
                </c:pt>
                <c:pt idx="769">
                  <c:v>66.596392214034935</c:v>
                </c:pt>
                <c:pt idx="770">
                  <c:v>71.711075408842447</c:v>
                </c:pt>
                <c:pt idx="771">
                  <c:v>76.123497548875847</c:v>
                </c:pt>
                <c:pt idx="772">
                  <c:v>79.857354559436729</c:v>
                </c:pt>
                <c:pt idx="773">
                  <c:v>81.90264875300312</c:v>
                </c:pt>
                <c:pt idx="774">
                  <c:v>80.779730049035507</c:v>
                </c:pt>
                <c:pt idx="775">
                  <c:v>85.827524072409943</c:v>
                </c:pt>
                <c:pt idx="776">
                  <c:v>83.72642949226443</c:v>
                </c:pt>
                <c:pt idx="777">
                  <c:v>84.045469478306885</c:v>
                </c:pt>
                <c:pt idx="778">
                  <c:v>85.136324261489676</c:v>
                </c:pt>
                <c:pt idx="779">
                  <c:v>78.39775509195573</c:v>
                </c:pt>
                <c:pt idx="780">
                  <c:v>81.429719516590154</c:v>
                </c:pt>
                <c:pt idx="781">
                  <c:v>80.452769344148805</c:v>
                </c:pt>
                <c:pt idx="782">
                  <c:v>81.75927148841059</c:v>
                </c:pt>
                <c:pt idx="783">
                  <c:v>80.902211955712488</c:v>
                </c:pt>
                <c:pt idx="784">
                  <c:v>82.40598186629154</c:v>
                </c:pt>
                <c:pt idx="785">
                  <c:v>84.132745721670162</c:v>
                </c:pt>
                <c:pt idx="786">
                  <c:v>77.787824729154366</c:v>
                </c:pt>
                <c:pt idx="787">
                  <c:v>73.237884681439738</c:v>
                </c:pt>
                <c:pt idx="788">
                  <c:v>73.161931879931956</c:v>
                </c:pt>
                <c:pt idx="789">
                  <c:v>71.337787853546232</c:v>
                </c:pt>
                <c:pt idx="790">
                  <c:v>71.411090287478302</c:v>
                </c:pt>
                <c:pt idx="791">
                  <c:v>78.450646390833299</c:v>
                </c:pt>
                <c:pt idx="792">
                  <c:v>78.757948310737703</c:v>
                </c:pt>
                <c:pt idx="793">
                  <c:v>82.010680452391242</c:v>
                </c:pt>
                <c:pt idx="794">
                  <c:v>85.988100364073489</c:v>
                </c:pt>
                <c:pt idx="795">
                  <c:v>90.973734190194349</c:v>
                </c:pt>
                <c:pt idx="796">
                  <c:v>91.299371250547424</c:v>
                </c:pt>
                <c:pt idx="797">
                  <c:v>92.788487814644682</c:v>
                </c:pt>
                <c:pt idx="798">
                  <c:v>93.665033196402192</c:v>
                </c:pt>
                <c:pt idx="799">
                  <c:v>98.404861391455114</c:v>
                </c:pt>
                <c:pt idx="800">
                  <c:v>101.5236218652951</c:v>
                </c:pt>
                <c:pt idx="801">
                  <c:v>94.632758717094603</c:v>
                </c:pt>
                <c:pt idx="802">
                  <c:v>98.93495379348559</c:v>
                </c:pt>
                <c:pt idx="803">
                  <c:v>97.207495432413296</c:v>
                </c:pt>
                <c:pt idx="804">
                  <c:v>99.607195311184341</c:v>
                </c:pt>
                <c:pt idx="805">
                  <c:v>106.83751658847279</c:v>
                </c:pt>
                <c:pt idx="806">
                  <c:v>104.38995465637782</c:v>
                </c:pt>
                <c:pt idx="807">
                  <c:v>98.313686291374637</c:v>
                </c:pt>
                <c:pt idx="808">
                  <c:v>101.99409378775678</c:v>
                </c:pt>
                <c:pt idx="809">
                  <c:v>101.12805805333554</c:v>
                </c:pt>
                <c:pt idx="810">
                  <c:v>98.339086020929415</c:v>
                </c:pt>
                <c:pt idx="811">
                  <c:v>96.753071275009376</c:v>
                </c:pt>
                <c:pt idx="812">
                  <c:v>99.092046219609855</c:v>
                </c:pt>
                <c:pt idx="813">
                  <c:v>94.827794830788278</c:v>
                </c:pt>
                <c:pt idx="814">
                  <c:v>95.589065563514254</c:v>
                </c:pt>
                <c:pt idx="815">
                  <c:v>93.67384693168411</c:v>
                </c:pt>
                <c:pt idx="816">
                  <c:v>97.119232657262884</c:v>
                </c:pt>
                <c:pt idx="817">
                  <c:v>92.309103379743959</c:v>
                </c:pt>
                <c:pt idx="818">
                  <c:v>92.01091156425943</c:v>
                </c:pt>
                <c:pt idx="819">
                  <c:v>89.140738336732724</c:v>
                </c:pt>
                <c:pt idx="820">
                  <c:v>89.516261155456391</c:v>
                </c:pt>
                <c:pt idx="821">
                  <c:v>93.177554240426915</c:v>
                </c:pt>
                <c:pt idx="822">
                  <c:v>92.422938842323092</c:v>
                </c:pt>
                <c:pt idx="823">
                  <c:v>96.951221431872241</c:v>
                </c:pt>
                <c:pt idx="824">
                  <c:v>98.176047969055531</c:v>
                </c:pt>
                <c:pt idx="825">
                  <c:v>100.37352243249434</c:v>
                </c:pt>
                <c:pt idx="826">
                  <c:v>95.520288759625657</c:v>
                </c:pt>
                <c:pt idx="827">
                  <c:v>98.556683089068017</c:v>
                </c:pt>
                <c:pt idx="828">
                  <c:v>103.27607320350425</c:v>
                </c:pt>
                <c:pt idx="829">
                  <c:v>106.88882184927859</c:v>
                </c:pt>
                <c:pt idx="830">
                  <c:v>109.07828186669808</c:v>
                </c:pt>
                <c:pt idx="831">
                  <c:v>111.34091120074511</c:v>
                </c:pt>
                <c:pt idx="832">
                  <c:v>116.42736415698586</c:v>
                </c:pt>
                <c:pt idx="833">
                  <c:v>120.45946147271516</c:v>
                </c:pt>
                <c:pt idx="834">
                  <c:v>121.15377734420912</c:v>
                </c:pt>
                <c:pt idx="835">
                  <c:v>115.11267306923914</c:v>
                </c:pt>
                <c:pt idx="836">
                  <c:v>113.38715232133852</c:v>
                </c:pt>
                <c:pt idx="837">
                  <c:v>120.92690042226273</c:v>
                </c:pt>
                <c:pt idx="838">
                  <c:v>124.56021402403299</c:v>
                </c:pt>
                <c:pt idx="839">
                  <c:v>133.7255621327605</c:v>
                </c:pt>
                <c:pt idx="840">
                  <c:v>136.94910452979667</c:v>
                </c:pt>
                <c:pt idx="841">
                  <c:v>145.37033366019668</c:v>
                </c:pt>
                <c:pt idx="842">
                  <c:v>153.28175288778044</c:v>
                </c:pt>
                <c:pt idx="843">
                  <c:v>151.83920985544424</c:v>
                </c:pt>
                <c:pt idx="844">
                  <c:v>156.81732030146756</c:v>
                </c:pt>
                <c:pt idx="845">
                  <c:v>163.73078195174946</c:v>
                </c:pt>
                <c:pt idx="846">
                  <c:v>172.94523914612205</c:v>
                </c:pt>
                <c:pt idx="847">
                  <c:v>186.20409574884474</c:v>
                </c:pt>
                <c:pt idx="848">
                  <c:v>177.66539123188369</c:v>
                </c:pt>
                <c:pt idx="849">
                  <c:v>182.47054528331728</c:v>
                </c:pt>
                <c:pt idx="850">
                  <c:v>170.91490811218597</c:v>
                </c:pt>
                <c:pt idx="851">
                  <c:v>168.41484210579065</c:v>
                </c:pt>
                <c:pt idx="852">
                  <c:v>173.96421937295077</c:v>
                </c:pt>
                <c:pt idx="853">
                  <c:v>183.5510449010718</c:v>
                </c:pt>
                <c:pt idx="854">
                  <c:v>194.68600537672646</c:v>
                </c:pt>
                <c:pt idx="855">
                  <c:v>206.64828851323895</c:v>
                </c:pt>
                <c:pt idx="856">
                  <c:v>211.4711427443456</c:v>
                </c:pt>
                <c:pt idx="857">
                  <c:v>205.8220563701347</c:v>
                </c:pt>
                <c:pt idx="858">
                  <c:v>212.81122220791374</c:v>
                </c:pt>
                <c:pt idx="859">
                  <c:v>215.7837300732254</c:v>
                </c:pt>
                <c:pt idx="860">
                  <c:v>184.25306001418224</c:v>
                </c:pt>
                <c:pt idx="861">
                  <c:v>176.31100375724571</c:v>
                </c:pt>
                <c:pt idx="862">
                  <c:v>183.83339042948541</c:v>
                </c:pt>
                <c:pt idx="863">
                  <c:v>201.70058086396381</c:v>
                </c:pt>
                <c:pt idx="864">
                  <c:v>207.67112885247695</c:v>
                </c:pt>
                <c:pt idx="865">
                  <c:v>215.77112475507329</c:v>
                </c:pt>
                <c:pt idx="866">
                  <c:v>216.00778326817723</c:v>
                </c:pt>
                <c:pt idx="867">
                  <c:v>231.79182150288625</c:v>
                </c:pt>
                <c:pt idx="868">
                  <c:v>247.4115482875057</c:v>
                </c:pt>
                <c:pt idx="869">
                  <c:v>240.81709306506281</c:v>
                </c:pt>
                <c:pt idx="870">
                  <c:v>256.58646006144318</c:v>
                </c:pt>
                <c:pt idx="871">
                  <c:v>258.71548214990258</c:v>
                </c:pt>
                <c:pt idx="872">
                  <c:v>250.77154848154692</c:v>
                </c:pt>
                <c:pt idx="873">
                  <c:v>251.58923256524605</c:v>
                </c:pt>
                <c:pt idx="874">
                  <c:v>258.47537274263954</c:v>
                </c:pt>
                <c:pt idx="875">
                  <c:v>277.27977608058609</c:v>
                </c:pt>
                <c:pt idx="876">
                  <c:v>304.61796611401132</c:v>
                </c:pt>
                <c:pt idx="877">
                  <c:v>288.04410008703746</c:v>
                </c:pt>
                <c:pt idx="878">
                  <c:v>297.76918973227026</c:v>
                </c:pt>
                <c:pt idx="879">
                  <c:v>327.10094456979681</c:v>
                </c:pt>
                <c:pt idx="880">
                  <c:v>312.930093596098</c:v>
                </c:pt>
                <c:pt idx="881">
                  <c:v>316.00323088242243</c:v>
                </c:pt>
                <c:pt idx="882">
                  <c:v>312.86452088435675</c:v>
                </c:pt>
                <c:pt idx="883">
                  <c:v>305.62217970315913</c:v>
                </c:pt>
                <c:pt idx="884">
                  <c:v>329.16549575034065</c:v>
                </c:pt>
                <c:pt idx="885">
                  <c:v>318.80965826400899</c:v>
                </c:pt>
                <c:pt idx="886">
                  <c:v>316.48934098246434</c:v>
                </c:pt>
                <c:pt idx="887">
                  <c:v>297.28391655191876</c:v>
                </c:pt>
                <c:pt idx="888">
                  <c:v>286.75761135551016</c:v>
                </c:pt>
                <c:pt idx="889">
                  <c:v>284.09611823645776</c:v>
                </c:pt>
                <c:pt idx="890">
                  <c:v>267.33243663340937</c:v>
                </c:pt>
                <c:pt idx="891">
                  <c:v>253.13695366024714</c:v>
                </c:pt>
                <c:pt idx="892">
                  <c:v>276.03586153569836</c:v>
                </c:pt>
                <c:pt idx="893">
                  <c:v>278.59457622229758</c:v>
                </c:pt>
                <c:pt idx="894">
                  <c:v>274.47871477144122</c:v>
                </c:pt>
                <c:pt idx="895">
                  <c:v>266.98371081644115</c:v>
                </c:pt>
                <c:pt idx="896">
                  <c:v>243.86455314093158</c:v>
                </c:pt>
                <c:pt idx="897">
                  <c:v>217.53990697245354</c:v>
                </c:pt>
                <c:pt idx="898">
                  <c:v>220.45759766979833</c:v>
                </c:pt>
                <c:pt idx="899">
                  <c:v>235.30144520623764</c:v>
                </c:pt>
                <c:pt idx="900">
                  <c:v>235.70687621372957</c:v>
                </c:pt>
                <c:pt idx="901">
                  <c:v>231.26584586677271</c:v>
                </c:pt>
                <c:pt idx="902">
                  <c:v>234.23047244580675</c:v>
                </c:pt>
                <c:pt idx="903">
                  <c:v>242.59878719462054</c:v>
                </c:pt>
                <c:pt idx="904">
                  <c:v>230.79619681470695</c:v>
                </c:pt>
                <c:pt idx="905">
                  <c:v>221.61448393664583</c:v>
                </c:pt>
                <c:pt idx="906">
                  <c:v>202.36117369092977</c:v>
                </c:pt>
                <c:pt idx="907">
                  <c:v>178.34764988942601</c:v>
                </c:pt>
                <c:pt idx="908">
                  <c:v>182.18330652510554</c:v>
                </c:pt>
                <c:pt idx="909">
                  <c:v>161.71310517342536</c:v>
                </c:pt>
                <c:pt idx="910">
                  <c:v>172.78366638827049</c:v>
                </c:pt>
                <c:pt idx="911">
                  <c:v>179.00441275558359</c:v>
                </c:pt>
                <c:pt idx="912">
                  <c:v>167.22074355308266</c:v>
                </c:pt>
                <c:pt idx="913">
                  <c:v>155.33269348776196</c:v>
                </c:pt>
                <c:pt idx="914">
                  <c:v>152.03519710902498</c:v>
                </c:pt>
                <c:pt idx="915">
                  <c:v>151.58596659383213</c:v>
                </c:pt>
                <c:pt idx="916">
                  <c:v>166.56547294332461</c:v>
                </c:pt>
                <c:pt idx="917">
                  <c:v>167.44551785277017</c:v>
                </c:pt>
                <c:pt idx="918">
                  <c:v>171.71622768549472</c:v>
                </c:pt>
                <c:pt idx="919">
                  <c:v>182.28992812593017</c:v>
                </c:pt>
                <c:pt idx="920">
                  <c:v>189.42640094628996</c:v>
                </c:pt>
                <c:pt idx="921">
                  <c:v>190.50537906122725</c:v>
                </c:pt>
                <c:pt idx="922">
                  <c:v>192.32761592956561</c:v>
                </c:pt>
                <c:pt idx="923">
                  <c:v>196.325715289909</c:v>
                </c:pt>
                <c:pt idx="924">
                  <c:v>198.10703885252076</c:v>
                </c:pt>
                <c:pt idx="925">
                  <c:v>198.95948942929658</c:v>
                </c:pt>
                <c:pt idx="926">
                  <c:v>203.64920474612413</c:v>
                </c:pt>
                <c:pt idx="927">
                  <c:v>208.57149876145826</c:v>
                </c:pt>
                <c:pt idx="928">
                  <c:v>206.42142118207462</c:v>
                </c:pt>
                <c:pt idx="929">
                  <c:v>206.88481255326272</c:v>
                </c:pt>
                <c:pt idx="930">
                  <c:v>206.19642059919033</c:v>
                </c:pt>
                <c:pt idx="931">
                  <c:v>200.06549580337429</c:v>
                </c:pt>
                <c:pt idx="932">
                  <c:v>203.38225377272826</c:v>
                </c:pt>
                <c:pt idx="933">
                  <c:v>207.66852383868897</c:v>
                </c:pt>
                <c:pt idx="934">
                  <c:v>207.13296065084884</c:v>
                </c:pt>
                <c:pt idx="935">
                  <c:v>207.01485673183234</c:v>
                </c:pt>
                <c:pt idx="936">
                  <c:v>209.35487835976457</c:v>
                </c:pt>
                <c:pt idx="937">
                  <c:v>211.80965820250245</c:v>
                </c:pt>
                <c:pt idx="938">
                  <c:v>221.72752466565936</c:v>
                </c:pt>
                <c:pt idx="939">
                  <c:v>215.30173814943512</c:v>
                </c:pt>
                <c:pt idx="940">
                  <c:v>214.33161850662069</c:v>
                </c:pt>
                <c:pt idx="941">
                  <c:v>222.29948046884948</c:v>
                </c:pt>
                <c:pt idx="942">
                  <c:v>233.53458428693256</c:v>
                </c:pt>
                <c:pt idx="943">
                  <c:v>249.77993012079327</c:v>
                </c:pt>
                <c:pt idx="944">
                  <c:v>246.4657577565701</c:v>
                </c:pt>
                <c:pt idx="945">
                  <c:v>255.11443207646221</c:v>
                </c:pt>
                <c:pt idx="946">
                  <c:v>251.94320955301899</c:v>
                </c:pt>
                <c:pt idx="947">
                  <c:v>263.39207732287713</c:v>
                </c:pt>
                <c:pt idx="948">
                  <c:v>267.34280728279515</c:v>
                </c:pt>
                <c:pt idx="949">
                  <c:v>276.07594782165262</c:v>
                </c:pt>
                <c:pt idx="950">
                  <c:v>281.01209344882034</c:v>
                </c:pt>
                <c:pt idx="951">
                  <c:v>289.23149541024662</c:v>
                </c:pt>
                <c:pt idx="952">
                  <c:v>293.18473871965944</c:v>
                </c:pt>
                <c:pt idx="953">
                  <c:v>269.83970142721631</c:v>
                </c:pt>
                <c:pt idx="954">
                  <c:v>273.38535098079785</c:v>
                </c:pt>
                <c:pt idx="955">
                  <c:v>278.57675649552289</c:v>
                </c:pt>
                <c:pt idx="956">
                  <c:v>284.61348931650315</c:v>
                </c:pt>
                <c:pt idx="957">
                  <c:v>290.16106381757731</c:v>
                </c:pt>
                <c:pt idx="958">
                  <c:v>302.113666840235</c:v>
                </c:pt>
                <c:pt idx="959">
                  <c:v>303.27470884052769</c:v>
                </c:pt>
                <c:pt idx="960">
                  <c:v>302.79289142984993</c:v>
                </c:pt>
                <c:pt idx="961">
                  <c:v>318.65060652213919</c:v>
                </c:pt>
                <c:pt idx="962">
                  <c:v>317.11205188179537</c:v>
                </c:pt>
                <c:pt idx="963">
                  <c:v>319.77606069448501</c:v>
                </c:pt>
                <c:pt idx="964">
                  <c:v>330.5949168375069</c:v>
                </c:pt>
                <c:pt idx="965">
                  <c:v>343.97679784557926</c:v>
                </c:pt>
                <c:pt idx="966">
                  <c:v>344.98556104794477</c:v>
                </c:pt>
                <c:pt idx="967">
                  <c:v>332.15495495220517</c:v>
                </c:pt>
                <c:pt idx="968">
                  <c:v>330.32460816297987</c:v>
                </c:pt>
                <c:pt idx="969">
                  <c:v>341.84581357430324</c:v>
                </c:pt>
                <c:pt idx="970">
                  <c:v>346.51356816868122</c:v>
                </c:pt>
                <c:pt idx="971">
                  <c:v>318.41357672685245</c:v>
                </c:pt>
                <c:pt idx="972">
                  <c:v>317.67292842150704</c:v>
                </c:pt>
                <c:pt idx="973">
                  <c:v>285.69896088807337</c:v>
                </c:pt>
                <c:pt idx="974">
                  <c:v>281.91268710960185</c:v>
                </c:pt>
                <c:pt idx="975">
                  <c:v>260.41683624154683</c:v>
                </c:pt>
                <c:pt idx="976">
                  <c:v>273.84095892034401</c:v>
                </c:pt>
                <c:pt idx="977">
                  <c:v>286.90205161002814</c:v>
                </c:pt>
                <c:pt idx="978">
                  <c:v>264.63116431920793</c:v>
                </c:pt>
                <c:pt idx="979">
                  <c:v>257.79927641626705</c:v>
                </c:pt>
                <c:pt idx="980">
                  <c:v>268.13794769564618</c:v>
                </c:pt>
                <c:pt idx="981">
                  <c:v>241.29772934182637</c:v>
                </c:pt>
                <c:pt idx="982">
                  <c:v>197.07607660690502</c:v>
                </c:pt>
                <c:pt idx="983">
                  <c:v>187.18265054286738</c:v>
                </c:pt>
                <c:pt idx="984">
                  <c:v>188.59611236795391</c:v>
                </c:pt>
                <c:pt idx="985">
                  <c:v>171.59430900007857</c:v>
                </c:pt>
                <c:pt idx="986">
                  <c:v>159.46016280843133</c:v>
                </c:pt>
                <c:pt idx="987">
                  <c:v>171.03893396820442</c:v>
                </c:pt>
                <c:pt idx="988">
                  <c:v>187.97135716592746</c:v>
                </c:pt>
                <c:pt idx="989">
                  <c:v>198.33942208959729</c:v>
                </c:pt>
                <c:pt idx="990">
                  <c:v>193.83405732103679</c:v>
                </c:pt>
                <c:pt idx="991">
                  <c:v>211.02474004589681</c:v>
                </c:pt>
                <c:pt idx="992">
                  <c:v>217.80401273434038</c:v>
                </c:pt>
                <c:pt idx="993">
                  <c:v>220.63829699299481</c:v>
                </c:pt>
                <c:pt idx="994">
                  <c:v>211.59886662793807</c:v>
                </c:pt>
                <c:pt idx="995">
                  <c:v>217.99252284467198</c:v>
                </c:pt>
                <c:pt idx="996">
                  <c:v>225.54330899086</c:v>
                </c:pt>
                <c:pt idx="997">
                  <c:v>218.29157333625815</c:v>
                </c:pt>
                <c:pt idx="998">
                  <c:v>229.18653952873314</c:v>
                </c:pt>
                <c:pt idx="999">
                  <c:v>243.00646762126036</c:v>
                </c:pt>
                <c:pt idx="1000">
                  <c:v>241.79551376015024</c:v>
                </c:pt>
                <c:pt idx="1001">
                  <c:v>231.47320714141549</c:v>
                </c:pt>
                <c:pt idx="1002">
                  <c:v>224.2448258851764</c:v>
                </c:pt>
                <c:pt idx="1003">
                  <c:v>228.35365191238762</c:v>
                </c:pt>
                <c:pt idx="1004">
                  <c:v>217.00745631927506</c:v>
                </c:pt>
                <c:pt idx="1005">
                  <c:v>228.8625633661951</c:v>
                </c:pt>
                <c:pt idx="1006">
                  <c:v>228.41173196196928</c:v>
                </c:pt>
                <c:pt idx="1007">
                  <c:v>226.41451416953873</c:v>
                </c:pt>
                <c:pt idx="1008">
                  <c:v>239.70865166382191</c:v>
                </c:pt>
                <c:pt idx="1009">
                  <c:v>244.20442154578041</c:v>
                </c:pt>
                <c:pt idx="1010">
                  <c:v>251.20207672255341</c:v>
                </c:pt>
                <c:pt idx="1011">
                  <c:v>241.65145725919865</c:v>
                </c:pt>
                <c:pt idx="1012">
                  <c:v>247.52712141299489</c:v>
                </c:pt>
                <c:pt idx="1013">
                  <c:v>236.82979405058484</c:v>
                </c:pt>
                <c:pt idx="1014">
                  <c:v>224.51605875133987</c:v>
                </c:pt>
                <c:pt idx="1015">
                  <c:v>218.22421890326586</c:v>
                </c:pt>
                <c:pt idx="1016">
                  <c:v>193.3105430564755</c:v>
                </c:pt>
                <c:pt idx="1017">
                  <c:v>196.9838863614404</c:v>
                </c:pt>
                <c:pt idx="1018">
                  <c:v>223.3003552800426</c:v>
                </c:pt>
                <c:pt idx="1019">
                  <c:v>220.68157945499667</c:v>
                </c:pt>
                <c:pt idx="1020">
                  <c:v>226.02638694872985</c:v>
                </c:pt>
                <c:pt idx="1021">
                  <c:v>240.60841325110394</c:v>
                </c:pt>
                <c:pt idx="1022">
                  <c:v>246.2089107224607</c:v>
                </c:pt>
                <c:pt idx="1023">
                  <c:v>250.29226587992605</c:v>
                </c:pt>
                <c:pt idx="1024">
                  <c:v>248.98221704939525</c:v>
                </c:pt>
                <c:pt idx="1025">
                  <c:v>232.63105947645272</c:v>
                </c:pt>
                <c:pt idx="1026">
                  <c:v>250.24273502889304</c:v>
                </c:pt>
                <c:pt idx="1027">
                  <c:v>259.06600681910481</c:v>
                </c:pt>
                <c:pt idx="1028">
                  <c:v>264.99931226700937</c:v>
                </c:pt>
                <c:pt idx="1029">
                  <c:v>264.7670977860796</c:v>
                </c:pt>
                <c:pt idx="1030">
                  <c:v>260.36611785835049</c:v>
                </c:pt>
                <c:pt idx="1031">
                  <c:v>265.15385859519466</c:v>
                </c:pt>
                <c:pt idx="1032">
                  <c:v>264.95990432920615</c:v>
                </c:pt>
                <c:pt idx="1033">
                  <c:v>280.7427427305401</c:v>
                </c:pt>
                <c:pt idx="1034">
                  <c:v>281.50467126510699</c:v>
                </c:pt>
                <c:pt idx="1035">
                  <c:v>296.33855895259228</c:v>
                </c:pt>
                <c:pt idx="1036">
                  <c:v>302.65727017870842</c:v>
                </c:pt>
                <c:pt idx="1037">
                  <c:v>308.71478748569808</c:v>
                </c:pt>
                <c:pt idx="1038">
                  <c:v>294.99082964243269</c:v>
                </c:pt>
                <c:pt idx="1039">
                  <c:v>315.35642899187638</c:v>
                </c:pt>
                <c:pt idx="1040">
                  <c:v>303.08798630991788</c:v>
                </c:pt>
                <c:pt idx="1041">
                  <c:v>316.9670031524513</c:v>
                </c:pt>
                <c:pt idx="1042">
                  <c:v>321.00160968498415</c:v>
                </c:pt>
                <c:pt idx="1043">
                  <c:v>329.68038635735843</c:v>
                </c:pt>
                <c:pt idx="1044">
                  <c:v>330.50041353881301</c:v>
                </c:pt>
                <c:pt idx="1045">
                  <c:v>323.58940033840327</c:v>
                </c:pt>
                <c:pt idx="1046">
                  <c:v>337.23473900317862</c:v>
                </c:pt>
                <c:pt idx="1047">
                  <c:v>333.76022966792709</c:v>
                </c:pt>
                <c:pt idx="1048">
                  <c:v>338.67980257624731</c:v>
                </c:pt>
                <c:pt idx="1049">
                  <c:v>347.83127286381313</c:v>
                </c:pt>
                <c:pt idx="1050">
                  <c:v>358.17539944494291</c:v>
                </c:pt>
                <c:pt idx="1051">
                  <c:v>353.93320074167104</c:v>
                </c:pt>
                <c:pt idx="1052">
                  <c:v>366.44026296510839</c:v>
                </c:pt>
                <c:pt idx="1053">
                  <c:v>366.29191283933005</c:v>
                </c:pt>
                <c:pt idx="1054">
                  <c:v>374.44008971522447</c:v>
                </c:pt>
                <c:pt idx="1055">
                  <c:v>384.8387066577917</c:v>
                </c:pt>
                <c:pt idx="1056">
                  <c:v>382.79553434823936</c:v>
                </c:pt>
                <c:pt idx="1057">
                  <c:v>362.66149397782618</c:v>
                </c:pt>
                <c:pt idx="1058">
                  <c:v>383.76858700946656</c:v>
                </c:pt>
                <c:pt idx="1059">
                  <c:v>396.8966079717373</c:v>
                </c:pt>
                <c:pt idx="1060">
                  <c:v>400.43999702854916</c:v>
                </c:pt>
                <c:pt idx="1061">
                  <c:v>390.31963012972835</c:v>
                </c:pt>
                <c:pt idx="1062">
                  <c:v>382.41828192786409</c:v>
                </c:pt>
                <c:pt idx="1063">
                  <c:v>399.22307748167475</c:v>
                </c:pt>
                <c:pt idx="1064">
                  <c:v>380.04873075388679</c:v>
                </c:pt>
                <c:pt idx="1065">
                  <c:v>366.43153886042091</c:v>
                </c:pt>
                <c:pt idx="1066">
                  <c:v>393.49282564696244</c:v>
                </c:pt>
                <c:pt idx="1067">
                  <c:v>407.4226686476959</c:v>
                </c:pt>
                <c:pt idx="1068">
                  <c:v>398.64391507460147</c:v>
                </c:pt>
                <c:pt idx="1069">
                  <c:v>377.36428995304669</c:v>
                </c:pt>
                <c:pt idx="1070">
                  <c:v>369.62244446207796</c:v>
                </c:pt>
                <c:pt idx="1071">
                  <c:v>391.49747353248057</c:v>
                </c:pt>
                <c:pt idx="1072">
                  <c:v>390.52433136402783</c:v>
                </c:pt>
                <c:pt idx="1073">
                  <c:v>399.33131840739401</c:v>
                </c:pt>
                <c:pt idx="1074">
                  <c:v>392.71033062039533</c:v>
                </c:pt>
                <c:pt idx="1075">
                  <c:v>415.52482578405983</c:v>
                </c:pt>
                <c:pt idx="1076">
                  <c:v>411.70549473176624</c:v>
                </c:pt>
                <c:pt idx="1077">
                  <c:v>416.35396664196946</c:v>
                </c:pt>
                <c:pt idx="1078">
                  <c:v>413.72868104791934</c:v>
                </c:pt>
                <c:pt idx="1079">
                  <c:v>423.78609381697169</c:v>
                </c:pt>
                <c:pt idx="1080">
                  <c:v>444.64367633749345</c:v>
                </c:pt>
                <c:pt idx="1081">
                  <c:v>453.29422525170673</c:v>
                </c:pt>
                <c:pt idx="1082">
                  <c:v>461.94306771313546</c:v>
                </c:pt>
                <c:pt idx="1083">
                  <c:v>466.56153362780316</c:v>
                </c:pt>
                <c:pt idx="1084">
                  <c:v>473.34234583448716</c:v>
                </c:pt>
                <c:pt idx="1085">
                  <c:v>476.3228598154538</c:v>
                </c:pt>
                <c:pt idx="1086">
                  <c:v>470.26156417097388</c:v>
                </c:pt>
                <c:pt idx="1087">
                  <c:v>478.90197388018703</c:v>
                </c:pt>
                <c:pt idx="1088">
                  <c:v>482.95254094528519</c:v>
                </c:pt>
                <c:pt idx="1089">
                  <c:v>493.82621254214791</c:v>
                </c:pt>
                <c:pt idx="1090">
                  <c:v>512.64107946788693</c:v>
                </c:pt>
                <c:pt idx="1091">
                  <c:v>529.64014228992278</c:v>
                </c:pt>
                <c:pt idx="1092">
                  <c:v>533.87850178850852</c:v>
                </c:pt>
                <c:pt idx="1093">
                  <c:v>551.26501141831511</c:v>
                </c:pt>
                <c:pt idx="1094">
                  <c:v>513.73676989813339</c:v>
                </c:pt>
                <c:pt idx="1095">
                  <c:v>508.8626168095218</c:v>
                </c:pt>
                <c:pt idx="1096">
                  <c:v>526.92748071290623</c:v>
                </c:pt>
                <c:pt idx="1097">
                  <c:v>546.79062978886714</c:v>
                </c:pt>
                <c:pt idx="1098">
                  <c:v>543.31107824252445</c:v>
                </c:pt>
                <c:pt idx="1099">
                  <c:v>564.40546502959398</c:v>
                </c:pt>
                <c:pt idx="1100">
                  <c:v>568.35089598552327</c:v>
                </c:pt>
                <c:pt idx="1101">
                  <c:v>559.87826741895719</c:v>
                </c:pt>
                <c:pt idx="1102">
                  <c:v>532.36838288044316</c:v>
                </c:pt>
                <c:pt idx="1103">
                  <c:v>542.15510360772134</c:v>
                </c:pt>
                <c:pt idx="1104">
                  <c:v>496.22105286284437</c:v>
                </c:pt>
                <c:pt idx="1105">
                  <c:v>535.53601444541073</c:v>
                </c:pt>
                <c:pt idx="1106">
                  <c:v>558.75440477220616</c:v>
                </c:pt>
                <c:pt idx="1107">
                  <c:v>565.90340021570239</c:v>
                </c:pt>
                <c:pt idx="1108">
                  <c:v>591.53926187048626</c:v>
                </c:pt>
                <c:pt idx="1109">
                  <c:v>559.5122311085471</c:v>
                </c:pt>
                <c:pt idx="1110">
                  <c:v>583.76223319232679</c:v>
                </c:pt>
                <c:pt idx="1111">
                  <c:v>589.68953052560425</c:v>
                </c:pt>
                <c:pt idx="1112">
                  <c:v>572.71284806793983</c:v>
                </c:pt>
                <c:pt idx="1113">
                  <c:v>593.00825711143784</c:v>
                </c:pt>
                <c:pt idx="1114">
                  <c:v>612.69930298687143</c:v>
                </c:pt>
                <c:pt idx="1115">
                  <c:v>629.95207257874097</c:v>
                </c:pt>
                <c:pt idx="1116">
                  <c:v>641.81053231545616</c:v>
                </c:pt>
                <c:pt idx="1117">
                  <c:v>632.94618329560603</c:v>
                </c:pt>
                <c:pt idx="1118">
                  <c:v>583.86155794931733</c:v>
                </c:pt>
                <c:pt idx="1119">
                  <c:v>495.36357158176719</c:v>
                </c:pt>
                <c:pt idx="1120">
                  <c:v>555.85686632954582</c:v>
                </c:pt>
                <c:pt idx="1121">
                  <c:v>582.46141326246106</c:v>
                </c:pt>
                <c:pt idx="1122">
                  <c:v>588.84314133884698</c:v>
                </c:pt>
                <c:pt idx="1123">
                  <c:v>610.33153978661801</c:v>
                </c:pt>
                <c:pt idx="1124">
                  <c:v>635.70859207473404</c:v>
                </c:pt>
                <c:pt idx="1125">
                  <c:v>617.78509221037871</c:v>
                </c:pt>
                <c:pt idx="1126">
                  <c:v>597.89883146688101</c:v>
                </c:pt>
                <c:pt idx="1127">
                  <c:v>674.20457660075397</c:v>
                </c:pt>
                <c:pt idx="1128">
                  <c:v>687.09998839094158</c:v>
                </c:pt>
              </c:numCache>
            </c:numRef>
          </c:yVal>
          <c:smooth val="1"/>
          <c:extLst>
            <c:ext xmlns:c16="http://schemas.microsoft.com/office/drawing/2014/chart" uri="{C3380CC4-5D6E-409C-BE32-E72D297353CC}">
              <c16:uniqueId val="{00000001-4B68-4FEC-B8E9-CBBD6F2590D8}"/>
            </c:ext>
          </c:extLst>
        </c:ser>
        <c:ser>
          <c:idx val="2"/>
          <c:order val="2"/>
          <c:tx>
            <c:strRef>
              <c:f>'HistoricalWorldStocks_SMA-CHF'!$AN$27</c:f>
              <c:strCache>
                <c:ptCount val="1"/>
                <c:pt idx="0">
                  <c:v>SMA(10m) senza costi</c:v>
                </c:pt>
              </c:strCache>
            </c:strRef>
          </c:tx>
          <c:spPr>
            <a:ln w="19050" cap="rnd">
              <a:solidFill>
                <a:schemeClr val="accent3"/>
              </a:solidFill>
              <a:round/>
            </a:ln>
            <a:effectLst/>
          </c:spPr>
          <c:marker>
            <c:symbol val="none"/>
          </c:marker>
          <c:xVal>
            <c:numRef>
              <c:f>'HistoricalWorldStocks_SMA-CHF'!$AK$38:$AK$1166</c:f>
              <c:numCache>
                <c:formatCode>m/d/yyyy</c:formatCode>
                <c:ptCount val="1129"/>
                <c:pt idx="0">
                  <c:v>9862</c:v>
                </c:pt>
                <c:pt idx="1">
                  <c:v>9893</c:v>
                </c:pt>
                <c:pt idx="2">
                  <c:v>9924</c:v>
                </c:pt>
                <c:pt idx="3">
                  <c:v>9955</c:v>
                </c:pt>
                <c:pt idx="4">
                  <c:v>9986</c:v>
                </c:pt>
                <c:pt idx="5">
                  <c:v>10017</c:v>
                </c:pt>
                <c:pt idx="6">
                  <c:v>10048</c:v>
                </c:pt>
                <c:pt idx="7">
                  <c:v>10079</c:v>
                </c:pt>
                <c:pt idx="8">
                  <c:v>10110</c:v>
                </c:pt>
                <c:pt idx="9">
                  <c:v>10141</c:v>
                </c:pt>
                <c:pt idx="10">
                  <c:v>10172</c:v>
                </c:pt>
                <c:pt idx="11">
                  <c:v>10203</c:v>
                </c:pt>
                <c:pt idx="12">
                  <c:v>10234</c:v>
                </c:pt>
                <c:pt idx="13">
                  <c:v>10265</c:v>
                </c:pt>
                <c:pt idx="14">
                  <c:v>10296</c:v>
                </c:pt>
                <c:pt idx="15">
                  <c:v>10327</c:v>
                </c:pt>
                <c:pt idx="16">
                  <c:v>10358</c:v>
                </c:pt>
                <c:pt idx="17">
                  <c:v>10389</c:v>
                </c:pt>
                <c:pt idx="18">
                  <c:v>10420</c:v>
                </c:pt>
                <c:pt idx="19">
                  <c:v>10451</c:v>
                </c:pt>
                <c:pt idx="20">
                  <c:v>10482</c:v>
                </c:pt>
                <c:pt idx="21">
                  <c:v>10513</c:v>
                </c:pt>
                <c:pt idx="22">
                  <c:v>10544</c:v>
                </c:pt>
                <c:pt idx="23">
                  <c:v>10575</c:v>
                </c:pt>
                <c:pt idx="24">
                  <c:v>10606</c:v>
                </c:pt>
                <c:pt idx="25">
                  <c:v>10637</c:v>
                </c:pt>
                <c:pt idx="26">
                  <c:v>10668</c:v>
                </c:pt>
                <c:pt idx="27">
                  <c:v>10699</c:v>
                </c:pt>
                <c:pt idx="28">
                  <c:v>10730</c:v>
                </c:pt>
                <c:pt idx="29">
                  <c:v>10761</c:v>
                </c:pt>
                <c:pt idx="30">
                  <c:v>10792</c:v>
                </c:pt>
                <c:pt idx="31">
                  <c:v>10823</c:v>
                </c:pt>
                <c:pt idx="32">
                  <c:v>10854</c:v>
                </c:pt>
                <c:pt idx="33">
                  <c:v>10885</c:v>
                </c:pt>
                <c:pt idx="34">
                  <c:v>10916</c:v>
                </c:pt>
                <c:pt idx="35">
                  <c:v>10947</c:v>
                </c:pt>
                <c:pt idx="36">
                  <c:v>10978</c:v>
                </c:pt>
                <c:pt idx="37">
                  <c:v>11009</c:v>
                </c:pt>
                <c:pt idx="38">
                  <c:v>11040</c:v>
                </c:pt>
                <c:pt idx="39">
                  <c:v>11071</c:v>
                </c:pt>
                <c:pt idx="40">
                  <c:v>11102</c:v>
                </c:pt>
                <c:pt idx="41">
                  <c:v>11133</c:v>
                </c:pt>
                <c:pt idx="42">
                  <c:v>11164</c:v>
                </c:pt>
                <c:pt idx="43">
                  <c:v>11195</c:v>
                </c:pt>
                <c:pt idx="44">
                  <c:v>11226</c:v>
                </c:pt>
                <c:pt idx="45">
                  <c:v>11257</c:v>
                </c:pt>
                <c:pt idx="46">
                  <c:v>11288</c:v>
                </c:pt>
                <c:pt idx="47">
                  <c:v>11319</c:v>
                </c:pt>
                <c:pt idx="48">
                  <c:v>11350</c:v>
                </c:pt>
                <c:pt idx="49">
                  <c:v>11381</c:v>
                </c:pt>
                <c:pt idx="50">
                  <c:v>11412</c:v>
                </c:pt>
                <c:pt idx="51">
                  <c:v>11443</c:v>
                </c:pt>
                <c:pt idx="52">
                  <c:v>11474</c:v>
                </c:pt>
                <c:pt idx="53">
                  <c:v>11505</c:v>
                </c:pt>
                <c:pt idx="54">
                  <c:v>11536</c:v>
                </c:pt>
                <c:pt idx="55">
                  <c:v>11567</c:v>
                </c:pt>
                <c:pt idx="56">
                  <c:v>11598</c:v>
                </c:pt>
                <c:pt idx="57">
                  <c:v>11629</c:v>
                </c:pt>
                <c:pt idx="58">
                  <c:v>11660</c:v>
                </c:pt>
                <c:pt idx="59">
                  <c:v>11691</c:v>
                </c:pt>
                <c:pt idx="60">
                  <c:v>11722</c:v>
                </c:pt>
                <c:pt idx="61">
                  <c:v>11753</c:v>
                </c:pt>
                <c:pt idx="62">
                  <c:v>11784</c:v>
                </c:pt>
                <c:pt idx="63">
                  <c:v>11815</c:v>
                </c:pt>
                <c:pt idx="64">
                  <c:v>11846</c:v>
                </c:pt>
                <c:pt idx="65">
                  <c:v>11877</c:v>
                </c:pt>
                <c:pt idx="66">
                  <c:v>11908</c:v>
                </c:pt>
                <c:pt idx="67">
                  <c:v>11939</c:v>
                </c:pt>
                <c:pt idx="68">
                  <c:v>11970</c:v>
                </c:pt>
                <c:pt idx="69">
                  <c:v>12001</c:v>
                </c:pt>
                <c:pt idx="70">
                  <c:v>12032</c:v>
                </c:pt>
                <c:pt idx="71">
                  <c:v>12063</c:v>
                </c:pt>
                <c:pt idx="72">
                  <c:v>12094</c:v>
                </c:pt>
                <c:pt idx="73">
                  <c:v>12125</c:v>
                </c:pt>
                <c:pt idx="74">
                  <c:v>12156</c:v>
                </c:pt>
                <c:pt idx="75">
                  <c:v>12187</c:v>
                </c:pt>
                <c:pt idx="76">
                  <c:v>12218</c:v>
                </c:pt>
                <c:pt idx="77">
                  <c:v>12249</c:v>
                </c:pt>
                <c:pt idx="78">
                  <c:v>12280</c:v>
                </c:pt>
                <c:pt idx="79">
                  <c:v>12311</c:v>
                </c:pt>
                <c:pt idx="80">
                  <c:v>12342</c:v>
                </c:pt>
                <c:pt idx="81">
                  <c:v>12373</c:v>
                </c:pt>
                <c:pt idx="82">
                  <c:v>12404</c:v>
                </c:pt>
                <c:pt idx="83">
                  <c:v>12435</c:v>
                </c:pt>
                <c:pt idx="84">
                  <c:v>12466</c:v>
                </c:pt>
                <c:pt idx="85">
                  <c:v>12497</c:v>
                </c:pt>
                <c:pt idx="86">
                  <c:v>12528</c:v>
                </c:pt>
                <c:pt idx="87">
                  <c:v>12559</c:v>
                </c:pt>
                <c:pt idx="88">
                  <c:v>12590</c:v>
                </c:pt>
                <c:pt idx="89">
                  <c:v>12621</c:v>
                </c:pt>
                <c:pt idx="90">
                  <c:v>12652</c:v>
                </c:pt>
                <c:pt idx="91">
                  <c:v>12683</c:v>
                </c:pt>
                <c:pt idx="92">
                  <c:v>12714</c:v>
                </c:pt>
                <c:pt idx="93">
                  <c:v>12745</c:v>
                </c:pt>
                <c:pt idx="94">
                  <c:v>12776</c:v>
                </c:pt>
                <c:pt idx="95">
                  <c:v>12807</c:v>
                </c:pt>
                <c:pt idx="96">
                  <c:v>12838</c:v>
                </c:pt>
                <c:pt idx="97">
                  <c:v>12869</c:v>
                </c:pt>
                <c:pt idx="98">
                  <c:v>12900</c:v>
                </c:pt>
                <c:pt idx="99">
                  <c:v>12931</c:v>
                </c:pt>
                <c:pt idx="100">
                  <c:v>12962</c:v>
                </c:pt>
                <c:pt idx="101">
                  <c:v>12993</c:v>
                </c:pt>
                <c:pt idx="102">
                  <c:v>13024</c:v>
                </c:pt>
                <c:pt idx="103">
                  <c:v>13055</c:v>
                </c:pt>
                <c:pt idx="104">
                  <c:v>13086</c:v>
                </c:pt>
                <c:pt idx="105">
                  <c:v>13117</c:v>
                </c:pt>
                <c:pt idx="106">
                  <c:v>13148</c:v>
                </c:pt>
                <c:pt idx="107">
                  <c:v>13179</c:v>
                </c:pt>
                <c:pt idx="108">
                  <c:v>13210</c:v>
                </c:pt>
                <c:pt idx="109">
                  <c:v>13241</c:v>
                </c:pt>
                <c:pt idx="110">
                  <c:v>13272</c:v>
                </c:pt>
                <c:pt idx="111">
                  <c:v>13303</c:v>
                </c:pt>
                <c:pt idx="112">
                  <c:v>13334</c:v>
                </c:pt>
                <c:pt idx="113">
                  <c:v>13365</c:v>
                </c:pt>
                <c:pt idx="114">
                  <c:v>13396</c:v>
                </c:pt>
                <c:pt idx="115">
                  <c:v>13427</c:v>
                </c:pt>
                <c:pt idx="116">
                  <c:v>13458</c:v>
                </c:pt>
                <c:pt idx="117">
                  <c:v>13489</c:v>
                </c:pt>
                <c:pt idx="118">
                  <c:v>13520</c:v>
                </c:pt>
                <c:pt idx="119">
                  <c:v>13551</c:v>
                </c:pt>
                <c:pt idx="120">
                  <c:v>13582</c:v>
                </c:pt>
                <c:pt idx="121">
                  <c:v>13613</c:v>
                </c:pt>
                <c:pt idx="122">
                  <c:v>13644</c:v>
                </c:pt>
                <c:pt idx="123">
                  <c:v>13675</c:v>
                </c:pt>
                <c:pt idx="124">
                  <c:v>13706</c:v>
                </c:pt>
                <c:pt idx="125">
                  <c:v>13737</c:v>
                </c:pt>
                <c:pt idx="126">
                  <c:v>13768</c:v>
                </c:pt>
                <c:pt idx="127">
                  <c:v>13799</c:v>
                </c:pt>
                <c:pt idx="128">
                  <c:v>13830</c:v>
                </c:pt>
                <c:pt idx="129">
                  <c:v>13861</c:v>
                </c:pt>
                <c:pt idx="130">
                  <c:v>13892</c:v>
                </c:pt>
                <c:pt idx="131">
                  <c:v>13923</c:v>
                </c:pt>
                <c:pt idx="132">
                  <c:v>13954</c:v>
                </c:pt>
                <c:pt idx="133">
                  <c:v>13985</c:v>
                </c:pt>
                <c:pt idx="134">
                  <c:v>14016</c:v>
                </c:pt>
                <c:pt idx="135">
                  <c:v>14047</c:v>
                </c:pt>
                <c:pt idx="136">
                  <c:v>14078</c:v>
                </c:pt>
                <c:pt idx="137">
                  <c:v>14109</c:v>
                </c:pt>
                <c:pt idx="138">
                  <c:v>14140</c:v>
                </c:pt>
                <c:pt idx="139">
                  <c:v>14171</c:v>
                </c:pt>
                <c:pt idx="140">
                  <c:v>14202</c:v>
                </c:pt>
                <c:pt idx="141">
                  <c:v>14233</c:v>
                </c:pt>
                <c:pt idx="142">
                  <c:v>14264</c:v>
                </c:pt>
                <c:pt idx="143">
                  <c:v>14295</c:v>
                </c:pt>
                <c:pt idx="144">
                  <c:v>14326</c:v>
                </c:pt>
                <c:pt idx="145">
                  <c:v>14357</c:v>
                </c:pt>
                <c:pt idx="146">
                  <c:v>14388</c:v>
                </c:pt>
                <c:pt idx="147">
                  <c:v>14419</c:v>
                </c:pt>
                <c:pt idx="148">
                  <c:v>14450</c:v>
                </c:pt>
                <c:pt idx="149">
                  <c:v>14481</c:v>
                </c:pt>
                <c:pt idx="150">
                  <c:v>14512</c:v>
                </c:pt>
                <c:pt idx="151">
                  <c:v>14543</c:v>
                </c:pt>
                <c:pt idx="152">
                  <c:v>14574</c:v>
                </c:pt>
                <c:pt idx="153">
                  <c:v>14605</c:v>
                </c:pt>
                <c:pt idx="154">
                  <c:v>14636</c:v>
                </c:pt>
                <c:pt idx="155">
                  <c:v>14667</c:v>
                </c:pt>
                <c:pt idx="156">
                  <c:v>14698</c:v>
                </c:pt>
                <c:pt idx="157">
                  <c:v>14729</c:v>
                </c:pt>
                <c:pt idx="158">
                  <c:v>14760</c:v>
                </c:pt>
                <c:pt idx="159">
                  <c:v>14791</c:v>
                </c:pt>
                <c:pt idx="160">
                  <c:v>14822</c:v>
                </c:pt>
                <c:pt idx="161">
                  <c:v>14853</c:v>
                </c:pt>
                <c:pt idx="162">
                  <c:v>14884</c:v>
                </c:pt>
                <c:pt idx="163">
                  <c:v>14915</c:v>
                </c:pt>
                <c:pt idx="164">
                  <c:v>14946</c:v>
                </c:pt>
                <c:pt idx="165">
                  <c:v>14977</c:v>
                </c:pt>
                <c:pt idx="166">
                  <c:v>15008</c:v>
                </c:pt>
                <c:pt idx="167">
                  <c:v>15039</c:v>
                </c:pt>
                <c:pt idx="168">
                  <c:v>15070</c:v>
                </c:pt>
                <c:pt idx="169">
                  <c:v>15101</c:v>
                </c:pt>
                <c:pt idx="170">
                  <c:v>15132</c:v>
                </c:pt>
                <c:pt idx="171">
                  <c:v>15163</c:v>
                </c:pt>
                <c:pt idx="172">
                  <c:v>15194</c:v>
                </c:pt>
                <c:pt idx="173">
                  <c:v>15225</c:v>
                </c:pt>
                <c:pt idx="174">
                  <c:v>15256</c:v>
                </c:pt>
                <c:pt idx="175">
                  <c:v>15287</c:v>
                </c:pt>
                <c:pt idx="176">
                  <c:v>15318</c:v>
                </c:pt>
                <c:pt idx="177">
                  <c:v>15349</c:v>
                </c:pt>
                <c:pt idx="178">
                  <c:v>15380</c:v>
                </c:pt>
                <c:pt idx="179">
                  <c:v>15411</c:v>
                </c:pt>
                <c:pt idx="180">
                  <c:v>15442</c:v>
                </c:pt>
                <c:pt idx="181">
                  <c:v>15473</c:v>
                </c:pt>
                <c:pt idx="182">
                  <c:v>15504</c:v>
                </c:pt>
                <c:pt idx="183">
                  <c:v>15535</c:v>
                </c:pt>
                <c:pt idx="184">
                  <c:v>15566</c:v>
                </c:pt>
                <c:pt idx="185">
                  <c:v>15597</c:v>
                </c:pt>
                <c:pt idx="186">
                  <c:v>15628</c:v>
                </c:pt>
                <c:pt idx="187">
                  <c:v>15659</c:v>
                </c:pt>
                <c:pt idx="188">
                  <c:v>15690</c:v>
                </c:pt>
                <c:pt idx="189">
                  <c:v>15721</c:v>
                </c:pt>
                <c:pt idx="190">
                  <c:v>15752</c:v>
                </c:pt>
                <c:pt idx="191">
                  <c:v>15783</c:v>
                </c:pt>
                <c:pt idx="192">
                  <c:v>15814</c:v>
                </c:pt>
                <c:pt idx="193">
                  <c:v>15845</c:v>
                </c:pt>
                <c:pt idx="194">
                  <c:v>15876</c:v>
                </c:pt>
                <c:pt idx="195">
                  <c:v>15907</c:v>
                </c:pt>
                <c:pt idx="196">
                  <c:v>15938</c:v>
                </c:pt>
                <c:pt idx="197">
                  <c:v>15969</c:v>
                </c:pt>
                <c:pt idx="198">
                  <c:v>16000</c:v>
                </c:pt>
                <c:pt idx="199">
                  <c:v>16031</c:v>
                </c:pt>
                <c:pt idx="200">
                  <c:v>16062</c:v>
                </c:pt>
                <c:pt idx="201">
                  <c:v>16093</c:v>
                </c:pt>
                <c:pt idx="202">
                  <c:v>16124</c:v>
                </c:pt>
                <c:pt idx="203">
                  <c:v>16155</c:v>
                </c:pt>
                <c:pt idx="204">
                  <c:v>16186</c:v>
                </c:pt>
                <c:pt idx="205">
                  <c:v>16217</c:v>
                </c:pt>
                <c:pt idx="206">
                  <c:v>16248</c:v>
                </c:pt>
                <c:pt idx="207">
                  <c:v>16279</c:v>
                </c:pt>
                <c:pt idx="208">
                  <c:v>16310</c:v>
                </c:pt>
                <c:pt idx="209">
                  <c:v>16341</c:v>
                </c:pt>
                <c:pt idx="210">
                  <c:v>16372</c:v>
                </c:pt>
                <c:pt idx="211">
                  <c:v>16403</c:v>
                </c:pt>
                <c:pt idx="212">
                  <c:v>16434</c:v>
                </c:pt>
                <c:pt idx="213">
                  <c:v>16465</c:v>
                </c:pt>
                <c:pt idx="214">
                  <c:v>16496</c:v>
                </c:pt>
                <c:pt idx="215">
                  <c:v>16527</c:v>
                </c:pt>
                <c:pt idx="216">
                  <c:v>16558</c:v>
                </c:pt>
                <c:pt idx="217">
                  <c:v>16589</c:v>
                </c:pt>
                <c:pt idx="218">
                  <c:v>16620</c:v>
                </c:pt>
                <c:pt idx="219">
                  <c:v>16651</c:v>
                </c:pt>
                <c:pt idx="220">
                  <c:v>16682</c:v>
                </c:pt>
                <c:pt idx="221">
                  <c:v>16713</c:v>
                </c:pt>
                <c:pt idx="222">
                  <c:v>16744</c:v>
                </c:pt>
                <c:pt idx="223">
                  <c:v>16775</c:v>
                </c:pt>
                <c:pt idx="224">
                  <c:v>16806</c:v>
                </c:pt>
                <c:pt idx="225">
                  <c:v>16837</c:v>
                </c:pt>
                <c:pt idx="226">
                  <c:v>16868</c:v>
                </c:pt>
                <c:pt idx="227">
                  <c:v>16899</c:v>
                </c:pt>
                <c:pt idx="228">
                  <c:v>16930</c:v>
                </c:pt>
                <c:pt idx="229">
                  <c:v>16961</c:v>
                </c:pt>
                <c:pt idx="230">
                  <c:v>16992</c:v>
                </c:pt>
                <c:pt idx="231">
                  <c:v>17023</c:v>
                </c:pt>
                <c:pt idx="232">
                  <c:v>17054</c:v>
                </c:pt>
                <c:pt idx="233">
                  <c:v>17085</c:v>
                </c:pt>
                <c:pt idx="234">
                  <c:v>17116</c:v>
                </c:pt>
                <c:pt idx="235">
                  <c:v>17147</c:v>
                </c:pt>
                <c:pt idx="236">
                  <c:v>17178</c:v>
                </c:pt>
                <c:pt idx="237">
                  <c:v>17209</c:v>
                </c:pt>
                <c:pt idx="238">
                  <c:v>17240</c:v>
                </c:pt>
                <c:pt idx="239">
                  <c:v>17271</c:v>
                </c:pt>
                <c:pt idx="240">
                  <c:v>17302</c:v>
                </c:pt>
                <c:pt idx="241">
                  <c:v>17333</c:v>
                </c:pt>
                <c:pt idx="242">
                  <c:v>17364</c:v>
                </c:pt>
                <c:pt idx="243">
                  <c:v>17395</c:v>
                </c:pt>
                <c:pt idx="244">
                  <c:v>17426</c:v>
                </c:pt>
                <c:pt idx="245">
                  <c:v>17457</c:v>
                </c:pt>
                <c:pt idx="246">
                  <c:v>17488</c:v>
                </c:pt>
                <c:pt idx="247">
                  <c:v>17519</c:v>
                </c:pt>
                <c:pt idx="248">
                  <c:v>17550</c:v>
                </c:pt>
                <c:pt idx="249">
                  <c:v>17581</c:v>
                </c:pt>
                <c:pt idx="250">
                  <c:v>17612</c:v>
                </c:pt>
                <c:pt idx="251">
                  <c:v>17643</c:v>
                </c:pt>
                <c:pt idx="252">
                  <c:v>17674</c:v>
                </c:pt>
                <c:pt idx="253">
                  <c:v>17705</c:v>
                </c:pt>
                <c:pt idx="254">
                  <c:v>17736</c:v>
                </c:pt>
                <c:pt idx="255">
                  <c:v>17767</c:v>
                </c:pt>
                <c:pt idx="256">
                  <c:v>17798</c:v>
                </c:pt>
                <c:pt idx="257">
                  <c:v>17829</c:v>
                </c:pt>
                <c:pt idx="258">
                  <c:v>17860</c:v>
                </c:pt>
                <c:pt idx="259">
                  <c:v>17891</c:v>
                </c:pt>
                <c:pt idx="260">
                  <c:v>17922</c:v>
                </c:pt>
                <c:pt idx="261">
                  <c:v>17953</c:v>
                </c:pt>
                <c:pt idx="262">
                  <c:v>17984</c:v>
                </c:pt>
                <c:pt idx="263">
                  <c:v>18015</c:v>
                </c:pt>
                <c:pt idx="264">
                  <c:v>18046</c:v>
                </c:pt>
                <c:pt idx="265">
                  <c:v>18077</c:v>
                </c:pt>
                <c:pt idx="266">
                  <c:v>18108</c:v>
                </c:pt>
                <c:pt idx="267">
                  <c:v>18139</c:v>
                </c:pt>
                <c:pt idx="268">
                  <c:v>18170</c:v>
                </c:pt>
                <c:pt idx="269">
                  <c:v>18201</c:v>
                </c:pt>
                <c:pt idx="270">
                  <c:v>18232</c:v>
                </c:pt>
                <c:pt idx="271">
                  <c:v>18263</c:v>
                </c:pt>
                <c:pt idx="272">
                  <c:v>18294</c:v>
                </c:pt>
                <c:pt idx="273">
                  <c:v>18325</c:v>
                </c:pt>
                <c:pt idx="274">
                  <c:v>18356</c:v>
                </c:pt>
                <c:pt idx="275">
                  <c:v>18387</c:v>
                </c:pt>
                <c:pt idx="276">
                  <c:v>18418</c:v>
                </c:pt>
                <c:pt idx="277">
                  <c:v>18449</c:v>
                </c:pt>
                <c:pt idx="278">
                  <c:v>18480</c:v>
                </c:pt>
                <c:pt idx="279">
                  <c:v>18511</c:v>
                </c:pt>
                <c:pt idx="280">
                  <c:v>18542</c:v>
                </c:pt>
                <c:pt idx="281">
                  <c:v>18573</c:v>
                </c:pt>
                <c:pt idx="282">
                  <c:v>18604</c:v>
                </c:pt>
                <c:pt idx="283">
                  <c:v>18635</c:v>
                </c:pt>
                <c:pt idx="284">
                  <c:v>18666</c:v>
                </c:pt>
                <c:pt idx="285">
                  <c:v>18697</c:v>
                </c:pt>
                <c:pt idx="286">
                  <c:v>18728</c:v>
                </c:pt>
                <c:pt idx="287">
                  <c:v>18759</c:v>
                </c:pt>
                <c:pt idx="288">
                  <c:v>18790</c:v>
                </c:pt>
                <c:pt idx="289">
                  <c:v>18821</c:v>
                </c:pt>
                <c:pt idx="290">
                  <c:v>18852</c:v>
                </c:pt>
                <c:pt idx="291">
                  <c:v>18883</c:v>
                </c:pt>
                <c:pt idx="292">
                  <c:v>18914</c:v>
                </c:pt>
                <c:pt idx="293">
                  <c:v>18945</c:v>
                </c:pt>
                <c:pt idx="294">
                  <c:v>18976</c:v>
                </c:pt>
                <c:pt idx="295">
                  <c:v>19007</c:v>
                </c:pt>
                <c:pt idx="296">
                  <c:v>19038</c:v>
                </c:pt>
                <c:pt idx="297">
                  <c:v>19069</c:v>
                </c:pt>
                <c:pt idx="298">
                  <c:v>19100</c:v>
                </c:pt>
                <c:pt idx="299">
                  <c:v>19131</c:v>
                </c:pt>
                <c:pt idx="300">
                  <c:v>19162</c:v>
                </c:pt>
                <c:pt idx="301">
                  <c:v>19193</c:v>
                </c:pt>
                <c:pt idx="302">
                  <c:v>19224</c:v>
                </c:pt>
                <c:pt idx="303">
                  <c:v>19255</c:v>
                </c:pt>
                <c:pt idx="304">
                  <c:v>19286</c:v>
                </c:pt>
                <c:pt idx="305">
                  <c:v>19317</c:v>
                </c:pt>
                <c:pt idx="306">
                  <c:v>19348</c:v>
                </c:pt>
                <c:pt idx="307">
                  <c:v>19379</c:v>
                </c:pt>
                <c:pt idx="308">
                  <c:v>19410</c:v>
                </c:pt>
                <c:pt idx="309">
                  <c:v>19441</c:v>
                </c:pt>
                <c:pt idx="310">
                  <c:v>19472</c:v>
                </c:pt>
                <c:pt idx="311">
                  <c:v>19503</c:v>
                </c:pt>
                <c:pt idx="312">
                  <c:v>19534</c:v>
                </c:pt>
                <c:pt idx="313">
                  <c:v>19565</c:v>
                </c:pt>
                <c:pt idx="314">
                  <c:v>19596</c:v>
                </c:pt>
                <c:pt idx="315">
                  <c:v>19627</c:v>
                </c:pt>
                <c:pt idx="316">
                  <c:v>19658</c:v>
                </c:pt>
                <c:pt idx="317">
                  <c:v>19689</c:v>
                </c:pt>
                <c:pt idx="318">
                  <c:v>19720</c:v>
                </c:pt>
                <c:pt idx="319">
                  <c:v>19751</c:v>
                </c:pt>
                <c:pt idx="320">
                  <c:v>19782</c:v>
                </c:pt>
                <c:pt idx="321">
                  <c:v>19813</c:v>
                </c:pt>
                <c:pt idx="322">
                  <c:v>19844</c:v>
                </c:pt>
                <c:pt idx="323">
                  <c:v>19875</c:v>
                </c:pt>
                <c:pt idx="324">
                  <c:v>19906</c:v>
                </c:pt>
                <c:pt idx="325">
                  <c:v>19937</c:v>
                </c:pt>
                <c:pt idx="326">
                  <c:v>19968</c:v>
                </c:pt>
                <c:pt idx="327">
                  <c:v>19999</c:v>
                </c:pt>
                <c:pt idx="328">
                  <c:v>20030</c:v>
                </c:pt>
                <c:pt idx="329">
                  <c:v>20061</c:v>
                </c:pt>
                <c:pt idx="330">
                  <c:v>20092</c:v>
                </c:pt>
                <c:pt idx="331">
                  <c:v>20123</c:v>
                </c:pt>
                <c:pt idx="332">
                  <c:v>20154</c:v>
                </c:pt>
                <c:pt idx="333">
                  <c:v>20185</c:v>
                </c:pt>
                <c:pt idx="334">
                  <c:v>20216</c:v>
                </c:pt>
                <c:pt idx="335">
                  <c:v>20247</c:v>
                </c:pt>
                <c:pt idx="336">
                  <c:v>20278</c:v>
                </c:pt>
                <c:pt idx="337">
                  <c:v>20309</c:v>
                </c:pt>
                <c:pt idx="338">
                  <c:v>20340</c:v>
                </c:pt>
                <c:pt idx="339">
                  <c:v>20371</c:v>
                </c:pt>
                <c:pt idx="340">
                  <c:v>20402</c:v>
                </c:pt>
                <c:pt idx="341">
                  <c:v>20433</c:v>
                </c:pt>
                <c:pt idx="342">
                  <c:v>20464</c:v>
                </c:pt>
                <c:pt idx="343">
                  <c:v>20495</c:v>
                </c:pt>
                <c:pt idx="344">
                  <c:v>20526</c:v>
                </c:pt>
                <c:pt idx="345">
                  <c:v>20557</c:v>
                </c:pt>
                <c:pt idx="346">
                  <c:v>20588</c:v>
                </c:pt>
                <c:pt idx="347">
                  <c:v>20619</c:v>
                </c:pt>
                <c:pt idx="348">
                  <c:v>20650</c:v>
                </c:pt>
                <c:pt idx="349">
                  <c:v>20681</c:v>
                </c:pt>
                <c:pt idx="350">
                  <c:v>20712</c:v>
                </c:pt>
                <c:pt idx="351">
                  <c:v>20743</c:v>
                </c:pt>
                <c:pt idx="352">
                  <c:v>20774</c:v>
                </c:pt>
                <c:pt idx="353">
                  <c:v>20805</c:v>
                </c:pt>
                <c:pt idx="354">
                  <c:v>20836</c:v>
                </c:pt>
                <c:pt idx="355">
                  <c:v>20867</c:v>
                </c:pt>
                <c:pt idx="356">
                  <c:v>20898</c:v>
                </c:pt>
                <c:pt idx="357">
                  <c:v>20929</c:v>
                </c:pt>
                <c:pt idx="358">
                  <c:v>20960</c:v>
                </c:pt>
                <c:pt idx="359">
                  <c:v>20991</c:v>
                </c:pt>
                <c:pt idx="360">
                  <c:v>21022</c:v>
                </c:pt>
                <c:pt idx="361">
                  <c:v>21053</c:v>
                </c:pt>
                <c:pt idx="362">
                  <c:v>21084</c:v>
                </c:pt>
                <c:pt idx="363">
                  <c:v>21115</c:v>
                </c:pt>
                <c:pt idx="364">
                  <c:v>21146</c:v>
                </c:pt>
                <c:pt idx="365">
                  <c:v>21177</c:v>
                </c:pt>
                <c:pt idx="366">
                  <c:v>21208</c:v>
                </c:pt>
                <c:pt idx="367">
                  <c:v>21239</c:v>
                </c:pt>
                <c:pt idx="368">
                  <c:v>21270</c:v>
                </c:pt>
                <c:pt idx="369">
                  <c:v>21301</c:v>
                </c:pt>
                <c:pt idx="370">
                  <c:v>21332</c:v>
                </c:pt>
                <c:pt idx="371">
                  <c:v>21363</c:v>
                </c:pt>
                <c:pt idx="372">
                  <c:v>21394</c:v>
                </c:pt>
                <c:pt idx="373">
                  <c:v>21425</c:v>
                </c:pt>
                <c:pt idx="374">
                  <c:v>21456</c:v>
                </c:pt>
                <c:pt idx="375">
                  <c:v>21487</c:v>
                </c:pt>
                <c:pt idx="376">
                  <c:v>21518</c:v>
                </c:pt>
                <c:pt idx="377">
                  <c:v>21549</c:v>
                </c:pt>
                <c:pt idx="378">
                  <c:v>21580</c:v>
                </c:pt>
                <c:pt idx="379">
                  <c:v>21611</c:v>
                </c:pt>
                <c:pt idx="380">
                  <c:v>21642</c:v>
                </c:pt>
                <c:pt idx="381">
                  <c:v>21673</c:v>
                </c:pt>
                <c:pt idx="382">
                  <c:v>21704</c:v>
                </c:pt>
                <c:pt idx="383">
                  <c:v>21735</c:v>
                </c:pt>
                <c:pt idx="384">
                  <c:v>21766</c:v>
                </c:pt>
                <c:pt idx="385">
                  <c:v>21797</c:v>
                </c:pt>
                <c:pt idx="386">
                  <c:v>21828</c:v>
                </c:pt>
                <c:pt idx="387">
                  <c:v>21859</c:v>
                </c:pt>
                <c:pt idx="388">
                  <c:v>21890</c:v>
                </c:pt>
                <c:pt idx="389">
                  <c:v>21921</c:v>
                </c:pt>
                <c:pt idx="390">
                  <c:v>21952</c:v>
                </c:pt>
                <c:pt idx="391">
                  <c:v>21983</c:v>
                </c:pt>
                <c:pt idx="392">
                  <c:v>22014</c:v>
                </c:pt>
                <c:pt idx="393">
                  <c:v>22045</c:v>
                </c:pt>
                <c:pt idx="394">
                  <c:v>22076</c:v>
                </c:pt>
                <c:pt idx="395">
                  <c:v>22107</c:v>
                </c:pt>
                <c:pt idx="396">
                  <c:v>22138</c:v>
                </c:pt>
                <c:pt idx="397">
                  <c:v>22169</c:v>
                </c:pt>
                <c:pt idx="398">
                  <c:v>22200</c:v>
                </c:pt>
                <c:pt idx="399">
                  <c:v>22231</c:v>
                </c:pt>
                <c:pt idx="400">
                  <c:v>22262</c:v>
                </c:pt>
                <c:pt idx="401">
                  <c:v>22293</c:v>
                </c:pt>
                <c:pt idx="402">
                  <c:v>22324</c:v>
                </c:pt>
                <c:pt idx="403">
                  <c:v>22355</c:v>
                </c:pt>
                <c:pt idx="404">
                  <c:v>22386</c:v>
                </c:pt>
                <c:pt idx="405">
                  <c:v>22417</c:v>
                </c:pt>
                <c:pt idx="406">
                  <c:v>22448</c:v>
                </c:pt>
                <c:pt idx="407">
                  <c:v>22479</c:v>
                </c:pt>
                <c:pt idx="408">
                  <c:v>22510</c:v>
                </c:pt>
                <c:pt idx="409">
                  <c:v>22541</c:v>
                </c:pt>
                <c:pt idx="410">
                  <c:v>22572</c:v>
                </c:pt>
                <c:pt idx="411">
                  <c:v>22603</c:v>
                </c:pt>
                <c:pt idx="412">
                  <c:v>22634</c:v>
                </c:pt>
                <c:pt idx="413">
                  <c:v>22665</c:v>
                </c:pt>
                <c:pt idx="414">
                  <c:v>22696</c:v>
                </c:pt>
                <c:pt idx="415">
                  <c:v>22727</c:v>
                </c:pt>
                <c:pt idx="416">
                  <c:v>22758</c:v>
                </c:pt>
                <c:pt idx="417">
                  <c:v>22789</c:v>
                </c:pt>
                <c:pt idx="418">
                  <c:v>22820</c:v>
                </c:pt>
                <c:pt idx="419">
                  <c:v>22851</c:v>
                </c:pt>
                <c:pt idx="420">
                  <c:v>22882</c:v>
                </c:pt>
                <c:pt idx="421">
                  <c:v>22913</c:v>
                </c:pt>
                <c:pt idx="422">
                  <c:v>22944</c:v>
                </c:pt>
                <c:pt idx="423">
                  <c:v>22975</c:v>
                </c:pt>
                <c:pt idx="424">
                  <c:v>23006</c:v>
                </c:pt>
                <c:pt idx="425">
                  <c:v>23037</c:v>
                </c:pt>
                <c:pt idx="426">
                  <c:v>23068</c:v>
                </c:pt>
                <c:pt idx="427">
                  <c:v>23099</c:v>
                </c:pt>
                <c:pt idx="428">
                  <c:v>23130</c:v>
                </c:pt>
                <c:pt idx="429">
                  <c:v>23161</c:v>
                </c:pt>
                <c:pt idx="430">
                  <c:v>23192</c:v>
                </c:pt>
                <c:pt idx="431">
                  <c:v>23223</c:v>
                </c:pt>
                <c:pt idx="432">
                  <c:v>23254</c:v>
                </c:pt>
                <c:pt idx="433">
                  <c:v>23285</c:v>
                </c:pt>
                <c:pt idx="434">
                  <c:v>23316</c:v>
                </c:pt>
                <c:pt idx="435">
                  <c:v>23347</c:v>
                </c:pt>
                <c:pt idx="436">
                  <c:v>23378</c:v>
                </c:pt>
                <c:pt idx="437">
                  <c:v>23409</c:v>
                </c:pt>
                <c:pt idx="438">
                  <c:v>23440</c:v>
                </c:pt>
                <c:pt idx="439">
                  <c:v>23471</c:v>
                </c:pt>
                <c:pt idx="440">
                  <c:v>23502</c:v>
                </c:pt>
                <c:pt idx="441">
                  <c:v>23533</c:v>
                </c:pt>
                <c:pt idx="442">
                  <c:v>23564</c:v>
                </c:pt>
                <c:pt idx="443">
                  <c:v>23595</c:v>
                </c:pt>
                <c:pt idx="444">
                  <c:v>23626</c:v>
                </c:pt>
                <c:pt idx="445">
                  <c:v>23657</c:v>
                </c:pt>
                <c:pt idx="446">
                  <c:v>23688</c:v>
                </c:pt>
                <c:pt idx="447">
                  <c:v>23719</c:v>
                </c:pt>
                <c:pt idx="448">
                  <c:v>23750</c:v>
                </c:pt>
                <c:pt idx="449">
                  <c:v>23781</c:v>
                </c:pt>
                <c:pt idx="450">
                  <c:v>23812</c:v>
                </c:pt>
                <c:pt idx="451">
                  <c:v>23843</c:v>
                </c:pt>
                <c:pt idx="452">
                  <c:v>23874</c:v>
                </c:pt>
                <c:pt idx="453">
                  <c:v>23905</c:v>
                </c:pt>
                <c:pt idx="454">
                  <c:v>23936</c:v>
                </c:pt>
                <c:pt idx="455">
                  <c:v>23967</c:v>
                </c:pt>
                <c:pt idx="456">
                  <c:v>23998</c:v>
                </c:pt>
                <c:pt idx="457">
                  <c:v>24029</c:v>
                </c:pt>
                <c:pt idx="458">
                  <c:v>24060</c:v>
                </c:pt>
                <c:pt idx="459">
                  <c:v>24091</c:v>
                </c:pt>
                <c:pt idx="460">
                  <c:v>24122</c:v>
                </c:pt>
                <c:pt idx="461">
                  <c:v>24153</c:v>
                </c:pt>
                <c:pt idx="462">
                  <c:v>24184</c:v>
                </c:pt>
                <c:pt idx="463">
                  <c:v>24215</c:v>
                </c:pt>
                <c:pt idx="464">
                  <c:v>24246</c:v>
                </c:pt>
                <c:pt idx="465">
                  <c:v>24277</c:v>
                </c:pt>
                <c:pt idx="466">
                  <c:v>24308</c:v>
                </c:pt>
                <c:pt idx="467">
                  <c:v>24339</c:v>
                </c:pt>
                <c:pt idx="468">
                  <c:v>24370</c:v>
                </c:pt>
                <c:pt idx="469">
                  <c:v>24401</c:v>
                </c:pt>
                <c:pt idx="470">
                  <c:v>24432</c:v>
                </c:pt>
                <c:pt idx="471">
                  <c:v>24463</c:v>
                </c:pt>
                <c:pt idx="472">
                  <c:v>24494</c:v>
                </c:pt>
                <c:pt idx="473">
                  <c:v>24525</c:v>
                </c:pt>
                <c:pt idx="474">
                  <c:v>24556</c:v>
                </c:pt>
                <c:pt idx="475">
                  <c:v>24587</c:v>
                </c:pt>
                <c:pt idx="476">
                  <c:v>24618</c:v>
                </c:pt>
                <c:pt idx="477">
                  <c:v>24649</c:v>
                </c:pt>
                <c:pt idx="478">
                  <c:v>24680</c:v>
                </c:pt>
                <c:pt idx="479">
                  <c:v>24711</c:v>
                </c:pt>
                <c:pt idx="480">
                  <c:v>24742</c:v>
                </c:pt>
                <c:pt idx="481">
                  <c:v>24773</c:v>
                </c:pt>
                <c:pt idx="482">
                  <c:v>24804</c:v>
                </c:pt>
                <c:pt idx="483">
                  <c:v>24835</c:v>
                </c:pt>
                <c:pt idx="484">
                  <c:v>24866</c:v>
                </c:pt>
                <c:pt idx="485">
                  <c:v>24897</c:v>
                </c:pt>
                <c:pt idx="486">
                  <c:v>24928</c:v>
                </c:pt>
                <c:pt idx="487">
                  <c:v>24959</c:v>
                </c:pt>
                <c:pt idx="488">
                  <c:v>24990</c:v>
                </c:pt>
                <c:pt idx="489">
                  <c:v>25021</c:v>
                </c:pt>
                <c:pt idx="490">
                  <c:v>25052</c:v>
                </c:pt>
                <c:pt idx="491">
                  <c:v>25083</c:v>
                </c:pt>
                <c:pt idx="492">
                  <c:v>25114</c:v>
                </c:pt>
                <c:pt idx="493">
                  <c:v>25145</c:v>
                </c:pt>
                <c:pt idx="494">
                  <c:v>25176</c:v>
                </c:pt>
                <c:pt idx="495">
                  <c:v>25207</c:v>
                </c:pt>
                <c:pt idx="496">
                  <c:v>25238</c:v>
                </c:pt>
                <c:pt idx="497">
                  <c:v>25269</c:v>
                </c:pt>
                <c:pt idx="498">
                  <c:v>25300</c:v>
                </c:pt>
                <c:pt idx="499">
                  <c:v>25331</c:v>
                </c:pt>
                <c:pt idx="500">
                  <c:v>25362</c:v>
                </c:pt>
                <c:pt idx="501">
                  <c:v>25393</c:v>
                </c:pt>
                <c:pt idx="502">
                  <c:v>25424</c:v>
                </c:pt>
                <c:pt idx="503">
                  <c:v>25455</c:v>
                </c:pt>
                <c:pt idx="504">
                  <c:v>25486</c:v>
                </c:pt>
                <c:pt idx="505">
                  <c:v>25517</c:v>
                </c:pt>
                <c:pt idx="506">
                  <c:v>25548</c:v>
                </c:pt>
                <c:pt idx="507">
                  <c:v>25579</c:v>
                </c:pt>
                <c:pt idx="508">
                  <c:v>25610</c:v>
                </c:pt>
                <c:pt idx="509">
                  <c:v>25641</c:v>
                </c:pt>
                <c:pt idx="510">
                  <c:v>25672</c:v>
                </c:pt>
                <c:pt idx="511">
                  <c:v>25703</c:v>
                </c:pt>
                <c:pt idx="512">
                  <c:v>25734</c:v>
                </c:pt>
                <c:pt idx="513">
                  <c:v>25765</c:v>
                </c:pt>
                <c:pt idx="514">
                  <c:v>25796</c:v>
                </c:pt>
                <c:pt idx="515">
                  <c:v>25827</c:v>
                </c:pt>
                <c:pt idx="516">
                  <c:v>25858</c:v>
                </c:pt>
                <c:pt idx="517">
                  <c:v>25889</c:v>
                </c:pt>
                <c:pt idx="518">
                  <c:v>25920</c:v>
                </c:pt>
                <c:pt idx="519">
                  <c:v>25951</c:v>
                </c:pt>
                <c:pt idx="520">
                  <c:v>25982</c:v>
                </c:pt>
                <c:pt idx="521">
                  <c:v>26013</c:v>
                </c:pt>
                <c:pt idx="522">
                  <c:v>26044</c:v>
                </c:pt>
                <c:pt idx="523">
                  <c:v>26075</c:v>
                </c:pt>
                <c:pt idx="524">
                  <c:v>26106</c:v>
                </c:pt>
                <c:pt idx="525">
                  <c:v>26137</c:v>
                </c:pt>
                <c:pt idx="526">
                  <c:v>26168</c:v>
                </c:pt>
                <c:pt idx="527">
                  <c:v>26199</c:v>
                </c:pt>
                <c:pt idx="528">
                  <c:v>26230</c:v>
                </c:pt>
                <c:pt idx="529">
                  <c:v>26261</c:v>
                </c:pt>
                <c:pt idx="530">
                  <c:v>26292</c:v>
                </c:pt>
                <c:pt idx="531">
                  <c:v>26323</c:v>
                </c:pt>
                <c:pt idx="532">
                  <c:v>26354</c:v>
                </c:pt>
                <c:pt idx="533">
                  <c:v>26385</c:v>
                </c:pt>
                <c:pt idx="534">
                  <c:v>26416</c:v>
                </c:pt>
                <c:pt idx="535">
                  <c:v>26447</c:v>
                </c:pt>
                <c:pt idx="536">
                  <c:v>26478</c:v>
                </c:pt>
                <c:pt idx="537">
                  <c:v>26509</c:v>
                </c:pt>
                <c:pt idx="538">
                  <c:v>26540</c:v>
                </c:pt>
                <c:pt idx="539">
                  <c:v>26571</c:v>
                </c:pt>
                <c:pt idx="540">
                  <c:v>26602</c:v>
                </c:pt>
                <c:pt idx="541">
                  <c:v>26633</c:v>
                </c:pt>
                <c:pt idx="542">
                  <c:v>26664</c:v>
                </c:pt>
                <c:pt idx="543">
                  <c:v>26695</c:v>
                </c:pt>
                <c:pt idx="544">
                  <c:v>26726</c:v>
                </c:pt>
                <c:pt idx="545">
                  <c:v>26757</c:v>
                </c:pt>
                <c:pt idx="546">
                  <c:v>26788</c:v>
                </c:pt>
                <c:pt idx="547">
                  <c:v>26819</c:v>
                </c:pt>
                <c:pt idx="548">
                  <c:v>26850</c:v>
                </c:pt>
                <c:pt idx="549">
                  <c:v>26881</c:v>
                </c:pt>
                <c:pt idx="550">
                  <c:v>26912</c:v>
                </c:pt>
                <c:pt idx="551">
                  <c:v>26943</c:v>
                </c:pt>
                <c:pt idx="552">
                  <c:v>26974</c:v>
                </c:pt>
                <c:pt idx="553">
                  <c:v>27005</c:v>
                </c:pt>
                <c:pt idx="554">
                  <c:v>27036</c:v>
                </c:pt>
                <c:pt idx="555">
                  <c:v>27067</c:v>
                </c:pt>
                <c:pt idx="556">
                  <c:v>27098</c:v>
                </c:pt>
                <c:pt idx="557">
                  <c:v>27129</c:v>
                </c:pt>
                <c:pt idx="558">
                  <c:v>27160</c:v>
                </c:pt>
                <c:pt idx="559">
                  <c:v>27191</c:v>
                </c:pt>
                <c:pt idx="560">
                  <c:v>27222</c:v>
                </c:pt>
                <c:pt idx="561">
                  <c:v>27253</c:v>
                </c:pt>
                <c:pt idx="562">
                  <c:v>27284</c:v>
                </c:pt>
                <c:pt idx="563">
                  <c:v>27315</c:v>
                </c:pt>
                <c:pt idx="564">
                  <c:v>27346</c:v>
                </c:pt>
                <c:pt idx="565">
                  <c:v>27377</c:v>
                </c:pt>
                <c:pt idx="566">
                  <c:v>27408</c:v>
                </c:pt>
                <c:pt idx="567">
                  <c:v>27439</c:v>
                </c:pt>
                <c:pt idx="568">
                  <c:v>27470</c:v>
                </c:pt>
                <c:pt idx="569">
                  <c:v>27501</c:v>
                </c:pt>
                <c:pt idx="570">
                  <c:v>27532</c:v>
                </c:pt>
                <c:pt idx="571">
                  <c:v>27563</c:v>
                </c:pt>
                <c:pt idx="572">
                  <c:v>27594</c:v>
                </c:pt>
                <c:pt idx="573">
                  <c:v>27625</c:v>
                </c:pt>
                <c:pt idx="574">
                  <c:v>27656</c:v>
                </c:pt>
                <c:pt idx="575">
                  <c:v>27687</c:v>
                </c:pt>
                <c:pt idx="576">
                  <c:v>27718</c:v>
                </c:pt>
                <c:pt idx="577">
                  <c:v>27749</c:v>
                </c:pt>
                <c:pt idx="578">
                  <c:v>27780</c:v>
                </c:pt>
                <c:pt idx="579">
                  <c:v>27811</c:v>
                </c:pt>
                <c:pt idx="580">
                  <c:v>27842</c:v>
                </c:pt>
                <c:pt idx="581">
                  <c:v>27873</c:v>
                </c:pt>
                <c:pt idx="582">
                  <c:v>27904</c:v>
                </c:pt>
                <c:pt idx="583">
                  <c:v>27935</c:v>
                </c:pt>
                <c:pt idx="584">
                  <c:v>27966</c:v>
                </c:pt>
                <c:pt idx="585">
                  <c:v>27997</c:v>
                </c:pt>
                <c:pt idx="586">
                  <c:v>28028</c:v>
                </c:pt>
                <c:pt idx="587">
                  <c:v>28059</c:v>
                </c:pt>
                <c:pt idx="588">
                  <c:v>28090</c:v>
                </c:pt>
                <c:pt idx="589">
                  <c:v>28121</c:v>
                </c:pt>
                <c:pt idx="590">
                  <c:v>28152</c:v>
                </c:pt>
                <c:pt idx="591">
                  <c:v>28183</c:v>
                </c:pt>
                <c:pt idx="592">
                  <c:v>28214</c:v>
                </c:pt>
                <c:pt idx="593">
                  <c:v>28245</c:v>
                </c:pt>
                <c:pt idx="594">
                  <c:v>28276</c:v>
                </c:pt>
                <c:pt idx="595">
                  <c:v>28307</c:v>
                </c:pt>
                <c:pt idx="596">
                  <c:v>28338</c:v>
                </c:pt>
                <c:pt idx="597">
                  <c:v>28369</c:v>
                </c:pt>
                <c:pt idx="598">
                  <c:v>28400</c:v>
                </c:pt>
                <c:pt idx="599">
                  <c:v>28431</c:v>
                </c:pt>
                <c:pt idx="600">
                  <c:v>28462</c:v>
                </c:pt>
                <c:pt idx="601">
                  <c:v>28493</c:v>
                </c:pt>
                <c:pt idx="602">
                  <c:v>28524</c:v>
                </c:pt>
                <c:pt idx="603">
                  <c:v>28555</c:v>
                </c:pt>
                <c:pt idx="604">
                  <c:v>28586</c:v>
                </c:pt>
                <c:pt idx="605">
                  <c:v>28617</c:v>
                </c:pt>
                <c:pt idx="606">
                  <c:v>28648</c:v>
                </c:pt>
                <c:pt idx="607">
                  <c:v>28679</c:v>
                </c:pt>
                <c:pt idx="608">
                  <c:v>28710</c:v>
                </c:pt>
                <c:pt idx="609">
                  <c:v>28741</c:v>
                </c:pt>
                <c:pt idx="610">
                  <c:v>28772</c:v>
                </c:pt>
                <c:pt idx="611">
                  <c:v>28803</c:v>
                </c:pt>
                <c:pt idx="612">
                  <c:v>28834</c:v>
                </c:pt>
                <c:pt idx="613">
                  <c:v>28865</c:v>
                </c:pt>
                <c:pt idx="614">
                  <c:v>28896</c:v>
                </c:pt>
                <c:pt idx="615">
                  <c:v>28927</c:v>
                </c:pt>
                <c:pt idx="616">
                  <c:v>28958</c:v>
                </c:pt>
                <c:pt idx="617">
                  <c:v>28989</c:v>
                </c:pt>
                <c:pt idx="618">
                  <c:v>29020</c:v>
                </c:pt>
                <c:pt idx="619">
                  <c:v>29051</c:v>
                </c:pt>
                <c:pt idx="620">
                  <c:v>29082</c:v>
                </c:pt>
                <c:pt idx="621">
                  <c:v>29113</c:v>
                </c:pt>
                <c:pt idx="622">
                  <c:v>29144</c:v>
                </c:pt>
                <c:pt idx="623">
                  <c:v>29175</c:v>
                </c:pt>
                <c:pt idx="624">
                  <c:v>29206</c:v>
                </c:pt>
                <c:pt idx="625">
                  <c:v>29237</c:v>
                </c:pt>
                <c:pt idx="626">
                  <c:v>29268</c:v>
                </c:pt>
                <c:pt idx="627">
                  <c:v>29299</c:v>
                </c:pt>
                <c:pt idx="628">
                  <c:v>29330</c:v>
                </c:pt>
                <c:pt idx="629">
                  <c:v>29361</c:v>
                </c:pt>
                <c:pt idx="630">
                  <c:v>29392</c:v>
                </c:pt>
                <c:pt idx="631">
                  <c:v>29423</c:v>
                </c:pt>
                <c:pt idx="632">
                  <c:v>29454</c:v>
                </c:pt>
                <c:pt idx="633">
                  <c:v>29485</c:v>
                </c:pt>
                <c:pt idx="634">
                  <c:v>29516</c:v>
                </c:pt>
                <c:pt idx="635">
                  <c:v>29547</c:v>
                </c:pt>
                <c:pt idx="636">
                  <c:v>29578</c:v>
                </c:pt>
                <c:pt idx="637">
                  <c:v>29609</c:v>
                </c:pt>
                <c:pt idx="638">
                  <c:v>29640</c:v>
                </c:pt>
                <c:pt idx="639">
                  <c:v>29671</c:v>
                </c:pt>
                <c:pt idx="640">
                  <c:v>29702</c:v>
                </c:pt>
                <c:pt idx="641">
                  <c:v>29733</c:v>
                </c:pt>
                <c:pt idx="642">
                  <c:v>29764</c:v>
                </c:pt>
                <c:pt idx="643">
                  <c:v>29795</c:v>
                </c:pt>
                <c:pt idx="644">
                  <c:v>29826</c:v>
                </c:pt>
                <c:pt idx="645">
                  <c:v>29857</c:v>
                </c:pt>
                <c:pt idx="646">
                  <c:v>29888</c:v>
                </c:pt>
                <c:pt idx="647">
                  <c:v>29919</c:v>
                </c:pt>
                <c:pt idx="648">
                  <c:v>29950</c:v>
                </c:pt>
                <c:pt idx="649">
                  <c:v>29981</c:v>
                </c:pt>
                <c:pt idx="650">
                  <c:v>30012</c:v>
                </c:pt>
                <c:pt idx="651">
                  <c:v>30043</c:v>
                </c:pt>
                <c:pt idx="652">
                  <c:v>30074</c:v>
                </c:pt>
                <c:pt idx="653">
                  <c:v>30105</c:v>
                </c:pt>
                <c:pt idx="654">
                  <c:v>30136</c:v>
                </c:pt>
                <c:pt idx="655">
                  <c:v>30167</c:v>
                </c:pt>
                <c:pt idx="656">
                  <c:v>30198</c:v>
                </c:pt>
                <c:pt idx="657">
                  <c:v>30229</c:v>
                </c:pt>
                <c:pt idx="658">
                  <c:v>30260</c:v>
                </c:pt>
                <c:pt idx="659">
                  <c:v>30291</c:v>
                </c:pt>
                <c:pt idx="660">
                  <c:v>30322</c:v>
                </c:pt>
                <c:pt idx="661">
                  <c:v>30353</c:v>
                </c:pt>
                <c:pt idx="662">
                  <c:v>30384</c:v>
                </c:pt>
                <c:pt idx="663">
                  <c:v>30415</c:v>
                </c:pt>
                <c:pt idx="664">
                  <c:v>30446</c:v>
                </c:pt>
                <c:pt idx="665">
                  <c:v>30477</c:v>
                </c:pt>
                <c:pt idx="666">
                  <c:v>30508</c:v>
                </c:pt>
                <c:pt idx="667">
                  <c:v>30539</c:v>
                </c:pt>
                <c:pt idx="668">
                  <c:v>30570</c:v>
                </c:pt>
                <c:pt idx="669">
                  <c:v>30601</c:v>
                </c:pt>
                <c:pt idx="670">
                  <c:v>30632</c:v>
                </c:pt>
                <c:pt idx="671">
                  <c:v>30663</c:v>
                </c:pt>
                <c:pt idx="672">
                  <c:v>30694</c:v>
                </c:pt>
                <c:pt idx="673">
                  <c:v>30725</c:v>
                </c:pt>
                <c:pt idx="674">
                  <c:v>30756</c:v>
                </c:pt>
                <c:pt idx="675">
                  <c:v>30787</c:v>
                </c:pt>
                <c:pt idx="676">
                  <c:v>30818</c:v>
                </c:pt>
                <c:pt idx="677">
                  <c:v>30849</c:v>
                </c:pt>
                <c:pt idx="678">
                  <c:v>30880</c:v>
                </c:pt>
                <c:pt idx="679">
                  <c:v>30911</c:v>
                </c:pt>
                <c:pt idx="680">
                  <c:v>30942</c:v>
                </c:pt>
                <c:pt idx="681">
                  <c:v>30973</c:v>
                </c:pt>
                <c:pt idx="682">
                  <c:v>31004</c:v>
                </c:pt>
                <c:pt idx="683">
                  <c:v>31035</c:v>
                </c:pt>
                <c:pt idx="684">
                  <c:v>31066</c:v>
                </c:pt>
                <c:pt idx="685">
                  <c:v>31097</c:v>
                </c:pt>
                <c:pt idx="686">
                  <c:v>31128</c:v>
                </c:pt>
                <c:pt idx="687">
                  <c:v>31159</c:v>
                </c:pt>
                <c:pt idx="688">
                  <c:v>31190</c:v>
                </c:pt>
                <c:pt idx="689">
                  <c:v>31221</c:v>
                </c:pt>
                <c:pt idx="690">
                  <c:v>31252</c:v>
                </c:pt>
                <c:pt idx="691">
                  <c:v>31283</c:v>
                </c:pt>
                <c:pt idx="692">
                  <c:v>31314</c:v>
                </c:pt>
                <c:pt idx="693">
                  <c:v>31345</c:v>
                </c:pt>
                <c:pt idx="694">
                  <c:v>31376</c:v>
                </c:pt>
                <c:pt idx="695">
                  <c:v>31407</c:v>
                </c:pt>
                <c:pt idx="696">
                  <c:v>31438</c:v>
                </c:pt>
                <c:pt idx="697">
                  <c:v>31469</c:v>
                </c:pt>
                <c:pt idx="698">
                  <c:v>31500</c:v>
                </c:pt>
                <c:pt idx="699">
                  <c:v>31531</c:v>
                </c:pt>
                <c:pt idx="700">
                  <c:v>31562</c:v>
                </c:pt>
                <c:pt idx="701">
                  <c:v>31593</c:v>
                </c:pt>
                <c:pt idx="702">
                  <c:v>31624</c:v>
                </c:pt>
                <c:pt idx="703">
                  <c:v>31655</c:v>
                </c:pt>
                <c:pt idx="704">
                  <c:v>31686</c:v>
                </c:pt>
                <c:pt idx="705">
                  <c:v>31717</c:v>
                </c:pt>
                <c:pt idx="706">
                  <c:v>31748</c:v>
                </c:pt>
                <c:pt idx="707">
                  <c:v>31779</c:v>
                </c:pt>
                <c:pt idx="708">
                  <c:v>31810</c:v>
                </c:pt>
                <c:pt idx="709">
                  <c:v>31841</c:v>
                </c:pt>
                <c:pt idx="710">
                  <c:v>31872</c:v>
                </c:pt>
                <c:pt idx="711">
                  <c:v>31903</c:v>
                </c:pt>
                <c:pt idx="712">
                  <c:v>31934</c:v>
                </c:pt>
                <c:pt idx="713">
                  <c:v>31965</c:v>
                </c:pt>
                <c:pt idx="714">
                  <c:v>31996</c:v>
                </c:pt>
                <c:pt idx="715">
                  <c:v>32027</c:v>
                </c:pt>
                <c:pt idx="716">
                  <c:v>32058</c:v>
                </c:pt>
                <c:pt idx="717">
                  <c:v>32089</c:v>
                </c:pt>
                <c:pt idx="718">
                  <c:v>32120</c:v>
                </c:pt>
                <c:pt idx="719">
                  <c:v>32151</c:v>
                </c:pt>
                <c:pt idx="720">
                  <c:v>32182</c:v>
                </c:pt>
                <c:pt idx="721">
                  <c:v>32213</c:v>
                </c:pt>
                <c:pt idx="722">
                  <c:v>32244</c:v>
                </c:pt>
                <c:pt idx="723">
                  <c:v>32275</c:v>
                </c:pt>
                <c:pt idx="724">
                  <c:v>32306</c:v>
                </c:pt>
                <c:pt idx="725">
                  <c:v>32337</c:v>
                </c:pt>
                <c:pt idx="726">
                  <c:v>32368</c:v>
                </c:pt>
                <c:pt idx="727">
                  <c:v>32399</c:v>
                </c:pt>
                <c:pt idx="728">
                  <c:v>32430</c:v>
                </c:pt>
                <c:pt idx="729">
                  <c:v>32461</c:v>
                </c:pt>
                <c:pt idx="730">
                  <c:v>32492</c:v>
                </c:pt>
                <c:pt idx="731">
                  <c:v>32523</c:v>
                </c:pt>
                <c:pt idx="732">
                  <c:v>32554</c:v>
                </c:pt>
                <c:pt idx="733">
                  <c:v>32585</c:v>
                </c:pt>
                <c:pt idx="734">
                  <c:v>32616</c:v>
                </c:pt>
                <c:pt idx="735">
                  <c:v>32647</c:v>
                </c:pt>
                <c:pt idx="736">
                  <c:v>32678</c:v>
                </c:pt>
                <c:pt idx="737">
                  <c:v>32709</c:v>
                </c:pt>
                <c:pt idx="738">
                  <c:v>32740</c:v>
                </c:pt>
                <c:pt idx="739">
                  <c:v>32771</c:v>
                </c:pt>
                <c:pt idx="740">
                  <c:v>32802</c:v>
                </c:pt>
                <c:pt idx="741">
                  <c:v>32833</c:v>
                </c:pt>
                <c:pt idx="742">
                  <c:v>32864</c:v>
                </c:pt>
                <c:pt idx="743">
                  <c:v>32895</c:v>
                </c:pt>
                <c:pt idx="744">
                  <c:v>32926</c:v>
                </c:pt>
                <c:pt idx="745">
                  <c:v>32957</c:v>
                </c:pt>
                <c:pt idx="746">
                  <c:v>32988</c:v>
                </c:pt>
                <c:pt idx="747">
                  <c:v>33019</c:v>
                </c:pt>
                <c:pt idx="748">
                  <c:v>33050</c:v>
                </c:pt>
                <c:pt idx="749">
                  <c:v>33081</c:v>
                </c:pt>
                <c:pt idx="750">
                  <c:v>33112</c:v>
                </c:pt>
                <c:pt idx="751">
                  <c:v>33143</c:v>
                </c:pt>
                <c:pt idx="752">
                  <c:v>33174</c:v>
                </c:pt>
                <c:pt idx="753">
                  <c:v>33205</c:v>
                </c:pt>
                <c:pt idx="754">
                  <c:v>33236</c:v>
                </c:pt>
                <c:pt idx="755">
                  <c:v>33267</c:v>
                </c:pt>
                <c:pt idx="756">
                  <c:v>33298</c:v>
                </c:pt>
                <c:pt idx="757">
                  <c:v>33329</c:v>
                </c:pt>
                <c:pt idx="758">
                  <c:v>33360</c:v>
                </c:pt>
                <c:pt idx="759">
                  <c:v>33391</c:v>
                </c:pt>
                <c:pt idx="760">
                  <c:v>33422</c:v>
                </c:pt>
                <c:pt idx="761">
                  <c:v>33453</c:v>
                </c:pt>
                <c:pt idx="762">
                  <c:v>33484</c:v>
                </c:pt>
                <c:pt idx="763">
                  <c:v>33515</c:v>
                </c:pt>
                <c:pt idx="764">
                  <c:v>33546</c:v>
                </c:pt>
                <c:pt idx="765">
                  <c:v>33577</c:v>
                </c:pt>
                <c:pt idx="766">
                  <c:v>33608</c:v>
                </c:pt>
                <c:pt idx="767">
                  <c:v>33639</c:v>
                </c:pt>
                <c:pt idx="768">
                  <c:v>33670</c:v>
                </c:pt>
                <c:pt idx="769">
                  <c:v>33701</c:v>
                </c:pt>
                <c:pt idx="770">
                  <c:v>33732</c:v>
                </c:pt>
                <c:pt idx="771">
                  <c:v>33763</c:v>
                </c:pt>
                <c:pt idx="772">
                  <c:v>33794</c:v>
                </c:pt>
                <c:pt idx="773">
                  <c:v>33825</c:v>
                </c:pt>
                <c:pt idx="774">
                  <c:v>33856</c:v>
                </c:pt>
                <c:pt idx="775">
                  <c:v>33887</c:v>
                </c:pt>
                <c:pt idx="776">
                  <c:v>33918</c:v>
                </c:pt>
                <c:pt idx="777">
                  <c:v>33949</c:v>
                </c:pt>
                <c:pt idx="778">
                  <c:v>33980</c:v>
                </c:pt>
                <c:pt idx="779">
                  <c:v>34011</c:v>
                </c:pt>
                <c:pt idx="780">
                  <c:v>34042</c:v>
                </c:pt>
                <c:pt idx="781">
                  <c:v>34073</c:v>
                </c:pt>
                <c:pt idx="782">
                  <c:v>34104</c:v>
                </c:pt>
                <c:pt idx="783">
                  <c:v>34135</c:v>
                </c:pt>
                <c:pt idx="784">
                  <c:v>34166</c:v>
                </c:pt>
                <c:pt idx="785">
                  <c:v>34197</c:v>
                </c:pt>
                <c:pt idx="786">
                  <c:v>34228</c:v>
                </c:pt>
                <c:pt idx="787">
                  <c:v>34259</c:v>
                </c:pt>
                <c:pt idx="788">
                  <c:v>34290</c:v>
                </c:pt>
                <c:pt idx="789">
                  <c:v>34321</c:v>
                </c:pt>
                <c:pt idx="790">
                  <c:v>34352</c:v>
                </c:pt>
                <c:pt idx="791">
                  <c:v>34383</c:v>
                </c:pt>
                <c:pt idx="792">
                  <c:v>34414</c:v>
                </c:pt>
                <c:pt idx="793">
                  <c:v>34445</c:v>
                </c:pt>
                <c:pt idx="794">
                  <c:v>34476</c:v>
                </c:pt>
                <c:pt idx="795">
                  <c:v>34507</c:v>
                </c:pt>
                <c:pt idx="796">
                  <c:v>34538</c:v>
                </c:pt>
                <c:pt idx="797">
                  <c:v>34569</c:v>
                </c:pt>
                <c:pt idx="798">
                  <c:v>34600</c:v>
                </c:pt>
                <c:pt idx="799">
                  <c:v>34631</c:v>
                </c:pt>
                <c:pt idx="800">
                  <c:v>34662</c:v>
                </c:pt>
                <c:pt idx="801">
                  <c:v>34693</c:v>
                </c:pt>
                <c:pt idx="802">
                  <c:v>34724</c:v>
                </c:pt>
                <c:pt idx="803">
                  <c:v>34755</c:v>
                </c:pt>
                <c:pt idx="804">
                  <c:v>34786</c:v>
                </c:pt>
                <c:pt idx="805">
                  <c:v>34817</c:v>
                </c:pt>
                <c:pt idx="806">
                  <c:v>34848</c:v>
                </c:pt>
                <c:pt idx="807">
                  <c:v>34879</c:v>
                </c:pt>
                <c:pt idx="808">
                  <c:v>34910</c:v>
                </c:pt>
                <c:pt idx="809">
                  <c:v>34941</c:v>
                </c:pt>
                <c:pt idx="810">
                  <c:v>34972</c:v>
                </c:pt>
                <c:pt idx="811">
                  <c:v>35003</c:v>
                </c:pt>
                <c:pt idx="812">
                  <c:v>35034</c:v>
                </c:pt>
                <c:pt idx="813">
                  <c:v>35065</c:v>
                </c:pt>
                <c:pt idx="814">
                  <c:v>35096</c:v>
                </c:pt>
                <c:pt idx="815">
                  <c:v>35127</c:v>
                </c:pt>
                <c:pt idx="816">
                  <c:v>35158</c:v>
                </c:pt>
                <c:pt idx="817">
                  <c:v>35189</c:v>
                </c:pt>
                <c:pt idx="818">
                  <c:v>35220</c:v>
                </c:pt>
                <c:pt idx="819">
                  <c:v>35251</c:v>
                </c:pt>
                <c:pt idx="820">
                  <c:v>35282</c:v>
                </c:pt>
                <c:pt idx="821">
                  <c:v>35313</c:v>
                </c:pt>
                <c:pt idx="822">
                  <c:v>35344</c:v>
                </c:pt>
                <c:pt idx="823">
                  <c:v>35375</c:v>
                </c:pt>
                <c:pt idx="824">
                  <c:v>35406</c:v>
                </c:pt>
                <c:pt idx="825">
                  <c:v>35437</c:v>
                </c:pt>
                <c:pt idx="826">
                  <c:v>35468</c:v>
                </c:pt>
                <c:pt idx="827">
                  <c:v>35499</c:v>
                </c:pt>
                <c:pt idx="828">
                  <c:v>35530</c:v>
                </c:pt>
                <c:pt idx="829">
                  <c:v>35561</c:v>
                </c:pt>
                <c:pt idx="830">
                  <c:v>35592</c:v>
                </c:pt>
                <c:pt idx="831">
                  <c:v>35623</c:v>
                </c:pt>
                <c:pt idx="832">
                  <c:v>35654</c:v>
                </c:pt>
                <c:pt idx="833">
                  <c:v>35685</c:v>
                </c:pt>
                <c:pt idx="834">
                  <c:v>35716</c:v>
                </c:pt>
                <c:pt idx="835">
                  <c:v>35747</c:v>
                </c:pt>
                <c:pt idx="836">
                  <c:v>35778</c:v>
                </c:pt>
                <c:pt idx="837">
                  <c:v>35809</c:v>
                </c:pt>
                <c:pt idx="838">
                  <c:v>35840</c:v>
                </c:pt>
                <c:pt idx="839">
                  <c:v>35871</c:v>
                </c:pt>
                <c:pt idx="840">
                  <c:v>35902</c:v>
                </c:pt>
                <c:pt idx="841">
                  <c:v>35933</c:v>
                </c:pt>
                <c:pt idx="842">
                  <c:v>35964</c:v>
                </c:pt>
                <c:pt idx="843">
                  <c:v>35995</c:v>
                </c:pt>
                <c:pt idx="844">
                  <c:v>36026</c:v>
                </c:pt>
                <c:pt idx="845">
                  <c:v>36057</c:v>
                </c:pt>
                <c:pt idx="846">
                  <c:v>36088</c:v>
                </c:pt>
                <c:pt idx="847">
                  <c:v>36119</c:v>
                </c:pt>
                <c:pt idx="848">
                  <c:v>36150</c:v>
                </c:pt>
                <c:pt idx="849">
                  <c:v>36181</c:v>
                </c:pt>
                <c:pt idx="850">
                  <c:v>36212</c:v>
                </c:pt>
                <c:pt idx="851">
                  <c:v>36243</c:v>
                </c:pt>
                <c:pt idx="852">
                  <c:v>36274</c:v>
                </c:pt>
                <c:pt idx="853">
                  <c:v>36305</c:v>
                </c:pt>
                <c:pt idx="854">
                  <c:v>36336</c:v>
                </c:pt>
                <c:pt idx="855">
                  <c:v>36367</c:v>
                </c:pt>
                <c:pt idx="856">
                  <c:v>36398</c:v>
                </c:pt>
                <c:pt idx="857">
                  <c:v>36429</c:v>
                </c:pt>
                <c:pt idx="858">
                  <c:v>36460</c:v>
                </c:pt>
                <c:pt idx="859">
                  <c:v>36491</c:v>
                </c:pt>
                <c:pt idx="860">
                  <c:v>36522</c:v>
                </c:pt>
                <c:pt idx="861">
                  <c:v>36553</c:v>
                </c:pt>
                <c:pt idx="862">
                  <c:v>36584</c:v>
                </c:pt>
                <c:pt idx="863">
                  <c:v>36615</c:v>
                </c:pt>
                <c:pt idx="864">
                  <c:v>36646</c:v>
                </c:pt>
                <c:pt idx="865">
                  <c:v>36677</c:v>
                </c:pt>
                <c:pt idx="866">
                  <c:v>36708</c:v>
                </c:pt>
                <c:pt idx="867">
                  <c:v>36739</c:v>
                </c:pt>
                <c:pt idx="868">
                  <c:v>36770</c:v>
                </c:pt>
                <c:pt idx="869">
                  <c:v>36801</c:v>
                </c:pt>
                <c:pt idx="870">
                  <c:v>36832</c:v>
                </c:pt>
                <c:pt idx="871">
                  <c:v>36863</c:v>
                </c:pt>
                <c:pt idx="872">
                  <c:v>36894</c:v>
                </c:pt>
                <c:pt idx="873">
                  <c:v>36925</c:v>
                </c:pt>
                <c:pt idx="874">
                  <c:v>36956</c:v>
                </c:pt>
                <c:pt idx="875">
                  <c:v>36987</c:v>
                </c:pt>
                <c:pt idx="876">
                  <c:v>37018</c:v>
                </c:pt>
                <c:pt idx="877">
                  <c:v>37049</c:v>
                </c:pt>
                <c:pt idx="878">
                  <c:v>37080</c:v>
                </c:pt>
                <c:pt idx="879">
                  <c:v>37111</c:v>
                </c:pt>
                <c:pt idx="880">
                  <c:v>37142</c:v>
                </c:pt>
                <c:pt idx="881">
                  <c:v>37173</c:v>
                </c:pt>
                <c:pt idx="882">
                  <c:v>37204</c:v>
                </c:pt>
                <c:pt idx="883">
                  <c:v>37235</c:v>
                </c:pt>
                <c:pt idx="884">
                  <c:v>37266</c:v>
                </c:pt>
                <c:pt idx="885">
                  <c:v>37297</c:v>
                </c:pt>
                <c:pt idx="886">
                  <c:v>37328</c:v>
                </c:pt>
                <c:pt idx="887">
                  <c:v>37359</c:v>
                </c:pt>
                <c:pt idx="888">
                  <c:v>37390</c:v>
                </c:pt>
                <c:pt idx="889">
                  <c:v>37421</c:v>
                </c:pt>
                <c:pt idx="890">
                  <c:v>37452</c:v>
                </c:pt>
                <c:pt idx="891">
                  <c:v>37483</c:v>
                </c:pt>
                <c:pt idx="892">
                  <c:v>37514</c:v>
                </c:pt>
                <c:pt idx="893">
                  <c:v>37545</c:v>
                </c:pt>
                <c:pt idx="894">
                  <c:v>37576</c:v>
                </c:pt>
                <c:pt idx="895">
                  <c:v>37607</c:v>
                </c:pt>
                <c:pt idx="896">
                  <c:v>37638</c:v>
                </c:pt>
                <c:pt idx="897">
                  <c:v>37669</c:v>
                </c:pt>
                <c:pt idx="898">
                  <c:v>37700</c:v>
                </c:pt>
                <c:pt idx="899">
                  <c:v>37731</c:v>
                </c:pt>
                <c:pt idx="900">
                  <c:v>37762</c:v>
                </c:pt>
                <c:pt idx="901">
                  <c:v>37793</c:v>
                </c:pt>
                <c:pt idx="902">
                  <c:v>37824</c:v>
                </c:pt>
                <c:pt idx="903">
                  <c:v>37855</c:v>
                </c:pt>
                <c:pt idx="904">
                  <c:v>37886</c:v>
                </c:pt>
                <c:pt idx="905">
                  <c:v>37917</c:v>
                </c:pt>
                <c:pt idx="906">
                  <c:v>37948</c:v>
                </c:pt>
                <c:pt idx="907">
                  <c:v>37979</c:v>
                </c:pt>
                <c:pt idx="908">
                  <c:v>38010</c:v>
                </c:pt>
                <c:pt idx="909">
                  <c:v>38041</c:v>
                </c:pt>
                <c:pt idx="910">
                  <c:v>38072</c:v>
                </c:pt>
                <c:pt idx="911">
                  <c:v>38103</c:v>
                </c:pt>
                <c:pt idx="912">
                  <c:v>38134</c:v>
                </c:pt>
                <c:pt idx="913">
                  <c:v>38165</c:v>
                </c:pt>
                <c:pt idx="914">
                  <c:v>38196</c:v>
                </c:pt>
                <c:pt idx="915">
                  <c:v>38227</c:v>
                </c:pt>
                <c:pt idx="916">
                  <c:v>38258</c:v>
                </c:pt>
                <c:pt idx="917">
                  <c:v>38289</c:v>
                </c:pt>
                <c:pt idx="918">
                  <c:v>38320</c:v>
                </c:pt>
                <c:pt idx="919">
                  <c:v>38351</c:v>
                </c:pt>
                <c:pt idx="920">
                  <c:v>38382</c:v>
                </c:pt>
                <c:pt idx="921">
                  <c:v>38413</c:v>
                </c:pt>
                <c:pt idx="922">
                  <c:v>38444</c:v>
                </c:pt>
                <c:pt idx="923">
                  <c:v>38475</c:v>
                </c:pt>
                <c:pt idx="924">
                  <c:v>38506</c:v>
                </c:pt>
                <c:pt idx="925">
                  <c:v>38537</c:v>
                </c:pt>
                <c:pt idx="926">
                  <c:v>38568</c:v>
                </c:pt>
                <c:pt idx="927">
                  <c:v>38599</c:v>
                </c:pt>
                <c:pt idx="928">
                  <c:v>38630</c:v>
                </c:pt>
                <c:pt idx="929">
                  <c:v>38661</c:v>
                </c:pt>
                <c:pt idx="930">
                  <c:v>38692</c:v>
                </c:pt>
                <c:pt idx="931">
                  <c:v>38723</c:v>
                </c:pt>
                <c:pt idx="932">
                  <c:v>38754</c:v>
                </c:pt>
                <c:pt idx="933">
                  <c:v>38785</c:v>
                </c:pt>
                <c:pt idx="934">
                  <c:v>38816</c:v>
                </c:pt>
                <c:pt idx="935">
                  <c:v>38847</c:v>
                </c:pt>
                <c:pt idx="936">
                  <c:v>38878</c:v>
                </c:pt>
                <c:pt idx="937">
                  <c:v>38909</c:v>
                </c:pt>
                <c:pt idx="938">
                  <c:v>38940</c:v>
                </c:pt>
                <c:pt idx="939">
                  <c:v>38971</c:v>
                </c:pt>
                <c:pt idx="940">
                  <c:v>39002</c:v>
                </c:pt>
                <c:pt idx="941">
                  <c:v>39033</c:v>
                </c:pt>
                <c:pt idx="942">
                  <c:v>39064</c:v>
                </c:pt>
                <c:pt idx="943">
                  <c:v>39095</c:v>
                </c:pt>
                <c:pt idx="944">
                  <c:v>39126</c:v>
                </c:pt>
                <c:pt idx="945">
                  <c:v>39157</c:v>
                </c:pt>
                <c:pt idx="946">
                  <c:v>39188</c:v>
                </c:pt>
                <c:pt idx="947">
                  <c:v>39219</c:v>
                </c:pt>
                <c:pt idx="948">
                  <c:v>39250</c:v>
                </c:pt>
                <c:pt idx="949">
                  <c:v>39281</c:v>
                </c:pt>
                <c:pt idx="950">
                  <c:v>39312</c:v>
                </c:pt>
                <c:pt idx="951">
                  <c:v>39343</c:v>
                </c:pt>
                <c:pt idx="952">
                  <c:v>39374</c:v>
                </c:pt>
                <c:pt idx="953">
                  <c:v>39405</c:v>
                </c:pt>
                <c:pt idx="954">
                  <c:v>39436</c:v>
                </c:pt>
                <c:pt idx="955">
                  <c:v>39467</c:v>
                </c:pt>
                <c:pt idx="956">
                  <c:v>39498</c:v>
                </c:pt>
                <c:pt idx="957">
                  <c:v>39529</c:v>
                </c:pt>
                <c:pt idx="958">
                  <c:v>39560</c:v>
                </c:pt>
                <c:pt idx="959">
                  <c:v>39591</c:v>
                </c:pt>
                <c:pt idx="960">
                  <c:v>39622</c:v>
                </c:pt>
                <c:pt idx="961">
                  <c:v>39653</c:v>
                </c:pt>
                <c:pt idx="962">
                  <c:v>39684</c:v>
                </c:pt>
                <c:pt idx="963">
                  <c:v>39715</c:v>
                </c:pt>
                <c:pt idx="964">
                  <c:v>39746</c:v>
                </c:pt>
                <c:pt idx="965">
                  <c:v>39777</c:v>
                </c:pt>
                <c:pt idx="966">
                  <c:v>39808</c:v>
                </c:pt>
                <c:pt idx="967">
                  <c:v>39839</c:v>
                </c:pt>
                <c:pt idx="968">
                  <c:v>39870</c:v>
                </c:pt>
                <c:pt idx="969">
                  <c:v>39901</c:v>
                </c:pt>
                <c:pt idx="970">
                  <c:v>39932</c:v>
                </c:pt>
                <c:pt idx="971">
                  <c:v>39963</c:v>
                </c:pt>
                <c:pt idx="972">
                  <c:v>39994</c:v>
                </c:pt>
                <c:pt idx="973">
                  <c:v>40025</c:v>
                </c:pt>
                <c:pt idx="974">
                  <c:v>40056</c:v>
                </c:pt>
                <c:pt idx="975">
                  <c:v>40087</c:v>
                </c:pt>
                <c:pt idx="976">
                  <c:v>40118</c:v>
                </c:pt>
                <c:pt idx="977">
                  <c:v>40149</c:v>
                </c:pt>
                <c:pt idx="978">
                  <c:v>40180</c:v>
                </c:pt>
                <c:pt idx="979">
                  <c:v>40211</c:v>
                </c:pt>
                <c:pt idx="980">
                  <c:v>40242</c:v>
                </c:pt>
                <c:pt idx="981">
                  <c:v>40273</c:v>
                </c:pt>
                <c:pt idx="982">
                  <c:v>40304</c:v>
                </c:pt>
                <c:pt idx="983">
                  <c:v>40335</c:v>
                </c:pt>
                <c:pt idx="984">
                  <c:v>40366</c:v>
                </c:pt>
                <c:pt idx="985">
                  <c:v>40397</c:v>
                </c:pt>
                <c:pt idx="986">
                  <c:v>40428</c:v>
                </c:pt>
                <c:pt idx="987">
                  <c:v>40459</c:v>
                </c:pt>
                <c:pt idx="988">
                  <c:v>40490</c:v>
                </c:pt>
                <c:pt idx="989">
                  <c:v>40521</c:v>
                </c:pt>
                <c:pt idx="990">
                  <c:v>40552</c:v>
                </c:pt>
                <c:pt idx="991">
                  <c:v>40583</c:v>
                </c:pt>
                <c:pt idx="992">
                  <c:v>40614</c:v>
                </c:pt>
                <c:pt idx="993">
                  <c:v>40645</c:v>
                </c:pt>
                <c:pt idx="994">
                  <c:v>40676</c:v>
                </c:pt>
                <c:pt idx="995">
                  <c:v>40707</c:v>
                </c:pt>
                <c:pt idx="996">
                  <c:v>40738</c:v>
                </c:pt>
                <c:pt idx="997">
                  <c:v>40769</c:v>
                </c:pt>
                <c:pt idx="998">
                  <c:v>40800</c:v>
                </c:pt>
                <c:pt idx="999">
                  <c:v>40831</c:v>
                </c:pt>
                <c:pt idx="1000">
                  <c:v>40862</c:v>
                </c:pt>
                <c:pt idx="1001">
                  <c:v>40893</c:v>
                </c:pt>
                <c:pt idx="1002">
                  <c:v>40924</c:v>
                </c:pt>
                <c:pt idx="1003">
                  <c:v>40955</c:v>
                </c:pt>
                <c:pt idx="1004">
                  <c:v>40986</c:v>
                </c:pt>
                <c:pt idx="1005">
                  <c:v>41017</c:v>
                </c:pt>
                <c:pt idx="1006">
                  <c:v>41048</c:v>
                </c:pt>
                <c:pt idx="1007">
                  <c:v>41079</c:v>
                </c:pt>
                <c:pt idx="1008">
                  <c:v>41110</c:v>
                </c:pt>
                <c:pt idx="1009">
                  <c:v>41141</c:v>
                </c:pt>
                <c:pt idx="1010">
                  <c:v>41172</c:v>
                </c:pt>
                <c:pt idx="1011">
                  <c:v>41203</c:v>
                </c:pt>
                <c:pt idx="1012">
                  <c:v>41234</c:v>
                </c:pt>
                <c:pt idx="1013">
                  <c:v>41265</c:v>
                </c:pt>
                <c:pt idx="1014">
                  <c:v>41296</c:v>
                </c:pt>
                <c:pt idx="1015">
                  <c:v>41327</c:v>
                </c:pt>
                <c:pt idx="1016">
                  <c:v>41358</c:v>
                </c:pt>
                <c:pt idx="1017">
                  <c:v>41389</c:v>
                </c:pt>
                <c:pt idx="1018">
                  <c:v>41420</c:v>
                </c:pt>
                <c:pt idx="1019">
                  <c:v>41451</c:v>
                </c:pt>
                <c:pt idx="1020">
                  <c:v>41482</c:v>
                </c:pt>
                <c:pt idx="1021">
                  <c:v>41513</c:v>
                </c:pt>
                <c:pt idx="1022">
                  <c:v>41544</c:v>
                </c:pt>
                <c:pt idx="1023">
                  <c:v>41575</c:v>
                </c:pt>
                <c:pt idx="1024">
                  <c:v>41606</c:v>
                </c:pt>
                <c:pt idx="1025">
                  <c:v>41637</c:v>
                </c:pt>
                <c:pt idx="1026">
                  <c:v>41668</c:v>
                </c:pt>
                <c:pt idx="1027">
                  <c:v>41699</c:v>
                </c:pt>
                <c:pt idx="1028">
                  <c:v>41730</c:v>
                </c:pt>
                <c:pt idx="1029">
                  <c:v>41761</c:v>
                </c:pt>
                <c:pt idx="1030">
                  <c:v>41792</c:v>
                </c:pt>
                <c:pt idx="1031">
                  <c:v>41823</c:v>
                </c:pt>
                <c:pt idx="1032">
                  <c:v>41854</c:v>
                </c:pt>
                <c:pt idx="1033">
                  <c:v>41885</c:v>
                </c:pt>
                <c:pt idx="1034">
                  <c:v>41916</c:v>
                </c:pt>
                <c:pt idx="1035">
                  <c:v>41947</c:v>
                </c:pt>
                <c:pt idx="1036">
                  <c:v>41978</c:v>
                </c:pt>
                <c:pt idx="1037">
                  <c:v>42009</c:v>
                </c:pt>
                <c:pt idx="1038">
                  <c:v>42040</c:v>
                </c:pt>
                <c:pt idx="1039">
                  <c:v>42071</c:v>
                </c:pt>
                <c:pt idx="1040">
                  <c:v>42102</c:v>
                </c:pt>
                <c:pt idx="1041">
                  <c:v>42133</c:v>
                </c:pt>
                <c:pt idx="1042">
                  <c:v>42164</c:v>
                </c:pt>
                <c:pt idx="1043">
                  <c:v>42195</c:v>
                </c:pt>
                <c:pt idx="1044">
                  <c:v>42226</c:v>
                </c:pt>
                <c:pt idx="1045">
                  <c:v>42257</c:v>
                </c:pt>
                <c:pt idx="1046">
                  <c:v>42288</c:v>
                </c:pt>
                <c:pt idx="1047">
                  <c:v>42319</c:v>
                </c:pt>
                <c:pt idx="1048">
                  <c:v>42350</c:v>
                </c:pt>
                <c:pt idx="1049">
                  <c:v>42381</c:v>
                </c:pt>
                <c:pt idx="1050">
                  <c:v>42412</c:v>
                </c:pt>
                <c:pt idx="1051">
                  <c:v>42443</c:v>
                </c:pt>
                <c:pt idx="1052">
                  <c:v>42474</c:v>
                </c:pt>
                <c:pt idx="1053">
                  <c:v>42505</c:v>
                </c:pt>
                <c:pt idx="1054">
                  <c:v>42536</c:v>
                </c:pt>
                <c:pt idx="1055">
                  <c:v>42567</c:v>
                </c:pt>
                <c:pt idx="1056">
                  <c:v>42598</c:v>
                </c:pt>
                <c:pt idx="1057">
                  <c:v>42629</c:v>
                </c:pt>
                <c:pt idx="1058">
                  <c:v>42660</c:v>
                </c:pt>
                <c:pt idx="1059">
                  <c:v>42691</c:v>
                </c:pt>
                <c:pt idx="1060">
                  <c:v>42722</c:v>
                </c:pt>
                <c:pt idx="1061">
                  <c:v>42753</c:v>
                </c:pt>
                <c:pt idx="1062">
                  <c:v>42784</c:v>
                </c:pt>
                <c:pt idx="1063">
                  <c:v>42815</c:v>
                </c:pt>
                <c:pt idx="1064">
                  <c:v>42846</c:v>
                </c:pt>
                <c:pt idx="1065">
                  <c:v>42877</c:v>
                </c:pt>
                <c:pt idx="1066">
                  <c:v>42908</c:v>
                </c:pt>
                <c:pt idx="1067">
                  <c:v>42939</c:v>
                </c:pt>
                <c:pt idx="1068">
                  <c:v>42970</c:v>
                </c:pt>
                <c:pt idx="1069">
                  <c:v>43001</c:v>
                </c:pt>
                <c:pt idx="1070">
                  <c:v>43032</c:v>
                </c:pt>
                <c:pt idx="1071">
                  <c:v>43063</c:v>
                </c:pt>
                <c:pt idx="1072">
                  <c:v>43094</c:v>
                </c:pt>
                <c:pt idx="1073">
                  <c:v>43125</c:v>
                </c:pt>
                <c:pt idx="1074">
                  <c:v>43156</c:v>
                </c:pt>
                <c:pt idx="1075">
                  <c:v>43187</c:v>
                </c:pt>
                <c:pt idx="1076">
                  <c:v>43218</c:v>
                </c:pt>
                <c:pt idx="1077">
                  <c:v>43249</c:v>
                </c:pt>
                <c:pt idx="1078">
                  <c:v>43280</c:v>
                </c:pt>
                <c:pt idx="1079">
                  <c:v>43311</c:v>
                </c:pt>
                <c:pt idx="1080">
                  <c:v>43342</c:v>
                </c:pt>
                <c:pt idx="1081">
                  <c:v>43373</c:v>
                </c:pt>
                <c:pt idx="1082">
                  <c:v>43404</c:v>
                </c:pt>
                <c:pt idx="1083">
                  <c:v>43435</c:v>
                </c:pt>
                <c:pt idx="1084">
                  <c:v>43466</c:v>
                </c:pt>
                <c:pt idx="1085">
                  <c:v>43497</c:v>
                </c:pt>
                <c:pt idx="1086">
                  <c:v>43528</c:v>
                </c:pt>
                <c:pt idx="1087">
                  <c:v>43559</c:v>
                </c:pt>
                <c:pt idx="1088">
                  <c:v>43590</c:v>
                </c:pt>
                <c:pt idx="1089">
                  <c:v>43621</c:v>
                </c:pt>
                <c:pt idx="1090">
                  <c:v>43652</c:v>
                </c:pt>
                <c:pt idx="1091">
                  <c:v>43683</c:v>
                </c:pt>
                <c:pt idx="1092">
                  <c:v>43714</c:v>
                </c:pt>
                <c:pt idx="1093">
                  <c:v>43745</c:v>
                </c:pt>
                <c:pt idx="1094">
                  <c:v>43776</c:v>
                </c:pt>
                <c:pt idx="1095">
                  <c:v>43807</c:v>
                </c:pt>
                <c:pt idx="1096">
                  <c:v>43838</c:v>
                </c:pt>
                <c:pt idx="1097">
                  <c:v>43869</c:v>
                </c:pt>
                <c:pt idx="1098">
                  <c:v>43900</c:v>
                </c:pt>
                <c:pt idx="1099">
                  <c:v>43931</c:v>
                </c:pt>
                <c:pt idx="1100">
                  <c:v>43962</c:v>
                </c:pt>
                <c:pt idx="1101">
                  <c:v>43993</c:v>
                </c:pt>
                <c:pt idx="1102">
                  <c:v>44024</c:v>
                </c:pt>
                <c:pt idx="1103">
                  <c:v>44055</c:v>
                </c:pt>
                <c:pt idx="1104">
                  <c:v>44086</c:v>
                </c:pt>
                <c:pt idx="1105">
                  <c:v>44117</c:v>
                </c:pt>
                <c:pt idx="1106">
                  <c:v>44148</c:v>
                </c:pt>
                <c:pt idx="1107">
                  <c:v>44179</c:v>
                </c:pt>
                <c:pt idx="1108">
                  <c:v>44210</c:v>
                </c:pt>
                <c:pt idx="1109">
                  <c:v>44241</c:v>
                </c:pt>
                <c:pt idx="1110">
                  <c:v>44272</c:v>
                </c:pt>
                <c:pt idx="1111">
                  <c:v>44303</c:v>
                </c:pt>
                <c:pt idx="1112">
                  <c:v>44334</c:v>
                </c:pt>
                <c:pt idx="1113">
                  <c:v>44365</c:v>
                </c:pt>
                <c:pt idx="1114">
                  <c:v>44396</c:v>
                </c:pt>
                <c:pt idx="1115">
                  <c:v>44427</c:v>
                </c:pt>
                <c:pt idx="1116">
                  <c:v>44458</c:v>
                </c:pt>
                <c:pt idx="1117">
                  <c:v>44489</c:v>
                </c:pt>
                <c:pt idx="1118">
                  <c:v>44520</c:v>
                </c:pt>
                <c:pt idx="1119">
                  <c:v>44551</c:v>
                </c:pt>
                <c:pt idx="1120">
                  <c:v>44582</c:v>
                </c:pt>
                <c:pt idx="1121">
                  <c:v>44613</c:v>
                </c:pt>
                <c:pt idx="1122">
                  <c:v>44644</c:v>
                </c:pt>
                <c:pt idx="1123">
                  <c:v>44675</c:v>
                </c:pt>
                <c:pt idx="1124">
                  <c:v>44706</c:v>
                </c:pt>
                <c:pt idx="1125">
                  <c:v>44737</c:v>
                </c:pt>
                <c:pt idx="1126">
                  <c:v>44768</c:v>
                </c:pt>
                <c:pt idx="1127">
                  <c:v>44799</c:v>
                </c:pt>
                <c:pt idx="1128">
                  <c:v>44830</c:v>
                </c:pt>
              </c:numCache>
            </c:numRef>
          </c:xVal>
          <c:yVal>
            <c:numRef>
              <c:f>'HistoricalWorldStocks_SMA-CHF'!$AN$38:$AN$1166</c:f>
              <c:numCache>
                <c:formatCode>_(* #,##0.0000_);_(* \(#,##0.0000\);_(* "-"??_);_(@_)</c:formatCode>
                <c:ptCount val="1129"/>
                <c:pt idx="0">
                  <c:v>1</c:v>
                </c:pt>
                <c:pt idx="1">
                  <c:v>1.0409157317748439</c:v>
                </c:pt>
                <c:pt idx="2">
                  <c:v>1.074229586880435</c:v>
                </c:pt>
                <c:pt idx="3">
                  <c:v>1.0846427311001876</c:v>
                </c:pt>
                <c:pt idx="4">
                  <c:v>1.130247871256957</c:v>
                </c:pt>
                <c:pt idx="5">
                  <c:v>1.1310616664777609</c:v>
                </c:pt>
                <c:pt idx="6">
                  <c:v>1.1210011882400548</c:v>
                </c:pt>
                <c:pt idx="7">
                  <c:v>1.1303097948693812</c:v>
                </c:pt>
                <c:pt idx="8">
                  <c:v>1.1540074290103992</c:v>
                </c:pt>
                <c:pt idx="9">
                  <c:v>1.1862425086140189</c:v>
                </c:pt>
                <c:pt idx="10">
                  <c:v>1.1882550485632795</c:v>
                </c:pt>
                <c:pt idx="11">
                  <c:v>1.1708560657081666</c:v>
                </c:pt>
                <c:pt idx="12">
                  <c:v>1.2170835592390015</c:v>
                </c:pt>
                <c:pt idx="13">
                  <c:v>1.2578417042262506</c:v>
                </c:pt>
                <c:pt idx="14">
                  <c:v>1.236399425856668</c:v>
                </c:pt>
                <c:pt idx="15">
                  <c:v>1.3304002275124642</c:v>
                </c:pt>
                <c:pt idx="16">
                  <c:v>1.3887090450694675</c:v>
                </c:pt>
                <c:pt idx="17">
                  <c:v>1.4244651958710266</c:v>
                </c:pt>
                <c:pt idx="18">
                  <c:v>1.3800356984605344</c:v>
                </c:pt>
                <c:pt idx="19">
                  <c:v>1.3714330883474302</c:v>
                </c:pt>
                <c:pt idx="20">
                  <c:v>1.4532360072160022</c:v>
                </c:pt>
                <c:pt idx="21">
                  <c:v>1.4995994876596428</c:v>
                </c:pt>
                <c:pt idx="22">
                  <c:v>1.4962130220660863</c:v>
                </c:pt>
                <c:pt idx="23">
                  <c:v>1.6015294478569573</c:v>
                </c:pt>
                <c:pt idx="24">
                  <c:v>1.607017649398691</c:v>
                </c:pt>
                <c:pt idx="25">
                  <c:v>1.7054744309545202</c:v>
                </c:pt>
                <c:pt idx="26">
                  <c:v>1.7021886846904584</c:v>
                </c:pt>
                <c:pt idx="27">
                  <c:v>1.6925290702055067</c:v>
                </c:pt>
                <c:pt idx="28">
                  <c:v>1.6997363555689786</c:v>
                </c:pt>
                <c:pt idx="29">
                  <c:v>1.6519306741336273</c:v>
                </c:pt>
                <c:pt idx="30">
                  <c:v>1.7560288655365468</c:v>
                </c:pt>
                <c:pt idx="31">
                  <c:v>1.8383176441115265</c:v>
                </c:pt>
                <c:pt idx="32">
                  <c:v>1.9438489001804908</c:v>
                </c:pt>
                <c:pt idx="33">
                  <c:v>1.8854139259655893</c:v>
                </c:pt>
                <c:pt idx="34">
                  <c:v>1.6282023445914626</c:v>
                </c:pt>
                <c:pt idx="35">
                  <c:v>1.6332199963548149</c:v>
                </c:pt>
                <c:pt idx="36">
                  <c:v>1.6382790261055789</c:v>
                </c:pt>
                <c:pt idx="37">
                  <c:v>1.6474647030729233</c:v>
                </c:pt>
                <c:pt idx="38">
                  <c:v>1.6557060788611848</c:v>
                </c:pt>
                <c:pt idx="39">
                  <c:v>1.6598630802440855</c:v>
                </c:pt>
                <c:pt idx="40">
                  <c:v>1.6756286779014193</c:v>
                </c:pt>
                <c:pt idx="41">
                  <c:v>1.6766910961258075</c:v>
                </c:pt>
                <c:pt idx="42">
                  <c:v>1.6714032142660207</c:v>
                </c:pt>
                <c:pt idx="43">
                  <c:v>1.6682400212529971</c:v>
                </c:pt>
                <c:pt idx="44">
                  <c:v>1.6661378691525131</c:v>
                </c:pt>
                <c:pt idx="45">
                  <c:v>1.6671882825538895</c:v>
                </c:pt>
                <c:pt idx="46">
                  <c:v>1.6777657241549175</c:v>
                </c:pt>
                <c:pt idx="47">
                  <c:v>1.6820234600360173</c:v>
                </c:pt>
                <c:pt idx="48">
                  <c:v>1.6938638181244683</c:v>
                </c:pt>
                <c:pt idx="49">
                  <c:v>1.7003988122852933</c:v>
                </c:pt>
                <c:pt idx="50">
                  <c:v>1.7102963998600205</c:v>
                </c:pt>
                <c:pt idx="51">
                  <c:v>1.7281680620271362</c:v>
                </c:pt>
                <c:pt idx="52">
                  <c:v>1.7568593703628161</c:v>
                </c:pt>
                <c:pt idx="53">
                  <c:v>1.7603679098309934</c:v>
                </c:pt>
                <c:pt idx="54">
                  <c:v>1.7615405391661811</c:v>
                </c:pt>
                <c:pt idx="55">
                  <c:v>1.7650678193876344</c:v>
                </c:pt>
                <c:pt idx="56">
                  <c:v>1.7733411973558872</c:v>
                </c:pt>
                <c:pt idx="57">
                  <c:v>1.7733411973558872</c:v>
                </c:pt>
                <c:pt idx="58">
                  <c:v>1.7925621145137021</c:v>
                </c:pt>
                <c:pt idx="59">
                  <c:v>1.8035651681844336</c:v>
                </c:pt>
                <c:pt idx="60">
                  <c:v>1.8272303643910983</c:v>
                </c:pt>
                <c:pt idx="61">
                  <c:v>1.8412117864741029</c:v>
                </c:pt>
                <c:pt idx="62">
                  <c:v>1.8593224561391672</c:v>
                </c:pt>
                <c:pt idx="63">
                  <c:v>1.8671994652621109</c:v>
                </c:pt>
                <c:pt idx="64">
                  <c:v>1.8939312499111294</c:v>
                </c:pt>
                <c:pt idx="65">
                  <c:v>1.9075792205098738</c:v>
                </c:pt>
                <c:pt idx="66">
                  <c:v>1.913113415335475</c:v>
                </c:pt>
                <c:pt idx="67">
                  <c:v>1.9228366838919511</c:v>
                </c:pt>
                <c:pt idx="68">
                  <c:v>1.9312622593456252</c:v>
                </c:pt>
                <c:pt idx="69">
                  <c:v>1.9649917917179944</c:v>
                </c:pt>
                <c:pt idx="70">
                  <c:v>1.7962560948453223</c:v>
                </c:pt>
                <c:pt idx="71">
                  <c:v>1.7610121497706412</c:v>
                </c:pt>
                <c:pt idx="72">
                  <c:v>1.7754327501630112</c:v>
                </c:pt>
                <c:pt idx="73">
                  <c:v>1.7899027559557863</c:v>
                </c:pt>
                <c:pt idx="74">
                  <c:v>1.616824935291761</c:v>
                </c:pt>
                <c:pt idx="75">
                  <c:v>1.6253844570566045</c:v>
                </c:pt>
                <c:pt idx="76">
                  <c:v>1.6365400110732411</c:v>
                </c:pt>
                <c:pt idx="77">
                  <c:v>1.7049350815884243</c:v>
                </c:pt>
                <c:pt idx="78">
                  <c:v>1.8175937166451808</c:v>
                </c:pt>
                <c:pt idx="79">
                  <c:v>1.7055482310203016</c:v>
                </c:pt>
                <c:pt idx="80">
                  <c:v>1.8164126145333737</c:v>
                </c:pt>
                <c:pt idx="81">
                  <c:v>1.6441048492942008</c:v>
                </c:pt>
                <c:pt idx="82">
                  <c:v>1.5703975617180854</c:v>
                </c:pt>
                <c:pt idx="83">
                  <c:v>1.5680060623816434</c:v>
                </c:pt>
                <c:pt idx="84">
                  <c:v>1.5692009008749868</c:v>
                </c:pt>
                <c:pt idx="85">
                  <c:v>1.6363557601175422</c:v>
                </c:pt>
                <c:pt idx="86">
                  <c:v>1.5733676321387531</c:v>
                </c:pt>
                <c:pt idx="87">
                  <c:v>1.5818251375378289</c:v>
                </c:pt>
                <c:pt idx="88">
                  <c:v>1.5842743028783013</c:v>
                </c:pt>
                <c:pt idx="89">
                  <c:v>1.5928497900175476</c:v>
                </c:pt>
                <c:pt idx="90">
                  <c:v>1.5891578705080303</c:v>
                </c:pt>
                <c:pt idx="91">
                  <c:v>1.5953206145173136</c:v>
                </c:pt>
                <c:pt idx="92">
                  <c:v>1.5990285728870994</c:v>
                </c:pt>
                <c:pt idx="93">
                  <c:v>1.5977991163994407</c:v>
                </c:pt>
                <c:pt idx="94">
                  <c:v>1.5977991163994407</c:v>
                </c:pt>
                <c:pt idx="95">
                  <c:v>1.5953206145173138</c:v>
                </c:pt>
                <c:pt idx="96">
                  <c:v>1.6002994742008065</c:v>
                </c:pt>
                <c:pt idx="97">
                  <c:v>1.6615841406086604</c:v>
                </c:pt>
                <c:pt idx="98">
                  <c:v>1.6718457554626138</c:v>
                </c:pt>
                <c:pt idx="99">
                  <c:v>1.6376096899400343</c:v>
                </c:pt>
                <c:pt idx="100">
                  <c:v>1.7270502976448794</c:v>
                </c:pt>
                <c:pt idx="101">
                  <c:v>1.8049079849623493</c:v>
                </c:pt>
                <c:pt idx="102">
                  <c:v>1.8189334913719215</c:v>
                </c:pt>
                <c:pt idx="103">
                  <c:v>1.8545023624378874</c:v>
                </c:pt>
                <c:pt idx="104">
                  <c:v>1.876013385167117</c:v>
                </c:pt>
                <c:pt idx="105">
                  <c:v>1.8660285158871905</c:v>
                </c:pt>
                <c:pt idx="106">
                  <c:v>1.8953159924456917</c:v>
                </c:pt>
                <c:pt idx="107">
                  <c:v>1.9511016226210911</c:v>
                </c:pt>
                <c:pt idx="108">
                  <c:v>2.0035509531639124</c:v>
                </c:pt>
                <c:pt idx="109">
                  <c:v>2.1005971619938419</c:v>
                </c:pt>
                <c:pt idx="110">
                  <c:v>2.1505842170420779</c:v>
                </c:pt>
                <c:pt idx="111">
                  <c:v>2.1450911550816123</c:v>
                </c:pt>
                <c:pt idx="112">
                  <c:v>2.0931184300922121</c:v>
                </c:pt>
                <c:pt idx="113">
                  <c:v>2.1350864477272284</c:v>
                </c:pt>
                <c:pt idx="114">
                  <c:v>2.1674569316475178</c:v>
                </c:pt>
                <c:pt idx="115">
                  <c:v>2.2156544769802657</c:v>
                </c:pt>
                <c:pt idx="116">
                  <c:v>2.2571496949467522</c:v>
                </c:pt>
                <c:pt idx="117">
                  <c:v>2.291140887284421</c:v>
                </c:pt>
                <c:pt idx="118">
                  <c:v>3.299725701246393</c:v>
                </c:pt>
                <c:pt idx="119">
                  <c:v>3.3455975700978233</c:v>
                </c:pt>
                <c:pt idx="120">
                  <c:v>3.369085749615842</c:v>
                </c:pt>
                <c:pt idx="121">
                  <c:v>3.5172804920220124</c:v>
                </c:pt>
                <c:pt idx="122">
                  <c:v>3.5094951163378818</c:v>
                </c:pt>
                <c:pt idx="123">
                  <c:v>3.5389168802330229</c:v>
                </c:pt>
                <c:pt idx="124">
                  <c:v>3.3706795749266125</c:v>
                </c:pt>
                <c:pt idx="125">
                  <c:v>3.3803626781141252</c:v>
                </c:pt>
                <c:pt idx="126">
                  <c:v>3.3026423870296928</c:v>
                </c:pt>
                <c:pt idx="127">
                  <c:v>3.4239579016477735</c:v>
                </c:pt>
                <c:pt idx="128">
                  <c:v>3.3680952433870726</c:v>
                </c:pt>
                <c:pt idx="129">
                  <c:v>3.3680952433870726</c:v>
                </c:pt>
                <c:pt idx="130">
                  <c:v>3.3534011538241488</c:v>
                </c:pt>
                <c:pt idx="131">
                  <c:v>3.3485315743040229</c:v>
                </c:pt>
                <c:pt idx="132">
                  <c:v>3.3485315743040229</c:v>
                </c:pt>
                <c:pt idx="133">
                  <c:v>3.3485315743040229</c:v>
                </c:pt>
                <c:pt idx="134">
                  <c:v>3.3582849170774036</c:v>
                </c:pt>
                <c:pt idx="135">
                  <c:v>3.3680952433870721</c:v>
                </c:pt>
                <c:pt idx="136">
                  <c:v>3.3804137643705818</c:v>
                </c:pt>
                <c:pt idx="137">
                  <c:v>3.3854019408415561</c:v>
                </c:pt>
                <c:pt idx="138">
                  <c:v>3.3705567872066275</c:v>
                </c:pt>
                <c:pt idx="139">
                  <c:v>3.3729967589097445</c:v>
                </c:pt>
                <c:pt idx="140">
                  <c:v>3.3057222541471849</c:v>
                </c:pt>
                <c:pt idx="141">
                  <c:v>3.3002539906583754</c:v>
                </c:pt>
                <c:pt idx="142">
                  <c:v>3.4037784965870013</c:v>
                </c:pt>
                <c:pt idx="143">
                  <c:v>3.3950025239678596</c:v>
                </c:pt>
                <c:pt idx="144">
                  <c:v>3.4576841652742099</c:v>
                </c:pt>
                <c:pt idx="145">
                  <c:v>3.2941584648766553</c:v>
                </c:pt>
                <c:pt idx="146">
                  <c:v>3.3086991538440564</c:v>
                </c:pt>
                <c:pt idx="147">
                  <c:v>3.3111102167599471</c:v>
                </c:pt>
                <c:pt idx="148">
                  <c:v>3.2989911399796927</c:v>
                </c:pt>
                <c:pt idx="149">
                  <c:v>3.2917474329596619</c:v>
                </c:pt>
                <c:pt idx="150">
                  <c:v>3.2749685268725894</c:v>
                </c:pt>
                <c:pt idx="151">
                  <c:v>3.2725854936409773</c:v>
                </c:pt>
                <c:pt idx="152">
                  <c:v>3.2797450201923328</c:v>
                </c:pt>
                <c:pt idx="153">
                  <c:v>3.2560008738055846</c:v>
                </c:pt>
                <c:pt idx="154">
                  <c:v>3.2243888680188868</c:v>
                </c:pt>
                <c:pt idx="155">
                  <c:v>3.2168573688976374</c:v>
                </c:pt>
                <c:pt idx="156">
                  <c:v>3.3040370107692021</c:v>
                </c:pt>
                <c:pt idx="157">
                  <c:v>3.2229675400104614</c:v>
                </c:pt>
                <c:pt idx="158">
                  <c:v>3.2829945220617751</c:v>
                </c:pt>
                <c:pt idx="159">
                  <c:v>3.3437980944009187</c:v>
                </c:pt>
                <c:pt idx="160">
                  <c:v>3.2734597117325444</c:v>
                </c:pt>
                <c:pt idx="161">
                  <c:v>2.8521206901776055</c:v>
                </c:pt>
                <c:pt idx="162">
                  <c:v>2.8254351597012319</c:v>
                </c:pt>
                <c:pt idx="163">
                  <c:v>2.8066641768151612</c:v>
                </c:pt>
                <c:pt idx="164">
                  <c:v>2.7992254341438727</c:v>
                </c:pt>
                <c:pt idx="165">
                  <c:v>2.7590438259206911</c:v>
                </c:pt>
                <c:pt idx="166">
                  <c:v>2.7297847400901891</c:v>
                </c:pt>
                <c:pt idx="167">
                  <c:v>2.6969545038363583</c:v>
                </c:pt>
                <c:pt idx="168">
                  <c:v>2.684732565362169</c:v>
                </c:pt>
                <c:pt idx="169">
                  <c:v>2.6211845159957883</c:v>
                </c:pt>
                <c:pt idx="170">
                  <c:v>2.5980903792909795</c:v>
                </c:pt>
                <c:pt idx="171">
                  <c:v>2.7554288988008393</c:v>
                </c:pt>
                <c:pt idx="172">
                  <c:v>2.7780387047429205</c:v>
                </c:pt>
                <c:pt idx="173">
                  <c:v>2.8039874864648695</c:v>
                </c:pt>
                <c:pt idx="174">
                  <c:v>2.8907129742234088</c:v>
                </c:pt>
                <c:pt idx="175">
                  <c:v>2.9520170190440864</c:v>
                </c:pt>
                <c:pt idx="176">
                  <c:v>3.0968600108898379</c:v>
                </c:pt>
                <c:pt idx="177">
                  <c:v>3.17228329680397</c:v>
                </c:pt>
                <c:pt idx="178">
                  <c:v>3.0339075206212538</c:v>
                </c:pt>
                <c:pt idx="179">
                  <c:v>3.0263071215375179</c:v>
                </c:pt>
                <c:pt idx="180">
                  <c:v>3.0376905756750308</c:v>
                </c:pt>
                <c:pt idx="181">
                  <c:v>3.1250844221237277</c:v>
                </c:pt>
                <c:pt idx="182">
                  <c:v>3.1256752395755165</c:v>
                </c:pt>
                <c:pt idx="183">
                  <c:v>3.1355269468890463</c:v>
                </c:pt>
                <c:pt idx="184">
                  <c:v>3.130432962651621</c:v>
                </c:pt>
                <c:pt idx="185">
                  <c:v>3.2235238068938834</c:v>
                </c:pt>
                <c:pt idx="186">
                  <c:v>3.2243362390563974</c:v>
                </c:pt>
                <c:pt idx="187">
                  <c:v>3.249340537679585</c:v>
                </c:pt>
                <c:pt idx="188">
                  <c:v>3.3984059417501968</c:v>
                </c:pt>
                <c:pt idx="189">
                  <c:v>3.4336463540996833</c:v>
                </c:pt>
                <c:pt idx="190">
                  <c:v>3.5289037794314964</c:v>
                </c:pt>
                <c:pt idx="191">
                  <c:v>3.457251211296299</c:v>
                </c:pt>
                <c:pt idx="192">
                  <c:v>3.0909532014142771</c:v>
                </c:pt>
                <c:pt idx="193">
                  <c:v>3.0724717899741698</c:v>
                </c:pt>
                <c:pt idx="194">
                  <c:v>3.1659027779272013</c:v>
                </c:pt>
                <c:pt idx="195">
                  <c:v>3.2490013522987162</c:v>
                </c:pt>
                <c:pt idx="196">
                  <c:v>3.281873402196668</c:v>
                </c:pt>
                <c:pt idx="197">
                  <c:v>3.3806831887089439</c:v>
                </c:pt>
                <c:pt idx="198">
                  <c:v>3.424126696105291</c:v>
                </c:pt>
                <c:pt idx="199">
                  <c:v>3.37890511222415</c:v>
                </c:pt>
                <c:pt idx="200">
                  <c:v>3.4260518810917966</c:v>
                </c:pt>
                <c:pt idx="201">
                  <c:v>3.5313968924510615</c:v>
                </c:pt>
                <c:pt idx="202">
                  <c:v>3.5171172421178927</c:v>
                </c:pt>
                <c:pt idx="203">
                  <c:v>3.4181897847996314</c:v>
                </c:pt>
                <c:pt idx="204">
                  <c:v>3.5293450466096847</c:v>
                </c:pt>
                <c:pt idx="205">
                  <c:v>3.4991987730830059</c:v>
                </c:pt>
                <c:pt idx="206">
                  <c:v>3.5024226667101219</c:v>
                </c:pt>
                <c:pt idx="207">
                  <c:v>3.5413895149282992</c:v>
                </c:pt>
                <c:pt idx="208">
                  <c:v>3.5592283459747223</c:v>
                </c:pt>
                <c:pt idx="209">
                  <c:v>3.6829034513450156</c:v>
                </c:pt>
                <c:pt idx="210">
                  <c:v>3.886610888077811</c:v>
                </c:pt>
                <c:pt idx="211">
                  <c:v>3.9630699448698903</c:v>
                </c:pt>
                <c:pt idx="212">
                  <c:v>4.0537672276654577</c:v>
                </c:pt>
                <c:pt idx="213">
                  <c:v>3.9543690947566739</c:v>
                </c:pt>
                <c:pt idx="214">
                  <c:v>3.2147721216276368</c:v>
                </c:pt>
                <c:pt idx="215">
                  <c:v>3.2147721216276368</c:v>
                </c:pt>
                <c:pt idx="216">
                  <c:v>3.2147721216276368</c:v>
                </c:pt>
                <c:pt idx="217">
                  <c:v>3.2101441493826579</c:v>
                </c:pt>
                <c:pt idx="218">
                  <c:v>3.2070819188212636</c:v>
                </c:pt>
                <c:pt idx="219">
                  <c:v>3.2055294828011416</c:v>
                </c:pt>
                <c:pt idx="220">
                  <c:v>3.1978833833162961</c:v>
                </c:pt>
                <c:pt idx="221">
                  <c:v>3.1933038746207947</c:v>
                </c:pt>
                <c:pt idx="222">
                  <c:v>3.1826691915680296</c:v>
                </c:pt>
                <c:pt idx="223">
                  <c:v>3.1045431122529914</c:v>
                </c:pt>
                <c:pt idx="224">
                  <c:v>3.2972421120023339</c:v>
                </c:pt>
                <c:pt idx="225">
                  <c:v>3.3750292984804249</c:v>
                </c:pt>
                <c:pt idx="226">
                  <c:v>3.465429015745948</c:v>
                </c:pt>
                <c:pt idx="227">
                  <c:v>3.5099001268884749</c:v>
                </c:pt>
                <c:pt idx="228">
                  <c:v>3.4890652487545966</c:v>
                </c:pt>
                <c:pt idx="229">
                  <c:v>2.7902551469938368</c:v>
                </c:pt>
                <c:pt idx="230">
                  <c:v>2.8024440172393366</c:v>
                </c:pt>
                <c:pt idx="231">
                  <c:v>2.8161142715162959</c:v>
                </c:pt>
                <c:pt idx="232">
                  <c:v>2.8133807652072371</c:v>
                </c:pt>
                <c:pt idx="233">
                  <c:v>2.7956516249673662</c:v>
                </c:pt>
                <c:pt idx="234">
                  <c:v>2.7835216405223275</c:v>
                </c:pt>
                <c:pt idx="235">
                  <c:v>2.7862111394749749</c:v>
                </c:pt>
                <c:pt idx="236">
                  <c:v>2.7898691607407393</c:v>
                </c:pt>
                <c:pt idx="237">
                  <c:v>2.6839592280447877</c:v>
                </c:pt>
                <c:pt idx="238">
                  <c:v>2.7764347291929878</c:v>
                </c:pt>
                <c:pt idx="239">
                  <c:v>2.799208342582439</c:v>
                </c:pt>
                <c:pt idx="240">
                  <c:v>2.964973178981325</c:v>
                </c:pt>
                <c:pt idx="241">
                  <c:v>3.0530615522501336</c:v>
                </c:pt>
                <c:pt idx="242">
                  <c:v>3.0580367292203601</c:v>
                </c:pt>
                <c:pt idx="243">
                  <c:v>3.1604687544757479</c:v>
                </c:pt>
                <c:pt idx="244">
                  <c:v>3.1843145543943137</c:v>
                </c:pt>
                <c:pt idx="245">
                  <c:v>3.097527006852669</c:v>
                </c:pt>
                <c:pt idx="246">
                  <c:v>3.1264151453844873</c:v>
                </c:pt>
                <c:pt idx="247">
                  <c:v>3.1715356719198695</c:v>
                </c:pt>
                <c:pt idx="248">
                  <c:v>3.2322335138633171</c:v>
                </c:pt>
                <c:pt idx="249">
                  <c:v>3.2119619287032348</c:v>
                </c:pt>
                <c:pt idx="250">
                  <c:v>3.1304113092283741</c:v>
                </c:pt>
                <c:pt idx="251">
                  <c:v>3.1083315826061497</c:v>
                </c:pt>
                <c:pt idx="252">
                  <c:v>3.1616031725341469</c:v>
                </c:pt>
                <c:pt idx="253">
                  <c:v>3.148331155174025</c:v>
                </c:pt>
                <c:pt idx="254">
                  <c:v>2.9652179874428479</c:v>
                </c:pt>
                <c:pt idx="255">
                  <c:v>2.9725243567041177</c:v>
                </c:pt>
                <c:pt idx="256">
                  <c:v>2.9725243567041177</c:v>
                </c:pt>
                <c:pt idx="257">
                  <c:v>3.1404927458206204</c:v>
                </c:pt>
                <c:pt idx="258">
                  <c:v>3.1635805171164004</c:v>
                </c:pt>
                <c:pt idx="259">
                  <c:v>2.9077235299904056</c:v>
                </c:pt>
                <c:pt idx="260">
                  <c:v>2.9113102996939793</c:v>
                </c:pt>
                <c:pt idx="261">
                  <c:v>2.9059401077700309</c:v>
                </c:pt>
                <c:pt idx="262">
                  <c:v>2.9041455872996567</c:v>
                </c:pt>
                <c:pt idx="263">
                  <c:v>2.6538620715857335</c:v>
                </c:pt>
                <c:pt idx="264">
                  <c:v>2.67331162108175</c:v>
                </c:pt>
                <c:pt idx="265">
                  <c:v>2.6831559385211654</c:v>
                </c:pt>
                <c:pt idx="266">
                  <c:v>2.6930606920108651</c:v>
                </c:pt>
                <c:pt idx="267">
                  <c:v>2.7047049135474208</c:v>
                </c:pt>
                <c:pt idx="268">
                  <c:v>2.714782232346252</c:v>
                </c:pt>
                <c:pt idx="269">
                  <c:v>2.7114022899731927</c:v>
                </c:pt>
                <c:pt idx="270">
                  <c:v>2.7047049135474208</c:v>
                </c:pt>
                <c:pt idx="271">
                  <c:v>2.7130912084853804</c:v>
                </c:pt>
                <c:pt idx="272">
                  <c:v>2.7114022899731927</c:v>
                </c:pt>
                <c:pt idx="273">
                  <c:v>2.7045924907513612</c:v>
                </c:pt>
                <c:pt idx="274">
                  <c:v>2.7757508787134086</c:v>
                </c:pt>
                <c:pt idx="275">
                  <c:v>2.7756104124262118</c:v>
                </c:pt>
                <c:pt idx="276">
                  <c:v>2.8452902036245415</c:v>
                </c:pt>
                <c:pt idx="277">
                  <c:v>2.9407819064629708</c:v>
                </c:pt>
                <c:pt idx="278">
                  <c:v>2.9764236834431137</c:v>
                </c:pt>
                <c:pt idx="279">
                  <c:v>3.0447989508579889</c:v>
                </c:pt>
                <c:pt idx="280">
                  <c:v>3.176297766153005</c:v>
                </c:pt>
                <c:pt idx="281">
                  <c:v>3.2924431458942842</c:v>
                </c:pt>
                <c:pt idx="282">
                  <c:v>3.2218148426628388</c:v>
                </c:pt>
                <c:pt idx="283">
                  <c:v>3.2570625492313616</c:v>
                </c:pt>
                <c:pt idx="284">
                  <c:v>3.4224104000072799</c:v>
                </c:pt>
                <c:pt idx="285">
                  <c:v>3.6419136178869573</c:v>
                </c:pt>
                <c:pt idx="286">
                  <c:v>3.6709139790282239</c:v>
                </c:pt>
                <c:pt idx="287">
                  <c:v>3.6964677365382435</c:v>
                </c:pt>
                <c:pt idx="288">
                  <c:v>3.7940159251381571</c:v>
                </c:pt>
                <c:pt idx="289">
                  <c:v>4.0553551545670148</c:v>
                </c:pt>
                <c:pt idx="290">
                  <c:v>4.230841522329353</c:v>
                </c:pt>
                <c:pt idx="291">
                  <c:v>4.2164555798204111</c:v>
                </c:pt>
                <c:pt idx="292">
                  <c:v>4.3694387133297701</c:v>
                </c:pt>
                <c:pt idx="293">
                  <c:v>4.2825302791091353</c:v>
                </c:pt>
                <c:pt idx="294">
                  <c:v>4.2444728696288898</c:v>
                </c:pt>
                <c:pt idx="295">
                  <c:v>4.3819048878752662</c:v>
                </c:pt>
                <c:pt idx="296">
                  <c:v>4.5231817096534757</c:v>
                </c:pt>
                <c:pt idx="297">
                  <c:v>4.5976414467465627</c:v>
                </c:pt>
                <c:pt idx="298">
                  <c:v>4.5605866620080944</c:v>
                </c:pt>
                <c:pt idx="299">
                  <c:v>4.4989932684725451</c:v>
                </c:pt>
                <c:pt idx="300">
                  <c:v>4.6908107942955635</c:v>
                </c:pt>
                <c:pt idx="301">
                  <c:v>4.7841975131715468</c:v>
                </c:pt>
                <c:pt idx="302">
                  <c:v>4.6191300939973026</c:v>
                </c:pt>
                <c:pt idx="303">
                  <c:v>4.7832600730810562</c:v>
                </c:pt>
                <c:pt idx="304">
                  <c:v>4.7333180661273566</c:v>
                </c:pt>
                <c:pt idx="305">
                  <c:v>4.7645626339788656</c:v>
                </c:pt>
                <c:pt idx="306">
                  <c:v>4.9433991555361949</c:v>
                </c:pt>
                <c:pt idx="307">
                  <c:v>5.1003323767476845</c:v>
                </c:pt>
                <c:pt idx="308">
                  <c:v>5.0448530838444308</c:v>
                </c:pt>
                <c:pt idx="309">
                  <c:v>5.011408948574017</c:v>
                </c:pt>
                <c:pt idx="310">
                  <c:v>5.0366203767643754</c:v>
                </c:pt>
                <c:pt idx="311">
                  <c:v>5.2028690807529374</c:v>
                </c:pt>
                <c:pt idx="312">
                  <c:v>5.3711616498044901</c:v>
                </c:pt>
                <c:pt idx="313">
                  <c:v>5.4474532218004974</c:v>
                </c:pt>
                <c:pt idx="314">
                  <c:v>5.4148484112616471</c:v>
                </c:pt>
                <c:pt idx="315">
                  <c:v>5.3777726368663341</c:v>
                </c:pt>
                <c:pt idx="316">
                  <c:v>5.2511050871307292</c:v>
                </c:pt>
                <c:pt idx="317">
                  <c:v>5.2294318395856241</c:v>
                </c:pt>
                <c:pt idx="318">
                  <c:v>5.2232853948931064</c:v>
                </c:pt>
                <c:pt idx="319">
                  <c:v>5.2294318395856241</c:v>
                </c:pt>
                <c:pt idx="320">
                  <c:v>5.0912765059005736</c:v>
                </c:pt>
                <c:pt idx="321">
                  <c:v>5.0763157829419354</c:v>
                </c:pt>
                <c:pt idx="322">
                  <c:v>5.0703738000726126</c:v>
                </c:pt>
                <c:pt idx="323">
                  <c:v>5.1480154113614462</c:v>
                </c:pt>
                <c:pt idx="324">
                  <c:v>5.1987225600164466</c:v>
                </c:pt>
                <c:pt idx="325">
                  <c:v>5.4496792185164127</c:v>
                </c:pt>
                <c:pt idx="326">
                  <c:v>5.5570691969076211</c:v>
                </c:pt>
                <c:pt idx="327">
                  <c:v>5.6999683420916289</c:v>
                </c:pt>
                <c:pt idx="328">
                  <c:v>5.9632570427615965</c:v>
                </c:pt>
                <c:pt idx="329">
                  <c:v>6.1728818030319355</c:v>
                </c:pt>
                <c:pt idx="330">
                  <c:v>6.1731861756320043</c:v>
                </c:pt>
                <c:pt idx="331">
                  <c:v>6.4635315188536877</c:v>
                </c:pt>
                <c:pt idx="332">
                  <c:v>6.461868450671834</c:v>
                </c:pt>
                <c:pt idx="333">
                  <c:v>6.8629605394275481</c:v>
                </c:pt>
                <c:pt idx="334">
                  <c:v>6.8488895781329049</c:v>
                </c:pt>
                <c:pt idx="335">
                  <c:v>7.2674489754529876</c:v>
                </c:pt>
                <c:pt idx="336">
                  <c:v>7.5898111426531276</c:v>
                </c:pt>
                <c:pt idx="337">
                  <c:v>7.8202286554286555</c:v>
                </c:pt>
                <c:pt idx="338">
                  <c:v>7.8919782128781453</c:v>
                </c:pt>
                <c:pt idx="339">
                  <c:v>7.9579904873920677</c:v>
                </c:pt>
                <c:pt idx="340">
                  <c:v>8.3116013130773059</c:v>
                </c:pt>
                <c:pt idx="341">
                  <c:v>8.2646149001074409</c:v>
                </c:pt>
                <c:pt idx="342">
                  <c:v>8.7668968481133476</c:v>
                </c:pt>
                <c:pt idx="343">
                  <c:v>9.2855769053882806</c:v>
                </c:pt>
                <c:pt idx="344">
                  <c:v>9.2311874122166611</c:v>
                </c:pt>
                <c:pt idx="345">
                  <c:v>9.2952935467738236</c:v>
                </c:pt>
                <c:pt idx="346">
                  <c:v>9.0581299056476912</c:v>
                </c:pt>
                <c:pt idx="347">
                  <c:v>9.4670036427921804</c:v>
                </c:pt>
                <c:pt idx="348">
                  <c:v>9.4645927088535888</c:v>
                </c:pt>
                <c:pt idx="349">
                  <c:v>9.2364788271270815</c:v>
                </c:pt>
                <c:pt idx="350">
                  <c:v>9.4623512628827378</c:v>
                </c:pt>
                <c:pt idx="351">
                  <c:v>9.9431672236578947</c:v>
                </c:pt>
                <c:pt idx="352">
                  <c:v>10.146573917863025</c:v>
                </c:pt>
                <c:pt idx="353">
                  <c:v>9.6154515555820925</c:v>
                </c:pt>
                <c:pt idx="354">
                  <c:v>9.9716289712320574</c:v>
                </c:pt>
                <c:pt idx="355">
                  <c:v>10.474773114398737</c:v>
                </c:pt>
                <c:pt idx="356">
                  <c:v>10.173889307218969</c:v>
                </c:pt>
                <c:pt idx="357">
                  <c:v>9.8673387689109155</c:v>
                </c:pt>
                <c:pt idx="358">
                  <c:v>10.03540333429563</c:v>
                </c:pt>
                <c:pt idx="359">
                  <c:v>9.7228226435395051</c:v>
                </c:pt>
                <c:pt idx="360">
                  <c:v>9.7118501381963416</c:v>
                </c:pt>
                <c:pt idx="361">
                  <c:v>9.5898369717371708</c:v>
                </c:pt>
                <c:pt idx="362">
                  <c:v>9.4938834230050038</c:v>
                </c:pt>
                <c:pt idx="363">
                  <c:v>9.5208159708354181</c:v>
                </c:pt>
                <c:pt idx="364">
                  <c:v>9.9549329532573179</c:v>
                </c:pt>
                <c:pt idx="365">
                  <c:v>10.219899379429251</c:v>
                </c:pt>
                <c:pt idx="366">
                  <c:v>10.369740895989029</c:v>
                </c:pt>
                <c:pt idx="367">
                  <c:v>10.611246457572333</c:v>
                </c:pt>
                <c:pt idx="368">
                  <c:v>10.038398679923915</c:v>
                </c:pt>
                <c:pt idx="369">
                  <c:v>9.5094857818034946</c:v>
                </c:pt>
                <c:pt idx="370">
                  <c:v>9.4778434352459211</c:v>
                </c:pt>
                <c:pt idx="371">
                  <c:v>9.4516935212041275</c:v>
                </c:pt>
                <c:pt idx="372">
                  <c:v>9.4516935212041275</c:v>
                </c:pt>
                <c:pt idx="373">
                  <c:v>9.4778434352459211</c:v>
                </c:pt>
                <c:pt idx="374">
                  <c:v>9.4778434352459211</c:v>
                </c:pt>
                <c:pt idx="375">
                  <c:v>9.4778434352459211</c:v>
                </c:pt>
                <c:pt idx="376">
                  <c:v>9.4673817223649603</c:v>
                </c:pt>
                <c:pt idx="377">
                  <c:v>9.5446321145923623</c:v>
                </c:pt>
                <c:pt idx="378">
                  <c:v>9.8687738273293739</c:v>
                </c:pt>
                <c:pt idx="379">
                  <c:v>10.232223347791827</c:v>
                </c:pt>
                <c:pt idx="380">
                  <c:v>10.36280322871273</c:v>
                </c:pt>
                <c:pt idx="381">
                  <c:v>10.822390158040708</c:v>
                </c:pt>
                <c:pt idx="382">
                  <c:v>11.124866499076935</c:v>
                </c:pt>
                <c:pt idx="383">
                  <c:v>11.412658663593882</c:v>
                </c:pt>
                <c:pt idx="384">
                  <c:v>11.823751832168638</c:v>
                </c:pt>
                <c:pt idx="385">
                  <c:v>12.274254096344098</c:v>
                </c:pt>
                <c:pt idx="386">
                  <c:v>12.37587071233636</c:v>
                </c:pt>
                <c:pt idx="387">
                  <c:v>12.525209381475106</c:v>
                </c:pt>
                <c:pt idx="388">
                  <c:v>13.093893826884333</c:v>
                </c:pt>
                <c:pt idx="389">
                  <c:v>13.466632431566401</c:v>
                </c:pt>
                <c:pt idx="390">
                  <c:v>13.6247883378556</c:v>
                </c:pt>
                <c:pt idx="391">
                  <c:v>14.205203522072686</c:v>
                </c:pt>
                <c:pt idx="392">
                  <c:v>14.216739519867506</c:v>
                </c:pt>
                <c:pt idx="393">
                  <c:v>13.828383293899314</c:v>
                </c:pt>
                <c:pt idx="394">
                  <c:v>14.30812125366497</c:v>
                </c:pt>
                <c:pt idx="395">
                  <c:v>14.623981991416551</c:v>
                </c:pt>
                <c:pt idx="396">
                  <c:v>15.046516621097679</c:v>
                </c:pt>
                <c:pt idx="397">
                  <c:v>14.308160203652704</c:v>
                </c:pt>
                <c:pt idx="398">
                  <c:v>14.397232678581833</c:v>
                </c:pt>
                <c:pt idx="399">
                  <c:v>14.291584252259733</c:v>
                </c:pt>
                <c:pt idx="400">
                  <c:v>14.274453339947208</c:v>
                </c:pt>
                <c:pt idx="401">
                  <c:v>14.21204647280725</c:v>
                </c:pt>
                <c:pt idx="402">
                  <c:v>14.534289272977048</c:v>
                </c:pt>
                <c:pt idx="403">
                  <c:v>14.556720820568392</c:v>
                </c:pt>
                <c:pt idx="404">
                  <c:v>14.976659164489179</c:v>
                </c:pt>
                <c:pt idx="405">
                  <c:v>14.231732830742272</c:v>
                </c:pt>
                <c:pt idx="406">
                  <c:v>14.163341710538306</c:v>
                </c:pt>
                <c:pt idx="407">
                  <c:v>14.415119970729277</c:v>
                </c:pt>
                <c:pt idx="408">
                  <c:v>14.984112244672421</c:v>
                </c:pt>
                <c:pt idx="409">
                  <c:v>15.867533680300701</c:v>
                </c:pt>
                <c:pt idx="410">
                  <c:v>16.375777240408052</c:v>
                </c:pt>
                <c:pt idx="411">
                  <c:v>16.912619195059889</c:v>
                </c:pt>
                <c:pt idx="412">
                  <c:v>17.214605323600182</c:v>
                </c:pt>
                <c:pt idx="413">
                  <c:v>17.415327403489247</c:v>
                </c:pt>
                <c:pt idx="414">
                  <c:v>16.922106570201016</c:v>
                </c:pt>
                <c:pt idx="415">
                  <c:v>17.092390642060494</c:v>
                </c:pt>
                <c:pt idx="416">
                  <c:v>17.108414566239347</c:v>
                </c:pt>
                <c:pt idx="417">
                  <c:v>16.868024737561289</c:v>
                </c:pt>
                <c:pt idx="418">
                  <c:v>17.077453410896712</c:v>
                </c:pt>
                <c:pt idx="419">
                  <c:v>17.497117499479138</c:v>
                </c:pt>
                <c:pt idx="420">
                  <c:v>17.644482036634049</c:v>
                </c:pt>
                <c:pt idx="421">
                  <c:v>17.205156605346371</c:v>
                </c:pt>
                <c:pt idx="422">
                  <c:v>17.623479173004192</c:v>
                </c:pt>
                <c:pt idx="423">
                  <c:v>17.704061100141107</c:v>
                </c:pt>
                <c:pt idx="424">
                  <c:v>17.122188182615567</c:v>
                </c:pt>
                <c:pt idx="425">
                  <c:v>15.583203697630971</c:v>
                </c:pt>
                <c:pt idx="426">
                  <c:v>15.543256672569237</c:v>
                </c:pt>
                <c:pt idx="427">
                  <c:v>15.495613328835647</c:v>
                </c:pt>
                <c:pt idx="428">
                  <c:v>15.43252187447699</c:v>
                </c:pt>
                <c:pt idx="429">
                  <c:v>15.440358254250462</c:v>
                </c:pt>
                <c:pt idx="430">
                  <c:v>15.463973905668407</c:v>
                </c:pt>
                <c:pt idx="431">
                  <c:v>15.393342678942277</c:v>
                </c:pt>
                <c:pt idx="432">
                  <c:v>15.610344217645949</c:v>
                </c:pt>
                <c:pt idx="433">
                  <c:v>16.134117725225579</c:v>
                </c:pt>
                <c:pt idx="434">
                  <c:v>15.728304467043232</c:v>
                </c:pt>
                <c:pt idx="435">
                  <c:v>16.206409950553322</c:v>
                </c:pt>
                <c:pt idx="436">
                  <c:v>16.746006206312828</c:v>
                </c:pt>
                <c:pt idx="437">
                  <c:v>16.824130070732718</c:v>
                </c:pt>
                <c:pt idx="438">
                  <c:v>16.558114872428281</c:v>
                </c:pt>
                <c:pt idx="439">
                  <c:v>16.585220160903333</c:v>
                </c:pt>
                <c:pt idx="440">
                  <c:v>17.250306799097878</c:v>
                </c:pt>
                <c:pt idx="441">
                  <c:v>17.138067571222066</c:v>
                </c:pt>
                <c:pt idx="442">
                  <c:v>17.520565012453702</c:v>
                </c:pt>
                <c:pt idx="443">
                  <c:v>17.29416646054289</c:v>
                </c:pt>
                <c:pt idx="444">
                  <c:v>17.628882141742043</c:v>
                </c:pt>
                <c:pt idx="445">
                  <c:v>18.093564125970133</c:v>
                </c:pt>
                <c:pt idx="446">
                  <c:v>18.114601287210075</c:v>
                </c:pt>
                <c:pt idx="447">
                  <c:v>18.355046070986887</c:v>
                </c:pt>
                <c:pt idx="448">
                  <c:v>18.339664531132915</c:v>
                </c:pt>
                <c:pt idx="449">
                  <c:v>18.304612986762265</c:v>
                </c:pt>
                <c:pt idx="450">
                  <c:v>18.542284434270268</c:v>
                </c:pt>
                <c:pt idx="451">
                  <c:v>19.06089643129674</c:v>
                </c:pt>
                <c:pt idx="452">
                  <c:v>18.94100444087578</c:v>
                </c:pt>
                <c:pt idx="453">
                  <c:v>19.334495667899631</c:v>
                </c:pt>
                <c:pt idx="454">
                  <c:v>19.314909175251479</c:v>
                </c:pt>
                <c:pt idx="455">
                  <c:v>19.306289254656541</c:v>
                </c:pt>
                <c:pt idx="456">
                  <c:v>19.344355840530298</c:v>
                </c:pt>
                <c:pt idx="457">
                  <c:v>19.913013997280267</c:v>
                </c:pt>
                <c:pt idx="458">
                  <c:v>19.883000347205481</c:v>
                </c:pt>
                <c:pt idx="459">
                  <c:v>19.745629743498817</c:v>
                </c:pt>
                <c:pt idx="460">
                  <c:v>20.32019873545218</c:v>
                </c:pt>
                <c:pt idx="461">
                  <c:v>20.022595940919111</c:v>
                </c:pt>
                <c:pt idx="462">
                  <c:v>19.127428205967529</c:v>
                </c:pt>
                <c:pt idx="463">
                  <c:v>19.074045275262272</c:v>
                </c:pt>
                <c:pt idx="464">
                  <c:v>18.968298844351661</c:v>
                </c:pt>
                <c:pt idx="465">
                  <c:v>19.418775129558838</c:v>
                </c:pt>
                <c:pt idx="466">
                  <c:v>19.967552091025148</c:v>
                </c:pt>
                <c:pt idx="467">
                  <c:v>19.740182705777553</c:v>
                </c:pt>
                <c:pt idx="468">
                  <c:v>20.027142609157206</c:v>
                </c:pt>
                <c:pt idx="469">
                  <c:v>20.308508906404747</c:v>
                </c:pt>
                <c:pt idx="470">
                  <c:v>19.898687741154241</c:v>
                </c:pt>
                <c:pt idx="471">
                  <c:v>19.56987085778837</c:v>
                </c:pt>
                <c:pt idx="472">
                  <c:v>19.925845693137525</c:v>
                </c:pt>
                <c:pt idx="473">
                  <c:v>18.811604237798459</c:v>
                </c:pt>
                <c:pt idx="474">
                  <c:v>18.836680569195103</c:v>
                </c:pt>
                <c:pt idx="475">
                  <c:v>18.836680569195103</c:v>
                </c:pt>
                <c:pt idx="476">
                  <c:v>18.778231522282994</c:v>
                </c:pt>
                <c:pt idx="477">
                  <c:v>18.761651340330125</c:v>
                </c:pt>
                <c:pt idx="478">
                  <c:v>18.72420650524457</c:v>
                </c:pt>
                <c:pt idx="479">
                  <c:v>18.502639141456061</c:v>
                </c:pt>
                <c:pt idx="480">
                  <c:v>18.411829670215791</c:v>
                </c:pt>
                <c:pt idx="481">
                  <c:v>18.357758753603441</c:v>
                </c:pt>
                <c:pt idx="482">
                  <c:v>18.51680477240053</c:v>
                </c:pt>
                <c:pt idx="483">
                  <c:v>19.197091875442602</c:v>
                </c:pt>
                <c:pt idx="484">
                  <c:v>19.926192546216914</c:v>
                </c:pt>
                <c:pt idx="485">
                  <c:v>19.012308168011323</c:v>
                </c:pt>
                <c:pt idx="486">
                  <c:v>19.2755696444517</c:v>
                </c:pt>
                <c:pt idx="487">
                  <c:v>20.070455661274639</c:v>
                </c:pt>
                <c:pt idx="488">
                  <c:v>20.066369375888122</c:v>
                </c:pt>
                <c:pt idx="489">
                  <c:v>21.048525093167246</c:v>
                </c:pt>
                <c:pt idx="490">
                  <c:v>20.811637371652189</c:v>
                </c:pt>
                <c:pt idx="491">
                  <c:v>20.50318068473716</c:v>
                </c:pt>
                <c:pt idx="492">
                  <c:v>20.889738028182496</c:v>
                </c:pt>
                <c:pt idx="493">
                  <c:v>20.503103561297969</c:v>
                </c:pt>
                <c:pt idx="494">
                  <c:v>20.146184493716476</c:v>
                </c:pt>
                <c:pt idx="495">
                  <c:v>20.513448945785413</c:v>
                </c:pt>
                <c:pt idx="496">
                  <c:v>22.29777921915607</c:v>
                </c:pt>
                <c:pt idx="497">
                  <c:v>22.533500799331968</c:v>
                </c:pt>
                <c:pt idx="498">
                  <c:v>22.721283235383225</c:v>
                </c:pt>
                <c:pt idx="499">
                  <c:v>22.567866620063249</c:v>
                </c:pt>
                <c:pt idx="500">
                  <c:v>22.989834330975963</c:v>
                </c:pt>
                <c:pt idx="501">
                  <c:v>23.89184619035694</c:v>
                </c:pt>
                <c:pt idx="502">
                  <c:v>24.053173661233856</c:v>
                </c:pt>
                <c:pt idx="503">
                  <c:v>24.857059244752914</c:v>
                </c:pt>
                <c:pt idx="504">
                  <c:v>24.286151895211791</c:v>
                </c:pt>
                <c:pt idx="505">
                  <c:v>24.576834772829855</c:v>
                </c:pt>
                <c:pt idx="506">
                  <c:v>23.827824785358903</c:v>
                </c:pt>
                <c:pt idx="507">
                  <c:v>24.796830409838503</c:v>
                </c:pt>
                <c:pt idx="508">
                  <c:v>25.504023854991988</c:v>
                </c:pt>
                <c:pt idx="509">
                  <c:v>25.553168237109755</c:v>
                </c:pt>
                <c:pt idx="510">
                  <c:v>24.278111514585035</c:v>
                </c:pt>
                <c:pt idx="511">
                  <c:v>24.278111514585035</c:v>
                </c:pt>
                <c:pt idx="512">
                  <c:v>24.322777188198557</c:v>
                </c:pt>
                <c:pt idx="513">
                  <c:v>24.300387034779188</c:v>
                </c:pt>
                <c:pt idx="514">
                  <c:v>24.255803481263182</c:v>
                </c:pt>
                <c:pt idx="515">
                  <c:v>23.907566793627851</c:v>
                </c:pt>
                <c:pt idx="516">
                  <c:v>23.831113059847084</c:v>
                </c:pt>
                <c:pt idx="517">
                  <c:v>22.553896629936638</c:v>
                </c:pt>
                <c:pt idx="518">
                  <c:v>22.553896629936638</c:v>
                </c:pt>
                <c:pt idx="519">
                  <c:v>22.513189498854096</c:v>
                </c:pt>
                <c:pt idx="520">
                  <c:v>20.569838370175969</c:v>
                </c:pt>
                <c:pt idx="521">
                  <c:v>20.367441140451682</c:v>
                </c:pt>
                <c:pt idx="522">
                  <c:v>20.276796487878464</c:v>
                </c:pt>
                <c:pt idx="523">
                  <c:v>20.222807773720323</c:v>
                </c:pt>
                <c:pt idx="524">
                  <c:v>20.151170540216327</c:v>
                </c:pt>
                <c:pt idx="525">
                  <c:v>20.0271496825602</c:v>
                </c:pt>
                <c:pt idx="526">
                  <c:v>19.856647595145024</c:v>
                </c:pt>
                <c:pt idx="527">
                  <c:v>20.109240836335683</c:v>
                </c:pt>
                <c:pt idx="528">
                  <c:v>21.108328495168063</c:v>
                </c:pt>
                <c:pt idx="529">
                  <c:v>21.930805513845389</c:v>
                </c:pt>
                <c:pt idx="530">
                  <c:v>22.103427878818959</c:v>
                </c:pt>
                <c:pt idx="531">
                  <c:v>23.027189602999133</c:v>
                </c:pt>
                <c:pt idx="532">
                  <c:v>23.831004242452227</c:v>
                </c:pt>
                <c:pt idx="533">
                  <c:v>22.160395832552563</c:v>
                </c:pt>
                <c:pt idx="534">
                  <c:v>22.42406047512312</c:v>
                </c:pt>
                <c:pt idx="535">
                  <c:v>22.057218909060342</c:v>
                </c:pt>
                <c:pt idx="536">
                  <c:v>22.201709059640297</c:v>
                </c:pt>
                <c:pt idx="537">
                  <c:v>21.595367637482717</c:v>
                </c:pt>
                <c:pt idx="538">
                  <c:v>21.506696128840019</c:v>
                </c:pt>
                <c:pt idx="539">
                  <c:v>21.22786787557509</c:v>
                </c:pt>
                <c:pt idx="540">
                  <c:v>21.125162210491705</c:v>
                </c:pt>
                <c:pt idx="541">
                  <c:v>21.700793856112849</c:v>
                </c:pt>
                <c:pt idx="542">
                  <c:v>22.366115286322945</c:v>
                </c:pt>
                <c:pt idx="543">
                  <c:v>22.649068389602853</c:v>
                </c:pt>
                <c:pt idx="544">
                  <c:v>23.038869881602842</c:v>
                </c:pt>
                <c:pt idx="545">
                  <c:v>23.361366253618208</c:v>
                </c:pt>
                <c:pt idx="546">
                  <c:v>22.530459952024366</c:v>
                </c:pt>
                <c:pt idx="547">
                  <c:v>22.647572768003048</c:v>
                </c:pt>
                <c:pt idx="548">
                  <c:v>23.375406421397805</c:v>
                </c:pt>
                <c:pt idx="549">
                  <c:v>22.929160013170737</c:v>
                </c:pt>
                <c:pt idx="550">
                  <c:v>23.093502863186629</c:v>
                </c:pt>
                <c:pt idx="551">
                  <c:v>24.22548124686962</c:v>
                </c:pt>
                <c:pt idx="552">
                  <c:v>24.401169655681631</c:v>
                </c:pt>
                <c:pt idx="553">
                  <c:v>23.988240135571509</c:v>
                </c:pt>
                <c:pt idx="554">
                  <c:v>22.162479654037504</c:v>
                </c:pt>
                <c:pt idx="555">
                  <c:v>21.983268083551202</c:v>
                </c:pt>
                <c:pt idx="556">
                  <c:v>21.934860365042784</c:v>
                </c:pt>
                <c:pt idx="557">
                  <c:v>21.775064623588111</c:v>
                </c:pt>
                <c:pt idx="558">
                  <c:v>21.617683266524963</c:v>
                </c:pt>
                <c:pt idx="559">
                  <c:v>21.586417979632742</c:v>
                </c:pt>
                <c:pt idx="560">
                  <c:v>21.508750957848076</c:v>
                </c:pt>
                <c:pt idx="561">
                  <c:v>21.324670969248711</c:v>
                </c:pt>
                <c:pt idx="562">
                  <c:v>20.892531556629098</c:v>
                </c:pt>
                <c:pt idx="563">
                  <c:v>20.463520803917074</c:v>
                </c:pt>
                <c:pt idx="564">
                  <c:v>20.159932557020468</c:v>
                </c:pt>
                <c:pt idx="565">
                  <c:v>19.998129212699329</c:v>
                </c:pt>
                <c:pt idx="566">
                  <c:v>19.538821088795608</c:v>
                </c:pt>
                <c:pt idx="567">
                  <c:v>18.669226183515629</c:v>
                </c:pt>
                <c:pt idx="568">
                  <c:v>18.782611964662653</c:v>
                </c:pt>
                <c:pt idx="569">
                  <c:v>18.458763922346318</c:v>
                </c:pt>
                <c:pt idx="570">
                  <c:v>18.361365511385856</c:v>
                </c:pt>
                <c:pt idx="571">
                  <c:v>18.300991925072132</c:v>
                </c:pt>
                <c:pt idx="572">
                  <c:v>18.122268924102951</c:v>
                </c:pt>
                <c:pt idx="573">
                  <c:v>17.832042743097329</c:v>
                </c:pt>
                <c:pt idx="574">
                  <c:v>17.718545981629639</c:v>
                </c:pt>
                <c:pt idx="575">
                  <c:v>17.473832297318843</c:v>
                </c:pt>
                <c:pt idx="576">
                  <c:v>17.451923640319421</c:v>
                </c:pt>
                <c:pt idx="577">
                  <c:v>17.353992905704505</c:v>
                </c:pt>
                <c:pt idx="578">
                  <c:v>17.300052500341341</c:v>
                </c:pt>
                <c:pt idx="579">
                  <c:v>17.428311273495328</c:v>
                </c:pt>
                <c:pt idx="580">
                  <c:v>18.806643859349261</c:v>
                </c:pt>
                <c:pt idx="581">
                  <c:v>18.830448740606247</c:v>
                </c:pt>
                <c:pt idx="582">
                  <c:v>19.088328423419227</c:v>
                </c:pt>
                <c:pt idx="583">
                  <c:v>19.121302552098744</c:v>
                </c:pt>
                <c:pt idx="584">
                  <c:v>19.344365634572906</c:v>
                </c:pt>
                <c:pt idx="585">
                  <c:v>18.772671299359597</c:v>
                </c:pt>
                <c:pt idx="586">
                  <c:v>19.85641135598766</c:v>
                </c:pt>
                <c:pt idx="587">
                  <c:v>20.402761935396807</c:v>
                </c:pt>
                <c:pt idx="588">
                  <c:v>20.424061384378657</c:v>
                </c:pt>
                <c:pt idx="589">
                  <c:v>21.895954322621836</c:v>
                </c:pt>
                <c:pt idx="590">
                  <c:v>21.583251286156163</c:v>
                </c:pt>
                <c:pt idx="591">
                  <c:v>21.881308724171564</c:v>
                </c:pt>
                <c:pt idx="592">
                  <c:v>21.520529838716318</c:v>
                </c:pt>
                <c:pt idx="593">
                  <c:v>21.025767692024647</c:v>
                </c:pt>
                <c:pt idx="594">
                  <c:v>21.61387105192324</c:v>
                </c:pt>
                <c:pt idx="595">
                  <c:v>21.624580736212671</c:v>
                </c:pt>
                <c:pt idx="596">
                  <c:v>21.590330430146437</c:v>
                </c:pt>
                <c:pt idx="597">
                  <c:v>21.872343421999801</c:v>
                </c:pt>
                <c:pt idx="598">
                  <c:v>20.944514310285097</c:v>
                </c:pt>
                <c:pt idx="599">
                  <c:v>20.906846032848183</c:v>
                </c:pt>
                <c:pt idx="600">
                  <c:v>20.856804508383572</c:v>
                </c:pt>
                <c:pt idx="601">
                  <c:v>20.56788121948448</c:v>
                </c:pt>
                <c:pt idx="602">
                  <c:v>20.953052573172506</c:v>
                </c:pt>
                <c:pt idx="603">
                  <c:v>21.300507965023233</c:v>
                </c:pt>
                <c:pt idx="604">
                  <c:v>21.481333142378688</c:v>
                </c:pt>
                <c:pt idx="605">
                  <c:v>21.284803639362405</c:v>
                </c:pt>
                <c:pt idx="606">
                  <c:v>21.847337620784973</c:v>
                </c:pt>
                <c:pt idx="607">
                  <c:v>20.997336496658463</c:v>
                </c:pt>
                <c:pt idx="608">
                  <c:v>21.114284694541571</c:v>
                </c:pt>
                <c:pt idx="609">
                  <c:v>21.190248340304269</c:v>
                </c:pt>
                <c:pt idx="610">
                  <c:v>20.016400419842849</c:v>
                </c:pt>
                <c:pt idx="611">
                  <c:v>20.034369304875966</c:v>
                </c:pt>
                <c:pt idx="612">
                  <c:v>20.010391949257006</c:v>
                </c:pt>
                <c:pt idx="613">
                  <c:v>20.000411820558753</c:v>
                </c:pt>
                <c:pt idx="614">
                  <c:v>19.978537197239888</c:v>
                </c:pt>
                <c:pt idx="615">
                  <c:v>19.956671575311031</c:v>
                </c:pt>
                <c:pt idx="616">
                  <c:v>19.921005064167023</c:v>
                </c:pt>
                <c:pt idx="617">
                  <c:v>19.893326761077574</c:v>
                </c:pt>
                <c:pt idx="618">
                  <c:v>19.479469074728684</c:v>
                </c:pt>
                <c:pt idx="619">
                  <c:v>20.138138332218457</c:v>
                </c:pt>
                <c:pt idx="620">
                  <c:v>19.123943681676579</c:v>
                </c:pt>
                <c:pt idx="621">
                  <c:v>18.482343086368235</c:v>
                </c:pt>
                <c:pt idx="622">
                  <c:v>18.519058338520967</c:v>
                </c:pt>
                <c:pt idx="623">
                  <c:v>18.495210928342964</c:v>
                </c:pt>
                <c:pt idx="624">
                  <c:v>19.254287860791944</c:v>
                </c:pt>
                <c:pt idx="625">
                  <c:v>19.812204125036914</c:v>
                </c:pt>
                <c:pt idx="626">
                  <c:v>19.490002729355794</c:v>
                </c:pt>
                <c:pt idx="627">
                  <c:v>20.497826539748768</c:v>
                </c:pt>
                <c:pt idx="628">
                  <c:v>21.093216526604312</c:v>
                </c:pt>
                <c:pt idx="629">
                  <c:v>21.097844159783673</c:v>
                </c:pt>
                <c:pt idx="630">
                  <c:v>21.325785552422875</c:v>
                </c:pt>
                <c:pt idx="631">
                  <c:v>21.016121776029252</c:v>
                </c:pt>
                <c:pt idx="632">
                  <c:v>22.271349571695847</c:v>
                </c:pt>
                <c:pt idx="633">
                  <c:v>22.347512537728395</c:v>
                </c:pt>
                <c:pt idx="634">
                  <c:v>21.035317598832371</c:v>
                </c:pt>
                <c:pt idx="635">
                  <c:v>22.130621323124927</c:v>
                </c:pt>
                <c:pt idx="636">
                  <c:v>22.271915364714147</c:v>
                </c:pt>
                <c:pt idx="637">
                  <c:v>23.819287057923184</c:v>
                </c:pt>
                <c:pt idx="638">
                  <c:v>24.820739095088495</c:v>
                </c:pt>
                <c:pt idx="639">
                  <c:v>24.122095005852675</c:v>
                </c:pt>
                <c:pt idx="640">
                  <c:v>25.825373449851494</c:v>
                </c:pt>
                <c:pt idx="641">
                  <c:v>25.830256034207725</c:v>
                </c:pt>
                <c:pt idx="642">
                  <c:v>26.823548387176874</c:v>
                </c:pt>
                <c:pt idx="643">
                  <c:v>27.126589422068729</c:v>
                </c:pt>
                <c:pt idx="644">
                  <c:v>28.489158397444925</c:v>
                </c:pt>
                <c:pt idx="645">
                  <c:v>29.386344710034852</c:v>
                </c:pt>
                <c:pt idx="646">
                  <c:v>31.001287883121385</c:v>
                </c:pt>
                <c:pt idx="647">
                  <c:v>33.578110477796393</c:v>
                </c:pt>
                <c:pt idx="648">
                  <c:v>34.202051740104288</c:v>
                </c:pt>
                <c:pt idx="649">
                  <c:v>33.806138806635964</c:v>
                </c:pt>
                <c:pt idx="650">
                  <c:v>36.460653651782394</c:v>
                </c:pt>
                <c:pt idx="651">
                  <c:v>37.27318830270594</c:v>
                </c:pt>
                <c:pt idx="652">
                  <c:v>38.583096842385402</c:v>
                </c:pt>
                <c:pt idx="653">
                  <c:v>39.591644221632841</c:v>
                </c:pt>
                <c:pt idx="654">
                  <c:v>39.828124246067524</c:v>
                </c:pt>
                <c:pt idx="655">
                  <c:v>39.850190336296599</c:v>
                </c:pt>
                <c:pt idx="656">
                  <c:v>40.185387181851546</c:v>
                </c:pt>
                <c:pt idx="657">
                  <c:v>35.139855451098697</c:v>
                </c:pt>
                <c:pt idx="658">
                  <c:v>35.259462679577297</c:v>
                </c:pt>
                <c:pt idx="659">
                  <c:v>35.02395055659359</c:v>
                </c:pt>
                <c:pt idx="660">
                  <c:v>35.029855011088941</c:v>
                </c:pt>
                <c:pt idx="661">
                  <c:v>34.858856820807674</c:v>
                </c:pt>
                <c:pt idx="662">
                  <c:v>34.803161230476505</c:v>
                </c:pt>
                <c:pt idx="663">
                  <c:v>34.741833621752811</c:v>
                </c:pt>
                <c:pt idx="664">
                  <c:v>34.547705303167916</c:v>
                </c:pt>
                <c:pt idx="665">
                  <c:v>33.342347764396543</c:v>
                </c:pt>
                <c:pt idx="666">
                  <c:v>33.051151239928167</c:v>
                </c:pt>
                <c:pt idx="667">
                  <c:v>33.030407061200535</c:v>
                </c:pt>
                <c:pt idx="668">
                  <c:v>35.458262121868628</c:v>
                </c:pt>
                <c:pt idx="669">
                  <c:v>36.061435041610082</c:v>
                </c:pt>
                <c:pt idx="670">
                  <c:v>39.203219829296053</c:v>
                </c:pt>
                <c:pt idx="671">
                  <c:v>41.633242140506752</c:v>
                </c:pt>
                <c:pt idx="672">
                  <c:v>40.57799261494737</c:v>
                </c:pt>
                <c:pt idx="673">
                  <c:v>39.962604985922709</c:v>
                </c:pt>
                <c:pt idx="674">
                  <c:v>41.807418368401066</c:v>
                </c:pt>
                <c:pt idx="675">
                  <c:v>44.223603952400715</c:v>
                </c:pt>
                <c:pt idx="676">
                  <c:v>47.425427176679612</c:v>
                </c:pt>
                <c:pt idx="677">
                  <c:v>47.390999729478686</c:v>
                </c:pt>
                <c:pt idx="678">
                  <c:v>50.077529077286549</c:v>
                </c:pt>
                <c:pt idx="679">
                  <c:v>49.62050069503961</c:v>
                </c:pt>
                <c:pt idx="680">
                  <c:v>51.0576422729809</c:v>
                </c:pt>
                <c:pt idx="681">
                  <c:v>52.318197037023154</c:v>
                </c:pt>
                <c:pt idx="682">
                  <c:v>50.490202228198285</c:v>
                </c:pt>
                <c:pt idx="683">
                  <c:v>53.074601793680003</c:v>
                </c:pt>
                <c:pt idx="684">
                  <c:v>54.457944295279646</c:v>
                </c:pt>
                <c:pt idx="685">
                  <c:v>56.123088471240003</c:v>
                </c:pt>
                <c:pt idx="686">
                  <c:v>54.587501468327169</c:v>
                </c:pt>
                <c:pt idx="687">
                  <c:v>55.341277440823013</c:v>
                </c:pt>
                <c:pt idx="688">
                  <c:v>56.405113169841513</c:v>
                </c:pt>
                <c:pt idx="689">
                  <c:v>54.421940397954245</c:v>
                </c:pt>
                <c:pt idx="690">
                  <c:v>55.280848610994845</c:v>
                </c:pt>
                <c:pt idx="691">
                  <c:v>56.556991446967892</c:v>
                </c:pt>
                <c:pt idx="692">
                  <c:v>62.559946243190169</c:v>
                </c:pt>
                <c:pt idx="693">
                  <c:v>64.838993542939988</c:v>
                </c:pt>
                <c:pt idx="694">
                  <c:v>66.02718645994338</c:v>
                </c:pt>
                <c:pt idx="695">
                  <c:v>63.892970811409832</c:v>
                </c:pt>
                <c:pt idx="696">
                  <c:v>67.771389467182175</c:v>
                </c:pt>
                <c:pt idx="697">
                  <c:v>73.805418496818419</c:v>
                </c:pt>
                <c:pt idx="698">
                  <c:v>77.578903011882872</c:v>
                </c:pt>
                <c:pt idx="699">
                  <c:v>80.550813890478565</c:v>
                </c:pt>
                <c:pt idx="700">
                  <c:v>74.333752310034981</c:v>
                </c:pt>
                <c:pt idx="701">
                  <c:v>79.65096756765368</c:v>
                </c:pt>
                <c:pt idx="702">
                  <c:v>79.845755803357747</c:v>
                </c:pt>
                <c:pt idx="703">
                  <c:v>77.01725394049447</c:v>
                </c:pt>
                <c:pt idx="704">
                  <c:v>73.682424812570304</c:v>
                </c:pt>
                <c:pt idx="705">
                  <c:v>73.455892929226565</c:v>
                </c:pt>
                <c:pt idx="706">
                  <c:v>71.952205720078453</c:v>
                </c:pt>
                <c:pt idx="707">
                  <c:v>71.446903220571514</c:v>
                </c:pt>
                <c:pt idx="708">
                  <c:v>74.106286185732841</c:v>
                </c:pt>
                <c:pt idx="709">
                  <c:v>74.159857590608539</c:v>
                </c:pt>
                <c:pt idx="710">
                  <c:v>76.332918846398698</c:v>
                </c:pt>
                <c:pt idx="711">
                  <c:v>81.240728024263035</c:v>
                </c:pt>
                <c:pt idx="712">
                  <c:v>83.252070117640628</c:v>
                </c:pt>
                <c:pt idx="713">
                  <c:v>81.346785429529206</c:v>
                </c:pt>
                <c:pt idx="714">
                  <c:v>84.557137127008232</c:v>
                </c:pt>
                <c:pt idx="715">
                  <c:v>81.198624919347253</c:v>
                </c:pt>
                <c:pt idx="716">
                  <c:v>84.005978249666981</c:v>
                </c:pt>
                <c:pt idx="717">
                  <c:v>80.532752559073671</c:v>
                </c:pt>
                <c:pt idx="718">
                  <c:v>78.641519265239751</c:v>
                </c:pt>
                <c:pt idx="719">
                  <c:v>78.447650843560353</c:v>
                </c:pt>
                <c:pt idx="720">
                  <c:v>79.018041168040028</c:v>
                </c:pt>
                <c:pt idx="721">
                  <c:v>82.555591449936699</c:v>
                </c:pt>
                <c:pt idx="722">
                  <c:v>84.567344394382488</c:v>
                </c:pt>
                <c:pt idx="723">
                  <c:v>89.753812257506567</c:v>
                </c:pt>
                <c:pt idx="724">
                  <c:v>92.828190628165842</c:v>
                </c:pt>
                <c:pt idx="725">
                  <c:v>92.029016163585553</c:v>
                </c:pt>
                <c:pt idx="726">
                  <c:v>94.691027103793488</c:v>
                </c:pt>
                <c:pt idx="727">
                  <c:v>98.485928244584159</c:v>
                </c:pt>
                <c:pt idx="728">
                  <c:v>104.64557836955007</c:v>
                </c:pt>
                <c:pt idx="729">
                  <c:v>101.19207693444537</c:v>
                </c:pt>
                <c:pt idx="730">
                  <c:v>83.602244352484576</c:v>
                </c:pt>
                <c:pt idx="731">
                  <c:v>83.299330802544773</c:v>
                </c:pt>
                <c:pt idx="732">
                  <c:v>83.305114929065255</c:v>
                </c:pt>
                <c:pt idx="733">
                  <c:v>83.092927798459982</c:v>
                </c:pt>
                <c:pt idx="734">
                  <c:v>82.6888741397117</c:v>
                </c:pt>
                <c:pt idx="735">
                  <c:v>82.497983410282885</c:v>
                </c:pt>
                <c:pt idx="736">
                  <c:v>83.618359731199604</c:v>
                </c:pt>
                <c:pt idx="737">
                  <c:v>84.046095099592122</c:v>
                </c:pt>
                <c:pt idx="738">
                  <c:v>87.072837441895672</c:v>
                </c:pt>
                <c:pt idx="739">
                  <c:v>93.690071095293803</c:v>
                </c:pt>
                <c:pt idx="740">
                  <c:v>91.722592318914295</c:v>
                </c:pt>
                <c:pt idx="741">
                  <c:v>95.750695677695347</c:v>
                </c:pt>
                <c:pt idx="742">
                  <c:v>100.13646313721921</c:v>
                </c:pt>
                <c:pt idx="743">
                  <c:v>98.393159777101644</c:v>
                </c:pt>
                <c:pt idx="744">
                  <c:v>99.913736056662017</c:v>
                </c:pt>
                <c:pt idx="745">
                  <c:v>109.08518486434548</c:v>
                </c:pt>
                <c:pt idx="746">
                  <c:v>109.54388953009152</c:v>
                </c:pt>
                <c:pt idx="747">
                  <c:v>111.26642882677174</c:v>
                </c:pt>
                <c:pt idx="748">
                  <c:v>116.89668175710295</c:v>
                </c:pt>
                <c:pt idx="749">
                  <c:v>120.70178074579776</c:v>
                </c:pt>
                <c:pt idx="750">
                  <c:v>117.87925412753091</c:v>
                </c:pt>
                <c:pt idx="751">
                  <c:v>125.72992210174749</c:v>
                </c:pt>
                <c:pt idx="752">
                  <c:v>124.87043994168708</c:v>
                </c:pt>
                <c:pt idx="753">
                  <c:v>130.20103163811638</c:v>
                </c:pt>
                <c:pt idx="754">
                  <c:v>121.7968882053984</c:v>
                </c:pt>
                <c:pt idx="755">
                  <c:v>124.52548227655063</c:v>
                </c:pt>
                <c:pt idx="756">
                  <c:v>123.84701627062454</c:v>
                </c:pt>
                <c:pt idx="757">
                  <c:v>114.63914795802316</c:v>
                </c:pt>
                <c:pt idx="758">
                  <c:v>114.26867396395583</c:v>
                </c:pt>
                <c:pt idx="759">
                  <c:v>113.87646926770114</c:v>
                </c:pt>
                <c:pt idx="760">
                  <c:v>113.64267328223255</c:v>
                </c:pt>
                <c:pt idx="761">
                  <c:v>113.09259451835227</c:v>
                </c:pt>
                <c:pt idx="762">
                  <c:v>112.93529750500331</c:v>
                </c:pt>
                <c:pt idx="763">
                  <c:v>112.87969606810978</c:v>
                </c:pt>
                <c:pt idx="764">
                  <c:v>111.68577077957552</c:v>
                </c:pt>
                <c:pt idx="765">
                  <c:v>111.15769084751517</c:v>
                </c:pt>
                <c:pt idx="766">
                  <c:v>110.48460332501008</c:v>
                </c:pt>
                <c:pt idx="767">
                  <c:v>109.52886545554527</c:v>
                </c:pt>
                <c:pt idx="768">
                  <c:v>109.53478660465652</c:v>
                </c:pt>
                <c:pt idx="769">
                  <c:v>108.65303338243949</c:v>
                </c:pt>
                <c:pt idx="770">
                  <c:v>107.58359052105594</c:v>
                </c:pt>
                <c:pt idx="771">
                  <c:v>114.24809485644974</c:v>
                </c:pt>
                <c:pt idx="772">
                  <c:v>119.89956646524892</c:v>
                </c:pt>
                <c:pt idx="773">
                  <c:v>123.02037373954722</c:v>
                </c:pt>
                <c:pt idx="774">
                  <c:v>121.38497275245309</c:v>
                </c:pt>
                <c:pt idx="775">
                  <c:v>129.02069946055315</c:v>
                </c:pt>
                <c:pt idx="776">
                  <c:v>125.91597605648124</c:v>
                </c:pt>
                <c:pt idx="777">
                  <c:v>126.44824451462347</c:v>
                </c:pt>
                <c:pt idx="778">
                  <c:v>128.14214613044444</c:v>
                </c:pt>
                <c:pt idx="779">
                  <c:v>118.05304401913592</c:v>
                </c:pt>
                <c:pt idx="780">
                  <c:v>118.3340068364936</c:v>
                </c:pt>
                <c:pt idx="781">
                  <c:v>116.96360462172197</c:v>
                </c:pt>
                <c:pt idx="782">
                  <c:v>116.13470334623463</c:v>
                </c:pt>
                <c:pt idx="783">
                  <c:v>114.96568525366932</c:v>
                </c:pt>
                <c:pt idx="784">
                  <c:v>117.1505123623357</c:v>
                </c:pt>
                <c:pt idx="785">
                  <c:v>119.6541380129997</c:v>
                </c:pt>
                <c:pt idx="786">
                  <c:v>110.68020601235973</c:v>
                </c:pt>
                <c:pt idx="787">
                  <c:v>111.01413652673573</c:v>
                </c:pt>
                <c:pt idx="788">
                  <c:v>110.72455360203104</c:v>
                </c:pt>
                <c:pt idx="789">
                  <c:v>110.59432711526384</c:v>
                </c:pt>
                <c:pt idx="790">
                  <c:v>110.43390411605669</c:v>
                </c:pt>
                <c:pt idx="791">
                  <c:v>109.38175090558371</c:v>
                </c:pt>
                <c:pt idx="792">
                  <c:v>109.85578992513472</c:v>
                </c:pt>
                <c:pt idx="793">
                  <c:v>114.43864757321688</c:v>
                </c:pt>
                <c:pt idx="794">
                  <c:v>120.03646787406387</c:v>
                </c:pt>
                <c:pt idx="795">
                  <c:v>127.04625857361185</c:v>
                </c:pt>
                <c:pt idx="796">
                  <c:v>127.55395181951545</c:v>
                </c:pt>
                <c:pt idx="797">
                  <c:v>129.68753753103832</c:v>
                </c:pt>
                <c:pt idx="798">
                  <c:v>130.9666937884187</c:v>
                </c:pt>
                <c:pt idx="799">
                  <c:v>137.64870580887813</c:v>
                </c:pt>
                <c:pt idx="800">
                  <c:v>142.06858113371979</c:v>
                </c:pt>
                <c:pt idx="801">
                  <c:v>132.48494515820963</c:v>
                </c:pt>
                <c:pt idx="802">
                  <c:v>138.56317863490113</c:v>
                </c:pt>
                <c:pt idx="803">
                  <c:v>136.20152446908313</c:v>
                </c:pt>
                <c:pt idx="804">
                  <c:v>139.6205958831751</c:v>
                </c:pt>
                <c:pt idx="805">
                  <c:v>149.8135988616053</c:v>
                </c:pt>
                <c:pt idx="806">
                  <c:v>146.4439116397634</c:v>
                </c:pt>
                <c:pt idx="807">
                  <c:v>137.98080986674748</c:v>
                </c:pt>
                <c:pt idx="808">
                  <c:v>137.90874406129899</c:v>
                </c:pt>
                <c:pt idx="809">
                  <c:v>136.79521764042013</c:v>
                </c:pt>
                <c:pt idx="810">
                  <c:v>133.07959266350588</c:v>
                </c:pt>
                <c:pt idx="811">
                  <c:v>133.10267360149666</c:v>
                </c:pt>
                <c:pt idx="812">
                  <c:v>132.58200928519079</c:v>
                </c:pt>
                <c:pt idx="813">
                  <c:v>132.52833885897266</c:v>
                </c:pt>
                <c:pt idx="814">
                  <c:v>132.63750945068585</c:v>
                </c:pt>
                <c:pt idx="815">
                  <c:v>132.64703693795249</c:v>
                </c:pt>
                <c:pt idx="816">
                  <c:v>132.66922342282311</c:v>
                </c:pt>
                <c:pt idx="817">
                  <c:v>131.73389797423962</c:v>
                </c:pt>
                <c:pt idx="818">
                  <c:v>130.56988862776603</c:v>
                </c:pt>
                <c:pt idx="819">
                  <c:v>130.48987806345849</c:v>
                </c:pt>
                <c:pt idx="820">
                  <c:v>130.38018532416035</c:v>
                </c:pt>
                <c:pt idx="821">
                  <c:v>130.62631536764542</c:v>
                </c:pt>
                <c:pt idx="822">
                  <c:v>129.62284198654035</c:v>
                </c:pt>
                <c:pt idx="823">
                  <c:v>136.02775168020119</c:v>
                </c:pt>
                <c:pt idx="824">
                  <c:v>137.80292708411716</c:v>
                </c:pt>
                <c:pt idx="825">
                  <c:v>140.94478786170617</c:v>
                </c:pt>
                <c:pt idx="826">
                  <c:v>134.18859022425048</c:v>
                </c:pt>
                <c:pt idx="827">
                  <c:v>138.51008256717651</c:v>
                </c:pt>
                <c:pt idx="828">
                  <c:v>145.20035510592271</c:v>
                </c:pt>
                <c:pt idx="829">
                  <c:v>150.34017682376168</c:v>
                </c:pt>
                <c:pt idx="830">
                  <c:v>153.48231556362794</c:v>
                </c:pt>
                <c:pt idx="831">
                  <c:v>156.72997627807459</c:v>
                </c:pt>
                <c:pt idx="832">
                  <c:v>163.95526900126848</c:v>
                </c:pt>
                <c:pt idx="833">
                  <c:v>169.70166122447642</c:v>
                </c:pt>
                <c:pt idx="834">
                  <c:v>170.75051306555727</c:v>
                </c:pt>
                <c:pt idx="835">
                  <c:v>162.30750728805739</c:v>
                </c:pt>
                <c:pt idx="836">
                  <c:v>159.94217157381479</c:v>
                </c:pt>
                <c:pt idx="837">
                  <c:v>170.64426674899735</c:v>
                </c:pt>
                <c:pt idx="838">
                  <c:v>175.84246707376849</c:v>
                </c:pt>
                <c:pt idx="839">
                  <c:v>188.85451651066177</c:v>
                </c:pt>
                <c:pt idx="840">
                  <c:v>193.48566789856741</c:v>
                </c:pt>
                <c:pt idx="841">
                  <c:v>205.46404374985255</c:v>
                </c:pt>
                <c:pt idx="842">
                  <c:v>216.73152386063668</c:v>
                </c:pt>
                <c:pt idx="843">
                  <c:v>214.78215633502666</c:v>
                </c:pt>
                <c:pt idx="844">
                  <c:v>221.91336952745834</c:v>
                </c:pt>
                <c:pt idx="845">
                  <c:v>231.78912501531423</c:v>
                </c:pt>
                <c:pt idx="846">
                  <c:v>244.9303551964226</c:v>
                </c:pt>
                <c:pt idx="847">
                  <c:v>263.81000913300903</c:v>
                </c:pt>
                <c:pt idx="848">
                  <c:v>251.82247471523277</c:v>
                </c:pt>
                <c:pt idx="849">
                  <c:v>258.73821390603359</c:v>
                </c:pt>
                <c:pt idx="850">
                  <c:v>242.46044585300817</c:v>
                </c:pt>
                <c:pt idx="851">
                  <c:v>239.01486925156414</c:v>
                </c:pt>
                <c:pt idx="852">
                  <c:v>246.99015230809928</c:v>
                </c:pt>
                <c:pt idx="853">
                  <c:v>260.70420574798175</c:v>
                </c:pt>
                <c:pt idx="854">
                  <c:v>276.62822068520188</c:v>
                </c:pt>
                <c:pt idx="855">
                  <c:v>293.74062146766983</c:v>
                </c:pt>
                <c:pt idx="856">
                  <c:v>300.71846914994728</c:v>
                </c:pt>
                <c:pt idx="857">
                  <c:v>292.81059394036322</c:v>
                </c:pt>
                <c:pt idx="858">
                  <c:v>302.87566197071686</c:v>
                </c:pt>
                <c:pt idx="859">
                  <c:v>307.23237149657717</c:v>
                </c:pt>
                <c:pt idx="860">
                  <c:v>262.46709050958611</c:v>
                </c:pt>
                <c:pt idx="861">
                  <c:v>262.67668975892059</c:v>
                </c:pt>
                <c:pt idx="862">
                  <c:v>262.72928483802201</c:v>
                </c:pt>
                <c:pt idx="863">
                  <c:v>263.15596774626226</c:v>
                </c:pt>
                <c:pt idx="864">
                  <c:v>271.05530773269845</c:v>
                </c:pt>
                <c:pt idx="865">
                  <c:v>281.74047717182219</c:v>
                </c:pt>
                <c:pt idx="866">
                  <c:v>282.16688296345268</c:v>
                </c:pt>
                <c:pt idx="867">
                  <c:v>302.90284319616717</c:v>
                </c:pt>
                <c:pt idx="868">
                  <c:v>323.44072911556805</c:v>
                </c:pt>
                <c:pt idx="869">
                  <c:v>314.95457511435563</c:v>
                </c:pt>
                <c:pt idx="870">
                  <c:v>335.70989984675742</c:v>
                </c:pt>
                <c:pt idx="871">
                  <c:v>338.63532654858864</c:v>
                </c:pt>
                <c:pt idx="872">
                  <c:v>328.3785290076346</c:v>
                </c:pt>
                <c:pt idx="873">
                  <c:v>329.5860884849813</c:v>
                </c:pt>
                <c:pt idx="874">
                  <c:v>338.74437444159406</c:v>
                </c:pt>
                <c:pt idx="875">
                  <c:v>363.52959050880901</c:v>
                </c:pt>
                <c:pt idx="876">
                  <c:v>399.52298649540302</c:v>
                </c:pt>
                <c:pt idx="877">
                  <c:v>377.95193006622384</c:v>
                </c:pt>
                <c:pt idx="878">
                  <c:v>390.87001301549026</c:v>
                </c:pt>
                <c:pt idx="879">
                  <c:v>429.53552720700452</c:v>
                </c:pt>
                <c:pt idx="880">
                  <c:v>411.10592080540914</c:v>
                </c:pt>
                <c:pt idx="881">
                  <c:v>415.31449022742572</c:v>
                </c:pt>
                <c:pt idx="882">
                  <c:v>411.36241636511875</c:v>
                </c:pt>
                <c:pt idx="883">
                  <c:v>402.01139865850575</c:v>
                </c:pt>
                <c:pt idx="884">
                  <c:v>433.14747192735018</c:v>
                </c:pt>
                <c:pt idx="885">
                  <c:v>419.70074766128477</c:v>
                </c:pt>
                <c:pt idx="886">
                  <c:v>416.8210138270947</c:v>
                </c:pt>
                <c:pt idx="887">
                  <c:v>391.70086906186833</c:v>
                </c:pt>
                <c:pt idx="888">
                  <c:v>391.99469768558561</c:v>
                </c:pt>
                <c:pt idx="889">
                  <c:v>392.27569509209593</c:v>
                </c:pt>
                <c:pt idx="890">
                  <c:v>392.80687550288121</c:v>
                </c:pt>
                <c:pt idx="891">
                  <c:v>392.17866817111104</c:v>
                </c:pt>
                <c:pt idx="892">
                  <c:v>391.09721565459779</c:v>
                </c:pt>
                <c:pt idx="893">
                  <c:v>388.98513594362873</c:v>
                </c:pt>
                <c:pt idx="894">
                  <c:v>388.25041374077671</c:v>
                </c:pt>
                <c:pt idx="895">
                  <c:v>388.83837663647597</c:v>
                </c:pt>
                <c:pt idx="896">
                  <c:v>391.00736377248268</c:v>
                </c:pt>
                <c:pt idx="897">
                  <c:v>390.51021623188444</c:v>
                </c:pt>
                <c:pt idx="898">
                  <c:v>391.10298737012232</c:v>
                </c:pt>
                <c:pt idx="899">
                  <c:v>390.57969142891909</c:v>
                </c:pt>
                <c:pt idx="900">
                  <c:v>390.72406508667672</c:v>
                </c:pt>
                <c:pt idx="901">
                  <c:v>390.24118182676608</c:v>
                </c:pt>
                <c:pt idx="902">
                  <c:v>390.25349591268923</c:v>
                </c:pt>
                <c:pt idx="903">
                  <c:v>390.19029184824473</c:v>
                </c:pt>
                <c:pt idx="904">
                  <c:v>371.36985709032632</c:v>
                </c:pt>
                <c:pt idx="905">
                  <c:v>371.01357339142271</c:v>
                </c:pt>
                <c:pt idx="906">
                  <c:v>371.50078220310104</c:v>
                </c:pt>
                <c:pt idx="907">
                  <c:v>373.46913809012494</c:v>
                </c:pt>
                <c:pt idx="908">
                  <c:v>373.59331846181163</c:v>
                </c:pt>
                <c:pt idx="909">
                  <c:v>373.02792840136294</c:v>
                </c:pt>
                <c:pt idx="910">
                  <c:v>370.86175154558811</c:v>
                </c:pt>
                <c:pt idx="911">
                  <c:v>371.54612394522434</c:v>
                </c:pt>
                <c:pt idx="912">
                  <c:v>371.77416295102148</c:v>
                </c:pt>
                <c:pt idx="913">
                  <c:v>371.47714688007818</c:v>
                </c:pt>
                <c:pt idx="914">
                  <c:v>371.11176358343363</c:v>
                </c:pt>
                <c:pt idx="915">
                  <c:v>369.62439879849126</c:v>
                </c:pt>
                <c:pt idx="916">
                  <c:v>368.89129125997158</c:v>
                </c:pt>
                <c:pt idx="917">
                  <c:v>370.99402475962006</c:v>
                </c:pt>
                <c:pt idx="918">
                  <c:v>380.61083457028286</c:v>
                </c:pt>
                <c:pt idx="919">
                  <c:v>404.20614126151429</c:v>
                </c:pt>
                <c:pt idx="920">
                  <c:v>420.1988365213283</c:v>
                </c:pt>
                <c:pt idx="921">
                  <c:v>422.76738377749956</c:v>
                </c:pt>
                <c:pt idx="922">
                  <c:v>426.98742431408442</c:v>
                </c:pt>
                <c:pt idx="923">
                  <c:v>436.04153451126552</c:v>
                </c:pt>
                <c:pt idx="924">
                  <c:v>440.17955735968485</c:v>
                </c:pt>
                <c:pt idx="925">
                  <c:v>442.25704923084726</c:v>
                </c:pt>
                <c:pt idx="926">
                  <c:v>452.86585547127237</c:v>
                </c:pt>
                <c:pt idx="927">
                  <c:v>464.00052352794523</c:v>
                </c:pt>
                <c:pt idx="928">
                  <c:v>459.41066700606439</c:v>
                </c:pt>
                <c:pt idx="929">
                  <c:v>460.63341004942691</c:v>
                </c:pt>
                <c:pt idx="930">
                  <c:v>459.29262139409195</c:v>
                </c:pt>
                <c:pt idx="931">
                  <c:v>445.82765286110595</c:v>
                </c:pt>
                <c:pt idx="932">
                  <c:v>444.18173877350273</c:v>
                </c:pt>
                <c:pt idx="933">
                  <c:v>453.72792076677541</c:v>
                </c:pt>
                <c:pt idx="934">
                  <c:v>452.74684020585227</c:v>
                </c:pt>
                <c:pt idx="935">
                  <c:v>452.67733567678101</c:v>
                </c:pt>
                <c:pt idx="936">
                  <c:v>457.98285333725528</c:v>
                </c:pt>
                <c:pt idx="937">
                  <c:v>463.54373388313064</c:v>
                </c:pt>
                <c:pt idx="938">
                  <c:v>485.4420481138402</c:v>
                </c:pt>
                <c:pt idx="939">
                  <c:v>471.57593611320419</c:v>
                </c:pt>
                <c:pt idx="940">
                  <c:v>469.64757060406885</c:v>
                </c:pt>
                <c:pt idx="941">
                  <c:v>487.30258968839559</c:v>
                </c:pt>
                <c:pt idx="942">
                  <c:v>512.13409838652876</c:v>
                </c:pt>
                <c:pt idx="943">
                  <c:v>547.97302702769605</c:v>
                </c:pt>
                <c:pt idx="944">
                  <c:v>540.93064061646078</c:v>
                </c:pt>
                <c:pt idx="945">
                  <c:v>560.13770349690287</c:v>
                </c:pt>
                <c:pt idx="946">
                  <c:v>553.40825291582212</c:v>
                </c:pt>
                <c:pt idx="947">
                  <c:v>578.78695906613109</c:v>
                </c:pt>
                <c:pt idx="948">
                  <c:v>587.70959243306572</c:v>
                </c:pt>
                <c:pt idx="949">
                  <c:v>607.15285764766281</c:v>
                </c:pt>
                <c:pt idx="950">
                  <c:v>618.26152806765037</c:v>
                </c:pt>
                <c:pt idx="951">
                  <c:v>636.60284281028862</c:v>
                </c:pt>
                <c:pt idx="952">
                  <c:v>645.56924158428114</c:v>
                </c:pt>
                <c:pt idx="953">
                  <c:v>594.43433208028955</c:v>
                </c:pt>
                <c:pt idx="954">
                  <c:v>602.49278297586056</c:v>
                </c:pt>
                <c:pt idx="955">
                  <c:v>614.18475782642463</c:v>
                </c:pt>
                <c:pt idx="956">
                  <c:v>627.74999564085726</c:v>
                </c:pt>
                <c:pt idx="957">
                  <c:v>640.24741483448361</c:v>
                </c:pt>
                <c:pt idx="958">
                  <c:v>666.88789264479067</c:v>
                </c:pt>
                <c:pt idx="959">
                  <c:v>669.72865510653037</c:v>
                </c:pt>
                <c:pt idx="960">
                  <c:v>668.94370002019809</c:v>
                </c:pt>
                <c:pt idx="961">
                  <c:v>704.25600531469445</c:v>
                </c:pt>
                <c:pt idx="962">
                  <c:v>701.14905528849192</c:v>
                </c:pt>
                <c:pt idx="963">
                  <c:v>707.33144441717968</c:v>
                </c:pt>
                <c:pt idx="964">
                  <c:v>731.55702898815468</c:v>
                </c:pt>
                <c:pt idx="965">
                  <c:v>761.4739425283484</c:v>
                </c:pt>
                <c:pt idx="966">
                  <c:v>764.02435911199063</c:v>
                </c:pt>
                <c:pt idx="967">
                  <c:v>735.92732321055848</c:v>
                </c:pt>
                <c:pt idx="968">
                  <c:v>732.17861677086773</c:v>
                </c:pt>
                <c:pt idx="969">
                  <c:v>758.02093556910347</c:v>
                </c:pt>
                <c:pt idx="970">
                  <c:v>768.6872209077294</c:v>
                </c:pt>
                <c:pt idx="971">
                  <c:v>706.67198473876101</c:v>
                </c:pt>
                <c:pt idx="972">
                  <c:v>704.95905205350925</c:v>
                </c:pt>
                <c:pt idx="973">
                  <c:v>706.99119783155129</c:v>
                </c:pt>
                <c:pt idx="974">
                  <c:v>706.020453802509</c:v>
                </c:pt>
                <c:pt idx="975">
                  <c:v>703.64059471631356</c:v>
                </c:pt>
                <c:pt idx="976">
                  <c:v>698.12536735332014</c:v>
                </c:pt>
                <c:pt idx="977">
                  <c:v>692.62466826823857</c:v>
                </c:pt>
                <c:pt idx="978">
                  <c:v>691.4557222582041</c:v>
                </c:pt>
                <c:pt idx="979">
                  <c:v>694.4821400377092</c:v>
                </c:pt>
                <c:pt idx="980">
                  <c:v>696.29457257377351</c:v>
                </c:pt>
                <c:pt idx="981">
                  <c:v>695.59354863446879</c:v>
                </c:pt>
                <c:pt idx="982">
                  <c:v>691.91759458620947</c:v>
                </c:pt>
                <c:pt idx="983">
                  <c:v>696.55688621543823</c:v>
                </c:pt>
                <c:pt idx="984">
                  <c:v>700.05163752220233</c:v>
                </c:pt>
                <c:pt idx="985">
                  <c:v>706.0085808110365</c:v>
                </c:pt>
                <c:pt idx="986">
                  <c:v>704.34751366501496</c:v>
                </c:pt>
                <c:pt idx="987">
                  <c:v>706.63840012809248</c:v>
                </c:pt>
                <c:pt idx="988">
                  <c:v>700.46250344634041</c:v>
                </c:pt>
                <c:pt idx="989">
                  <c:v>699.34782880833916</c:v>
                </c:pt>
                <c:pt idx="990">
                  <c:v>683.75323881435975</c:v>
                </c:pt>
                <c:pt idx="991">
                  <c:v>744.67858872778027</c:v>
                </c:pt>
                <c:pt idx="992">
                  <c:v>768.91203430760697</c:v>
                </c:pt>
                <c:pt idx="993">
                  <c:v>779.23826888706162</c:v>
                </c:pt>
                <c:pt idx="994">
                  <c:v>747.63798577288219</c:v>
                </c:pt>
                <c:pt idx="995">
                  <c:v>770.54007749410039</c:v>
                </c:pt>
                <c:pt idx="996">
                  <c:v>797.55096570480794</c:v>
                </c:pt>
                <c:pt idx="997">
                  <c:v>772.24018238659141</c:v>
                </c:pt>
                <c:pt idx="998">
                  <c:v>811.10457608907723</c:v>
                </c:pt>
                <c:pt idx="999">
                  <c:v>860.35207063300618</c:v>
                </c:pt>
                <c:pt idx="1000">
                  <c:v>856.42322995017105</c:v>
                </c:pt>
                <c:pt idx="1001">
                  <c:v>820.21916644507951</c:v>
                </c:pt>
                <c:pt idx="1002">
                  <c:v>794.94734728340916</c:v>
                </c:pt>
                <c:pt idx="1003">
                  <c:v>800.79903653843121</c:v>
                </c:pt>
                <c:pt idx="1004">
                  <c:v>761.3434442424342</c:v>
                </c:pt>
                <c:pt idx="1005">
                  <c:v>761.51969463514047</c:v>
                </c:pt>
                <c:pt idx="1006">
                  <c:v>757.48868930137928</c:v>
                </c:pt>
                <c:pt idx="1007">
                  <c:v>755.67483434022142</c:v>
                </c:pt>
                <c:pt idx="1008">
                  <c:v>755.40644525620201</c:v>
                </c:pt>
                <c:pt idx="1009">
                  <c:v>769.88895334666199</c:v>
                </c:pt>
                <c:pt idx="1010">
                  <c:v>792.2708373629581</c:v>
                </c:pt>
                <c:pt idx="1011">
                  <c:v>762.47907630743191</c:v>
                </c:pt>
                <c:pt idx="1012">
                  <c:v>781.33616743913535</c:v>
                </c:pt>
                <c:pt idx="1013">
                  <c:v>747.89488393812314</c:v>
                </c:pt>
                <c:pt idx="1014">
                  <c:v>709.3204381452108</c:v>
                </c:pt>
                <c:pt idx="1015">
                  <c:v>715.19708807363872</c:v>
                </c:pt>
                <c:pt idx="1016">
                  <c:v>717.29443407929091</c:v>
                </c:pt>
                <c:pt idx="1017">
                  <c:v>715.36534608591296</c:v>
                </c:pt>
                <c:pt idx="1018">
                  <c:v>715.84052610234176</c:v>
                </c:pt>
                <c:pt idx="1019">
                  <c:v>717.09228578786212</c:v>
                </c:pt>
                <c:pt idx="1020">
                  <c:v>718.20269804128645</c:v>
                </c:pt>
                <c:pt idx="1021">
                  <c:v>764.83658634944504</c:v>
                </c:pt>
                <c:pt idx="1022">
                  <c:v>782.95790994685956</c:v>
                </c:pt>
                <c:pt idx="1023">
                  <c:v>796.26943693128817</c:v>
                </c:pt>
                <c:pt idx="1024">
                  <c:v>792.43348083177102</c:v>
                </c:pt>
                <c:pt idx="1025">
                  <c:v>740.72297812325553</c:v>
                </c:pt>
                <c:pt idx="1026">
                  <c:v>797.10913215813093</c:v>
                </c:pt>
                <c:pt idx="1027">
                  <c:v>825.54641462002132</c:v>
                </c:pt>
                <c:pt idx="1028">
                  <c:v>844.79761636090404</c:v>
                </c:pt>
                <c:pt idx="1029">
                  <c:v>844.40933329568202</c:v>
                </c:pt>
                <c:pt idx="1030">
                  <c:v>830.72533087733018</c:v>
                </c:pt>
                <c:pt idx="1031">
                  <c:v>846.34725400547291</c:v>
                </c:pt>
                <c:pt idx="1032">
                  <c:v>846.08081413260027</c:v>
                </c:pt>
                <c:pt idx="1033">
                  <c:v>896.83175354783134</c:v>
                </c:pt>
                <c:pt idx="1034">
                  <c:v>899.63941160282457</c:v>
                </c:pt>
                <c:pt idx="1035">
                  <c:v>947.42075706864443</c:v>
                </c:pt>
                <c:pt idx="1036">
                  <c:v>968.01699808510523</c:v>
                </c:pt>
                <c:pt idx="1037">
                  <c:v>987.79466152945565</c:v>
                </c:pt>
                <c:pt idx="1038">
                  <c:v>944.29369668284608</c:v>
                </c:pt>
                <c:pt idx="1039">
                  <c:v>1009.8793724942614</c:v>
                </c:pt>
                <c:pt idx="1040">
                  <c:v>971.01239715022029</c:v>
                </c:pt>
                <c:pt idx="1041">
                  <c:v>1015.8816230582381</c:v>
                </c:pt>
                <c:pt idx="1042">
                  <c:v>1029.2358512730996</c:v>
                </c:pt>
                <c:pt idx="1043">
                  <c:v>1057.4916880295561</c:v>
                </c:pt>
                <c:pt idx="1044">
                  <c:v>1060.562650842912</c:v>
                </c:pt>
                <c:pt idx="1045">
                  <c:v>1038.8273861116718</c:v>
                </c:pt>
                <c:pt idx="1046">
                  <c:v>1083.0662130138699</c:v>
                </c:pt>
                <c:pt idx="1047">
                  <c:v>1072.3587242224612</c:v>
                </c:pt>
                <c:pt idx="1048">
                  <c:v>1088.6119380608829</c:v>
                </c:pt>
                <c:pt idx="1049">
                  <c:v>1118.4809202893694</c:v>
                </c:pt>
                <c:pt idx="1050">
                  <c:v>1152.2093692076262</c:v>
                </c:pt>
                <c:pt idx="1051">
                  <c:v>1139.0427875235775</c:v>
                </c:pt>
                <c:pt idx="1052">
                  <c:v>1179.7681450109912</c:v>
                </c:pt>
                <c:pt idx="1053">
                  <c:v>1179.7820962876974</c:v>
                </c:pt>
                <c:pt idx="1054">
                  <c:v>1206.5179676495479</c:v>
                </c:pt>
                <c:pt idx="1055">
                  <c:v>1240.5270267390399</c:v>
                </c:pt>
                <c:pt idx="1056">
                  <c:v>1234.4577499494401</c:v>
                </c:pt>
                <c:pt idx="1057">
                  <c:v>1170.0428698206565</c:v>
                </c:pt>
                <c:pt idx="1058">
                  <c:v>1173.0577909491496</c:v>
                </c:pt>
                <c:pt idx="1059">
                  <c:v>1213.674725047071</c:v>
                </c:pt>
                <c:pt idx="1060">
                  <c:v>1225.0157932022692</c:v>
                </c:pt>
                <c:pt idx="1061">
                  <c:v>1194.5662489735278</c:v>
                </c:pt>
                <c:pt idx="1062">
                  <c:v>1170.8820500174008</c:v>
                </c:pt>
                <c:pt idx="1063">
                  <c:v>1222.8225661118802</c:v>
                </c:pt>
                <c:pt idx="1064">
                  <c:v>1164.6009419910424</c:v>
                </c:pt>
                <c:pt idx="1065">
                  <c:v>1163.4456368476649</c:v>
                </c:pt>
                <c:pt idx="1066">
                  <c:v>1162.476533967694</c:v>
                </c:pt>
                <c:pt idx="1067">
                  <c:v>1204.1131503998001</c:v>
                </c:pt>
                <c:pt idx="1068">
                  <c:v>1178.6697869378813</c:v>
                </c:pt>
                <c:pt idx="1069">
                  <c:v>1116.2434678778454</c:v>
                </c:pt>
                <c:pt idx="1070">
                  <c:v>1114.1753229626922</c:v>
                </c:pt>
                <c:pt idx="1071">
                  <c:v>1110.9137051527337</c:v>
                </c:pt>
                <c:pt idx="1072">
                  <c:v>1108.6151964671558</c:v>
                </c:pt>
                <c:pt idx="1073">
                  <c:v>1134.0782753149565</c:v>
                </c:pt>
                <c:pt idx="1074">
                  <c:v>1115.7475784702162</c:v>
                </c:pt>
                <c:pt idx="1075">
                  <c:v>1181.031796210443</c:v>
                </c:pt>
                <c:pt idx="1076">
                  <c:v>1170.6683406491907</c:v>
                </c:pt>
                <c:pt idx="1077">
                  <c:v>1184.3738657110532</c:v>
                </c:pt>
                <c:pt idx="1078">
                  <c:v>1177.3993831036187</c:v>
                </c:pt>
                <c:pt idx="1079">
                  <c:v>1206.5116018854849</c:v>
                </c:pt>
                <c:pt idx="1080">
                  <c:v>1266.3954879263488</c:v>
                </c:pt>
                <c:pt idx="1081">
                  <c:v>1291.5608945634522</c:v>
                </c:pt>
                <c:pt idx="1082">
                  <c:v>1316.7419944470007</c:v>
                </c:pt>
                <c:pt idx="1083">
                  <c:v>1330.4553068895589</c:v>
                </c:pt>
                <c:pt idx="1084">
                  <c:v>1350.3459499845449</c:v>
                </c:pt>
                <c:pt idx="1085">
                  <c:v>1359.4113723383414</c:v>
                </c:pt>
                <c:pt idx="1086">
                  <c:v>1342.6790350120552</c:v>
                </c:pt>
                <c:pt idx="1087">
                  <c:v>1367.9083659151333</c:v>
                </c:pt>
                <c:pt idx="1088">
                  <c:v>1380.048137167613</c:v>
                </c:pt>
                <c:pt idx="1089">
                  <c:v>1411.6949271383298</c:v>
                </c:pt>
                <c:pt idx="1090">
                  <c:v>1466.0689622979071</c:v>
                </c:pt>
                <c:pt idx="1091">
                  <c:v>1515.2943412072318</c:v>
                </c:pt>
                <c:pt idx="1092">
                  <c:v>1528.0516115135051</c:v>
                </c:pt>
                <c:pt idx="1093">
                  <c:v>1578.4514648422457</c:v>
                </c:pt>
                <c:pt idx="1094">
                  <c:v>1471.6535615881482</c:v>
                </c:pt>
                <c:pt idx="1095">
                  <c:v>1458.304221174056</c:v>
                </c:pt>
                <c:pt idx="1096">
                  <c:v>1510.6823384641204</c:v>
                </c:pt>
                <c:pt idx="1097">
                  <c:v>1568.2587310835363</c:v>
                </c:pt>
                <c:pt idx="1098">
                  <c:v>1558.9324161768127</c:v>
                </c:pt>
                <c:pt idx="1099">
                  <c:v>1620.1084812607269</c:v>
                </c:pt>
                <c:pt idx="1100">
                  <c:v>1632.10876434426</c:v>
                </c:pt>
                <c:pt idx="1101">
                  <c:v>1608.4583274937099</c:v>
                </c:pt>
                <c:pt idx="1102">
                  <c:v>1530.0961547349525</c:v>
                </c:pt>
                <c:pt idx="1103">
                  <c:v>1534.0089366652655</c:v>
                </c:pt>
                <c:pt idx="1104">
                  <c:v>1404.6793142304159</c:v>
                </c:pt>
                <c:pt idx="1105">
                  <c:v>1408.3719327924587</c:v>
                </c:pt>
                <c:pt idx="1106">
                  <c:v>1402.9161554402929</c:v>
                </c:pt>
                <c:pt idx="1107">
                  <c:v>1421.4503452500589</c:v>
                </c:pt>
                <c:pt idx="1108">
                  <c:v>1486.4354161045499</c:v>
                </c:pt>
                <c:pt idx="1109">
                  <c:v>1406.5763989096206</c:v>
                </c:pt>
                <c:pt idx="1110">
                  <c:v>1468.125358845042</c:v>
                </c:pt>
                <c:pt idx="1111">
                  <c:v>1483.6438583302318</c:v>
                </c:pt>
                <c:pt idx="1112">
                  <c:v>1441.5491420591252</c:v>
                </c:pt>
                <c:pt idx="1113">
                  <c:v>1493.2344272337295</c:v>
                </c:pt>
                <c:pt idx="1114">
                  <c:v>1543.439977880874</c:v>
                </c:pt>
                <c:pt idx="1115">
                  <c:v>1587.5442246159844</c:v>
                </c:pt>
                <c:pt idx="1116">
                  <c:v>1618.0902435300575</c:v>
                </c:pt>
                <c:pt idx="1117">
                  <c:v>1596.4162376301281</c:v>
                </c:pt>
                <c:pt idx="1118">
                  <c:v>1473.2802175505601</c:v>
                </c:pt>
                <c:pt idx="1119">
                  <c:v>1472.1485034338284</c:v>
                </c:pt>
                <c:pt idx="1120">
                  <c:v>1477.5240078075969</c:v>
                </c:pt>
                <c:pt idx="1121">
                  <c:v>1476.9043890200212</c:v>
                </c:pt>
                <c:pt idx="1122">
                  <c:v>1476.596959528782</c:v>
                </c:pt>
                <c:pt idx="1123">
                  <c:v>1478.9416072166964</c:v>
                </c:pt>
                <c:pt idx="1124">
                  <c:v>1541.0509330308098</c:v>
                </c:pt>
                <c:pt idx="1125">
                  <c:v>1498.2438432014399</c:v>
                </c:pt>
                <c:pt idx="1126">
                  <c:v>1450.6402275354951</c:v>
                </c:pt>
                <c:pt idx="1127">
                  <c:v>1636.379967570098</c:v>
                </c:pt>
                <c:pt idx="1128">
                  <c:v>1668.3605915552851</c:v>
                </c:pt>
              </c:numCache>
            </c:numRef>
          </c:yVal>
          <c:smooth val="1"/>
          <c:extLst>
            <c:ext xmlns:c16="http://schemas.microsoft.com/office/drawing/2014/chart" uri="{C3380CC4-5D6E-409C-BE32-E72D297353CC}">
              <c16:uniqueId val="{00000002-4B68-4FEC-B8E9-CBBD6F2590D8}"/>
            </c:ext>
          </c:extLst>
        </c:ser>
        <c:ser>
          <c:idx val="3"/>
          <c:order val="3"/>
          <c:tx>
            <c:strRef>
              <c:f>'HistoricalWorldStocks_SMA-CHF'!$AO$27</c:f>
              <c:strCache>
                <c:ptCount val="1"/>
                <c:pt idx="0">
                  <c:v>SMA(10m) con 0.5% costi annui</c:v>
                </c:pt>
              </c:strCache>
            </c:strRef>
          </c:tx>
          <c:spPr>
            <a:ln w="19050" cap="rnd">
              <a:solidFill>
                <a:schemeClr val="accent4"/>
              </a:solidFill>
              <a:round/>
            </a:ln>
            <a:effectLst/>
          </c:spPr>
          <c:marker>
            <c:symbol val="none"/>
          </c:marker>
          <c:xVal>
            <c:numRef>
              <c:f>'HistoricalWorldStocks_SMA-CHF'!$AK$38:$AK$1166</c:f>
              <c:numCache>
                <c:formatCode>m/d/yyyy</c:formatCode>
                <c:ptCount val="1129"/>
                <c:pt idx="0">
                  <c:v>9862</c:v>
                </c:pt>
                <c:pt idx="1">
                  <c:v>9893</c:v>
                </c:pt>
                <c:pt idx="2">
                  <c:v>9924</c:v>
                </c:pt>
                <c:pt idx="3">
                  <c:v>9955</c:v>
                </c:pt>
                <c:pt idx="4">
                  <c:v>9986</c:v>
                </c:pt>
                <c:pt idx="5">
                  <c:v>10017</c:v>
                </c:pt>
                <c:pt idx="6">
                  <c:v>10048</c:v>
                </c:pt>
                <c:pt idx="7">
                  <c:v>10079</c:v>
                </c:pt>
                <c:pt idx="8">
                  <c:v>10110</c:v>
                </c:pt>
                <c:pt idx="9">
                  <c:v>10141</c:v>
                </c:pt>
                <c:pt idx="10">
                  <c:v>10172</c:v>
                </c:pt>
                <c:pt idx="11">
                  <c:v>10203</c:v>
                </c:pt>
                <c:pt idx="12">
                  <c:v>10234</c:v>
                </c:pt>
                <c:pt idx="13">
                  <c:v>10265</c:v>
                </c:pt>
                <c:pt idx="14">
                  <c:v>10296</c:v>
                </c:pt>
                <c:pt idx="15">
                  <c:v>10327</c:v>
                </c:pt>
                <c:pt idx="16">
                  <c:v>10358</c:v>
                </c:pt>
                <c:pt idx="17">
                  <c:v>10389</c:v>
                </c:pt>
                <c:pt idx="18">
                  <c:v>10420</c:v>
                </c:pt>
                <c:pt idx="19">
                  <c:v>10451</c:v>
                </c:pt>
                <c:pt idx="20">
                  <c:v>10482</c:v>
                </c:pt>
                <c:pt idx="21">
                  <c:v>10513</c:v>
                </c:pt>
                <c:pt idx="22">
                  <c:v>10544</c:v>
                </c:pt>
                <c:pt idx="23">
                  <c:v>10575</c:v>
                </c:pt>
                <c:pt idx="24">
                  <c:v>10606</c:v>
                </c:pt>
                <c:pt idx="25">
                  <c:v>10637</c:v>
                </c:pt>
                <c:pt idx="26">
                  <c:v>10668</c:v>
                </c:pt>
                <c:pt idx="27">
                  <c:v>10699</c:v>
                </c:pt>
                <c:pt idx="28">
                  <c:v>10730</c:v>
                </c:pt>
                <c:pt idx="29">
                  <c:v>10761</c:v>
                </c:pt>
                <c:pt idx="30">
                  <c:v>10792</c:v>
                </c:pt>
                <c:pt idx="31">
                  <c:v>10823</c:v>
                </c:pt>
                <c:pt idx="32">
                  <c:v>10854</c:v>
                </c:pt>
                <c:pt idx="33">
                  <c:v>10885</c:v>
                </c:pt>
                <c:pt idx="34">
                  <c:v>10916</c:v>
                </c:pt>
                <c:pt idx="35">
                  <c:v>10947</c:v>
                </c:pt>
                <c:pt idx="36">
                  <c:v>10978</c:v>
                </c:pt>
                <c:pt idx="37">
                  <c:v>11009</c:v>
                </c:pt>
                <c:pt idx="38">
                  <c:v>11040</c:v>
                </c:pt>
                <c:pt idx="39">
                  <c:v>11071</c:v>
                </c:pt>
                <c:pt idx="40">
                  <c:v>11102</c:v>
                </c:pt>
                <c:pt idx="41">
                  <c:v>11133</c:v>
                </c:pt>
                <c:pt idx="42">
                  <c:v>11164</c:v>
                </c:pt>
                <c:pt idx="43">
                  <c:v>11195</c:v>
                </c:pt>
                <c:pt idx="44">
                  <c:v>11226</c:v>
                </c:pt>
                <c:pt idx="45">
                  <c:v>11257</c:v>
                </c:pt>
                <c:pt idx="46">
                  <c:v>11288</c:v>
                </c:pt>
                <c:pt idx="47">
                  <c:v>11319</c:v>
                </c:pt>
                <c:pt idx="48">
                  <c:v>11350</c:v>
                </c:pt>
                <c:pt idx="49">
                  <c:v>11381</c:v>
                </c:pt>
                <c:pt idx="50">
                  <c:v>11412</c:v>
                </c:pt>
                <c:pt idx="51">
                  <c:v>11443</c:v>
                </c:pt>
                <c:pt idx="52">
                  <c:v>11474</c:v>
                </c:pt>
                <c:pt idx="53">
                  <c:v>11505</c:v>
                </c:pt>
                <c:pt idx="54">
                  <c:v>11536</c:v>
                </c:pt>
                <c:pt idx="55">
                  <c:v>11567</c:v>
                </c:pt>
                <c:pt idx="56">
                  <c:v>11598</c:v>
                </c:pt>
                <c:pt idx="57">
                  <c:v>11629</c:v>
                </c:pt>
                <c:pt idx="58">
                  <c:v>11660</c:v>
                </c:pt>
                <c:pt idx="59">
                  <c:v>11691</c:v>
                </c:pt>
                <c:pt idx="60">
                  <c:v>11722</c:v>
                </c:pt>
                <c:pt idx="61">
                  <c:v>11753</c:v>
                </c:pt>
                <c:pt idx="62">
                  <c:v>11784</c:v>
                </c:pt>
                <c:pt idx="63">
                  <c:v>11815</c:v>
                </c:pt>
                <c:pt idx="64">
                  <c:v>11846</c:v>
                </c:pt>
                <c:pt idx="65">
                  <c:v>11877</c:v>
                </c:pt>
                <c:pt idx="66">
                  <c:v>11908</c:v>
                </c:pt>
                <c:pt idx="67">
                  <c:v>11939</c:v>
                </c:pt>
                <c:pt idx="68">
                  <c:v>11970</c:v>
                </c:pt>
                <c:pt idx="69">
                  <c:v>12001</c:v>
                </c:pt>
                <c:pt idx="70">
                  <c:v>12032</c:v>
                </c:pt>
                <c:pt idx="71">
                  <c:v>12063</c:v>
                </c:pt>
                <c:pt idx="72">
                  <c:v>12094</c:v>
                </c:pt>
                <c:pt idx="73">
                  <c:v>12125</c:v>
                </c:pt>
                <c:pt idx="74">
                  <c:v>12156</c:v>
                </c:pt>
                <c:pt idx="75">
                  <c:v>12187</c:v>
                </c:pt>
                <c:pt idx="76">
                  <c:v>12218</c:v>
                </c:pt>
                <c:pt idx="77">
                  <c:v>12249</c:v>
                </c:pt>
                <c:pt idx="78">
                  <c:v>12280</c:v>
                </c:pt>
                <c:pt idx="79">
                  <c:v>12311</c:v>
                </c:pt>
                <c:pt idx="80">
                  <c:v>12342</c:v>
                </c:pt>
                <c:pt idx="81">
                  <c:v>12373</c:v>
                </c:pt>
                <c:pt idx="82">
                  <c:v>12404</c:v>
                </c:pt>
                <c:pt idx="83">
                  <c:v>12435</c:v>
                </c:pt>
                <c:pt idx="84">
                  <c:v>12466</c:v>
                </c:pt>
                <c:pt idx="85">
                  <c:v>12497</c:v>
                </c:pt>
                <c:pt idx="86">
                  <c:v>12528</c:v>
                </c:pt>
                <c:pt idx="87">
                  <c:v>12559</c:v>
                </c:pt>
                <c:pt idx="88">
                  <c:v>12590</c:v>
                </c:pt>
                <c:pt idx="89">
                  <c:v>12621</c:v>
                </c:pt>
                <c:pt idx="90">
                  <c:v>12652</c:v>
                </c:pt>
                <c:pt idx="91">
                  <c:v>12683</c:v>
                </c:pt>
                <c:pt idx="92">
                  <c:v>12714</c:v>
                </c:pt>
                <c:pt idx="93">
                  <c:v>12745</c:v>
                </c:pt>
                <c:pt idx="94">
                  <c:v>12776</c:v>
                </c:pt>
                <c:pt idx="95">
                  <c:v>12807</c:v>
                </c:pt>
                <c:pt idx="96">
                  <c:v>12838</c:v>
                </c:pt>
                <c:pt idx="97">
                  <c:v>12869</c:v>
                </c:pt>
                <c:pt idx="98">
                  <c:v>12900</c:v>
                </c:pt>
                <c:pt idx="99">
                  <c:v>12931</c:v>
                </c:pt>
                <c:pt idx="100">
                  <c:v>12962</c:v>
                </c:pt>
                <c:pt idx="101">
                  <c:v>12993</c:v>
                </c:pt>
                <c:pt idx="102">
                  <c:v>13024</c:v>
                </c:pt>
                <c:pt idx="103">
                  <c:v>13055</c:v>
                </c:pt>
                <c:pt idx="104">
                  <c:v>13086</c:v>
                </c:pt>
                <c:pt idx="105">
                  <c:v>13117</c:v>
                </c:pt>
                <c:pt idx="106">
                  <c:v>13148</c:v>
                </c:pt>
                <c:pt idx="107">
                  <c:v>13179</c:v>
                </c:pt>
                <c:pt idx="108">
                  <c:v>13210</c:v>
                </c:pt>
                <c:pt idx="109">
                  <c:v>13241</c:v>
                </c:pt>
                <c:pt idx="110">
                  <c:v>13272</c:v>
                </c:pt>
                <c:pt idx="111">
                  <c:v>13303</c:v>
                </c:pt>
                <c:pt idx="112">
                  <c:v>13334</c:v>
                </c:pt>
                <c:pt idx="113">
                  <c:v>13365</c:v>
                </c:pt>
                <c:pt idx="114">
                  <c:v>13396</c:v>
                </c:pt>
                <c:pt idx="115">
                  <c:v>13427</c:v>
                </c:pt>
                <c:pt idx="116">
                  <c:v>13458</c:v>
                </c:pt>
                <c:pt idx="117">
                  <c:v>13489</c:v>
                </c:pt>
                <c:pt idx="118">
                  <c:v>13520</c:v>
                </c:pt>
                <c:pt idx="119">
                  <c:v>13551</c:v>
                </c:pt>
                <c:pt idx="120">
                  <c:v>13582</c:v>
                </c:pt>
                <c:pt idx="121">
                  <c:v>13613</c:v>
                </c:pt>
                <c:pt idx="122">
                  <c:v>13644</c:v>
                </c:pt>
                <c:pt idx="123">
                  <c:v>13675</c:v>
                </c:pt>
                <c:pt idx="124">
                  <c:v>13706</c:v>
                </c:pt>
                <c:pt idx="125">
                  <c:v>13737</c:v>
                </c:pt>
                <c:pt idx="126">
                  <c:v>13768</c:v>
                </c:pt>
                <c:pt idx="127">
                  <c:v>13799</c:v>
                </c:pt>
                <c:pt idx="128">
                  <c:v>13830</c:v>
                </c:pt>
                <c:pt idx="129">
                  <c:v>13861</c:v>
                </c:pt>
                <c:pt idx="130">
                  <c:v>13892</c:v>
                </c:pt>
                <c:pt idx="131">
                  <c:v>13923</c:v>
                </c:pt>
                <c:pt idx="132">
                  <c:v>13954</c:v>
                </c:pt>
                <c:pt idx="133">
                  <c:v>13985</c:v>
                </c:pt>
                <c:pt idx="134">
                  <c:v>14016</c:v>
                </c:pt>
                <c:pt idx="135">
                  <c:v>14047</c:v>
                </c:pt>
                <c:pt idx="136">
                  <c:v>14078</c:v>
                </c:pt>
                <c:pt idx="137">
                  <c:v>14109</c:v>
                </c:pt>
                <c:pt idx="138">
                  <c:v>14140</c:v>
                </c:pt>
                <c:pt idx="139">
                  <c:v>14171</c:v>
                </c:pt>
                <c:pt idx="140">
                  <c:v>14202</c:v>
                </c:pt>
                <c:pt idx="141">
                  <c:v>14233</c:v>
                </c:pt>
                <c:pt idx="142">
                  <c:v>14264</c:v>
                </c:pt>
                <c:pt idx="143">
                  <c:v>14295</c:v>
                </c:pt>
                <c:pt idx="144">
                  <c:v>14326</c:v>
                </c:pt>
                <c:pt idx="145">
                  <c:v>14357</c:v>
                </c:pt>
                <c:pt idx="146">
                  <c:v>14388</c:v>
                </c:pt>
                <c:pt idx="147">
                  <c:v>14419</c:v>
                </c:pt>
                <c:pt idx="148">
                  <c:v>14450</c:v>
                </c:pt>
                <c:pt idx="149">
                  <c:v>14481</c:v>
                </c:pt>
                <c:pt idx="150">
                  <c:v>14512</c:v>
                </c:pt>
                <c:pt idx="151">
                  <c:v>14543</c:v>
                </c:pt>
                <c:pt idx="152">
                  <c:v>14574</c:v>
                </c:pt>
                <c:pt idx="153">
                  <c:v>14605</c:v>
                </c:pt>
                <c:pt idx="154">
                  <c:v>14636</c:v>
                </c:pt>
                <c:pt idx="155">
                  <c:v>14667</c:v>
                </c:pt>
                <c:pt idx="156">
                  <c:v>14698</c:v>
                </c:pt>
                <c:pt idx="157">
                  <c:v>14729</c:v>
                </c:pt>
                <c:pt idx="158">
                  <c:v>14760</c:v>
                </c:pt>
                <c:pt idx="159">
                  <c:v>14791</c:v>
                </c:pt>
                <c:pt idx="160">
                  <c:v>14822</c:v>
                </c:pt>
                <c:pt idx="161">
                  <c:v>14853</c:v>
                </c:pt>
                <c:pt idx="162">
                  <c:v>14884</c:v>
                </c:pt>
                <c:pt idx="163">
                  <c:v>14915</c:v>
                </c:pt>
                <c:pt idx="164">
                  <c:v>14946</c:v>
                </c:pt>
                <c:pt idx="165">
                  <c:v>14977</c:v>
                </c:pt>
                <c:pt idx="166">
                  <c:v>15008</c:v>
                </c:pt>
                <c:pt idx="167">
                  <c:v>15039</c:v>
                </c:pt>
                <c:pt idx="168">
                  <c:v>15070</c:v>
                </c:pt>
                <c:pt idx="169">
                  <c:v>15101</c:v>
                </c:pt>
                <c:pt idx="170">
                  <c:v>15132</c:v>
                </c:pt>
                <c:pt idx="171">
                  <c:v>15163</c:v>
                </c:pt>
                <c:pt idx="172">
                  <c:v>15194</c:v>
                </c:pt>
                <c:pt idx="173">
                  <c:v>15225</c:v>
                </c:pt>
                <c:pt idx="174">
                  <c:v>15256</c:v>
                </c:pt>
                <c:pt idx="175">
                  <c:v>15287</c:v>
                </c:pt>
                <c:pt idx="176">
                  <c:v>15318</c:v>
                </c:pt>
                <c:pt idx="177">
                  <c:v>15349</c:v>
                </c:pt>
                <c:pt idx="178">
                  <c:v>15380</c:v>
                </c:pt>
                <c:pt idx="179">
                  <c:v>15411</c:v>
                </c:pt>
                <c:pt idx="180">
                  <c:v>15442</c:v>
                </c:pt>
                <c:pt idx="181">
                  <c:v>15473</c:v>
                </c:pt>
                <c:pt idx="182">
                  <c:v>15504</c:v>
                </c:pt>
                <c:pt idx="183">
                  <c:v>15535</c:v>
                </c:pt>
                <c:pt idx="184">
                  <c:v>15566</c:v>
                </c:pt>
                <c:pt idx="185">
                  <c:v>15597</c:v>
                </c:pt>
                <c:pt idx="186">
                  <c:v>15628</c:v>
                </c:pt>
                <c:pt idx="187">
                  <c:v>15659</c:v>
                </c:pt>
                <c:pt idx="188">
                  <c:v>15690</c:v>
                </c:pt>
                <c:pt idx="189">
                  <c:v>15721</c:v>
                </c:pt>
                <c:pt idx="190">
                  <c:v>15752</c:v>
                </c:pt>
                <c:pt idx="191">
                  <c:v>15783</c:v>
                </c:pt>
                <c:pt idx="192">
                  <c:v>15814</c:v>
                </c:pt>
                <c:pt idx="193">
                  <c:v>15845</c:v>
                </c:pt>
                <c:pt idx="194">
                  <c:v>15876</c:v>
                </c:pt>
                <c:pt idx="195">
                  <c:v>15907</c:v>
                </c:pt>
                <c:pt idx="196">
                  <c:v>15938</c:v>
                </c:pt>
                <c:pt idx="197">
                  <c:v>15969</c:v>
                </c:pt>
                <c:pt idx="198">
                  <c:v>16000</c:v>
                </c:pt>
                <c:pt idx="199">
                  <c:v>16031</c:v>
                </c:pt>
                <c:pt idx="200">
                  <c:v>16062</c:v>
                </c:pt>
                <c:pt idx="201">
                  <c:v>16093</c:v>
                </c:pt>
                <c:pt idx="202">
                  <c:v>16124</c:v>
                </c:pt>
                <c:pt idx="203">
                  <c:v>16155</c:v>
                </c:pt>
                <c:pt idx="204">
                  <c:v>16186</c:v>
                </c:pt>
                <c:pt idx="205">
                  <c:v>16217</c:v>
                </c:pt>
                <c:pt idx="206">
                  <c:v>16248</c:v>
                </c:pt>
                <c:pt idx="207">
                  <c:v>16279</c:v>
                </c:pt>
                <c:pt idx="208">
                  <c:v>16310</c:v>
                </c:pt>
                <c:pt idx="209">
                  <c:v>16341</c:v>
                </c:pt>
                <c:pt idx="210">
                  <c:v>16372</c:v>
                </c:pt>
                <c:pt idx="211">
                  <c:v>16403</c:v>
                </c:pt>
                <c:pt idx="212">
                  <c:v>16434</c:v>
                </c:pt>
                <c:pt idx="213">
                  <c:v>16465</c:v>
                </c:pt>
                <c:pt idx="214">
                  <c:v>16496</c:v>
                </c:pt>
                <c:pt idx="215">
                  <c:v>16527</c:v>
                </c:pt>
                <c:pt idx="216">
                  <c:v>16558</c:v>
                </c:pt>
                <c:pt idx="217">
                  <c:v>16589</c:v>
                </c:pt>
                <c:pt idx="218">
                  <c:v>16620</c:v>
                </c:pt>
                <c:pt idx="219">
                  <c:v>16651</c:v>
                </c:pt>
                <c:pt idx="220">
                  <c:v>16682</c:v>
                </c:pt>
                <c:pt idx="221">
                  <c:v>16713</c:v>
                </c:pt>
                <c:pt idx="222">
                  <c:v>16744</c:v>
                </c:pt>
                <c:pt idx="223">
                  <c:v>16775</c:v>
                </c:pt>
                <c:pt idx="224">
                  <c:v>16806</c:v>
                </c:pt>
                <c:pt idx="225">
                  <c:v>16837</c:v>
                </c:pt>
                <c:pt idx="226">
                  <c:v>16868</c:v>
                </c:pt>
                <c:pt idx="227">
                  <c:v>16899</c:v>
                </c:pt>
                <c:pt idx="228">
                  <c:v>16930</c:v>
                </c:pt>
                <c:pt idx="229">
                  <c:v>16961</c:v>
                </c:pt>
                <c:pt idx="230">
                  <c:v>16992</c:v>
                </c:pt>
                <c:pt idx="231">
                  <c:v>17023</c:v>
                </c:pt>
                <c:pt idx="232">
                  <c:v>17054</c:v>
                </c:pt>
                <c:pt idx="233">
                  <c:v>17085</c:v>
                </c:pt>
                <c:pt idx="234">
                  <c:v>17116</c:v>
                </c:pt>
                <c:pt idx="235">
                  <c:v>17147</c:v>
                </c:pt>
                <c:pt idx="236">
                  <c:v>17178</c:v>
                </c:pt>
                <c:pt idx="237">
                  <c:v>17209</c:v>
                </c:pt>
                <c:pt idx="238">
                  <c:v>17240</c:v>
                </c:pt>
                <c:pt idx="239">
                  <c:v>17271</c:v>
                </c:pt>
                <c:pt idx="240">
                  <c:v>17302</c:v>
                </c:pt>
                <c:pt idx="241">
                  <c:v>17333</c:v>
                </c:pt>
                <c:pt idx="242">
                  <c:v>17364</c:v>
                </c:pt>
                <c:pt idx="243">
                  <c:v>17395</c:v>
                </c:pt>
                <c:pt idx="244">
                  <c:v>17426</c:v>
                </c:pt>
                <c:pt idx="245">
                  <c:v>17457</c:v>
                </c:pt>
                <c:pt idx="246">
                  <c:v>17488</c:v>
                </c:pt>
                <c:pt idx="247">
                  <c:v>17519</c:v>
                </c:pt>
                <c:pt idx="248">
                  <c:v>17550</c:v>
                </c:pt>
                <c:pt idx="249">
                  <c:v>17581</c:v>
                </c:pt>
                <c:pt idx="250">
                  <c:v>17612</c:v>
                </c:pt>
                <c:pt idx="251">
                  <c:v>17643</c:v>
                </c:pt>
                <c:pt idx="252">
                  <c:v>17674</c:v>
                </c:pt>
                <c:pt idx="253">
                  <c:v>17705</c:v>
                </c:pt>
                <c:pt idx="254">
                  <c:v>17736</c:v>
                </c:pt>
                <c:pt idx="255">
                  <c:v>17767</c:v>
                </c:pt>
                <c:pt idx="256">
                  <c:v>17798</c:v>
                </c:pt>
                <c:pt idx="257">
                  <c:v>17829</c:v>
                </c:pt>
                <c:pt idx="258">
                  <c:v>17860</c:v>
                </c:pt>
                <c:pt idx="259">
                  <c:v>17891</c:v>
                </c:pt>
                <c:pt idx="260">
                  <c:v>17922</c:v>
                </c:pt>
                <c:pt idx="261">
                  <c:v>17953</c:v>
                </c:pt>
                <c:pt idx="262">
                  <c:v>17984</c:v>
                </c:pt>
                <c:pt idx="263">
                  <c:v>18015</c:v>
                </c:pt>
                <c:pt idx="264">
                  <c:v>18046</c:v>
                </c:pt>
                <c:pt idx="265">
                  <c:v>18077</c:v>
                </c:pt>
                <c:pt idx="266">
                  <c:v>18108</c:v>
                </c:pt>
                <c:pt idx="267">
                  <c:v>18139</c:v>
                </c:pt>
                <c:pt idx="268">
                  <c:v>18170</c:v>
                </c:pt>
                <c:pt idx="269">
                  <c:v>18201</c:v>
                </c:pt>
                <c:pt idx="270">
                  <c:v>18232</c:v>
                </c:pt>
                <c:pt idx="271">
                  <c:v>18263</c:v>
                </c:pt>
                <c:pt idx="272">
                  <c:v>18294</c:v>
                </c:pt>
                <c:pt idx="273">
                  <c:v>18325</c:v>
                </c:pt>
                <c:pt idx="274">
                  <c:v>18356</c:v>
                </c:pt>
                <c:pt idx="275">
                  <c:v>18387</c:v>
                </c:pt>
                <c:pt idx="276">
                  <c:v>18418</c:v>
                </c:pt>
                <c:pt idx="277">
                  <c:v>18449</c:v>
                </c:pt>
                <c:pt idx="278">
                  <c:v>18480</c:v>
                </c:pt>
                <c:pt idx="279">
                  <c:v>18511</c:v>
                </c:pt>
                <c:pt idx="280">
                  <c:v>18542</c:v>
                </c:pt>
                <c:pt idx="281">
                  <c:v>18573</c:v>
                </c:pt>
                <c:pt idx="282">
                  <c:v>18604</c:v>
                </c:pt>
                <c:pt idx="283">
                  <c:v>18635</c:v>
                </c:pt>
                <c:pt idx="284">
                  <c:v>18666</c:v>
                </c:pt>
                <c:pt idx="285">
                  <c:v>18697</c:v>
                </c:pt>
                <c:pt idx="286">
                  <c:v>18728</c:v>
                </c:pt>
                <c:pt idx="287">
                  <c:v>18759</c:v>
                </c:pt>
                <c:pt idx="288">
                  <c:v>18790</c:v>
                </c:pt>
                <c:pt idx="289">
                  <c:v>18821</c:v>
                </c:pt>
                <c:pt idx="290">
                  <c:v>18852</c:v>
                </c:pt>
                <c:pt idx="291">
                  <c:v>18883</c:v>
                </c:pt>
                <c:pt idx="292">
                  <c:v>18914</c:v>
                </c:pt>
                <c:pt idx="293">
                  <c:v>18945</c:v>
                </c:pt>
                <c:pt idx="294">
                  <c:v>18976</c:v>
                </c:pt>
                <c:pt idx="295">
                  <c:v>19007</c:v>
                </c:pt>
                <c:pt idx="296">
                  <c:v>19038</c:v>
                </c:pt>
                <c:pt idx="297">
                  <c:v>19069</c:v>
                </c:pt>
                <c:pt idx="298">
                  <c:v>19100</c:v>
                </c:pt>
                <c:pt idx="299">
                  <c:v>19131</c:v>
                </c:pt>
                <c:pt idx="300">
                  <c:v>19162</c:v>
                </c:pt>
                <c:pt idx="301">
                  <c:v>19193</c:v>
                </c:pt>
                <c:pt idx="302">
                  <c:v>19224</c:v>
                </c:pt>
                <c:pt idx="303">
                  <c:v>19255</c:v>
                </c:pt>
                <c:pt idx="304">
                  <c:v>19286</c:v>
                </c:pt>
                <c:pt idx="305">
                  <c:v>19317</c:v>
                </c:pt>
                <c:pt idx="306">
                  <c:v>19348</c:v>
                </c:pt>
                <c:pt idx="307">
                  <c:v>19379</c:v>
                </c:pt>
                <c:pt idx="308">
                  <c:v>19410</c:v>
                </c:pt>
                <c:pt idx="309">
                  <c:v>19441</c:v>
                </c:pt>
                <c:pt idx="310">
                  <c:v>19472</c:v>
                </c:pt>
                <c:pt idx="311">
                  <c:v>19503</c:v>
                </c:pt>
                <c:pt idx="312">
                  <c:v>19534</c:v>
                </c:pt>
                <c:pt idx="313">
                  <c:v>19565</c:v>
                </c:pt>
                <c:pt idx="314">
                  <c:v>19596</c:v>
                </c:pt>
                <c:pt idx="315">
                  <c:v>19627</c:v>
                </c:pt>
                <c:pt idx="316">
                  <c:v>19658</c:v>
                </c:pt>
                <c:pt idx="317">
                  <c:v>19689</c:v>
                </c:pt>
                <c:pt idx="318">
                  <c:v>19720</c:v>
                </c:pt>
                <c:pt idx="319">
                  <c:v>19751</c:v>
                </c:pt>
                <c:pt idx="320">
                  <c:v>19782</c:v>
                </c:pt>
                <c:pt idx="321">
                  <c:v>19813</c:v>
                </c:pt>
                <c:pt idx="322">
                  <c:v>19844</c:v>
                </c:pt>
                <c:pt idx="323">
                  <c:v>19875</c:v>
                </c:pt>
                <c:pt idx="324">
                  <c:v>19906</c:v>
                </c:pt>
                <c:pt idx="325">
                  <c:v>19937</c:v>
                </c:pt>
                <c:pt idx="326">
                  <c:v>19968</c:v>
                </c:pt>
                <c:pt idx="327">
                  <c:v>19999</c:v>
                </c:pt>
                <c:pt idx="328">
                  <c:v>20030</c:v>
                </c:pt>
                <c:pt idx="329">
                  <c:v>20061</c:v>
                </c:pt>
                <c:pt idx="330">
                  <c:v>20092</c:v>
                </c:pt>
                <c:pt idx="331">
                  <c:v>20123</c:v>
                </c:pt>
                <c:pt idx="332">
                  <c:v>20154</c:v>
                </c:pt>
                <c:pt idx="333">
                  <c:v>20185</c:v>
                </c:pt>
                <c:pt idx="334">
                  <c:v>20216</c:v>
                </c:pt>
                <c:pt idx="335">
                  <c:v>20247</c:v>
                </c:pt>
                <c:pt idx="336">
                  <c:v>20278</c:v>
                </c:pt>
                <c:pt idx="337">
                  <c:v>20309</c:v>
                </c:pt>
                <c:pt idx="338">
                  <c:v>20340</c:v>
                </c:pt>
                <c:pt idx="339">
                  <c:v>20371</c:v>
                </c:pt>
                <c:pt idx="340">
                  <c:v>20402</c:v>
                </c:pt>
                <c:pt idx="341">
                  <c:v>20433</c:v>
                </c:pt>
                <c:pt idx="342">
                  <c:v>20464</c:v>
                </c:pt>
                <c:pt idx="343">
                  <c:v>20495</c:v>
                </c:pt>
                <c:pt idx="344">
                  <c:v>20526</c:v>
                </c:pt>
                <c:pt idx="345">
                  <c:v>20557</c:v>
                </c:pt>
                <c:pt idx="346">
                  <c:v>20588</c:v>
                </c:pt>
                <c:pt idx="347">
                  <c:v>20619</c:v>
                </c:pt>
                <c:pt idx="348">
                  <c:v>20650</c:v>
                </c:pt>
                <c:pt idx="349">
                  <c:v>20681</c:v>
                </c:pt>
                <c:pt idx="350">
                  <c:v>20712</c:v>
                </c:pt>
                <c:pt idx="351">
                  <c:v>20743</c:v>
                </c:pt>
                <c:pt idx="352">
                  <c:v>20774</c:v>
                </c:pt>
                <c:pt idx="353">
                  <c:v>20805</c:v>
                </c:pt>
                <c:pt idx="354">
                  <c:v>20836</c:v>
                </c:pt>
                <c:pt idx="355">
                  <c:v>20867</c:v>
                </c:pt>
                <c:pt idx="356">
                  <c:v>20898</c:v>
                </c:pt>
                <c:pt idx="357">
                  <c:v>20929</c:v>
                </c:pt>
                <c:pt idx="358">
                  <c:v>20960</c:v>
                </c:pt>
                <c:pt idx="359">
                  <c:v>20991</c:v>
                </c:pt>
                <c:pt idx="360">
                  <c:v>21022</c:v>
                </c:pt>
                <c:pt idx="361">
                  <c:v>21053</c:v>
                </c:pt>
                <c:pt idx="362">
                  <c:v>21084</c:v>
                </c:pt>
                <c:pt idx="363">
                  <c:v>21115</c:v>
                </c:pt>
                <c:pt idx="364">
                  <c:v>21146</c:v>
                </c:pt>
                <c:pt idx="365">
                  <c:v>21177</c:v>
                </c:pt>
                <c:pt idx="366">
                  <c:v>21208</c:v>
                </c:pt>
                <c:pt idx="367">
                  <c:v>21239</c:v>
                </c:pt>
                <c:pt idx="368">
                  <c:v>21270</c:v>
                </c:pt>
                <c:pt idx="369">
                  <c:v>21301</c:v>
                </c:pt>
                <c:pt idx="370">
                  <c:v>21332</c:v>
                </c:pt>
                <c:pt idx="371">
                  <c:v>21363</c:v>
                </c:pt>
                <c:pt idx="372">
                  <c:v>21394</c:v>
                </c:pt>
                <c:pt idx="373">
                  <c:v>21425</c:v>
                </c:pt>
                <c:pt idx="374">
                  <c:v>21456</c:v>
                </c:pt>
                <c:pt idx="375">
                  <c:v>21487</c:v>
                </c:pt>
                <c:pt idx="376">
                  <c:v>21518</c:v>
                </c:pt>
                <c:pt idx="377">
                  <c:v>21549</c:v>
                </c:pt>
                <c:pt idx="378">
                  <c:v>21580</c:v>
                </c:pt>
                <c:pt idx="379">
                  <c:v>21611</c:v>
                </c:pt>
                <c:pt idx="380">
                  <c:v>21642</c:v>
                </c:pt>
                <c:pt idx="381">
                  <c:v>21673</c:v>
                </c:pt>
                <c:pt idx="382">
                  <c:v>21704</c:v>
                </c:pt>
                <c:pt idx="383">
                  <c:v>21735</c:v>
                </c:pt>
                <c:pt idx="384">
                  <c:v>21766</c:v>
                </c:pt>
                <c:pt idx="385">
                  <c:v>21797</c:v>
                </c:pt>
                <c:pt idx="386">
                  <c:v>21828</c:v>
                </c:pt>
                <c:pt idx="387">
                  <c:v>21859</c:v>
                </c:pt>
                <c:pt idx="388">
                  <c:v>21890</c:v>
                </c:pt>
                <c:pt idx="389">
                  <c:v>21921</c:v>
                </c:pt>
                <c:pt idx="390">
                  <c:v>21952</c:v>
                </c:pt>
                <c:pt idx="391">
                  <c:v>21983</c:v>
                </c:pt>
                <c:pt idx="392">
                  <c:v>22014</c:v>
                </c:pt>
                <c:pt idx="393">
                  <c:v>22045</c:v>
                </c:pt>
                <c:pt idx="394">
                  <c:v>22076</c:v>
                </c:pt>
                <c:pt idx="395">
                  <c:v>22107</c:v>
                </c:pt>
                <c:pt idx="396">
                  <c:v>22138</c:v>
                </c:pt>
                <c:pt idx="397">
                  <c:v>22169</c:v>
                </c:pt>
                <c:pt idx="398">
                  <c:v>22200</c:v>
                </c:pt>
                <c:pt idx="399">
                  <c:v>22231</c:v>
                </c:pt>
                <c:pt idx="400">
                  <c:v>22262</c:v>
                </c:pt>
                <c:pt idx="401">
                  <c:v>22293</c:v>
                </c:pt>
                <c:pt idx="402">
                  <c:v>22324</c:v>
                </c:pt>
                <c:pt idx="403">
                  <c:v>22355</c:v>
                </c:pt>
                <c:pt idx="404">
                  <c:v>22386</c:v>
                </c:pt>
                <c:pt idx="405">
                  <c:v>22417</c:v>
                </c:pt>
                <c:pt idx="406">
                  <c:v>22448</c:v>
                </c:pt>
                <c:pt idx="407">
                  <c:v>22479</c:v>
                </c:pt>
                <c:pt idx="408">
                  <c:v>22510</c:v>
                </c:pt>
                <c:pt idx="409">
                  <c:v>22541</c:v>
                </c:pt>
                <c:pt idx="410">
                  <c:v>22572</c:v>
                </c:pt>
                <c:pt idx="411">
                  <c:v>22603</c:v>
                </c:pt>
                <c:pt idx="412">
                  <c:v>22634</c:v>
                </c:pt>
                <c:pt idx="413">
                  <c:v>22665</c:v>
                </c:pt>
                <c:pt idx="414">
                  <c:v>22696</c:v>
                </c:pt>
                <c:pt idx="415">
                  <c:v>22727</c:v>
                </c:pt>
                <c:pt idx="416">
                  <c:v>22758</c:v>
                </c:pt>
                <c:pt idx="417">
                  <c:v>22789</c:v>
                </c:pt>
                <c:pt idx="418">
                  <c:v>22820</c:v>
                </c:pt>
                <c:pt idx="419">
                  <c:v>22851</c:v>
                </c:pt>
                <c:pt idx="420">
                  <c:v>22882</c:v>
                </c:pt>
                <c:pt idx="421">
                  <c:v>22913</c:v>
                </c:pt>
                <c:pt idx="422">
                  <c:v>22944</c:v>
                </c:pt>
                <c:pt idx="423">
                  <c:v>22975</c:v>
                </c:pt>
                <c:pt idx="424">
                  <c:v>23006</c:v>
                </c:pt>
                <c:pt idx="425">
                  <c:v>23037</c:v>
                </c:pt>
                <c:pt idx="426">
                  <c:v>23068</c:v>
                </c:pt>
                <c:pt idx="427">
                  <c:v>23099</c:v>
                </c:pt>
                <c:pt idx="428">
                  <c:v>23130</c:v>
                </c:pt>
                <c:pt idx="429">
                  <c:v>23161</c:v>
                </c:pt>
                <c:pt idx="430">
                  <c:v>23192</c:v>
                </c:pt>
                <c:pt idx="431">
                  <c:v>23223</c:v>
                </c:pt>
                <c:pt idx="432">
                  <c:v>23254</c:v>
                </c:pt>
                <c:pt idx="433">
                  <c:v>23285</c:v>
                </c:pt>
                <c:pt idx="434">
                  <c:v>23316</c:v>
                </c:pt>
                <c:pt idx="435">
                  <c:v>23347</c:v>
                </c:pt>
                <c:pt idx="436">
                  <c:v>23378</c:v>
                </c:pt>
                <c:pt idx="437">
                  <c:v>23409</c:v>
                </c:pt>
                <c:pt idx="438">
                  <c:v>23440</c:v>
                </c:pt>
                <c:pt idx="439">
                  <c:v>23471</c:v>
                </c:pt>
                <c:pt idx="440">
                  <c:v>23502</c:v>
                </c:pt>
                <c:pt idx="441">
                  <c:v>23533</c:v>
                </c:pt>
                <c:pt idx="442">
                  <c:v>23564</c:v>
                </c:pt>
                <c:pt idx="443">
                  <c:v>23595</c:v>
                </c:pt>
                <c:pt idx="444">
                  <c:v>23626</c:v>
                </c:pt>
                <c:pt idx="445">
                  <c:v>23657</c:v>
                </c:pt>
                <c:pt idx="446">
                  <c:v>23688</c:v>
                </c:pt>
                <c:pt idx="447">
                  <c:v>23719</c:v>
                </c:pt>
                <c:pt idx="448">
                  <c:v>23750</c:v>
                </c:pt>
                <c:pt idx="449">
                  <c:v>23781</c:v>
                </c:pt>
                <c:pt idx="450">
                  <c:v>23812</c:v>
                </c:pt>
                <c:pt idx="451">
                  <c:v>23843</c:v>
                </c:pt>
                <c:pt idx="452">
                  <c:v>23874</c:v>
                </c:pt>
                <c:pt idx="453">
                  <c:v>23905</c:v>
                </c:pt>
                <c:pt idx="454">
                  <c:v>23936</c:v>
                </c:pt>
                <c:pt idx="455">
                  <c:v>23967</c:v>
                </c:pt>
                <c:pt idx="456">
                  <c:v>23998</c:v>
                </c:pt>
                <c:pt idx="457">
                  <c:v>24029</c:v>
                </c:pt>
                <c:pt idx="458">
                  <c:v>24060</c:v>
                </c:pt>
                <c:pt idx="459">
                  <c:v>24091</c:v>
                </c:pt>
                <c:pt idx="460">
                  <c:v>24122</c:v>
                </c:pt>
                <c:pt idx="461">
                  <c:v>24153</c:v>
                </c:pt>
                <c:pt idx="462">
                  <c:v>24184</c:v>
                </c:pt>
                <c:pt idx="463">
                  <c:v>24215</c:v>
                </c:pt>
                <c:pt idx="464">
                  <c:v>24246</c:v>
                </c:pt>
                <c:pt idx="465">
                  <c:v>24277</c:v>
                </c:pt>
                <c:pt idx="466">
                  <c:v>24308</c:v>
                </c:pt>
                <c:pt idx="467">
                  <c:v>24339</c:v>
                </c:pt>
                <c:pt idx="468">
                  <c:v>24370</c:v>
                </c:pt>
                <c:pt idx="469">
                  <c:v>24401</c:v>
                </c:pt>
                <c:pt idx="470">
                  <c:v>24432</c:v>
                </c:pt>
                <c:pt idx="471">
                  <c:v>24463</c:v>
                </c:pt>
                <c:pt idx="472">
                  <c:v>24494</c:v>
                </c:pt>
                <c:pt idx="473">
                  <c:v>24525</c:v>
                </c:pt>
                <c:pt idx="474">
                  <c:v>24556</c:v>
                </c:pt>
                <c:pt idx="475">
                  <c:v>24587</c:v>
                </c:pt>
                <c:pt idx="476">
                  <c:v>24618</c:v>
                </c:pt>
                <c:pt idx="477">
                  <c:v>24649</c:v>
                </c:pt>
                <c:pt idx="478">
                  <c:v>24680</c:v>
                </c:pt>
                <c:pt idx="479">
                  <c:v>24711</c:v>
                </c:pt>
                <c:pt idx="480">
                  <c:v>24742</c:v>
                </c:pt>
                <c:pt idx="481">
                  <c:v>24773</c:v>
                </c:pt>
                <c:pt idx="482">
                  <c:v>24804</c:v>
                </c:pt>
                <c:pt idx="483">
                  <c:v>24835</c:v>
                </c:pt>
                <c:pt idx="484">
                  <c:v>24866</c:v>
                </c:pt>
                <c:pt idx="485">
                  <c:v>24897</c:v>
                </c:pt>
                <c:pt idx="486">
                  <c:v>24928</c:v>
                </c:pt>
                <c:pt idx="487">
                  <c:v>24959</c:v>
                </c:pt>
                <c:pt idx="488">
                  <c:v>24990</c:v>
                </c:pt>
                <c:pt idx="489">
                  <c:v>25021</c:v>
                </c:pt>
                <c:pt idx="490">
                  <c:v>25052</c:v>
                </c:pt>
                <c:pt idx="491">
                  <c:v>25083</c:v>
                </c:pt>
                <c:pt idx="492">
                  <c:v>25114</c:v>
                </c:pt>
                <c:pt idx="493">
                  <c:v>25145</c:v>
                </c:pt>
                <c:pt idx="494">
                  <c:v>25176</c:v>
                </c:pt>
                <c:pt idx="495">
                  <c:v>25207</c:v>
                </c:pt>
                <c:pt idx="496">
                  <c:v>25238</c:v>
                </c:pt>
                <c:pt idx="497">
                  <c:v>25269</c:v>
                </c:pt>
                <c:pt idx="498">
                  <c:v>25300</c:v>
                </c:pt>
                <c:pt idx="499">
                  <c:v>25331</c:v>
                </c:pt>
                <c:pt idx="500">
                  <c:v>25362</c:v>
                </c:pt>
                <c:pt idx="501">
                  <c:v>25393</c:v>
                </c:pt>
                <c:pt idx="502">
                  <c:v>25424</c:v>
                </c:pt>
                <c:pt idx="503">
                  <c:v>25455</c:v>
                </c:pt>
                <c:pt idx="504">
                  <c:v>25486</c:v>
                </c:pt>
                <c:pt idx="505">
                  <c:v>25517</c:v>
                </c:pt>
                <c:pt idx="506">
                  <c:v>25548</c:v>
                </c:pt>
                <c:pt idx="507">
                  <c:v>25579</c:v>
                </c:pt>
                <c:pt idx="508">
                  <c:v>25610</c:v>
                </c:pt>
                <c:pt idx="509">
                  <c:v>25641</c:v>
                </c:pt>
                <c:pt idx="510">
                  <c:v>25672</c:v>
                </c:pt>
                <c:pt idx="511">
                  <c:v>25703</c:v>
                </c:pt>
                <c:pt idx="512">
                  <c:v>25734</c:v>
                </c:pt>
                <c:pt idx="513">
                  <c:v>25765</c:v>
                </c:pt>
                <c:pt idx="514">
                  <c:v>25796</c:v>
                </c:pt>
                <c:pt idx="515">
                  <c:v>25827</c:v>
                </c:pt>
                <c:pt idx="516">
                  <c:v>25858</c:v>
                </c:pt>
                <c:pt idx="517">
                  <c:v>25889</c:v>
                </c:pt>
                <c:pt idx="518">
                  <c:v>25920</c:v>
                </c:pt>
                <c:pt idx="519">
                  <c:v>25951</c:v>
                </c:pt>
                <c:pt idx="520">
                  <c:v>25982</c:v>
                </c:pt>
                <c:pt idx="521">
                  <c:v>26013</c:v>
                </c:pt>
                <c:pt idx="522">
                  <c:v>26044</c:v>
                </c:pt>
                <c:pt idx="523">
                  <c:v>26075</c:v>
                </c:pt>
                <c:pt idx="524">
                  <c:v>26106</c:v>
                </c:pt>
                <c:pt idx="525">
                  <c:v>26137</c:v>
                </c:pt>
                <c:pt idx="526">
                  <c:v>26168</c:v>
                </c:pt>
                <c:pt idx="527">
                  <c:v>26199</c:v>
                </c:pt>
                <c:pt idx="528">
                  <c:v>26230</c:v>
                </c:pt>
                <c:pt idx="529">
                  <c:v>26261</c:v>
                </c:pt>
                <c:pt idx="530">
                  <c:v>26292</c:v>
                </c:pt>
                <c:pt idx="531">
                  <c:v>26323</c:v>
                </c:pt>
                <c:pt idx="532">
                  <c:v>26354</c:v>
                </c:pt>
                <c:pt idx="533">
                  <c:v>26385</c:v>
                </c:pt>
                <c:pt idx="534">
                  <c:v>26416</c:v>
                </c:pt>
                <c:pt idx="535">
                  <c:v>26447</c:v>
                </c:pt>
                <c:pt idx="536">
                  <c:v>26478</c:v>
                </c:pt>
                <c:pt idx="537">
                  <c:v>26509</c:v>
                </c:pt>
                <c:pt idx="538">
                  <c:v>26540</c:v>
                </c:pt>
                <c:pt idx="539">
                  <c:v>26571</c:v>
                </c:pt>
                <c:pt idx="540">
                  <c:v>26602</c:v>
                </c:pt>
                <c:pt idx="541">
                  <c:v>26633</c:v>
                </c:pt>
                <c:pt idx="542">
                  <c:v>26664</c:v>
                </c:pt>
                <c:pt idx="543">
                  <c:v>26695</c:v>
                </c:pt>
                <c:pt idx="544">
                  <c:v>26726</c:v>
                </c:pt>
                <c:pt idx="545">
                  <c:v>26757</c:v>
                </c:pt>
                <c:pt idx="546">
                  <c:v>26788</c:v>
                </c:pt>
                <c:pt idx="547">
                  <c:v>26819</c:v>
                </c:pt>
                <c:pt idx="548">
                  <c:v>26850</c:v>
                </c:pt>
                <c:pt idx="549">
                  <c:v>26881</c:v>
                </c:pt>
                <c:pt idx="550">
                  <c:v>26912</c:v>
                </c:pt>
                <c:pt idx="551">
                  <c:v>26943</c:v>
                </c:pt>
                <c:pt idx="552">
                  <c:v>26974</c:v>
                </c:pt>
                <c:pt idx="553">
                  <c:v>27005</c:v>
                </c:pt>
                <c:pt idx="554">
                  <c:v>27036</c:v>
                </c:pt>
                <c:pt idx="555">
                  <c:v>27067</c:v>
                </c:pt>
                <c:pt idx="556">
                  <c:v>27098</c:v>
                </c:pt>
                <c:pt idx="557">
                  <c:v>27129</c:v>
                </c:pt>
                <c:pt idx="558">
                  <c:v>27160</c:v>
                </c:pt>
                <c:pt idx="559">
                  <c:v>27191</c:v>
                </c:pt>
                <c:pt idx="560">
                  <c:v>27222</c:v>
                </c:pt>
                <c:pt idx="561">
                  <c:v>27253</c:v>
                </c:pt>
                <c:pt idx="562">
                  <c:v>27284</c:v>
                </c:pt>
                <c:pt idx="563">
                  <c:v>27315</c:v>
                </c:pt>
                <c:pt idx="564">
                  <c:v>27346</c:v>
                </c:pt>
                <c:pt idx="565">
                  <c:v>27377</c:v>
                </c:pt>
                <c:pt idx="566">
                  <c:v>27408</c:v>
                </c:pt>
                <c:pt idx="567">
                  <c:v>27439</c:v>
                </c:pt>
                <c:pt idx="568">
                  <c:v>27470</c:v>
                </c:pt>
                <c:pt idx="569">
                  <c:v>27501</c:v>
                </c:pt>
                <c:pt idx="570">
                  <c:v>27532</c:v>
                </c:pt>
                <c:pt idx="571">
                  <c:v>27563</c:v>
                </c:pt>
                <c:pt idx="572">
                  <c:v>27594</c:v>
                </c:pt>
                <c:pt idx="573">
                  <c:v>27625</c:v>
                </c:pt>
                <c:pt idx="574">
                  <c:v>27656</c:v>
                </c:pt>
                <c:pt idx="575">
                  <c:v>27687</c:v>
                </c:pt>
                <c:pt idx="576">
                  <c:v>27718</c:v>
                </c:pt>
                <c:pt idx="577">
                  <c:v>27749</c:v>
                </c:pt>
                <c:pt idx="578">
                  <c:v>27780</c:v>
                </c:pt>
                <c:pt idx="579">
                  <c:v>27811</c:v>
                </c:pt>
                <c:pt idx="580">
                  <c:v>27842</c:v>
                </c:pt>
                <c:pt idx="581">
                  <c:v>27873</c:v>
                </c:pt>
                <c:pt idx="582">
                  <c:v>27904</c:v>
                </c:pt>
                <c:pt idx="583">
                  <c:v>27935</c:v>
                </c:pt>
                <c:pt idx="584">
                  <c:v>27966</c:v>
                </c:pt>
                <c:pt idx="585">
                  <c:v>27997</c:v>
                </c:pt>
                <c:pt idx="586">
                  <c:v>28028</c:v>
                </c:pt>
                <c:pt idx="587">
                  <c:v>28059</c:v>
                </c:pt>
                <c:pt idx="588">
                  <c:v>28090</c:v>
                </c:pt>
                <c:pt idx="589">
                  <c:v>28121</c:v>
                </c:pt>
                <c:pt idx="590">
                  <c:v>28152</c:v>
                </c:pt>
                <c:pt idx="591">
                  <c:v>28183</c:v>
                </c:pt>
                <c:pt idx="592">
                  <c:v>28214</c:v>
                </c:pt>
                <c:pt idx="593">
                  <c:v>28245</c:v>
                </c:pt>
                <c:pt idx="594">
                  <c:v>28276</c:v>
                </c:pt>
                <c:pt idx="595">
                  <c:v>28307</c:v>
                </c:pt>
                <c:pt idx="596">
                  <c:v>28338</c:v>
                </c:pt>
                <c:pt idx="597">
                  <c:v>28369</c:v>
                </c:pt>
                <c:pt idx="598">
                  <c:v>28400</c:v>
                </c:pt>
                <c:pt idx="599">
                  <c:v>28431</c:v>
                </c:pt>
                <c:pt idx="600">
                  <c:v>28462</c:v>
                </c:pt>
                <c:pt idx="601">
                  <c:v>28493</c:v>
                </c:pt>
                <c:pt idx="602">
                  <c:v>28524</c:v>
                </c:pt>
                <c:pt idx="603">
                  <c:v>28555</c:v>
                </c:pt>
                <c:pt idx="604">
                  <c:v>28586</c:v>
                </c:pt>
                <c:pt idx="605">
                  <c:v>28617</c:v>
                </c:pt>
                <c:pt idx="606">
                  <c:v>28648</c:v>
                </c:pt>
                <c:pt idx="607">
                  <c:v>28679</c:v>
                </c:pt>
                <c:pt idx="608">
                  <c:v>28710</c:v>
                </c:pt>
                <c:pt idx="609">
                  <c:v>28741</c:v>
                </c:pt>
                <c:pt idx="610">
                  <c:v>28772</c:v>
                </c:pt>
                <c:pt idx="611">
                  <c:v>28803</c:v>
                </c:pt>
                <c:pt idx="612">
                  <c:v>28834</c:v>
                </c:pt>
                <c:pt idx="613">
                  <c:v>28865</c:v>
                </c:pt>
                <c:pt idx="614">
                  <c:v>28896</c:v>
                </c:pt>
                <c:pt idx="615">
                  <c:v>28927</c:v>
                </c:pt>
                <c:pt idx="616">
                  <c:v>28958</c:v>
                </c:pt>
                <c:pt idx="617">
                  <c:v>28989</c:v>
                </c:pt>
                <c:pt idx="618">
                  <c:v>29020</c:v>
                </c:pt>
                <c:pt idx="619">
                  <c:v>29051</c:v>
                </c:pt>
                <c:pt idx="620">
                  <c:v>29082</c:v>
                </c:pt>
                <c:pt idx="621">
                  <c:v>29113</c:v>
                </c:pt>
                <c:pt idx="622">
                  <c:v>29144</c:v>
                </c:pt>
                <c:pt idx="623">
                  <c:v>29175</c:v>
                </c:pt>
                <c:pt idx="624">
                  <c:v>29206</c:v>
                </c:pt>
                <c:pt idx="625">
                  <c:v>29237</c:v>
                </c:pt>
                <c:pt idx="626">
                  <c:v>29268</c:v>
                </c:pt>
                <c:pt idx="627">
                  <c:v>29299</c:v>
                </c:pt>
                <c:pt idx="628">
                  <c:v>29330</c:v>
                </c:pt>
                <c:pt idx="629">
                  <c:v>29361</c:v>
                </c:pt>
                <c:pt idx="630">
                  <c:v>29392</c:v>
                </c:pt>
                <c:pt idx="631">
                  <c:v>29423</c:v>
                </c:pt>
                <c:pt idx="632">
                  <c:v>29454</c:v>
                </c:pt>
                <c:pt idx="633">
                  <c:v>29485</c:v>
                </c:pt>
                <c:pt idx="634">
                  <c:v>29516</c:v>
                </c:pt>
                <c:pt idx="635">
                  <c:v>29547</c:v>
                </c:pt>
                <c:pt idx="636">
                  <c:v>29578</c:v>
                </c:pt>
                <c:pt idx="637">
                  <c:v>29609</c:v>
                </c:pt>
                <c:pt idx="638">
                  <c:v>29640</c:v>
                </c:pt>
                <c:pt idx="639">
                  <c:v>29671</c:v>
                </c:pt>
                <c:pt idx="640">
                  <c:v>29702</c:v>
                </c:pt>
                <c:pt idx="641">
                  <c:v>29733</c:v>
                </c:pt>
                <c:pt idx="642">
                  <c:v>29764</c:v>
                </c:pt>
                <c:pt idx="643">
                  <c:v>29795</c:v>
                </c:pt>
                <c:pt idx="644">
                  <c:v>29826</c:v>
                </c:pt>
                <c:pt idx="645">
                  <c:v>29857</c:v>
                </c:pt>
                <c:pt idx="646">
                  <c:v>29888</c:v>
                </c:pt>
                <c:pt idx="647">
                  <c:v>29919</c:v>
                </c:pt>
                <c:pt idx="648">
                  <c:v>29950</c:v>
                </c:pt>
                <c:pt idx="649">
                  <c:v>29981</c:v>
                </c:pt>
                <c:pt idx="650">
                  <c:v>30012</c:v>
                </c:pt>
                <c:pt idx="651">
                  <c:v>30043</c:v>
                </c:pt>
                <c:pt idx="652">
                  <c:v>30074</c:v>
                </c:pt>
                <c:pt idx="653">
                  <c:v>30105</c:v>
                </c:pt>
                <c:pt idx="654">
                  <c:v>30136</c:v>
                </c:pt>
                <c:pt idx="655">
                  <c:v>30167</c:v>
                </c:pt>
                <c:pt idx="656">
                  <c:v>30198</c:v>
                </c:pt>
                <c:pt idx="657">
                  <c:v>30229</c:v>
                </c:pt>
                <c:pt idx="658">
                  <c:v>30260</c:v>
                </c:pt>
                <c:pt idx="659">
                  <c:v>30291</c:v>
                </c:pt>
                <c:pt idx="660">
                  <c:v>30322</c:v>
                </c:pt>
                <c:pt idx="661">
                  <c:v>30353</c:v>
                </c:pt>
                <c:pt idx="662">
                  <c:v>30384</c:v>
                </c:pt>
                <c:pt idx="663">
                  <c:v>30415</c:v>
                </c:pt>
                <c:pt idx="664">
                  <c:v>30446</c:v>
                </c:pt>
                <c:pt idx="665">
                  <c:v>30477</c:v>
                </c:pt>
                <c:pt idx="666">
                  <c:v>30508</c:v>
                </c:pt>
                <c:pt idx="667">
                  <c:v>30539</c:v>
                </c:pt>
                <c:pt idx="668">
                  <c:v>30570</c:v>
                </c:pt>
                <c:pt idx="669">
                  <c:v>30601</c:v>
                </c:pt>
                <c:pt idx="670">
                  <c:v>30632</c:v>
                </c:pt>
                <c:pt idx="671">
                  <c:v>30663</c:v>
                </c:pt>
                <c:pt idx="672">
                  <c:v>30694</c:v>
                </c:pt>
                <c:pt idx="673">
                  <c:v>30725</c:v>
                </c:pt>
                <c:pt idx="674">
                  <c:v>30756</c:v>
                </c:pt>
                <c:pt idx="675">
                  <c:v>30787</c:v>
                </c:pt>
                <c:pt idx="676">
                  <c:v>30818</c:v>
                </c:pt>
                <c:pt idx="677">
                  <c:v>30849</c:v>
                </c:pt>
                <c:pt idx="678">
                  <c:v>30880</c:v>
                </c:pt>
                <c:pt idx="679">
                  <c:v>30911</c:v>
                </c:pt>
                <c:pt idx="680">
                  <c:v>30942</c:v>
                </c:pt>
                <c:pt idx="681">
                  <c:v>30973</c:v>
                </c:pt>
                <c:pt idx="682">
                  <c:v>31004</c:v>
                </c:pt>
                <c:pt idx="683">
                  <c:v>31035</c:v>
                </c:pt>
                <c:pt idx="684">
                  <c:v>31066</c:v>
                </c:pt>
                <c:pt idx="685">
                  <c:v>31097</c:v>
                </c:pt>
                <c:pt idx="686">
                  <c:v>31128</c:v>
                </c:pt>
                <c:pt idx="687">
                  <c:v>31159</c:v>
                </c:pt>
                <c:pt idx="688">
                  <c:v>31190</c:v>
                </c:pt>
                <c:pt idx="689">
                  <c:v>31221</c:v>
                </c:pt>
                <c:pt idx="690">
                  <c:v>31252</c:v>
                </c:pt>
                <c:pt idx="691">
                  <c:v>31283</c:v>
                </c:pt>
                <c:pt idx="692">
                  <c:v>31314</c:v>
                </c:pt>
                <c:pt idx="693">
                  <c:v>31345</c:v>
                </c:pt>
                <c:pt idx="694">
                  <c:v>31376</c:v>
                </c:pt>
                <c:pt idx="695">
                  <c:v>31407</c:v>
                </c:pt>
                <c:pt idx="696">
                  <c:v>31438</c:v>
                </c:pt>
                <c:pt idx="697">
                  <c:v>31469</c:v>
                </c:pt>
                <c:pt idx="698">
                  <c:v>31500</c:v>
                </c:pt>
                <c:pt idx="699">
                  <c:v>31531</c:v>
                </c:pt>
                <c:pt idx="700">
                  <c:v>31562</c:v>
                </c:pt>
                <c:pt idx="701">
                  <c:v>31593</c:v>
                </c:pt>
                <c:pt idx="702">
                  <c:v>31624</c:v>
                </c:pt>
                <c:pt idx="703">
                  <c:v>31655</c:v>
                </c:pt>
                <c:pt idx="704">
                  <c:v>31686</c:v>
                </c:pt>
                <c:pt idx="705">
                  <c:v>31717</c:v>
                </c:pt>
                <c:pt idx="706">
                  <c:v>31748</c:v>
                </c:pt>
                <c:pt idx="707">
                  <c:v>31779</c:v>
                </c:pt>
                <c:pt idx="708">
                  <c:v>31810</c:v>
                </c:pt>
                <c:pt idx="709">
                  <c:v>31841</c:v>
                </c:pt>
                <c:pt idx="710">
                  <c:v>31872</c:v>
                </c:pt>
                <c:pt idx="711">
                  <c:v>31903</c:v>
                </c:pt>
                <c:pt idx="712">
                  <c:v>31934</c:v>
                </c:pt>
                <c:pt idx="713">
                  <c:v>31965</c:v>
                </c:pt>
                <c:pt idx="714">
                  <c:v>31996</c:v>
                </c:pt>
                <c:pt idx="715">
                  <c:v>32027</c:v>
                </c:pt>
                <c:pt idx="716">
                  <c:v>32058</c:v>
                </c:pt>
                <c:pt idx="717">
                  <c:v>32089</c:v>
                </c:pt>
                <c:pt idx="718">
                  <c:v>32120</c:v>
                </c:pt>
                <c:pt idx="719">
                  <c:v>32151</c:v>
                </c:pt>
                <c:pt idx="720">
                  <c:v>32182</c:v>
                </c:pt>
                <c:pt idx="721">
                  <c:v>32213</c:v>
                </c:pt>
                <c:pt idx="722">
                  <c:v>32244</c:v>
                </c:pt>
                <c:pt idx="723">
                  <c:v>32275</c:v>
                </c:pt>
                <c:pt idx="724">
                  <c:v>32306</c:v>
                </c:pt>
                <c:pt idx="725">
                  <c:v>32337</c:v>
                </c:pt>
                <c:pt idx="726">
                  <c:v>32368</c:v>
                </c:pt>
                <c:pt idx="727">
                  <c:v>32399</c:v>
                </c:pt>
                <c:pt idx="728">
                  <c:v>32430</c:v>
                </c:pt>
                <c:pt idx="729">
                  <c:v>32461</c:v>
                </c:pt>
                <c:pt idx="730">
                  <c:v>32492</c:v>
                </c:pt>
                <c:pt idx="731">
                  <c:v>32523</c:v>
                </c:pt>
                <c:pt idx="732">
                  <c:v>32554</c:v>
                </c:pt>
                <c:pt idx="733">
                  <c:v>32585</c:v>
                </c:pt>
                <c:pt idx="734">
                  <c:v>32616</c:v>
                </c:pt>
                <c:pt idx="735">
                  <c:v>32647</c:v>
                </c:pt>
                <c:pt idx="736">
                  <c:v>32678</c:v>
                </c:pt>
                <c:pt idx="737">
                  <c:v>32709</c:v>
                </c:pt>
                <c:pt idx="738">
                  <c:v>32740</c:v>
                </c:pt>
                <c:pt idx="739">
                  <c:v>32771</c:v>
                </c:pt>
                <c:pt idx="740">
                  <c:v>32802</c:v>
                </c:pt>
                <c:pt idx="741">
                  <c:v>32833</c:v>
                </c:pt>
                <c:pt idx="742">
                  <c:v>32864</c:v>
                </c:pt>
                <c:pt idx="743">
                  <c:v>32895</c:v>
                </c:pt>
                <c:pt idx="744">
                  <c:v>32926</c:v>
                </c:pt>
                <c:pt idx="745">
                  <c:v>32957</c:v>
                </c:pt>
                <c:pt idx="746">
                  <c:v>32988</c:v>
                </c:pt>
                <c:pt idx="747">
                  <c:v>33019</c:v>
                </c:pt>
                <c:pt idx="748">
                  <c:v>33050</c:v>
                </c:pt>
                <c:pt idx="749">
                  <c:v>33081</c:v>
                </c:pt>
                <c:pt idx="750">
                  <c:v>33112</c:v>
                </c:pt>
                <c:pt idx="751">
                  <c:v>33143</c:v>
                </c:pt>
                <c:pt idx="752">
                  <c:v>33174</c:v>
                </c:pt>
                <c:pt idx="753">
                  <c:v>33205</c:v>
                </c:pt>
                <c:pt idx="754">
                  <c:v>33236</c:v>
                </c:pt>
                <c:pt idx="755">
                  <c:v>33267</c:v>
                </c:pt>
                <c:pt idx="756">
                  <c:v>33298</c:v>
                </c:pt>
                <c:pt idx="757">
                  <c:v>33329</c:v>
                </c:pt>
                <c:pt idx="758">
                  <c:v>33360</c:v>
                </c:pt>
                <c:pt idx="759">
                  <c:v>33391</c:v>
                </c:pt>
                <c:pt idx="760">
                  <c:v>33422</c:v>
                </c:pt>
                <c:pt idx="761">
                  <c:v>33453</c:v>
                </c:pt>
                <c:pt idx="762">
                  <c:v>33484</c:v>
                </c:pt>
                <c:pt idx="763">
                  <c:v>33515</c:v>
                </c:pt>
                <c:pt idx="764">
                  <c:v>33546</c:v>
                </c:pt>
                <c:pt idx="765">
                  <c:v>33577</c:v>
                </c:pt>
                <c:pt idx="766">
                  <c:v>33608</c:v>
                </c:pt>
                <c:pt idx="767">
                  <c:v>33639</c:v>
                </c:pt>
                <c:pt idx="768">
                  <c:v>33670</c:v>
                </c:pt>
                <c:pt idx="769">
                  <c:v>33701</c:v>
                </c:pt>
                <c:pt idx="770">
                  <c:v>33732</c:v>
                </c:pt>
                <c:pt idx="771">
                  <c:v>33763</c:v>
                </c:pt>
                <c:pt idx="772">
                  <c:v>33794</c:v>
                </c:pt>
                <c:pt idx="773">
                  <c:v>33825</c:v>
                </c:pt>
                <c:pt idx="774">
                  <c:v>33856</c:v>
                </c:pt>
                <c:pt idx="775">
                  <c:v>33887</c:v>
                </c:pt>
                <c:pt idx="776">
                  <c:v>33918</c:v>
                </c:pt>
                <c:pt idx="777">
                  <c:v>33949</c:v>
                </c:pt>
                <c:pt idx="778">
                  <c:v>33980</c:v>
                </c:pt>
                <c:pt idx="779">
                  <c:v>34011</c:v>
                </c:pt>
                <c:pt idx="780">
                  <c:v>34042</c:v>
                </c:pt>
                <c:pt idx="781">
                  <c:v>34073</c:v>
                </c:pt>
                <c:pt idx="782">
                  <c:v>34104</c:v>
                </c:pt>
                <c:pt idx="783">
                  <c:v>34135</c:v>
                </c:pt>
                <c:pt idx="784">
                  <c:v>34166</c:v>
                </c:pt>
                <c:pt idx="785">
                  <c:v>34197</c:v>
                </c:pt>
                <c:pt idx="786">
                  <c:v>34228</c:v>
                </c:pt>
                <c:pt idx="787">
                  <c:v>34259</c:v>
                </c:pt>
                <c:pt idx="788">
                  <c:v>34290</c:v>
                </c:pt>
                <c:pt idx="789">
                  <c:v>34321</c:v>
                </c:pt>
                <c:pt idx="790">
                  <c:v>34352</c:v>
                </c:pt>
                <c:pt idx="791">
                  <c:v>34383</c:v>
                </c:pt>
                <c:pt idx="792">
                  <c:v>34414</c:v>
                </c:pt>
                <c:pt idx="793">
                  <c:v>34445</c:v>
                </c:pt>
                <c:pt idx="794">
                  <c:v>34476</c:v>
                </c:pt>
                <c:pt idx="795">
                  <c:v>34507</c:v>
                </c:pt>
                <c:pt idx="796">
                  <c:v>34538</c:v>
                </c:pt>
                <c:pt idx="797">
                  <c:v>34569</c:v>
                </c:pt>
                <c:pt idx="798">
                  <c:v>34600</c:v>
                </c:pt>
                <c:pt idx="799">
                  <c:v>34631</c:v>
                </c:pt>
                <c:pt idx="800">
                  <c:v>34662</c:v>
                </c:pt>
                <c:pt idx="801">
                  <c:v>34693</c:v>
                </c:pt>
                <c:pt idx="802">
                  <c:v>34724</c:v>
                </c:pt>
                <c:pt idx="803">
                  <c:v>34755</c:v>
                </c:pt>
                <c:pt idx="804">
                  <c:v>34786</c:v>
                </c:pt>
                <c:pt idx="805">
                  <c:v>34817</c:v>
                </c:pt>
                <c:pt idx="806">
                  <c:v>34848</c:v>
                </c:pt>
                <c:pt idx="807">
                  <c:v>34879</c:v>
                </c:pt>
                <c:pt idx="808">
                  <c:v>34910</c:v>
                </c:pt>
                <c:pt idx="809">
                  <c:v>34941</c:v>
                </c:pt>
                <c:pt idx="810">
                  <c:v>34972</c:v>
                </c:pt>
                <c:pt idx="811">
                  <c:v>35003</c:v>
                </c:pt>
                <c:pt idx="812">
                  <c:v>35034</c:v>
                </c:pt>
                <c:pt idx="813">
                  <c:v>35065</c:v>
                </c:pt>
                <c:pt idx="814">
                  <c:v>35096</c:v>
                </c:pt>
                <c:pt idx="815">
                  <c:v>35127</c:v>
                </c:pt>
                <c:pt idx="816">
                  <c:v>35158</c:v>
                </c:pt>
                <c:pt idx="817">
                  <c:v>35189</c:v>
                </c:pt>
                <c:pt idx="818">
                  <c:v>35220</c:v>
                </c:pt>
                <c:pt idx="819">
                  <c:v>35251</c:v>
                </c:pt>
                <c:pt idx="820">
                  <c:v>35282</c:v>
                </c:pt>
                <c:pt idx="821">
                  <c:v>35313</c:v>
                </c:pt>
                <c:pt idx="822">
                  <c:v>35344</c:v>
                </c:pt>
                <c:pt idx="823">
                  <c:v>35375</c:v>
                </c:pt>
                <c:pt idx="824">
                  <c:v>35406</c:v>
                </c:pt>
                <c:pt idx="825">
                  <c:v>35437</c:v>
                </c:pt>
                <c:pt idx="826">
                  <c:v>35468</c:v>
                </c:pt>
                <c:pt idx="827">
                  <c:v>35499</c:v>
                </c:pt>
                <c:pt idx="828">
                  <c:v>35530</c:v>
                </c:pt>
                <c:pt idx="829">
                  <c:v>35561</c:v>
                </c:pt>
                <c:pt idx="830">
                  <c:v>35592</c:v>
                </c:pt>
                <c:pt idx="831">
                  <c:v>35623</c:v>
                </c:pt>
                <c:pt idx="832">
                  <c:v>35654</c:v>
                </c:pt>
                <c:pt idx="833">
                  <c:v>35685</c:v>
                </c:pt>
                <c:pt idx="834">
                  <c:v>35716</c:v>
                </c:pt>
                <c:pt idx="835">
                  <c:v>35747</c:v>
                </c:pt>
                <c:pt idx="836">
                  <c:v>35778</c:v>
                </c:pt>
                <c:pt idx="837">
                  <c:v>35809</c:v>
                </c:pt>
                <c:pt idx="838">
                  <c:v>35840</c:v>
                </c:pt>
                <c:pt idx="839">
                  <c:v>35871</c:v>
                </c:pt>
                <c:pt idx="840">
                  <c:v>35902</c:v>
                </c:pt>
                <c:pt idx="841">
                  <c:v>35933</c:v>
                </c:pt>
                <c:pt idx="842">
                  <c:v>35964</c:v>
                </c:pt>
                <c:pt idx="843">
                  <c:v>35995</c:v>
                </c:pt>
                <c:pt idx="844">
                  <c:v>36026</c:v>
                </c:pt>
                <c:pt idx="845">
                  <c:v>36057</c:v>
                </c:pt>
                <c:pt idx="846">
                  <c:v>36088</c:v>
                </c:pt>
                <c:pt idx="847">
                  <c:v>36119</c:v>
                </c:pt>
                <c:pt idx="848">
                  <c:v>36150</c:v>
                </c:pt>
                <c:pt idx="849">
                  <c:v>36181</c:v>
                </c:pt>
                <c:pt idx="850">
                  <c:v>36212</c:v>
                </c:pt>
                <c:pt idx="851">
                  <c:v>36243</c:v>
                </c:pt>
                <c:pt idx="852">
                  <c:v>36274</c:v>
                </c:pt>
                <c:pt idx="853">
                  <c:v>36305</c:v>
                </c:pt>
                <c:pt idx="854">
                  <c:v>36336</c:v>
                </c:pt>
                <c:pt idx="855">
                  <c:v>36367</c:v>
                </c:pt>
                <c:pt idx="856">
                  <c:v>36398</c:v>
                </c:pt>
                <c:pt idx="857">
                  <c:v>36429</c:v>
                </c:pt>
                <c:pt idx="858">
                  <c:v>36460</c:v>
                </c:pt>
                <c:pt idx="859">
                  <c:v>36491</c:v>
                </c:pt>
                <c:pt idx="860">
                  <c:v>36522</c:v>
                </c:pt>
                <c:pt idx="861">
                  <c:v>36553</c:v>
                </c:pt>
                <c:pt idx="862">
                  <c:v>36584</c:v>
                </c:pt>
                <c:pt idx="863">
                  <c:v>36615</c:v>
                </c:pt>
                <c:pt idx="864">
                  <c:v>36646</c:v>
                </c:pt>
                <c:pt idx="865">
                  <c:v>36677</c:v>
                </c:pt>
                <c:pt idx="866">
                  <c:v>36708</c:v>
                </c:pt>
                <c:pt idx="867">
                  <c:v>36739</c:v>
                </c:pt>
                <c:pt idx="868">
                  <c:v>36770</c:v>
                </c:pt>
                <c:pt idx="869">
                  <c:v>36801</c:v>
                </c:pt>
                <c:pt idx="870">
                  <c:v>36832</c:v>
                </c:pt>
                <c:pt idx="871">
                  <c:v>36863</c:v>
                </c:pt>
                <c:pt idx="872">
                  <c:v>36894</c:v>
                </c:pt>
                <c:pt idx="873">
                  <c:v>36925</c:v>
                </c:pt>
                <c:pt idx="874">
                  <c:v>36956</c:v>
                </c:pt>
                <c:pt idx="875">
                  <c:v>36987</c:v>
                </c:pt>
                <c:pt idx="876">
                  <c:v>37018</c:v>
                </c:pt>
                <c:pt idx="877">
                  <c:v>37049</c:v>
                </c:pt>
                <c:pt idx="878">
                  <c:v>37080</c:v>
                </c:pt>
                <c:pt idx="879">
                  <c:v>37111</c:v>
                </c:pt>
                <c:pt idx="880">
                  <c:v>37142</c:v>
                </c:pt>
                <c:pt idx="881">
                  <c:v>37173</c:v>
                </c:pt>
                <c:pt idx="882">
                  <c:v>37204</c:v>
                </c:pt>
                <c:pt idx="883">
                  <c:v>37235</c:v>
                </c:pt>
                <c:pt idx="884">
                  <c:v>37266</c:v>
                </c:pt>
                <c:pt idx="885">
                  <c:v>37297</c:v>
                </c:pt>
                <c:pt idx="886">
                  <c:v>37328</c:v>
                </c:pt>
                <c:pt idx="887">
                  <c:v>37359</c:v>
                </c:pt>
                <c:pt idx="888">
                  <c:v>37390</c:v>
                </c:pt>
                <c:pt idx="889">
                  <c:v>37421</c:v>
                </c:pt>
                <c:pt idx="890">
                  <c:v>37452</c:v>
                </c:pt>
                <c:pt idx="891">
                  <c:v>37483</c:v>
                </c:pt>
                <c:pt idx="892">
                  <c:v>37514</c:v>
                </c:pt>
                <c:pt idx="893">
                  <c:v>37545</c:v>
                </c:pt>
                <c:pt idx="894">
                  <c:v>37576</c:v>
                </c:pt>
                <c:pt idx="895">
                  <c:v>37607</c:v>
                </c:pt>
                <c:pt idx="896">
                  <c:v>37638</c:v>
                </c:pt>
                <c:pt idx="897">
                  <c:v>37669</c:v>
                </c:pt>
                <c:pt idx="898">
                  <c:v>37700</c:v>
                </c:pt>
                <c:pt idx="899">
                  <c:v>37731</c:v>
                </c:pt>
                <c:pt idx="900">
                  <c:v>37762</c:v>
                </c:pt>
                <c:pt idx="901">
                  <c:v>37793</c:v>
                </c:pt>
                <c:pt idx="902">
                  <c:v>37824</c:v>
                </c:pt>
                <c:pt idx="903">
                  <c:v>37855</c:v>
                </c:pt>
                <c:pt idx="904">
                  <c:v>37886</c:v>
                </c:pt>
                <c:pt idx="905">
                  <c:v>37917</c:v>
                </c:pt>
                <c:pt idx="906">
                  <c:v>37948</c:v>
                </c:pt>
                <c:pt idx="907">
                  <c:v>37979</c:v>
                </c:pt>
                <c:pt idx="908">
                  <c:v>38010</c:v>
                </c:pt>
                <c:pt idx="909">
                  <c:v>38041</c:v>
                </c:pt>
                <c:pt idx="910">
                  <c:v>38072</c:v>
                </c:pt>
                <c:pt idx="911">
                  <c:v>38103</c:v>
                </c:pt>
                <c:pt idx="912">
                  <c:v>38134</c:v>
                </c:pt>
                <c:pt idx="913">
                  <c:v>38165</c:v>
                </c:pt>
                <c:pt idx="914">
                  <c:v>38196</c:v>
                </c:pt>
                <c:pt idx="915">
                  <c:v>38227</c:v>
                </c:pt>
                <c:pt idx="916">
                  <c:v>38258</c:v>
                </c:pt>
                <c:pt idx="917">
                  <c:v>38289</c:v>
                </c:pt>
                <c:pt idx="918">
                  <c:v>38320</c:v>
                </c:pt>
                <c:pt idx="919">
                  <c:v>38351</c:v>
                </c:pt>
                <c:pt idx="920">
                  <c:v>38382</c:v>
                </c:pt>
                <c:pt idx="921">
                  <c:v>38413</c:v>
                </c:pt>
                <c:pt idx="922">
                  <c:v>38444</c:v>
                </c:pt>
                <c:pt idx="923">
                  <c:v>38475</c:v>
                </c:pt>
                <c:pt idx="924">
                  <c:v>38506</c:v>
                </c:pt>
                <c:pt idx="925">
                  <c:v>38537</c:v>
                </c:pt>
                <c:pt idx="926">
                  <c:v>38568</c:v>
                </c:pt>
                <c:pt idx="927">
                  <c:v>38599</c:v>
                </c:pt>
                <c:pt idx="928">
                  <c:v>38630</c:v>
                </c:pt>
                <c:pt idx="929">
                  <c:v>38661</c:v>
                </c:pt>
                <c:pt idx="930">
                  <c:v>38692</c:v>
                </c:pt>
                <c:pt idx="931">
                  <c:v>38723</c:v>
                </c:pt>
                <c:pt idx="932">
                  <c:v>38754</c:v>
                </c:pt>
                <c:pt idx="933">
                  <c:v>38785</c:v>
                </c:pt>
                <c:pt idx="934">
                  <c:v>38816</c:v>
                </c:pt>
                <c:pt idx="935">
                  <c:v>38847</c:v>
                </c:pt>
                <c:pt idx="936">
                  <c:v>38878</c:v>
                </c:pt>
                <c:pt idx="937">
                  <c:v>38909</c:v>
                </c:pt>
                <c:pt idx="938">
                  <c:v>38940</c:v>
                </c:pt>
                <c:pt idx="939">
                  <c:v>38971</c:v>
                </c:pt>
                <c:pt idx="940">
                  <c:v>39002</c:v>
                </c:pt>
                <c:pt idx="941">
                  <c:v>39033</c:v>
                </c:pt>
                <c:pt idx="942">
                  <c:v>39064</c:v>
                </c:pt>
                <c:pt idx="943">
                  <c:v>39095</c:v>
                </c:pt>
                <c:pt idx="944">
                  <c:v>39126</c:v>
                </c:pt>
                <c:pt idx="945">
                  <c:v>39157</c:v>
                </c:pt>
                <c:pt idx="946">
                  <c:v>39188</c:v>
                </c:pt>
                <c:pt idx="947">
                  <c:v>39219</c:v>
                </c:pt>
                <c:pt idx="948">
                  <c:v>39250</c:v>
                </c:pt>
                <c:pt idx="949">
                  <c:v>39281</c:v>
                </c:pt>
                <c:pt idx="950">
                  <c:v>39312</c:v>
                </c:pt>
                <c:pt idx="951">
                  <c:v>39343</c:v>
                </c:pt>
                <c:pt idx="952">
                  <c:v>39374</c:v>
                </c:pt>
                <c:pt idx="953">
                  <c:v>39405</c:v>
                </c:pt>
                <c:pt idx="954">
                  <c:v>39436</c:v>
                </c:pt>
                <c:pt idx="955">
                  <c:v>39467</c:v>
                </c:pt>
                <c:pt idx="956">
                  <c:v>39498</c:v>
                </c:pt>
                <c:pt idx="957">
                  <c:v>39529</c:v>
                </c:pt>
                <c:pt idx="958">
                  <c:v>39560</c:v>
                </c:pt>
                <c:pt idx="959">
                  <c:v>39591</c:v>
                </c:pt>
                <c:pt idx="960">
                  <c:v>39622</c:v>
                </c:pt>
                <c:pt idx="961">
                  <c:v>39653</c:v>
                </c:pt>
                <c:pt idx="962">
                  <c:v>39684</c:v>
                </c:pt>
                <c:pt idx="963">
                  <c:v>39715</c:v>
                </c:pt>
                <c:pt idx="964">
                  <c:v>39746</c:v>
                </c:pt>
                <c:pt idx="965">
                  <c:v>39777</c:v>
                </c:pt>
                <c:pt idx="966">
                  <c:v>39808</c:v>
                </c:pt>
                <c:pt idx="967">
                  <c:v>39839</c:v>
                </c:pt>
                <c:pt idx="968">
                  <c:v>39870</c:v>
                </c:pt>
                <c:pt idx="969">
                  <c:v>39901</c:v>
                </c:pt>
                <c:pt idx="970">
                  <c:v>39932</c:v>
                </c:pt>
                <c:pt idx="971">
                  <c:v>39963</c:v>
                </c:pt>
                <c:pt idx="972">
                  <c:v>39994</c:v>
                </c:pt>
                <c:pt idx="973">
                  <c:v>40025</c:v>
                </c:pt>
                <c:pt idx="974">
                  <c:v>40056</c:v>
                </c:pt>
                <c:pt idx="975">
                  <c:v>40087</c:v>
                </c:pt>
                <c:pt idx="976">
                  <c:v>40118</c:v>
                </c:pt>
                <c:pt idx="977">
                  <c:v>40149</c:v>
                </c:pt>
                <c:pt idx="978">
                  <c:v>40180</c:v>
                </c:pt>
                <c:pt idx="979">
                  <c:v>40211</c:v>
                </c:pt>
                <c:pt idx="980">
                  <c:v>40242</c:v>
                </c:pt>
                <c:pt idx="981">
                  <c:v>40273</c:v>
                </c:pt>
                <c:pt idx="982">
                  <c:v>40304</c:v>
                </c:pt>
                <c:pt idx="983">
                  <c:v>40335</c:v>
                </c:pt>
                <c:pt idx="984">
                  <c:v>40366</c:v>
                </c:pt>
                <c:pt idx="985">
                  <c:v>40397</c:v>
                </c:pt>
                <c:pt idx="986">
                  <c:v>40428</c:v>
                </c:pt>
                <c:pt idx="987">
                  <c:v>40459</c:v>
                </c:pt>
                <c:pt idx="988">
                  <c:v>40490</c:v>
                </c:pt>
                <c:pt idx="989">
                  <c:v>40521</c:v>
                </c:pt>
                <c:pt idx="990">
                  <c:v>40552</c:v>
                </c:pt>
                <c:pt idx="991">
                  <c:v>40583</c:v>
                </c:pt>
                <c:pt idx="992">
                  <c:v>40614</c:v>
                </c:pt>
                <c:pt idx="993">
                  <c:v>40645</c:v>
                </c:pt>
                <c:pt idx="994">
                  <c:v>40676</c:v>
                </c:pt>
                <c:pt idx="995">
                  <c:v>40707</c:v>
                </c:pt>
                <c:pt idx="996">
                  <c:v>40738</c:v>
                </c:pt>
                <c:pt idx="997">
                  <c:v>40769</c:v>
                </c:pt>
                <c:pt idx="998">
                  <c:v>40800</c:v>
                </c:pt>
                <c:pt idx="999">
                  <c:v>40831</c:v>
                </c:pt>
                <c:pt idx="1000">
                  <c:v>40862</c:v>
                </c:pt>
                <c:pt idx="1001">
                  <c:v>40893</c:v>
                </c:pt>
                <c:pt idx="1002">
                  <c:v>40924</c:v>
                </c:pt>
                <c:pt idx="1003">
                  <c:v>40955</c:v>
                </c:pt>
                <c:pt idx="1004">
                  <c:v>40986</c:v>
                </c:pt>
                <c:pt idx="1005">
                  <c:v>41017</c:v>
                </c:pt>
                <c:pt idx="1006">
                  <c:v>41048</c:v>
                </c:pt>
                <c:pt idx="1007">
                  <c:v>41079</c:v>
                </c:pt>
                <c:pt idx="1008">
                  <c:v>41110</c:v>
                </c:pt>
                <c:pt idx="1009">
                  <c:v>41141</c:v>
                </c:pt>
                <c:pt idx="1010">
                  <c:v>41172</c:v>
                </c:pt>
                <c:pt idx="1011">
                  <c:v>41203</c:v>
                </c:pt>
                <c:pt idx="1012">
                  <c:v>41234</c:v>
                </c:pt>
                <c:pt idx="1013">
                  <c:v>41265</c:v>
                </c:pt>
                <c:pt idx="1014">
                  <c:v>41296</c:v>
                </c:pt>
                <c:pt idx="1015">
                  <c:v>41327</c:v>
                </c:pt>
                <c:pt idx="1016">
                  <c:v>41358</c:v>
                </c:pt>
                <c:pt idx="1017">
                  <c:v>41389</c:v>
                </c:pt>
                <c:pt idx="1018">
                  <c:v>41420</c:v>
                </c:pt>
                <c:pt idx="1019">
                  <c:v>41451</c:v>
                </c:pt>
                <c:pt idx="1020">
                  <c:v>41482</c:v>
                </c:pt>
                <c:pt idx="1021">
                  <c:v>41513</c:v>
                </c:pt>
                <c:pt idx="1022">
                  <c:v>41544</c:v>
                </c:pt>
                <c:pt idx="1023">
                  <c:v>41575</c:v>
                </c:pt>
                <c:pt idx="1024">
                  <c:v>41606</c:v>
                </c:pt>
                <c:pt idx="1025">
                  <c:v>41637</c:v>
                </c:pt>
                <c:pt idx="1026">
                  <c:v>41668</c:v>
                </c:pt>
                <c:pt idx="1027">
                  <c:v>41699</c:v>
                </c:pt>
                <c:pt idx="1028">
                  <c:v>41730</c:v>
                </c:pt>
                <c:pt idx="1029">
                  <c:v>41761</c:v>
                </c:pt>
                <c:pt idx="1030">
                  <c:v>41792</c:v>
                </c:pt>
                <c:pt idx="1031">
                  <c:v>41823</c:v>
                </c:pt>
                <c:pt idx="1032">
                  <c:v>41854</c:v>
                </c:pt>
                <c:pt idx="1033">
                  <c:v>41885</c:v>
                </c:pt>
                <c:pt idx="1034">
                  <c:v>41916</c:v>
                </c:pt>
                <c:pt idx="1035">
                  <c:v>41947</c:v>
                </c:pt>
                <c:pt idx="1036">
                  <c:v>41978</c:v>
                </c:pt>
                <c:pt idx="1037">
                  <c:v>42009</c:v>
                </c:pt>
                <c:pt idx="1038">
                  <c:v>42040</c:v>
                </c:pt>
                <c:pt idx="1039">
                  <c:v>42071</c:v>
                </c:pt>
                <c:pt idx="1040">
                  <c:v>42102</c:v>
                </c:pt>
                <c:pt idx="1041">
                  <c:v>42133</c:v>
                </c:pt>
                <c:pt idx="1042">
                  <c:v>42164</c:v>
                </c:pt>
                <c:pt idx="1043">
                  <c:v>42195</c:v>
                </c:pt>
                <c:pt idx="1044">
                  <c:v>42226</c:v>
                </c:pt>
                <c:pt idx="1045">
                  <c:v>42257</c:v>
                </c:pt>
                <c:pt idx="1046">
                  <c:v>42288</c:v>
                </c:pt>
                <c:pt idx="1047">
                  <c:v>42319</c:v>
                </c:pt>
                <c:pt idx="1048">
                  <c:v>42350</c:v>
                </c:pt>
                <c:pt idx="1049">
                  <c:v>42381</c:v>
                </c:pt>
                <c:pt idx="1050">
                  <c:v>42412</c:v>
                </c:pt>
                <c:pt idx="1051">
                  <c:v>42443</c:v>
                </c:pt>
                <c:pt idx="1052">
                  <c:v>42474</c:v>
                </c:pt>
                <c:pt idx="1053">
                  <c:v>42505</c:v>
                </c:pt>
                <c:pt idx="1054">
                  <c:v>42536</c:v>
                </c:pt>
                <c:pt idx="1055">
                  <c:v>42567</c:v>
                </c:pt>
                <c:pt idx="1056">
                  <c:v>42598</c:v>
                </c:pt>
                <c:pt idx="1057">
                  <c:v>42629</c:v>
                </c:pt>
                <c:pt idx="1058">
                  <c:v>42660</c:v>
                </c:pt>
                <c:pt idx="1059">
                  <c:v>42691</c:v>
                </c:pt>
                <c:pt idx="1060">
                  <c:v>42722</c:v>
                </c:pt>
                <c:pt idx="1061">
                  <c:v>42753</c:v>
                </c:pt>
                <c:pt idx="1062">
                  <c:v>42784</c:v>
                </c:pt>
                <c:pt idx="1063">
                  <c:v>42815</c:v>
                </c:pt>
                <c:pt idx="1064">
                  <c:v>42846</c:v>
                </c:pt>
                <c:pt idx="1065">
                  <c:v>42877</c:v>
                </c:pt>
                <c:pt idx="1066">
                  <c:v>42908</c:v>
                </c:pt>
                <c:pt idx="1067">
                  <c:v>42939</c:v>
                </c:pt>
                <c:pt idx="1068">
                  <c:v>42970</c:v>
                </c:pt>
                <c:pt idx="1069">
                  <c:v>43001</c:v>
                </c:pt>
                <c:pt idx="1070">
                  <c:v>43032</c:v>
                </c:pt>
                <c:pt idx="1071">
                  <c:v>43063</c:v>
                </c:pt>
                <c:pt idx="1072">
                  <c:v>43094</c:v>
                </c:pt>
                <c:pt idx="1073">
                  <c:v>43125</c:v>
                </c:pt>
                <c:pt idx="1074">
                  <c:v>43156</c:v>
                </c:pt>
                <c:pt idx="1075">
                  <c:v>43187</c:v>
                </c:pt>
                <c:pt idx="1076">
                  <c:v>43218</c:v>
                </c:pt>
                <c:pt idx="1077">
                  <c:v>43249</c:v>
                </c:pt>
                <c:pt idx="1078">
                  <c:v>43280</c:v>
                </c:pt>
                <c:pt idx="1079">
                  <c:v>43311</c:v>
                </c:pt>
                <c:pt idx="1080">
                  <c:v>43342</c:v>
                </c:pt>
                <c:pt idx="1081">
                  <c:v>43373</c:v>
                </c:pt>
                <c:pt idx="1082">
                  <c:v>43404</c:v>
                </c:pt>
                <c:pt idx="1083">
                  <c:v>43435</c:v>
                </c:pt>
                <c:pt idx="1084">
                  <c:v>43466</c:v>
                </c:pt>
                <c:pt idx="1085">
                  <c:v>43497</c:v>
                </c:pt>
                <c:pt idx="1086">
                  <c:v>43528</c:v>
                </c:pt>
                <c:pt idx="1087">
                  <c:v>43559</c:v>
                </c:pt>
                <c:pt idx="1088">
                  <c:v>43590</c:v>
                </c:pt>
                <c:pt idx="1089">
                  <c:v>43621</c:v>
                </c:pt>
                <c:pt idx="1090">
                  <c:v>43652</c:v>
                </c:pt>
                <c:pt idx="1091">
                  <c:v>43683</c:v>
                </c:pt>
                <c:pt idx="1092">
                  <c:v>43714</c:v>
                </c:pt>
                <c:pt idx="1093">
                  <c:v>43745</c:v>
                </c:pt>
                <c:pt idx="1094">
                  <c:v>43776</c:v>
                </c:pt>
                <c:pt idx="1095">
                  <c:v>43807</c:v>
                </c:pt>
                <c:pt idx="1096">
                  <c:v>43838</c:v>
                </c:pt>
                <c:pt idx="1097">
                  <c:v>43869</c:v>
                </c:pt>
                <c:pt idx="1098">
                  <c:v>43900</c:v>
                </c:pt>
                <c:pt idx="1099">
                  <c:v>43931</c:v>
                </c:pt>
                <c:pt idx="1100">
                  <c:v>43962</c:v>
                </c:pt>
                <c:pt idx="1101">
                  <c:v>43993</c:v>
                </c:pt>
                <c:pt idx="1102">
                  <c:v>44024</c:v>
                </c:pt>
                <c:pt idx="1103">
                  <c:v>44055</c:v>
                </c:pt>
                <c:pt idx="1104">
                  <c:v>44086</c:v>
                </c:pt>
                <c:pt idx="1105">
                  <c:v>44117</c:v>
                </c:pt>
                <c:pt idx="1106">
                  <c:v>44148</c:v>
                </c:pt>
                <c:pt idx="1107">
                  <c:v>44179</c:v>
                </c:pt>
                <c:pt idx="1108">
                  <c:v>44210</c:v>
                </c:pt>
                <c:pt idx="1109">
                  <c:v>44241</c:v>
                </c:pt>
                <c:pt idx="1110">
                  <c:v>44272</c:v>
                </c:pt>
                <c:pt idx="1111">
                  <c:v>44303</c:v>
                </c:pt>
                <c:pt idx="1112">
                  <c:v>44334</c:v>
                </c:pt>
                <c:pt idx="1113">
                  <c:v>44365</c:v>
                </c:pt>
                <c:pt idx="1114">
                  <c:v>44396</c:v>
                </c:pt>
                <c:pt idx="1115">
                  <c:v>44427</c:v>
                </c:pt>
                <c:pt idx="1116">
                  <c:v>44458</c:v>
                </c:pt>
                <c:pt idx="1117">
                  <c:v>44489</c:v>
                </c:pt>
                <c:pt idx="1118">
                  <c:v>44520</c:v>
                </c:pt>
                <c:pt idx="1119">
                  <c:v>44551</c:v>
                </c:pt>
                <c:pt idx="1120">
                  <c:v>44582</c:v>
                </c:pt>
                <c:pt idx="1121">
                  <c:v>44613</c:v>
                </c:pt>
                <c:pt idx="1122">
                  <c:v>44644</c:v>
                </c:pt>
                <c:pt idx="1123">
                  <c:v>44675</c:v>
                </c:pt>
                <c:pt idx="1124">
                  <c:v>44706</c:v>
                </c:pt>
                <c:pt idx="1125">
                  <c:v>44737</c:v>
                </c:pt>
                <c:pt idx="1126">
                  <c:v>44768</c:v>
                </c:pt>
                <c:pt idx="1127">
                  <c:v>44799</c:v>
                </c:pt>
                <c:pt idx="1128">
                  <c:v>44830</c:v>
                </c:pt>
              </c:numCache>
            </c:numRef>
          </c:xVal>
          <c:yVal>
            <c:numRef>
              <c:f>'HistoricalWorldStocks_SMA-CHF'!$AO$38:$AO$1166</c:f>
              <c:numCache>
                <c:formatCode>_(* #,##0.0000_);_(* \(#,##0.0000\);_(* "-"??_);_(@_)</c:formatCode>
                <c:ptCount val="1129"/>
                <c:pt idx="0">
                  <c:v>1</c:v>
                </c:pt>
                <c:pt idx="1">
                  <c:v>1.0404990651081771</c:v>
                </c:pt>
                <c:pt idx="2">
                  <c:v>1.0733660437813173</c:v>
                </c:pt>
                <c:pt idx="3">
                  <c:v>1.0833235813143014</c:v>
                </c:pt>
                <c:pt idx="4">
                  <c:v>1.1284218713672816</c:v>
                </c:pt>
                <c:pt idx="5">
                  <c:v>1.1287641760613618</c:v>
                </c:pt>
                <c:pt idx="6">
                  <c:v>1.1182538149537877</c:v>
                </c:pt>
                <c:pt idx="7">
                  <c:v>1.1270736687646672</c:v>
                </c:pt>
                <c:pt idx="8">
                  <c:v>1.1502338415197761</c:v>
                </c:pt>
                <c:pt idx="9">
                  <c:v>1.1818842487817984</c:v>
                </c:pt>
                <c:pt idx="10">
                  <c:v>1.1833969428807218</c:v>
                </c:pt>
                <c:pt idx="11">
                  <c:v>1.165576012608071</c:v>
                </c:pt>
                <c:pt idx="12">
                  <c:v>1.2111093835182873</c:v>
                </c:pt>
                <c:pt idx="13">
                  <c:v>1.2511628341866239</c:v>
                </c:pt>
                <c:pt idx="14">
                  <c:v>1.2293130918750088</c:v>
                </c:pt>
                <c:pt idx="15">
                  <c:v>1.3222629209392225</c:v>
                </c:pt>
                <c:pt idx="16">
                  <c:v>1.3796641535174587</c:v>
                </c:pt>
                <c:pt idx="17">
                  <c:v>1.4146125585347022</c:v>
                </c:pt>
                <c:pt idx="18">
                  <c:v>1.3699009459433629</c:v>
                </c:pt>
                <c:pt idx="19">
                  <c:v>1.3607907199065556</c:v>
                </c:pt>
                <c:pt idx="20">
                  <c:v>1.441391849147688</c:v>
                </c:pt>
                <c:pt idx="21">
                  <c:v>1.4867768782084962</c:v>
                </c:pt>
                <c:pt idx="22">
                  <c:v>1.4827998788644914</c:v>
                </c:pt>
                <c:pt idx="23">
                  <c:v>1.5865543382311782</c:v>
                </c:pt>
                <c:pt idx="24">
                  <c:v>1.5913301580075905</c:v>
                </c:pt>
                <c:pt idx="25">
                  <c:v>1.6881627633957401</c:v>
                </c:pt>
                <c:pt idx="26">
                  <c:v>1.6842069684281062</c:v>
                </c:pt>
                <c:pt idx="27">
                  <c:v>1.6739476440437084</c:v>
                </c:pt>
                <c:pt idx="28">
                  <c:v>1.6803783260578351</c:v>
                </c:pt>
                <c:pt idx="29">
                  <c:v>1.6324169383593312</c:v>
                </c:pt>
                <c:pt idx="30">
                  <c:v>1.7346052769518649</c:v>
                </c:pt>
                <c:pt idx="31">
                  <c:v>1.8151673785225917</c:v>
                </c:pt>
                <c:pt idx="32">
                  <c:v>1.9186133407127892</c:v>
                </c:pt>
                <c:pt idx="33">
                  <c:v>1.8601375625307572</c:v>
                </c:pt>
                <c:pt idx="34">
                  <c:v>1.6055991711022419</c:v>
                </c:pt>
                <c:pt idx="35">
                  <c:v>1.6098781667252786</c:v>
                </c:pt>
                <c:pt idx="36">
                  <c:v>1.6141941107197422</c:v>
                </c:pt>
                <c:pt idx="37">
                  <c:v>1.62257216494418</c:v>
                </c:pt>
                <c:pt idx="38">
                  <c:v>1.6300129450781684</c:v>
                </c:pt>
                <c:pt idx="39">
                  <c:v>1.6334262663372436</c:v>
                </c:pt>
                <c:pt idx="40">
                  <c:v>1.6482601693844108</c:v>
                </c:pt>
                <c:pt idx="41">
                  <c:v>1.6486184597663303</c:v>
                </c:pt>
                <c:pt idx="42">
                  <c:v>1.6427321879151355</c:v>
                </c:pt>
                <c:pt idx="43">
                  <c:v>1.6389387841454326</c:v>
                </c:pt>
                <c:pt idx="44">
                  <c:v>1.6361906634238199</c:v>
                </c:pt>
                <c:pt idx="45">
                  <c:v>1.6365404505574292</c:v>
                </c:pt>
                <c:pt idx="46">
                  <c:v>1.6462415557673895</c:v>
                </c:pt>
                <c:pt idx="47">
                  <c:v>1.6497333574732493</c:v>
                </c:pt>
                <c:pt idx="48">
                  <c:v>1.6606590252093907</c:v>
                </c:pt>
                <c:pt idx="49">
                  <c:v>1.6663739726944538</c:v>
                </c:pt>
                <c:pt idx="50">
                  <c:v>1.6753791878718347</c:v>
                </c:pt>
                <c:pt idx="51">
                  <c:v>1.6921879096052279</c:v>
                </c:pt>
                <c:pt idx="52">
                  <c:v>1.7195767916963993</c:v>
                </c:pt>
                <c:pt idx="53">
                  <c:v>1.722294385587497</c:v>
                </c:pt>
                <c:pt idx="54">
                  <c:v>1.7227240304435234</c:v>
                </c:pt>
                <c:pt idx="55">
                  <c:v>1.7254557834377657</c:v>
                </c:pt>
                <c:pt idx="56">
                  <c:v>1.732824548548219</c:v>
                </c:pt>
                <c:pt idx="57">
                  <c:v>1.7321025383196571</c:v>
                </c:pt>
                <c:pt idx="58">
                  <c:v>1.7501547678906473</c:v>
                </c:pt>
                <c:pt idx="59">
                  <c:v>1.7601682868419557</c:v>
                </c:pt>
                <c:pt idx="60">
                  <c:v>1.782530654254316</c:v>
                </c:pt>
                <c:pt idx="61">
                  <c:v>1.795427326373614</c:v>
                </c:pt>
                <c:pt idx="62">
                  <c:v>1.8123395526746402</c:v>
                </c:pt>
                <c:pt idx="63">
                  <c:v>1.8192623775111501</c:v>
                </c:pt>
                <c:pt idx="64">
                  <c:v>1.8445498442493127</c:v>
                </c:pt>
                <c:pt idx="65">
                  <c:v>1.857073402129249</c:v>
                </c:pt>
                <c:pt idx="66">
                  <c:v>1.8616872908498334</c:v>
                </c:pt>
                <c:pt idx="67">
                  <c:v>1.8703734865954014</c:v>
                </c:pt>
                <c:pt idx="68">
                  <c:v>1.8777898540784395</c:v>
                </c:pt>
                <c:pt idx="69">
                  <c:v>1.9098030774288119</c:v>
                </c:pt>
                <c:pt idx="70">
                  <c:v>1.7450107361771949</c:v>
                </c:pt>
                <c:pt idx="71">
                  <c:v>1.7100451771875056</c:v>
                </c:pt>
                <c:pt idx="72">
                  <c:v>1.7233358997134502</c:v>
                </c:pt>
                <c:pt idx="73">
                  <c:v>1.7366632528341435</c:v>
                </c:pt>
                <c:pt idx="74">
                  <c:v>1.5680099106347565</c:v>
                </c:pt>
                <c:pt idx="75">
                  <c:v>1.5756576666698767</c:v>
                </c:pt>
                <c:pt idx="76">
                  <c:v>1.5858154051606983</c:v>
                </c:pt>
                <c:pt idx="77">
                  <c:v>1.6514298120291513</c:v>
                </c:pt>
                <c:pt idx="78">
                  <c:v>1.7598648321771246</c:v>
                </c:pt>
                <c:pt idx="79">
                  <c:v>1.6506447641115423</c:v>
                </c:pt>
                <c:pt idx="80">
                  <c:v>1.7572525329556128</c:v>
                </c:pt>
                <c:pt idx="81">
                  <c:v>1.5898245977995766</c:v>
                </c:pt>
                <c:pt idx="82">
                  <c:v>1.5178883352304011</c:v>
                </c:pt>
                <c:pt idx="83">
                  <c:v>1.5149443467454995</c:v>
                </c:pt>
                <c:pt idx="84">
                  <c:v>1.5154675247955298</c:v>
                </c:pt>
                <c:pt idx="85">
                  <c:v>1.5796913883594395</c:v>
                </c:pt>
                <c:pt idx="86">
                  <c:v>1.5182262333397185</c:v>
                </c:pt>
                <c:pt idx="87">
                  <c:v>1.5257547365226038</c:v>
                </c:pt>
                <c:pt idx="88">
                  <c:v>1.5274813560177851</c:v>
                </c:pt>
                <c:pt idx="89">
                  <c:v>1.5351129791696654</c:v>
                </c:pt>
                <c:pt idx="90">
                  <c:v>1.5309152520769636</c:v>
                </c:pt>
                <c:pt idx="91">
                  <c:v>1.5362142502312286</c:v>
                </c:pt>
                <c:pt idx="92">
                  <c:v>1.5391447400872116</c:v>
                </c:pt>
                <c:pt idx="93">
                  <c:v>1.537320016600221</c:v>
                </c:pt>
                <c:pt idx="94">
                  <c:v>1.5366794665933043</c:v>
                </c:pt>
                <c:pt idx="95">
                  <c:v>1.5336554902437647</c:v>
                </c:pt>
                <c:pt idx="96">
                  <c:v>1.5378028752086126</c:v>
                </c:pt>
                <c:pt idx="97">
                  <c:v>1.596053436372793</c:v>
                </c:pt>
                <c:pt idx="98">
                  <c:v>1.6052453242996105</c:v>
                </c:pt>
                <c:pt idx="99">
                  <c:v>1.571704250512286</c:v>
                </c:pt>
                <c:pt idx="100">
                  <c:v>1.6568904530665907</c:v>
                </c:pt>
                <c:pt idx="101">
                  <c:v>1.7308948717619967</c:v>
                </c:pt>
                <c:pt idx="102">
                  <c:v>1.7436240338503808</c:v>
                </c:pt>
                <c:pt idx="103">
                  <c:v>1.7769937339185735</c:v>
                </c:pt>
                <c:pt idx="104">
                  <c:v>1.7968652928503799</c:v>
                </c:pt>
                <c:pt idx="105">
                  <c:v>1.7865529864771883</c:v>
                </c:pt>
                <c:pt idx="106">
                  <c:v>1.8138486907519029</c:v>
                </c:pt>
                <c:pt idx="107">
                  <c:v>1.8664806893953525</c:v>
                </c:pt>
                <c:pt idx="108">
                  <c:v>1.9158775476728076</c:v>
                </c:pt>
                <c:pt idx="109">
                  <c:v>2.0078788282026507</c:v>
                </c:pt>
                <c:pt idx="110">
                  <c:v>2.0548228866492932</c:v>
                </c:pt>
                <c:pt idx="111">
                  <c:v>2.0487182438462832</c:v>
                </c:pt>
                <c:pt idx="112">
                  <c:v>1.9982268745844225</c:v>
                </c:pt>
                <c:pt idx="113">
                  <c:v>2.0374596769776985</c:v>
                </c:pt>
                <c:pt idx="114">
                  <c:v>2.067501079853951</c:v>
                </c:pt>
                <c:pt idx="115">
                  <c:v>2.1126144570947658</c:v>
                </c:pt>
                <c:pt idx="116">
                  <c:v>2.1512996650397871</c:v>
                </c:pt>
                <c:pt idx="117">
                  <c:v>2.1828004505688665</c:v>
                </c:pt>
                <c:pt idx="118">
                  <c:v>3.1427831410671798</c:v>
                </c:pt>
                <c:pt idx="119">
                  <c:v>3.1851637451264869</c:v>
                </c:pt>
                <c:pt idx="120">
                  <c:v>3.2061984276695816</c:v>
                </c:pt>
                <c:pt idx="121">
                  <c:v>3.3458923890204022</c:v>
                </c:pt>
                <c:pt idx="122">
                  <c:v>3.3370922529979272</c:v>
                </c:pt>
                <c:pt idx="123">
                  <c:v>3.3636782267260874</c:v>
                </c:pt>
                <c:pt idx="124">
                  <c:v>3.2023700956062018</c:v>
                </c:pt>
                <c:pt idx="125">
                  <c:v>3.210235367690792</c:v>
                </c:pt>
                <c:pt idx="126">
                  <c:v>3.135088994946583</c:v>
                </c:pt>
                <c:pt idx="127">
                  <c:v>3.2489435064698595</c:v>
                </c:pt>
                <c:pt idx="128">
                  <c:v>3.1945825217353265</c:v>
                </c:pt>
                <c:pt idx="129">
                  <c:v>3.1932514456846035</c:v>
                </c:pt>
                <c:pt idx="130">
                  <c:v>3.1779896309364721</c:v>
                </c:pt>
                <c:pt idx="131">
                  <c:v>3.1720506096717647</c:v>
                </c:pt>
                <c:pt idx="132">
                  <c:v>3.170728921917735</c:v>
                </c:pt>
                <c:pt idx="133">
                  <c:v>3.169407784866936</c:v>
                </c:pt>
                <c:pt idx="134">
                  <c:v>3.1773188031974571</c:v>
                </c:pt>
                <c:pt idx="135">
                  <c:v>3.1852766028343127</c:v>
                </c:pt>
                <c:pt idx="136">
                  <c:v>3.1955992816537511</c:v>
                </c:pt>
                <c:pt idx="137">
                  <c:v>3.1989832441001567</c:v>
                </c:pt>
                <c:pt idx="138">
                  <c:v>3.1836226359131095</c:v>
                </c:pt>
                <c:pt idx="139">
                  <c:v>3.1846007751301868</c:v>
                </c:pt>
                <c:pt idx="140">
                  <c:v>3.1197569159889071</c:v>
                </c:pt>
                <c:pt idx="141">
                  <c:v>3.1132963741447859</c:v>
                </c:pt>
                <c:pt idx="142">
                  <c:v>3.2096590655770334</c:v>
                </c:pt>
                <c:pt idx="143">
                  <c:v>3.2000462337429156</c:v>
                </c:pt>
                <c:pt idx="144">
                  <c:v>3.2577950611354156</c:v>
                </c:pt>
                <c:pt idx="145">
                  <c:v>3.1023653849608643</c:v>
                </c:pt>
                <c:pt idx="146">
                  <c:v>3.1147668311058174</c:v>
                </c:pt>
                <c:pt idx="147">
                  <c:v>3.1157387552138203</c:v>
                </c:pt>
                <c:pt idx="148">
                  <c:v>3.1030365378933062</c:v>
                </c:pt>
                <c:pt idx="149">
                  <c:v>3.0949301631652357</c:v>
                </c:pt>
                <c:pt idx="150">
                  <c:v>3.0778649324513263</c:v>
                </c:pt>
                <c:pt idx="151">
                  <c:v>3.074342878071763</c:v>
                </c:pt>
                <c:pt idx="152">
                  <c:v>3.0797877275251873</c:v>
                </c:pt>
                <c:pt idx="153">
                  <c:v>3.0562079534292068</c:v>
                </c:pt>
                <c:pt idx="154">
                  <c:v>3.0252622860341822</c:v>
                </c:pt>
                <c:pt idx="155">
                  <c:v>3.0169353790769433</c:v>
                </c:pt>
                <c:pt idx="156">
                  <c:v>3.0974399041554972</c:v>
                </c:pt>
                <c:pt idx="157">
                  <c:v>3.0201490012574124</c:v>
                </c:pt>
                <c:pt idx="158">
                  <c:v>3.0751401422194129</c:v>
                </c:pt>
                <c:pt idx="159">
                  <c:v>3.1308127838970807</c:v>
                </c:pt>
                <c:pt idx="160">
                  <c:v>3.0636501431688203</c:v>
                </c:pt>
                <c:pt idx="161">
                  <c:v>2.6680399608341294</c:v>
                </c:pt>
                <c:pt idx="162">
                  <c:v>2.6419650766496976</c:v>
                </c:pt>
                <c:pt idx="163">
                  <c:v>2.6233121717513574</c:v>
                </c:pt>
                <c:pt idx="164">
                  <c:v>2.6152663358788537</c:v>
                </c:pt>
                <c:pt idx="165">
                  <c:v>2.576635682553444</c:v>
                </c:pt>
                <c:pt idx="166">
                  <c:v>2.5482373989372773</c:v>
                </c:pt>
                <c:pt idx="167">
                  <c:v>2.5165288081269903</c:v>
                </c:pt>
                <c:pt idx="168">
                  <c:v>2.5040759611261816</c:v>
                </c:pt>
                <c:pt idx="169">
                  <c:v>2.4437607175024496</c:v>
                </c:pt>
                <c:pt idx="170">
                  <c:v>2.4212115524384177</c:v>
                </c:pt>
                <c:pt idx="171">
                  <c:v>2.5668295768970144</c:v>
                </c:pt>
                <c:pt idx="172">
                  <c:v>2.5868223095999499</c:v>
                </c:pt>
                <c:pt idx="173">
                  <c:v>2.6099071567674148</c:v>
                </c:pt>
                <c:pt idx="174">
                  <c:v>2.6895424063299962</c:v>
                </c:pt>
                <c:pt idx="175">
                  <c:v>2.745459535897163</c:v>
                </c:pt>
                <c:pt idx="176">
                  <c:v>2.8790236840471373</c:v>
                </c:pt>
                <c:pt idx="177">
                  <c:v>2.9479420250471495</c:v>
                </c:pt>
                <c:pt idx="178">
                  <c:v>2.8181237610357717</c:v>
                </c:pt>
                <c:pt idx="179">
                  <c:v>2.8098897148060487</c:v>
                </c:pt>
                <c:pt idx="180">
                  <c:v>2.8192883274941338</c:v>
                </c:pt>
                <c:pt idx="181">
                  <c:v>2.8992240745622087</c:v>
                </c:pt>
                <c:pt idx="182">
                  <c:v>2.8985641816212819</c:v>
                </c:pt>
                <c:pt idx="183">
                  <c:v>2.9064923303972798</c:v>
                </c:pt>
                <c:pt idx="184">
                  <c:v>2.9005593978497748</c:v>
                </c:pt>
                <c:pt idx="185">
                  <c:v>2.9856058403551811</c:v>
                </c:pt>
                <c:pt idx="186">
                  <c:v>2.9851143070686961</c:v>
                </c:pt>
                <c:pt idx="187">
                  <c:v>3.007019673803379</c:v>
                </c:pt>
                <c:pt idx="188">
                  <c:v>3.1437155411714186</c:v>
                </c:pt>
                <c:pt idx="189">
                  <c:v>3.1750050118272752</c:v>
                </c:pt>
                <c:pt idx="190">
                  <c:v>3.2617641992802735</c:v>
                </c:pt>
                <c:pt idx="191">
                  <c:v>3.1941766938937355</c:v>
                </c:pt>
                <c:pt idx="192">
                  <c:v>2.8544206929320901</c:v>
                </c:pt>
                <c:pt idx="193">
                  <c:v>2.8361642134913798</c:v>
                </c:pt>
                <c:pt idx="194">
                  <c:v>2.9212275743958886</c:v>
                </c:pt>
                <c:pt idx="195">
                  <c:v>2.9966867390952419</c:v>
                </c:pt>
                <c:pt idx="196">
                  <c:v>3.0257573547746373</c:v>
                </c:pt>
                <c:pt idx="197">
                  <c:v>3.1155953340486588</c:v>
                </c:pt>
                <c:pt idx="198">
                  <c:v>3.1543341622602377</c:v>
                </c:pt>
                <c:pt idx="199">
                  <c:v>3.1113613549171477</c:v>
                </c:pt>
                <c:pt idx="200">
                  <c:v>3.1534786134498343</c:v>
                </c:pt>
                <c:pt idx="201">
                  <c:v>3.2491285314425564</c:v>
                </c:pt>
                <c:pt idx="202">
                  <c:v>3.2346364654014335</c:v>
                </c:pt>
                <c:pt idx="203">
                  <c:v>3.1423067002220959</c:v>
                </c:pt>
                <c:pt idx="204">
                  <c:v>3.2431812942955194</c:v>
                </c:pt>
                <c:pt idx="205">
                  <c:v>3.2141279931479341</c:v>
                </c:pt>
                <c:pt idx="206">
                  <c:v>3.2157500244045196</c:v>
                </c:pt>
                <c:pt idx="207">
                  <c:v>3.2501875475172151</c:v>
                </c:pt>
                <c:pt idx="208">
                  <c:v>3.2652052793790132</c:v>
                </c:pt>
                <c:pt idx="209">
                  <c:v>3.377303248434576</c:v>
                </c:pt>
                <c:pt idx="210">
                  <c:v>3.5627002265025536</c:v>
                </c:pt>
                <c:pt idx="211">
                  <c:v>3.6313027170377317</c:v>
                </c:pt>
                <c:pt idx="212">
                  <c:v>3.7128942608410314</c:v>
                </c:pt>
                <c:pt idx="213">
                  <c:v>3.6203072736632276</c:v>
                </c:pt>
                <c:pt idx="214">
                  <c:v>2.941682377986405</c:v>
                </c:pt>
                <c:pt idx="215">
                  <c:v>2.9404566769955776</c:v>
                </c:pt>
                <c:pt idx="216">
                  <c:v>2.9392314867134961</c:v>
                </c:pt>
                <c:pt idx="217">
                  <c:v>2.9337755018060587</c:v>
                </c:pt>
                <c:pt idx="218">
                  <c:v>2.9297544992142641</c:v>
                </c:pt>
                <c:pt idx="219">
                  <c:v>2.9271155766424863</c:v>
                </c:pt>
                <c:pt idx="220">
                  <c:v>2.918913942015847</c:v>
                </c:pt>
                <c:pt idx="221">
                  <c:v>2.9135177156037813</c:v>
                </c:pt>
                <c:pt idx="222">
                  <c:v>2.9026008407106767</c:v>
                </c:pt>
                <c:pt idx="223">
                  <c:v>2.8301402788678409</c:v>
                </c:pt>
                <c:pt idx="224">
                  <c:v>3.0046278688574546</c:v>
                </c:pt>
                <c:pt idx="225">
                  <c:v>3.0742598915877939</c:v>
                </c:pt>
                <c:pt idx="226">
                  <c:v>3.1553225981015616</c:v>
                </c:pt>
                <c:pt idx="227">
                  <c:v>3.194499462004472</c:v>
                </c:pt>
                <c:pt idx="228">
                  <c:v>3.1742057707475992</c:v>
                </c:pt>
                <c:pt idx="229">
                  <c:v>2.5371349546040984</c:v>
                </c:pt>
                <c:pt idx="230">
                  <c:v>2.547160962324726</c:v>
                </c:pt>
                <c:pt idx="231">
                  <c:v>2.5585246349536286</c:v>
                </c:pt>
                <c:pt idx="232">
                  <c:v>2.5549751102094276</c:v>
                </c:pt>
                <c:pt idx="233">
                  <c:v>2.5378097973120006</c:v>
                </c:pt>
                <c:pt idx="234">
                  <c:v>2.5257411357164647</c:v>
                </c:pt>
                <c:pt idx="235">
                  <c:v>2.5271291694170994</c:v>
                </c:pt>
                <c:pt idx="236">
                  <c:v>2.5293940710437277</c:v>
                </c:pt>
                <c:pt idx="237">
                  <c:v>2.4323184653661816</c:v>
                </c:pt>
                <c:pt idx="238">
                  <c:v>2.515110247453916</c:v>
                </c:pt>
                <c:pt idx="239">
                  <c:v>2.5346923928829233</c:v>
                </c:pt>
                <c:pt idx="240">
                  <c:v>2.6837368775119201</c:v>
                </c:pt>
                <c:pt idx="241">
                  <c:v>2.7623515895094473</c:v>
                </c:pt>
                <c:pt idx="242">
                  <c:v>2.7657020544684769</c:v>
                </c:pt>
                <c:pt idx="243">
                  <c:v>2.8571896590238079</c:v>
                </c:pt>
                <c:pt idx="244">
                  <c:v>2.8775567164145044</c:v>
                </c:pt>
                <c:pt idx="245">
                  <c:v>2.797930780684676</c:v>
                </c:pt>
                <c:pt idx="246">
                  <c:v>2.8228590221255092</c:v>
                </c:pt>
                <c:pt idx="247">
                  <c:v>2.8624224254148549</c:v>
                </c:pt>
                <c:pt idx="248">
                  <c:v>2.9160116853261897</c:v>
                </c:pt>
                <c:pt idx="249">
                  <c:v>2.896508342392202</c:v>
                </c:pt>
                <c:pt idx="250">
                  <c:v>2.8217601035640447</c:v>
                </c:pt>
                <c:pt idx="251">
                  <c:v>2.8006816527725915</c:v>
                </c:pt>
                <c:pt idx="252">
                  <c:v>2.847513688215356</c:v>
                </c:pt>
                <c:pt idx="253">
                  <c:v>2.8343737154550852</c:v>
                </c:pt>
                <c:pt idx="254">
                  <c:v>2.6683399444122977</c:v>
                </c:pt>
                <c:pt idx="255">
                  <c:v>2.6738029906426806</c:v>
                </c:pt>
                <c:pt idx="256">
                  <c:v>2.6726889060632462</c:v>
                </c:pt>
                <c:pt idx="257">
                  <c:v>2.8226008775024858</c:v>
                </c:pt>
                <c:pt idx="258">
                  <c:v>2.8421755386048857</c:v>
                </c:pt>
                <c:pt idx="259">
                  <c:v>2.611128184437876</c:v>
                </c:pt>
                <c:pt idx="260">
                  <c:v>2.6132611242472286</c:v>
                </c:pt>
                <c:pt idx="261">
                  <c:v>2.6073518538987832</c:v>
                </c:pt>
                <c:pt idx="262">
                  <c:v>2.6046553255966165</c:v>
                </c:pt>
                <c:pt idx="263">
                  <c:v>2.3790970457624625</c:v>
                </c:pt>
                <c:pt idx="264">
                  <c:v>2.3955416146514494</c:v>
                </c:pt>
                <c:pt idx="265">
                  <c:v>2.4033649175591671</c:v>
                </c:pt>
                <c:pt idx="266">
                  <c:v>2.4112354326106624</c:v>
                </c:pt>
                <c:pt idx="267">
                  <c:v>2.4206564202480982</c:v>
                </c:pt>
                <c:pt idx="268">
                  <c:v>2.4286668107568685</c:v>
                </c:pt>
                <c:pt idx="269">
                  <c:v>2.4246311416361306</c:v>
                </c:pt>
                <c:pt idx="270">
                  <c:v>2.4176318494746152</c:v>
                </c:pt>
                <c:pt idx="271">
                  <c:v>2.4241206898445382</c:v>
                </c:pt>
                <c:pt idx="272">
                  <c:v>2.4216016072414734</c:v>
                </c:pt>
                <c:pt idx="273">
                  <c:v>2.4145106537750536</c:v>
                </c:pt>
                <c:pt idx="274">
                  <c:v>2.4770308824879246</c:v>
                </c:pt>
                <c:pt idx="275">
                  <c:v>2.4758734366620341</c:v>
                </c:pt>
                <c:pt idx="276">
                  <c:v>2.5369969232181675</c:v>
                </c:pt>
                <c:pt idx="277">
                  <c:v>2.6210848137201874</c:v>
                </c:pt>
                <c:pt idx="278">
                  <c:v>2.6517597975899352</c:v>
                </c:pt>
                <c:pt idx="279">
                  <c:v>2.71157189221669</c:v>
                </c:pt>
                <c:pt idx="280">
                  <c:v>2.8275494715001002</c:v>
                </c:pt>
                <c:pt idx="281">
                  <c:v>2.9297642793449832</c:v>
                </c:pt>
                <c:pt idx="282">
                  <c:v>2.8656952972736582</c:v>
                </c:pt>
                <c:pt idx="283">
                  <c:v>2.8958529000058544</c:v>
                </c:pt>
                <c:pt idx="284">
                  <c:v>3.0416569970480269</c:v>
                </c:pt>
                <c:pt idx="285">
                  <c:v>3.2354724677112046</c:v>
                </c:pt>
                <c:pt idx="286">
                  <c:v>3.2598882464305761</c:v>
                </c:pt>
                <c:pt idx="287">
                  <c:v>3.2812225082295026</c:v>
                </c:pt>
                <c:pt idx="288">
                  <c:v>3.3664453783809973</c:v>
                </c:pt>
                <c:pt idx="289">
                  <c:v>3.5969300276149441</c:v>
                </c:pt>
                <c:pt idx="290">
                  <c:v>3.751080358846488</c:v>
                </c:pt>
                <c:pt idx="291">
                  <c:v>3.7367627767628764</c:v>
                </c:pt>
                <c:pt idx="292">
                  <c:v>3.8707845189894341</c:v>
                </c:pt>
                <c:pt idx="293">
                  <c:v>3.7921815238442727</c:v>
                </c:pt>
                <c:pt idx="294">
                  <c:v>3.7569016035683358</c:v>
                </c:pt>
                <c:pt idx="295">
                  <c:v>3.8769811495642914</c:v>
                </c:pt>
                <c:pt idx="296">
                  <c:v>4.0003633362999809</c:v>
                </c:pt>
                <c:pt idx="297">
                  <c:v>4.0645497210145942</c:v>
                </c:pt>
                <c:pt idx="298">
                  <c:v>4.0300978374969496</c:v>
                </c:pt>
                <c:pt idx="299">
                  <c:v>3.9739897987567119</c:v>
                </c:pt>
                <c:pt idx="300">
                  <c:v>4.1417676285738194</c:v>
                </c:pt>
                <c:pt idx="301">
                  <c:v>4.2224980187617227</c:v>
                </c:pt>
                <c:pt idx="302">
                  <c:v>4.0750513378850322</c:v>
                </c:pt>
                <c:pt idx="303">
                  <c:v>4.2181508134621231</c:v>
                </c:pt>
                <c:pt idx="304">
                  <c:v>4.1723515480941389</c:v>
                </c:pt>
                <c:pt idx="305">
                  <c:v>4.1981547038166438</c:v>
                </c:pt>
                <c:pt idx="306">
                  <c:v>4.3539820315195747</c:v>
                </c:pt>
                <c:pt idx="307">
                  <c:v>4.4903894489927723</c:v>
                </c:pt>
                <c:pt idx="308">
                  <c:v>4.4396738658036945</c:v>
                </c:pt>
                <c:pt idx="309">
                  <c:v>4.4083918158875814</c:v>
                </c:pt>
                <c:pt idx="310">
                  <c:v>4.4287327517067689</c:v>
                </c:pt>
                <c:pt idx="311">
                  <c:v>4.5730710030657287</c:v>
                </c:pt>
                <c:pt idx="312">
                  <c:v>4.7190866087602199</c:v>
                </c:pt>
                <c:pt idx="313">
                  <c:v>4.7841498703281147</c:v>
                </c:pt>
                <c:pt idx="314">
                  <c:v>4.7535217541096788</c:v>
                </c:pt>
                <c:pt idx="315">
                  <c:v>4.7189934868057177</c:v>
                </c:pt>
                <c:pt idx="316">
                  <c:v>4.6058765117825224</c:v>
                </c:pt>
                <c:pt idx="317">
                  <c:v>4.5849472453447886</c:v>
                </c:pt>
                <c:pt idx="318">
                  <c:v>4.577647904875807</c:v>
                </c:pt>
                <c:pt idx="319">
                  <c:v>4.5811272493292101</c:v>
                </c:pt>
                <c:pt idx="320">
                  <c:v>4.4581905443874978</c:v>
                </c:pt>
                <c:pt idx="321">
                  <c:v>4.4432325659969933</c:v>
                </c:pt>
                <c:pt idx="322">
                  <c:v>4.4361802794917438</c:v>
                </c:pt>
                <c:pt idx="323">
                  <c:v>4.5022622048691288</c:v>
                </c:pt>
                <c:pt idx="324">
                  <c:v>4.5447328425994051</c:v>
                </c:pt>
                <c:pt idx="325">
                  <c:v>4.7622259772592059</c:v>
                </c:pt>
                <c:pt idx="326">
                  <c:v>4.8540849178946699</c:v>
                </c:pt>
                <c:pt idx="327">
                  <c:v>4.9768843994494381</c:v>
                </c:pt>
                <c:pt idx="328">
                  <c:v>5.2046992423016247</c:v>
                </c:pt>
                <c:pt idx="329">
                  <c:v>5.3854900009078825</c:v>
                </c:pt>
                <c:pt idx="330">
                  <c:v>5.383511594607544</c:v>
                </c:pt>
                <c:pt idx="331">
                  <c:v>5.6344728032174913</c:v>
                </c:pt>
                <c:pt idx="332">
                  <c:v>5.6306753550370603</c:v>
                </c:pt>
                <c:pt idx="333">
                  <c:v>5.9778286701529515</c:v>
                </c:pt>
                <c:pt idx="334">
                  <c:v>5.9630817112843859</c:v>
                </c:pt>
                <c:pt idx="335">
                  <c:v>6.325021700079458</c:v>
                </c:pt>
                <c:pt idx="336">
                  <c:v>6.6029452036064269</c:v>
                </c:pt>
                <c:pt idx="337">
                  <c:v>6.8006514294910687</c:v>
                </c:pt>
                <c:pt idx="338">
                  <c:v>6.8602128967827793</c:v>
                </c:pt>
                <c:pt idx="339">
                  <c:v>6.9147365714425426</c:v>
                </c:pt>
                <c:pt idx="340">
                  <c:v>7.2191095944630614</c:v>
                </c:pt>
                <c:pt idx="341">
                  <c:v>7.1752911971865503</c:v>
                </c:pt>
                <c:pt idx="342">
                  <c:v>7.6083797954539172</c:v>
                </c:pt>
                <c:pt idx="343">
                  <c:v>8.0553478031321877</c:v>
                </c:pt>
                <c:pt idx="344">
                  <c:v>8.0048078795226125</c:v>
                </c:pt>
                <c:pt idx="345">
                  <c:v>8.0570620643960673</c:v>
                </c:pt>
                <c:pt idx="346">
                  <c:v>7.8481340212287174</c:v>
                </c:pt>
                <c:pt idx="347">
                  <c:v>8.1991198570877462</c:v>
                </c:pt>
                <c:pt idx="348">
                  <c:v>8.1936155114386509</c:v>
                </c:pt>
                <c:pt idx="349">
                  <c:v>7.992720483109669</c:v>
                </c:pt>
                <c:pt idx="350">
                  <c:v>8.1848472697077206</c:v>
                </c:pt>
                <c:pt idx="351">
                  <c:v>8.5973383236809244</c:v>
                </c:pt>
                <c:pt idx="352">
                  <c:v>8.7696312635043761</c:v>
                </c:pt>
                <c:pt idx="353">
                  <c:v>8.3069309447288191</c:v>
                </c:pt>
                <c:pt idx="354">
                  <c:v>8.6111766656847752</c:v>
                </c:pt>
                <c:pt idx="355">
                  <c:v>9.0420877043637091</c:v>
                </c:pt>
                <c:pt idx="356">
                  <c:v>8.7785896950329398</c:v>
                </c:pt>
                <c:pt idx="357">
                  <c:v>8.510423331694243</c:v>
                </c:pt>
                <c:pt idx="358">
                  <c:v>8.6518303464890582</c:v>
                </c:pt>
                <c:pt idx="359">
                  <c:v>8.3787399748970728</c:v>
                </c:pt>
                <c:pt idx="360">
                  <c:v>8.3657931666598628</c:v>
                </c:pt>
                <c:pt idx="361">
                  <c:v>8.2572052093533159</c:v>
                </c:pt>
                <c:pt idx="362">
                  <c:v>8.1711451439115255</c:v>
                </c:pt>
                <c:pt idx="363">
                  <c:v>8.1909206622767563</c:v>
                </c:pt>
                <c:pt idx="364">
                  <c:v>8.5609860364194468</c:v>
                </c:pt>
                <c:pt idx="365">
                  <c:v>8.785283263488628</c:v>
                </c:pt>
                <c:pt idx="366">
                  <c:v>8.9104302755956297</c:v>
                </c:pt>
                <c:pt idx="367">
                  <c:v>9.1142366162434474</c:v>
                </c:pt>
                <c:pt idx="368">
                  <c:v>8.6184072651676544</c:v>
                </c:pt>
                <c:pt idx="369">
                  <c:v>8.1607212506603961</c:v>
                </c:pt>
                <c:pt idx="370">
                  <c:v>8.1301665512687133</c:v>
                </c:pt>
                <c:pt idx="371">
                  <c:v>8.1043473857066548</c:v>
                </c:pt>
                <c:pt idx="372">
                  <c:v>8.1009705742959444</c:v>
                </c:pt>
                <c:pt idx="373">
                  <c:v>8.120008051105156</c:v>
                </c:pt>
                <c:pt idx="374">
                  <c:v>8.1166247144171955</c:v>
                </c:pt>
                <c:pt idx="375">
                  <c:v>8.1132427874528545</c:v>
                </c:pt>
                <c:pt idx="376">
                  <c:v>8.1009068129160848</c:v>
                </c:pt>
                <c:pt idx="377">
                  <c:v>8.1636318889353845</c:v>
                </c:pt>
                <c:pt idx="378">
                  <c:v>8.4374724517036626</c:v>
                </c:pt>
                <c:pt idx="379">
                  <c:v>8.744694055403027</c:v>
                </c:pt>
                <c:pt idx="380">
                  <c:v>8.8526470106355166</c:v>
                </c:pt>
                <c:pt idx="381">
                  <c:v>9.2415704033537374</c:v>
                </c:pt>
                <c:pt idx="382">
                  <c:v>9.4960135602949052</c:v>
                </c:pt>
                <c:pt idx="383">
                  <c:v>9.7377118175924426</c:v>
                </c:pt>
                <c:pt idx="384">
                  <c:v>10.084414670122582</c:v>
                </c:pt>
                <c:pt idx="385">
                  <c:v>10.464443801206226</c:v>
                </c:pt>
                <c:pt idx="386">
                  <c:v>10.54671709796323</c:v>
                </c:pt>
                <c:pt idx="387">
                  <c:v>10.669589047273853</c:v>
                </c:pt>
                <c:pt idx="388">
                  <c:v>11.149576750338143</c:v>
                </c:pt>
                <c:pt idx="389">
                  <c:v>11.462321606498923</c:v>
                </c:pt>
                <c:pt idx="390">
                  <c:v>11.59216235726716</c:v>
                </c:pt>
                <c:pt idx="391">
                  <c:v>12.081157726258187</c:v>
                </c:pt>
                <c:pt idx="392">
                  <c:v>12.085934977918019</c:v>
                </c:pt>
                <c:pt idx="393">
                  <c:v>11.750749766550822</c:v>
                </c:pt>
                <c:pt idx="394">
                  <c:v>12.153513764369562</c:v>
                </c:pt>
                <c:pt idx="395">
                  <c:v>12.416746228310759</c:v>
                </c:pt>
                <c:pt idx="396">
                  <c:v>12.770332959472237</c:v>
                </c:pt>
                <c:pt idx="397">
                  <c:v>12.138351509703309</c:v>
                </c:pt>
                <c:pt idx="398">
                  <c:v>12.208858645514825</c:v>
                </c:pt>
                <c:pt idx="399">
                  <c:v>12.114181716416025</c:v>
                </c:pt>
                <c:pt idx="400">
                  <c:v>12.094613218383293</c:v>
                </c:pt>
                <c:pt idx="401">
                  <c:v>12.036697030825838</c:v>
                </c:pt>
                <c:pt idx="402">
                  <c:v>12.304600842049295</c:v>
                </c:pt>
                <c:pt idx="403">
                  <c:v>12.318464274968877</c:v>
                </c:pt>
                <c:pt idx="404">
                  <c:v>12.668699768562689</c:v>
                </c:pt>
                <c:pt idx="405">
                  <c:v>12.033290754212047</c:v>
                </c:pt>
                <c:pt idx="406">
                  <c:v>11.970450457835138</c:v>
                </c:pt>
                <c:pt idx="407">
                  <c:v>12.178258539078863</c:v>
                </c:pt>
                <c:pt idx="408">
                  <c:v>12.653883352373871</c:v>
                </c:pt>
                <c:pt idx="409">
                  <c:v>13.394648545042447</c:v>
                </c:pt>
                <c:pt idx="410">
                  <c:v>13.818103484516906</c:v>
                </c:pt>
                <c:pt idx="411">
                  <c:v>14.265340481767701</c:v>
                </c:pt>
                <c:pt idx="412">
                  <c:v>14.514113786256051</c:v>
                </c:pt>
                <c:pt idx="413">
                  <c:v>14.677300621635746</c:v>
                </c:pt>
                <c:pt idx="414">
                  <c:v>14.255508114511315</c:v>
                </c:pt>
                <c:pt idx="415">
                  <c:v>14.393018897445391</c:v>
                </c:pt>
                <c:pt idx="416">
                  <c:v>14.400515099736218</c:v>
                </c:pt>
                <c:pt idx="417">
                  <c:v>14.192173672002516</c:v>
                </c:pt>
                <c:pt idx="418">
                  <c:v>14.362466321852759</c:v>
                </c:pt>
                <c:pt idx="419">
                  <c:v>14.709427519788743</c:v>
                </c:pt>
                <c:pt idx="420">
                  <c:v>14.827184596212071</c:v>
                </c:pt>
                <c:pt idx="421">
                  <c:v>14.451828337494032</c:v>
                </c:pt>
                <c:pt idx="422">
                  <c:v>14.797185464219384</c:v>
                </c:pt>
                <c:pt idx="423">
                  <c:v>14.858678898981458</c:v>
                </c:pt>
                <c:pt idx="424">
                  <c:v>14.364133004024135</c:v>
                </c:pt>
                <c:pt idx="425">
                  <c:v>13.067064262474304</c:v>
                </c:pt>
                <c:pt idx="426">
                  <c:v>13.028122667168264</c:v>
                </c:pt>
                <c:pt idx="427">
                  <c:v>12.982760352562714</c:v>
                </c:pt>
                <c:pt idx="428">
                  <c:v>12.924490668272691</c:v>
                </c:pt>
                <c:pt idx="429">
                  <c:v>12.925668306769195</c:v>
                </c:pt>
                <c:pt idx="430">
                  <c:v>12.940052106108421</c:v>
                </c:pt>
                <c:pt idx="431">
                  <c:v>12.875557126446903</c:v>
                </c:pt>
                <c:pt idx="432">
                  <c:v>13.051700367179542</c:v>
                </c:pt>
                <c:pt idx="433">
                  <c:v>13.484185550124163</c:v>
                </c:pt>
                <c:pt idx="434">
                  <c:v>13.139406277680694</c:v>
                </c:pt>
                <c:pt idx="435">
                  <c:v>13.533340260099928</c:v>
                </c:pt>
                <c:pt idx="436">
                  <c:v>13.978297135959407</c:v>
                </c:pt>
                <c:pt idx="437">
                  <c:v>14.037684728057766</c:v>
                </c:pt>
                <c:pt idx="438">
                  <c:v>13.80987845211434</c:v>
                </c:pt>
                <c:pt idx="439">
                  <c:v>13.826730818903858</c:v>
                </c:pt>
                <c:pt idx="440">
                  <c:v>14.375437685005309</c:v>
                </c:pt>
                <c:pt idx="441">
                  <c:v>14.275914045098377</c:v>
                </c:pt>
                <c:pt idx="442">
                  <c:v>14.588583968146184</c:v>
                </c:pt>
                <c:pt idx="443">
                  <c:v>14.393993532287912</c:v>
                </c:pt>
                <c:pt idx="444">
                  <c:v>14.666581034226789</c:v>
                </c:pt>
                <c:pt idx="445">
                  <c:v>15.047068265031578</c:v>
                </c:pt>
                <c:pt idx="446">
                  <c:v>15.058293691770722</c:v>
                </c:pt>
                <c:pt idx="447">
                  <c:v>15.251896182428537</c:v>
                </c:pt>
                <c:pt idx="448">
                  <c:v>15.232760127339857</c:v>
                </c:pt>
                <c:pt idx="449">
                  <c:v>15.197299646998026</c:v>
                </c:pt>
                <c:pt idx="450">
                  <c:v>15.388292791056427</c:v>
                </c:pt>
                <c:pt idx="451">
                  <c:v>15.812278523448013</c:v>
                </c:pt>
                <c:pt idx="452">
                  <c:v>15.706231711645719</c:v>
                </c:pt>
                <c:pt idx="453">
                  <c:v>16.025977662208049</c:v>
                </c:pt>
                <c:pt idx="454">
                  <c:v>16.003065318584625</c:v>
                </c:pt>
                <c:pt idx="455">
                  <c:v>15.989255474573325</c:v>
                </c:pt>
                <c:pt idx="456">
                  <c:v>16.014119610672481</c:v>
                </c:pt>
                <c:pt idx="457">
                  <c:v>16.478207618324987</c:v>
                </c:pt>
                <c:pt idx="458">
                  <c:v>16.446505118879163</c:v>
                </c:pt>
                <c:pt idx="459">
                  <c:v>16.326024369505713</c:v>
                </c:pt>
                <c:pt idx="460">
                  <c:v>16.794285328405273</c:v>
                </c:pt>
                <c:pt idx="461">
                  <c:v>16.541324256552834</c:v>
                </c:pt>
                <c:pt idx="462">
                  <c:v>15.794904565674464</c:v>
                </c:pt>
                <c:pt idx="463">
                  <c:v>15.744241198295317</c:v>
                </c:pt>
                <c:pt idx="464">
                  <c:v>15.65039508740395</c:v>
                </c:pt>
                <c:pt idx="465">
                  <c:v>16.015553800892029</c:v>
                </c:pt>
                <c:pt idx="466">
                  <c:v>16.461482163735816</c:v>
                </c:pt>
                <c:pt idx="467">
                  <c:v>16.267177247361349</c:v>
                </c:pt>
                <c:pt idx="468">
                  <c:v>16.49687263101136</c:v>
                </c:pt>
                <c:pt idx="469">
                  <c:v>16.721767592194269</c:v>
                </c:pt>
                <c:pt idx="470">
                  <c:v>16.377358660887943</c:v>
                </c:pt>
                <c:pt idx="471">
                  <c:v>16.099906260577441</c:v>
                </c:pt>
                <c:pt idx="472">
                  <c:v>16.386054343428725</c:v>
                </c:pt>
                <c:pt idx="473">
                  <c:v>15.462928395109518</c:v>
                </c:pt>
                <c:pt idx="474">
                  <c:v>15.477097972366703</c:v>
                </c:pt>
                <c:pt idx="475">
                  <c:v>15.470649181544884</c:v>
                </c:pt>
                <c:pt idx="476">
                  <c:v>15.416198616612029</c:v>
                </c:pt>
                <c:pt idx="477">
                  <c:v>15.396163515215751</c:v>
                </c:pt>
                <c:pt idx="478">
                  <c:v>15.359020512036484</c:v>
                </c:pt>
                <c:pt idx="479">
                  <c:v>15.170874490246483</c:v>
                </c:pt>
                <c:pt idx="480">
                  <c:v>15.090095855406933</c:v>
                </c:pt>
                <c:pt idx="481">
                  <c:v>15.03949249627459</c:v>
                </c:pt>
                <c:pt idx="482">
                  <c:v>15.163523613792563</c:v>
                </c:pt>
                <c:pt idx="483">
                  <c:v>15.714296709213274</c:v>
                </c:pt>
                <c:pt idx="484">
                  <c:v>16.304574081045878</c:v>
                </c:pt>
                <c:pt idx="485">
                  <c:v>15.549996128159298</c:v>
                </c:pt>
                <c:pt idx="486">
                  <c:v>15.758836160710171</c:v>
                </c:pt>
                <c:pt idx="487">
                  <c:v>16.402132926563038</c:v>
                </c:pt>
                <c:pt idx="488">
                  <c:v>16.391959278778437</c:v>
                </c:pt>
                <c:pt idx="489">
                  <c:v>17.187439679925223</c:v>
                </c:pt>
                <c:pt idx="490">
                  <c:v>16.986844578264719</c:v>
                </c:pt>
                <c:pt idx="491">
                  <c:v>16.727998655148586</c:v>
                </c:pt>
                <c:pt idx="492">
                  <c:v>17.036410489421453</c:v>
                </c:pt>
                <c:pt idx="493">
                  <c:v>16.713996231530302</c:v>
                </c:pt>
                <c:pt idx="494">
                  <c:v>16.416073971593057</c:v>
                </c:pt>
                <c:pt idx="495">
                  <c:v>16.708498568978488</c:v>
                </c:pt>
                <c:pt idx="496">
                  <c:v>18.154899310388014</c:v>
                </c:pt>
                <c:pt idx="497">
                  <c:v>18.339259781419898</c:v>
                </c:pt>
                <c:pt idx="498">
                  <c:v>18.484448243443914</c:v>
                </c:pt>
                <c:pt idx="499">
                  <c:v>18.351937352764708</c:v>
                </c:pt>
                <c:pt idx="500">
                  <c:v>18.687430146952728</c:v>
                </c:pt>
                <c:pt idx="501">
                  <c:v>19.412849680466074</c:v>
                </c:pt>
                <c:pt idx="502">
                  <c:v>19.535844456323893</c:v>
                </c:pt>
                <c:pt idx="503">
                  <c:v>20.180615606443897</c:v>
                </c:pt>
                <c:pt idx="504">
                  <c:v>19.708706420880123</c:v>
                </c:pt>
                <c:pt idx="505">
                  <c:v>19.936389529673754</c:v>
                </c:pt>
                <c:pt idx="506">
                  <c:v>19.320496125382739</c:v>
                </c:pt>
                <c:pt idx="507">
                  <c:v>20.0981521080402</c:v>
                </c:pt>
                <c:pt idx="508">
                  <c:v>20.662967321790564</c:v>
                </c:pt>
                <c:pt idx="509">
                  <c:v>20.694173773557548</c:v>
                </c:pt>
                <c:pt idx="510">
                  <c:v>19.652949484518199</c:v>
                </c:pt>
                <c:pt idx="511">
                  <c:v>19.644760755566317</c:v>
                </c:pt>
                <c:pt idx="512">
                  <c:v>19.672716901712914</c:v>
                </c:pt>
                <c:pt idx="513">
                  <c:v>19.646410361669925</c:v>
                </c:pt>
                <c:pt idx="514">
                  <c:v>19.602179384632446</c:v>
                </c:pt>
                <c:pt idx="515">
                  <c:v>19.312586458442091</c:v>
                </c:pt>
                <c:pt idx="516">
                  <c:v>19.242780048575504</c:v>
                </c:pt>
                <c:pt idx="517">
                  <c:v>18.203455176608998</c:v>
                </c:pt>
                <c:pt idx="518">
                  <c:v>18.195870403618745</c:v>
                </c:pt>
                <c:pt idx="519">
                  <c:v>18.155447384703372</c:v>
                </c:pt>
                <c:pt idx="520">
                  <c:v>16.580694226636737</c:v>
                </c:pt>
                <c:pt idx="521">
                  <c:v>16.410639617283245</c:v>
                </c:pt>
                <c:pt idx="522">
                  <c:v>16.330766818228017</c:v>
                </c:pt>
                <c:pt idx="523">
                  <c:v>16.280480261192139</c:v>
                </c:pt>
                <c:pt idx="524">
                  <c:v>16.216024787281658</c:v>
                </c:pt>
                <c:pt idx="525">
                  <c:v>16.109466200622304</c:v>
                </c:pt>
                <c:pt idx="526">
                  <c:v>15.965605219509412</c:v>
                </c:pt>
                <c:pt idx="527">
                  <c:v>16.162048796875943</c:v>
                </c:pt>
                <c:pt idx="528">
                  <c:v>16.958293878255624</c:v>
                </c:pt>
                <c:pt idx="529">
                  <c:v>17.612000611984385</c:v>
                </c:pt>
                <c:pt idx="530">
                  <c:v>17.743290346372735</c:v>
                </c:pt>
                <c:pt idx="531">
                  <c:v>18.477437153717855</c:v>
                </c:pt>
                <c:pt idx="532">
                  <c:v>19.114733756839719</c:v>
                </c:pt>
                <c:pt idx="533">
                  <c:v>17.766782322822188</c:v>
                </c:pt>
                <c:pt idx="534">
                  <c:v>17.970768875734233</c:v>
                </c:pt>
                <c:pt idx="535">
                  <c:v>17.669292149789996</c:v>
                </c:pt>
                <c:pt idx="536">
                  <c:v>17.777676118072929</c:v>
                </c:pt>
                <c:pt idx="537">
                  <c:v>17.284750210683921</c:v>
                </c:pt>
                <c:pt idx="538">
                  <c:v>17.206576303402031</c:v>
                </c:pt>
                <c:pt idx="539">
                  <c:v>16.976328484815433</c:v>
                </c:pt>
                <c:pt idx="540">
                  <c:v>16.887119346635529</c:v>
                </c:pt>
                <c:pt idx="541">
                  <c:v>17.340233847287259</c:v>
                </c:pt>
                <c:pt idx="542">
                  <c:v>17.86464041549177</c:v>
                </c:pt>
                <c:pt idx="543">
                  <c:v>18.083201885033823</c:v>
                </c:pt>
                <c:pt idx="544">
                  <c:v>18.38688792448546</c:v>
                </c:pt>
                <c:pt idx="545">
                  <c:v>18.636604998797576</c:v>
                </c:pt>
                <c:pt idx="546">
                  <c:v>17.965981574564054</c:v>
                </c:pt>
                <c:pt idx="547">
                  <c:v>18.051882510585227</c:v>
                </c:pt>
                <c:pt idx="548">
                  <c:v>18.624501101844231</c:v>
                </c:pt>
                <c:pt idx="549">
                  <c:v>18.261191279415517</c:v>
                </c:pt>
                <c:pt idx="550">
                  <c:v>18.384468021530019</c:v>
                </c:pt>
                <c:pt idx="551">
                  <c:v>19.277962602354457</c:v>
                </c:pt>
                <c:pt idx="552">
                  <c:v>19.409738055712356</c:v>
                </c:pt>
                <c:pt idx="553">
                  <c:v>19.073188794629754</c:v>
                </c:pt>
                <c:pt idx="554">
                  <c:v>17.613568889601794</c:v>
                </c:pt>
                <c:pt idx="555">
                  <c:v>17.463802006776223</c:v>
                </c:pt>
                <c:pt idx="556">
                  <c:v>17.418069683977802</c:v>
                </c:pt>
                <c:pt idx="557">
                  <c:v>17.28392129201778</c:v>
                </c:pt>
                <c:pt idx="558">
                  <c:v>17.151798467998926</c:v>
                </c:pt>
                <c:pt idx="559">
                  <c:v>17.119845531486636</c:v>
                </c:pt>
                <c:pt idx="560">
                  <c:v>17.051115780083563</c:v>
                </c:pt>
                <c:pt idx="561">
                  <c:v>16.898081280030556</c:v>
                </c:pt>
                <c:pt idx="562">
                  <c:v>16.548604793107209</c:v>
                </c:pt>
                <c:pt idx="563">
                  <c:v>16.201897710294773</c:v>
                </c:pt>
                <c:pt idx="564">
                  <c:v>15.954782332793888</c:v>
                </c:pt>
                <c:pt idx="565">
                  <c:v>15.820081640967294</c:v>
                </c:pt>
                <c:pt idx="566">
                  <c:v>15.450141351961502</c:v>
                </c:pt>
                <c:pt idx="567">
                  <c:v>14.756079696172659</c:v>
                </c:pt>
                <c:pt idx="568">
                  <c:v>14.839550985346843</c:v>
                </c:pt>
                <c:pt idx="569">
                  <c:v>14.577505686144697</c:v>
                </c:pt>
                <c:pt idx="570">
                  <c:v>14.494512929819059</c:v>
                </c:pt>
                <c:pt idx="571">
                  <c:v>14.440814472719657</c:v>
                </c:pt>
                <c:pt idx="572">
                  <c:v>14.293772012464233</c:v>
                </c:pt>
                <c:pt idx="573">
                  <c:v>14.058903057976208</c:v>
                </c:pt>
                <c:pt idx="574">
                  <c:v>13.963563567629194</c:v>
                </c:pt>
                <c:pt idx="575">
                  <c:v>13.764892397035736</c:v>
                </c:pt>
                <c:pt idx="576">
                  <c:v>13.741898629848265</c:v>
                </c:pt>
                <c:pt idx="577">
                  <c:v>13.659060753256336</c:v>
                </c:pt>
                <c:pt idx="578">
                  <c:v>13.610913814976952</c:v>
                </c:pt>
                <c:pt idx="579">
                  <c:v>13.706150913586381</c:v>
                </c:pt>
                <c:pt idx="580">
                  <c:v>14.784402435438547</c:v>
                </c:pt>
                <c:pt idx="581">
                  <c:v>14.796955917415353</c:v>
                </c:pt>
                <c:pt idx="582">
                  <c:v>14.993432227295809</c:v>
                </c:pt>
                <c:pt idx="583">
                  <c:v>15.0130853650262</c:v>
                </c:pt>
                <c:pt idx="584">
                  <c:v>15.181967829773466</c:v>
                </c:pt>
                <c:pt idx="585">
                  <c:v>14.726961232731705</c:v>
                </c:pt>
                <c:pt idx="586">
                  <c:v>15.571007561920629</c:v>
                </c:pt>
                <c:pt idx="587">
                  <c:v>15.992957029449801</c:v>
                </c:pt>
                <c:pt idx="588">
                  <c:v>16.002989133604029</c:v>
                </c:pt>
                <c:pt idx="589">
                  <c:v>17.149602454479236</c:v>
                </c:pt>
                <c:pt idx="590">
                  <c:v>16.897537899826613</c:v>
                </c:pt>
                <c:pt idx="591">
                  <c:v>17.123846571815381</c:v>
                </c:pt>
                <c:pt idx="592">
                  <c:v>16.834373757385464</c:v>
                </c:pt>
                <c:pt idx="593">
                  <c:v>16.440333141450338</c:v>
                </c:pt>
                <c:pt idx="594">
                  <c:v>16.893329002081721</c:v>
                </c:pt>
                <c:pt idx="595">
                  <c:v>16.894660768258802</c:v>
                </c:pt>
                <c:pt idx="596">
                  <c:v>16.860862550725965</c:v>
                </c:pt>
                <c:pt idx="597">
                  <c:v>17.074073852762265</c:v>
                </c:pt>
                <c:pt idx="598">
                  <c:v>16.342674082876652</c:v>
                </c:pt>
                <c:pt idx="599">
                  <c:v>16.306472672735829</c:v>
                </c:pt>
                <c:pt idx="600">
                  <c:v>16.260647995802707</c:v>
                </c:pt>
                <c:pt idx="601">
                  <c:v>16.028618665591672</c:v>
                </c:pt>
                <c:pt idx="602">
                  <c:v>16.322105399401618</c:v>
                </c:pt>
                <c:pt idx="603">
                  <c:v>16.585966923612126</c:v>
                </c:pt>
                <c:pt idx="604">
                  <c:v>16.71985839926873</c:v>
                </c:pt>
                <c:pt idx="605">
                  <c:v>16.559924308628588</c:v>
                </c:pt>
                <c:pt idx="606">
                  <c:v>16.990684950582715</c:v>
                </c:pt>
                <c:pt idx="607">
                  <c:v>16.322559216435018</c:v>
                </c:pt>
                <c:pt idx="608">
                  <c:v>16.406669389503993</c:v>
                </c:pt>
                <c:pt idx="609">
                  <c:v>16.458860160701505</c:v>
                </c:pt>
                <c:pt idx="610">
                  <c:v>15.540252781364387</c:v>
                </c:pt>
                <c:pt idx="611">
                  <c:v>15.547728287025651</c:v>
                </c:pt>
                <c:pt idx="612">
                  <c:v>15.522642373070932</c:v>
                </c:pt>
                <c:pt idx="613">
                  <c:v>15.508432729643486</c:v>
                </c:pt>
                <c:pt idx="614">
                  <c:v>15.485009175720437</c:v>
                </c:pt>
                <c:pt idx="615">
                  <c:v>15.461609433544984</c:v>
                </c:pt>
                <c:pt idx="616">
                  <c:v>15.427534148417696</c:v>
                </c:pt>
                <c:pt idx="617">
                  <c:v>15.39967094782018</c:v>
                </c:pt>
                <c:pt idx="618">
                  <c:v>15.072882050904287</c:v>
                </c:pt>
                <c:pt idx="619">
                  <c:v>15.576268758528364</c:v>
                </c:pt>
                <c:pt idx="620">
                  <c:v>14.785328356767456</c:v>
                </c:pt>
                <c:pt idx="621">
                  <c:v>14.283126001791331</c:v>
                </c:pt>
                <c:pt idx="622">
                  <c:v>14.305548189071313</c:v>
                </c:pt>
                <c:pt idx="623">
                  <c:v>14.281165966110448</c:v>
                </c:pt>
                <c:pt idx="624">
                  <c:v>14.861340380155848</c:v>
                </c:pt>
                <c:pt idx="625">
                  <c:v>15.285773456048101</c:v>
                </c:pt>
                <c:pt idx="626">
                  <c:v>15.030815306531181</c:v>
                </c:pt>
                <c:pt idx="627">
                  <c:v>15.801792663545434</c:v>
                </c:pt>
                <c:pt idx="628">
                  <c:v>16.254195252318876</c:v>
                </c:pt>
                <c:pt idx="629">
                  <c:v>16.250988673007985</c:v>
                </c:pt>
                <c:pt idx="630">
                  <c:v>16.419793328366282</c:v>
                </c:pt>
                <c:pt idx="631">
                  <c:v>16.174526054317671</c:v>
                </c:pt>
                <c:pt idx="632">
                  <c:v>17.133840962468991</c:v>
                </c:pt>
                <c:pt idx="633">
                  <c:v>17.185295713465724</c:v>
                </c:pt>
                <c:pt idx="634">
                  <c:v>16.169053826362678</c:v>
                </c:pt>
                <c:pt idx="635">
                  <c:v>17.004235307810706</c:v>
                </c:pt>
                <c:pt idx="636">
                  <c:v>17.105714587407732</c:v>
                </c:pt>
                <c:pt idx="637">
                  <c:v>18.287030055147348</c:v>
                </c:pt>
                <c:pt idx="638">
                  <c:v>19.048265692358928</c:v>
                </c:pt>
                <c:pt idx="639">
                  <c:v>18.50416606402699</c:v>
                </c:pt>
                <c:pt idx="640">
                  <c:v>19.803048443515426</c:v>
                </c:pt>
                <c:pt idx="641">
                  <c:v>19.798541167767873</c:v>
                </c:pt>
                <c:pt idx="642">
                  <c:v>20.551636901882251</c:v>
                </c:pt>
                <c:pt idx="643">
                  <c:v>20.775257367788679</c:v>
                </c:pt>
                <c:pt idx="644">
                  <c:v>21.810142485831513</c:v>
                </c:pt>
                <c:pt idx="645">
                  <c:v>22.487904325133279</c:v>
                </c:pt>
                <c:pt idx="646">
                  <c:v>23.714369849990796</c:v>
                </c:pt>
                <c:pt idx="647">
                  <c:v>25.675623877276543</c:v>
                </c:pt>
                <c:pt idx="648">
                  <c:v>26.142024648296072</c:v>
                </c:pt>
                <c:pt idx="649">
                  <c:v>25.828519717462537</c:v>
                </c:pt>
                <c:pt idx="650">
                  <c:v>27.845856618622239</c:v>
                </c:pt>
                <c:pt idx="651">
                  <c:v>28.454805954626263</c:v>
                </c:pt>
                <c:pt idx="652">
                  <c:v>29.442949919949985</c:v>
                </c:pt>
                <c:pt idx="653">
                  <c:v>30.200309462309871</c:v>
                </c:pt>
                <c:pt idx="654">
                  <c:v>30.368111787489529</c:v>
                </c:pt>
                <c:pt idx="655">
                  <c:v>30.372283339895983</c:v>
                </c:pt>
                <c:pt idx="656">
                  <c:v>30.615102373452004</c:v>
                </c:pt>
                <c:pt idx="657">
                  <c:v>26.758424663130924</c:v>
                </c:pt>
                <c:pt idx="658">
                  <c:v>26.838354265957602</c:v>
                </c:pt>
                <c:pt idx="659">
                  <c:v>26.647907463132491</c:v>
                </c:pt>
                <c:pt idx="660">
                  <c:v>26.64129656154747</c:v>
                </c:pt>
                <c:pt idx="661">
                  <c:v>26.500146567859318</c:v>
                </c:pt>
                <c:pt idx="662">
                  <c:v>26.446764343572678</c:v>
                </c:pt>
                <c:pt idx="663">
                  <c:v>26.389142286757092</c:v>
                </c:pt>
                <c:pt idx="664">
                  <c:v>26.230691156137333</c:v>
                </c:pt>
                <c:pt idx="665">
                  <c:v>25.30458192168069</c:v>
                </c:pt>
                <c:pt idx="666">
                  <c:v>25.07303992187018</c:v>
                </c:pt>
                <c:pt idx="667">
                  <c:v>25.04685601389842</c:v>
                </c:pt>
                <c:pt idx="668">
                  <c:v>26.87745484397264</c:v>
                </c:pt>
                <c:pt idx="669">
                  <c:v>27.323462545257492</c:v>
                </c:pt>
                <c:pt idx="670">
                  <c:v>29.692583117155092</c:v>
                </c:pt>
                <c:pt idx="671">
                  <c:v>31.52071409902895</c:v>
                </c:pt>
                <c:pt idx="672">
                  <c:v>30.708646325912021</c:v>
                </c:pt>
                <c:pt idx="673">
                  <c:v>30.230137505119124</c:v>
                </c:pt>
                <c:pt idx="674">
                  <c:v>31.613070315467564</c:v>
                </c:pt>
                <c:pt idx="675">
                  <c:v>33.426919524485861</c:v>
                </c:pt>
                <c:pt idx="676">
                  <c:v>35.833126539555636</c:v>
                </c:pt>
                <c:pt idx="677">
                  <c:v>35.792183798996014</c:v>
                </c:pt>
                <c:pt idx="678">
                  <c:v>37.80627911957766</c:v>
                </c:pt>
                <c:pt idx="679">
                  <c:v>37.445490657796519</c:v>
                </c:pt>
                <c:pt idx="680">
                  <c:v>38.514409299415462</c:v>
                </c:pt>
                <c:pt idx="681">
                  <c:v>39.449238323631704</c:v>
                </c:pt>
                <c:pt idx="682">
                  <c:v>38.05444701276376</c:v>
                </c:pt>
                <c:pt idx="683">
                  <c:v>39.986452003514003</c:v>
                </c:pt>
                <c:pt idx="684">
                  <c:v>41.012002447881244</c:v>
                </c:pt>
                <c:pt idx="685">
                  <c:v>42.248925771593441</c:v>
                </c:pt>
                <c:pt idx="686">
                  <c:v>41.075346801175371</c:v>
                </c:pt>
                <c:pt idx="687">
                  <c:v>41.625424354501817</c:v>
                </c:pt>
                <c:pt idx="688">
                  <c:v>42.408253746982929</c:v>
                </c:pt>
                <c:pt idx="689">
                  <c:v>40.899532752285779</c:v>
                </c:pt>
                <c:pt idx="690">
                  <c:v>41.5279836007482</c:v>
                </c:pt>
                <c:pt idx="691">
                  <c:v>42.469342091063062</c:v>
                </c:pt>
                <c:pt idx="692">
                  <c:v>46.959339290533634</c:v>
                </c:pt>
                <c:pt idx="693">
                  <c:v>48.650492965834246</c:v>
                </c:pt>
                <c:pt idx="694">
                  <c:v>49.521755986960855</c:v>
                </c:pt>
                <c:pt idx="695">
                  <c:v>47.900416027367093</c:v>
                </c:pt>
                <c:pt idx="696">
                  <c:v>50.788099234331504</c:v>
                </c:pt>
                <c:pt idx="697">
                  <c:v>55.288858465955045</c:v>
                </c:pt>
                <c:pt idx="698">
                  <c:v>58.09260104024748</c:v>
                </c:pt>
                <c:pt idx="699">
                  <c:v>60.293820825419232</c:v>
                </c:pt>
                <c:pt idx="700">
                  <c:v>55.615109207276703</c:v>
                </c:pt>
                <c:pt idx="701">
                  <c:v>59.570176251042234</c:v>
                </c:pt>
                <c:pt idx="702">
                  <c:v>59.691035552394801</c:v>
                </c:pt>
                <c:pt idx="703">
                  <c:v>57.551634798099201</c:v>
                </c:pt>
                <c:pt idx="704">
                  <c:v>55.035682589986955</c:v>
                </c:pt>
                <c:pt idx="705">
                  <c:v>54.843547383736414</c:v>
                </c:pt>
                <c:pt idx="706">
                  <c:v>53.698014832479132</c:v>
                </c:pt>
                <c:pt idx="707">
                  <c:v>53.298532816420725</c:v>
                </c:pt>
                <c:pt idx="708">
                  <c:v>55.260192887850586</c:v>
                </c:pt>
                <c:pt idx="709">
                  <c:v>55.277115378990089</c:v>
                </c:pt>
                <c:pt idx="710">
                  <c:v>56.873834979375381</c:v>
                </c:pt>
                <c:pt idx="711">
                  <c:v>60.506828966600395</c:v>
                </c:pt>
                <c:pt idx="712">
                  <c:v>61.979634053806372</c:v>
                </c:pt>
                <c:pt idx="713">
                  <c:v>60.535359820333554</c:v>
                </c:pt>
                <c:pt idx="714">
                  <c:v>62.899165332198216</c:v>
                </c:pt>
                <c:pt idx="715">
                  <c:v>60.374674862190382</c:v>
                </c:pt>
                <c:pt idx="716">
                  <c:v>62.436906861806726</c:v>
                </c:pt>
                <c:pt idx="717">
                  <c:v>59.829438669850227</c:v>
                </c:pt>
                <c:pt idx="718">
                  <c:v>58.39947361489444</c:v>
                </c:pt>
                <c:pt idx="719">
                  <c:v>58.231173117215995</c:v>
                </c:pt>
                <c:pt idx="720">
                  <c:v>58.630307099161335</c:v>
                </c:pt>
                <c:pt idx="721">
                  <c:v>61.230691788032587</c:v>
                </c:pt>
                <c:pt idx="722">
                  <c:v>62.697276898083487</c:v>
                </c:pt>
                <c:pt idx="723">
                  <c:v>66.516341906334389</c:v>
                </c:pt>
                <c:pt idx="724">
                  <c:v>68.76704143739731</c:v>
                </c:pt>
                <c:pt idx="725">
                  <c:v>68.146360767605827</c:v>
                </c:pt>
                <c:pt idx="726">
                  <c:v>70.089152990050167</c:v>
                </c:pt>
                <c:pt idx="727">
                  <c:v>72.868889102021271</c:v>
                </c:pt>
                <c:pt idx="728">
                  <c:v>77.395999080072116</c:v>
                </c:pt>
                <c:pt idx="729">
                  <c:v>74.809536817982334</c:v>
                </c:pt>
                <c:pt idx="730">
                  <c:v>61.774509867677594</c:v>
                </c:pt>
                <c:pt idx="731">
                  <c:v>61.524944726174873</c:v>
                </c:pt>
                <c:pt idx="732">
                  <c:v>61.503581492483512</c:v>
                </c:pt>
                <c:pt idx="733">
                  <c:v>61.321298731369836</c:v>
                </c:pt>
                <c:pt idx="734">
                  <c:v>60.9975628239428</c:v>
                </c:pt>
                <c:pt idx="735">
                  <c:v>60.831331744064485</c:v>
                </c:pt>
                <c:pt idx="736">
                  <c:v>61.632114442132334</c:v>
                </c:pt>
                <c:pt idx="737">
                  <c:v>61.92170289840417</c:v>
                </c:pt>
                <c:pt idx="738">
                  <c:v>64.125881343136214</c:v>
                </c:pt>
                <c:pt idx="739">
                  <c:v>68.972506802061787</c:v>
                </c:pt>
                <c:pt idx="740">
                  <c:v>67.495354976406261</c:v>
                </c:pt>
                <c:pt idx="741">
                  <c:v>70.431368219028215</c:v>
                </c:pt>
                <c:pt idx="742">
                  <c:v>73.628062114094234</c:v>
                </c:pt>
                <c:pt idx="743">
                  <c:v>72.315572473942765</c:v>
                </c:pt>
                <c:pt idx="744">
                  <c:v>73.403012007582703</c:v>
                </c:pt>
                <c:pt idx="745">
                  <c:v>80.110359494727135</c:v>
                </c:pt>
                <c:pt idx="746">
                  <c:v>80.413845314636859</c:v>
                </c:pt>
                <c:pt idx="747">
                  <c:v>81.644819099529286</c:v>
                </c:pt>
                <c:pt idx="748">
                  <c:v>85.742154210844291</c:v>
                </c:pt>
                <c:pt idx="749">
                  <c:v>88.497417581490083</c:v>
                </c:pt>
                <c:pt idx="750">
                  <c:v>86.391093519908765</c:v>
                </c:pt>
                <c:pt idx="751">
                  <c:v>92.108677843358777</c:v>
                </c:pt>
                <c:pt idx="752">
                  <c:v>91.440649864338482</c:v>
                </c:pt>
                <c:pt idx="753">
                  <c:v>95.306057654481165</c:v>
                </c:pt>
                <c:pt idx="754">
                  <c:v>89.114584645490496</c:v>
                </c:pt>
                <c:pt idx="755">
                  <c:v>91.073871793188147</c:v>
                </c:pt>
                <c:pt idx="756">
                  <c:v>90.539716462806624</c:v>
                </c:pt>
                <c:pt idx="757">
                  <c:v>83.770478692270999</c:v>
                </c:pt>
                <c:pt idx="758">
                  <c:v>83.464857172551561</c:v>
                </c:pt>
                <c:pt idx="759">
                  <c:v>83.143603480893063</c:v>
                </c:pt>
                <c:pt idx="760">
                  <c:v>82.938260950245493</c:v>
                </c:pt>
                <c:pt idx="761">
                  <c:v>82.502246962990299</c:v>
                </c:pt>
                <c:pt idx="762">
                  <c:v>82.353121187501216</c:v>
                </c:pt>
                <c:pt idx="763">
                  <c:v>82.278262473486464</c:v>
                </c:pt>
                <c:pt idx="764">
                  <c:v>81.37372505581331</c:v>
                </c:pt>
                <c:pt idx="765">
                  <c:v>80.955062792862364</c:v>
                </c:pt>
                <c:pt idx="766">
                  <c:v>80.431128434626373</c:v>
                </c:pt>
                <c:pt idx="767">
                  <c:v>79.701852679266693</c:v>
                </c:pt>
                <c:pt idx="768">
                  <c:v>79.672952269706883</c:v>
                </c:pt>
                <c:pt idx="769">
                  <c:v>78.998389257004192</c:v>
                </c:pt>
                <c:pt idx="770">
                  <c:v>78.187913161944778</c:v>
                </c:pt>
                <c:pt idx="771">
                  <c:v>82.998858711873496</c:v>
                </c:pt>
                <c:pt idx="772">
                  <c:v>87.069952138327039</c:v>
                </c:pt>
                <c:pt idx="773">
                  <c:v>89.299974263716607</c:v>
                </c:pt>
                <c:pt idx="774">
                  <c:v>88.075635211301318</c:v>
                </c:pt>
                <c:pt idx="775">
                  <c:v>93.579338488777438</c:v>
                </c:pt>
                <c:pt idx="776">
                  <c:v>91.28847616882409</c:v>
                </c:pt>
                <c:pt idx="777">
                  <c:v>91.63633137224501</c:v>
                </c:pt>
                <c:pt idx="778">
                  <c:v>92.82571053820395</c:v>
                </c:pt>
                <c:pt idx="779">
                  <c:v>85.478523816216622</c:v>
                </c:pt>
                <c:pt idx="780">
                  <c:v>85.646344169630083</c:v>
                </c:pt>
                <c:pt idx="781">
                  <c:v>84.618805192433385</c:v>
                </c:pt>
                <c:pt idx="782">
                  <c:v>83.983868202202316</c:v>
                </c:pt>
                <c:pt idx="783">
                  <c:v>83.103488845522733</c:v>
                </c:pt>
                <c:pt idx="784">
                  <c:v>84.648174991538724</c:v>
                </c:pt>
                <c:pt idx="785">
                  <c:v>86.421922548315834</c:v>
                </c:pt>
                <c:pt idx="786">
                  <c:v>79.904361925672958</c:v>
                </c:pt>
                <c:pt idx="787">
                  <c:v>80.112145917267156</c:v>
                </c:pt>
                <c:pt idx="788">
                  <c:v>79.869791483970218</c:v>
                </c:pt>
                <c:pt idx="789">
                  <c:v>79.742575133675473</c:v>
                </c:pt>
                <c:pt idx="790">
                  <c:v>79.593678181363046</c:v>
                </c:pt>
                <c:pt idx="791">
                  <c:v>78.802189568105575</c:v>
                </c:pt>
                <c:pt idx="792">
                  <c:v>79.110868530753095</c:v>
                </c:pt>
                <c:pt idx="793">
                  <c:v>82.378176406890645</c:v>
                </c:pt>
                <c:pt idx="794">
                  <c:v>86.373419432816377</c:v>
                </c:pt>
                <c:pt idx="795">
                  <c:v>91.381394254666176</c:v>
                </c:pt>
                <c:pt idx="796">
                  <c:v>91.708490518889462</c:v>
                </c:pt>
                <c:pt idx="797">
                  <c:v>93.2042799249881</c:v>
                </c:pt>
                <c:pt idx="798">
                  <c:v>94.084753171749952</c:v>
                </c:pt>
                <c:pt idx="799">
                  <c:v>98.845820889229657</c:v>
                </c:pt>
                <c:pt idx="800">
                  <c:v>101.97855676055283</c:v>
                </c:pt>
                <c:pt idx="801">
                  <c:v>95.056815142426188</c:v>
                </c:pt>
                <c:pt idx="802">
                  <c:v>99.378288674712422</c:v>
                </c:pt>
                <c:pt idx="803">
                  <c:v>97.643089444331906</c:v>
                </c:pt>
                <c:pt idx="804">
                  <c:v>100.05354255661591</c:v>
                </c:pt>
                <c:pt idx="805">
                  <c:v>107.31626344093698</c:v>
                </c:pt>
                <c:pt idx="806">
                  <c:v>104.85773380191078</c:v>
                </c:pt>
                <c:pt idx="807">
                  <c:v>98.754237226749183</c:v>
                </c:pt>
                <c:pt idx="808">
                  <c:v>98.661511414571493</c:v>
                </c:pt>
                <c:pt idx="809">
                  <c:v>97.823772763990092</c:v>
                </c:pt>
                <c:pt idx="810">
                  <c:v>95.125928351716993</c:v>
                </c:pt>
                <c:pt idx="811">
                  <c:v>95.102790912934964</c:v>
                </c:pt>
                <c:pt idx="812">
                  <c:v>94.69114645568348</c:v>
                </c:pt>
                <c:pt idx="813">
                  <c:v>94.613359957580272</c:v>
                </c:pt>
                <c:pt idx="814">
                  <c:v>94.65187574551706</c:v>
                </c:pt>
                <c:pt idx="815">
                  <c:v>94.619236404502473</c:v>
                </c:pt>
                <c:pt idx="816">
                  <c:v>94.595637694399599</c:v>
                </c:pt>
                <c:pt idx="817">
                  <c:v>93.88931830655423</c:v>
                </c:pt>
                <c:pt idx="818">
                  <c:v>93.020585594229217</c:v>
                </c:pt>
                <c:pt idx="819">
                  <c:v>92.924825899536302</c:v>
                </c:pt>
                <c:pt idx="820">
                  <c:v>92.807992514232652</c:v>
                </c:pt>
                <c:pt idx="821">
                  <c:v>92.944524256607536</c:v>
                </c:pt>
                <c:pt idx="822">
                  <c:v>92.191796094281088</c:v>
                </c:pt>
                <c:pt idx="823">
                  <c:v>96.708753793118362</c:v>
                </c:pt>
                <c:pt idx="824">
                  <c:v>97.930517132190616</c:v>
                </c:pt>
                <c:pt idx="825">
                  <c:v>100.12249587895353</c:v>
                </c:pt>
                <c:pt idx="826">
                  <c:v>95.281399774767351</c:v>
                </c:pt>
                <c:pt idx="827">
                  <c:v>98.310200312687414</c:v>
                </c:pt>
                <c:pt idx="828">
                  <c:v>103.01778759101178</c:v>
                </c:pt>
                <c:pt idx="829">
                  <c:v>106.62150102690825</c:v>
                </c:pt>
                <c:pt idx="830">
                  <c:v>108.80548537117242</c:v>
                </c:pt>
                <c:pt idx="831">
                  <c:v>111.06245604116243</c:v>
                </c:pt>
                <c:pt idx="832">
                  <c:v>116.13618816501224</c:v>
                </c:pt>
                <c:pt idx="833">
                  <c:v>120.15820151170091</c:v>
                </c:pt>
                <c:pt idx="834">
                  <c:v>120.85078095195219</c:v>
                </c:pt>
                <c:pt idx="835">
                  <c:v>114.8247850197899</c:v>
                </c:pt>
                <c:pt idx="836">
                  <c:v>113.10357966818016</c:v>
                </c:pt>
                <c:pt idx="837">
                  <c:v>120.62447143195018</c:v>
                </c:pt>
                <c:pt idx="838">
                  <c:v>124.24869839245009</c:v>
                </c:pt>
                <c:pt idx="839">
                  <c:v>133.39112466191185</c:v>
                </c:pt>
                <c:pt idx="840">
                  <c:v>136.60660522432758</c:v>
                </c:pt>
                <c:pt idx="841">
                  <c:v>145.00677350049079</c:v>
                </c:pt>
                <c:pt idx="842">
                  <c:v>152.89840686967099</c:v>
                </c:pt>
                <c:pt idx="843">
                  <c:v>151.4594715278588</c:v>
                </c:pt>
                <c:pt idx="844">
                  <c:v>156.42513209787771</c:v>
                </c:pt>
                <c:pt idx="845">
                  <c:v>163.32130370583522</c:v>
                </c:pt>
                <c:pt idx="846">
                  <c:v>172.51271624285002</c:v>
                </c:pt>
                <c:pt idx="847">
                  <c:v>185.73841345257529</c:v>
                </c:pt>
                <c:pt idx="848">
                  <c:v>177.22106358686739</c:v>
                </c:pt>
                <c:pt idx="849">
                  <c:v>182.01420031309877</c:v>
                </c:pt>
                <c:pt idx="850">
                  <c:v>170.48746291257169</c:v>
                </c:pt>
                <c:pt idx="851">
                  <c:v>167.99364938131126</c:v>
                </c:pt>
                <c:pt idx="852">
                  <c:v>173.52914807755033</c:v>
                </c:pt>
                <c:pt idx="853">
                  <c:v>183.09199768340224</c:v>
                </c:pt>
                <c:pt idx="854">
                  <c:v>194.19911046890638</c:v>
                </c:pt>
                <c:pt idx="855">
                  <c:v>206.13147684415091</c:v>
                </c:pt>
                <c:pt idx="856">
                  <c:v>210.94226948325075</c:v>
                </c:pt>
                <c:pt idx="857">
                  <c:v>205.30731104486202</c:v>
                </c:pt>
                <c:pt idx="858">
                  <c:v>212.2789975098955</c:v>
                </c:pt>
                <c:pt idx="859">
                  <c:v>215.24407135887776</c:v>
                </c:pt>
                <c:pt idx="860">
                  <c:v>183.79225711005165</c:v>
                </c:pt>
                <c:pt idx="861">
                  <c:v>183.86244861931431</c:v>
                </c:pt>
                <c:pt idx="862">
                  <c:v>183.82265357169649</c:v>
                </c:pt>
                <c:pt idx="863">
                  <c:v>184.04459617001231</c:v>
                </c:pt>
                <c:pt idx="864">
                  <c:v>189.49250855951948</c:v>
                </c:pt>
                <c:pt idx="865">
                  <c:v>196.88346632714999</c:v>
                </c:pt>
                <c:pt idx="866">
                  <c:v>197.09940879140987</c:v>
                </c:pt>
                <c:pt idx="867">
                  <c:v>211.50178150841407</c:v>
                </c:pt>
                <c:pt idx="868">
                  <c:v>225.75422587941</c:v>
                </c:pt>
                <c:pt idx="869">
                  <c:v>219.73702036033276</c:v>
                </c:pt>
                <c:pt idx="870">
                  <c:v>234.12600609490025</c:v>
                </c:pt>
                <c:pt idx="871">
                  <c:v>236.06866292230828</c:v>
                </c:pt>
                <c:pt idx="872">
                  <c:v>228.82010638503212</c:v>
                </c:pt>
                <c:pt idx="873">
                  <c:v>229.56621398836398</c:v>
                </c:pt>
                <c:pt idx="874">
                  <c:v>235.849571640037</c:v>
                </c:pt>
                <c:pt idx="875">
                  <c:v>253.00791993891752</c:v>
                </c:pt>
                <c:pt idx="876">
                  <c:v>277.95304465382475</c:v>
                </c:pt>
                <c:pt idx="877">
                  <c:v>262.82998220727893</c:v>
                </c:pt>
                <c:pt idx="878">
                  <c:v>271.703780134917</c:v>
                </c:pt>
                <c:pt idx="879">
                  <c:v>298.46796172976963</c:v>
                </c:pt>
                <c:pt idx="880">
                  <c:v>285.53756493235619</c:v>
                </c:pt>
                <c:pt idx="881">
                  <c:v>288.34169325173895</c:v>
                </c:pt>
                <c:pt idx="882">
                  <c:v>285.47773216836271</c:v>
                </c:pt>
                <c:pt idx="883">
                  <c:v>278.8693537873508</c:v>
                </c:pt>
                <c:pt idx="884">
                  <c:v>300.35179114993275</c:v>
                </c:pt>
                <c:pt idx="885">
                  <c:v>290.90245828232128</c:v>
                </c:pt>
                <c:pt idx="886">
                  <c:v>288.78525140448784</c:v>
                </c:pt>
                <c:pt idx="887">
                  <c:v>271.26098564157769</c:v>
                </c:pt>
                <c:pt idx="888">
                  <c:v>271.35144265428005</c:v>
                </c:pt>
                <c:pt idx="889">
                  <c:v>271.43289507108511</c:v>
                </c:pt>
                <c:pt idx="890">
                  <c:v>271.68734524000018</c:v>
                </c:pt>
                <c:pt idx="891">
                  <c:v>271.13963862857076</c:v>
                </c:pt>
                <c:pt idx="892">
                  <c:v>270.27898250955968</c:v>
                </c:pt>
                <c:pt idx="893">
                  <c:v>268.7067528193204</c:v>
                </c:pt>
                <c:pt idx="894">
                  <c:v>268.08725346812446</c:v>
                </c:pt>
                <c:pt idx="895">
                  <c:v>268.38153934442948</c:v>
                </c:pt>
                <c:pt idx="896">
                  <c:v>269.7667781425472</c:v>
                </c:pt>
                <c:pt idx="897">
                  <c:v>269.31137950106915</c:v>
                </c:pt>
                <c:pt idx="898">
                  <c:v>269.60796498347656</c:v>
                </c:pt>
                <c:pt idx="899">
                  <c:v>269.1348927749151</c:v>
                </c:pt>
                <c:pt idx="900">
                  <c:v>269.12223610685561</c:v>
                </c:pt>
                <c:pt idx="901">
                  <c:v>268.67750235716738</c:v>
                </c:pt>
                <c:pt idx="902">
                  <c:v>268.57403153394756</c:v>
                </c:pt>
                <c:pt idx="903">
                  <c:v>268.41862839513823</c:v>
                </c:pt>
                <c:pt idx="904">
                  <c:v>255.35988577766355</c:v>
                </c:pt>
                <c:pt idx="905">
                  <c:v>255.00849942445001</c:v>
                </c:pt>
                <c:pt idx="906">
                  <c:v>255.23711877415963</c:v>
                </c:pt>
                <c:pt idx="907">
                  <c:v>256.48311567458194</c:v>
                </c:pt>
                <c:pt idx="908">
                  <c:v>256.46152963903228</c:v>
                </c:pt>
                <c:pt idx="909">
                  <c:v>255.96654595471051</c:v>
                </c:pt>
                <c:pt idx="910">
                  <c:v>254.37349297276069</c:v>
                </c:pt>
                <c:pt idx="911">
                  <c:v>254.73691397150702</c:v>
                </c:pt>
                <c:pt idx="912">
                  <c:v>254.78712013518742</c:v>
                </c:pt>
                <c:pt idx="913">
                  <c:v>254.47740550385916</c:v>
                </c:pt>
                <c:pt idx="914">
                  <c:v>254.12107038872367</c:v>
                </c:pt>
                <c:pt idx="915">
                  <c:v>252.99670439379943</c:v>
                </c:pt>
                <c:pt idx="916">
                  <c:v>252.38949919732312</c:v>
                </c:pt>
                <c:pt idx="917">
                  <c:v>253.72299340858561</c:v>
                </c:pt>
                <c:pt idx="918">
                  <c:v>260.19421638686271</c:v>
                </c:pt>
                <c:pt idx="919">
                  <c:v>276.21609001809281</c:v>
                </c:pt>
                <c:pt idx="920">
                  <c:v>287.02968042994712</c:v>
                </c:pt>
                <c:pt idx="921">
                  <c:v>288.6646095737953</c:v>
                </c:pt>
                <c:pt idx="922">
                  <c:v>291.42576674815945</c:v>
                </c:pt>
                <c:pt idx="923">
                  <c:v>297.4839147992958</c:v>
                </c:pt>
                <c:pt idx="924">
                  <c:v>300.18307780067573</c:v>
                </c:pt>
                <c:pt idx="925">
                  <c:v>301.47475950614012</c:v>
                </c:pt>
                <c:pt idx="926">
                  <c:v>308.58088347815237</c:v>
                </c:pt>
                <c:pt idx="927">
                  <c:v>316.03942395163261</c:v>
                </c:pt>
                <c:pt idx="928">
                  <c:v>312.78150384426033</c:v>
                </c:pt>
                <c:pt idx="929">
                  <c:v>313.48366086419878</c:v>
                </c:pt>
                <c:pt idx="930">
                  <c:v>312.44057013555232</c:v>
                </c:pt>
                <c:pt idx="931">
                  <c:v>303.15064340890729</c:v>
                </c:pt>
                <c:pt idx="932">
                  <c:v>301.90515395572544</c:v>
                </c:pt>
                <c:pt idx="933">
                  <c:v>308.26778884719306</c:v>
                </c:pt>
                <c:pt idx="934">
                  <c:v>307.4727869053886</c:v>
                </c:pt>
                <c:pt idx="935">
                  <c:v>307.29747081368424</c:v>
                </c:pt>
                <c:pt idx="936">
                  <c:v>310.771051112534</c:v>
                </c:pt>
                <c:pt idx="937">
                  <c:v>314.41498106513131</c:v>
                </c:pt>
                <c:pt idx="938">
                  <c:v>329.13728326175107</c:v>
                </c:pt>
                <c:pt idx="939">
                  <c:v>319.59870242944726</c:v>
                </c:pt>
                <c:pt idx="940">
                  <c:v>318.15863519306657</c:v>
                </c:pt>
                <c:pt idx="941">
                  <c:v>329.98630721352094</c:v>
                </c:pt>
                <c:pt idx="942">
                  <c:v>346.66394592086505</c:v>
                </c:pt>
                <c:pt idx="943">
                  <c:v>370.77889963023028</c:v>
                </c:pt>
                <c:pt idx="944">
                  <c:v>365.85926824992953</c:v>
                </c:pt>
                <c:pt idx="945">
                  <c:v>378.69755331966695</c:v>
                </c:pt>
                <c:pt idx="946">
                  <c:v>373.99011987152619</c:v>
                </c:pt>
                <c:pt idx="947">
                  <c:v>390.9850745569052</c:v>
                </c:pt>
                <c:pt idx="948">
                  <c:v>396.84962623071738</c:v>
                </c:pt>
                <c:pt idx="949">
                  <c:v>409.81329483991186</c:v>
                </c:pt>
                <c:pt idx="950">
                  <c:v>417.14061950995529</c:v>
                </c:pt>
                <c:pt idx="951">
                  <c:v>429.34168311583585</c:v>
                </c:pt>
                <c:pt idx="952">
                  <c:v>435.2099656616985</c:v>
                </c:pt>
                <c:pt idx="953">
                  <c:v>400.55607159209575</c:v>
                </c:pt>
                <c:pt idx="954">
                  <c:v>405.81931287539504</c:v>
                </c:pt>
                <c:pt idx="955">
                  <c:v>413.52555101611836</c:v>
                </c:pt>
                <c:pt idx="956">
                  <c:v>422.48661186533201</c:v>
                </c:pt>
                <c:pt idx="957">
                  <c:v>430.72155519376622</c:v>
                </c:pt>
                <c:pt idx="958">
                  <c:v>448.46426572425111</c:v>
                </c:pt>
                <c:pt idx="959">
                  <c:v>450.18774236660914</c:v>
                </c:pt>
                <c:pt idx="960">
                  <c:v>449.47252185522785</c:v>
                </c:pt>
                <c:pt idx="961">
                  <c:v>473.01206784567341</c:v>
                </c:pt>
                <c:pt idx="962">
                  <c:v>470.72820301997751</c:v>
                </c:pt>
                <c:pt idx="963">
                  <c:v>474.68271712243813</c:v>
                </c:pt>
                <c:pt idx="964">
                  <c:v>490.74246849648773</c:v>
                </c:pt>
                <c:pt idx="965">
                  <c:v>510.60683114866828</c:v>
                </c:pt>
                <c:pt idx="966">
                  <c:v>512.1042617467939</c:v>
                </c:pt>
                <c:pt idx="967">
                  <c:v>493.05822387070583</c:v>
                </c:pt>
                <c:pt idx="968">
                  <c:v>490.34121627076576</c:v>
                </c:pt>
                <c:pt idx="969">
                  <c:v>507.44355056463189</c:v>
                </c:pt>
                <c:pt idx="970">
                  <c:v>514.37246959912136</c:v>
                </c:pt>
                <c:pt idx="971">
                  <c:v>472.66021553058351</c:v>
                </c:pt>
                <c:pt idx="972">
                  <c:v>471.31757230343686</c:v>
                </c:pt>
                <c:pt idx="973">
                  <c:v>472.47983061741326</c:v>
                </c:pt>
                <c:pt idx="974">
                  <c:v>471.63421906407069</c:v>
                </c:pt>
                <c:pt idx="975">
                  <c:v>469.84791661294526</c:v>
                </c:pt>
                <c:pt idx="976">
                  <c:v>465.96941699052184</c:v>
                </c:pt>
                <c:pt idx="977">
                  <c:v>462.10377701917236</c:v>
                </c:pt>
                <c:pt idx="978">
                  <c:v>461.13133899429107</c:v>
                </c:pt>
                <c:pt idx="979">
                  <c:v>462.95751684308669</c:v>
                </c:pt>
                <c:pt idx="980">
                  <c:v>463.97282643770842</c:v>
                </c:pt>
                <c:pt idx="981">
                  <c:v>463.31238020753153</c:v>
                </c:pt>
                <c:pt idx="982">
                  <c:v>460.67089920277806</c:v>
                </c:pt>
                <c:pt idx="983">
                  <c:v>463.56774082619319</c:v>
                </c:pt>
                <c:pt idx="984">
                  <c:v>465.70039041765568</c:v>
                </c:pt>
                <c:pt idx="985">
                  <c:v>469.4691288556748</c:v>
                </c:pt>
                <c:pt idx="986">
                  <c:v>468.16896959669219</c:v>
                </c:pt>
                <c:pt idx="987">
                  <c:v>469.49661622380972</c:v>
                </c:pt>
                <c:pt idx="988">
                  <c:v>465.19767388723335</c:v>
                </c:pt>
                <c:pt idx="989">
                  <c:v>464.26355343319028</c:v>
                </c:pt>
                <c:pt idx="990">
                  <c:v>453.71760833096187</c:v>
                </c:pt>
                <c:pt idx="991">
                  <c:v>493.95674669136685</c:v>
                </c:pt>
                <c:pt idx="992">
                  <c:v>509.82534807615667</c:v>
                </c:pt>
                <c:pt idx="993">
                  <c:v>516.45970683095959</c:v>
                </c:pt>
                <c:pt idx="994">
                  <c:v>495.30063508375378</c:v>
                </c:pt>
                <c:pt idx="995">
                  <c:v>510.26660364077713</c:v>
                </c:pt>
                <c:pt idx="996">
                  <c:v>527.94112729578592</c:v>
                </c:pt>
                <c:pt idx="997">
                  <c:v>510.96660691000636</c:v>
                </c:pt>
                <c:pt idx="998">
                  <c:v>536.4690293016979</c:v>
                </c:pt>
                <c:pt idx="999">
                  <c:v>568.81806438928368</c:v>
                </c:pt>
                <c:pt idx="1000">
                  <c:v>565.98352077369998</c:v>
                </c:pt>
                <c:pt idx="1001">
                  <c:v>541.8215528706379</c:v>
                </c:pt>
                <c:pt idx="1002">
                  <c:v>524.90169935772678</c:v>
                </c:pt>
                <c:pt idx="1003">
                  <c:v>528.54684575854151</c:v>
                </c:pt>
                <c:pt idx="1004">
                  <c:v>502.28496712478108</c:v>
                </c:pt>
                <c:pt idx="1005">
                  <c:v>502.19196028620502</c:v>
                </c:pt>
                <c:pt idx="1006">
                  <c:v>499.3244258928442</c:v>
                </c:pt>
                <c:pt idx="1007">
                  <c:v>497.92070987587715</c:v>
                </c:pt>
                <c:pt idx="1008">
                  <c:v>497.53639901554442</c:v>
                </c:pt>
                <c:pt idx="1009">
                  <c:v>506.86776499815056</c:v>
                </c:pt>
                <c:pt idx="1010">
                  <c:v>521.39201405649021</c:v>
                </c:pt>
                <c:pt idx="1011">
                  <c:v>501.56886298045225</c:v>
                </c:pt>
                <c:pt idx="1012">
                  <c:v>513.76432094416532</c:v>
                </c:pt>
                <c:pt idx="1013">
                  <c:v>491.56107672230803</c:v>
                </c:pt>
                <c:pt idx="1014">
                  <c:v>466.00283559628866</c:v>
                </c:pt>
                <c:pt idx="1015">
                  <c:v>469.6694553177233</c:v>
                </c:pt>
                <c:pt idx="1016">
                  <c:v>470.85108544786016</c:v>
                </c:pt>
                <c:pt idx="1017">
                  <c:v>469.38859298735525</c:v>
                </c:pt>
                <c:pt idx="1018">
                  <c:v>469.50480485157129</c:v>
                </c:pt>
                <c:pt idx="1019">
                  <c:v>470.13018080403646</c:v>
                </c:pt>
                <c:pt idx="1020">
                  <c:v>470.66228643657121</c:v>
                </c:pt>
                <c:pt idx="1021">
                  <c:v>501.02692630452788</c:v>
                </c:pt>
                <c:pt idx="1022">
                  <c:v>512.68902903790888</c:v>
                </c:pt>
                <c:pt idx="1023">
                  <c:v>521.19193571482333</c:v>
                </c:pt>
                <c:pt idx="1024">
                  <c:v>518.46397732799551</c:v>
                </c:pt>
                <c:pt idx="1025">
                  <c:v>484.41541639200415</c:v>
                </c:pt>
                <c:pt idx="1026">
                  <c:v>521.08879597122495</c:v>
                </c:pt>
                <c:pt idx="1027">
                  <c:v>539.46178918981923</c:v>
                </c:pt>
                <c:pt idx="1028">
                  <c:v>551.81690907620123</c:v>
                </c:pt>
                <c:pt idx="1029">
                  <c:v>551.33336111521533</c:v>
                </c:pt>
                <c:pt idx="1030">
                  <c:v>542.16905378230069</c:v>
                </c:pt>
                <c:pt idx="1031">
                  <c:v>552.13872605149356</c:v>
                </c:pt>
                <c:pt idx="1032">
                  <c:v>551.73484861255099</c:v>
                </c:pt>
                <c:pt idx="1033">
                  <c:v>584.59997957673238</c:v>
                </c:pt>
                <c:pt idx="1034">
                  <c:v>586.1865687843981</c:v>
                </c:pt>
                <c:pt idx="1035">
                  <c:v>617.07566801739517</c:v>
                </c:pt>
                <c:pt idx="1036">
                  <c:v>630.2333312139973</c:v>
                </c:pt>
                <c:pt idx="1037">
                  <c:v>642.84710159861868</c:v>
                </c:pt>
                <c:pt idx="1038">
                  <c:v>614.26924631070665</c:v>
                </c:pt>
                <c:pt idx="1039">
                  <c:v>656.67721329128119</c:v>
                </c:pt>
                <c:pt idx="1040">
                  <c:v>631.13022578394919</c:v>
                </c:pt>
                <c:pt idx="1041">
                  <c:v>660.03096559925314</c:v>
                </c:pt>
                <c:pt idx="1042">
                  <c:v>668.43236138807572</c:v>
                </c:pt>
                <c:pt idx="1043">
                  <c:v>686.50446760202237</c:v>
                </c:pt>
                <c:pt idx="1044">
                  <c:v>688.21203756044099</c:v>
                </c:pt>
                <c:pt idx="1045">
                  <c:v>673.82100420186237</c:v>
                </c:pt>
                <c:pt idx="1046">
                  <c:v>702.23514815144165</c:v>
                </c:pt>
                <c:pt idx="1047">
                  <c:v>695.00006144297856</c:v>
                </c:pt>
                <c:pt idx="1048">
                  <c:v>705.24425224113804</c:v>
                </c:pt>
                <c:pt idx="1049">
                  <c:v>724.30066414042255</c:v>
                </c:pt>
                <c:pt idx="1050">
                  <c:v>745.84058403025483</c:v>
                </c:pt>
                <c:pt idx="1051">
                  <c:v>737.00691213842788</c:v>
                </c:pt>
                <c:pt idx="1052">
                  <c:v>763.05078507801863</c:v>
                </c:pt>
                <c:pt idx="1053">
                  <c:v>762.74187066172169</c:v>
                </c:pt>
                <c:pt idx="1054">
                  <c:v>779.70909121711634</c:v>
                </c:pt>
                <c:pt idx="1055">
                  <c:v>801.36247820452559</c:v>
                </c:pt>
                <c:pt idx="1056">
                  <c:v>797.10791233821396</c:v>
                </c:pt>
                <c:pt idx="1057">
                  <c:v>755.18212834515111</c:v>
                </c:pt>
                <c:pt idx="1058">
                  <c:v>756.81339317047173</c:v>
                </c:pt>
                <c:pt idx="1059">
                  <c:v>782.70259417957914</c:v>
                </c:pt>
                <c:pt idx="1060">
                  <c:v>789.69035812426796</c:v>
                </c:pt>
                <c:pt idx="1061">
                  <c:v>769.73242130481242</c:v>
                </c:pt>
                <c:pt idx="1062">
                  <c:v>754.15051505794497</c:v>
                </c:pt>
                <c:pt idx="1063">
                  <c:v>787.29052384220165</c:v>
                </c:pt>
                <c:pt idx="1064">
                  <c:v>749.47762591336107</c:v>
                </c:pt>
                <c:pt idx="1065">
                  <c:v>748.42184824405615</c:v>
                </c:pt>
                <c:pt idx="1066">
                  <c:v>747.4866008577178</c:v>
                </c:pt>
                <c:pt idx="1067">
                  <c:v>773.94800070148983</c:v>
                </c:pt>
                <c:pt idx="1068">
                  <c:v>757.27171020666071</c:v>
                </c:pt>
                <c:pt idx="1069">
                  <c:v>716.84852174449441</c:v>
                </c:pt>
                <c:pt idx="1070">
                  <c:v>715.22167781598625</c:v>
                </c:pt>
                <c:pt idx="1071">
                  <c:v>712.82994106014678</c:v>
                </c:pt>
                <c:pt idx="1072">
                  <c:v>711.05806532280883</c:v>
                </c:pt>
                <c:pt idx="1073">
                  <c:v>727.09363254727862</c:v>
                </c:pt>
                <c:pt idx="1074">
                  <c:v>715.03828442106737</c:v>
                </c:pt>
                <c:pt idx="1075">
                  <c:v>756.57841262698469</c:v>
                </c:pt>
                <c:pt idx="1076">
                  <c:v>749.62425911909554</c:v>
                </c:pt>
                <c:pt idx="1077">
                  <c:v>758.08809396296203</c:v>
                </c:pt>
                <c:pt idx="1078">
                  <c:v>753.30803201674473</c:v>
                </c:pt>
                <c:pt idx="1079">
                  <c:v>771.62034674688402</c:v>
                </c:pt>
                <c:pt idx="1080">
                  <c:v>809.59737169319487</c:v>
                </c:pt>
                <c:pt idx="1081">
                  <c:v>825.34809983204457</c:v>
                </c:pt>
                <c:pt idx="1082">
                  <c:v>841.09572089940571</c:v>
                </c:pt>
                <c:pt idx="1083">
                  <c:v>849.50492149024353</c:v>
                </c:pt>
                <c:pt idx="1084">
                  <c:v>861.85127438498193</c:v>
                </c:pt>
                <c:pt idx="1085">
                  <c:v>867.27812832151221</c:v>
                </c:pt>
                <c:pt idx="1086">
                  <c:v>856.24185526969063</c:v>
                </c:pt>
                <c:pt idx="1087">
                  <c:v>871.97412216832481</c:v>
                </c:pt>
                <c:pt idx="1088">
                  <c:v>879.34930509408264</c:v>
                </c:pt>
                <c:pt idx="1089">
                  <c:v>899.14784584470635</c:v>
                </c:pt>
                <c:pt idx="1090">
                  <c:v>933.4055394147681</c:v>
                </c:pt>
                <c:pt idx="1091">
                  <c:v>964.35705703293797</c:v>
                </c:pt>
                <c:pt idx="1092">
                  <c:v>972.07416826818564</c:v>
                </c:pt>
                <c:pt idx="1093">
                  <c:v>1003.7311404647851</c:v>
                </c:pt>
                <c:pt idx="1094">
                  <c:v>935.40054831678071</c:v>
                </c:pt>
                <c:pt idx="1095">
                  <c:v>926.52579817465789</c:v>
                </c:pt>
                <c:pt idx="1096">
                  <c:v>959.41790282942964</c:v>
                </c:pt>
                <c:pt idx="1097">
                  <c:v>995.58428535376402</c:v>
                </c:pt>
                <c:pt idx="1098">
                  <c:v>989.24879485540862</c:v>
                </c:pt>
                <c:pt idx="1099">
                  <c:v>1027.6569877728507</c:v>
                </c:pt>
                <c:pt idx="1100">
                  <c:v>1034.8407411963287</c:v>
                </c:pt>
                <c:pt idx="1101">
                  <c:v>1019.4139664914115</c:v>
                </c:pt>
                <c:pt idx="1102">
                  <c:v>969.32457715967303</c:v>
                </c:pt>
                <c:pt idx="1103">
                  <c:v>971.3994614255256</c:v>
                </c:pt>
                <c:pt idx="1104">
                  <c:v>889.09771445727893</c:v>
                </c:pt>
                <c:pt idx="1105">
                  <c:v>891.06451561677352</c:v>
                </c:pt>
                <c:pt idx="1106">
                  <c:v>887.24141646415558</c:v>
                </c:pt>
                <c:pt idx="1107">
                  <c:v>898.59324615786375</c:v>
                </c:pt>
                <c:pt idx="1108">
                  <c:v>939.300215109889</c:v>
                </c:pt>
                <c:pt idx="1109">
                  <c:v>888.44476252522702</c:v>
                </c:pt>
                <c:pt idx="1110">
                  <c:v>926.95113672883258</c:v>
                </c:pt>
                <c:pt idx="1111">
                  <c:v>936.36304227600272</c:v>
                </c:pt>
                <c:pt idx="1112">
                  <c:v>909.40591108928561</c:v>
                </c:pt>
                <c:pt idx="1113">
                  <c:v>941.63282028888943</c:v>
                </c:pt>
                <c:pt idx="1114">
                  <c:v>972.90006630067319</c:v>
                </c:pt>
                <c:pt idx="1115">
                  <c:v>1000.2955939240494</c:v>
                </c:pt>
                <c:pt idx="1116">
                  <c:v>1019.1255423307662</c:v>
                </c:pt>
                <c:pt idx="1117">
                  <c:v>1005.0499171307988</c:v>
                </c:pt>
                <c:pt idx="1118">
                  <c:v>927.10885367447031</c:v>
                </c:pt>
                <c:pt idx="1119">
                  <c:v>926.0103908947134</c:v>
                </c:pt>
                <c:pt idx="1120">
                  <c:v>929.00585131066805</c:v>
                </c:pt>
                <c:pt idx="1121">
                  <c:v>928.22917492945885</c:v>
                </c:pt>
                <c:pt idx="1122">
                  <c:v>927.64919442740393</c:v>
                </c:pt>
                <c:pt idx="1123">
                  <c:v>928.73566256408139</c:v>
                </c:pt>
                <c:pt idx="1124">
                  <c:v>967.35168014522549</c:v>
                </c:pt>
                <c:pt idx="1125">
                  <c:v>940.07766194880548</c:v>
                </c:pt>
                <c:pt idx="1126">
                  <c:v>909.81692930832708</c:v>
                </c:pt>
                <c:pt idx="1127">
                  <c:v>1025.9306513504978</c:v>
                </c:pt>
                <c:pt idx="1128">
                  <c:v>1045.5534760486671</c:v>
                </c:pt>
              </c:numCache>
            </c:numRef>
          </c:yVal>
          <c:smooth val="1"/>
          <c:extLst>
            <c:ext xmlns:c16="http://schemas.microsoft.com/office/drawing/2014/chart" uri="{C3380CC4-5D6E-409C-BE32-E72D297353CC}">
              <c16:uniqueId val="{00000003-4B68-4FEC-B8E9-CBBD6F2590D8}"/>
            </c:ext>
          </c:extLst>
        </c:ser>
        <c:dLbls>
          <c:showLegendKey val="0"/>
          <c:showVal val="0"/>
          <c:showCatName val="0"/>
          <c:showSerName val="0"/>
          <c:showPercent val="0"/>
          <c:showBubbleSize val="0"/>
        </c:dLbls>
        <c:axId val="1147471455"/>
        <c:axId val="1147471871"/>
      </c:scatterChart>
      <c:valAx>
        <c:axId val="1147471455"/>
        <c:scaling>
          <c:orientation val="minMax"/>
          <c:max val="44830"/>
          <c:min val="9862"/>
        </c:scaling>
        <c:delete val="0"/>
        <c:axPos val="b"/>
        <c:majorGridlines>
          <c:spPr>
            <a:ln w="9525" cap="flat" cmpd="sng" algn="ctr">
              <a:solidFill>
                <a:schemeClr val="tx1">
                  <a:lumMod val="15000"/>
                  <a:lumOff val="85000"/>
                </a:schemeClr>
              </a:solidFill>
              <a:round/>
            </a:ln>
            <a:effectLst/>
          </c:spPr>
        </c:majorGridlines>
        <c:numFmt formatCode="m/d/yyyy" sourceLinked="0"/>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CH"/>
          </a:p>
        </c:txPr>
        <c:crossAx val="1147471871"/>
        <c:crossesAt val="1"/>
        <c:crossBetween val="midCat"/>
        <c:majorUnit val="3652"/>
      </c:valAx>
      <c:valAx>
        <c:axId val="1147471871"/>
        <c:scaling>
          <c:logBase val="10"/>
          <c:orientation val="minMax"/>
          <c:max val="10000"/>
          <c:min val="0.1"/>
        </c:scaling>
        <c:delete val="0"/>
        <c:axPos val="l"/>
        <c:majorGridlines>
          <c:spPr>
            <a:ln w="9525" cap="flat" cmpd="sng" algn="ctr">
              <a:solidFill>
                <a:schemeClr val="tx1">
                  <a:lumMod val="15000"/>
                  <a:lumOff val="85000"/>
                </a:schemeClr>
              </a:solidFill>
              <a:round/>
            </a:ln>
            <a:effectLst/>
          </c:spPr>
        </c:majorGridlines>
        <c:numFmt formatCode="_(&quot;CHF&quot;* #,##0_);_(&quot;CHF&quot;* \(#,##0\);_(&quot;CHF&quot;* &quot;-&quot;_);_(@_)"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CH"/>
          </a:p>
        </c:txPr>
        <c:crossAx val="1147471455"/>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CH"/>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t-CH"/>
    </a:p>
  </c:txPr>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71801-0466-4F37-BCC8-07807A6E8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65</Pages>
  <Words>28900</Words>
  <Characters>164730</Characters>
  <Application>Microsoft Office Word</Application>
  <DocSecurity>0</DocSecurity>
  <Lines>1372</Lines>
  <Paragraphs>386</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193244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Venturi Luca / T128124</dc:creator>
  <cp:keywords/>
  <cp:lastModifiedBy>Venturi Luca</cp:lastModifiedBy>
  <cp:revision>13</cp:revision>
  <cp:lastPrinted>2022-03-30T10:03:00Z</cp:lastPrinted>
  <dcterms:created xsi:type="dcterms:W3CDTF">2022-03-29T16:59:00Z</dcterms:created>
  <dcterms:modified xsi:type="dcterms:W3CDTF">2022-03-30T15:23:00Z</dcterms:modified>
</cp:coreProperties>
</file>