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706" w14:textId="77777777" w:rsidR="00292ABD" w:rsidRPr="00292ABD" w:rsidRDefault="00A51618" w:rsidP="00292ABD">
      <w:pPr>
        <w:rPr>
          <w:rFonts w:asciiTheme="minorHAnsi" w:eastAsiaTheme="minorEastAsia" w:hAnsiTheme="minorHAnsi" w:cs="Arial"/>
          <w:b/>
          <w:sz w:val="28"/>
          <w:szCs w:val="28"/>
          <w:lang w:val="it-IT"/>
        </w:rPr>
      </w:pPr>
      <w:r>
        <w:rPr>
          <w:rFonts w:asciiTheme="minorHAnsi" w:eastAsiaTheme="minorEastAsia" w:hAnsiTheme="minorHAnsi" w:cs="Arial"/>
          <w:b/>
          <w:sz w:val="28"/>
          <w:szCs w:val="28"/>
          <w:lang w:val="it-IT"/>
        </w:rPr>
        <w:t>della Commissione ambiente, territorio ed energia</w:t>
      </w:r>
    </w:p>
    <w:p w14:paraId="723C5AB9" w14:textId="582EBFF0" w:rsidR="007F3AA6" w:rsidRPr="00F17B1C" w:rsidRDefault="007F3AA6" w:rsidP="007F3AA6">
      <w:pPr>
        <w:tabs>
          <w:tab w:val="left" w:pos="4962"/>
        </w:tabs>
        <w:rPr>
          <w:rFonts w:cs="Arial"/>
          <w:b/>
          <w:bCs/>
          <w:sz w:val="28"/>
          <w:szCs w:val="28"/>
        </w:rPr>
      </w:pPr>
      <w:r w:rsidRPr="00F17B1C">
        <w:rPr>
          <w:rFonts w:cs="Arial"/>
          <w:b/>
          <w:bCs/>
          <w:sz w:val="28"/>
          <w:szCs w:val="28"/>
        </w:rPr>
        <w:t xml:space="preserve">sull’iniziativa parlamentare 17 febbraio 2020 presentata nella forma generica da Aron Piezzi per il Gruppo </w:t>
      </w:r>
      <w:proofErr w:type="spellStart"/>
      <w:r w:rsidRPr="00F17B1C">
        <w:rPr>
          <w:rFonts w:cs="Arial"/>
          <w:b/>
          <w:bCs/>
          <w:sz w:val="28"/>
          <w:szCs w:val="28"/>
        </w:rPr>
        <w:t>PLR</w:t>
      </w:r>
      <w:proofErr w:type="spellEnd"/>
      <w:r w:rsidRPr="00F17B1C">
        <w:rPr>
          <w:rFonts w:cs="Arial"/>
          <w:b/>
          <w:bCs/>
          <w:sz w:val="28"/>
          <w:szCs w:val="28"/>
        </w:rPr>
        <w:t xml:space="preserve"> </w:t>
      </w:r>
      <w:r w:rsidR="00971AA3">
        <w:rPr>
          <w:rFonts w:cs="Arial"/>
          <w:b/>
          <w:bCs/>
          <w:sz w:val="28"/>
          <w:szCs w:val="28"/>
        </w:rPr>
        <w:t>"</w:t>
      </w:r>
      <w:r w:rsidRPr="00F17B1C">
        <w:rPr>
          <w:rFonts w:cs="Arial"/>
          <w:b/>
          <w:bCs/>
          <w:sz w:val="28"/>
          <w:szCs w:val="28"/>
        </w:rPr>
        <w:t>Per introdurre incentivi finanziari per la rivitalizzazione dei nuclei tradizionali dei Comuni ticinesi</w:t>
      </w:r>
      <w:r w:rsidR="00971AA3">
        <w:rPr>
          <w:rFonts w:cs="Arial"/>
          <w:b/>
          <w:bCs/>
          <w:sz w:val="28"/>
          <w:szCs w:val="28"/>
        </w:rPr>
        <w:t>"</w:t>
      </w:r>
    </w:p>
    <w:p w14:paraId="10715289" w14:textId="5F24C774" w:rsidR="007F3AA6" w:rsidRPr="000427FA" w:rsidRDefault="007F3AA6" w:rsidP="007F3AA6">
      <w:pPr>
        <w:spacing w:before="120"/>
        <w:rPr>
          <w:b/>
          <w:sz w:val="26"/>
          <w:szCs w:val="26"/>
        </w:rPr>
      </w:pPr>
      <w:r w:rsidRPr="000427FA">
        <w:rPr>
          <w:b/>
          <w:sz w:val="26"/>
          <w:szCs w:val="26"/>
        </w:rPr>
        <w:t>(v</w:t>
      </w:r>
      <w:r w:rsidR="00971AA3">
        <w:rPr>
          <w:b/>
          <w:sz w:val="26"/>
          <w:szCs w:val="26"/>
        </w:rPr>
        <w:t>edi</w:t>
      </w:r>
      <w:r w:rsidRPr="000427FA">
        <w:rPr>
          <w:b/>
          <w:sz w:val="26"/>
          <w:szCs w:val="26"/>
        </w:rPr>
        <w:t xml:space="preserve"> messaggio 1° luglio 2020 n. 7840)</w:t>
      </w:r>
    </w:p>
    <w:p w14:paraId="1046AFE7" w14:textId="14494B2A" w:rsidR="00292ABD" w:rsidRDefault="00292ABD" w:rsidP="00292ABD">
      <w:pPr>
        <w:ind w:right="-1"/>
        <w:rPr>
          <w:rFonts w:asciiTheme="minorHAnsi" w:eastAsiaTheme="minorEastAsia" w:hAnsiTheme="minorHAnsi"/>
          <w:sz w:val="24"/>
        </w:rPr>
      </w:pPr>
    </w:p>
    <w:p w14:paraId="2E189F40" w14:textId="77777777" w:rsidR="00292ABD" w:rsidRPr="00292ABD" w:rsidRDefault="00292ABD" w:rsidP="00292ABD">
      <w:pPr>
        <w:ind w:right="-1"/>
        <w:rPr>
          <w:rFonts w:asciiTheme="minorHAnsi" w:eastAsiaTheme="minorEastAsia" w:hAnsiTheme="minorHAnsi"/>
          <w:sz w:val="24"/>
        </w:rPr>
      </w:pPr>
    </w:p>
    <w:p w14:paraId="78B635E7" w14:textId="7FB5F195" w:rsidR="00292ABD" w:rsidRPr="00292ABD" w:rsidRDefault="004A14A7" w:rsidP="004075F0">
      <w:pPr>
        <w:pStyle w:val="Titolo1"/>
        <w:numPr>
          <w:ilvl w:val="0"/>
          <w:numId w:val="35"/>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premessa</w:t>
      </w:r>
    </w:p>
    <w:p w14:paraId="2AFC6B25" w14:textId="77777777" w:rsidR="007F3AA6" w:rsidRPr="007F3AA6" w:rsidRDefault="007F3AA6" w:rsidP="007F3AA6">
      <w:pPr>
        <w:rPr>
          <w:rFonts w:eastAsia="Times New Roman" w:cs="Arial"/>
          <w:sz w:val="24"/>
          <w:szCs w:val="20"/>
          <w:lang w:val="it-IT" w:eastAsia="it-IT"/>
        </w:rPr>
      </w:pPr>
      <w:r w:rsidRPr="007F3AA6">
        <w:rPr>
          <w:rFonts w:eastAsia="Times New Roman" w:cs="Arial"/>
          <w:sz w:val="24"/>
          <w:szCs w:val="20"/>
          <w:lang w:val="it-IT" w:eastAsia="it-IT"/>
        </w:rPr>
        <w:t xml:space="preserve">L’atto parlamentare in oggetto propone l’introduzione di incentivi finanziari per stimolare e </w:t>
      </w:r>
      <w:r w:rsidRPr="007F3AA6">
        <w:rPr>
          <w:rFonts w:eastAsia="Times New Roman" w:cs="Arial"/>
          <w:iCs/>
          <w:sz w:val="24"/>
          <w:szCs w:val="20"/>
          <w:lang w:val="it-IT" w:eastAsia="it-IT"/>
        </w:rPr>
        <w:t xml:space="preserve">sostenere in maniera concreta i lavori di recupero e restauro degli edifici situati nei nuclei tradizionali delle zone periferiche, attraverso lo </w:t>
      </w:r>
      <w:r w:rsidRPr="007F3AA6">
        <w:rPr>
          <w:rFonts w:eastAsia="Times New Roman" w:cs="Arial"/>
          <w:sz w:val="24"/>
          <w:szCs w:val="20"/>
          <w:lang w:val="it-IT" w:eastAsia="it-IT"/>
        </w:rPr>
        <w:t>stanziamento di un apposito credito quadro.</w:t>
      </w:r>
    </w:p>
    <w:p w14:paraId="30A73645" w14:textId="77777777" w:rsidR="007F3AA6" w:rsidRPr="007F3AA6" w:rsidRDefault="007F3AA6" w:rsidP="007F3AA6">
      <w:pPr>
        <w:rPr>
          <w:rFonts w:eastAsia="Times New Roman" w:cs="Arial"/>
          <w:sz w:val="24"/>
          <w:szCs w:val="20"/>
          <w:lang w:val="it-IT" w:eastAsia="it-IT"/>
        </w:rPr>
      </w:pPr>
    </w:p>
    <w:p w14:paraId="52DAF7DA" w14:textId="77A4BFCD" w:rsidR="007F3AA6" w:rsidRDefault="007F3AA6" w:rsidP="007F3AA6">
      <w:pPr>
        <w:rPr>
          <w:rFonts w:eastAsia="Times New Roman" w:cs="Arial"/>
          <w:sz w:val="24"/>
          <w:szCs w:val="20"/>
          <w:lang w:val="it-IT" w:eastAsia="it-IT"/>
        </w:rPr>
      </w:pPr>
      <w:r w:rsidRPr="007F3AA6">
        <w:rPr>
          <w:rFonts w:eastAsia="Times New Roman" w:cs="Arial"/>
          <w:sz w:val="24"/>
          <w:szCs w:val="20"/>
          <w:lang w:val="it-IT" w:eastAsia="it-IT"/>
        </w:rPr>
        <w:t xml:space="preserve">L’iniziativista motiva la sua proposta evidenziando l’elevato </w:t>
      </w:r>
      <w:r w:rsidRPr="007F3AA6">
        <w:rPr>
          <w:rFonts w:eastAsia="Times New Roman" w:cs="Arial"/>
          <w:sz w:val="23"/>
          <w:szCs w:val="23"/>
          <w:lang w:val="it-IT" w:eastAsia="it-IT"/>
        </w:rPr>
        <w:t xml:space="preserve">pregio urbanistico, architettonico e storico dei nuclei tradizionali. Un’importante ricchezza per la nostra comunità e il paesaggio costruito. Un patrimonio anche dal profilo storico e culturale da tutelare e salvaguardare. Del resto, i piani regolatori comunali, gli inventari degli edifici degni di protezione e degli spazi da tutelare e l’inventario ISOS (Inventario degli insediamenti svizzeri da proteggere) ne sono testimonianza. Piezzi rileva inoltre che il futuro di questo patrimonio è fortemente a rischio di degrado e di abbandono per molteplici fattori, che spaziano dalle severe norme </w:t>
      </w:r>
      <w:r w:rsidRPr="007F3AA6">
        <w:rPr>
          <w:rFonts w:eastAsia="Times New Roman" w:cs="Arial"/>
          <w:sz w:val="24"/>
          <w:szCs w:val="20"/>
          <w:lang w:val="it-IT" w:eastAsia="it-IT"/>
        </w:rPr>
        <w:t>pianificatorie ed edilizie ai problemi di viabilità, alle dimensioni ridotte degli edifici, all’assenza di parcheggi nelle vicinanze, agli elevati costi di ristrutturazione, ecc</w:t>
      </w:r>
      <w:r w:rsidR="00971AA3">
        <w:rPr>
          <w:rFonts w:eastAsia="Times New Roman" w:cs="Arial"/>
          <w:sz w:val="24"/>
          <w:szCs w:val="20"/>
          <w:lang w:val="it-IT" w:eastAsia="it-IT"/>
        </w:rPr>
        <w:t>.</w:t>
      </w:r>
    </w:p>
    <w:p w14:paraId="065F22F2" w14:textId="77777777" w:rsidR="00971AA3" w:rsidRPr="007F3AA6" w:rsidRDefault="00971AA3" w:rsidP="007F3AA6">
      <w:pPr>
        <w:rPr>
          <w:rFonts w:eastAsia="Times New Roman" w:cs="Times New Roman"/>
          <w:sz w:val="24"/>
          <w:szCs w:val="20"/>
          <w:lang w:val="it-IT" w:eastAsia="it-IT"/>
        </w:rPr>
      </w:pPr>
    </w:p>
    <w:p w14:paraId="35633B17" w14:textId="77777777" w:rsidR="007F3AA6" w:rsidRPr="007F3AA6" w:rsidRDefault="007F3AA6" w:rsidP="007F3AA6">
      <w:pPr>
        <w:rPr>
          <w:rFonts w:eastAsia="Times New Roman" w:cs="Arial"/>
          <w:color w:val="000000"/>
          <w:sz w:val="24"/>
          <w:szCs w:val="20"/>
          <w:lang w:val="it-IT" w:eastAsia="it-IT"/>
        </w:rPr>
      </w:pPr>
      <w:r w:rsidRPr="007F3AA6">
        <w:rPr>
          <w:rFonts w:eastAsia="Times New Roman" w:cs="Arial"/>
          <w:color w:val="000000"/>
          <w:sz w:val="24"/>
          <w:szCs w:val="20"/>
          <w:lang w:val="it-IT" w:eastAsia="it-IT"/>
        </w:rPr>
        <w:t>Oltre a voler favorire la valorizzazione architettonica e paesaggistica dei nuclei, rispettandone le tipologie e peculiarità tradizionali, l’Iniziativa mira quindi a rafforzare il tessuto socioeconomico locale, sostenendo prioritariamente la residenza primaria e secondariamente altre destinazioni con interesse pubblico rilevante (in particolare varie forme di alloggi turistici in edifici storici), senza escludere un eventuale sostegno – a determinate condizioni – alle abitazioni secondarie.</w:t>
      </w:r>
    </w:p>
    <w:p w14:paraId="77C1C5A0" w14:textId="77777777" w:rsidR="004A14A7" w:rsidRPr="00292ABD" w:rsidRDefault="004A14A7" w:rsidP="00292ABD">
      <w:pPr>
        <w:rPr>
          <w:rFonts w:asciiTheme="minorHAnsi" w:eastAsiaTheme="minorEastAsia" w:hAnsiTheme="minorHAnsi"/>
          <w:sz w:val="24"/>
        </w:rPr>
      </w:pPr>
    </w:p>
    <w:p w14:paraId="04CBD394" w14:textId="77777777" w:rsidR="00A51618" w:rsidRPr="00292ABD" w:rsidRDefault="00A51618" w:rsidP="00A51618">
      <w:pPr>
        <w:tabs>
          <w:tab w:val="left" w:pos="284"/>
          <w:tab w:val="left" w:pos="426"/>
          <w:tab w:val="left" w:pos="4962"/>
        </w:tabs>
        <w:rPr>
          <w:rFonts w:asciiTheme="minorHAnsi" w:eastAsiaTheme="minorEastAsia" w:hAnsiTheme="minorHAnsi"/>
          <w:sz w:val="24"/>
        </w:rPr>
      </w:pPr>
    </w:p>
    <w:p w14:paraId="37B859D7" w14:textId="34B3D310" w:rsidR="00292ABD" w:rsidRPr="00292ABD" w:rsidRDefault="004A14A7" w:rsidP="004075F0">
      <w:pPr>
        <w:pStyle w:val="Titolo1"/>
        <w:numPr>
          <w:ilvl w:val="0"/>
          <w:numId w:val="35"/>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parere del Consiglio di stato</w:t>
      </w:r>
    </w:p>
    <w:p w14:paraId="1DF04391" w14:textId="77777777" w:rsidR="007F3AA6" w:rsidRPr="007F3AA6" w:rsidRDefault="007F3AA6" w:rsidP="007F3AA6">
      <w:pPr>
        <w:rPr>
          <w:rFonts w:eastAsia="Times New Roman" w:cs="Times New Roman"/>
          <w:sz w:val="24"/>
          <w:szCs w:val="20"/>
          <w:lang w:val="it-IT" w:eastAsia="it-IT"/>
        </w:rPr>
      </w:pPr>
      <w:r w:rsidRPr="007F3AA6">
        <w:rPr>
          <w:rFonts w:eastAsia="Times New Roman" w:cs="Times New Roman"/>
          <w:sz w:val="24"/>
          <w:szCs w:val="20"/>
          <w:lang w:val="it-IT" w:eastAsia="it-IT"/>
        </w:rPr>
        <w:t xml:space="preserve">Il Consiglio di Stato nel suo messaggio sostiene che già oggi vi siano alcuni strumenti che possono contribuire, quantomeno parzialmente, a raggiungere gli obiettivi dell’Iniziativa. Lo fa richiamando la </w:t>
      </w:r>
      <w:r w:rsidRPr="007F3AA6">
        <w:rPr>
          <w:rFonts w:eastAsia="Times New Roman" w:cs="Times New Roman"/>
          <w:b/>
          <w:bCs/>
          <w:sz w:val="24"/>
          <w:szCs w:val="20"/>
          <w:lang w:val="it-IT" w:eastAsia="it-IT"/>
        </w:rPr>
        <w:t>Legge sui beni culturali (LBC)</w:t>
      </w:r>
      <w:r w:rsidRPr="007F3AA6">
        <w:rPr>
          <w:rFonts w:eastAsia="Times New Roman" w:cs="Times New Roman"/>
          <w:sz w:val="24"/>
          <w:szCs w:val="20"/>
          <w:lang w:val="it-IT" w:eastAsia="it-IT"/>
        </w:rPr>
        <w:t xml:space="preserve">, grazie alla quale si può beneficiare di contributi finanziari del Cantone o dei Comuni (se accettate le modifiche della LBC attualmente al vaglio del Parlamento) per il restauro di edifici degni di protezione di interesse cantonale o rispettivamente locale. Anche la </w:t>
      </w:r>
      <w:r w:rsidRPr="007F3AA6">
        <w:rPr>
          <w:rFonts w:eastAsia="Times New Roman" w:cs="Times New Roman"/>
          <w:b/>
          <w:bCs/>
          <w:sz w:val="24"/>
          <w:szCs w:val="20"/>
          <w:lang w:val="it-IT" w:eastAsia="it-IT"/>
        </w:rPr>
        <w:t xml:space="preserve">Legge sullo sviluppo territoriale (LST) </w:t>
      </w:r>
      <w:r w:rsidRPr="007F3AA6">
        <w:rPr>
          <w:rFonts w:eastAsia="Times New Roman" w:cs="Times New Roman"/>
          <w:sz w:val="24"/>
          <w:szCs w:val="20"/>
          <w:lang w:val="it-IT" w:eastAsia="it-IT"/>
        </w:rPr>
        <w:t xml:space="preserve">permette di stanziare sussidi per opere di valorizzazione del paesaggio e per tetti in materiale tradizionale. A tale proposito, </w:t>
      </w:r>
      <w:r w:rsidRPr="007F3AA6">
        <w:rPr>
          <w:rFonts w:eastAsia="Times New Roman" w:cs="Times New Roman"/>
          <w:sz w:val="24"/>
          <w:szCs w:val="20"/>
          <w:lang w:val="it-IT" w:eastAsia="it-CH"/>
        </w:rPr>
        <w:t xml:space="preserve">l’Inventario federale degli insediamenti svizzeri da </w:t>
      </w:r>
      <w:r w:rsidRPr="007F3AA6">
        <w:rPr>
          <w:rFonts w:eastAsia="Times New Roman" w:cs="Times New Roman"/>
          <w:sz w:val="24"/>
          <w:szCs w:val="20"/>
          <w:lang w:val="it-IT" w:eastAsia="it-CH"/>
        </w:rPr>
        <w:lastRenderedPageBreak/>
        <w:t xml:space="preserve">proteggere d’importanza nazionale (ISOS) fornisce una base di riferimento importante per definire delle strategie d’intervento mirate. Da ultimo il Consiglio di Stato segnala come, grazie alla </w:t>
      </w:r>
      <w:r w:rsidRPr="007F3AA6">
        <w:rPr>
          <w:rFonts w:eastAsia="Times New Roman" w:cs="Times New Roman"/>
          <w:b/>
          <w:bCs/>
          <w:sz w:val="24"/>
          <w:szCs w:val="20"/>
          <w:lang w:val="it-IT" w:eastAsia="it-IT"/>
        </w:rPr>
        <w:t>Legge sul turismo (</w:t>
      </w:r>
      <w:proofErr w:type="spellStart"/>
      <w:r w:rsidRPr="007F3AA6">
        <w:rPr>
          <w:rFonts w:eastAsia="Times New Roman" w:cs="Times New Roman"/>
          <w:b/>
          <w:bCs/>
          <w:sz w:val="24"/>
          <w:szCs w:val="20"/>
          <w:lang w:val="it-IT" w:eastAsia="it-IT"/>
        </w:rPr>
        <w:t>LTur</w:t>
      </w:r>
      <w:proofErr w:type="spellEnd"/>
      <w:r w:rsidRPr="007F3AA6">
        <w:rPr>
          <w:rFonts w:eastAsia="Times New Roman" w:cs="Times New Roman"/>
          <w:b/>
          <w:bCs/>
          <w:sz w:val="24"/>
          <w:szCs w:val="20"/>
          <w:lang w:val="it-IT" w:eastAsia="it-IT"/>
        </w:rPr>
        <w:t>)</w:t>
      </w:r>
      <w:r w:rsidRPr="007F3AA6">
        <w:rPr>
          <w:rFonts w:eastAsia="Times New Roman" w:cs="Times New Roman"/>
          <w:sz w:val="24"/>
          <w:szCs w:val="20"/>
          <w:lang w:val="it-IT" w:eastAsia="it-IT"/>
        </w:rPr>
        <w:t xml:space="preserve">, si </w:t>
      </w:r>
      <w:r w:rsidRPr="007F3AA6">
        <w:rPr>
          <w:rFonts w:eastAsia="Times New Roman" w:cs="Times New Roman"/>
          <w:color w:val="000000"/>
          <w:sz w:val="24"/>
          <w:szCs w:val="20"/>
          <w:lang w:val="it-IT" w:eastAsia="it-IT"/>
        </w:rPr>
        <w:t xml:space="preserve">possa beneficiare anche di sussidi </w:t>
      </w:r>
      <w:r w:rsidRPr="007F3AA6">
        <w:rPr>
          <w:rFonts w:eastAsia="Times New Roman" w:cs="Times New Roman"/>
          <w:iCs/>
          <w:color w:val="000000"/>
          <w:sz w:val="24"/>
          <w:szCs w:val="20"/>
          <w:lang w:val="it-IT" w:eastAsia="it-IT"/>
        </w:rPr>
        <w:t xml:space="preserve">per investimenti </w:t>
      </w:r>
      <w:r w:rsidRPr="007F3AA6">
        <w:rPr>
          <w:rFonts w:eastAsia="Times New Roman" w:cs="Times New Roman"/>
          <w:color w:val="000000"/>
          <w:sz w:val="24"/>
          <w:szCs w:val="20"/>
          <w:lang w:val="it-IT" w:eastAsia="it-IT"/>
        </w:rPr>
        <w:t xml:space="preserve">che non siano di competenza abituale degli enti pubblici e che, di norma, abbiano dimensioni e carattere strategici e/o sovraregionali, destinati a migliorare l’offerta turistica e a facilitare la sua </w:t>
      </w:r>
      <w:r w:rsidRPr="007F3AA6">
        <w:rPr>
          <w:rFonts w:eastAsia="Times New Roman" w:cs="Times New Roman"/>
          <w:sz w:val="24"/>
          <w:szCs w:val="20"/>
          <w:lang w:val="it-IT" w:eastAsia="it-IT"/>
        </w:rPr>
        <w:t>gestione.</w:t>
      </w:r>
    </w:p>
    <w:p w14:paraId="255CC60D" w14:textId="77777777" w:rsidR="007F3AA6" w:rsidRPr="007F3AA6" w:rsidRDefault="007F3AA6" w:rsidP="007F3AA6">
      <w:pPr>
        <w:rPr>
          <w:rFonts w:eastAsia="Times New Roman" w:cs="Times New Roman"/>
          <w:sz w:val="24"/>
          <w:szCs w:val="20"/>
          <w:lang w:val="it-IT" w:eastAsia="it-IT"/>
        </w:rPr>
      </w:pPr>
    </w:p>
    <w:p w14:paraId="7326B949" w14:textId="77777777" w:rsidR="007F3AA6" w:rsidRPr="007F3AA6" w:rsidRDefault="007F3AA6" w:rsidP="007F3AA6">
      <w:pPr>
        <w:rPr>
          <w:rFonts w:eastAsia="Times New Roman" w:cs="Times New Roman"/>
          <w:sz w:val="24"/>
          <w:szCs w:val="20"/>
          <w:lang w:val="it-IT" w:eastAsia="it-IT"/>
        </w:rPr>
      </w:pPr>
      <w:r w:rsidRPr="007F3AA6">
        <w:rPr>
          <w:rFonts w:eastAsia="Times New Roman" w:cs="Times New Roman"/>
          <w:sz w:val="24"/>
          <w:szCs w:val="20"/>
          <w:lang w:val="it-IT" w:eastAsia="it-IT"/>
        </w:rPr>
        <w:t>Nelle sue conclusioni il Consiglio di Stato riconosce che i citati strumenti non sono sufficienti per contrastare concretamente l’abbandono dei nuclei tradizionali ed incitare un’inversione di tendenza che permetta di recuperare e sfruttare al meglio il parco immobiliare esistente.</w:t>
      </w:r>
    </w:p>
    <w:p w14:paraId="2F9F1A2F" w14:textId="77777777" w:rsidR="007F3AA6" w:rsidRPr="007F3AA6" w:rsidRDefault="007F3AA6" w:rsidP="007F3AA6">
      <w:pPr>
        <w:rPr>
          <w:rFonts w:eastAsia="Times New Roman" w:cs="Times New Roman"/>
          <w:sz w:val="24"/>
          <w:szCs w:val="20"/>
          <w:lang w:val="it-IT" w:eastAsia="it-IT"/>
        </w:rPr>
      </w:pPr>
    </w:p>
    <w:p w14:paraId="05BC4FE0" w14:textId="77777777" w:rsidR="007F3AA6" w:rsidRPr="007F3AA6" w:rsidRDefault="007F3AA6" w:rsidP="007F3AA6">
      <w:pPr>
        <w:rPr>
          <w:rFonts w:eastAsia="Times New Roman" w:cs="Times New Roman"/>
          <w:sz w:val="24"/>
          <w:szCs w:val="20"/>
          <w:lang w:val="it-IT" w:eastAsia="it-CH"/>
        </w:rPr>
      </w:pPr>
      <w:r w:rsidRPr="007F3AA6">
        <w:rPr>
          <w:rFonts w:eastAsia="Times New Roman" w:cs="Times New Roman"/>
          <w:sz w:val="24"/>
          <w:szCs w:val="20"/>
          <w:lang w:val="it-IT" w:eastAsia="it-CH"/>
        </w:rPr>
        <w:t>Il Governo ritiene più efficace integrare il tema dell’Iniziativa, ossia l’introduzione di incentivi finanziari per la rivitalizzazione dei nuclei tradizionali dei Comuni ticinesi, nei lavori di approfondimento assegnati dal Parlamento in sede di accoglimento della mozione n. 1257 “Abbandono dei nuclei originali nei Comuni: recuperiamo il recuperabile”, in maniera tale da poter identificare delle misure adeguate a favorire l’attuazione di possibili sinergie volte al raggiungimento degli obiettivi dei due atti parlamentari, peraltro condivisi.</w:t>
      </w:r>
    </w:p>
    <w:p w14:paraId="074B97A9" w14:textId="77777777" w:rsidR="004A14A7" w:rsidRDefault="004A14A7" w:rsidP="00292ABD">
      <w:pPr>
        <w:rPr>
          <w:rFonts w:asciiTheme="minorHAnsi" w:eastAsiaTheme="minorEastAsia" w:hAnsiTheme="minorHAnsi"/>
          <w:sz w:val="24"/>
        </w:rPr>
      </w:pPr>
    </w:p>
    <w:p w14:paraId="0DB2190D" w14:textId="77777777" w:rsidR="00A51618" w:rsidRPr="00292ABD" w:rsidRDefault="00A51618" w:rsidP="00292ABD">
      <w:pPr>
        <w:rPr>
          <w:rFonts w:asciiTheme="minorHAnsi" w:eastAsiaTheme="minorEastAsia" w:hAnsiTheme="minorHAnsi"/>
          <w:sz w:val="24"/>
        </w:rPr>
      </w:pPr>
    </w:p>
    <w:p w14:paraId="6C9E75BD" w14:textId="0B4842EB" w:rsidR="00292ABD" w:rsidRPr="00292ABD" w:rsidRDefault="007F3AA6" w:rsidP="004075F0">
      <w:pPr>
        <w:pStyle w:val="Titolo1"/>
        <w:numPr>
          <w:ilvl w:val="0"/>
          <w:numId w:val="35"/>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parere della commissione</w:t>
      </w:r>
    </w:p>
    <w:p w14:paraId="3A58FDB2" w14:textId="77777777" w:rsidR="007F3AA6" w:rsidRPr="007F3AA6" w:rsidRDefault="007F3AA6" w:rsidP="007F3AA6">
      <w:pPr>
        <w:rPr>
          <w:rFonts w:eastAsia="Times New Roman" w:cs="Times New Roman"/>
          <w:sz w:val="24"/>
          <w:szCs w:val="20"/>
          <w:lang w:val="it-IT" w:eastAsia="it-CH"/>
        </w:rPr>
      </w:pPr>
      <w:r w:rsidRPr="007F3AA6">
        <w:rPr>
          <w:rFonts w:eastAsia="Times New Roman" w:cs="Arial"/>
          <w:sz w:val="24"/>
          <w:szCs w:val="20"/>
          <w:lang w:val="it-IT" w:eastAsia="it-IT"/>
        </w:rPr>
        <w:t xml:space="preserve">La Commissione condivide gli obiettivi dell’atto parlamentare del deputato Aron Piezzi, così come pure quelli della citata mozione </w:t>
      </w:r>
      <w:r w:rsidRPr="007F3AA6">
        <w:rPr>
          <w:rFonts w:eastAsia="Times New Roman" w:cs="Times New Roman"/>
          <w:sz w:val="24"/>
          <w:szCs w:val="20"/>
          <w:lang w:val="it-IT" w:eastAsia="it-CH"/>
        </w:rPr>
        <w:t>n. 1257 “Abbandono dei nuclei originali nei Comuni: recuperiamo il recuperabile”, citata nel messaggio governativo.</w:t>
      </w:r>
    </w:p>
    <w:p w14:paraId="030978CC" w14:textId="77777777" w:rsidR="007F3AA6" w:rsidRPr="007F3AA6" w:rsidRDefault="007F3AA6" w:rsidP="007F3AA6">
      <w:pPr>
        <w:rPr>
          <w:rFonts w:eastAsia="Times New Roman" w:cs="Times New Roman"/>
          <w:sz w:val="24"/>
          <w:szCs w:val="20"/>
          <w:lang w:val="it-IT" w:eastAsia="it-CH"/>
        </w:rPr>
      </w:pPr>
    </w:p>
    <w:p w14:paraId="1D6BE980" w14:textId="77777777" w:rsidR="007F3AA6" w:rsidRPr="007F3AA6" w:rsidRDefault="007F3AA6" w:rsidP="007F3AA6">
      <w:pPr>
        <w:rPr>
          <w:rFonts w:eastAsia="Times New Roman" w:cs="Arial"/>
          <w:sz w:val="24"/>
          <w:szCs w:val="20"/>
          <w:lang w:val="it-IT" w:eastAsia="it-IT"/>
        </w:rPr>
      </w:pPr>
      <w:r w:rsidRPr="007F3AA6">
        <w:rPr>
          <w:rFonts w:eastAsia="Times New Roman" w:cs="Times New Roman"/>
          <w:sz w:val="24"/>
          <w:szCs w:val="20"/>
          <w:lang w:val="it-IT" w:eastAsia="it-CH"/>
        </w:rPr>
        <w:t xml:space="preserve">Il tema del recupero e valorizzazione dei nuclei tradizionali, ed in senso più ampio quello del recupero del parco immobiliare esistente, in particolare il vecchio datato a </w:t>
      </w:r>
      <w:r w:rsidRPr="007F3AA6">
        <w:rPr>
          <w:rFonts w:eastAsia="Times New Roman" w:cs="Arial"/>
          <w:sz w:val="24"/>
          <w:szCs w:val="20"/>
          <w:lang w:val="it-IT" w:eastAsia="it-IT"/>
        </w:rPr>
        <w:t xml:space="preserve">discapito delle costruzioni ex novo, è un tema di estrema attualità e deve assumere in futuro maggiore importanza e considerazione a tutti i livelli istituzionali. In questo senso la CATE auspica un cambio di passo nell’attuare i compiti assegnati dal Parlamento con l’adesione alla mozione n. 1257, condividendo il suggerimento del Consiglio di Stato di integrare la richiesta del presente atto parlamentare nella mozione precitata e nel contempo chiedendo che venga istituito al più presto il gruppo di lavoro interdisciplinare avviando i lavori richiesti entro fine estate del corrente anno (agosto 2022). </w:t>
      </w:r>
    </w:p>
    <w:p w14:paraId="4FE9A09A" w14:textId="77777777" w:rsidR="007F3AA6" w:rsidRPr="007F3AA6" w:rsidRDefault="007F3AA6" w:rsidP="007F3AA6">
      <w:pPr>
        <w:rPr>
          <w:rFonts w:eastAsia="Times New Roman" w:cs="Arial"/>
          <w:sz w:val="24"/>
          <w:szCs w:val="20"/>
          <w:lang w:val="it-IT" w:eastAsia="it-IT"/>
        </w:rPr>
      </w:pPr>
    </w:p>
    <w:p w14:paraId="50C32144" w14:textId="77777777" w:rsidR="007F3AA6" w:rsidRPr="007F3AA6" w:rsidRDefault="007F3AA6" w:rsidP="007F3AA6">
      <w:pPr>
        <w:rPr>
          <w:rFonts w:eastAsia="Times New Roman" w:cs="Arial"/>
          <w:sz w:val="24"/>
          <w:szCs w:val="20"/>
          <w:lang w:val="it-IT" w:eastAsia="it-IT"/>
        </w:rPr>
      </w:pPr>
      <w:r w:rsidRPr="007F3AA6">
        <w:rPr>
          <w:rFonts w:eastAsia="Times New Roman" w:cs="Arial"/>
          <w:sz w:val="24"/>
          <w:szCs w:val="20"/>
          <w:lang w:val="it-IT" w:eastAsia="it-IT"/>
        </w:rPr>
        <w:t>Il recupero e la valorizzazione dei nuclei tradizionali, oltre a consentire di recuperare un importante tassello storico culturale, permetterà anche fattivamente di contribuire alla transizione energetica per cercare di fronteggiare nell’immediato futuro la garanzia dell’approvvigionamento energetico, ed in senso più ampio ed a lungo termine rispondere in maniera coerente ai problemi ambientali e all’emergenza climatica.</w:t>
      </w:r>
    </w:p>
    <w:p w14:paraId="68E00811" w14:textId="77777777" w:rsidR="007F3AA6" w:rsidRPr="007F3AA6" w:rsidRDefault="007F3AA6" w:rsidP="007F3AA6">
      <w:pPr>
        <w:rPr>
          <w:rFonts w:eastAsia="Times New Roman" w:cs="Arial"/>
          <w:sz w:val="24"/>
          <w:szCs w:val="20"/>
          <w:lang w:val="it-IT" w:eastAsia="it-IT"/>
        </w:rPr>
      </w:pPr>
    </w:p>
    <w:p w14:paraId="75A25042" w14:textId="2739F226" w:rsidR="007F3AA6" w:rsidRPr="007F3AA6" w:rsidRDefault="007F3AA6" w:rsidP="007F3AA6">
      <w:pPr>
        <w:rPr>
          <w:rFonts w:eastAsia="Times New Roman" w:cs="Arial"/>
          <w:sz w:val="24"/>
          <w:szCs w:val="20"/>
          <w:lang w:val="it-IT" w:eastAsia="it-IT"/>
        </w:rPr>
      </w:pPr>
      <w:r w:rsidRPr="007F3AA6">
        <w:rPr>
          <w:rFonts w:eastAsia="Times New Roman" w:cs="Arial"/>
          <w:sz w:val="24"/>
          <w:szCs w:val="20"/>
          <w:lang w:val="it-IT" w:eastAsia="it-IT"/>
        </w:rPr>
        <w:t xml:space="preserve">Anche dal profilo socioeconomico, il recupero dei nuclei tradizionali darà un buon contributo. Ritornare a risiedere e far vivere i nuclei, attraverso la riqualifica urbanistica </w:t>
      </w:r>
      <w:proofErr w:type="spellStart"/>
      <w:r w:rsidRPr="007F3AA6">
        <w:rPr>
          <w:rFonts w:eastAsia="Times New Roman" w:cs="Arial"/>
          <w:sz w:val="24"/>
          <w:szCs w:val="20"/>
          <w:lang w:val="it-IT" w:eastAsia="it-IT"/>
        </w:rPr>
        <w:t>ed</w:t>
      </w:r>
      <w:proofErr w:type="spellEnd"/>
      <w:r w:rsidRPr="007F3AA6">
        <w:rPr>
          <w:rFonts w:eastAsia="Times New Roman" w:cs="Arial"/>
          <w:sz w:val="24"/>
          <w:szCs w:val="20"/>
          <w:lang w:val="it-IT" w:eastAsia="it-IT"/>
        </w:rPr>
        <w:t xml:space="preserve"> architettonica degli edifici, permetterà di migliorare l’attrattività dei comuni, migliorare la qualità di vita dei residenti oltre a favorire il ritorno, o in alcuni casi, la sopravvivenza di piccole attività economiche di paese come ad esempio piccoli negozi di alimentari, parrucchieri, fioristi, ecc</w:t>
      </w:r>
      <w:r w:rsidR="00971AA3">
        <w:rPr>
          <w:rFonts w:eastAsia="Times New Roman" w:cs="Arial"/>
          <w:sz w:val="24"/>
          <w:szCs w:val="20"/>
          <w:lang w:val="it-IT" w:eastAsia="it-IT"/>
        </w:rPr>
        <w:t>.</w:t>
      </w:r>
      <w:r w:rsidRPr="007F3AA6">
        <w:rPr>
          <w:rFonts w:eastAsia="Times New Roman" w:cs="Arial"/>
          <w:sz w:val="24"/>
          <w:szCs w:val="20"/>
          <w:lang w:val="it-IT" w:eastAsia="it-IT"/>
        </w:rPr>
        <w:t xml:space="preserve"> Un vero e proprio humus dove coltivare lo scambio intergenerazionale e mantenere i posti di lavoro e le competenze legati alle attività del piccolo mondo artigianale che stanno vieppiù scomparendo.</w:t>
      </w:r>
    </w:p>
    <w:p w14:paraId="2844D064" w14:textId="000DB00C" w:rsidR="00292ABD" w:rsidRPr="00292ABD" w:rsidRDefault="007F3AA6" w:rsidP="004075F0">
      <w:pPr>
        <w:pStyle w:val="Titolo1"/>
        <w:numPr>
          <w:ilvl w:val="0"/>
          <w:numId w:val="35"/>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conclusioni</w:t>
      </w:r>
    </w:p>
    <w:p w14:paraId="43873193" w14:textId="2146B40F" w:rsidR="007F3AA6" w:rsidRPr="007F3AA6" w:rsidRDefault="007F3AA6" w:rsidP="007F3AA6">
      <w:pPr>
        <w:rPr>
          <w:rFonts w:eastAsia="Times New Roman" w:cs="Times New Roman"/>
          <w:sz w:val="24"/>
          <w:szCs w:val="20"/>
          <w:lang w:val="it-IT" w:eastAsia="it-CH"/>
        </w:rPr>
      </w:pPr>
      <w:r w:rsidRPr="007F3AA6">
        <w:rPr>
          <w:rFonts w:eastAsia="Times New Roman" w:cs="Arial"/>
          <w:sz w:val="24"/>
          <w:szCs w:val="20"/>
          <w:lang w:val="it-IT" w:eastAsia="it-IT"/>
        </w:rPr>
        <w:t>La scrivente Commissione ritiene che, con l’integrazione della richie</w:t>
      </w:r>
      <w:r w:rsidR="004075F0">
        <w:rPr>
          <w:rFonts w:eastAsia="Times New Roman" w:cs="Arial"/>
          <w:sz w:val="24"/>
          <w:szCs w:val="20"/>
          <w:lang w:val="it-IT" w:eastAsia="it-IT"/>
        </w:rPr>
        <w:t>sta d’incentivo della presente i</w:t>
      </w:r>
      <w:r w:rsidRPr="007F3AA6">
        <w:rPr>
          <w:rFonts w:eastAsia="Times New Roman" w:cs="Arial"/>
          <w:sz w:val="24"/>
          <w:szCs w:val="20"/>
          <w:lang w:val="it-IT" w:eastAsia="it-IT"/>
        </w:rPr>
        <w:t xml:space="preserve">niziativa parlamentare nella forma generica nei lavori d’evasione della decisione del Gran Consiglio sulla mozione n. 1257 </w:t>
      </w:r>
      <w:r w:rsidRPr="007F3AA6">
        <w:rPr>
          <w:rFonts w:eastAsia="Times New Roman" w:cs="Times New Roman"/>
          <w:sz w:val="24"/>
          <w:szCs w:val="20"/>
          <w:lang w:val="it-IT" w:eastAsia="it-CH"/>
        </w:rPr>
        <w:t xml:space="preserve">“Abbandono dei nuclei originali nei Comuni: recuperiamo il recuperabile”, </w:t>
      </w:r>
      <w:r w:rsidRPr="007F3AA6">
        <w:rPr>
          <w:rFonts w:eastAsia="Times New Roman" w:cs="Arial"/>
          <w:sz w:val="24"/>
          <w:szCs w:val="24"/>
          <w:lang w:val="it-IT" w:eastAsia="it-IT"/>
        </w:rPr>
        <w:t xml:space="preserve">nonché con le indicazioni e le considerazioni espresse nel presente rapporto, l’atto parlamentare del collega </w:t>
      </w:r>
      <w:r w:rsidR="00971AA3">
        <w:rPr>
          <w:rFonts w:eastAsia="Times New Roman" w:cs="Arial"/>
          <w:sz w:val="24"/>
          <w:szCs w:val="24"/>
          <w:lang w:val="it-IT" w:eastAsia="it-IT"/>
        </w:rPr>
        <w:t xml:space="preserve">Aron </w:t>
      </w:r>
      <w:r w:rsidRPr="007F3AA6">
        <w:rPr>
          <w:rFonts w:eastAsia="Times New Roman" w:cs="Arial"/>
          <w:sz w:val="24"/>
          <w:szCs w:val="24"/>
          <w:lang w:val="it-IT" w:eastAsia="it-IT"/>
        </w:rPr>
        <w:t xml:space="preserve">Piezzi </w:t>
      </w:r>
      <w:r w:rsidR="00971AA3">
        <w:rPr>
          <w:rFonts w:eastAsia="Times New Roman" w:cs="Arial"/>
          <w:sz w:val="24"/>
          <w:szCs w:val="24"/>
          <w:lang w:val="it-IT" w:eastAsia="it-IT"/>
        </w:rPr>
        <w:t xml:space="preserve">per il Gruppo </w:t>
      </w:r>
      <w:proofErr w:type="spellStart"/>
      <w:r w:rsidR="00971AA3">
        <w:rPr>
          <w:rFonts w:eastAsia="Times New Roman" w:cs="Arial"/>
          <w:sz w:val="24"/>
          <w:szCs w:val="24"/>
          <w:lang w:val="it-IT" w:eastAsia="it-IT"/>
        </w:rPr>
        <w:t>PLR</w:t>
      </w:r>
      <w:proofErr w:type="spellEnd"/>
      <w:r w:rsidR="00971AA3">
        <w:rPr>
          <w:rFonts w:eastAsia="Times New Roman" w:cs="Arial"/>
          <w:sz w:val="24"/>
          <w:szCs w:val="24"/>
          <w:lang w:val="it-IT" w:eastAsia="it-IT"/>
        </w:rPr>
        <w:t xml:space="preserve"> </w:t>
      </w:r>
      <w:r w:rsidRPr="007F3AA6">
        <w:rPr>
          <w:rFonts w:eastAsia="Times New Roman" w:cs="Arial"/>
          <w:sz w:val="24"/>
          <w:szCs w:val="24"/>
          <w:lang w:val="it-IT" w:eastAsia="it-IT"/>
        </w:rPr>
        <w:t>è accolto e può essere ritenuto favorevolmente evaso.</w:t>
      </w:r>
    </w:p>
    <w:p w14:paraId="502E266E" w14:textId="77777777" w:rsidR="004A14A7" w:rsidRDefault="004A14A7" w:rsidP="00292ABD">
      <w:pPr>
        <w:rPr>
          <w:rFonts w:asciiTheme="minorHAnsi" w:eastAsiaTheme="minorEastAsia" w:hAnsiTheme="minorHAnsi"/>
          <w:sz w:val="24"/>
        </w:rPr>
      </w:pPr>
    </w:p>
    <w:p w14:paraId="05BD3005" w14:textId="105D276A" w:rsidR="004A14A7" w:rsidRPr="004075F0" w:rsidRDefault="004A14A7" w:rsidP="004A14A7">
      <w:pPr>
        <w:rPr>
          <w:rFonts w:eastAsia="Times New Roman" w:cs="Times New Roman"/>
          <w:sz w:val="24"/>
          <w:szCs w:val="24"/>
          <w:lang w:eastAsia="it-IT"/>
        </w:rPr>
      </w:pPr>
    </w:p>
    <w:p w14:paraId="15503BC0" w14:textId="5C140D4A" w:rsidR="007F3AA6" w:rsidRPr="007F3AA6" w:rsidRDefault="007F3AA6" w:rsidP="007F3AA6">
      <w:pPr>
        <w:spacing w:after="120"/>
        <w:rPr>
          <w:rFonts w:eastAsia="Times New Roman" w:cs="Arial"/>
          <w:sz w:val="24"/>
          <w:szCs w:val="24"/>
          <w:lang w:val="it-IT" w:eastAsia="it-IT"/>
        </w:rPr>
      </w:pPr>
      <w:r w:rsidRPr="007F3AA6">
        <w:rPr>
          <w:rFonts w:eastAsia="Times New Roman" w:cs="Arial"/>
          <w:sz w:val="24"/>
          <w:szCs w:val="24"/>
          <w:lang w:val="it-IT" w:eastAsia="it-IT"/>
        </w:rPr>
        <w:t>Per la Commissione ambiente, territorio ed energia:</w:t>
      </w:r>
    </w:p>
    <w:p w14:paraId="4210E48E" w14:textId="77777777" w:rsidR="007F3AA6" w:rsidRPr="007F3AA6" w:rsidRDefault="007F3AA6" w:rsidP="007F3AA6">
      <w:pPr>
        <w:rPr>
          <w:rFonts w:eastAsia="Times New Roman" w:cs="Arial"/>
          <w:sz w:val="24"/>
          <w:szCs w:val="24"/>
          <w:lang w:val="it-IT" w:eastAsia="it-IT"/>
        </w:rPr>
      </w:pPr>
      <w:r w:rsidRPr="007F3AA6">
        <w:rPr>
          <w:rFonts w:eastAsia="Times New Roman" w:cs="Arial"/>
          <w:sz w:val="24"/>
          <w:szCs w:val="24"/>
          <w:lang w:val="it-IT" w:eastAsia="it-IT"/>
        </w:rPr>
        <w:t>Omar Terraneo, relatore</w:t>
      </w:r>
    </w:p>
    <w:p w14:paraId="1D1CF115" w14:textId="77777777" w:rsidR="007F3AA6" w:rsidRPr="004075F0" w:rsidRDefault="007F3AA6" w:rsidP="007F3AA6">
      <w:pPr>
        <w:rPr>
          <w:rFonts w:eastAsia="Times New Roman" w:cs="Times New Roman"/>
          <w:sz w:val="24"/>
          <w:szCs w:val="20"/>
          <w:lang w:val="it-IT" w:eastAsia="it-IT"/>
        </w:rPr>
      </w:pPr>
      <w:r w:rsidRPr="004075F0">
        <w:rPr>
          <w:rFonts w:eastAsia="Times New Roman" w:cs="Times New Roman"/>
          <w:sz w:val="24"/>
          <w:szCs w:val="20"/>
          <w:lang w:val="it-IT" w:eastAsia="it-IT"/>
        </w:rPr>
        <w:t>Alberti - Battaglioni - Berardi - Buri -</w:t>
      </w:r>
    </w:p>
    <w:p w14:paraId="7A596FC4" w14:textId="77777777" w:rsidR="007F3AA6" w:rsidRPr="004075F0" w:rsidRDefault="007F3AA6" w:rsidP="007F3AA6">
      <w:pPr>
        <w:rPr>
          <w:rFonts w:eastAsia="Times New Roman" w:cs="Times New Roman"/>
          <w:sz w:val="24"/>
          <w:szCs w:val="20"/>
          <w:lang w:val="it-IT" w:eastAsia="it-IT"/>
        </w:rPr>
      </w:pPr>
      <w:r w:rsidRPr="004075F0">
        <w:rPr>
          <w:rFonts w:eastAsia="Times New Roman" w:cs="Times New Roman"/>
          <w:sz w:val="24"/>
          <w:szCs w:val="20"/>
          <w:lang w:val="it-IT" w:eastAsia="it-IT"/>
        </w:rPr>
        <w:t>Buzzi - Caroni - Cedraschi - Gaffuri -</w:t>
      </w:r>
    </w:p>
    <w:p w14:paraId="2D8E1557" w14:textId="373B1D9A" w:rsidR="004075F0" w:rsidRDefault="007F3AA6" w:rsidP="007F3AA6">
      <w:pPr>
        <w:rPr>
          <w:rFonts w:eastAsia="Times New Roman" w:cs="Times New Roman"/>
          <w:sz w:val="24"/>
          <w:szCs w:val="20"/>
          <w:lang w:val="it-IT" w:eastAsia="it-IT"/>
        </w:rPr>
      </w:pPr>
      <w:r w:rsidRPr="004075F0">
        <w:rPr>
          <w:rFonts w:eastAsia="Times New Roman" w:cs="Times New Roman"/>
          <w:sz w:val="24"/>
          <w:szCs w:val="20"/>
          <w:lang w:val="it-IT" w:eastAsia="it-IT"/>
        </w:rPr>
        <w:t>Garbani Nerini - Garzoli - Genini -</w:t>
      </w:r>
      <w:r w:rsidR="00487881">
        <w:rPr>
          <w:rFonts w:eastAsia="Times New Roman" w:cs="Times New Roman"/>
          <w:sz w:val="24"/>
          <w:szCs w:val="20"/>
          <w:lang w:val="it-IT" w:eastAsia="it-IT"/>
        </w:rPr>
        <w:t xml:space="preserve"> </w:t>
      </w:r>
      <w:bookmarkStart w:id="0" w:name="_GoBack"/>
      <w:bookmarkEnd w:id="0"/>
      <w:r w:rsidRPr="004075F0">
        <w:rPr>
          <w:rFonts w:eastAsia="Times New Roman" w:cs="Times New Roman"/>
          <w:sz w:val="24"/>
          <w:szCs w:val="20"/>
          <w:lang w:val="it-IT" w:eastAsia="it-IT"/>
        </w:rPr>
        <w:t xml:space="preserve">Gnesa </w:t>
      </w:r>
      <w:r w:rsidR="004075F0">
        <w:rPr>
          <w:rFonts w:eastAsia="Times New Roman" w:cs="Times New Roman"/>
          <w:sz w:val="24"/>
          <w:szCs w:val="20"/>
          <w:lang w:val="it-IT" w:eastAsia="it-IT"/>
        </w:rPr>
        <w:t>-</w:t>
      </w:r>
      <w:r w:rsidRPr="004075F0">
        <w:rPr>
          <w:rFonts w:eastAsia="Times New Roman" w:cs="Times New Roman"/>
          <w:sz w:val="24"/>
          <w:szCs w:val="20"/>
          <w:lang w:val="it-IT" w:eastAsia="it-IT"/>
        </w:rPr>
        <w:t xml:space="preserve"> </w:t>
      </w:r>
    </w:p>
    <w:p w14:paraId="27699C28" w14:textId="6AF17364" w:rsidR="007F3AA6" w:rsidRPr="007F3AA6" w:rsidRDefault="007F3AA6" w:rsidP="007F3AA6">
      <w:pPr>
        <w:rPr>
          <w:rFonts w:eastAsia="Times New Roman" w:cs="Times New Roman"/>
          <w:sz w:val="24"/>
          <w:szCs w:val="20"/>
          <w:lang w:val="it-IT" w:eastAsia="it-IT"/>
        </w:rPr>
      </w:pPr>
      <w:r w:rsidRPr="004075F0">
        <w:rPr>
          <w:rFonts w:eastAsia="Times New Roman" w:cs="Times New Roman"/>
          <w:sz w:val="24"/>
          <w:szCs w:val="20"/>
          <w:lang w:val="it-IT" w:eastAsia="it-IT"/>
        </w:rPr>
        <w:t>Lepori D. - Pinoja - Schnellmann - Tonini</w:t>
      </w:r>
    </w:p>
    <w:p w14:paraId="6DD84AA3" w14:textId="77777777" w:rsidR="00B144F5" w:rsidRDefault="00B144F5" w:rsidP="00292ABD">
      <w:pPr>
        <w:rPr>
          <w:rFonts w:asciiTheme="minorHAnsi" w:eastAsiaTheme="minorEastAsia" w:hAnsiTheme="minorHAnsi"/>
          <w:sz w:val="24"/>
          <w:highlight w:val="yellow"/>
        </w:rPr>
      </w:pPr>
    </w:p>
    <w:sectPr w:rsidR="00B144F5"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F9FD" w14:textId="77777777" w:rsidR="00292ABD" w:rsidRDefault="00292ABD" w:rsidP="00F657BF">
      <w:r>
        <w:separator/>
      </w:r>
    </w:p>
  </w:endnote>
  <w:endnote w:type="continuationSeparator" w:id="0">
    <w:p w14:paraId="7E4CDB01" w14:textId="77777777" w:rsidR="00292ABD" w:rsidRDefault="00292AB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51CFF437" w14:textId="77777777" w:rsidTr="007A3D11">
      <w:trPr>
        <w:trHeight w:hRule="exact" w:val="737"/>
      </w:trPr>
      <w:tc>
        <w:tcPr>
          <w:tcW w:w="4695" w:type="dxa"/>
        </w:tcPr>
        <w:p w14:paraId="2299D949" w14:textId="77777777" w:rsidR="00912E34" w:rsidRPr="003D1008" w:rsidRDefault="00487881" w:rsidP="00912E34">
          <w:pPr>
            <w:tabs>
              <w:tab w:val="center" w:pos="2382"/>
            </w:tabs>
          </w:pPr>
        </w:p>
      </w:tc>
      <w:tc>
        <w:tcPr>
          <w:tcW w:w="721" w:type="dxa"/>
        </w:tcPr>
        <w:p w14:paraId="685BED22" w14:textId="77777777" w:rsidR="00912E34" w:rsidRPr="003D1008" w:rsidRDefault="009333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9C071DE" w14:textId="77777777" w:rsidR="00912E34" w:rsidRPr="003D1008" w:rsidRDefault="009333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AA8AE35" w14:textId="77777777" w:rsidR="00912E34" w:rsidRPr="003D1008" w:rsidRDefault="00487881" w:rsidP="00912E34"/>
      </w:tc>
    </w:tr>
  </w:tbl>
  <w:p w14:paraId="5A23C1F2"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E628" w14:textId="77777777" w:rsidR="006E0BB7" w:rsidRDefault="00487881">
    <w:pPr>
      <w:pStyle w:val="Pidipagina"/>
      <w:jc w:val="center"/>
    </w:pPr>
  </w:p>
  <w:p w14:paraId="04E1557B"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3977" w14:textId="77777777" w:rsidR="00292ABD" w:rsidRDefault="00292ABD" w:rsidP="00F657BF">
      <w:r>
        <w:separator/>
      </w:r>
    </w:p>
  </w:footnote>
  <w:footnote w:type="continuationSeparator" w:id="0">
    <w:p w14:paraId="31E482C0" w14:textId="77777777" w:rsidR="00292ABD" w:rsidRDefault="00292AB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3F769F1C"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8EADA8F-D14F-4CA4-8596-D1F0061E1827}"/>
          <w:text w:multiLine="1"/>
        </w:sdtPr>
        <w:sdtEndPr/>
        <w:sdtContent>
          <w:tc>
            <w:tcPr>
              <w:tcW w:w="8383" w:type="dxa"/>
              <w:tcBorders>
                <w:left w:val="single" w:sz="4" w:space="0" w:color="auto"/>
                <w:bottom w:val="single" w:sz="4" w:space="0" w:color="auto"/>
              </w:tcBorders>
              <w:tcMar>
                <w:left w:w="142" w:type="dxa"/>
              </w:tcMar>
              <w:vAlign w:val="bottom"/>
            </w:tcPr>
            <w:p w14:paraId="41D304A9" w14:textId="256D7C9E" w:rsidR="005012EC" w:rsidRPr="00E8185F" w:rsidRDefault="00F80E94"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14:paraId="517EB16B" w14:textId="236A433D" w:rsidR="005012EC" w:rsidRPr="004204CB" w:rsidRDefault="009333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87881">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87881">
            <w:rPr>
              <w:noProof/>
              <w:sz w:val="24"/>
            </w:rPr>
            <w:t>3</w:t>
          </w:r>
          <w:r w:rsidRPr="004204CB">
            <w:rPr>
              <w:noProof/>
              <w:sz w:val="24"/>
            </w:rPr>
            <w:fldChar w:fldCharType="end"/>
          </w:r>
        </w:p>
      </w:tc>
    </w:tr>
    <w:tr w:rsidR="005012EC" w:rsidRPr="009E444B" w14:paraId="025AE46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8EADA8F-D14F-4CA4-8596-D1F0061E1827}"/>
          <w:text w:multiLine="1"/>
        </w:sdtPr>
        <w:sdtEndPr/>
        <w:sdtContent>
          <w:tc>
            <w:tcPr>
              <w:tcW w:w="8383" w:type="dxa"/>
              <w:tcBorders>
                <w:left w:val="single" w:sz="4" w:space="0" w:color="auto"/>
              </w:tcBorders>
              <w:tcMar>
                <w:top w:w="0" w:type="dxa"/>
                <w:left w:w="142" w:type="dxa"/>
              </w:tcMar>
            </w:tcPr>
            <w:p w14:paraId="4CD90C98" w14:textId="18BB807F" w:rsidR="005012EC" w:rsidRPr="00E8185F" w:rsidRDefault="007F3AA6" w:rsidP="004A14A7">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7840</w:t>
              </w:r>
              <w:r w:rsidR="003313AC">
                <w:rPr>
                  <w:rFonts w:ascii="Gill Sans Display MT Pro BdCn" w:hAnsi="Gill Sans Display MT Pro BdCn"/>
                  <w:sz w:val="18"/>
                  <w:szCs w:val="18"/>
                </w:rPr>
                <w:t xml:space="preserve"> R del </w:t>
              </w:r>
              <w:r w:rsidR="004A14A7">
                <w:rPr>
                  <w:rFonts w:ascii="Gill Sans Display MT Pro BdCn" w:hAnsi="Gill Sans Display MT Pro BdCn"/>
                  <w:sz w:val="18"/>
                  <w:szCs w:val="18"/>
                </w:rPr>
                <w:t>31 marzo</w:t>
              </w:r>
              <w:r w:rsidR="003313AC">
                <w:rPr>
                  <w:rFonts w:ascii="Gill Sans Display MT Pro BdCn" w:hAnsi="Gill Sans Display MT Pro BdCn"/>
                  <w:sz w:val="18"/>
                  <w:szCs w:val="18"/>
                </w:rPr>
                <w:t xml:space="preserve"> 2022</w:t>
              </w:r>
            </w:p>
          </w:tc>
        </w:sdtContent>
      </w:sdt>
      <w:tc>
        <w:tcPr>
          <w:tcW w:w="1710" w:type="dxa"/>
          <w:tcBorders>
            <w:top w:val="single" w:sz="4" w:space="0" w:color="auto"/>
          </w:tcBorders>
        </w:tcPr>
        <w:p w14:paraId="39BCE308" w14:textId="77777777" w:rsidR="005012EC" w:rsidRPr="00E043A3" w:rsidRDefault="00487881" w:rsidP="00662409">
          <w:pPr>
            <w:pStyle w:val="InvisibleLine"/>
            <w:rPr>
              <w:lang w:val="de-DE"/>
            </w:rPr>
          </w:pPr>
        </w:p>
      </w:tc>
    </w:tr>
  </w:tbl>
  <w:p w14:paraId="696BC41E" w14:textId="77777777" w:rsidR="00F657BF" w:rsidRPr="00980362" w:rsidRDefault="0093338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8EADA8F-D14F-4CA4-8596-D1F0061E1827}"/>
                            <w:text w:multiLine="1"/>
                          </w:sdtPr>
                          <w:sdtEndPr/>
                          <w:sdtContent>
                            <w:p w14:paraId="3A5DCE53" w14:textId="77777777" w:rsidR="008065E8" w:rsidRPr="00411371" w:rsidRDefault="009333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8EADA8F-D14F-4CA4-8596-D1F0061E1827}"/>
                      <w:text w:multiLine="1"/>
                    </w:sdtPr>
                    <w:sdtEndPr/>
                    <w:sdtContent>
                      <w:p w14:paraId="3A5DCE53" w14:textId="77777777" w:rsidR="008065E8" w:rsidRPr="00411371" w:rsidRDefault="009333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5532062B" w14:textId="77777777" w:rsidTr="0098208F">
      <w:trPr>
        <w:trHeight w:val="586"/>
      </w:trPr>
      <w:tc>
        <w:tcPr>
          <w:tcW w:w="2440" w:type="pct"/>
          <w:gridSpan w:val="3"/>
          <w:tcBorders>
            <w:top w:val="nil"/>
            <w:left w:val="nil"/>
            <w:bottom w:val="single" w:sz="4" w:space="0" w:color="auto"/>
          </w:tcBorders>
          <w:vAlign w:val="bottom"/>
        </w:tcPr>
        <w:p w14:paraId="3C74CFC8" w14:textId="77777777" w:rsidR="00662409" w:rsidRPr="003108C0" w:rsidRDefault="00487881" w:rsidP="00D07D6E">
          <w:pPr>
            <w:pStyle w:val="InvisibleLine"/>
            <w:ind w:left="150"/>
            <w:rPr>
              <w:sz w:val="16"/>
            </w:rPr>
          </w:pPr>
        </w:p>
      </w:tc>
      <w:tc>
        <w:tcPr>
          <w:tcW w:w="373" w:type="pct"/>
          <w:tcBorders>
            <w:top w:val="nil"/>
            <w:bottom w:val="single" w:sz="4" w:space="0" w:color="auto"/>
          </w:tcBorders>
          <w:vAlign w:val="bottom"/>
        </w:tcPr>
        <w:p w14:paraId="6DE70210" w14:textId="77777777" w:rsidR="00662409" w:rsidRPr="003108C0" w:rsidRDefault="00487881" w:rsidP="00D07D6E">
          <w:pPr>
            <w:pStyle w:val="Level"/>
            <w:ind w:left="150"/>
            <w:rPr>
              <w:sz w:val="16"/>
            </w:rPr>
          </w:pPr>
        </w:p>
      </w:tc>
      <w:tc>
        <w:tcPr>
          <w:tcW w:w="209" w:type="pct"/>
          <w:tcBorders>
            <w:top w:val="nil"/>
            <w:bottom w:val="single" w:sz="4" w:space="0" w:color="auto"/>
          </w:tcBorders>
        </w:tcPr>
        <w:p w14:paraId="52B57162" w14:textId="77777777" w:rsidR="00662409" w:rsidRDefault="0093338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B788959" w14:textId="0EFC8E33" w:rsidR="00662409" w:rsidRPr="004204CB" w:rsidRDefault="009333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8788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87881">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14:paraId="6E686051"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8EADA8F-D14F-4CA4-8596-D1F0061E1827}"/>
          <w:text w:multiLine="1"/>
        </w:sdtPr>
        <w:sdtEndPr/>
        <w:sdtContent>
          <w:tc>
            <w:tcPr>
              <w:tcW w:w="5000" w:type="pct"/>
              <w:gridSpan w:val="6"/>
              <w:tcBorders>
                <w:left w:val="nil"/>
                <w:right w:val="nil"/>
              </w:tcBorders>
              <w:noWrap/>
              <w:tcMar>
                <w:top w:w="0" w:type="dxa"/>
              </w:tcMar>
              <w:vAlign w:val="bottom"/>
            </w:tcPr>
            <w:p w14:paraId="6F514814" w14:textId="77777777" w:rsidR="00662409" w:rsidRPr="008C03B5" w:rsidRDefault="003313A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14:paraId="1E7124C3" w14:textId="77777777" w:rsidTr="00B76ABD">
      <w:trPr>
        <w:trHeight w:hRule="exact" w:val="306"/>
      </w:trPr>
      <w:tc>
        <w:tcPr>
          <w:tcW w:w="670" w:type="pct"/>
          <w:tcBorders>
            <w:left w:val="nil"/>
            <w:bottom w:val="nil"/>
          </w:tcBorders>
          <w:noWrap/>
          <w:tcMar>
            <w:top w:w="57" w:type="dxa"/>
            <w:left w:w="142" w:type="dxa"/>
          </w:tcMar>
        </w:tcPr>
        <w:p w14:paraId="5716647B" w14:textId="77777777"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3B23CA2F" w14:textId="77777777" w:rsidR="008C03B5" w:rsidRPr="00C7320A" w:rsidRDefault="0048788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08FF6609" w14:textId="77777777"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6964842D" w14:textId="77777777" w:rsidR="008C03B5" w:rsidRPr="00C7320A" w:rsidRDefault="0048788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692E55F" w14:textId="77777777" w:rsidR="008C03B5" w:rsidRPr="00C7320A" w:rsidRDefault="00933383" w:rsidP="002B0F22">
          <w:pPr>
            <w:pStyle w:val="Level"/>
            <w:spacing w:before="60"/>
            <w:rPr>
              <w:rFonts w:ascii="Gill Alt One MT Light" w:hAnsi="Gill Alt One MT Light"/>
              <w:sz w:val="16"/>
            </w:rPr>
          </w:pPr>
          <w:r>
            <w:rPr>
              <w:rFonts w:ascii="Gill Alt One MT Light" w:hAnsi="Gill Alt One MT Light"/>
              <w:sz w:val="16"/>
            </w:rPr>
            <w:t>competenza</w:t>
          </w:r>
        </w:p>
        <w:p w14:paraId="23754B00" w14:textId="77777777" w:rsidR="008C03B5" w:rsidRPr="008C03B5" w:rsidRDefault="00487881" w:rsidP="002B0F22">
          <w:pPr>
            <w:pStyle w:val="Level"/>
            <w:spacing w:before="60" w:line="240" w:lineRule="auto"/>
            <w:rPr>
              <w:rFonts w:ascii="Gill Alt One MT Light" w:hAnsi="Gill Alt One MT Light"/>
              <w:sz w:val="16"/>
            </w:rPr>
          </w:pPr>
        </w:p>
      </w:tc>
    </w:tr>
    <w:tr w:rsidR="008C03B5" w:rsidRPr="0004624C" w14:paraId="45B1C16C" w14:textId="77777777" w:rsidTr="008C03B5">
      <w:trPr>
        <w:trHeight w:hRule="exact" w:val="699"/>
      </w:trPr>
      <w:tc>
        <w:tcPr>
          <w:tcW w:w="670" w:type="pct"/>
          <w:tcBorders>
            <w:top w:val="nil"/>
            <w:left w:val="nil"/>
            <w:bottom w:val="single" w:sz="4" w:space="0" w:color="auto"/>
            <w:right w:val="nil"/>
          </w:tcBorders>
          <w:noWrap/>
          <w:tcMar>
            <w:top w:w="0" w:type="dxa"/>
          </w:tcMar>
        </w:tcPr>
        <w:p w14:paraId="1754CDDA" w14:textId="42B4796A" w:rsidR="008C03B5" w:rsidRPr="00BE22A2" w:rsidRDefault="00487881" w:rsidP="00F80E94">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8EADA8F-D14F-4CA4-8596-D1F0061E1827}"/>
              <w:text w:multiLine="1"/>
            </w:sdtPr>
            <w:sdtEndPr/>
            <w:sdtContent>
              <w:r w:rsidR="004A14A7">
                <w:rPr>
                  <w:rFonts w:cstheme="minorHAnsi"/>
                  <w:b/>
                  <w:sz w:val="24"/>
                  <w:szCs w:val="24"/>
                </w:rPr>
                <w:t>7</w:t>
              </w:r>
              <w:r w:rsidR="00F80E94">
                <w:rPr>
                  <w:rFonts w:cstheme="minorHAnsi"/>
                  <w:b/>
                  <w:sz w:val="24"/>
                  <w:szCs w:val="24"/>
                </w:rPr>
                <w:t>840</w:t>
              </w:r>
              <w:r w:rsidR="003313AC">
                <w:rPr>
                  <w:rFonts w:cstheme="minorHAnsi"/>
                  <w:b/>
                  <w:sz w:val="24"/>
                  <w:szCs w:val="24"/>
                </w:rPr>
                <w:t xml:space="preserve"> R</w:t>
              </w:r>
            </w:sdtContent>
          </w:sdt>
        </w:p>
      </w:tc>
      <w:sdt>
        <w:sdtPr>
          <w:rPr>
            <w:sz w:val="24"/>
          </w:rPr>
          <w:alias w:val="DocParam.Date"/>
          <w:id w:val="-464426178"/>
          <w:dataBinding w:xpath="//DateTime[@id='DocParam.Date']" w:storeItemID="{18EADA8F-D14F-4CA4-8596-D1F0061E1827}"/>
          <w:date w:fullDate="2022-03-31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A015732" w14:textId="78BEB853" w:rsidR="008C03B5" w:rsidRPr="002A0371" w:rsidRDefault="004A14A7" w:rsidP="004A14A7">
              <w:pPr>
                <w:pStyle w:val="Data"/>
              </w:pPr>
              <w:r>
                <w:rPr>
                  <w:sz w:val="24"/>
                </w:rPr>
                <w:t>31 marzo</w:t>
              </w:r>
              <w:r w:rsidR="003313AC">
                <w:rPr>
                  <w:sz w:val="24"/>
                </w:rPr>
                <w:t xml:space="preserve"> 2022</w:t>
              </w:r>
            </w:p>
          </w:tc>
        </w:sdtContent>
      </w:sdt>
      <w:tc>
        <w:tcPr>
          <w:tcW w:w="3218" w:type="pct"/>
          <w:gridSpan w:val="4"/>
          <w:tcBorders>
            <w:top w:val="nil"/>
            <w:left w:val="nil"/>
            <w:bottom w:val="nil"/>
            <w:right w:val="nil"/>
          </w:tcBorders>
        </w:tcPr>
        <w:p w14:paraId="545B636A" w14:textId="2F305F27" w:rsidR="008C03B5" w:rsidRPr="00BE22A2" w:rsidRDefault="00487881" w:rsidP="00F80E94">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8EADA8F-D14F-4CA4-8596-D1F0061E1827}"/>
              <w:text w:multiLine="1"/>
            </w:sdtPr>
            <w:sdtEndPr/>
            <w:sdtContent>
              <w:r w:rsidR="003313AC">
                <w:rPr>
                  <w:smallCaps/>
                  <w:sz w:val="23"/>
                  <w:szCs w:val="23"/>
                </w:rPr>
                <w:t>Dipartimento de</w:t>
              </w:r>
              <w:r w:rsidR="00F80E94">
                <w:rPr>
                  <w:smallCaps/>
                  <w:sz w:val="23"/>
                  <w:szCs w:val="23"/>
                </w:rPr>
                <w:t>l territorio</w:t>
              </w:r>
            </w:sdtContent>
          </w:sdt>
        </w:p>
      </w:tc>
    </w:tr>
    <w:tr w:rsidR="00912E34" w:rsidRPr="00C63927" w14:paraId="5D03A4F9"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68627A5E" w14:textId="77777777" w:rsidR="00662409" w:rsidRPr="00C7320A" w:rsidRDefault="00487881" w:rsidP="00D07D6E">
          <w:pPr>
            <w:pStyle w:val="Level"/>
            <w:ind w:left="150"/>
            <w:rPr>
              <w:rFonts w:ascii="Gill Alt One MT Light" w:hAnsi="Gill Alt One MT Light"/>
              <w:sz w:val="16"/>
              <w:szCs w:val="16"/>
            </w:rPr>
          </w:pPr>
        </w:p>
      </w:tc>
    </w:tr>
  </w:tbl>
  <w:p w14:paraId="67052F82" w14:textId="77777777" w:rsidR="00F657BF" w:rsidRPr="00DA2879" w:rsidRDefault="0093338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8EADA8F-D14F-4CA4-8596-D1F0061E1827}"/>
                            <w:text w:multiLine="1"/>
                          </w:sdtPr>
                          <w:sdtEndPr/>
                          <w:sdtContent>
                            <w:p w14:paraId="0ED57070" w14:textId="77777777" w:rsidR="00E93620" w:rsidRPr="00411371" w:rsidRDefault="009333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8EADA8F-D14F-4CA4-8596-D1F0061E1827}"/>
                      <w:text w:multiLine="1"/>
                    </w:sdtPr>
                    <w:sdtEndPr/>
                    <w:sdtContent>
                      <w:p w14:paraId="0ED57070" w14:textId="77777777" w:rsidR="00E93620" w:rsidRPr="00411371" w:rsidRDefault="009333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1A1700C"/>
    <w:multiLevelType w:val="hybridMultilevel"/>
    <w:tmpl w:val="9B129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2"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8"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1"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32"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3"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4"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5"/>
  </w:num>
  <w:num w:numId="5">
    <w:abstractNumId w:val="24"/>
  </w:num>
  <w:num w:numId="6">
    <w:abstractNumId w:val="17"/>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16"/>
  </w:num>
  <w:num w:numId="20">
    <w:abstractNumId w:val="18"/>
  </w:num>
  <w:num w:numId="21">
    <w:abstractNumId w:val="21"/>
  </w:num>
  <w:num w:numId="22">
    <w:abstractNumId w:val="29"/>
  </w:num>
  <w:num w:numId="23">
    <w:abstractNumId w:val="13"/>
  </w:num>
  <w:num w:numId="24">
    <w:abstractNumId w:val="23"/>
  </w:num>
  <w:num w:numId="25">
    <w:abstractNumId w:val="30"/>
  </w:num>
  <w:num w:numId="26">
    <w:abstractNumId w:val="19"/>
  </w:num>
  <w:num w:numId="27">
    <w:abstractNumId w:val="27"/>
  </w:num>
  <w:num w:numId="28">
    <w:abstractNumId w:val="10"/>
  </w:num>
  <w:num w:numId="29">
    <w:abstractNumId w:val="33"/>
  </w:num>
  <w:num w:numId="30">
    <w:abstractNumId w:val="31"/>
  </w:num>
  <w:num w:numId="31">
    <w:abstractNumId w:val="32"/>
  </w:num>
  <w:num w:numId="32">
    <w:abstractNumId w:val="15"/>
  </w:num>
  <w:num w:numId="33">
    <w:abstractNumId w:val="28"/>
  </w:num>
  <w:num w:numId="34">
    <w:abstractNumId w:val="34"/>
  </w:num>
  <w:num w:numId="35">
    <w:abstractNumId w:val="22"/>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1EED"/>
    <w:rsid w:val="00003444"/>
    <w:rsid w:val="00022EF3"/>
    <w:rsid w:val="00106992"/>
    <w:rsid w:val="00247812"/>
    <w:rsid w:val="00292ABD"/>
    <w:rsid w:val="002B5D9F"/>
    <w:rsid w:val="002C54EF"/>
    <w:rsid w:val="002E7CE6"/>
    <w:rsid w:val="0032768A"/>
    <w:rsid w:val="003313AC"/>
    <w:rsid w:val="003B756D"/>
    <w:rsid w:val="00403ADB"/>
    <w:rsid w:val="004075F0"/>
    <w:rsid w:val="00487881"/>
    <w:rsid w:val="004A14A7"/>
    <w:rsid w:val="004F6D9E"/>
    <w:rsid w:val="00572FD3"/>
    <w:rsid w:val="0062758D"/>
    <w:rsid w:val="00667031"/>
    <w:rsid w:val="007C1267"/>
    <w:rsid w:val="007F3AA6"/>
    <w:rsid w:val="008720C4"/>
    <w:rsid w:val="008B3BBB"/>
    <w:rsid w:val="008F52AF"/>
    <w:rsid w:val="00933383"/>
    <w:rsid w:val="00971AA3"/>
    <w:rsid w:val="009C5E5A"/>
    <w:rsid w:val="00A51618"/>
    <w:rsid w:val="00AF0268"/>
    <w:rsid w:val="00B144F5"/>
    <w:rsid w:val="00B2138C"/>
    <w:rsid w:val="00B255DC"/>
    <w:rsid w:val="00BF0A1F"/>
    <w:rsid w:val="00C02193"/>
    <w:rsid w:val="00D33940"/>
    <w:rsid w:val="00D600FD"/>
    <w:rsid w:val="00D649A8"/>
    <w:rsid w:val="00E4509C"/>
    <w:rsid w:val="00E60DC2"/>
    <w:rsid w:val="00E90A1F"/>
    <w:rsid w:val="00EB088A"/>
    <w:rsid w:val="00F657BF"/>
    <w:rsid w:val="00F80E94"/>
    <w:rsid w:val="00F8760D"/>
    <w:rsid w:val="00FD3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BA3DF8"/>
  <w15:docId w15:val="{4C9A69A9-2914-4F18-BE8E-14243E2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O n e O f f i x x D o c u m e n t P a r t   x m l n s : x s i = " h t t p : / / w w w . w 3 . o r g / 2 0 0 1 / X M L S c h e m a - i n s t a n c e "   x m l n s : x s d = " h t t p : / / w w w . w 3 . o r g / 2 0 0 1 / X M L S c h e m a " 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 2 0 2 2 - 0 3 - 3 1 T 0 0 : 0 0 : 0 0 < / D a t e T i m e >  
                 < T e x t   i d = " D o c P a r a m . N u m b e r " > 7 8 4 0 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 D i p a r t i m e n t o   d e l   t e r r i t o r i o < / T e x t >  
                 < T e x t   i d = " C u s t o m E l e m e n t s . F i e l d s . T i t o l o 1 "   l a b e l = " C u s t o m E l e m e n t s . F i e l d s . T i t o l o 1 " > < ! [ C D A T A [ R a p p o r t o ] ] > < / T e x t >  
                 < T e x t   i d = " C u s t o m E l e m e n t s . F i e l d s . T i t o l o 2 "   l a b e l = " C u s t o m E l e m e n t s . F i e l d s . T i t o l o 2 " > R a p p o r t o   n .   7 8 4 0   R   d e l   3 1 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neOffixxExtendedBindingPart xmlns:xsd="http://www.w3.org/2001/XMLSchema" xmlns:xsi="http://www.w3.org/2001/XMLSchema-instance" xmlns="http://schema.oneoffixx.com/OneOffixxExtendedBindingPart/1">
  <ExtendedBindings/>
</OneOffixxExtendedBindingPart>
</file>

<file path=customXml/item7.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E7DBEF9F-77E4-4238-BC84-EBEE9955562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FDE9554A-8497-479C-B3C8-7A4F5671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EADA8F-D14F-4CA4-8596-D1F0061E1827}">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BA914393-AC9A-4EE1-838F-2BFC36B018EF}">
  <ds:schemaRefs>
    <ds:schemaRef ds:uri="http://schemas.microsoft.com/sharepoint/v3/contenttype/forms"/>
  </ds:schemaRefs>
</ds:datastoreItem>
</file>

<file path=customXml/itemProps6.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7.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8</TotalTime>
  <Pages>3</Pages>
  <Words>1034</Words>
  <Characters>5900</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8</cp:revision>
  <cp:lastPrinted>2022-04-19T08:54:00Z</cp:lastPrinted>
  <dcterms:created xsi:type="dcterms:W3CDTF">2022-04-04T08:38:00Z</dcterms:created>
  <dcterms:modified xsi:type="dcterms:W3CDTF">2022-04-19T08:54:00Z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0x01010006054E6C1379FE4698CFB9C223FACCAB0024D60B1C616C4C4C88FD0E0C700C3090</vt:lpwstr>
  </property>
</Properties>
</file>