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7A" w:rsidRPr="006F4A7A" w:rsidRDefault="006F4A7A" w:rsidP="006F4A7A">
      <w:pPr>
        <w:pStyle w:val="StandardRisoluzionedelConsigliodiStato"/>
        <w:ind w:right="-1"/>
      </w:pPr>
      <w:r w:rsidRPr="006F4A7A">
        <w:rPr>
          <w:rFonts w:eastAsia="Arial" w:cs="Arial"/>
          <w:b/>
          <w:bCs/>
          <w:sz w:val="28"/>
          <w:szCs w:val="28"/>
          <w:lang w:val="it-IT"/>
        </w:rPr>
        <w:t xml:space="preserve">della Commissione economia e lavoro </w:t>
      </w:r>
    </w:p>
    <w:p w:rsidR="006F4A7A" w:rsidRPr="006F4A7A" w:rsidRDefault="006F4A7A" w:rsidP="006F4A7A">
      <w:pPr>
        <w:rPr>
          <w:rFonts w:eastAsia="Arial" w:cs="Arial"/>
          <w:b/>
          <w:bCs/>
          <w:sz w:val="28"/>
          <w:szCs w:val="28"/>
          <w:lang w:val="it-IT"/>
        </w:rPr>
      </w:pPr>
      <w:r w:rsidRPr="006F4A7A">
        <w:rPr>
          <w:rFonts w:eastAsia="Arial" w:cs="Arial"/>
          <w:b/>
          <w:bCs/>
          <w:sz w:val="28"/>
          <w:szCs w:val="28"/>
          <w:lang w:val="it-IT"/>
        </w:rPr>
        <w:t xml:space="preserve">sull'iniziativa parlamentare 22 gennaio 2018 presentata nella forma elaborata da Fabio Badasci (ripresa da Michele Guerra) per il </w:t>
      </w:r>
      <w:r>
        <w:rPr>
          <w:rFonts w:eastAsia="Arial" w:cs="Arial"/>
          <w:b/>
          <w:bCs/>
          <w:sz w:val="28"/>
          <w:szCs w:val="28"/>
          <w:lang w:val="it-IT"/>
        </w:rPr>
        <w:t xml:space="preserve">Gruppo della Lega dei Ticinesi </w:t>
      </w:r>
      <w:r w:rsidR="00841C3D">
        <w:rPr>
          <w:rFonts w:eastAsia="Arial" w:cs="Arial"/>
          <w:b/>
          <w:bCs/>
          <w:sz w:val="28"/>
          <w:szCs w:val="28"/>
          <w:lang w:val="it-IT"/>
        </w:rPr>
        <w:t>"</w:t>
      </w:r>
      <w:r w:rsidRPr="006F4A7A">
        <w:rPr>
          <w:rFonts w:eastAsia="Arial" w:cs="Arial"/>
          <w:b/>
          <w:bCs/>
          <w:sz w:val="28"/>
          <w:szCs w:val="28"/>
          <w:lang w:val="it-IT"/>
        </w:rPr>
        <w:t>Modifica dell’art. 21 della legge sul turismo (</w:t>
      </w:r>
      <w:proofErr w:type="spellStart"/>
      <w:r w:rsidRPr="006F4A7A">
        <w:rPr>
          <w:rFonts w:eastAsia="Arial" w:cs="Arial"/>
          <w:b/>
          <w:bCs/>
          <w:sz w:val="28"/>
          <w:szCs w:val="28"/>
          <w:lang w:val="it-IT"/>
        </w:rPr>
        <w:t>LTur</w:t>
      </w:r>
      <w:proofErr w:type="spellEnd"/>
      <w:r w:rsidRPr="006F4A7A">
        <w:rPr>
          <w:rFonts w:eastAsia="Arial" w:cs="Arial"/>
          <w:b/>
          <w:bCs/>
          <w:sz w:val="28"/>
          <w:szCs w:val="28"/>
          <w:lang w:val="it-IT"/>
        </w:rPr>
        <w:t>): i letti delle case secondarie non devono essere tassati a scopo turistico se non usati a tale s</w:t>
      </w:r>
      <w:r>
        <w:rPr>
          <w:rFonts w:eastAsia="Arial" w:cs="Arial"/>
          <w:b/>
          <w:bCs/>
          <w:sz w:val="28"/>
          <w:szCs w:val="28"/>
          <w:lang w:val="it-IT"/>
        </w:rPr>
        <w:t>copo</w:t>
      </w:r>
      <w:r w:rsidR="00841C3D">
        <w:rPr>
          <w:rFonts w:eastAsia="Arial" w:cs="Arial"/>
          <w:b/>
          <w:bCs/>
          <w:sz w:val="28"/>
          <w:szCs w:val="28"/>
          <w:lang w:val="it-IT"/>
        </w:rPr>
        <w:t>"</w:t>
      </w:r>
    </w:p>
    <w:p w:rsidR="006F4A7A" w:rsidRPr="00841C3D" w:rsidRDefault="006F4A7A" w:rsidP="00841C3D">
      <w:pPr>
        <w:jc w:val="left"/>
        <w:rPr>
          <w:rFonts w:eastAsia="Arial" w:cs="Arial"/>
          <w:sz w:val="24"/>
          <w:szCs w:val="24"/>
          <w:lang w:val="it-IT"/>
        </w:rPr>
      </w:pPr>
    </w:p>
    <w:p w:rsidR="006F4A7A" w:rsidRPr="00841C3D" w:rsidRDefault="006F4A7A" w:rsidP="00841C3D">
      <w:pPr>
        <w:jc w:val="left"/>
        <w:rPr>
          <w:rFonts w:eastAsia="Arial" w:cs="Arial"/>
          <w:sz w:val="24"/>
          <w:szCs w:val="24"/>
          <w:lang w:val="it-IT"/>
        </w:rPr>
      </w:pPr>
    </w:p>
    <w:p w:rsidR="006F4A7A" w:rsidRPr="006F4A7A" w:rsidRDefault="00997F05" w:rsidP="00997F05">
      <w:pPr>
        <w:pStyle w:val="Titolo1"/>
        <w:tabs>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006F4A7A" w:rsidRPr="006F4A7A">
        <w:rPr>
          <w:rFonts w:eastAsia="Calibri" w:cs="Times New Roman"/>
          <w:caps/>
          <w:sz w:val="24"/>
          <w:szCs w:val="24"/>
          <w:lang w:val="it-IT" w:eastAsia="it-IT"/>
        </w:rPr>
        <w:t>L'INIZIATIVA E IL SUO OBIETTIVO</w:t>
      </w:r>
    </w:p>
    <w:p w:rsidR="006F4A7A" w:rsidRDefault="006F4A7A" w:rsidP="00997F05">
      <w:pPr>
        <w:contextualSpacing/>
        <w:rPr>
          <w:rFonts w:eastAsia="Arial" w:cs="Arial"/>
          <w:sz w:val="24"/>
          <w:szCs w:val="24"/>
          <w:lang w:val="it-IT"/>
        </w:rPr>
      </w:pPr>
      <w:r w:rsidRPr="006F4A7A">
        <w:rPr>
          <w:rFonts w:eastAsia="Arial" w:cs="Arial"/>
          <w:sz w:val="24"/>
          <w:szCs w:val="24"/>
          <w:lang w:val="it-IT"/>
        </w:rPr>
        <w:t>Ne</w:t>
      </w:r>
      <w:r w:rsidR="00997F05">
        <w:rPr>
          <w:rFonts w:eastAsia="Arial" w:cs="Arial"/>
          <w:sz w:val="24"/>
          <w:szCs w:val="24"/>
          <w:lang w:val="it-IT"/>
        </w:rPr>
        <w:t>l gennaio 2018, l’ex collega e deputato Fabio Badasci -</w:t>
      </w:r>
      <w:r w:rsidRPr="006F4A7A">
        <w:rPr>
          <w:rFonts w:eastAsia="Arial" w:cs="Arial"/>
          <w:sz w:val="24"/>
          <w:szCs w:val="24"/>
          <w:lang w:val="it-IT"/>
        </w:rPr>
        <w:t xml:space="preserve"> a nome del</w:t>
      </w:r>
      <w:r w:rsidR="00997F05">
        <w:rPr>
          <w:rFonts w:eastAsia="Arial" w:cs="Arial"/>
          <w:sz w:val="24"/>
          <w:szCs w:val="24"/>
          <w:lang w:val="it-IT"/>
        </w:rPr>
        <w:t xml:space="preserve">la Lega dei Ticinesi - </w:t>
      </w:r>
      <w:r w:rsidRPr="006F4A7A">
        <w:rPr>
          <w:rFonts w:eastAsia="Arial" w:cs="Arial"/>
          <w:sz w:val="24"/>
          <w:szCs w:val="24"/>
          <w:lang w:val="it-IT"/>
        </w:rPr>
        <w:t xml:space="preserve">ha elaborato un’iniziativa parlamentare affinché i letti delle case secondarie siano tassati a scopo turistico, solo se </w:t>
      </w:r>
      <w:r w:rsidRPr="006F4A7A">
        <w:rPr>
          <w:rFonts w:eastAsia="Arial" w:cs="Arial"/>
          <w:i/>
          <w:iCs/>
          <w:sz w:val="24"/>
          <w:szCs w:val="24"/>
          <w:lang w:val="it-IT"/>
        </w:rPr>
        <w:t>effettivamente</w:t>
      </w:r>
      <w:r w:rsidRPr="006F4A7A">
        <w:rPr>
          <w:rFonts w:eastAsia="Arial" w:cs="Arial"/>
          <w:sz w:val="24"/>
          <w:szCs w:val="24"/>
          <w:lang w:val="it-IT"/>
        </w:rPr>
        <w:t xml:space="preserve"> usati a tale scopo. Si chiede quindi un esonero dall’obbligo del pagamento forfettario (modificando la Legge sul turismo (</w:t>
      </w:r>
      <w:proofErr w:type="spellStart"/>
      <w:r w:rsidRPr="006F4A7A">
        <w:rPr>
          <w:rFonts w:eastAsia="Arial" w:cs="Arial"/>
          <w:sz w:val="24"/>
          <w:szCs w:val="24"/>
          <w:lang w:val="it-IT"/>
        </w:rPr>
        <w:t>LTur</w:t>
      </w:r>
      <w:proofErr w:type="spellEnd"/>
      <w:r w:rsidRPr="006F4A7A">
        <w:rPr>
          <w:rFonts w:eastAsia="Arial" w:cs="Arial"/>
          <w:sz w:val="24"/>
          <w:szCs w:val="24"/>
          <w:lang w:val="it-IT"/>
        </w:rPr>
        <w:t xml:space="preserve">)) per i proprietari che usufruiscono personalmente della propria casa secondaria; la tassa rimarrebbe invece prevista per chi affitta, annualmente o almeno per 3 mesi, il proprio alloggio a terzi. </w:t>
      </w:r>
    </w:p>
    <w:p w:rsidR="00997F05" w:rsidRPr="006F4A7A" w:rsidRDefault="00997F05" w:rsidP="00997F05">
      <w:pPr>
        <w:contextualSpacing/>
        <w:rPr>
          <w:rFonts w:eastAsia="Arial" w:cs="Arial"/>
          <w:sz w:val="24"/>
          <w:szCs w:val="24"/>
          <w:lang w:val="it-IT"/>
        </w:rPr>
      </w:pPr>
    </w:p>
    <w:p w:rsidR="006F4A7A" w:rsidRPr="006F4A7A" w:rsidRDefault="006F4A7A" w:rsidP="00997F05">
      <w:pPr>
        <w:contextualSpacing/>
        <w:rPr>
          <w:rFonts w:eastAsia="Arial" w:cs="Arial"/>
          <w:sz w:val="24"/>
          <w:szCs w:val="24"/>
          <w:lang w:val="it-IT"/>
        </w:rPr>
      </w:pPr>
      <w:r w:rsidRPr="006F4A7A">
        <w:rPr>
          <w:rFonts w:eastAsia="Arial" w:cs="Arial"/>
          <w:sz w:val="24"/>
          <w:szCs w:val="24"/>
          <w:lang w:val="it-IT"/>
        </w:rPr>
        <w:t>L’iniziativista era mosso nei suoi intenti ritenendo anacronistico l’attuale sistema di prelievo poiché, suo dire, i proprietari delle residenze second</w:t>
      </w:r>
      <w:r w:rsidR="00997F05">
        <w:rPr>
          <w:rFonts w:eastAsia="Arial" w:cs="Arial"/>
          <w:sz w:val="24"/>
          <w:szCs w:val="24"/>
          <w:lang w:val="it-IT"/>
        </w:rPr>
        <w:t>arie si dedicano costantemente -</w:t>
      </w:r>
      <w:r w:rsidRPr="006F4A7A">
        <w:rPr>
          <w:rFonts w:eastAsia="Arial" w:cs="Arial"/>
          <w:sz w:val="24"/>
          <w:szCs w:val="24"/>
          <w:lang w:val="it-IT"/>
        </w:rPr>
        <w:t xml:space="preserve"> soprattutto nei contesti di valle </w:t>
      </w:r>
      <w:r w:rsidR="00841C3D">
        <w:rPr>
          <w:rFonts w:eastAsia="Arial" w:cs="Arial"/>
          <w:sz w:val="24"/>
          <w:szCs w:val="24"/>
          <w:lang w:val="it-IT"/>
        </w:rPr>
        <w:t>-</w:t>
      </w:r>
      <w:r w:rsidRPr="006F4A7A">
        <w:rPr>
          <w:rFonts w:eastAsia="Arial" w:cs="Arial"/>
          <w:sz w:val="24"/>
          <w:szCs w:val="24"/>
          <w:lang w:val="it-IT"/>
        </w:rPr>
        <w:t xml:space="preserve"> alla manutenzione del territorio e del paesaggio.</w:t>
      </w:r>
    </w:p>
    <w:p w:rsidR="00997F05" w:rsidRDefault="00997F05" w:rsidP="00997F05">
      <w:pPr>
        <w:contextualSpacing/>
        <w:rPr>
          <w:rFonts w:eastAsia="Arial" w:cs="Arial"/>
          <w:sz w:val="24"/>
          <w:szCs w:val="24"/>
          <w:lang w:val="it-IT"/>
        </w:rPr>
      </w:pPr>
    </w:p>
    <w:p w:rsidR="006F4A7A" w:rsidRPr="006F4A7A" w:rsidRDefault="006F4A7A" w:rsidP="00997F05">
      <w:pPr>
        <w:contextualSpacing/>
        <w:rPr>
          <w:rFonts w:eastAsia="Arial" w:cs="Arial"/>
          <w:sz w:val="24"/>
          <w:szCs w:val="24"/>
          <w:lang w:val="it-IT"/>
        </w:rPr>
      </w:pPr>
      <w:r w:rsidRPr="006F4A7A">
        <w:rPr>
          <w:rFonts w:eastAsia="Arial" w:cs="Arial"/>
          <w:sz w:val="24"/>
          <w:szCs w:val="24"/>
          <w:lang w:val="it-IT"/>
        </w:rPr>
        <w:t>Nel frattempo, l’iniziativa è stata ripresa dal collega Michele Guerra.</w:t>
      </w:r>
    </w:p>
    <w:p w:rsidR="006F4A7A" w:rsidRDefault="006F4A7A" w:rsidP="006F4A7A">
      <w:pPr>
        <w:contextualSpacing/>
        <w:rPr>
          <w:rFonts w:eastAsia="Arial" w:cs="Arial"/>
          <w:sz w:val="24"/>
          <w:szCs w:val="24"/>
          <w:lang w:val="it-IT"/>
        </w:rPr>
      </w:pPr>
    </w:p>
    <w:p w:rsidR="00997F05" w:rsidRPr="006F4A7A" w:rsidRDefault="00997F05" w:rsidP="006F4A7A">
      <w:pPr>
        <w:contextualSpacing/>
        <w:rPr>
          <w:rFonts w:eastAsia="Arial" w:cs="Arial"/>
          <w:sz w:val="24"/>
          <w:szCs w:val="24"/>
          <w:lang w:val="it-IT"/>
        </w:rPr>
      </w:pPr>
    </w:p>
    <w:p w:rsidR="006F4A7A" w:rsidRPr="006F4A7A" w:rsidRDefault="00997F05" w:rsidP="00997F05">
      <w:pPr>
        <w:pStyle w:val="Titolo1"/>
        <w:tabs>
          <w:tab w:val="left" w:pos="567"/>
        </w:tabs>
        <w:spacing w:before="0"/>
        <w:jc w:val="both"/>
        <w:rPr>
          <w:rFonts w:eastAsia="Arial" w:cs="Arial"/>
          <w:bCs/>
          <w:sz w:val="24"/>
          <w:szCs w:val="24"/>
          <w:lang w:val="it-IT"/>
        </w:rPr>
      </w:pPr>
      <w:r w:rsidRPr="00997F05">
        <w:rPr>
          <w:rFonts w:eastAsia="Arial" w:cs="Arial"/>
          <w:bCs/>
          <w:sz w:val="24"/>
          <w:szCs w:val="24"/>
          <w:lang w:val="it-IT"/>
        </w:rPr>
        <w:t>2.</w:t>
      </w:r>
      <w:r w:rsidRPr="00997F05">
        <w:rPr>
          <w:rFonts w:eastAsia="Arial" w:cs="Arial"/>
          <w:bCs/>
          <w:sz w:val="24"/>
          <w:szCs w:val="24"/>
          <w:lang w:val="it-IT"/>
        </w:rPr>
        <w:tab/>
      </w:r>
      <w:r w:rsidR="006F4A7A" w:rsidRPr="006F4A7A">
        <w:rPr>
          <w:rFonts w:eastAsia="Arial" w:cs="Arial"/>
          <w:bCs/>
          <w:sz w:val="24"/>
          <w:szCs w:val="24"/>
          <w:lang w:val="it-IT"/>
        </w:rPr>
        <w:t>LA PROPOSTA NORMATIVA DELL'INIZIATIVA</w:t>
      </w:r>
    </w:p>
    <w:p w:rsidR="006F4A7A" w:rsidRDefault="006F4A7A" w:rsidP="00997F05">
      <w:pPr>
        <w:spacing w:after="120"/>
        <w:rPr>
          <w:rFonts w:eastAsia="Arial" w:cs="Arial"/>
          <w:sz w:val="24"/>
          <w:szCs w:val="24"/>
          <w:lang w:val="it-IT"/>
        </w:rPr>
      </w:pPr>
      <w:r w:rsidRPr="006F4A7A">
        <w:rPr>
          <w:rFonts w:eastAsia="Arial" w:cs="Arial"/>
          <w:sz w:val="24"/>
          <w:szCs w:val="24"/>
          <w:lang w:val="it-IT"/>
        </w:rPr>
        <w:t xml:space="preserve">Come già accennato, l’iniziativa intende modificare, per raggiungere i suoi scopi, l’art 21 cpv. 5 della </w:t>
      </w:r>
      <w:proofErr w:type="spellStart"/>
      <w:r w:rsidRPr="006F4A7A">
        <w:rPr>
          <w:rFonts w:eastAsia="Arial" w:cs="Arial"/>
          <w:sz w:val="24"/>
          <w:szCs w:val="24"/>
          <w:lang w:val="it-IT"/>
        </w:rPr>
        <w:t>LTur</w:t>
      </w:r>
      <w:proofErr w:type="spellEnd"/>
      <w:r w:rsidRPr="006F4A7A">
        <w:rPr>
          <w:rFonts w:eastAsia="Arial" w:cs="Arial"/>
          <w:sz w:val="24"/>
          <w:szCs w:val="24"/>
          <w:lang w:val="it-IT"/>
        </w:rPr>
        <w:t xml:space="preserve">. Il tenore attuale del cpv in questione è il seguente: </w:t>
      </w:r>
    </w:p>
    <w:p w:rsidR="006F4A7A" w:rsidRPr="00997F05" w:rsidRDefault="006F4A7A" w:rsidP="00997F05">
      <w:pPr>
        <w:ind w:right="-13"/>
        <w:contextualSpacing/>
        <w:rPr>
          <w:rFonts w:eastAsia="Arial" w:cs="Arial"/>
          <w:i/>
          <w:iCs/>
          <w:sz w:val="23"/>
          <w:szCs w:val="23"/>
          <w:lang w:val="it-IT"/>
        </w:rPr>
      </w:pPr>
      <w:r w:rsidRPr="006F4A7A">
        <w:rPr>
          <w:rFonts w:eastAsia="Arial" w:cs="Arial"/>
          <w:i/>
          <w:iCs/>
          <w:sz w:val="23"/>
          <w:szCs w:val="23"/>
          <w:lang w:val="it-IT"/>
        </w:rPr>
        <w:t>“I proprietari di appartamenti o di case di vacanza, così come i membri delle loro famiglie, pagano una tassa di soggiorno nella forma di un importo annuale fisso. Questo importo è compreso tra fr. 15.</w:t>
      </w:r>
      <w:r w:rsidR="00841C3D">
        <w:rPr>
          <w:rFonts w:eastAsia="Arial" w:cs="Arial"/>
          <w:i/>
          <w:iCs/>
          <w:sz w:val="23"/>
          <w:szCs w:val="23"/>
          <w:lang w:val="it-IT"/>
        </w:rPr>
        <w:t>-</w:t>
      </w:r>
      <w:r w:rsidRPr="006F4A7A">
        <w:rPr>
          <w:rFonts w:eastAsia="Arial" w:cs="Arial"/>
          <w:i/>
          <w:iCs/>
          <w:sz w:val="23"/>
          <w:szCs w:val="23"/>
          <w:lang w:val="it-IT"/>
        </w:rPr>
        <w:t xml:space="preserve"> e fr. 100.</w:t>
      </w:r>
      <w:r w:rsidR="00841C3D">
        <w:rPr>
          <w:rFonts w:eastAsia="Arial" w:cs="Arial"/>
          <w:i/>
          <w:iCs/>
          <w:sz w:val="23"/>
          <w:szCs w:val="23"/>
          <w:lang w:val="it-IT"/>
        </w:rPr>
        <w:t>-</w:t>
      </w:r>
      <w:r w:rsidRPr="006F4A7A">
        <w:rPr>
          <w:rFonts w:eastAsia="Arial" w:cs="Arial"/>
          <w:i/>
          <w:iCs/>
          <w:sz w:val="23"/>
          <w:szCs w:val="23"/>
          <w:lang w:val="it-IT"/>
        </w:rPr>
        <w:t xml:space="preserve"> per posto letto, a secondo dell’accessibilità e dell’offerta turistica esistente dove è ubicata la residenza.”</w:t>
      </w:r>
    </w:p>
    <w:p w:rsidR="00997F05" w:rsidRPr="006F4A7A" w:rsidRDefault="00997F05" w:rsidP="00997F05">
      <w:pPr>
        <w:ind w:left="567" w:right="-13"/>
        <w:contextualSpacing/>
        <w:rPr>
          <w:rFonts w:eastAsia="Arial" w:cs="Arial"/>
          <w:i/>
          <w:iCs/>
          <w:sz w:val="24"/>
          <w:szCs w:val="24"/>
          <w:lang w:val="it-IT"/>
        </w:rPr>
      </w:pPr>
    </w:p>
    <w:p w:rsidR="006F4A7A" w:rsidRPr="006F4A7A" w:rsidRDefault="006F4A7A" w:rsidP="00997F05">
      <w:pPr>
        <w:spacing w:after="120"/>
        <w:rPr>
          <w:rFonts w:eastAsia="Arial" w:cs="Arial"/>
          <w:sz w:val="24"/>
          <w:szCs w:val="24"/>
          <w:lang w:val="it-IT"/>
        </w:rPr>
      </w:pPr>
      <w:r w:rsidRPr="006F4A7A">
        <w:rPr>
          <w:rFonts w:eastAsia="Arial" w:cs="Arial"/>
          <w:sz w:val="24"/>
          <w:szCs w:val="24"/>
          <w:lang w:val="it-IT"/>
        </w:rPr>
        <w:t>La proposta, invece, propone quanto segue (in grassetto gli aspetti che differiscono dalla formulazione originale del cpv. 5):</w:t>
      </w:r>
    </w:p>
    <w:p w:rsidR="006F4A7A" w:rsidRPr="00997F05" w:rsidRDefault="006F4A7A" w:rsidP="00997F05">
      <w:pPr>
        <w:ind w:right="-13"/>
        <w:contextualSpacing/>
        <w:rPr>
          <w:rFonts w:eastAsia="Arial" w:cs="Arial"/>
          <w:i/>
          <w:iCs/>
          <w:sz w:val="23"/>
          <w:szCs w:val="23"/>
          <w:lang w:val="it-IT"/>
        </w:rPr>
      </w:pPr>
      <w:r w:rsidRPr="006F4A7A">
        <w:rPr>
          <w:rFonts w:eastAsia="Arial" w:cs="Arial"/>
          <w:i/>
          <w:iCs/>
          <w:sz w:val="23"/>
          <w:szCs w:val="23"/>
          <w:lang w:val="it-IT"/>
        </w:rPr>
        <w:t>“I proprietari di appartamenti, di case di vacanza</w:t>
      </w:r>
      <w:r w:rsidRPr="006F4A7A">
        <w:rPr>
          <w:rFonts w:eastAsia="Arial" w:cs="Arial"/>
          <w:b/>
          <w:bCs/>
          <w:i/>
          <w:iCs/>
          <w:sz w:val="23"/>
          <w:szCs w:val="23"/>
          <w:lang w:val="it-IT"/>
        </w:rPr>
        <w:t xml:space="preserve"> o di camper e bungalow che affittano il proprio alloggio per più di tre mesi consecutivi allo stesso locatario sono tenuti a pagare un importo annuo fisso compreso tra fr. 15.-- e fr. 100.-- per posto letto</w:t>
      </w:r>
      <w:r w:rsidRPr="006F4A7A">
        <w:rPr>
          <w:rFonts w:eastAsia="Arial" w:cs="Arial"/>
          <w:i/>
          <w:iCs/>
          <w:sz w:val="23"/>
          <w:szCs w:val="23"/>
          <w:lang w:val="it-IT"/>
        </w:rPr>
        <w:t>, a seconda dell’accessibilità e dell’offerta turistica esistente dov’è ubicata la residenza”.</w:t>
      </w:r>
    </w:p>
    <w:p w:rsidR="00997F05" w:rsidRPr="006F4A7A" w:rsidRDefault="00997F05" w:rsidP="00997F05">
      <w:pPr>
        <w:ind w:right="-13"/>
        <w:contextualSpacing/>
        <w:rPr>
          <w:rFonts w:eastAsia="Arial" w:cs="Arial"/>
          <w:i/>
          <w:iCs/>
          <w:sz w:val="24"/>
          <w:szCs w:val="24"/>
          <w:lang w:val="it-IT"/>
        </w:rPr>
      </w:pPr>
    </w:p>
    <w:p w:rsidR="006F4A7A" w:rsidRPr="006F4A7A" w:rsidRDefault="006F4A7A" w:rsidP="006F4A7A">
      <w:pPr>
        <w:contextualSpacing/>
        <w:rPr>
          <w:rFonts w:eastAsia="Arial" w:cs="Arial"/>
          <w:sz w:val="24"/>
          <w:szCs w:val="24"/>
          <w:lang w:val="it-IT"/>
        </w:rPr>
      </w:pPr>
      <w:r w:rsidRPr="006F4A7A">
        <w:rPr>
          <w:rFonts w:eastAsia="Arial" w:cs="Arial"/>
          <w:sz w:val="24"/>
          <w:szCs w:val="24"/>
          <w:lang w:val="it-IT"/>
        </w:rPr>
        <w:t xml:space="preserve">Osserviamo come il criterio di assoggettamento sia piuttosto limitante, poiché occorre affittare la proprietà per più di tre mesi consecutivi al medesimo locatario. Si tratta di una </w:t>
      </w:r>
      <w:r w:rsidRPr="006F4A7A">
        <w:rPr>
          <w:rFonts w:eastAsia="Arial" w:cs="Arial"/>
          <w:sz w:val="24"/>
          <w:szCs w:val="24"/>
          <w:lang w:val="it-IT"/>
        </w:rPr>
        <w:lastRenderedPageBreak/>
        <w:t xml:space="preserve">condizione poco aderente alla realtà, poiché oggi la vacanza tipica coincide con un soggiorno di alcuni giorni fino a due o tre settimane. L’iniziativa, invece, fissa come l’affitto debba essere, in buona sostanza, stagionale; si può dunque facilmente intuire come l’esenzione possa toccare davvero moltissime residenze secondarie </w:t>
      </w:r>
      <w:r w:rsidR="00841C3D">
        <w:rPr>
          <w:rFonts w:eastAsia="Arial" w:cs="Arial"/>
          <w:sz w:val="24"/>
          <w:szCs w:val="24"/>
          <w:lang w:val="it-IT"/>
        </w:rPr>
        <w:t>-</w:t>
      </w:r>
      <w:r w:rsidRPr="006F4A7A">
        <w:rPr>
          <w:rFonts w:eastAsia="Arial" w:cs="Arial"/>
          <w:sz w:val="24"/>
          <w:szCs w:val="24"/>
          <w:lang w:val="it-IT"/>
        </w:rPr>
        <w:t xml:space="preserve"> producendo di riflesso importanti conseguenze finanziarie negative per le OTR.</w:t>
      </w:r>
    </w:p>
    <w:p w:rsidR="006F4A7A" w:rsidRDefault="006F4A7A" w:rsidP="006F4A7A">
      <w:pPr>
        <w:contextualSpacing/>
        <w:rPr>
          <w:rFonts w:eastAsia="Arial" w:cs="Arial"/>
          <w:sz w:val="24"/>
          <w:szCs w:val="24"/>
          <w:lang w:val="it-IT"/>
        </w:rPr>
      </w:pPr>
    </w:p>
    <w:p w:rsidR="00997F05" w:rsidRPr="006F4A7A" w:rsidRDefault="00997F05" w:rsidP="006F4A7A">
      <w:pPr>
        <w:contextualSpacing/>
        <w:rPr>
          <w:rFonts w:eastAsia="Arial" w:cs="Arial"/>
          <w:sz w:val="24"/>
          <w:szCs w:val="24"/>
          <w:lang w:val="it-IT"/>
        </w:rPr>
      </w:pPr>
    </w:p>
    <w:p w:rsidR="006F4A7A" w:rsidRPr="006F4A7A" w:rsidRDefault="00997F05" w:rsidP="00997F05">
      <w:pPr>
        <w:pStyle w:val="Titolo1"/>
        <w:tabs>
          <w:tab w:val="left" w:pos="0"/>
          <w:tab w:val="left" w:pos="567"/>
        </w:tabs>
        <w:spacing w:before="0"/>
        <w:jc w:val="both"/>
        <w:rPr>
          <w:rFonts w:eastAsia="Arial" w:cs="Arial"/>
          <w:bCs/>
          <w:sz w:val="24"/>
          <w:szCs w:val="24"/>
          <w:lang w:val="it-IT"/>
        </w:rPr>
      </w:pPr>
      <w:r>
        <w:rPr>
          <w:rFonts w:eastAsia="Calibri" w:cs="Times New Roman"/>
          <w:caps/>
          <w:sz w:val="24"/>
          <w:szCs w:val="24"/>
          <w:lang w:val="it-IT" w:eastAsia="it-IT"/>
        </w:rPr>
        <w:t>3.</w:t>
      </w:r>
      <w:r>
        <w:rPr>
          <w:rFonts w:eastAsia="Calibri" w:cs="Times New Roman"/>
          <w:caps/>
          <w:sz w:val="24"/>
          <w:szCs w:val="24"/>
          <w:lang w:val="it-IT" w:eastAsia="it-IT"/>
        </w:rPr>
        <w:tab/>
      </w:r>
      <w:r w:rsidR="006F4A7A" w:rsidRPr="006F4A7A">
        <w:rPr>
          <w:rFonts w:eastAsia="Calibri" w:cs="Times New Roman"/>
          <w:caps/>
          <w:sz w:val="24"/>
          <w:szCs w:val="24"/>
          <w:lang w:val="it-IT" w:eastAsia="it-IT"/>
        </w:rPr>
        <w:t>CONSIDERAZIONI COMMISSIONALI</w:t>
      </w:r>
    </w:p>
    <w:p w:rsidR="006F4A7A" w:rsidRDefault="006F4A7A" w:rsidP="006F4A7A">
      <w:pPr>
        <w:contextualSpacing/>
        <w:rPr>
          <w:rFonts w:eastAsia="Arial" w:cs="Arial"/>
          <w:sz w:val="24"/>
          <w:szCs w:val="24"/>
          <w:lang w:val="it-IT"/>
        </w:rPr>
      </w:pPr>
      <w:r w:rsidRPr="006F4A7A">
        <w:rPr>
          <w:rFonts w:eastAsia="Arial" w:cs="Arial"/>
          <w:sz w:val="24"/>
          <w:szCs w:val="24"/>
          <w:lang w:val="it-IT"/>
        </w:rPr>
        <w:t xml:space="preserve">L’atto parlamentare sembra a prima vista condivisibile poiché chiede che la tassa turistica sia applicata unicamente laddove l’utilizzo turistico è effettivo. Tuttavia, come visto precedentemente, quanto proposto limita parecchio l’applicabilità della tassa, poiché </w:t>
      </w:r>
      <w:r w:rsidR="00841C3D">
        <w:rPr>
          <w:rFonts w:eastAsia="Arial" w:cs="Arial"/>
          <w:sz w:val="24"/>
          <w:szCs w:val="24"/>
          <w:lang w:val="it-IT"/>
        </w:rPr>
        <w:t>-</w:t>
      </w:r>
      <w:r w:rsidRPr="006F4A7A">
        <w:rPr>
          <w:rFonts w:eastAsia="Arial" w:cs="Arial"/>
          <w:sz w:val="24"/>
          <w:szCs w:val="24"/>
          <w:lang w:val="it-IT"/>
        </w:rPr>
        <w:t xml:space="preserve"> se prendiamo l’esempio classico di un rustico </w:t>
      </w:r>
      <w:r w:rsidR="00841C3D">
        <w:rPr>
          <w:rFonts w:eastAsia="Arial" w:cs="Arial"/>
          <w:sz w:val="24"/>
          <w:szCs w:val="24"/>
          <w:lang w:val="it-IT"/>
        </w:rPr>
        <w:t>-</w:t>
      </w:r>
      <w:r w:rsidRPr="006F4A7A">
        <w:rPr>
          <w:rFonts w:eastAsia="Arial" w:cs="Arial"/>
          <w:sz w:val="24"/>
          <w:szCs w:val="24"/>
          <w:lang w:val="it-IT"/>
        </w:rPr>
        <w:t xml:space="preserve"> sono poche le circostanze in cui il medesimo locatario prende in affitto per almeno tre mesi la residenza secondaria. </w:t>
      </w:r>
    </w:p>
    <w:p w:rsidR="00997F05" w:rsidRPr="006F4A7A" w:rsidRDefault="00997F05" w:rsidP="006F4A7A">
      <w:pPr>
        <w:contextualSpacing/>
        <w:rPr>
          <w:rFonts w:eastAsia="Arial" w:cs="Arial"/>
          <w:sz w:val="24"/>
          <w:szCs w:val="24"/>
          <w:lang w:val="it-IT"/>
        </w:rPr>
      </w:pPr>
    </w:p>
    <w:p w:rsidR="006F4A7A" w:rsidRDefault="006F4A7A" w:rsidP="006F4A7A">
      <w:pPr>
        <w:contextualSpacing/>
        <w:rPr>
          <w:rFonts w:eastAsia="Arial" w:cs="Arial"/>
          <w:sz w:val="24"/>
          <w:szCs w:val="24"/>
          <w:lang w:val="it-IT"/>
        </w:rPr>
      </w:pPr>
      <w:r w:rsidRPr="006F4A7A">
        <w:rPr>
          <w:rFonts w:eastAsia="Arial" w:cs="Arial"/>
          <w:sz w:val="24"/>
          <w:szCs w:val="24"/>
          <w:lang w:val="it-IT"/>
        </w:rPr>
        <w:t>Gli aspetti finanziari che ne conseguirebbero sono molto rilevanti: il messaggio del Consiglio di Stato (n. 8069 del 20 ottobre 2021) valuta come le mancate entrate raggiungerebbero un terzo dei ricavi delle Organizzazioni turistiche regionali. In termini percentuali, l’OTR più colpita sarebbe quella del Bellinzonese e Alto Ticino, mentre in cifre complessive quella del Lago Maggiore e Valli.</w:t>
      </w:r>
    </w:p>
    <w:p w:rsidR="00997F05" w:rsidRPr="006F4A7A" w:rsidRDefault="00997F05" w:rsidP="006F4A7A">
      <w:pPr>
        <w:contextualSpacing/>
        <w:rPr>
          <w:rFonts w:eastAsia="Arial" w:cs="Arial"/>
          <w:sz w:val="24"/>
          <w:szCs w:val="24"/>
          <w:lang w:val="it-IT"/>
        </w:rPr>
      </w:pPr>
    </w:p>
    <w:tbl>
      <w:tblPr>
        <w:tblStyle w:val="Tabellagriglia4-colore31"/>
        <w:tblW w:w="0" w:type="auto"/>
        <w:tblLook w:val="04A0" w:firstRow="1" w:lastRow="0" w:firstColumn="1" w:lastColumn="0" w:noHBand="0" w:noVBand="1"/>
      </w:tblPr>
      <w:tblGrid>
        <w:gridCol w:w="2830"/>
        <w:gridCol w:w="2552"/>
        <w:gridCol w:w="1701"/>
        <w:gridCol w:w="1933"/>
      </w:tblGrid>
      <w:tr w:rsidR="006F4A7A" w:rsidRPr="006F4A7A" w:rsidTr="006F4A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6F4A7A" w:rsidRPr="006F4A7A" w:rsidRDefault="006F4A7A" w:rsidP="006F4A7A">
            <w:pPr>
              <w:contextualSpacing/>
              <w:jc w:val="center"/>
              <w:rPr>
                <w:rFonts w:eastAsia="Arial" w:cs="Arial"/>
                <w:sz w:val="23"/>
                <w:szCs w:val="23"/>
                <w:lang w:val="it-IT"/>
              </w:rPr>
            </w:pPr>
            <w:r w:rsidRPr="006F4A7A">
              <w:rPr>
                <w:rFonts w:eastAsia="Arial" w:cs="Arial"/>
                <w:sz w:val="23"/>
                <w:szCs w:val="23"/>
                <w:lang w:val="it-IT"/>
              </w:rPr>
              <w:t>OTR</w:t>
            </w:r>
          </w:p>
        </w:tc>
        <w:tc>
          <w:tcPr>
            <w:tcW w:w="2552" w:type="dxa"/>
          </w:tcPr>
          <w:p w:rsidR="006F4A7A" w:rsidRPr="006F4A7A" w:rsidRDefault="006F4A7A" w:rsidP="006F4A7A">
            <w:pPr>
              <w:contextualSpacing/>
              <w:jc w:val="center"/>
              <w:cnfStyle w:val="100000000000" w:firstRow="1" w:lastRow="0" w:firstColumn="0" w:lastColumn="0" w:oddVBand="0" w:evenVBand="0" w:oddHBand="0" w:evenHBand="0" w:firstRowFirstColumn="0" w:firstRowLastColumn="0" w:lastRowFirstColumn="0" w:lastRowLastColumn="0"/>
              <w:rPr>
                <w:rFonts w:eastAsia="Arial" w:cs="Arial"/>
                <w:sz w:val="23"/>
                <w:szCs w:val="23"/>
                <w:lang w:val="it-IT"/>
              </w:rPr>
            </w:pPr>
            <w:r w:rsidRPr="006F4A7A">
              <w:rPr>
                <w:rFonts w:eastAsia="Arial" w:cs="Arial"/>
                <w:sz w:val="23"/>
                <w:szCs w:val="23"/>
                <w:lang w:val="it-IT"/>
              </w:rPr>
              <w:t>Ricavi forfait residenze secondarie</w:t>
            </w:r>
          </w:p>
        </w:tc>
        <w:tc>
          <w:tcPr>
            <w:tcW w:w="1701" w:type="dxa"/>
          </w:tcPr>
          <w:p w:rsidR="006F4A7A" w:rsidRPr="006F4A7A" w:rsidRDefault="006F4A7A" w:rsidP="006F4A7A">
            <w:pPr>
              <w:contextualSpacing/>
              <w:jc w:val="center"/>
              <w:cnfStyle w:val="100000000000" w:firstRow="1" w:lastRow="0" w:firstColumn="0" w:lastColumn="0" w:oddVBand="0" w:evenVBand="0" w:oddHBand="0" w:evenHBand="0" w:firstRowFirstColumn="0" w:firstRowLastColumn="0" w:lastRowFirstColumn="0" w:lastRowLastColumn="0"/>
              <w:rPr>
                <w:rFonts w:eastAsia="Arial" w:cs="Arial"/>
                <w:sz w:val="23"/>
                <w:szCs w:val="23"/>
                <w:lang w:val="it-IT"/>
              </w:rPr>
            </w:pPr>
            <w:r w:rsidRPr="006F4A7A">
              <w:rPr>
                <w:rFonts w:eastAsia="Arial" w:cs="Arial"/>
                <w:sz w:val="23"/>
                <w:szCs w:val="23"/>
                <w:lang w:val="it-IT"/>
              </w:rPr>
              <w:t>Totale ricavi</w:t>
            </w:r>
          </w:p>
        </w:tc>
        <w:tc>
          <w:tcPr>
            <w:tcW w:w="1933" w:type="dxa"/>
          </w:tcPr>
          <w:p w:rsidR="006F4A7A" w:rsidRPr="006F4A7A" w:rsidRDefault="006F4A7A" w:rsidP="006F4A7A">
            <w:pPr>
              <w:contextualSpacing/>
              <w:jc w:val="center"/>
              <w:cnfStyle w:val="100000000000" w:firstRow="1" w:lastRow="0" w:firstColumn="0" w:lastColumn="0" w:oddVBand="0" w:evenVBand="0" w:oddHBand="0" w:evenHBand="0" w:firstRowFirstColumn="0" w:firstRowLastColumn="0" w:lastRowFirstColumn="0" w:lastRowLastColumn="0"/>
              <w:rPr>
                <w:rFonts w:eastAsia="Arial" w:cs="Arial"/>
                <w:sz w:val="23"/>
                <w:szCs w:val="23"/>
                <w:lang w:val="it-IT"/>
              </w:rPr>
            </w:pPr>
            <w:r w:rsidRPr="006F4A7A">
              <w:rPr>
                <w:rFonts w:eastAsia="Arial" w:cs="Arial"/>
                <w:sz w:val="23"/>
                <w:szCs w:val="23"/>
                <w:lang w:val="it-IT"/>
              </w:rPr>
              <w:t>Forfait in % dei ricavi totali OTR</w:t>
            </w:r>
          </w:p>
        </w:tc>
      </w:tr>
      <w:tr w:rsidR="006F4A7A" w:rsidRPr="006F4A7A" w:rsidTr="006F4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6F4A7A" w:rsidRPr="006F4A7A" w:rsidRDefault="006F4A7A" w:rsidP="006F4A7A">
            <w:pPr>
              <w:contextualSpacing/>
              <w:rPr>
                <w:rFonts w:eastAsia="Arial" w:cs="Arial"/>
                <w:sz w:val="23"/>
                <w:szCs w:val="23"/>
                <w:lang w:val="it-IT"/>
              </w:rPr>
            </w:pPr>
            <w:r w:rsidRPr="006F4A7A">
              <w:rPr>
                <w:rFonts w:eastAsia="Arial" w:cs="Arial"/>
                <w:sz w:val="23"/>
                <w:szCs w:val="23"/>
                <w:lang w:val="it-IT"/>
              </w:rPr>
              <w:t>Bellinzonese e Alto Ticino</w:t>
            </w:r>
          </w:p>
        </w:tc>
        <w:tc>
          <w:tcPr>
            <w:tcW w:w="2552" w:type="dxa"/>
          </w:tcPr>
          <w:p w:rsidR="006F4A7A" w:rsidRPr="006F4A7A" w:rsidRDefault="006F4A7A" w:rsidP="006F4A7A">
            <w:pPr>
              <w:contextualSpacing/>
              <w:jc w:val="center"/>
              <w:cnfStyle w:val="000000100000" w:firstRow="0" w:lastRow="0" w:firstColumn="0" w:lastColumn="0" w:oddVBand="0" w:evenVBand="0" w:oddHBand="1"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1'247'300</w:t>
            </w:r>
          </w:p>
        </w:tc>
        <w:tc>
          <w:tcPr>
            <w:tcW w:w="1701" w:type="dxa"/>
          </w:tcPr>
          <w:p w:rsidR="006F4A7A" w:rsidRPr="006F4A7A" w:rsidRDefault="006F4A7A" w:rsidP="006F4A7A">
            <w:pPr>
              <w:contextualSpacing/>
              <w:jc w:val="center"/>
              <w:cnfStyle w:val="000000100000" w:firstRow="0" w:lastRow="0" w:firstColumn="0" w:lastColumn="0" w:oddVBand="0" w:evenVBand="0" w:oddHBand="1"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3'471'098</w:t>
            </w:r>
          </w:p>
        </w:tc>
        <w:tc>
          <w:tcPr>
            <w:tcW w:w="1933" w:type="dxa"/>
          </w:tcPr>
          <w:p w:rsidR="006F4A7A" w:rsidRPr="006F4A7A" w:rsidRDefault="006F4A7A" w:rsidP="006F4A7A">
            <w:pPr>
              <w:contextualSpacing/>
              <w:jc w:val="center"/>
              <w:cnfStyle w:val="000000100000" w:firstRow="0" w:lastRow="0" w:firstColumn="0" w:lastColumn="0" w:oddVBand="0" w:evenVBand="0" w:oddHBand="1"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35.93</w:t>
            </w:r>
          </w:p>
        </w:tc>
      </w:tr>
      <w:tr w:rsidR="006F4A7A" w:rsidRPr="006F4A7A" w:rsidTr="00B44621">
        <w:tc>
          <w:tcPr>
            <w:cnfStyle w:val="001000000000" w:firstRow="0" w:lastRow="0" w:firstColumn="1" w:lastColumn="0" w:oddVBand="0" w:evenVBand="0" w:oddHBand="0" w:evenHBand="0" w:firstRowFirstColumn="0" w:firstRowLastColumn="0" w:lastRowFirstColumn="0" w:lastRowLastColumn="0"/>
            <w:tcW w:w="2830" w:type="dxa"/>
          </w:tcPr>
          <w:p w:rsidR="006F4A7A" w:rsidRPr="006F4A7A" w:rsidRDefault="006F4A7A" w:rsidP="006F4A7A">
            <w:pPr>
              <w:contextualSpacing/>
              <w:rPr>
                <w:rFonts w:eastAsia="Arial" w:cs="Arial"/>
                <w:sz w:val="23"/>
                <w:szCs w:val="23"/>
                <w:lang w:val="it-IT"/>
              </w:rPr>
            </w:pPr>
            <w:r w:rsidRPr="006F4A7A">
              <w:rPr>
                <w:rFonts w:eastAsia="Arial" w:cs="Arial"/>
                <w:sz w:val="23"/>
                <w:szCs w:val="23"/>
                <w:lang w:val="it-IT"/>
              </w:rPr>
              <w:t>Lago Maggiore e Valli</w:t>
            </w:r>
          </w:p>
        </w:tc>
        <w:tc>
          <w:tcPr>
            <w:tcW w:w="2552" w:type="dxa"/>
          </w:tcPr>
          <w:p w:rsidR="006F4A7A" w:rsidRPr="006F4A7A" w:rsidRDefault="006F4A7A" w:rsidP="006F4A7A">
            <w:pPr>
              <w:contextualSpacing/>
              <w:jc w:val="center"/>
              <w:cnfStyle w:val="000000000000" w:firstRow="0" w:lastRow="0" w:firstColumn="0" w:lastColumn="0" w:oddVBand="0" w:evenVBand="0" w:oddHBand="0"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4'484’198</w:t>
            </w:r>
          </w:p>
        </w:tc>
        <w:tc>
          <w:tcPr>
            <w:tcW w:w="1701" w:type="dxa"/>
          </w:tcPr>
          <w:p w:rsidR="006F4A7A" w:rsidRPr="006F4A7A" w:rsidRDefault="006F4A7A" w:rsidP="006F4A7A">
            <w:pPr>
              <w:contextualSpacing/>
              <w:jc w:val="center"/>
              <w:cnfStyle w:val="000000000000" w:firstRow="0" w:lastRow="0" w:firstColumn="0" w:lastColumn="0" w:oddVBand="0" w:evenVBand="0" w:oddHBand="0"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14'524'790</w:t>
            </w:r>
          </w:p>
        </w:tc>
        <w:tc>
          <w:tcPr>
            <w:tcW w:w="1933" w:type="dxa"/>
          </w:tcPr>
          <w:p w:rsidR="006F4A7A" w:rsidRPr="006F4A7A" w:rsidRDefault="006F4A7A" w:rsidP="006F4A7A">
            <w:pPr>
              <w:contextualSpacing/>
              <w:jc w:val="center"/>
              <w:cnfStyle w:val="000000000000" w:firstRow="0" w:lastRow="0" w:firstColumn="0" w:lastColumn="0" w:oddVBand="0" w:evenVBand="0" w:oddHBand="0"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30.87</w:t>
            </w:r>
          </w:p>
        </w:tc>
      </w:tr>
      <w:tr w:rsidR="006F4A7A" w:rsidRPr="006F4A7A" w:rsidTr="006F4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6F4A7A" w:rsidRPr="006F4A7A" w:rsidRDefault="006F4A7A" w:rsidP="006F4A7A">
            <w:pPr>
              <w:contextualSpacing/>
              <w:rPr>
                <w:rFonts w:eastAsia="Arial" w:cs="Arial"/>
                <w:sz w:val="23"/>
                <w:szCs w:val="23"/>
                <w:lang w:val="it-IT"/>
              </w:rPr>
            </w:pPr>
            <w:r w:rsidRPr="006F4A7A">
              <w:rPr>
                <w:rFonts w:eastAsia="Arial" w:cs="Arial"/>
                <w:sz w:val="23"/>
                <w:szCs w:val="23"/>
                <w:lang w:val="it-IT"/>
              </w:rPr>
              <w:t>Mendrisiotto e Basso Ceresio</w:t>
            </w:r>
          </w:p>
        </w:tc>
        <w:tc>
          <w:tcPr>
            <w:tcW w:w="2552" w:type="dxa"/>
          </w:tcPr>
          <w:p w:rsidR="006F4A7A" w:rsidRPr="006F4A7A" w:rsidRDefault="006F4A7A" w:rsidP="006F4A7A">
            <w:pPr>
              <w:contextualSpacing/>
              <w:jc w:val="center"/>
              <w:cnfStyle w:val="000000100000" w:firstRow="0" w:lastRow="0" w:firstColumn="0" w:lastColumn="0" w:oddVBand="0" w:evenVBand="0" w:oddHBand="1"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347'065</w:t>
            </w:r>
          </w:p>
        </w:tc>
        <w:tc>
          <w:tcPr>
            <w:tcW w:w="1701" w:type="dxa"/>
          </w:tcPr>
          <w:p w:rsidR="006F4A7A" w:rsidRPr="006F4A7A" w:rsidRDefault="006F4A7A" w:rsidP="006F4A7A">
            <w:pPr>
              <w:contextualSpacing/>
              <w:jc w:val="center"/>
              <w:cnfStyle w:val="000000100000" w:firstRow="0" w:lastRow="0" w:firstColumn="0" w:lastColumn="0" w:oddVBand="0" w:evenVBand="0" w:oddHBand="1"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1'130'350</w:t>
            </w:r>
          </w:p>
        </w:tc>
        <w:tc>
          <w:tcPr>
            <w:tcW w:w="1933" w:type="dxa"/>
          </w:tcPr>
          <w:p w:rsidR="006F4A7A" w:rsidRPr="006F4A7A" w:rsidRDefault="006F4A7A" w:rsidP="006F4A7A">
            <w:pPr>
              <w:contextualSpacing/>
              <w:jc w:val="center"/>
              <w:cnfStyle w:val="000000100000" w:firstRow="0" w:lastRow="0" w:firstColumn="0" w:lastColumn="0" w:oddVBand="0" w:evenVBand="0" w:oddHBand="1"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30.70</w:t>
            </w:r>
          </w:p>
        </w:tc>
      </w:tr>
      <w:tr w:rsidR="006F4A7A" w:rsidRPr="006F4A7A" w:rsidTr="00B44621">
        <w:tc>
          <w:tcPr>
            <w:cnfStyle w:val="001000000000" w:firstRow="0" w:lastRow="0" w:firstColumn="1" w:lastColumn="0" w:oddVBand="0" w:evenVBand="0" w:oddHBand="0" w:evenHBand="0" w:firstRowFirstColumn="0" w:firstRowLastColumn="0" w:lastRowFirstColumn="0" w:lastRowLastColumn="0"/>
            <w:tcW w:w="2830" w:type="dxa"/>
          </w:tcPr>
          <w:p w:rsidR="006F4A7A" w:rsidRPr="006F4A7A" w:rsidRDefault="006F4A7A" w:rsidP="006F4A7A">
            <w:pPr>
              <w:contextualSpacing/>
              <w:rPr>
                <w:rFonts w:eastAsia="Arial" w:cs="Arial"/>
                <w:sz w:val="23"/>
                <w:szCs w:val="23"/>
                <w:lang w:val="it-IT"/>
              </w:rPr>
            </w:pPr>
            <w:r w:rsidRPr="006F4A7A">
              <w:rPr>
                <w:rFonts w:eastAsia="Arial" w:cs="Arial"/>
                <w:sz w:val="23"/>
                <w:szCs w:val="23"/>
                <w:lang w:val="it-IT"/>
              </w:rPr>
              <w:t>Luganese</w:t>
            </w:r>
          </w:p>
        </w:tc>
        <w:tc>
          <w:tcPr>
            <w:tcW w:w="2552" w:type="dxa"/>
          </w:tcPr>
          <w:p w:rsidR="006F4A7A" w:rsidRPr="006F4A7A" w:rsidRDefault="006F4A7A" w:rsidP="006F4A7A">
            <w:pPr>
              <w:contextualSpacing/>
              <w:jc w:val="center"/>
              <w:cnfStyle w:val="000000000000" w:firstRow="0" w:lastRow="0" w:firstColumn="0" w:lastColumn="0" w:oddVBand="0" w:evenVBand="0" w:oddHBand="0"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2'285’595</w:t>
            </w:r>
          </w:p>
        </w:tc>
        <w:tc>
          <w:tcPr>
            <w:tcW w:w="1701" w:type="dxa"/>
          </w:tcPr>
          <w:p w:rsidR="006F4A7A" w:rsidRPr="006F4A7A" w:rsidRDefault="006F4A7A" w:rsidP="006F4A7A">
            <w:pPr>
              <w:contextualSpacing/>
              <w:jc w:val="center"/>
              <w:cnfStyle w:val="000000000000" w:firstRow="0" w:lastRow="0" w:firstColumn="0" w:lastColumn="0" w:oddVBand="0" w:evenVBand="0" w:oddHBand="0"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8'838'693</w:t>
            </w:r>
          </w:p>
        </w:tc>
        <w:tc>
          <w:tcPr>
            <w:tcW w:w="1933" w:type="dxa"/>
          </w:tcPr>
          <w:p w:rsidR="006F4A7A" w:rsidRPr="006F4A7A" w:rsidRDefault="006F4A7A" w:rsidP="006F4A7A">
            <w:pPr>
              <w:contextualSpacing/>
              <w:jc w:val="center"/>
              <w:cnfStyle w:val="000000000000" w:firstRow="0" w:lastRow="0" w:firstColumn="0" w:lastColumn="0" w:oddVBand="0" w:evenVBand="0" w:oddHBand="0"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25.86</w:t>
            </w:r>
          </w:p>
        </w:tc>
      </w:tr>
      <w:tr w:rsidR="006F4A7A" w:rsidRPr="006F4A7A" w:rsidTr="006F4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6F4A7A" w:rsidRPr="006F4A7A" w:rsidRDefault="00997F05" w:rsidP="006F4A7A">
            <w:pPr>
              <w:contextualSpacing/>
              <w:rPr>
                <w:rFonts w:eastAsia="Arial" w:cs="Arial"/>
                <w:sz w:val="23"/>
                <w:szCs w:val="23"/>
                <w:lang w:val="it-IT"/>
              </w:rPr>
            </w:pPr>
            <w:r>
              <w:rPr>
                <w:rFonts w:eastAsia="Arial" w:cs="Arial"/>
                <w:sz w:val="23"/>
                <w:szCs w:val="23"/>
                <w:lang w:val="it-IT"/>
              </w:rPr>
              <w:t>T</w:t>
            </w:r>
            <w:r w:rsidR="006F4A7A" w:rsidRPr="006F4A7A">
              <w:rPr>
                <w:rFonts w:eastAsia="Arial" w:cs="Arial"/>
                <w:sz w:val="23"/>
                <w:szCs w:val="23"/>
                <w:lang w:val="it-IT"/>
              </w:rPr>
              <w:t>otale</w:t>
            </w:r>
          </w:p>
        </w:tc>
        <w:tc>
          <w:tcPr>
            <w:tcW w:w="2552" w:type="dxa"/>
          </w:tcPr>
          <w:p w:rsidR="006F4A7A" w:rsidRPr="006F4A7A" w:rsidRDefault="006F4A7A" w:rsidP="006F4A7A">
            <w:pPr>
              <w:contextualSpacing/>
              <w:jc w:val="center"/>
              <w:cnfStyle w:val="000000100000" w:firstRow="0" w:lastRow="0" w:firstColumn="0" w:lastColumn="0" w:oddVBand="0" w:evenVBand="0" w:oddHBand="1"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8'364’158</w:t>
            </w:r>
          </w:p>
        </w:tc>
        <w:tc>
          <w:tcPr>
            <w:tcW w:w="1701" w:type="dxa"/>
          </w:tcPr>
          <w:p w:rsidR="006F4A7A" w:rsidRPr="006F4A7A" w:rsidRDefault="006F4A7A" w:rsidP="006F4A7A">
            <w:pPr>
              <w:contextualSpacing/>
              <w:jc w:val="center"/>
              <w:cnfStyle w:val="000000100000" w:firstRow="0" w:lastRow="0" w:firstColumn="0" w:lastColumn="0" w:oddVBand="0" w:evenVBand="0" w:oddHBand="1"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27’964'931</w:t>
            </w:r>
          </w:p>
        </w:tc>
        <w:tc>
          <w:tcPr>
            <w:tcW w:w="1933" w:type="dxa"/>
          </w:tcPr>
          <w:p w:rsidR="006F4A7A" w:rsidRPr="006F4A7A" w:rsidRDefault="006F4A7A" w:rsidP="006F4A7A">
            <w:pPr>
              <w:contextualSpacing/>
              <w:jc w:val="center"/>
              <w:cnfStyle w:val="000000100000" w:firstRow="0" w:lastRow="0" w:firstColumn="0" w:lastColumn="0" w:oddVBand="0" w:evenVBand="0" w:oddHBand="1" w:evenHBand="0" w:firstRowFirstColumn="0" w:firstRowLastColumn="0" w:lastRowFirstColumn="0" w:lastRowLastColumn="0"/>
              <w:rPr>
                <w:rFonts w:eastAsia="Arial" w:cs="Arial"/>
                <w:sz w:val="23"/>
                <w:szCs w:val="23"/>
                <w:lang w:val="it-IT"/>
              </w:rPr>
            </w:pPr>
            <w:r w:rsidRPr="006F4A7A">
              <w:rPr>
                <w:rFonts w:eastAsia="Calibri" w:cs="Arial"/>
                <w:sz w:val="23"/>
                <w:szCs w:val="23"/>
                <w:lang w:val="it-IT"/>
              </w:rPr>
              <w:t>30.84</w:t>
            </w:r>
          </w:p>
        </w:tc>
      </w:tr>
    </w:tbl>
    <w:p w:rsidR="006F4A7A" w:rsidRPr="006F4A7A" w:rsidRDefault="006F4A7A" w:rsidP="006F4A7A">
      <w:pPr>
        <w:contextualSpacing/>
        <w:rPr>
          <w:rFonts w:eastAsia="Arial" w:cs="Arial"/>
          <w:sz w:val="24"/>
          <w:szCs w:val="24"/>
          <w:lang w:val="it-IT"/>
        </w:rPr>
      </w:pPr>
    </w:p>
    <w:p w:rsidR="00997F05" w:rsidRPr="006F4A7A" w:rsidRDefault="006F4A7A" w:rsidP="006F4A7A">
      <w:pPr>
        <w:contextualSpacing/>
        <w:rPr>
          <w:rFonts w:eastAsia="Arial" w:cs="Arial"/>
          <w:sz w:val="24"/>
          <w:szCs w:val="24"/>
          <w:lang w:val="it-IT"/>
        </w:rPr>
      </w:pPr>
      <w:r w:rsidRPr="006F4A7A">
        <w:rPr>
          <w:rFonts w:eastAsia="Arial" w:cs="Arial"/>
          <w:sz w:val="24"/>
          <w:szCs w:val="24"/>
          <w:lang w:val="it-IT"/>
        </w:rPr>
        <w:t xml:space="preserve">Oltre a considerazioni puramente finanziarie, conviene ragionare sulla destinazione finale dei forfait delle residenze secondarie (che in Ticino concernono oltre 31'000 oggetti tra case, appartamenti, rustici, eccetera), che sono una delle componenti della tassa di soggiorno. Quest’ultima, come definito dall’art. 21 cpv. 1 della </w:t>
      </w:r>
      <w:proofErr w:type="spellStart"/>
      <w:r w:rsidRPr="006F4A7A">
        <w:rPr>
          <w:rFonts w:eastAsia="Arial" w:cs="Arial"/>
          <w:sz w:val="24"/>
          <w:szCs w:val="24"/>
          <w:lang w:val="it-IT"/>
        </w:rPr>
        <w:t>LTur</w:t>
      </w:r>
      <w:proofErr w:type="spellEnd"/>
      <w:r w:rsidRPr="006F4A7A">
        <w:rPr>
          <w:rFonts w:eastAsia="Arial" w:cs="Arial"/>
          <w:sz w:val="24"/>
          <w:szCs w:val="24"/>
          <w:lang w:val="it-IT"/>
        </w:rPr>
        <w:t>, sono destinate “</w:t>
      </w:r>
      <w:r w:rsidRPr="006F4A7A">
        <w:rPr>
          <w:rFonts w:eastAsia="Arial" w:cs="Arial"/>
          <w:i/>
          <w:iCs/>
          <w:sz w:val="24"/>
          <w:szCs w:val="24"/>
          <w:lang w:val="it-IT"/>
        </w:rPr>
        <w:t>esclusivamente al finanziamento delle infrastrutture turistiche, dell’assistenza al turista, dell’informazione e dell’animazione</w:t>
      </w:r>
      <w:r w:rsidRPr="006F4A7A">
        <w:rPr>
          <w:rFonts w:eastAsia="Arial" w:cs="Arial"/>
          <w:sz w:val="24"/>
          <w:szCs w:val="24"/>
          <w:lang w:val="it-IT"/>
        </w:rPr>
        <w:t>”. Più concretamente, parliamo di:</w:t>
      </w:r>
    </w:p>
    <w:p w:rsidR="006F4A7A" w:rsidRPr="006F4A7A" w:rsidRDefault="006F4A7A" w:rsidP="00841C3D">
      <w:pPr>
        <w:numPr>
          <w:ilvl w:val="0"/>
          <w:numId w:val="19"/>
        </w:numPr>
        <w:spacing w:before="120"/>
        <w:ind w:left="284" w:hanging="284"/>
        <w:rPr>
          <w:rFonts w:eastAsia="Arial" w:cs="Arial"/>
          <w:sz w:val="24"/>
          <w:szCs w:val="24"/>
          <w:lang w:val="it-IT"/>
        </w:rPr>
      </w:pPr>
      <w:r w:rsidRPr="006F4A7A">
        <w:rPr>
          <w:rFonts w:eastAsia="Arial" w:cs="Arial"/>
          <w:sz w:val="24"/>
          <w:szCs w:val="24"/>
          <w:lang w:val="it-IT"/>
        </w:rPr>
        <w:t>manutenzione e la cura della rete dei sentieri escursionistici e ciclabili (MTB);</w:t>
      </w:r>
    </w:p>
    <w:p w:rsidR="006F4A7A" w:rsidRPr="006F4A7A" w:rsidRDefault="006F4A7A" w:rsidP="00841C3D">
      <w:pPr>
        <w:numPr>
          <w:ilvl w:val="0"/>
          <w:numId w:val="19"/>
        </w:numPr>
        <w:spacing w:before="120"/>
        <w:ind w:left="284" w:hanging="284"/>
        <w:rPr>
          <w:rFonts w:eastAsia="Arial" w:cs="Arial"/>
          <w:sz w:val="24"/>
          <w:szCs w:val="24"/>
          <w:lang w:val="it-IT"/>
        </w:rPr>
      </w:pPr>
      <w:r w:rsidRPr="006F4A7A">
        <w:rPr>
          <w:rFonts w:eastAsia="Arial" w:cs="Arial"/>
          <w:sz w:val="24"/>
          <w:szCs w:val="24"/>
          <w:lang w:val="it-IT"/>
        </w:rPr>
        <w:t xml:space="preserve">infrastrutture e strutture fisiche così come manufatti a carattere turistico, o che abbiano il potenziale di </w:t>
      </w:r>
      <w:proofErr w:type="spellStart"/>
      <w:r w:rsidRPr="006F4A7A">
        <w:rPr>
          <w:rFonts w:eastAsia="Arial" w:cs="Arial"/>
          <w:sz w:val="24"/>
          <w:szCs w:val="24"/>
          <w:lang w:val="it-IT"/>
        </w:rPr>
        <w:t>diventarlo</w:t>
      </w:r>
      <w:proofErr w:type="spellEnd"/>
      <w:r w:rsidRPr="006F4A7A">
        <w:rPr>
          <w:rFonts w:eastAsia="Arial" w:cs="Arial"/>
          <w:sz w:val="24"/>
          <w:szCs w:val="24"/>
          <w:lang w:val="it-IT"/>
        </w:rPr>
        <w:t>;</w:t>
      </w:r>
    </w:p>
    <w:p w:rsidR="006F4A7A" w:rsidRPr="006F4A7A" w:rsidRDefault="006F4A7A" w:rsidP="00841C3D">
      <w:pPr>
        <w:numPr>
          <w:ilvl w:val="0"/>
          <w:numId w:val="19"/>
        </w:numPr>
        <w:spacing w:before="120"/>
        <w:ind w:left="284" w:hanging="284"/>
        <w:rPr>
          <w:rFonts w:eastAsia="Arial" w:cs="Arial"/>
          <w:sz w:val="24"/>
          <w:szCs w:val="24"/>
          <w:lang w:val="it-IT"/>
        </w:rPr>
      </w:pPr>
      <w:r w:rsidRPr="006F4A7A">
        <w:rPr>
          <w:rFonts w:eastAsia="Arial" w:cs="Arial"/>
          <w:sz w:val="24"/>
          <w:szCs w:val="24"/>
          <w:lang w:val="it-IT"/>
        </w:rPr>
        <w:t>progetti di sviluppo territoriale;</w:t>
      </w:r>
    </w:p>
    <w:p w:rsidR="006F4A7A" w:rsidRPr="006F4A7A" w:rsidRDefault="006F4A7A" w:rsidP="00841C3D">
      <w:pPr>
        <w:numPr>
          <w:ilvl w:val="0"/>
          <w:numId w:val="19"/>
        </w:numPr>
        <w:spacing w:before="120"/>
        <w:ind w:left="284" w:hanging="284"/>
        <w:rPr>
          <w:rFonts w:eastAsia="Arial" w:cs="Arial"/>
          <w:sz w:val="24"/>
          <w:szCs w:val="24"/>
          <w:lang w:val="it-IT"/>
        </w:rPr>
      </w:pPr>
      <w:r w:rsidRPr="006F4A7A">
        <w:rPr>
          <w:rFonts w:eastAsia="Arial" w:cs="Arial"/>
          <w:sz w:val="24"/>
          <w:szCs w:val="24"/>
          <w:lang w:val="it-IT"/>
        </w:rPr>
        <w:t>progetti di studio per lo sviluppo turistico, sempre molto importanti quali incubatori di idee;</w:t>
      </w:r>
    </w:p>
    <w:p w:rsidR="006F4A7A" w:rsidRPr="006F4A7A" w:rsidRDefault="006F4A7A" w:rsidP="00841C3D">
      <w:pPr>
        <w:numPr>
          <w:ilvl w:val="0"/>
          <w:numId w:val="19"/>
        </w:numPr>
        <w:spacing w:before="120"/>
        <w:ind w:left="284" w:hanging="284"/>
        <w:rPr>
          <w:rFonts w:eastAsia="Arial" w:cs="Arial"/>
          <w:sz w:val="24"/>
          <w:szCs w:val="24"/>
          <w:lang w:val="it-IT"/>
        </w:rPr>
      </w:pPr>
      <w:r w:rsidRPr="006F4A7A">
        <w:rPr>
          <w:rFonts w:eastAsia="Arial" w:cs="Arial"/>
          <w:sz w:val="24"/>
          <w:szCs w:val="24"/>
          <w:lang w:val="it-IT"/>
        </w:rPr>
        <w:t>sostegno alle manifestazioni – sia quelle di portata internazionale sia quelli decisamente più locali (rassegne, sagre, mercatini, corali…), in zone urbane e nelle Valli, che altrimenti faticherebbero a vedere la luce;</w:t>
      </w:r>
    </w:p>
    <w:p w:rsidR="006F4A7A" w:rsidRPr="006F4A7A" w:rsidRDefault="006F4A7A" w:rsidP="00841C3D">
      <w:pPr>
        <w:numPr>
          <w:ilvl w:val="0"/>
          <w:numId w:val="19"/>
        </w:numPr>
        <w:spacing w:before="120"/>
        <w:ind w:left="284" w:hanging="284"/>
        <w:rPr>
          <w:rFonts w:eastAsia="Arial" w:cs="Arial"/>
          <w:sz w:val="24"/>
          <w:szCs w:val="24"/>
          <w:lang w:val="it-IT"/>
        </w:rPr>
      </w:pPr>
      <w:r w:rsidRPr="006F4A7A">
        <w:rPr>
          <w:rFonts w:eastAsia="Arial" w:cs="Arial"/>
          <w:sz w:val="24"/>
          <w:szCs w:val="24"/>
          <w:lang w:val="it-IT"/>
        </w:rPr>
        <w:lastRenderedPageBreak/>
        <w:t xml:space="preserve">info </w:t>
      </w:r>
      <w:proofErr w:type="spellStart"/>
      <w:r w:rsidRPr="006F4A7A">
        <w:rPr>
          <w:rFonts w:eastAsia="Arial" w:cs="Arial"/>
          <w:sz w:val="24"/>
          <w:szCs w:val="24"/>
          <w:lang w:val="it-IT"/>
        </w:rPr>
        <w:t>point</w:t>
      </w:r>
      <w:proofErr w:type="spellEnd"/>
      <w:r w:rsidRPr="006F4A7A">
        <w:rPr>
          <w:rFonts w:eastAsia="Arial" w:cs="Arial"/>
          <w:sz w:val="24"/>
          <w:szCs w:val="24"/>
          <w:lang w:val="it-IT"/>
        </w:rPr>
        <w:t xml:space="preserve"> sul territorio, nonché punti informativi spesso ubicati nei negozietti;</w:t>
      </w:r>
    </w:p>
    <w:p w:rsidR="006F4A7A" w:rsidRDefault="006F4A7A" w:rsidP="00841C3D">
      <w:pPr>
        <w:numPr>
          <w:ilvl w:val="0"/>
          <w:numId w:val="19"/>
        </w:numPr>
        <w:spacing w:before="120"/>
        <w:ind w:left="284" w:hanging="284"/>
        <w:rPr>
          <w:rFonts w:eastAsia="Arial" w:cs="Arial"/>
          <w:sz w:val="24"/>
          <w:szCs w:val="24"/>
          <w:lang w:val="it-IT"/>
        </w:rPr>
      </w:pPr>
      <w:r w:rsidRPr="006F4A7A">
        <w:rPr>
          <w:rFonts w:eastAsia="Arial" w:cs="Arial"/>
          <w:sz w:val="24"/>
          <w:szCs w:val="24"/>
          <w:lang w:val="it-IT"/>
        </w:rPr>
        <w:t>gestione dell’informazione digitale e online.</w:t>
      </w:r>
    </w:p>
    <w:p w:rsidR="00997F05" w:rsidRPr="006F4A7A" w:rsidRDefault="00997F05" w:rsidP="00841C3D">
      <w:pPr>
        <w:spacing w:after="160" w:line="259" w:lineRule="auto"/>
        <w:contextualSpacing/>
        <w:jc w:val="left"/>
        <w:rPr>
          <w:rFonts w:eastAsia="Arial" w:cs="Arial"/>
          <w:sz w:val="24"/>
          <w:szCs w:val="24"/>
          <w:lang w:val="it-IT"/>
        </w:rPr>
      </w:pPr>
    </w:p>
    <w:p w:rsidR="006F4A7A" w:rsidRDefault="006F4A7A" w:rsidP="006F4A7A">
      <w:pPr>
        <w:contextualSpacing/>
        <w:rPr>
          <w:rFonts w:eastAsia="Arial" w:cs="Arial"/>
          <w:sz w:val="24"/>
          <w:szCs w:val="24"/>
          <w:lang w:val="it-IT"/>
        </w:rPr>
      </w:pPr>
      <w:r w:rsidRPr="006F4A7A">
        <w:rPr>
          <w:rFonts w:eastAsia="Arial" w:cs="Arial"/>
          <w:sz w:val="24"/>
          <w:szCs w:val="24"/>
          <w:lang w:val="it-IT"/>
        </w:rPr>
        <w:t xml:space="preserve">Ciò significa che la tassa di soggiorno rientra nel circolo del territorio, a vantaggio dei turisti ma anche dei residenti e dei proprietari stessi. Parliamo sia di aspetti infrastrutturali </w:t>
      </w:r>
      <w:r w:rsidR="00841C3D">
        <w:rPr>
          <w:rFonts w:eastAsia="Arial" w:cs="Arial"/>
          <w:sz w:val="24"/>
          <w:szCs w:val="24"/>
          <w:lang w:val="it-IT"/>
        </w:rPr>
        <w:t>-</w:t>
      </w:r>
      <w:r w:rsidRPr="006F4A7A">
        <w:rPr>
          <w:rFonts w:eastAsia="Arial" w:cs="Arial"/>
          <w:sz w:val="24"/>
          <w:szCs w:val="24"/>
          <w:lang w:val="it-IT"/>
        </w:rPr>
        <w:t xml:space="preserve"> che spesso sono il vettore principale dello sviluppo turistico e dei posti di lavoro ad esso legati </w:t>
      </w:r>
      <w:r w:rsidR="00841C3D">
        <w:rPr>
          <w:rFonts w:eastAsia="Arial" w:cs="Arial"/>
          <w:sz w:val="24"/>
          <w:szCs w:val="24"/>
          <w:lang w:val="it-IT"/>
        </w:rPr>
        <w:t>-</w:t>
      </w:r>
      <w:r w:rsidRPr="006F4A7A">
        <w:rPr>
          <w:rFonts w:eastAsia="Arial" w:cs="Arial"/>
          <w:sz w:val="24"/>
          <w:szCs w:val="24"/>
          <w:lang w:val="it-IT"/>
        </w:rPr>
        <w:t xml:space="preserve"> sia di aspetti importanti per la vitalità del territorio, grazie al sostegno a moltissime attività grandi e piccole disseminate dai centri urbani alle cime delle Valli. Inoltre, la tassa di soggiorno consente di concedere sconti ai proprietari di residenze secondarie grazie alla </w:t>
      </w:r>
      <w:r w:rsidRPr="006F4A7A">
        <w:rPr>
          <w:rFonts w:eastAsia="Arial" w:cs="Arial"/>
          <w:i/>
          <w:iCs/>
          <w:sz w:val="24"/>
          <w:szCs w:val="24"/>
          <w:lang w:val="it-IT"/>
        </w:rPr>
        <w:t>Guest Card</w:t>
      </w:r>
      <w:r w:rsidRPr="006F4A7A">
        <w:rPr>
          <w:rFonts w:eastAsia="Arial" w:cs="Arial"/>
          <w:sz w:val="24"/>
          <w:szCs w:val="24"/>
          <w:lang w:val="it-IT"/>
        </w:rPr>
        <w:t xml:space="preserve"> nel Bellinzonese e Alto Ticino, alla </w:t>
      </w:r>
      <w:r w:rsidRPr="006F4A7A">
        <w:rPr>
          <w:rFonts w:eastAsia="Arial" w:cs="Arial"/>
          <w:i/>
          <w:iCs/>
          <w:sz w:val="24"/>
          <w:szCs w:val="24"/>
          <w:lang w:val="it-IT"/>
        </w:rPr>
        <w:t>Holiday Card</w:t>
      </w:r>
      <w:r w:rsidRPr="006F4A7A">
        <w:rPr>
          <w:rFonts w:eastAsia="Arial" w:cs="Arial"/>
          <w:sz w:val="24"/>
          <w:szCs w:val="24"/>
          <w:lang w:val="it-IT"/>
        </w:rPr>
        <w:t xml:space="preserve"> nel Luganese, alla </w:t>
      </w:r>
      <w:r w:rsidRPr="006F4A7A">
        <w:rPr>
          <w:rFonts w:eastAsia="Arial" w:cs="Arial"/>
          <w:i/>
          <w:iCs/>
          <w:sz w:val="24"/>
          <w:szCs w:val="24"/>
          <w:lang w:val="it-IT"/>
        </w:rPr>
        <w:t>Welcome Card</w:t>
      </w:r>
      <w:r w:rsidRPr="006F4A7A">
        <w:rPr>
          <w:rFonts w:eastAsia="Arial" w:cs="Arial"/>
          <w:sz w:val="24"/>
          <w:szCs w:val="24"/>
          <w:lang w:val="it-IT"/>
        </w:rPr>
        <w:t xml:space="preserve"> (ora </w:t>
      </w:r>
      <w:proofErr w:type="spellStart"/>
      <w:r w:rsidRPr="006F4A7A">
        <w:rPr>
          <w:rFonts w:eastAsia="Arial" w:cs="Arial"/>
          <w:sz w:val="24"/>
          <w:szCs w:val="24"/>
          <w:lang w:val="it-IT"/>
        </w:rPr>
        <w:t>app</w:t>
      </w:r>
      <w:proofErr w:type="spellEnd"/>
      <w:r w:rsidRPr="006F4A7A">
        <w:rPr>
          <w:rFonts w:eastAsia="Arial" w:cs="Arial"/>
          <w:sz w:val="24"/>
          <w:szCs w:val="24"/>
          <w:lang w:val="it-IT"/>
        </w:rPr>
        <w:t xml:space="preserve"> </w:t>
      </w:r>
      <w:proofErr w:type="spellStart"/>
      <w:r w:rsidRPr="006F4A7A">
        <w:rPr>
          <w:rFonts w:eastAsia="Arial" w:cs="Arial"/>
          <w:i/>
          <w:iCs/>
          <w:sz w:val="24"/>
          <w:szCs w:val="24"/>
          <w:lang w:val="it-IT"/>
        </w:rPr>
        <w:t>my</w:t>
      </w:r>
      <w:proofErr w:type="spellEnd"/>
      <w:r w:rsidRPr="006F4A7A">
        <w:rPr>
          <w:rFonts w:eastAsia="Arial" w:cs="Arial"/>
          <w:i/>
          <w:iCs/>
          <w:sz w:val="24"/>
          <w:szCs w:val="24"/>
          <w:lang w:val="it-IT"/>
        </w:rPr>
        <w:t xml:space="preserve"> Ascona-Locarno</w:t>
      </w:r>
      <w:r w:rsidRPr="006F4A7A">
        <w:rPr>
          <w:rFonts w:eastAsia="Arial" w:cs="Arial"/>
          <w:sz w:val="24"/>
          <w:szCs w:val="24"/>
          <w:lang w:val="it-IT"/>
        </w:rPr>
        <w:t xml:space="preserve">) nella regione Lago Maggiore e Valli, e alla </w:t>
      </w:r>
      <w:r w:rsidRPr="006F4A7A">
        <w:rPr>
          <w:rFonts w:eastAsia="Arial" w:cs="Arial"/>
          <w:i/>
          <w:iCs/>
          <w:sz w:val="24"/>
          <w:szCs w:val="24"/>
          <w:lang w:val="it-IT"/>
        </w:rPr>
        <w:t>Welcome Card</w:t>
      </w:r>
      <w:r w:rsidRPr="006F4A7A">
        <w:rPr>
          <w:rFonts w:eastAsia="Arial" w:cs="Arial"/>
          <w:sz w:val="24"/>
          <w:szCs w:val="24"/>
          <w:lang w:val="it-IT"/>
        </w:rPr>
        <w:t xml:space="preserve"> del Mendrisiotto e Basso Ceresio.</w:t>
      </w:r>
    </w:p>
    <w:p w:rsidR="008701B8" w:rsidRPr="006F4A7A" w:rsidRDefault="008701B8" w:rsidP="006F4A7A">
      <w:pPr>
        <w:contextualSpacing/>
        <w:rPr>
          <w:rFonts w:eastAsia="Arial" w:cs="Arial"/>
          <w:sz w:val="24"/>
          <w:szCs w:val="24"/>
          <w:lang w:val="it-IT"/>
        </w:rPr>
      </w:pPr>
    </w:p>
    <w:p w:rsidR="006F4A7A" w:rsidRDefault="006F4A7A" w:rsidP="006F4A7A">
      <w:pPr>
        <w:contextualSpacing/>
        <w:rPr>
          <w:rFonts w:eastAsia="Arial" w:cs="Arial"/>
          <w:sz w:val="24"/>
          <w:szCs w:val="24"/>
          <w:lang w:val="it-IT"/>
        </w:rPr>
      </w:pPr>
      <w:r w:rsidRPr="006F4A7A">
        <w:rPr>
          <w:rFonts w:eastAsia="Arial" w:cs="Arial"/>
          <w:sz w:val="24"/>
          <w:szCs w:val="24"/>
          <w:lang w:val="it-IT"/>
        </w:rPr>
        <w:t>Se dovesse cadere una parte importante delle entrate dei forfait e dei relativi contributi comunali, le OTR si vedrebbero costrette a ridurre sensibilmente molti servizi che oggi assicurano. Servizi che, tra l’altro, durante i periodi pandemici abbiamo sfruttato se pensiamo all’offerta di sentieri – i quali richiedono particolare cura vista la loro estensione e i fenomeni metereologici violenti.</w:t>
      </w:r>
    </w:p>
    <w:p w:rsidR="008701B8" w:rsidRPr="006F4A7A" w:rsidRDefault="008701B8" w:rsidP="006F4A7A">
      <w:pPr>
        <w:contextualSpacing/>
        <w:rPr>
          <w:rFonts w:eastAsia="Arial" w:cs="Arial"/>
          <w:sz w:val="24"/>
          <w:szCs w:val="24"/>
          <w:lang w:val="it-IT"/>
        </w:rPr>
      </w:pPr>
    </w:p>
    <w:p w:rsidR="006F4A7A" w:rsidRPr="006F4A7A" w:rsidRDefault="006F4A7A" w:rsidP="006F4A7A">
      <w:pPr>
        <w:contextualSpacing/>
        <w:rPr>
          <w:rFonts w:eastAsia="Arial" w:cs="Arial"/>
          <w:sz w:val="24"/>
          <w:szCs w:val="24"/>
          <w:lang w:val="it-IT"/>
        </w:rPr>
      </w:pPr>
      <w:r w:rsidRPr="006F4A7A">
        <w:rPr>
          <w:rFonts w:eastAsia="Arial" w:cs="Arial"/>
          <w:sz w:val="24"/>
          <w:szCs w:val="24"/>
          <w:lang w:val="it-IT"/>
        </w:rPr>
        <w:t xml:space="preserve">Il turismo in Ticino è senz’ombra di dubbio un settore economico molto importante. Crea posti di lavoro diretti e indiretti, ma non solo. Gli attori pubblici e privati si impegnano a valorizzare un territorio affinché sia una meta ambita di vacanza </w:t>
      </w:r>
      <w:r w:rsidR="00841C3D">
        <w:rPr>
          <w:rFonts w:eastAsia="Arial" w:cs="Arial"/>
          <w:sz w:val="24"/>
          <w:szCs w:val="24"/>
          <w:lang w:val="it-IT"/>
        </w:rPr>
        <w:t>-</w:t>
      </w:r>
      <w:r w:rsidRPr="006F4A7A">
        <w:rPr>
          <w:rFonts w:eastAsia="Arial" w:cs="Arial"/>
          <w:sz w:val="24"/>
          <w:szCs w:val="24"/>
          <w:lang w:val="it-IT"/>
        </w:rPr>
        <w:t xml:space="preserve"> in un mondo sempre più concorrenziale grazie alla qualità dei prodotti. Le tasse di soggiorno non sono dunque destinate al marketing, ma al miglioramento di quel che il turista </w:t>
      </w:r>
      <w:r w:rsidR="00841C3D">
        <w:rPr>
          <w:rFonts w:eastAsia="Arial" w:cs="Arial"/>
          <w:sz w:val="24"/>
          <w:szCs w:val="24"/>
          <w:lang w:val="it-IT"/>
        </w:rPr>
        <w:t>-</w:t>
      </w:r>
      <w:r w:rsidRPr="006F4A7A">
        <w:rPr>
          <w:rFonts w:eastAsia="Arial" w:cs="Arial"/>
          <w:sz w:val="24"/>
          <w:szCs w:val="24"/>
          <w:lang w:val="it-IT"/>
        </w:rPr>
        <w:t xml:space="preserve"> spesso i ticinesi stessi </w:t>
      </w:r>
      <w:r w:rsidR="00841C3D">
        <w:rPr>
          <w:rFonts w:eastAsia="Arial" w:cs="Arial"/>
          <w:sz w:val="24"/>
          <w:szCs w:val="24"/>
          <w:lang w:val="it-IT"/>
        </w:rPr>
        <w:t>-</w:t>
      </w:r>
      <w:r w:rsidRPr="006F4A7A">
        <w:rPr>
          <w:rFonts w:eastAsia="Arial" w:cs="Arial"/>
          <w:sz w:val="24"/>
          <w:szCs w:val="24"/>
          <w:lang w:val="it-IT"/>
        </w:rPr>
        <w:t xml:space="preserve"> vivono sul territorio. Ed è importante, molto importante, continuare a investire sul prodotto per non soffrire del gap tra l’immagine veicolata e la qualità effettiva e reale dell’offerta. Tutto ciò interessa anche i proprietari delle case secondarie, specialmente nelle valli, poiché durante il loro soggiorno possono anch’essi godere delle attività e delle infrastrutture turistiche, come peraltro confermato pure dal Tribunale federale, secondo cui il fatto di possedere una casa di vacanza costituisce un motivo oggettivo e sostenibile per porre a carico del proprietario una tassa di soggiorno.</w:t>
      </w:r>
    </w:p>
    <w:p w:rsidR="006F4A7A" w:rsidRDefault="006F4A7A" w:rsidP="006F4A7A">
      <w:pPr>
        <w:contextualSpacing/>
        <w:rPr>
          <w:rFonts w:eastAsia="Arial" w:cs="Arial"/>
          <w:sz w:val="24"/>
          <w:szCs w:val="24"/>
          <w:lang w:val="it-IT"/>
        </w:rPr>
      </w:pPr>
    </w:p>
    <w:p w:rsidR="008701B8" w:rsidRPr="006F4A7A" w:rsidRDefault="008701B8" w:rsidP="006F4A7A">
      <w:pPr>
        <w:contextualSpacing/>
        <w:rPr>
          <w:rFonts w:eastAsia="Arial" w:cs="Arial"/>
          <w:sz w:val="24"/>
          <w:szCs w:val="24"/>
          <w:lang w:val="it-IT"/>
        </w:rPr>
      </w:pPr>
    </w:p>
    <w:p w:rsidR="006F4A7A" w:rsidRPr="006F4A7A" w:rsidRDefault="008701B8" w:rsidP="008701B8">
      <w:pPr>
        <w:pStyle w:val="Titolo1"/>
        <w:tabs>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4.</w:t>
      </w:r>
      <w:r>
        <w:rPr>
          <w:rFonts w:eastAsia="Calibri" w:cs="Times New Roman"/>
          <w:caps/>
          <w:sz w:val="24"/>
          <w:szCs w:val="24"/>
          <w:lang w:val="it-IT" w:eastAsia="it-IT"/>
        </w:rPr>
        <w:tab/>
      </w:r>
      <w:r w:rsidR="006F4A7A" w:rsidRPr="006F4A7A">
        <w:rPr>
          <w:rFonts w:eastAsia="Calibri" w:cs="Times New Roman"/>
          <w:caps/>
          <w:sz w:val="24"/>
          <w:szCs w:val="24"/>
          <w:lang w:val="it-IT" w:eastAsia="it-IT"/>
        </w:rPr>
        <w:t>LA GIUSTA APERTURA DEL CONSIGLIO DI STATO</w:t>
      </w:r>
    </w:p>
    <w:p w:rsidR="006F4A7A" w:rsidRDefault="006F4A7A" w:rsidP="006F4A7A">
      <w:pPr>
        <w:contextualSpacing/>
        <w:rPr>
          <w:rFonts w:eastAsia="Arial" w:cs="Arial"/>
          <w:sz w:val="24"/>
          <w:szCs w:val="24"/>
          <w:lang w:val="it-IT"/>
        </w:rPr>
      </w:pPr>
      <w:r w:rsidRPr="006F4A7A">
        <w:rPr>
          <w:rFonts w:eastAsia="Arial" w:cs="Arial"/>
          <w:sz w:val="24"/>
          <w:szCs w:val="24"/>
          <w:lang w:val="it-IT"/>
        </w:rPr>
        <w:t xml:space="preserve">Al di là delle considerazioni sulle necessità del turismo e delle molte attività legate ad esso, il Consiglio di Stato nel suo rapporto sull’iniziativa ha comunque ritenuto giusto sgravare i proprietari di residenze secondarie che contribuiscono alla salvaguardia del territorio e del paesaggio, con una modalità che evitasse di incidere troppo negativamente sul finanziamento delle OTR. </w:t>
      </w:r>
    </w:p>
    <w:p w:rsidR="008701B8" w:rsidRPr="006F4A7A" w:rsidRDefault="008701B8" w:rsidP="006F4A7A">
      <w:pPr>
        <w:contextualSpacing/>
        <w:rPr>
          <w:rFonts w:eastAsia="Arial" w:cs="Arial"/>
          <w:sz w:val="24"/>
          <w:szCs w:val="24"/>
          <w:lang w:val="it-IT"/>
        </w:rPr>
      </w:pPr>
    </w:p>
    <w:p w:rsidR="006F4A7A" w:rsidRDefault="006F4A7A" w:rsidP="006F4A7A">
      <w:pPr>
        <w:contextualSpacing/>
        <w:rPr>
          <w:rFonts w:eastAsia="Arial" w:cs="Arial"/>
          <w:sz w:val="24"/>
          <w:szCs w:val="24"/>
          <w:lang w:val="it-IT"/>
        </w:rPr>
      </w:pPr>
      <w:r w:rsidRPr="006F4A7A">
        <w:rPr>
          <w:rFonts w:eastAsia="Arial" w:cs="Arial"/>
          <w:sz w:val="24"/>
          <w:szCs w:val="24"/>
          <w:lang w:val="it-IT"/>
        </w:rPr>
        <w:t xml:space="preserve">Un’apertura condivisa anche con l’iniziativista, il cui obiettivo non era semplicemente quello di abolire la tassa forfettaria, ma sgravare i proprietari di rustici nelle Valli che </w:t>
      </w:r>
      <w:r w:rsidR="00841C3D">
        <w:rPr>
          <w:rFonts w:eastAsia="Arial" w:cs="Arial"/>
          <w:sz w:val="24"/>
          <w:szCs w:val="24"/>
          <w:lang w:val="it-IT"/>
        </w:rPr>
        <w:t>-</w:t>
      </w:r>
      <w:r w:rsidRPr="006F4A7A">
        <w:rPr>
          <w:rFonts w:eastAsia="Arial" w:cs="Arial"/>
          <w:sz w:val="24"/>
          <w:szCs w:val="24"/>
          <w:lang w:val="it-IT"/>
        </w:rPr>
        <w:t xml:space="preserve"> oltre a tenere in vita questi edifici, spesso abbandonati all’incuria </w:t>
      </w:r>
      <w:r w:rsidR="00841C3D">
        <w:rPr>
          <w:rFonts w:eastAsia="Arial" w:cs="Arial"/>
          <w:sz w:val="24"/>
          <w:szCs w:val="24"/>
          <w:lang w:val="it-IT"/>
        </w:rPr>
        <w:t>-</w:t>
      </w:r>
      <w:r w:rsidRPr="006F4A7A">
        <w:rPr>
          <w:rFonts w:eastAsia="Arial" w:cs="Arial"/>
          <w:sz w:val="24"/>
          <w:szCs w:val="24"/>
          <w:lang w:val="it-IT"/>
        </w:rPr>
        <w:t xml:space="preserve"> si dedicano anche alla cura del paesaggio circostante. Per inquadrare dunque la portata di uno sgravio, il Governo ha proceduto con un’analisi in base al perimetro del Piano di utilizzazione cantonale dei paesaggi con edifici e impianti protetti (PUC-PEIP), incrociando i risultati con i dati a disposizione delle OTR. Questa verifica non ha permesso di giungere a una catalogazione precisa degli edifici. Ulteriori analisi con le Organizzazioni turistiche hanno però consentito di costatare che, già oggi, tre OTR su quattro utilizzano tariffe ridotte per le residenze secondarie ubicate in zone discoste, ovvero raggiungibili a non meno di 15 minuti a piedi dalla strada.</w:t>
      </w:r>
    </w:p>
    <w:p w:rsidR="008701B8" w:rsidRPr="006F4A7A" w:rsidRDefault="008701B8" w:rsidP="006F4A7A">
      <w:pPr>
        <w:contextualSpacing/>
        <w:rPr>
          <w:rFonts w:eastAsia="Arial" w:cs="Arial"/>
          <w:sz w:val="24"/>
          <w:szCs w:val="24"/>
          <w:lang w:val="it-IT"/>
        </w:rPr>
      </w:pPr>
    </w:p>
    <w:p w:rsidR="006F4A7A" w:rsidRDefault="006F4A7A" w:rsidP="006F4A7A">
      <w:pPr>
        <w:contextualSpacing/>
        <w:rPr>
          <w:rFonts w:eastAsia="Arial" w:cs="Arial"/>
          <w:sz w:val="24"/>
          <w:szCs w:val="24"/>
          <w:lang w:val="it-IT"/>
        </w:rPr>
      </w:pPr>
      <w:r w:rsidRPr="006F4A7A">
        <w:rPr>
          <w:rFonts w:eastAsia="Arial" w:cs="Arial"/>
          <w:sz w:val="24"/>
          <w:szCs w:val="24"/>
          <w:lang w:val="it-IT"/>
        </w:rPr>
        <w:t xml:space="preserve">Il Consiglio di Stato è giunto quindi, d’intesa con l’allora Deputato Fabio Badasci, a proporre </w:t>
      </w:r>
      <w:r w:rsidRPr="006F4A7A">
        <w:rPr>
          <w:rFonts w:eastAsia="Arial" w:cs="Arial"/>
          <w:b/>
          <w:bCs/>
          <w:sz w:val="24"/>
          <w:szCs w:val="24"/>
          <w:lang w:val="it-IT"/>
        </w:rPr>
        <w:t xml:space="preserve">l’applicazione generale dell’aliquota minima della tassa di soggiorno di </w:t>
      </w:r>
      <w:r w:rsidR="00841C3D">
        <w:rPr>
          <w:rFonts w:eastAsia="Arial" w:cs="Arial"/>
          <w:b/>
          <w:bCs/>
          <w:sz w:val="24"/>
          <w:szCs w:val="24"/>
          <w:lang w:val="it-IT"/>
        </w:rPr>
        <w:br/>
      </w:r>
      <w:r w:rsidRPr="006F4A7A">
        <w:rPr>
          <w:rFonts w:eastAsia="Arial" w:cs="Arial"/>
          <w:b/>
          <w:bCs/>
          <w:sz w:val="24"/>
          <w:szCs w:val="24"/>
          <w:lang w:val="it-IT"/>
        </w:rPr>
        <w:t>15 CHF annuali</w:t>
      </w:r>
      <w:r w:rsidRPr="006F4A7A">
        <w:rPr>
          <w:rFonts w:eastAsia="Arial" w:cs="Arial"/>
          <w:sz w:val="24"/>
          <w:szCs w:val="24"/>
          <w:lang w:val="it-IT"/>
        </w:rPr>
        <w:t xml:space="preserve"> </w:t>
      </w:r>
      <w:r w:rsidRPr="006F4A7A">
        <w:rPr>
          <w:rFonts w:eastAsia="Arial" w:cs="Arial"/>
          <w:b/>
          <w:bCs/>
          <w:sz w:val="24"/>
          <w:szCs w:val="24"/>
          <w:lang w:val="it-IT"/>
        </w:rPr>
        <w:t xml:space="preserve">a tutte le residenze secondarie i cui mappali si trovano a più di </w:t>
      </w:r>
      <w:r w:rsidR="00841C3D">
        <w:rPr>
          <w:rFonts w:eastAsia="Arial" w:cs="Arial"/>
          <w:b/>
          <w:bCs/>
          <w:sz w:val="24"/>
          <w:szCs w:val="24"/>
          <w:lang w:val="it-IT"/>
        </w:rPr>
        <w:br/>
      </w:r>
      <w:r w:rsidRPr="006F4A7A">
        <w:rPr>
          <w:rFonts w:eastAsia="Arial" w:cs="Arial"/>
          <w:b/>
          <w:bCs/>
          <w:sz w:val="24"/>
          <w:szCs w:val="24"/>
          <w:lang w:val="it-IT"/>
        </w:rPr>
        <w:t>15 minuti</w:t>
      </w:r>
      <w:r w:rsidRPr="006F4A7A">
        <w:rPr>
          <w:rFonts w:eastAsia="Arial" w:cs="Arial"/>
          <w:b/>
          <w:bCs/>
          <w:sz w:val="24"/>
          <w:szCs w:val="24"/>
          <w:vertAlign w:val="superscript"/>
          <w:lang w:val="it-IT"/>
        </w:rPr>
        <w:footnoteReference w:id="1"/>
      </w:r>
      <w:r w:rsidRPr="006F4A7A">
        <w:rPr>
          <w:rFonts w:eastAsia="Arial" w:cs="Arial"/>
          <w:b/>
          <w:bCs/>
          <w:sz w:val="24"/>
          <w:szCs w:val="24"/>
          <w:lang w:val="it-IT"/>
        </w:rPr>
        <w:t xml:space="preserve"> a piedi da percorrere su sentiero dall’ultima strada carrozzabile, pubblica o privata che sia</w:t>
      </w:r>
      <w:r w:rsidRPr="006F4A7A">
        <w:rPr>
          <w:rFonts w:eastAsia="Arial" w:cs="Arial"/>
          <w:sz w:val="24"/>
          <w:szCs w:val="24"/>
          <w:lang w:val="it-IT"/>
        </w:rPr>
        <w:t xml:space="preserve">. Ciò consente di andare incontro, modificando in maniera uniforma il cpv. 5 dell’art. 21 </w:t>
      </w:r>
      <w:proofErr w:type="spellStart"/>
      <w:r w:rsidRPr="006F4A7A">
        <w:rPr>
          <w:rFonts w:eastAsia="Arial" w:cs="Arial"/>
          <w:sz w:val="24"/>
          <w:szCs w:val="24"/>
          <w:lang w:val="it-IT"/>
        </w:rPr>
        <w:t>LTur</w:t>
      </w:r>
      <w:proofErr w:type="spellEnd"/>
      <w:r w:rsidRPr="006F4A7A">
        <w:rPr>
          <w:rFonts w:eastAsia="Arial" w:cs="Arial"/>
          <w:sz w:val="24"/>
          <w:szCs w:val="24"/>
          <w:lang w:val="it-IT"/>
        </w:rPr>
        <w:t xml:space="preserve">, agli intenti dell’iniziativa senza tuttavia minacciare l’operatività delle OTR. </w:t>
      </w:r>
    </w:p>
    <w:p w:rsidR="008701B8" w:rsidRPr="006F4A7A" w:rsidRDefault="008701B8" w:rsidP="006F4A7A">
      <w:pPr>
        <w:contextualSpacing/>
        <w:rPr>
          <w:rFonts w:eastAsia="Arial" w:cs="Arial"/>
          <w:sz w:val="24"/>
          <w:szCs w:val="24"/>
          <w:lang w:val="it-IT"/>
        </w:rPr>
      </w:pPr>
    </w:p>
    <w:p w:rsidR="006F4A7A" w:rsidRPr="006F4A7A" w:rsidRDefault="006F4A7A" w:rsidP="006F4A7A">
      <w:pPr>
        <w:contextualSpacing/>
        <w:rPr>
          <w:rFonts w:eastAsia="Arial" w:cs="Arial"/>
          <w:sz w:val="24"/>
          <w:szCs w:val="24"/>
          <w:lang w:val="it-IT"/>
        </w:rPr>
      </w:pPr>
      <w:r w:rsidRPr="006F4A7A">
        <w:rPr>
          <w:rFonts w:eastAsia="Arial" w:cs="Arial"/>
          <w:sz w:val="24"/>
          <w:szCs w:val="24"/>
          <w:lang w:val="it-IT"/>
        </w:rPr>
        <w:t>Una soluzione che convince anche Michele Guerra che ha ripreso l’atto parlamentare, nonché la Commissione economia e lavoro che intravvede in questa soluzione un adattamento normativo equilibrato, sensato e ragionevole.</w:t>
      </w:r>
    </w:p>
    <w:p w:rsidR="006F4A7A" w:rsidRPr="006F4A7A" w:rsidRDefault="006F4A7A" w:rsidP="006F4A7A">
      <w:pPr>
        <w:contextualSpacing/>
        <w:rPr>
          <w:rFonts w:eastAsia="Arial" w:cs="Arial"/>
          <w:sz w:val="24"/>
          <w:szCs w:val="24"/>
          <w:lang w:val="it-IT"/>
        </w:rPr>
      </w:pPr>
    </w:p>
    <w:tbl>
      <w:tblPr>
        <w:tblStyle w:val="Tabellagriglia4-colore31"/>
        <w:tblW w:w="8988" w:type="dxa"/>
        <w:tblLook w:val="04A0" w:firstRow="1" w:lastRow="0" w:firstColumn="1" w:lastColumn="0" w:noHBand="0" w:noVBand="1"/>
      </w:tblPr>
      <w:tblGrid>
        <w:gridCol w:w="2995"/>
        <w:gridCol w:w="2995"/>
        <w:gridCol w:w="2998"/>
      </w:tblGrid>
      <w:tr w:rsidR="006F4A7A" w:rsidRPr="006F4A7A" w:rsidTr="006F4A7A">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995" w:type="dxa"/>
            <w:vAlign w:val="center"/>
          </w:tcPr>
          <w:p w:rsidR="006F4A7A" w:rsidRPr="006F4A7A" w:rsidRDefault="006F4A7A" w:rsidP="006F4A7A">
            <w:pPr>
              <w:contextualSpacing/>
              <w:jc w:val="center"/>
              <w:rPr>
                <w:rFonts w:eastAsia="Arial" w:cs="Arial"/>
                <w:sz w:val="23"/>
                <w:szCs w:val="23"/>
                <w:lang w:val="it-IT"/>
              </w:rPr>
            </w:pPr>
            <w:r w:rsidRPr="006F4A7A">
              <w:rPr>
                <w:rFonts w:eastAsia="Arial" w:cs="Arial"/>
                <w:sz w:val="23"/>
                <w:szCs w:val="23"/>
                <w:lang w:val="it-IT"/>
              </w:rPr>
              <w:t>Testo attuale</w:t>
            </w:r>
          </w:p>
        </w:tc>
        <w:tc>
          <w:tcPr>
            <w:tcW w:w="2995" w:type="dxa"/>
            <w:vAlign w:val="center"/>
          </w:tcPr>
          <w:p w:rsidR="006F4A7A" w:rsidRPr="006F4A7A" w:rsidRDefault="006F4A7A" w:rsidP="006F4A7A">
            <w:pPr>
              <w:contextualSpacing/>
              <w:jc w:val="center"/>
              <w:cnfStyle w:val="100000000000" w:firstRow="1" w:lastRow="0" w:firstColumn="0" w:lastColumn="0" w:oddVBand="0" w:evenVBand="0" w:oddHBand="0" w:evenHBand="0" w:firstRowFirstColumn="0" w:firstRowLastColumn="0" w:lastRowFirstColumn="0" w:lastRowLastColumn="0"/>
              <w:rPr>
                <w:rFonts w:eastAsia="Arial" w:cs="Arial"/>
                <w:sz w:val="23"/>
                <w:szCs w:val="23"/>
                <w:lang w:val="it-IT"/>
              </w:rPr>
            </w:pPr>
            <w:r w:rsidRPr="006F4A7A">
              <w:rPr>
                <w:rFonts w:eastAsia="Arial" w:cs="Arial"/>
                <w:sz w:val="23"/>
                <w:szCs w:val="23"/>
                <w:lang w:val="it-IT"/>
              </w:rPr>
              <w:t>Proposta di modifica</w:t>
            </w:r>
          </w:p>
        </w:tc>
        <w:tc>
          <w:tcPr>
            <w:tcW w:w="2996" w:type="dxa"/>
            <w:vAlign w:val="center"/>
          </w:tcPr>
          <w:p w:rsidR="006F4A7A" w:rsidRPr="006F4A7A" w:rsidRDefault="006F4A7A" w:rsidP="006F4A7A">
            <w:pPr>
              <w:contextualSpacing/>
              <w:jc w:val="center"/>
              <w:cnfStyle w:val="100000000000" w:firstRow="1" w:lastRow="0" w:firstColumn="0" w:lastColumn="0" w:oddVBand="0" w:evenVBand="0" w:oddHBand="0" w:evenHBand="0" w:firstRowFirstColumn="0" w:firstRowLastColumn="0" w:lastRowFirstColumn="0" w:lastRowLastColumn="0"/>
              <w:rPr>
                <w:rFonts w:eastAsia="Arial" w:cs="Arial"/>
                <w:sz w:val="23"/>
                <w:szCs w:val="23"/>
                <w:lang w:val="it-IT"/>
              </w:rPr>
            </w:pPr>
            <w:r w:rsidRPr="006F4A7A">
              <w:rPr>
                <w:rFonts w:eastAsia="Arial" w:cs="Arial"/>
                <w:sz w:val="23"/>
                <w:szCs w:val="23"/>
                <w:lang w:val="it-IT"/>
              </w:rPr>
              <w:t>Testo consolidato</w:t>
            </w:r>
          </w:p>
        </w:tc>
      </w:tr>
      <w:tr w:rsidR="006F4A7A" w:rsidRPr="006F4A7A" w:rsidTr="006F4A7A">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988" w:type="dxa"/>
            <w:gridSpan w:val="3"/>
            <w:vAlign w:val="center"/>
          </w:tcPr>
          <w:p w:rsidR="006F4A7A" w:rsidRPr="006F4A7A" w:rsidRDefault="006F4A7A" w:rsidP="00841C3D">
            <w:pPr>
              <w:spacing w:before="40" w:after="40"/>
              <w:jc w:val="center"/>
              <w:rPr>
                <w:rFonts w:eastAsia="Arial" w:cs="Arial"/>
                <w:sz w:val="23"/>
                <w:szCs w:val="23"/>
                <w:lang w:val="it-IT"/>
              </w:rPr>
            </w:pPr>
            <w:r w:rsidRPr="006F4A7A">
              <w:rPr>
                <w:rFonts w:eastAsia="Arial" w:cs="Arial"/>
                <w:sz w:val="23"/>
                <w:szCs w:val="23"/>
                <w:lang w:val="it-IT"/>
              </w:rPr>
              <w:t>Legge sul turismo (</w:t>
            </w:r>
            <w:proofErr w:type="spellStart"/>
            <w:r w:rsidRPr="006F4A7A">
              <w:rPr>
                <w:rFonts w:eastAsia="Arial" w:cs="Arial"/>
                <w:sz w:val="23"/>
                <w:szCs w:val="23"/>
                <w:lang w:val="it-IT"/>
              </w:rPr>
              <w:t>LTur</w:t>
            </w:r>
            <w:proofErr w:type="spellEnd"/>
            <w:r w:rsidRPr="006F4A7A">
              <w:rPr>
                <w:rFonts w:eastAsia="Arial" w:cs="Arial"/>
                <w:sz w:val="23"/>
                <w:szCs w:val="23"/>
                <w:lang w:val="it-IT"/>
              </w:rPr>
              <w:t>) del 25 giugno 2014</w:t>
            </w:r>
          </w:p>
        </w:tc>
      </w:tr>
      <w:tr w:rsidR="006F4A7A" w:rsidRPr="006F4A7A" w:rsidTr="00B44621">
        <w:trPr>
          <w:trHeight w:val="437"/>
        </w:trPr>
        <w:tc>
          <w:tcPr>
            <w:cnfStyle w:val="001000000000" w:firstRow="0" w:lastRow="0" w:firstColumn="1" w:lastColumn="0" w:oddVBand="0" w:evenVBand="0" w:oddHBand="0" w:evenHBand="0" w:firstRowFirstColumn="0" w:firstRowLastColumn="0" w:lastRowFirstColumn="0" w:lastRowLastColumn="0"/>
            <w:tcW w:w="2995" w:type="dxa"/>
          </w:tcPr>
          <w:p w:rsidR="006F4A7A" w:rsidRPr="006F4A7A" w:rsidRDefault="006F4A7A" w:rsidP="00841C3D">
            <w:pPr>
              <w:spacing w:before="40" w:after="40"/>
              <w:jc w:val="center"/>
              <w:rPr>
                <w:rFonts w:eastAsia="Arial" w:cs="Arial"/>
                <w:sz w:val="23"/>
                <w:szCs w:val="23"/>
                <w:lang w:val="it-IT"/>
              </w:rPr>
            </w:pPr>
            <w:r w:rsidRPr="006F4A7A">
              <w:rPr>
                <w:rFonts w:eastAsia="Arial" w:cs="Arial"/>
                <w:sz w:val="23"/>
                <w:szCs w:val="23"/>
                <w:lang w:val="it-IT"/>
              </w:rPr>
              <w:t>Art. 21 Tassa di soggiorno</w:t>
            </w:r>
          </w:p>
        </w:tc>
        <w:tc>
          <w:tcPr>
            <w:tcW w:w="2995" w:type="dxa"/>
          </w:tcPr>
          <w:p w:rsidR="006F4A7A" w:rsidRPr="006F4A7A" w:rsidRDefault="006F4A7A" w:rsidP="00841C3D">
            <w:pPr>
              <w:spacing w:before="40" w:after="40"/>
              <w:jc w:val="center"/>
              <w:cnfStyle w:val="000000000000" w:firstRow="0" w:lastRow="0" w:firstColumn="0" w:lastColumn="0" w:oddVBand="0" w:evenVBand="0" w:oddHBand="0" w:evenHBand="0" w:firstRowFirstColumn="0" w:firstRowLastColumn="0" w:lastRowFirstColumn="0" w:lastRowLastColumn="0"/>
              <w:rPr>
                <w:rFonts w:eastAsia="Arial" w:cs="Arial"/>
                <w:b/>
                <w:bCs/>
                <w:sz w:val="23"/>
                <w:szCs w:val="23"/>
                <w:lang w:val="it-IT"/>
              </w:rPr>
            </w:pPr>
            <w:r w:rsidRPr="006F4A7A">
              <w:rPr>
                <w:rFonts w:eastAsia="Arial" w:cs="Arial"/>
                <w:b/>
                <w:bCs/>
                <w:sz w:val="23"/>
                <w:szCs w:val="23"/>
                <w:lang w:val="it-IT"/>
              </w:rPr>
              <w:t>Art. 21 Tassa di soggiorno</w:t>
            </w:r>
          </w:p>
        </w:tc>
        <w:tc>
          <w:tcPr>
            <w:tcW w:w="2996" w:type="dxa"/>
          </w:tcPr>
          <w:p w:rsidR="006F4A7A" w:rsidRPr="006F4A7A" w:rsidRDefault="006F4A7A" w:rsidP="00841C3D">
            <w:pPr>
              <w:spacing w:before="40" w:after="40"/>
              <w:jc w:val="center"/>
              <w:cnfStyle w:val="000000000000" w:firstRow="0" w:lastRow="0" w:firstColumn="0" w:lastColumn="0" w:oddVBand="0" w:evenVBand="0" w:oddHBand="0" w:evenHBand="0" w:firstRowFirstColumn="0" w:firstRowLastColumn="0" w:lastRowFirstColumn="0" w:lastRowLastColumn="0"/>
              <w:rPr>
                <w:rFonts w:eastAsia="Arial" w:cs="Arial"/>
                <w:b/>
                <w:bCs/>
                <w:sz w:val="23"/>
                <w:szCs w:val="23"/>
                <w:lang w:val="it-IT"/>
              </w:rPr>
            </w:pPr>
            <w:r w:rsidRPr="006F4A7A">
              <w:rPr>
                <w:rFonts w:eastAsia="Arial" w:cs="Arial"/>
                <w:b/>
                <w:bCs/>
                <w:sz w:val="23"/>
                <w:szCs w:val="23"/>
                <w:lang w:val="it-IT"/>
              </w:rPr>
              <w:t>Art. 21 Tassa di soggiorno</w:t>
            </w:r>
          </w:p>
        </w:tc>
      </w:tr>
      <w:tr w:rsidR="006F4A7A" w:rsidRPr="006F4A7A" w:rsidTr="006F4A7A">
        <w:trPr>
          <w:cnfStyle w:val="000000100000" w:firstRow="0" w:lastRow="0" w:firstColumn="0" w:lastColumn="0" w:oddVBand="0" w:evenVBand="0" w:oddHBand="1" w:evenHBand="0" w:firstRowFirstColumn="0" w:firstRowLastColumn="0" w:lastRowFirstColumn="0" w:lastRowLastColumn="0"/>
          <w:trHeight w:val="3227"/>
        </w:trPr>
        <w:tc>
          <w:tcPr>
            <w:cnfStyle w:val="001000000000" w:firstRow="0" w:lastRow="0" w:firstColumn="1" w:lastColumn="0" w:oddVBand="0" w:evenVBand="0" w:oddHBand="0" w:evenHBand="0" w:firstRowFirstColumn="0" w:firstRowLastColumn="0" w:lastRowFirstColumn="0" w:lastRowLastColumn="0"/>
            <w:tcW w:w="2995" w:type="dxa"/>
          </w:tcPr>
          <w:p w:rsidR="006F4A7A" w:rsidRPr="006F4A7A" w:rsidRDefault="006F4A7A" w:rsidP="00841C3D">
            <w:pPr>
              <w:contextualSpacing/>
              <w:rPr>
                <w:rFonts w:eastAsia="Arial" w:cs="Arial"/>
                <w:sz w:val="23"/>
                <w:szCs w:val="23"/>
                <w:lang w:val="it-IT"/>
              </w:rPr>
            </w:pPr>
            <w:r w:rsidRPr="006F4A7A">
              <w:rPr>
                <w:rFonts w:eastAsia="Calibri" w:cs="Arial"/>
                <w:sz w:val="23"/>
                <w:szCs w:val="23"/>
                <w:vertAlign w:val="superscript"/>
                <w:lang w:val="it-IT"/>
              </w:rPr>
              <w:t>6</w:t>
            </w:r>
            <w:r w:rsidRPr="006F4A7A">
              <w:rPr>
                <w:rFonts w:eastAsia="Calibri" w:cs="Arial"/>
                <w:sz w:val="23"/>
                <w:szCs w:val="23"/>
                <w:lang w:val="it-IT"/>
              </w:rPr>
              <w:t>I proprietari di appartamenti o di case di vacanza, così come i membri delle loro famiglie, pagano una tassa di soggiorno nella forma di un importo annuale fisso. Questo importo è compreso tra fr. 15.</w:t>
            </w:r>
            <w:r w:rsidR="00841C3D">
              <w:rPr>
                <w:rFonts w:eastAsia="Calibri" w:cs="Arial"/>
                <w:sz w:val="23"/>
                <w:szCs w:val="23"/>
                <w:lang w:val="it-IT"/>
              </w:rPr>
              <w:t>-</w:t>
            </w:r>
            <w:r w:rsidRPr="006F4A7A">
              <w:rPr>
                <w:rFonts w:eastAsia="Calibri" w:cs="Arial"/>
                <w:sz w:val="23"/>
                <w:szCs w:val="23"/>
                <w:lang w:val="it-IT"/>
              </w:rPr>
              <w:t xml:space="preserve"> e fr. 100.</w:t>
            </w:r>
            <w:r w:rsidR="00841C3D">
              <w:rPr>
                <w:rFonts w:eastAsia="Calibri" w:cs="Arial"/>
                <w:sz w:val="23"/>
                <w:szCs w:val="23"/>
                <w:lang w:val="it-IT"/>
              </w:rPr>
              <w:t>-</w:t>
            </w:r>
            <w:r w:rsidRPr="006F4A7A">
              <w:rPr>
                <w:rFonts w:eastAsia="Calibri" w:cs="Arial"/>
                <w:sz w:val="23"/>
                <w:szCs w:val="23"/>
                <w:lang w:val="it-IT"/>
              </w:rPr>
              <w:t xml:space="preserve"> per posto letto, a secondo dell’accessibilità e dell’offerta turistica esistente dove è ubicata la residenza.</w:t>
            </w:r>
          </w:p>
        </w:tc>
        <w:tc>
          <w:tcPr>
            <w:tcW w:w="2995" w:type="dxa"/>
          </w:tcPr>
          <w:p w:rsidR="006F4A7A" w:rsidRPr="006F4A7A" w:rsidRDefault="006F4A7A" w:rsidP="00841C3D">
            <w:pPr>
              <w:spacing w:after="60"/>
              <w:cnfStyle w:val="000000100000" w:firstRow="0" w:lastRow="0" w:firstColumn="0" w:lastColumn="0" w:oddVBand="0" w:evenVBand="0" w:oddHBand="1" w:evenHBand="0" w:firstRowFirstColumn="0" w:firstRowLastColumn="0" w:lastRowFirstColumn="0" w:lastRowLastColumn="0"/>
              <w:rPr>
                <w:rFonts w:eastAsia="Arial" w:cs="Arial"/>
                <w:sz w:val="23"/>
                <w:szCs w:val="23"/>
                <w:lang w:val="it-IT"/>
              </w:rPr>
            </w:pPr>
            <w:r w:rsidRPr="006F4A7A">
              <w:rPr>
                <w:rFonts w:eastAsia="Calibri" w:cs="Arial"/>
                <w:sz w:val="23"/>
                <w:szCs w:val="23"/>
                <w:vertAlign w:val="superscript"/>
                <w:lang w:val="it-IT"/>
              </w:rPr>
              <w:t>6</w:t>
            </w:r>
            <w:r w:rsidRPr="006F4A7A">
              <w:rPr>
                <w:rFonts w:eastAsia="Calibri" w:cs="Arial"/>
                <w:sz w:val="23"/>
                <w:szCs w:val="23"/>
                <w:lang w:val="it-IT"/>
              </w:rPr>
              <w:t>I proprietari di appartamenti o di case di vacanza, così come i membri delle loro famiglie, pagano una tassa di soggiorno nella forma di un importo annuale fisso. Questo importo è compreso tra fr. 15.</w:t>
            </w:r>
            <w:r w:rsidR="00841C3D">
              <w:rPr>
                <w:rFonts w:eastAsia="Calibri" w:cs="Arial"/>
                <w:sz w:val="23"/>
                <w:szCs w:val="23"/>
                <w:lang w:val="it-IT"/>
              </w:rPr>
              <w:t>-</w:t>
            </w:r>
            <w:r w:rsidRPr="006F4A7A">
              <w:rPr>
                <w:rFonts w:eastAsia="Calibri" w:cs="Arial"/>
                <w:sz w:val="23"/>
                <w:szCs w:val="23"/>
                <w:lang w:val="it-IT"/>
              </w:rPr>
              <w:t xml:space="preserve"> e fr. 100.</w:t>
            </w:r>
            <w:r w:rsidR="00841C3D">
              <w:rPr>
                <w:rFonts w:eastAsia="Calibri" w:cs="Arial"/>
                <w:sz w:val="23"/>
                <w:szCs w:val="23"/>
                <w:lang w:val="it-IT"/>
              </w:rPr>
              <w:t>-</w:t>
            </w:r>
            <w:r w:rsidRPr="006F4A7A">
              <w:rPr>
                <w:rFonts w:eastAsia="Calibri" w:cs="Arial"/>
                <w:sz w:val="23"/>
                <w:szCs w:val="23"/>
                <w:lang w:val="it-IT"/>
              </w:rPr>
              <w:t xml:space="preserve"> per posto letto, a seconda dell’accessibilità e dell’offerta turistica esistente dove è ubicata la residenza. </w:t>
            </w:r>
            <w:r w:rsidRPr="006F4A7A">
              <w:rPr>
                <w:rFonts w:eastAsia="Calibri" w:cs="Arial"/>
                <w:color w:val="FF0000"/>
                <w:sz w:val="23"/>
                <w:szCs w:val="23"/>
                <w:lang w:val="it-IT"/>
              </w:rPr>
              <w:t>Agli appartamenti e alle case di vacanza che distano più di 15 minuti a piedi dall’ultima strada carrozzabile si applica l’aliquota minima di fr. 15.</w:t>
            </w:r>
            <w:r w:rsidR="00841C3D">
              <w:rPr>
                <w:rFonts w:eastAsia="Calibri" w:cs="Arial"/>
                <w:color w:val="FF0000"/>
                <w:sz w:val="23"/>
                <w:szCs w:val="23"/>
                <w:lang w:val="it-IT"/>
              </w:rPr>
              <w:t>-</w:t>
            </w:r>
            <w:r w:rsidRPr="006F4A7A">
              <w:rPr>
                <w:rFonts w:eastAsia="Calibri" w:cs="Arial"/>
                <w:color w:val="FF0000"/>
                <w:sz w:val="23"/>
                <w:szCs w:val="23"/>
                <w:lang w:val="it-IT"/>
              </w:rPr>
              <w:t xml:space="preserve"> per posto letto.</w:t>
            </w:r>
          </w:p>
        </w:tc>
        <w:tc>
          <w:tcPr>
            <w:tcW w:w="2996" w:type="dxa"/>
          </w:tcPr>
          <w:p w:rsidR="006F4A7A" w:rsidRPr="006F4A7A" w:rsidRDefault="006F4A7A" w:rsidP="00841C3D">
            <w:pPr>
              <w:contextualSpacing/>
              <w:cnfStyle w:val="000000100000" w:firstRow="0" w:lastRow="0" w:firstColumn="0" w:lastColumn="0" w:oddVBand="0" w:evenVBand="0" w:oddHBand="1" w:evenHBand="0" w:firstRowFirstColumn="0" w:firstRowLastColumn="0" w:lastRowFirstColumn="0" w:lastRowLastColumn="0"/>
              <w:rPr>
                <w:rFonts w:eastAsia="Arial" w:cs="Arial"/>
                <w:sz w:val="23"/>
                <w:szCs w:val="23"/>
                <w:lang w:val="it-IT"/>
              </w:rPr>
            </w:pPr>
            <w:r w:rsidRPr="006F4A7A">
              <w:rPr>
                <w:rFonts w:eastAsia="Calibri" w:cs="Arial"/>
                <w:sz w:val="23"/>
                <w:szCs w:val="23"/>
                <w:vertAlign w:val="superscript"/>
                <w:lang w:val="it-IT"/>
              </w:rPr>
              <w:t>6</w:t>
            </w:r>
            <w:r w:rsidRPr="006F4A7A">
              <w:rPr>
                <w:rFonts w:eastAsia="Calibri" w:cs="Arial"/>
                <w:sz w:val="23"/>
                <w:szCs w:val="23"/>
                <w:lang w:val="it-IT"/>
              </w:rPr>
              <w:t>I proprietari di appartamenti o di case di vacanza, così come i membri delle loro famiglie, pagano una tassa di soggiorno nella forma di un importo annuale fisso. Questo importo è compreso tra fr. 15.</w:t>
            </w:r>
            <w:r w:rsidR="00841C3D">
              <w:rPr>
                <w:rFonts w:eastAsia="Calibri" w:cs="Arial"/>
                <w:sz w:val="23"/>
                <w:szCs w:val="23"/>
                <w:lang w:val="it-IT"/>
              </w:rPr>
              <w:t>-</w:t>
            </w:r>
            <w:r w:rsidRPr="006F4A7A">
              <w:rPr>
                <w:rFonts w:eastAsia="Calibri" w:cs="Arial"/>
                <w:sz w:val="23"/>
                <w:szCs w:val="23"/>
                <w:lang w:val="it-IT"/>
              </w:rPr>
              <w:t xml:space="preserve"> e fr. 100.</w:t>
            </w:r>
            <w:r w:rsidR="00841C3D">
              <w:rPr>
                <w:rFonts w:eastAsia="Calibri" w:cs="Arial"/>
                <w:sz w:val="23"/>
                <w:szCs w:val="23"/>
                <w:lang w:val="it-IT"/>
              </w:rPr>
              <w:t>-</w:t>
            </w:r>
            <w:r w:rsidRPr="006F4A7A">
              <w:rPr>
                <w:rFonts w:eastAsia="Calibri" w:cs="Arial"/>
                <w:sz w:val="23"/>
                <w:szCs w:val="23"/>
                <w:lang w:val="it-IT"/>
              </w:rPr>
              <w:t xml:space="preserve"> per posto letto, a </w:t>
            </w:r>
            <w:proofErr w:type="spellStart"/>
            <w:r w:rsidRPr="006F4A7A">
              <w:rPr>
                <w:rFonts w:eastAsia="Calibri" w:cs="Arial"/>
                <w:sz w:val="23"/>
                <w:szCs w:val="23"/>
                <w:lang w:val="it-IT"/>
              </w:rPr>
              <w:t>secondoa</w:t>
            </w:r>
            <w:proofErr w:type="spellEnd"/>
            <w:r w:rsidRPr="006F4A7A">
              <w:rPr>
                <w:rFonts w:eastAsia="Calibri" w:cs="Arial"/>
                <w:sz w:val="23"/>
                <w:szCs w:val="23"/>
                <w:lang w:val="it-IT"/>
              </w:rPr>
              <w:t xml:space="preserve"> dell’accessibilità e dell’offerta turistica esistente dove è ubicata la residenza. Agli appartamenti e alle case di vacanza che distano più di 15 minuti a piedi dall’ultima strada carrozzabile si applica l’aliquota minima di fr. 15.</w:t>
            </w:r>
            <w:r w:rsidR="00841C3D">
              <w:rPr>
                <w:rFonts w:eastAsia="Calibri" w:cs="Arial"/>
                <w:sz w:val="23"/>
                <w:szCs w:val="23"/>
                <w:lang w:val="it-IT"/>
              </w:rPr>
              <w:t>-</w:t>
            </w:r>
            <w:r w:rsidRPr="006F4A7A">
              <w:rPr>
                <w:rFonts w:eastAsia="Calibri" w:cs="Arial"/>
                <w:sz w:val="23"/>
                <w:szCs w:val="23"/>
                <w:lang w:val="it-IT"/>
              </w:rPr>
              <w:t xml:space="preserve"> per posto letto.</w:t>
            </w:r>
          </w:p>
        </w:tc>
      </w:tr>
    </w:tbl>
    <w:p w:rsidR="006F4A7A" w:rsidRPr="006F4A7A" w:rsidRDefault="006F4A7A" w:rsidP="006F4A7A">
      <w:pPr>
        <w:contextualSpacing/>
        <w:rPr>
          <w:rFonts w:eastAsia="Arial" w:cs="Arial"/>
          <w:sz w:val="24"/>
          <w:szCs w:val="24"/>
          <w:lang w:val="it-IT"/>
        </w:rPr>
      </w:pPr>
    </w:p>
    <w:p w:rsidR="006F4A7A" w:rsidRPr="006F4A7A" w:rsidRDefault="006F4A7A" w:rsidP="006F4A7A">
      <w:pPr>
        <w:contextualSpacing/>
        <w:rPr>
          <w:rFonts w:eastAsia="Arial" w:cs="Arial"/>
          <w:sz w:val="24"/>
          <w:szCs w:val="24"/>
          <w:lang w:val="it-IT"/>
        </w:rPr>
      </w:pPr>
      <w:r w:rsidRPr="006F4A7A">
        <w:rPr>
          <w:rFonts w:eastAsia="Arial" w:cs="Arial"/>
          <w:sz w:val="24"/>
          <w:szCs w:val="24"/>
          <w:lang w:val="it-IT"/>
        </w:rPr>
        <w:t>Affinché sia possibile adeguare il sistema di tassazione forfettaria nel corso dell’anno corrente, si prevede di applicare la modifica legislativa dal 1</w:t>
      </w:r>
      <w:r w:rsidR="00841C3D">
        <w:rPr>
          <w:rFonts w:eastAsia="Arial" w:cs="Arial"/>
          <w:sz w:val="24"/>
          <w:szCs w:val="24"/>
          <w:lang w:val="it-IT"/>
        </w:rPr>
        <w:t>°</w:t>
      </w:r>
      <w:r w:rsidRPr="006F4A7A">
        <w:rPr>
          <w:rFonts w:eastAsia="Arial" w:cs="Arial"/>
          <w:sz w:val="24"/>
          <w:szCs w:val="24"/>
          <w:lang w:val="it-IT"/>
        </w:rPr>
        <w:t xml:space="preserve"> gennaio 2023.</w:t>
      </w:r>
    </w:p>
    <w:p w:rsidR="006F4A7A" w:rsidRDefault="006F4A7A" w:rsidP="006F4A7A">
      <w:pPr>
        <w:contextualSpacing/>
        <w:rPr>
          <w:rFonts w:eastAsia="Arial" w:cs="Arial"/>
          <w:sz w:val="24"/>
          <w:szCs w:val="24"/>
          <w:lang w:val="it-IT"/>
        </w:rPr>
      </w:pPr>
    </w:p>
    <w:p w:rsidR="006F4A7A" w:rsidRPr="006F4A7A" w:rsidRDefault="008701B8" w:rsidP="008701B8">
      <w:pPr>
        <w:pStyle w:val="Titolo1"/>
        <w:tabs>
          <w:tab w:val="left" w:pos="567"/>
        </w:tabs>
        <w:spacing w:before="0"/>
        <w:ind w:left="567" w:hanging="567"/>
        <w:jc w:val="both"/>
        <w:rPr>
          <w:rFonts w:eastAsia="Calibri" w:cs="Times New Roman"/>
          <w:caps/>
          <w:sz w:val="24"/>
          <w:szCs w:val="24"/>
          <w:lang w:val="it-IT" w:eastAsia="it-IT"/>
        </w:rPr>
      </w:pPr>
      <w:r w:rsidRPr="008701B8">
        <w:rPr>
          <w:rFonts w:eastAsia="Calibri" w:cs="Times New Roman"/>
          <w:caps/>
          <w:sz w:val="24"/>
          <w:szCs w:val="24"/>
          <w:lang w:val="it-IT" w:eastAsia="it-IT"/>
        </w:rPr>
        <w:t>5.</w:t>
      </w:r>
      <w:r w:rsidRPr="008701B8">
        <w:rPr>
          <w:rFonts w:eastAsia="Calibri" w:cs="Times New Roman"/>
          <w:caps/>
          <w:sz w:val="24"/>
          <w:szCs w:val="24"/>
          <w:lang w:val="it-IT" w:eastAsia="it-IT"/>
        </w:rPr>
        <w:tab/>
      </w:r>
      <w:r w:rsidR="006F4A7A" w:rsidRPr="006F4A7A">
        <w:rPr>
          <w:rFonts w:eastAsia="Calibri" w:cs="Times New Roman"/>
          <w:caps/>
          <w:sz w:val="24"/>
          <w:szCs w:val="24"/>
          <w:lang w:val="it-IT" w:eastAsia="it-IT"/>
        </w:rPr>
        <w:t>CONCLUSIONE</w:t>
      </w:r>
    </w:p>
    <w:p w:rsidR="006F4A7A" w:rsidRDefault="006F4A7A" w:rsidP="006F4A7A">
      <w:pPr>
        <w:contextualSpacing/>
        <w:rPr>
          <w:rFonts w:eastAsia="Arial" w:cs="Arial"/>
          <w:sz w:val="24"/>
          <w:szCs w:val="24"/>
          <w:lang w:val="it-IT"/>
        </w:rPr>
      </w:pPr>
      <w:r w:rsidRPr="006F4A7A">
        <w:rPr>
          <w:rFonts w:eastAsia="Arial" w:cs="Arial"/>
          <w:sz w:val="24"/>
          <w:szCs w:val="24"/>
          <w:lang w:val="it-IT"/>
        </w:rPr>
        <w:t xml:space="preserve">La Commissione economia e lavoro è dunque convinta della soluzione individuata dal Consiglio di Stato in sintonia con l’allora iniziativista, capace di assecondare gli obiettivi dell’atto parlamentare senza mettere in difficoltà la capacità delle Organizzazioni turistiche regionali nel sostenere le molte iniziative, infrastrutture e servizi garantiti sul territorio </w:t>
      </w:r>
      <w:r w:rsidR="00841C3D">
        <w:rPr>
          <w:rFonts w:eastAsia="Arial" w:cs="Arial"/>
          <w:sz w:val="24"/>
          <w:szCs w:val="24"/>
          <w:lang w:val="it-IT"/>
        </w:rPr>
        <w:t>-</w:t>
      </w:r>
      <w:r w:rsidRPr="006F4A7A">
        <w:rPr>
          <w:rFonts w:eastAsia="Arial" w:cs="Arial"/>
          <w:sz w:val="24"/>
          <w:szCs w:val="24"/>
          <w:lang w:val="it-IT"/>
        </w:rPr>
        <w:t xml:space="preserve"> a beneficio di tutti.</w:t>
      </w:r>
    </w:p>
    <w:p w:rsidR="008701B8" w:rsidRPr="006F4A7A" w:rsidRDefault="008701B8" w:rsidP="006F4A7A">
      <w:pPr>
        <w:contextualSpacing/>
        <w:rPr>
          <w:rFonts w:eastAsia="Arial" w:cs="Arial"/>
          <w:sz w:val="24"/>
          <w:szCs w:val="24"/>
          <w:lang w:val="it-IT"/>
        </w:rPr>
      </w:pPr>
    </w:p>
    <w:p w:rsidR="006F4A7A" w:rsidRPr="006F4A7A" w:rsidRDefault="006F4A7A" w:rsidP="006F4A7A">
      <w:pPr>
        <w:contextualSpacing/>
        <w:rPr>
          <w:rFonts w:eastAsia="Arial" w:cs="Arial"/>
          <w:sz w:val="24"/>
          <w:szCs w:val="24"/>
          <w:lang w:val="it-IT"/>
        </w:rPr>
      </w:pPr>
      <w:r w:rsidRPr="006F4A7A">
        <w:rPr>
          <w:rFonts w:eastAsia="Arial" w:cs="Arial"/>
          <w:sz w:val="24"/>
          <w:szCs w:val="24"/>
          <w:lang w:val="it-IT"/>
        </w:rPr>
        <w:t>Si invita pertanto a sostenere la modifica di legge, e meglio dell’art. 21 cpv. 5, proposta nel messaggio del Consiglio di Stato e ripreso nel presente rapporto.</w:t>
      </w:r>
    </w:p>
    <w:p w:rsidR="006F4A7A" w:rsidRDefault="006F4A7A" w:rsidP="006F4A7A">
      <w:pPr>
        <w:contextualSpacing/>
        <w:rPr>
          <w:rFonts w:eastAsia="Arial" w:cs="Arial"/>
          <w:sz w:val="24"/>
          <w:szCs w:val="24"/>
          <w:lang w:val="it-IT"/>
        </w:rPr>
      </w:pPr>
    </w:p>
    <w:p w:rsidR="008701B8" w:rsidRDefault="008701B8" w:rsidP="006F4A7A">
      <w:pPr>
        <w:contextualSpacing/>
        <w:rPr>
          <w:rFonts w:eastAsia="Arial" w:cs="Arial"/>
          <w:sz w:val="24"/>
          <w:szCs w:val="24"/>
          <w:lang w:val="it-IT"/>
        </w:rPr>
      </w:pPr>
    </w:p>
    <w:p w:rsidR="008701B8" w:rsidRPr="008701B8" w:rsidRDefault="008701B8" w:rsidP="008701B8">
      <w:pPr>
        <w:spacing w:after="120"/>
        <w:rPr>
          <w:rFonts w:eastAsia="Calibri" w:cs="Arial"/>
          <w:sz w:val="24"/>
        </w:rPr>
      </w:pPr>
      <w:r w:rsidRPr="008701B8">
        <w:rPr>
          <w:rFonts w:eastAsia="Calibri" w:cs="Arial"/>
          <w:sz w:val="24"/>
        </w:rPr>
        <w:t xml:space="preserve">Per </w:t>
      </w:r>
      <w:r>
        <w:rPr>
          <w:rFonts w:eastAsia="Calibri" w:cs="Arial"/>
          <w:sz w:val="24"/>
        </w:rPr>
        <w:t>l</w:t>
      </w:r>
      <w:r w:rsidRPr="008701B8">
        <w:rPr>
          <w:rFonts w:eastAsia="Calibri" w:cs="Arial"/>
          <w:sz w:val="24"/>
        </w:rPr>
        <w:t>a Commissione</w:t>
      </w:r>
      <w:r>
        <w:rPr>
          <w:rFonts w:eastAsia="Calibri" w:cs="Arial"/>
          <w:sz w:val="24"/>
        </w:rPr>
        <w:t xml:space="preserve"> economia e lavoro</w:t>
      </w:r>
      <w:r w:rsidRPr="008701B8">
        <w:rPr>
          <w:rFonts w:eastAsia="Calibri" w:cs="Arial"/>
          <w:sz w:val="24"/>
        </w:rPr>
        <w:t>:</w:t>
      </w:r>
    </w:p>
    <w:p w:rsidR="008701B8" w:rsidRPr="008701B8" w:rsidRDefault="008701B8" w:rsidP="008701B8">
      <w:pPr>
        <w:rPr>
          <w:rFonts w:eastAsia="Calibri" w:cs="Arial"/>
          <w:sz w:val="24"/>
        </w:rPr>
      </w:pPr>
      <w:r>
        <w:rPr>
          <w:rFonts w:eastAsia="Calibri" w:cs="Times New Roman"/>
          <w:sz w:val="24"/>
          <w:szCs w:val="24"/>
        </w:rPr>
        <w:t>Alessandro Speziali</w:t>
      </w:r>
      <w:r w:rsidRPr="008701B8">
        <w:rPr>
          <w:rFonts w:eastAsia="Calibri" w:cs="Arial"/>
          <w:sz w:val="24"/>
        </w:rPr>
        <w:t>, relatore</w:t>
      </w:r>
    </w:p>
    <w:p w:rsidR="004D46C8" w:rsidRDefault="009264B0" w:rsidP="009264B0">
      <w:pPr>
        <w:rPr>
          <w:rFonts w:eastAsia="Times New Roman" w:cs="Times New Roman"/>
          <w:sz w:val="24"/>
          <w:szCs w:val="20"/>
          <w:lang w:val="it-IT" w:eastAsia="it-IT"/>
        </w:rPr>
      </w:pPr>
      <w:r w:rsidRPr="009264B0">
        <w:rPr>
          <w:rFonts w:eastAsia="Times New Roman" w:cs="Times New Roman"/>
          <w:sz w:val="24"/>
          <w:szCs w:val="20"/>
          <w:lang w:val="it-IT" w:eastAsia="it-IT"/>
        </w:rPr>
        <w:t xml:space="preserve">Ay - Balli - Bignasca - Censi - Dadò </w:t>
      </w:r>
      <w:r w:rsidR="004D46C8">
        <w:rPr>
          <w:rFonts w:eastAsia="Times New Roman" w:cs="Times New Roman"/>
          <w:sz w:val="24"/>
          <w:szCs w:val="20"/>
          <w:lang w:val="it-IT" w:eastAsia="it-IT"/>
        </w:rPr>
        <w:t>(con riserva) -</w:t>
      </w:r>
      <w:r w:rsidRPr="009264B0">
        <w:rPr>
          <w:rFonts w:eastAsia="Times New Roman" w:cs="Times New Roman"/>
          <w:sz w:val="24"/>
          <w:szCs w:val="20"/>
          <w:lang w:val="it-IT" w:eastAsia="it-IT"/>
        </w:rPr>
        <w:t xml:space="preserve"> </w:t>
      </w:r>
    </w:p>
    <w:p w:rsidR="004046E4" w:rsidRDefault="004D46C8" w:rsidP="009264B0">
      <w:pPr>
        <w:rPr>
          <w:rFonts w:eastAsia="Times New Roman" w:cs="Times New Roman"/>
          <w:sz w:val="24"/>
          <w:szCs w:val="20"/>
          <w:lang w:val="it-IT" w:eastAsia="it-IT"/>
        </w:rPr>
      </w:pPr>
      <w:r w:rsidRPr="009264B0">
        <w:rPr>
          <w:rFonts w:eastAsia="Times New Roman" w:cs="Times New Roman"/>
          <w:sz w:val="24"/>
          <w:szCs w:val="20"/>
          <w:lang w:val="it-IT" w:eastAsia="it-IT"/>
        </w:rPr>
        <w:t xml:space="preserve">Forini </w:t>
      </w:r>
      <w:r>
        <w:rPr>
          <w:rFonts w:eastAsia="Times New Roman" w:cs="Times New Roman"/>
          <w:sz w:val="24"/>
          <w:szCs w:val="20"/>
          <w:lang w:val="it-IT" w:eastAsia="it-IT"/>
        </w:rPr>
        <w:t>-</w:t>
      </w:r>
      <w:r w:rsidR="004046E4">
        <w:rPr>
          <w:rFonts w:eastAsia="Times New Roman" w:cs="Times New Roman"/>
          <w:sz w:val="24"/>
          <w:szCs w:val="20"/>
          <w:lang w:val="it-IT" w:eastAsia="it-IT"/>
        </w:rPr>
        <w:t xml:space="preserve"> </w:t>
      </w:r>
      <w:r w:rsidR="009264B0" w:rsidRPr="009264B0">
        <w:rPr>
          <w:rFonts w:eastAsia="Times New Roman" w:cs="Times New Roman"/>
          <w:sz w:val="24"/>
          <w:szCs w:val="20"/>
          <w:lang w:val="it-IT" w:eastAsia="it-IT"/>
        </w:rPr>
        <w:t xml:space="preserve">Isabella </w:t>
      </w:r>
      <w:r>
        <w:rPr>
          <w:rFonts w:eastAsia="Times New Roman" w:cs="Times New Roman"/>
          <w:sz w:val="24"/>
          <w:szCs w:val="20"/>
          <w:lang w:val="it-IT" w:eastAsia="it-IT"/>
        </w:rPr>
        <w:t xml:space="preserve">(con riserva) </w:t>
      </w:r>
      <w:r w:rsidR="009264B0" w:rsidRPr="009264B0">
        <w:rPr>
          <w:rFonts w:eastAsia="Times New Roman" w:cs="Times New Roman"/>
          <w:sz w:val="24"/>
          <w:szCs w:val="20"/>
          <w:lang w:val="it-IT" w:eastAsia="it-IT"/>
        </w:rPr>
        <w:t xml:space="preserve">- Maderni - Minotti </w:t>
      </w:r>
      <w:r w:rsidR="004046E4">
        <w:rPr>
          <w:rFonts w:eastAsia="Times New Roman" w:cs="Times New Roman"/>
          <w:sz w:val="24"/>
          <w:szCs w:val="20"/>
          <w:lang w:val="it-IT" w:eastAsia="it-IT"/>
        </w:rPr>
        <w:t>-</w:t>
      </w:r>
      <w:r w:rsidR="009264B0" w:rsidRPr="009264B0">
        <w:rPr>
          <w:rFonts w:eastAsia="Times New Roman" w:cs="Times New Roman"/>
          <w:sz w:val="24"/>
          <w:szCs w:val="20"/>
          <w:lang w:val="it-IT" w:eastAsia="it-IT"/>
        </w:rPr>
        <w:t xml:space="preserve"> Noi </w:t>
      </w:r>
      <w:r w:rsidR="004046E4">
        <w:rPr>
          <w:rFonts w:eastAsia="Times New Roman" w:cs="Times New Roman"/>
          <w:sz w:val="24"/>
          <w:szCs w:val="20"/>
          <w:lang w:val="it-IT" w:eastAsia="it-IT"/>
        </w:rPr>
        <w:t>-</w:t>
      </w:r>
      <w:bookmarkStart w:id="0" w:name="_GoBack"/>
      <w:bookmarkEnd w:id="0"/>
      <w:r w:rsidR="009264B0" w:rsidRPr="009264B0">
        <w:rPr>
          <w:rFonts w:eastAsia="Times New Roman" w:cs="Times New Roman"/>
          <w:sz w:val="24"/>
          <w:szCs w:val="20"/>
          <w:lang w:val="it-IT" w:eastAsia="it-IT"/>
        </w:rPr>
        <w:t xml:space="preserve"> </w:t>
      </w:r>
    </w:p>
    <w:p w:rsidR="009264B0" w:rsidRPr="009264B0" w:rsidRDefault="009264B0" w:rsidP="009264B0">
      <w:pPr>
        <w:rPr>
          <w:rFonts w:eastAsia="Times New Roman" w:cs="Times New Roman"/>
          <w:sz w:val="24"/>
          <w:szCs w:val="20"/>
          <w:lang w:val="it-IT" w:eastAsia="it-IT"/>
        </w:rPr>
      </w:pPr>
      <w:r w:rsidRPr="009264B0">
        <w:rPr>
          <w:rFonts w:eastAsia="Times New Roman" w:cs="Times New Roman"/>
          <w:sz w:val="24"/>
          <w:szCs w:val="20"/>
          <w:lang w:val="it-IT" w:eastAsia="it-IT"/>
        </w:rPr>
        <w:t xml:space="preserve">Ortelli P. - Passalia </w:t>
      </w:r>
      <w:r w:rsidR="004D46C8">
        <w:rPr>
          <w:rFonts w:eastAsia="Times New Roman" w:cs="Times New Roman"/>
          <w:sz w:val="24"/>
          <w:szCs w:val="20"/>
          <w:lang w:val="it-IT" w:eastAsia="it-IT"/>
        </w:rPr>
        <w:t xml:space="preserve">(con riserva) </w:t>
      </w:r>
      <w:r w:rsidRPr="009264B0">
        <w:rPr>
          <w:rFonts w:eastAsia="Times New Roman" w:cs="Times New Roman"/>
          <w:sz w:val="24"/>
          <w:szCs w:val="20"/>
          <w:lang w:val="it-IT" w:eastAsia="it-IT"/>
        </w:rPr>
        <w:t xml:space="preserve">- Passardi </w:t>
      </w:r>
      <w:r w:rsidR="004D46C8">
        <w:rPr>
          <w:rFonts w:eastAsia="Times New Roman" w:cs="Times New Roman"/>
          <w:sz w:val="24"/>
          <w:szCs w:val="20"/>
          <w:lang w:val="it-IT" w:eastAsia="it-IT"/>
        </w:rPr>
        <w:t xml:space="preserve">- </w:t>
      </w:r>
      <w:r w:rsidRPr="009264B0">
        <w:rPr>
          <w:rFonts w:eastAsia="Times New Roman" w:cs="Times New Roman"/>
          <w:sz w:val="24"/>
          <w:szCs w:val="20"/>
          <w:lang w:val="it-IT" w:eastAsia="it-IT"/>
        </w:rPr>
        <w:t>Tenconi</w:t>
      </w:r>
    </w:p>
    <w:p w:rsidR="008701B8" w:rsidRDefault="008701B8" w:rsidP="006F4A7A">
      <w:pPr>
        <w:contextualSpacing/>
        <w:rPr>
          <w:rFonts w:eastAsia="Arial" w:cs="Arial"/>
          <w:sz w:val="24"/>
          <w:szCs w:val="24"/>
          <w:lang w:val="it-IT"/>
        </w:rPr>
      </w:pPr>
    </w:p>
    <w:sectPr w:rsidR="008701B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7A" w:rsidRDefault="006F4A7A" w:rsidP="00F657BF">
      <w:r>
        <w:separator/>
      </w:r>
    </w:p>
  </w:endnote>
  <w:endnote w:type="continuationSeparator" w:id="0">
    <w:p w:rsidR="006F4A7A" w:rsidRDefault="006F4A7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046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046E4" w:rsidP="00912E34">
          <w:pPr>
            <w:tabs>
              <w:tab w:val="center" w:pos="2382"/>
            </w:tabs>
          </w:pPr>
        </w:p>
      </w:tc>
      <w:tc>
        <w:tcPr>
          <w:tcW w:w="721" w:type="dxa"/>
        </w:tcPr>
        <w:p w:rsidR="00912E34" w:rsidRPr="003D1008" w:rsidRDefault="004D46C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D46C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046E4"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046E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7A" w:rsidRDefault="006F4A7A" w:rsidP="00F657BF">
      <w:r>
        <w:separator/>
      </w:r>
    </w:p>
  </w:footnote>
  <w:footnote w:type="continuationSeparator" w:id="0">
    <w:p w:rsidR="006F4A7A" w:rsidRDefault="006F4A7A" w:rsidP="00F657BF">
      <w:r>
        <w:continuationSeparator/>
      </w:r>
    </w:p>
  </w:footnote>
  <w:footnote w:id="1">
    <w:p w:rsidR="006F4A7A" w:rsidRPr="00841C3D" w:rsidRDefault="006F4A7A" w:rsidP="006F4A7A">
      <w:pPr>
        <w:pStyle w:val="Testonotaapidipagina"/>
        <w:rPr>
          <w:rFonts w:ascii="Arial" w:hAnsi="Arial" w:cs="Arial"/>
          <w:sz w:val="19"/>
          <w:szCs w:val="19"/>
          <w:lang w:val="it-CH"/>
        </w:rPr>
      </w:pPr>
      <w:r w:rsidRPr="00841C3D">
        <w:rPr>
          <w:rStyle w:val="Rimandonotaapidipagina"/>
          <w:rFonts w:cs="Arial"/>
          <w:sz w:val="19"/>
          <w:szCs w:val="19"/>
        </w:rPr>
        <w:footnoteRef/>
      </w:r>
      <w:r w:rsidRPr="00841C3D">
        <w:rPr>
          <w:rFonts w:ascii="Arial" w:hAnsi="Arial" w:cs="Arial"/>
          <w:sz w:val="19"/>
          <w:szCs w:val="19"/>
        </w:rPr>
        <w:t xml:space="preserve"> </w:t>
      </w:r>
      <w:r w:rsidRPr="00841C3D">
        <w:rPr>
          <w:rFonts w:ascii="Arial" w:hAnsi="Arial" w:cs="Arial"/>
          <w:sz w:val="19"/>
          <w:szCs w:val="19"/>
          <w:lang w:val="it-CH"/>
        </w:rPr>
        <w:t xml:space="preserve">Il calcolo dei 15 minuti avviene secondo i criteri di </w:t>
      </w:r>
      <w:proofErr w:type="spellStart"/>
      <w:r w:rsidRPr="00841C3D">
        <w:rPr>
          <w:rFonts w:ascii="Arial" w:hAnsi="Arial" w:cs="Arial"/>
          <w:sz w:val="19"/>
          <w:szCs w:val="19"/>
          <w:lang w:val="it-CH"/>
        </w:rPr>
        <w:t>SvizzeraMobile</w:t>
      </w:r>
      <w:proofErr w:type="spellEnd"/>
      <w:r w:rsidRPr="00841C3D">
        <w:rPr>
          <w:rFonts w:ascii="Arial" w:hAnsi="Arial" w:cs="Arial"/>
          <w:sz w:val="19"/>
          <w:szCs w:val="19"/>
          <w:lang w:val="it-CH"/>
        </w:rPr>
        <w:t>, che utilizza un determinato algoritmo nelle valutazioni di percorrenza dei sentieri ufficiali nazionali. Più in generale, la scelta di fissare a 15’ il tempo di percorrenza per l’applicazione della tassa forfettaria minima deriva da una ponderazione ragionevole dei vari interessi, che perdura da parecchi anni.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046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B0E1E68-7796-4842-9F67-6A436419B3A6}"/>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96FBD"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4D46C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046E4">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046E4">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B0E1E68-7796-4842-9F67-6A436419B3A6}"/>
          <w:text w:multiLine="1"/>
        </w:sdtPr>
        <w:sdtEndPr/>
        <w:sdtContent>
          <w:tc>
            <w:tcPr>
              <w:tcW w:w="8383" w:type="dxa"/>
              <w:tcBorders>
                <w:left w:val="single" w:sz="4" w:space="0" w:color="auto"/>
              </w:tcBorders>
              <w:tcMar>
                <w:top w:w="0" w:type="dxa"/>
                <w:left w:w="142" w:type="dxa"/>
              </w:tcMar>
            </w:tcPr>
            <w:p w:rsidR="005012EC" w:rsidRPr="00E8185F" w:rsidRDefault="00B75B9C"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8069 R del 26 aprile 2022</w:t>
              </w:r>
            </w:p>
          </w:tc>
        </w:sdtContent>
      </w:sdt>
      <w:tc>
        <w:tcPr>
          <w:tcW w:w="1710" w:type="dxa"/>
          <w:tcBorders>
            <w:top w:val="single" w:sz="4" w:space="0" w:color="auto"/>
          </w:tcBorders>
        </w:tcPr>
        <w:p w:rsidR="005012EC" w:rsidRPr="00E043A3" w:rsidRDefault="004046E4" w:rsidP="00662409">
          <w:pPr>
            <w:pStyle w:val="InvisibleLine"/>
            <w:rPr>
              <w:lang w:val="de-DE"/>
            </w:rPr>
          </w:pPr>
        </w:p>
      </w:tc>
    </w:tr>
  </w:tbl>
  <w:p w:rsidR="00F657BF" w:rsidRPr="00980362" w:rsidRDefault="004D46C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B0E1E68-7796-4842-9F67-6A436419B3A6}"/>
                            <w:text w:multiLine="1"/>
                          </w:sdtPr>
                          <w:sdtEndPr/>
                          <w:sdtContent>
                            <w:p w:rsidR="008065E8" w:rsidRPr="00411371" w:rsidRDefault="004D46C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D82266A-3F6B-4304-A1CD-3278B502458A}"/>
                      <w:text w:multiLine="1"/>
                    </w:sdtPr>
                    <w:sdtEndPr/>
                    <w:sdtContent>
                      <w:p w:rsidR="008065E8" w:rsidRPr="00411371" w:rsidRDefault="004D46C8"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046E4" w:rsidP="00D07D6E">
          <w:pPr>
            <w:pStyle w:val="InvisibleLine"/>
            <w:ind w:left="150"/>
            <w:rPr>
              <w:sz w:val="16"/>
            </w:rPr>
          </w:pPr>
        </w:p>
      </w:tc>
      <w:tc>
        <w:tcPr>
          <w:tcW w:w="373" w:type="pct"/>
          <w:tcBorders>
            <w:top w:val="nil"/>
            <w:bottom w:val="single" w:sz="4" w:space="0" w:color="auto"/>
          </w:tcBorders>
          <w:vAlign w:val="bottom"/>
        </w:tcPr>
        <w:p w:rsidR="00662409" w:rsidRPr="003108C0" w:rsidRDefault="004046E4" w:rsidP="00D07D6E">
          <w:pPr>
            <w:pStyle w:val="Level"/>
            <w:ind w:left="150"/>
            <w:rPr>
              <w:sz w:val="16"/>
            </w:rPr>
          </w:pPr>
        </w:p>
      </w:tc>
      <w:tc>
        <w:tcPr>
          <w:tcW w:w="209" w:type="pct"/>
          <w:tcBorders>
            <w:top w:val="nil"/>
            <w:bottom w:val="single" w:sz="4" w:space="0" w:color="auto"/>
          </w:tcBorders>
        </w:tcPr>
        <w:p w:rsidR="00662409" w:rsidRDefault="004D46C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D46C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046E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046E4">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B0E1E68-7796-4842-9F67-6A436419B3A6}"/>
          <w:text w:multiLine="1"/>
        </w:sdtPr>
        <w:sdtEndPr/>
        <w:sdtContent>
          <w:tc>
            <w:tcPr>
              <w:tcW w:w="5000" w:type="pct"/>
              <w:gridSpan w:val="6"/>
              <w:tcBorders>
                <w:left w:val="nil"/>
                <w:right w:val="nil"/>
              </w:tcBorders>
              <w:noWrap/>
              <w:tcMar>
                <w:top w:w="0" w:type="dxa"/>
              </w:tcMar>
              <w:vAlign w:val="bottom"/>
            </w:tcPr>
            <w:p w:rsidR="00662409" w:rsidRPr="008C03B5" w:rsidRDefault="00B75B9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D46C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046E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D46C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046E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D46C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046E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046E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B0E1E68-7796-4842-9F67-6A436419B3A6}"/>
              <w:text w:multiLine="1"/>
            </w:sdtPr>
            <w:sdtEndPr/>
            <w:sdtContent>
              <w:r w:rsidR="00796FBD">
                <w:rPr>
                  <w:rFonts w:cstheme="minorHAnsi"/>
                  <w:b/>
                  <w:sz w:val="24"/>
                  <w:szCs w:val="24"/>
                </w:rPr>
                <w:t>8069 R</w:t>
              </w:r>
            </w:sdtContent>
          </w:sdt>
        </w:p>
      </w:tc>
      <w:sdt>
        <w:sdtPr>
          <w:rPr>
            <w:sz w:val="24"/>
          </w:rPr>
          <w:alias w:val="DocParam.Date"/>
          <w:id w:val="-464426178"/>
          <w:dataBinding w:xpath="//DateTime[@id='DocParam.Date']" w:storeItemID="{0B0E1E68-7796-4842-9F67-6A436419B3A6}"/>
          <w:date w:fullDate="2022-04-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96FBD" w:rsidP="00A532F6">
              <w:pPr>
                <w:pStyle w:val="Data"/>
              </w:pPr>
              <w:r>
                <w:rPr>
                  <w:sz w:val="24"/>
                </w:rPr>
                <w:t>26 aprile 2022</w:t>
              </w:r>
            </w:p>
          </w:tc>
        </w:sdtContent>
      </w:sdt>
      <w:tc>
        <w:tcPr>
          <w:tcW w:w="3218" w:type="pct"/>
          <w:gridSpan w:val="4"/>
          <w:tcBorders>
            <w:top w:val="nil"/>
            <w:left w:val="nil"/>
            <w:bottom w:val="nil"/>
            <w:right w:val="nil"/>
          </w:tcBorders>
        </w:tcPr>
        <w:p w:rsidR="008C03B5" w:rsidRPr="00BE22A2" w:rsidRDefault="004046E4"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B0E1E68-7796-4842-9F67-6A436419B3A6}"/>
              <w:text w:multiLine="1"/>
            </w:sdtPr>
            <w:sdtEndPr/>
            <w:sdtContent>
              <w:r w:rsidR="00796FBD">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046E4" w:rsidP="00D07D6E">
          <w:pPr>
            <w:pStyle w:val="Level"/>
            <w:ind w:left="150"/>
            <w:rPr>
              <w:rFonts w:ascii="Gill Alt One MT Light" w:hAnsi="Gill Alt One MT Light"/>
              <w:sz w:val="16"/>
              <w:szCs w:val="16"/>
            </w:rPr>
          </w:pPr>
        </w:p>
      </w:tc>
    </w:tr>
  </w:tbl>
  <w:p w:rsidR="00F657BF" w:rsidRPr="00DA2879" w:rsidRDefault="004D46C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B0E1E68-7796-4842-9F67-6A436419B3A6}"/>
                            <w:text w:multiLine="1"/>
                          </w:sdtPr>
                          <w:sdtEndPr/>
                          <w:sdtContent>
                            <w:p w:rsidR="00E93620" w:rsidRPr="00411371" w:rsidRDefault="004D46C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D82266A-3F6B-4304-A1CD-3278B502458A}"/>
                      <w:text w:multiLine="1"/>
                    </w:sdtPr>
                    <w:sdtEndPr/>
                    <w:sdtContent>
                      <w:p w:rsidR="00E93620" w:rsidRPr="00411371" w:rsidRDefault="004D46C8"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7352911"/>
    <w:multiLevelType w:val="hybridMultilevel"/>
    <w:tmpl w:val="137E36D4"/>
    <w:lvl w:ilvl="0" w:tplc="DF8C7D8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55D51869"/>
    <w:multiLevelType w:val="hybridMultilevel"/>
    <w:tmpl w:val="F6F8206C"/>
    <w:lvl w:ilvl="0" w:tplc="4DCA9E3A">
      <w:start w:val="1"/>
      <w:numFmt w:val="upperRoman"/>
      <w:lvlText w:val="%1."/>
      <w:lvlJc w:val="left"/>
      <w:pPr>
        <w:ind w:left="720" w:hanging="360"/>
      </w:pPr>
      <w:rPr>
        <w:b/>
        <w:bCs/>
      </w:rPr>
    </w:lvl>
    <w:lvl w:ilvl="1" w:tplc="DE8ADC4C">
      <w:start w:val="1"/>
      <w:numFmt w:val="lowerLetter"/>
      <w:lvlText w:val="%2."/>
      <w:lvlJc w:val="left"/>
      <w:pPr>
        <w:ind w:left="1440" w:hanging="360"/>
      </w:pPr>
    </w:lvl>
    <w:lvl w:ilvl="2" w:tplc="0792A8D2">
      <w:start w:val="1"/>
      <w:numFmt w:val="lowerRoman"/>
      <w:lvlText w:val="%3."/>
      <w:lvlJc w:val="right"/>
      <w:pPr>
        <w:ind w:left="2160" w:hanging="180"/>
      </w:pPr>
    </w:lvl>
    <w:lvl w:ilvl="3" w:tplc="ED84A88E">
      <w:start w:val="1"/>
      <w:numFmt w:val="decimal"/>
      <w:lvlText w:val="%4."/>
      <w:lvlJc w:val="left"/>
      <w:pPr>
        <w:ind w:left="2880" w:hanging="360"/>
      </w:pPr>
    </w:lvl>
    <w:lvl w:ilvl="4" w:tplc="FFCAB282">
      <w:start w:val="1"/>
      <w:numFmt w:val="lowerLetter"/>
      <w:lvlText w:val="%5."/>
      <w:lvlJc w:val="left"/>
      <w:pPr>
        <w:ind w:left="3600" w:hanging="360"/>
      </w:pPr>
    </w:lvl>
    <w:lvl w:ilvl="5" w:tplc="B78C0A5E">
      <w:start w:val="1"/>
      <w:numFmt w:val="lowerRoman"/>
      <w:lvlText w:val="%6."/>
      <w:lvlJc w:val="right"/>
      <w:pPr>
        <w:ind w:left="4320" w:hanging="180"/>
      </w:pPr>
    </w:lvl>
    <w:lvl w:ilvl="6" w:tplc="2EB8C0EE">
      <w:start w:val="1"/>
      <w:numFmt w:val="decimal"/>
      <w:lvlText w:val="%7."/>
      <w:lvlJc w:val="left"/>
      <w:pPr>
        <w:ind w:left="5040" w:hanging="360"/>
      </w:pPr>
    </w:lvl>
    <w:lvl w:ilvl="7" w:tplc="EA987774">
      <w:start w:val="1"/>
      <w:numFmt w:val="lowerLetter"/>
      <w:lvlText w:val="%8."/>
      <w:lvlJc w:val="left"/>
      <w:pPr>
        <w:ind w:left="5760" w:hanging="360"/>
      </w:pPr>
    </w:lvl>
    <w:lvl w:ilvl="8" w:tplc="16A88E8A">
      <w:start w:val="1"/>
      <w:numFmt w:val="lowerRoman"/>
      <w:lvlText w:val="%9."/>
      <w:lvlJc w:val="right"/>
      <w:pPr>
        <w:ind w:left="6480" w:hanging="180"/>
      </w:p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7A"/>
    <w:rsid w:val="002B5D9F"/>
    <w:rsid w:val="003B756D"/>
    <w:rsid w:val="00403ADB"/>
    <w:rsid w:val="004046E4"/>
    <w:rsid w:val="004D46C8"/>
    <w:rsid w:val="00572FD3"/>
    <w:rsid w:val="006F4A7A"/>
    <w:rsid w:val="00796FBD"/>
    <w:rsid w:val="00841C3D"/>
    <w:rsid w:val="008701B8"/>
    <w:rsid w:val="008720C4"/>
    <w:rsid w:val="008F52AF"/>
    <w:rsid w:val="009264B0"/>
    <w:rsid w:val="00997F05"/>
    <w:rsid w:val="009C5E5A"/>
    <w:rsid w:val="009D7A97"/>
    <w:rsid w:val="00AF0268"/>
    <w:rsid w:val="00B75B9C"/>
    <w:rsid w:val="00BD3383"/>
    <w:rsid w:val="00BF0A1F"/>
    <w:rsid w:val="00D33940"/>
    <w:rsid w:val="00D600FD"/>
    <w:rsid w:val="00D649A8"/>
    <w:rsid w:val="00DA7AB7"/>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2AB18F"/>
  <w15:docId w15:val="{C72D7F98-383F-4CAA-A92B-63596587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Tabellagriglia4-colore31">
    <w:name w:val="Tabella griglia 4 - colore 31"/>
    <w:basedOn w:val="Tabellanormale"/>
    <w:next w:val="Tabellagriglia4-colore3"/>
    <w:uiPriority w:val="49"/>
    <w:rsid w:val="006F4A7A"/>
    <w:pPr>
      <w:jc w:val="left"/>
    </w:pPr>
    <w:rPr>
      <w:lang w:val="it-I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lagriglia4-colore3">
    <w:name w:val="Grid Table 4 Accent 3"/>
    <w:basedOn w:val="Tabellanormale"/>
    <w:uiPriority w:val="49"/>
    <w:rsid w:val="006F4A7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stofumetto">
    <w:name w:val="Balloon Text"/>
    <w:basedOn w:val="Normale"/>
    <w:link w:val="TestofumettoCarattere"/>
    <w:uiPriority w:val="99"/>
    <w:semiHidden/>
    <w:unhideWhenUsed/>
    <w:rsid w:val="004046E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46E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1d9b639d-2eff-4387-be7a-7c735fd79fd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1 6 " ? > < O n e O f f i x x D o c u m e n t P a r t   x m l n s : x s i = " h t t p : / / w w w . w 3 . o r g / 2 0 0 1 / X M L S c h e m a - i n s t a n c e "   x m l n s : x s d = " h t t p : / / w w w . w 3 . o r g / 2 0 0 1 / X M L S c h e m a "   i d = " 8 8 e b a 5 3 1 - 4 3 c 7 - 4 f f 4 - b 7 f c - 2 a 0 9 7 1 7 4 a f 6 1 "   t I d = " a 3 6 2 a 5 d 4 - 9 5 8 9 - 4 1 b f - a 4 e 6 - 4 f 8 7 c 4 e 4 1 2 3 9 "   i n t e r n a l T I d = " 9 0 6 4 c c 7 f - 3 1 6 d - 4 6 b 1 - a 4 a c - 7 4 8 6 0 c 3 f 8 a 5 b "   m t I d = " 2 7 5 a f 3 2 e - b c 4 0 - 4 5 c 2 - 8 5 b 7 - a f b 1 c 0 3 8 2 6 5 3 "   r e v i s i o n = " 0 "   c r e a t e d m a j o r v e r s i o n = " 0 "   c r e a t e d m i n o r v e r s i o n = " 0 "   c r e a t e d = " 2 0 2 2 - 0 4 - 2 9 T 0 7 : 2 4 : 3 4 . 9 6 7 8 5 2 7 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0 6 9   R   d e l   2 6   a p r i l 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 2 0 2 2 - 0 4 - 2 6 T 0 0 : 0 0 : 0 0 Z < / D a t e T i m e >  
                 < T e x t   i d = " D o c P a r a m . N u m b e r " > < ! [ C D A T A [ 8 0 6 9 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3A089401-1779-439A-9B0B-E0BB6128C8B2}">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0B0E1E68-7796-4842-9F67-6A436419B3A6}">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1d9b639d-2eff-4387-be7a-7c735fd79fd4.dotx</Template>
  <TotalTime>18</TotalTime>
  <Pages>5</Pages>
  <Words>1809</Words>
  <Characters>10316</Characters>
  <Application>Microsoft Office Word</Application>
  <DocSecurity>0</DocSecurity>
  <Lines>85</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11</cp:revision>
  <cp:lastPrinted>2022-05-17T09:18:00Z</cp:lastPrinted>
  <dcterms:created xsi:type="dcterms:W3CDTF">2022-04-29T07:25:00Z</dcterms:created>
  <dcterms:modified xsi:type="dcterms:W3CDTF">2022-05-17T09:19:00Z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