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Default="000C1A8F" w:rsidP="00D33940">
      <w:pPr>
        <w:pStyle w:val="StandardRisoluzionedelConsigliodiStato"/>
        <w:ind w:right="-1"/>
        <w:rPr>
          <w:b/>
          <w:sz w:val="28"/>
          <w:szCs w:val="28"/>
        </w:rPr>
      </w:pPr>
      <w:r w:rsidRPr="000C1A8F">
        <w:rPr>
          <w:b/>
          <w:sz w:val="28"/>
          <w:szCs w:val="28"/>
        </w:rPr>
        <w:t>della Commissione formazione e cultura</w:t>
      </w:r>
    </w:p>
    <w:p w:rsidR="000C1A8F" w:rsidRDefault="000C1A8F" w:rsidP="000C1A8F">
      <w:pPr>
        <w:pStyle w:val="StandardRisoluzionedelConsigliodiStato"/>
        <w:ind w:right="-1"/>
        <w:rPr>
          <w:b/>
          <w:sz w:val="28"/>
          <w:szCs w:val="28"/>
        </w:rPr>
      </w:pPr>
      <w:r>
        <w:rPr>
          <w:b/>
          <w:sz w:val="28"/>
          <w:szCs w:val="28"/>
        </w:rPr>
        <w:t xml:space="preserve">sulla mozione </w:t>
      </w:r>
      <w:r w:rsidRPr="000C1A8F">
        <w:rPr>
          <w:b/>
          <w:sz w:val="28"/>
          <w:szCs w:val="28"/>
        </w:rPr>
        <w:t xml:space="preserve">20 maggio 2020 </w:t>
      </w:r>
      <w:r>
        <w:rPr>
          <w:b/>
          <w:sz w:val="28"/>
          <w:szCs w:val="28"/>
        </w:rPr>
        <w:t xml:space="preserve">presentata </w:t>
      </w:r>
      <w:r w:rsidRPr="000C1A8F">
        <w:rPr>
          <w:b/>
          <w:sz w:val="28"/>
          <w:szCs w:val="28"/>
        </w:rPr>
        <w:t>da Mariste</w:t>
      </w:r>
      <w:r>
        <w:rPr>
          <w:b/>
          <w:sz w:val="28"/>
          <w:szCs w:val="28"/>
        </w:rPr>
        <w:t xml:space="preserve">lla Polli e cofirmatari per il Gruppo PLR </w:t>
      </w:r>
      <w:r w:rsidR="00B95DF8">
        <w:rPr>
          <w:b/>
          <w:sz w:val="28"/>
          <w:szCs w:val="28"/>
        </w:rPr>
        <w:t>"</w:t>
      </w:r>
      <w:r w:rsidRPr="000C1A8F">
        <w:rPr>
          <w:b/>
          <w:sz w:val="28"/>
          <w:szCs w:val="28"/>
        </w:rPr>
        <w:t>Ticino polo di compe</w:t>
      </w:r>
      <w:r>
        <w:rPr>
          <w:b/>
          <w:sz w:val="28"/>
          <w:szCs w:val="28"/>
        </w:rPr>
        <w:t>tenza nazionale per la ricerca</w:t>
      </w:r>
      <w:r w:rsidR="00B95DF8">
        <w:rPr>
          <w:b/>
          <w:sz w:val="28"/>
          <w:szCs w:val="28"/>
        </w:rPr>
        <w:t>"</w:t>
      </w:r>
    </w:p>
    <w:p w:rsidR="000C1A8F" w:rsidRPr="000C1A8F" w:rsidRDefault="000C1A8F" w:rsidP="000C1A8F">
      <w:pPr>
        <w:pStyle w:val="StandardRisoluzionedelConsigliodiStato"/>
        <w:spacing w:before="120"/>
        <w:rPr>
          <w:b/>
          <w:sz w:val="26"/>
          <w:szCs w:val="26"/>
        </w:rPr>
      </w:pPr>
      <w:r w:rsidRPr="000C1A8F">
        <w:rPr>
          <w:b/>
          <w:sz w:val="26"/>
          <w:szCs w:val="26"/>
        </w:rPr>
        <w:t>(vedi messaggio 17 giugno 2020 n. 7829)</w:t>
      </w:r>
      <w:bookmarkStart w:id="0" w:name="_GoBack"/>
      <w:bookmarkEnd w:id="0"/>
    </w:p>
    <w:p w:rsidR="000C1A8F" w:rsidRDefault="000C1A8F" w:rsidP="000C1A8F">
      <w:pPr>
        <w:rPr>
          <w:rFonts w:cs="Arial"/>
          <w:sz w:val="24"/>
          <w:szCs w:val="24"/>
        </w:rPr>
      </w:pPr>
    </w:p>
    <w:p w:rsidR="006C247B" w:rsidRPr="00D617C9" w:rsidRDefault="006C247B" w:rsidP="000C1A8F">
      <w:pPr>
        <w:rPr>
          <w:rFonts w:cs="Arial"/>
          <w:sz w:val="24"/>
          <w:szCs w:val="24"/>
        </w:rPr>
      </w:pPr>
    </w:p>
    <w:p w:rsidR="000C1A8F" w:rsidRPr="002D4890" w:rsidRDefault="000C1A8F" w:rsidP="002D4890">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D4890">
        <w:rPr>
          <w:rFonts w:eastAsia="Calibri" w:cs="Times New Roman"/>
          <w:caps/>
          <w:sz w:val="24"/>
          <w:szCs w:val="24"/>
          <w:lang w:val="it-IT" w:eastAsia="it-IT"/>
        </w:rPr>
        <w:t>MOZIONE</w:t>
      </w:r>
    </w:p>
    <w:p w:rsidR="000C1A8F" w:rsidRPr="00D617C9" w:rsidRDefault="000C1A8F" w:rsidP="000C1A8F">
      <w:pPr>
        <w:rPr>
          <w:rFonts w:cs="Arial"/>
          <w:sz w:val="24"/>
          <w:szCs w:val="24"/>
        </w:rPr>
      </w:pPr>
      <w:r w:rsidRPr="00D617C9">
        <w:rPr>
          <w:rFonts w:cs="Arial"/>
          <w:sz w:val="24"/>
          <w:szCs w:val="24"/>
        </w:rPr>
        <w:t xml:space="preserve">La mozione chiede al Consiglio di Stato di attivarsi per migliorare e ulteriormente potenziare la ricerca di base nel Cantone, attraverso un aumento degli investimenti in tal senso da parte del Governo ticinese, con l’obiettivo di far diventare il nostro Cantone un polo di competenza nazionale per la ricerca di base, anche a vantaggio della nuova Facoltà di scienze biomediche all’Università della Svizzera italiana (USI). </w:t>
      </w:r>
    </w:p>
    <w:p w:rsidR="000C1A8F" w:rsidRPr="00D617C9" w:rsidRDefault="000C1A8F" w:rsidP="000C1A8F">
      <w:pPr>
        <w:rPr>
          <w:rFonts w:cs="Arial"/>
          <w:sz w:val="24"/>
          <w:szCs w:val="24"/>
        </w:rPr>
      </w:pPr>
    </w:p>
    <w:p w:rsidR="000C1A8F" w:rsidRPr="00D617C9" w:rsidRDefault="000C1A8F" w:rsidP="000C1A8F">
      <w:pPr>
        <w:rPr>
          <w:rFonts w:cs="Arial"/>
          <w:sz w:val="24"/>
          <w:szCs w:val="24"/>
        </w:rPr>
      </w:pPr>
      <w:r w:rsidRPr="00D617C9">
        <w:rPr>
          <w:rFonts w:cs="Arial"/>
          <w:sz w:val="24"/>
          <w:szCs w:val="24"/>
        </w:rPr>
        <w:t xml:space="preserve">La mozione fa riferimento in particolare alla ricerca e alla tecnologia in biomedicina, tenendo presente anche la necessità (eravamo nel maggio 2020) di studi per identificare le modalità di trasmissione del virus da COVID-19, e per trovare trattamenti efficaci. </w:t>
      </w:r>
    </w:p>
    <w:p w:rsidR="000C1A8F" w:rsidRPr="00D617C9" w:rsidRDefault="000C1A8F" w:rsidP="000C1A8F">
      <w:pPr>
        <w:rPr>
          <w:rFonts w:cs="Arial"/>
          <w:sz w:val="24"/>
          <w:szCs w:val="24"/>
        </w:rPr>
      </w:pPr>
    </w:p>
    <w:p w:rsidR="000C1A8F" w:rsidRPr="00D617C9" w:rsidRDefault="000C1A8F" w:rsidP="000C1A8F">
      <w:pPr>
        <w:rPr>
          <w:rFonts w:cs="Arial"/>
          <w:sz w:val="24"/>
          <w:szCs w:val="24"/>
        </w:rPr>
      </w:pPr>
      <w:r w:rsidRPr="00D617C9">
        <w:rPr>
          <w:rFonts w:cs="Arial"/>
          <w:sz w:val="24"/>
          <w:szCs w:val="24"/>
        </w:rPr>
        <w:t>La mozione riconosce che IRB (Istituto di ricerca in biomedicina) e IOR (Istituto Oncologico di Ricerca), entrambi affiliati all’USI, sono già poli d’eccellenza del nostro Cantone, e che una parte di fondi del FNS è già stata attribuita a questi istituti secondo criteri scientifici e competitivi: chiede comunque al Consiglio di Stato di attivarsi affinché il nostro Cantone possa contribuire con un finanziamento ulteriore.</w:t>
      </w:r>
    </w:p>
    <w:p w:rsidR="000C1A8F" w:rsidRDefault="000C1A8F" w:rsidP="000C1A8F">
      <w:pPr>
        <w:rPr>
          <w:rFonts w:cs="Arial"/>
          <w:sz w:val="24"/>
          <w:szCs w:val="24"/>
        </w:rPr>
      </w:pPr>
    </w:p>
    <w:p w:rsidR="006C247B" w:rsidRPr="00D617C9" w:rsidRDefault="006C247B" w:rsidP="000C1A8F">
      <w:pPr>
        <w:rPr>
          <w:rFonts w:cs="Arial"/>
          <w:sz w:val="24"/>
          <w:szCs w:val="24"/>
        </w:rPr>
      </w:pPr>
    </w:p>
    <w:p w:rsidR="000C1A8F" w:rsidRPr="002D4890" w:rsidRDefault="000C1A8F" w:rsidP="002D4890">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D4890">
        <w:rPr>
          <w:rFonts w:eastAsia="Calibri" w:cs="Times New Roman"/>
          <w:caps/>
          <w:sz w:val="24"/>
          <w:szCs w:val="24"/>
          <w:lang w:val="it-IT" w:eastAsia="it-IT"/>
        </w:rPr>
        <w:t>MESSAGGIO</w:t>
      </w:r>
    </w:p>
    <w:p w:rsidR="000C1A8F" w:rsidRPr="00D617C9" w:rsidRDefault="001537F3" w:rsidP="000C1A8F">
      <w:pPr>
        <w:rPr>
          <w:rFonts w:cs="Arial"/>
          <w:sz w:val="24"/>
          <w:szCs w:val="24"/>
        </w:rPr>
      </w:pPr>
      <w:r>
        <w:rPr>
          <w:rFonts w:cs="Arial"/>
          <w:sz w:val="24"/>
          <w:szCs w:val="24"/>
        </w:rPr>
        <w:t>Il 17 giugno 2020 il C</w:t>
      </w:r>
      <w:r w:rsidR="000C1A8F" w:rsidRPr="00D617C9">
        <w:rPr>
          <w:rFonts w:cs="Arial"/>
          <w:sz w:val="24"/>
          <w:szCs w:val="24"/>
        </w:rPr>
        <w:t>onsiglio di Stato ha preso posizion</w:t>
      </w:r>
      <w:r w:rsidR="002D4890">
        <w:rPr>
          <w:rFonts w:cs="Arial"/>
          <w:sz w:val="24"/>
          <w:szCs w:val="24"/>
        </w:rPr>
        <w:t>e sulla mozione licenziando il m</w:t>
      </w:r>
      <w:r w:rsidR="000C1A8F" w:rsidRPr="00D617C9">
        <w:rPr>
          <w:rFonts w:cs="Arial"/>
          <w:sz w:val="24"/>
          <w:szCs w:val="24"/>
        </w:rPr>
        <w:t xml:space="preserve">essaggio </w:t>
      </w:r>
      <w:r w:rsidR="002D4890">
        <w:rPr>
          <w:rFonts w:cs="Arial"/>
          <w:sz w:val="24"/>
          <w:szCs w:val="24"/>
        </w:rPr>
        <w:t xml:space="preserve">n. </w:t>
      </w:r>
      <w:r w:rsidR="000C1A8F" w:rsidRPr="00D617C9">
        <w:rPr>
          <w:rFonts w:cs="Arial"/>
          <w:sz w:val="24"/>
          <w:szCs w:val="24"/>
        </w:rPr>
        <w:t xml:space="preserve">7829. </w:t>
      </w:r>
    </w:p>
    <w:p w:rsidR="002D4890" w:rsidRDefault="002D4890" w:rsidP="000C1A8F">
      <w:pPr>
        <w:rPr>
          <w:rFonts w:cs="Arial"/>
          <w:sz w:val="24"/>
          <w:szCs w:val="24"/>
        </w:rPr>
      </w:pPr>
    </w:p>
    <w:p w:rsidR="000C1A8F" w:rsidRPr="00D617C9" w:rsidRDefault="000C1A8F" w:rsidP="000C1A8F">
      <w:pPr>
        <w:rPr>
          <w:rFonts w:cs="Arial"/>
          <w:sz w:val="24"/>
          <w:szCs w:val="24"/>
        </w:rPr>
      </w:pPr>
      <w:r w:rsidRPr="00D617C9">
        <w:rPr>
          <w:rFonts w:cs="Arial"/>
          <w:sz w:val="24"/>
          <w:szCs w:val="24"/>
        </w:rPr>
        <w:t xml:space="preserve">In esso si ricorda che nel programma di legislatura per il quadriennio 2020-2023 </w:t>
      </w:r>
      <w:r w:rsidR="00B95DF8">
        <w:rPr>
          <w:rFonts w:cs="Arial"/>
          <w:sz w:val="24"/>
          <w:szCs w:val="24"/>
        </w:rPr>
        <w:br/>
      </w:r>
      <w:r w:rsidRPr="00D617C9">
        <w:rPr>
          <w:rFonts w:cs="Arial"/>
          <w:sz w:val="24"/>
          <w:szCs w:val="24"/>
        </w:rPr>
        <w:t xml:space="preserve">(in particolare con l’Obiettivo 17) si intende proprio “Sviluppare il sistema terziario cantonale e il polo d’eccellenza degli istituti attivi nella ricerca e nell’innovazione”, grazie “ai finanziamenti cantonali, federali e degli enti preposti (Fondo nazionale per la ricerca scientifica, Unione europea, </w:t>
      </w:r>
      <w:proofErr w:type="spellStart"/>
      <w:r w:rsidRPr="00D617C9">
        <w:rPr>
          <w:rFonts w:cs="Arial"/>
          <w:sz w:val="24"/>
          <w:szCs w:val="24"/>
        </w:rPr>
        <w:t>Innosuisse</w:t>
      </w:r>
      <w:proofErr w:type="spellEnd"/>
      <w:r w:rsidRPr="00D617C9">
        <w:rPr>
          <w:rFonts w:cs="Arial"/>
          <w:sz w:val="24"/>
          <w:szCs w:val="24"/>
        </w:rPr>
        <w:t>), attribuiti a progetti di ricerca competitiva per USI, Scuola universitaria professionale della Svizzera italiana (SUPSI) e istituti affiliati”.</w:t>
      </w:r>
    </w:p>
    <w:p w:rsidR="000C1A8F" w:rsidRPr="00D617C9" w:rsidRDefault="000C1A8F" w:rsidP="000C1A8F">
      <w:pPr>
        <w:pStyle w:val="Paragrafoelenco"/>
        <w:autoSpaceDE w:val="0"/>
        <w:autoSpaceDN w:val="0"/>
        <w:adjustRightInd w:val="0"/>
        <w:ind w:left="0"/>
        <w:rPr>
          <w:rFonts w:cs="Arial"/>
          <w:sz w:val="24"/>
          <w:szCs w:val="24"/>
        </w:rPr>
      </w:pPr>
    </w:p>
    <w:p w:rsidR="000C1A8F" w:rsidRPr="00D617C9" w:rsidRDefault="000C1A8F" w:rsidP="000C1A8F">
      <w:pPr>
        <w:pStyle w:val="Paragrafoelenco"/>
        <w:autoSpaceDE w:val="0"/>
        <w:autoSpaceDN w:val="0"/>
        <w:adjustRightInd w:val="0"/>
        <w:ind w:left="0"/>
        <w:rPr>
          <w:rFonts w:cs="Arial"/>
          <w:sz w:val="24"/>
          <w:szCs w:val="24"/>
        </w:rPr>
      </w:pPr>
      <w:r w:rsidRPr="00D617C9">
        <w:rPr>
          <w:rFonts w:cs="Arial"/>
          <w:sz w:val="24"/>
          <w:szCs w:val="24"/>
        </w:rPr>
        <w:t xml:space="preserve">Il Governo ricorda dunque di aver presentato il messaggio sulla politica universitaria 2021-2024 e relativi contratti di prestazioni con USI e SUPSI, con il quale si assicurava un incremento considerevole dei contributi cantonali per il nuovo quadriennio 2021-2024 all'USI e agli istituti affiliati, in particolare a IOR e IRB, ma anche ad altri enti che operano nel campo delle scienze della vita, per esempio la Fondazione Sasso </w:t>
      </w:r>
      <w:proofErr w:type="spellStart"/>
      <w:r w:rsidRPr="00D617C9">
        <w:rPr>
          <w:rFonts w:cs="Arial"/>
          <w:sz w:val="24"/>
          <w:szCs w:val="24"/>
        </w:rPr>
        <w:t>Corbaro</w:t>
      </w:r>
      <w:proofErr w:type="spellEnd"/>
      <w:r w:rsidRPr="00D617C9">
        <w:rPr>
          <w:rFonts w:cs="Arial"/>
          <w:sz w:val="24"/>
          <w:szCs w:val="24"/>
        </w:rPr>
        <w:t xml:space="preserve">. Va inoltre </w:t>
      </w:r>
      <w:r w:rsidRPr="00D617C9">
        <w:rPr>
          <w:rFonts w:cs="Arial"/>
          <w:sz w:val="24"/>
          <w:szCs w:val="24"/>
        </w:rPr>
        <w:lastRenderedPageBreak/>
        <w:t xml:space="preserve">considerato il contributo per l’avvio, e per il consolidamento, della nuova Facoltà di scienze biomediche, contributo che non ha riguardato solo il piano finanziario-gestionale, ma anche il profilo logistico, come pure vanno considerati gli investimenti stanziati per il nuovo stabile IOR e IRB a Bellinzona. </w:t>
      </w:r>
    </w:p>
    <w:p w:rsidR="000C1A8F" w:rsidRPr="00D617C9" w:rsidRDefault="000C1A8F" w:rsidP="000C1A8F">
      <w:pPr>
        <w:autoSpaceDE w:val="0"/>
        <w:autoSpaceDN w:val="0"/>
        <w:adjustRightInd w:val="0"/>
        <w:rPr>
          <w:rFonts w:cs="Arial"/>
          <w:sz w:val="24"/>
          <w:szCs w:val="24"/>
        </w:rPr>
      </w:pPr>
    </w:p>
    <w:p w:rsidR="000C1A8F" w:rsidRPr="00D617C9" w:rsidRDefault="000C1A8F" w:rsidP="000C1A8F">
      <w:pPr>
        <w:autoSpaceDE w:val="0"/>
        <w:autoSpaceDN w:val="0"/>
        <w:adjustRightInd w:val="0"/>
        <w:rPr>
          <w:rFonts w:cs="Arial"/>
          <w:sz w:val="24"/>
          <w:szCs w:val="24"/>
        </w:rPr>
      </w:pPr>
      <w:r w:rsidRPr="00D617C9">
        <w:rPr>
          <w:rFonts w:cs="Arial"/>
          <w:sz w:val="24"/>
          <w:szCs w:val="24"/>
        </w:rPr>
        <w:t>Il Governo chiede dunque al Gran Consiglio di respingere la mozione, poiché le richieste in essa presentate sono state ottemperate nelle linee di politica universitaria per il quadriennio 2021-2024.</w:t>
      </w:r>
    </w:p>
    <w:p w:rsidR="000C1A8F" w:rsidRPr="00D617C9" w:rsidRDefault="000C1A8F" w:rsidP="000C1A8F">
      <w:pPr>
        <w:autoSpaceDE w:val="0"/>
        <w:autoSpaceDN w:val="0"/>
        <w:adjustRightInd w:val="0"/>
        <w:rPr>
          <w:rFonts w:cs="Arial"/>
          <w:sz w:val="24"/>
          <w:szCs w:val="24"/>
        </w:rPr>
      </w:pPr>
    </w:p>
    <w:p w:rsidR="006C247B" w:rsidRPr="00D617C9" w:rsidRDefault="006C247B" w:rsidP="000C1A8F">
      <w:pPr>
        <w:autoSpaceDE w:val="0"/>
        <w:autoSpaceDN w:val="0"/>
        <w:adjustRightInd w:val="0"/>
        <w:rPr>
          <w:rFonts w:cs="Arial"/>
          <w:sz w:val="24"/>
          <w:szCs w:val="24"/>
        </w:rPr>
      </w:pPr>
    </w:p>
    <w:p w:rsidR="000C1A8F" w:rsidRPr="00D617C9" w:rsidRDefault="000C1A8F" w:rsidP="002D4890">
      <w:pPr>
        <w:pStyle w:val="Titolo1"/>
        <w:numPr>
          <w:ilvl w:val="0"/>
          <w:numId w:val="18"/>
        </w:numPr>
        <w:tabs>
          <w:tab w:val="left" w:pos="567"/>
        </w:tabs>
        <w:spacing w:before="0"/>
        <w:ind w:left="567" w:hanging="567"/>
        <w:jc w:val="both"/>
        <w:rPr>
          <w:rFonts w:cs="Arial"/>
          <w:sz w:val="24"/>
          <w:szCs w:val="24"/>
        </w:rPr>
      </w:pPr>
      <w:r w:rsidRPr="00D617C9">
        <w:rPr>
          <w:rFonts w:cs="Arial"/>
          <w:sz w:val="24"/>
          <w:szCs w:val="24"/>
        </w:rPr>
        <w:t>PARERE DELLA COMMISSIONE</w:t>
      </w:r>
    </w:p>
    <w:p w:rsidR="000C1A8F" w:rsidRPr="00D617C9" w:rsidRDefault="000C1A8F" w:rsidP="000C1A8F">
      <w:pPr>
        <w:autoSpaceDE w:val="0"/>
        <w:autoSpaceDN w:val="0"/>
        <w:adjustRightInd w:val="0"/>
        <w:rPr>
          <w:rFonts w:cs="Arial"/>
          <w:sz w:val="24"/>
          <w:szCs w:val="24"/>
        </w:rPr>
      </w:pPr>
      <w:r w:rsidRPr="00D617C9">
        <w:rPr>
          <w:rFonts w:cs="Arial"/>
          <w:sz w:val="24"/>
          <w:szCs w:val="24"/>
        </w:rPr>
        <w:t>La</w:t>
      </w:r>
      <w:r w:rsidR="002D4890">
        <w:rPr>
          <w:rFonts w:cs="Arial"/>
          <w:sz w:val="24"/>
          <w:szCs w:val="24"/>
        </w:rPr>
        <w:t xml:space="preserve"> C</w:t>
      </w:r>
      <w:r w:rsidRPr="00D617C9">
        <w:rPr>
          <w:rFonts w:cs="Arial"/>
          <w:sz w:val="24"/>
          <w:szCs w:val="24"/>
        </w:rPr>
        <w:t xml:space="preserve">ommissione </w:t>
      </w:r>
      <w:r w:rsidR="002D4890">
        <w:rPr>
          <w:rFonts w:cs="Arial"/>
          <w:sz w:val="24"/>
          <w:szCs w:val="24"/>
        </w:rPr>
        <w:t xml:space="preserve">formazione e cultura </w:t>
      </w:r>
      <w:r w:rsidRPr="00D617C9">
        <w:rPr>
          <w:rFonts w:cs="Arial"/>
          <w:sz w:val="24"/>
          <w:szCs w:val="24"/>
        </w:rPr>
        <w:t>concorda con le considerazioni espresse nel</w:t>
      </w:r>
      <w:r w:rsidR="002D4890">
        <w:rPr>
          <w:rFonts w:cs="Arial"/>
          <w:sz w:val="24"/>
          <w:szCs w:val="24"/>
        </w:rPr>
        <w:t xml:space="preserve"> m</w:t>
      </w:r>
      <w:r w:rsidRPr="00D617C9">
        <w:rPr>
          <w:rFonts w:cs="Arial"/>
          <w:sz w:val="24"/>
          <w:szCs w:val="24"/>
        </w:rPr>
        <w:t xml:space="preserve">essaggio governativo, ricordando che nel frattempo (il 17 dicembre 2020) è stato approvato, con 50 voti favorevoli, 20 voti contrari e nessun astenuto, </w:t>
      </w:r>
      <w:r w:rsidR="002D4890">
        <w:rPr>
          <w:rFonts w:cs="Arial"/>
          <w:sz w:val="24"/>
          <w:szCs w:val="24"/>
        </w:rPr>
        <w:t>il m</w:t>
      </w:r>
      <w:r w:rsidRPr="00D617C9">
        <w:rPr>
          <w:rFonts w:cs="Arial"/>
          <w:sz w:val="24"/>
          <w:szCs w:val="24"/>
        </w:rPr>
        <w:t xml:space="preserve">essaggio </w:t>
      </w:r>
      <w:r w:rsidR="002D4890">
        <w:rPr>
          <w:rFonts w:cs="Arial"/>
          <w:sz w:val="24"/>
          <w:szCs w:val="24"/>
        </w:rPr>
        <w:t xml:space="preserve">n. </w:t>
      </w:r>
      <w:r w:rsidRPr="00D617C9">
        <w:rPr>
          <w:rFonts w:cs="Arial"/>
          <w:sz w:val="24"/>
          <w:szCs w:val="24"/>
        </w:rPr>
        <w:t xml:space="preserve">7830 sulla politica universitaria e i contratti di prestazioni 2021-2024 “Politica universitaria cantonale 2021-2024: Università della Svizzera italiana, Scuola universitaria professionale della Svizzera italiana, Dipartimento formazione e apprendimento e accordi </w:t>
      </w:r>
      <w:proofErr w:type="spellStart"/>
      <w:r w:rsidRPr="00D617C9">
        <w:rPr>
          <w:rFonts w:cs="Arial"/>
          <w:sz w:val="24"/>
          <w:szCs w:val="24"/>
        </w:rPr>
        <w:t>intercantonali</w:t>
      </w:r>
      <w:proofErr w:type="spellEnd"/>
      <w:r w:rsidRPr="00D617C9">
        <w:rPr>
          <w:rFonts w:cs="Arial"/>
          <w:sz w:val="24"/>
          <w:szCs w:val="24"/>
        </w:rPr>
        <w:t xml:space="preserve"> del settore universitario”.</w:t>
      </w:r>
    </w:p>
    <w:p w:rsidR="000C1A8F" w:rsidRPr="00D617C9" w:rsidRDefault="000C1A8F" w:rsidP="000C1A8F">
      <w:pPr>
        <w:autoSpaceDE w:val="0"/>
        <w:autoSpaceDN w:val="0"/>
        <w:adjustRightInd w:val="0"/>
        <w:rPr>
          <w:rFonts w:cs="Arial"/>
          <w:sz w:val="24"/>
          <w:szCs w:val="24"/>
        </w:rPr>
      </w:pPr>
    </w:p>
    <w:p w:rsidR="000C1A8F" w:rsidRPr="00D617C9" w:rsidRDefault="000C1A8F" w:rsidP="00B95DF8">
      <w:pPr>
        <w:rPr>
          <w:rFonts w:cs="Arial"/>
          <w:sz w:val="24"/>
          <w:szCs w:val="24"/>
        </w:rPr>
      </w:pPr>
      <w:r w:rsidRPr="00D617C9">
        <w:rPr>
          <w:rFonts w:cs="Arial"/>
          <w:sz w:val="24"/>
          <w:szCs w:val="24"/>
        </w:rPr>
        <w:t>Va ricordato che nel quadriennio 2021-2024 la spesa totale del Cantone per il settore universitario ammonta a 695.47 milioni di franchi, così suddivisi:</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257.17 milioni per contributi a università fuori cantone e a SUP fuori cantone (per i nostri studenti),</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181.72 milioni per Studenti ticinesi a USI e SUPSI (DFA compreso),</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 xml:space="preserve">100.26 milioni per contributi di gestione all’USI, </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80.58 milioni per contributi di gestione alla SUPSI,</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21.43 milioni per contributi di gestione al DFA,24 milioni di contributi per la Facoltà di scienze biomediche,</w:t>
      </w:r>
    </w:p>
    <w:p w:rsidR="000C1A8F" w:rsidRPr="002D4890" w:rsidRDefault="000C1A8F" w:rsidP="00B95DF8">
      <w:pPr>
        <w:pStyle w:val="Paragrafoelenco"/>
        <w:numPr>
          <w:ilvl w:val="0"/>
          <w:numId w:val="19"/>
        </w:numPr>
        <w:spacing w:before="120"/>
        <w:ind w:left="284" w:hanging="284"/>
        <w:contextualSpacing w:val="0"/>
        <w:rPr>
          <w:rFonts w:cs="Arial"/>
          <w:sz w:val="24"/>
          <w:szCs w:val="24"/>
        </w:rPr>
      </w:pPr>
      <w:r w:rsidRPr="002D4890">
        <w:rPr>
          <w:rFonts w:cs="Arial"/>
          <w:sz w:val="24"/>
          <w:szCs w:val="24"/>
        </w:rPr>
        <w:t xml:space="preserve">30.3 milioni per i contributi di infrastruttura. </w:t>
      </w:r>
    </w:p>
    <w:p w:rsidR="000C1A8F" w:rsidRPr="00D617C9" w:rsidRDefault="000C1A8F" w:rsidP="00B95DF8">
      <w:pPr>
        <w:autoSpaceDE w:val="0"/>
        <w:autoSpaceDN w:val="0"/>
        <w:adjustRightInd w:val="0"/>
        <w:rPr>
          <w:rFonts w:cs="Arial"/>
          <w:sz w:val="24"/>
          <w:szCs w:val="24"/>
        </w:rPr>
      </w:pPr>
    </w:p>
    <w:p w:rsidR="000C1A8F" w:rsidRPr="00D617C9" w:rsidRDefault="000C1A8F" w:rsidP="000C1A8F">
      <w:pPr>
        <w:autoSpaceDE w:val="0"/>
        <w:autoSpaceDN w:val="0"/>
        <w:adjustRightInd w:val="0"/>
        <w:rPr>
          <w:rFonts w:cs="Arial"/>
          <w:sz w:val="24"/>
          <w:szCs w:val="24"/>
        </w:rPr>
      </w:pPr>
      <w:r w:rsidRPr="00D617C9">
        <w:rPr>
          <w:rFonts w:cs="Arial"/>
          <w:sz w:val="24"/>
          <w:szCs w:val="24"/>
        </w:rPr>
        <w:t>La politica universitaria del Cantone è dunque stata approvata dal Gran Consiglio.</w:t>
      </w:r>
    </w:p>
    <w:p w:rsidR="006C247B" w:rsidRDefault="006C247B" w:rsidP="000C1A8F">
      <w:pPr>
        <w:autoSpaceDE w:val="0"/>
        <w:autoSpaceDN w:val="0"/>
        <w:adjustRightInd w:val="0"/>
        <w:rPr>
          <w:rFonts w:cs="Arial"/>
          <w:sz w:val="24"/>
          <w:szCs w:val="24"/>
        </w:rPr>
      </w:pPr>
    </w:p>
    <w:p w:rsidR="000C1A8F" w:rsidRPr="00D617C9" w:rsidRDefault="000C1A8F" w:rsidP="000C1A8F">
      <w:pPr>
        <w:autoSpaceDE w:val="0"/>
        <w:autoSpaceDN w:val="0"/>
        <w:adjustRightInd w:val="0"/>
        <w:rPr>
          <w:rFonts w:cs="Arial"/>
          <w:sz w:val="24"/>
          <w:szCs w:val="24"/>
        </w:rPr>
      </w:pPr>
      <w:r w:rsidRPr="00D617C9">
        <w:rPr>
          <w:rFonts w:cs="Arial"/>
          <w:sz w:val="24"/>
          <w:szCs w:val="24"/>
        </w:rPr>
        <w:t xml:space="preserve">In essa, anche la ricerca di base occupa un posto importante, </w:t>
      </w:r>
      <w:r w:rsidR="001537F3">
        <w:rPr>
          <w:rFonts w:cs="Arial"/>
          <w:sz w:val="24"/>
          <w:szCs w:val="24"/>
        </w:rPr>
        <w:t>vedi il m</w:t>
      </w:r>
      <w:r w:rsidRPr="00D617C9">
        <w:rPr>
          <w:rFonts w:cs="Arial"/>
          <w:sz w:val="24"/>
          <w:szCs w:val="24"/>
        </w:rPr>
        <w:t>essaggio alla pagina 21 per quanto riguarda USI e istituti affiliati:</w:t>
      </w:r>
    </w:p>
    <w:p w:rsidR="006C247B" w:rsidRDefault="006C247B" w:rsidP="000C1A8F">
      <w:pPr>
        <w:autoSpaceDE w:val="0"/>
        <w:autoSpaceDN w:val="0"/>
        <w:adjustRightInd w:val="0"/>
        <w:rPr>
          <w:rFonts w:cs="Arial"/>
          <w:sz w:val="24"/>
          <w:szCs w:val="24"/>
        </w:rPr>
      </w:pPr>
    </w:p>
    <w:p w:rsidR="000C1A8F" w:rsidRPr="00D617C9" w:rsidRDefault="006C247B" w:rsidP="006C247B">
      <w:pPr>
        <w:rPr>
          <w:rFonts w:cs="Arial"/>
          <w:sz w:val="24"/>
          <w:szCs w:val="24"/>
        </w:rPr>
      </w:pPr>
      <w:r>
        <w:rPr>
          <w:rFonts w:cs="Arial"/>
          <w:sz w:val="24"/>
          <w:szCs w:val="24"/>
        </w:rPr>
        <w:br w:type="page"/>
      </w:r>
    </w:p>
    <w:p w:rsidR="000C1A8F" w:rsidRDefault="000C1A8F" w:rsidP="000C1A8F">
      <w:pPr>
        <w:rPr>
          <w:rFonts w:cs="Arial"/>
          <w:b/>
          <w:noProof/>
          <w:sz w:val="24"/>
          <w:szCs w:val="24"/>
          <w:lang w:eastAsia="it-CH"/>
        </w:rPr>
      </w:pPr>
      <w:r w:rsidRPr="00D617C9">
        <w:rPr>
          <w:rFonts w:cs="Arial"/>
          <w:b/>
          <w:noProof/>
          <w:sz w:val="24"/>
          <w:szCs w:val="24"/>
          <w:lang w:eastAsia="it-CH"/>
        </w:rPr>
        <w:lastRenderedPageBreak/>
        <w:t>Evoluzione del conto economico USI (in milioni di franchi)</w:t>
      </w:r>
    </w:p>
    <w:p w:rsidR="002D4890" w:rsidRPr="00B95DF8" w:rsidRDefault="002D4890" w:rsidP="000C1A8F">
      <w:pPr>
        <w:rPr>
          <w:rFonts w:cs="Arial"/>
          <w:noProof/>
          <w:sz w:val="24"/>
          <w:szCs w:val="24"/>
          <w:lang w:eastAsia="it-CH"/>
        </w:rPr>
      </w:pPr>
    </w:p>
    <w:tbl>
      <w:tblPr>
        <w:tblW w:w="9870" w:type="dxa"/>
        <w:tblInd w:w="56" w:type="dxa"/>
        <w:tblLayout w:type="fixed"/>
        <w:tblCellMar>
          <w:left w:w="70" w:type="dxa"/>
          <w:right w:w="70" w:type="dxa"/>
        </w:tblCellMar>
        <w:tblLook w:val="04A0" w:firstRow="1" w:lastRow="0" w:firstColumn="1" w:lastColumn="0" w:noHBand="0" w:noVBand="1"/>
      </w:tblPr>
      <w:tblGrid>
        <w:gridCol w:w="3774"/>
        <w:gridCol w:w="851"/>
        <w:gridCol w:w="851"/>
        <w:gridCol w:w="850"/>
        <w:gridCol w:w="992"/>
        <w:gridCol w:w="851"/>
        <w:gridCol w:w="850"/>
        <w:gridCol w:w="851"/>
      </w:tblGrid>
      <w:tr w:rsidR="000C1A8F" w:rsidRPr="000431AE" w:rsidTr="00287F4D">
        <w:trPr>
          <w:trHeight w:val="510"/>
        </w:trPr>
        <w:tc>
          <w:tcPr>
            <w:tcW w:w="3772" w:type="dxa"/>
            <w:noWrap/>
            <w:vAlign w:val="bottom"/>
            <w:hideMark/>
          </w:tcPr>
          <w:p w:rsidR="000C1A8F" w:rsidRPr="000431AE" w:rsidRDefault="000C1A8F" w:rsidP="00287F4D">
            <w:pPr>
              <w:jc w:val="left"/>
              <w:rPr>
                <w:rFonts w:asciiTheme="minorHAnsi" w:hAnsiTheme="minorHAnsi" w:cstheme="minorHAnsi"/>
                <w:b/>
                <w:bCs/>
                <w:lang w:eastAsia="it-CH"/>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1A8F" w:rsidRPr="000431AE" w:rsidRDefault="000C1A8F" w:rsidP="00287F4D">
            <w:pPr>
              <w:jc w:val="center"/>
              <w:rPr>
                <w:rFonts w:asciiTheme="minorHAnsi" w:hAnsiTheme="minorHAnsi" w:cstheme="minorHAnsi"/>
                <w:b/>
                <w:bCs/>
                <w:lang w:eastAsia="it-CH"/>
              </w:rPr>
            </w:pPr>
            <w:r w:rsidRPr="000431AE">
              <w:rPr>
                <w:rFonts w:asciiTheme="minorHAnsi" w:hAnsiTheme="minorHAnsi" w:cstheme="minorHAnsi"/>
                <w:b/>
                <w:bCs/>
                <w:lang w:eastAsia="it-CH"/>
              </w:rPr>
              <w:t>C2018</w:t>
            </w:r>
          </w:p>
        </w:tc>
        <w:tc>
          <w:tcPr>
            <w:tcW w:w="851" w:type="dxa"/>
            <w:tcBorders>
              <w:top w:val="single" w:sz="4" w:space="0" w:color="auto"/>
              <w:left w:val="nil"/>
              <w:bottom w:val="nil"/>
              <w:right w:val="single" w:sz="4" w:space="0" w:color="auto"/>
            </w:tcBorders>
            <w:noWrap/>
            <w:vAlign w:val="center"/>
            <w:hideMark/>
          </w:tcPr>
          <w:p w:rsidR="000C1A8F" w:rsidRPr="000431AE" w:rsidRDefault="000C1A8F" w:rsidP="00287F4D">
            <w:pPr>
              <w:jc w:val="center"/>
              <w:rPr>
                <w:rFonts w:asciiTheme="minorHAnsi" w:hAnsiTheme="minorHAnsi" w:cstheme="minorHAnsi"/>
                <w:b/>
                <w:bCs/>
                <w:lang w:eastAsia="it-CH"/>
              </w:rPr>
            </w:pPr>
            <w:r w:rsidRPr="000431AE">
              <w:rPr>
                <w:rFonts w:asciiTheme="minorHAnsi" w:hAnsiTheme="minorHAnsi" w:cstheme="minorHAnsi"/>
                <w:b/>
                <w:bCs/>
                <w:lang w:eastAsia="it-CH"/>
              </w:rPr>
              <w:t>C2019</w:t>
            </w:r>
          </w:p>
        </w:tc>
        <w:tc>
          <w:tcPr>
            <w:tcW w:w="850" w:type="dxa"/>
            <w:tcBorders>
              <w:top w:val="single" w:sz="4" w:space="0" w:color="auto"/>
              <w:left w:val="nil"/>
              <w:bottom w:val="single" w:sz="4" w:space="0" w:color="auto"/>
              <w:right w:val="single" w:sz="4" w:space="0" w:color="auto"/>
            </w:tcBorders>
            <w:noWrap/>
            <w:vAlign w:val="center"/>
            <w:hideMark/>
          </w:tcPr>
          <w:p w:rsidR="000C1A8F" w:rsidRPr="000431AE" w:rsidRDefault="000C1A8F" w:rsidP="00287F4D">
            <w:pPr>
              <w:jc w:val="center"/>
              <w:rPr>
                <w:rFonts w:asciiTheme="minorHAnsi" w:hAnsiTheme="minorHAnsi" w:cstheme="minorHAnsi"/>
                <w:b/>
                <w:bCs/>
                <w:lang w:eastAsia="it-CH"/>
              </w:rPr>
            </w:pPr>
            <w:r w:rsidRPr="000431AE">
              <w:rPr>
                <w:rFonts w:asciiTheme="minorHAnsi" w:hAnsiTheme="minorHAnsi" w:cstheme="minorHAnsi"/>
                <w:b/>
                <w:bCs/>
                <w:lang w:eastAsia="it-CH"/>
              </w:rPr>
              <w:t>P2020</w:t>
            </w:r>
          </w:p>
        </w:tc>
        <w:tc>
          <w:tcPr>
            <w:tcW w:w="992" w:type="dxa"/>
            <w:tcBorders>
              <w:top w:val="single" w:sz="4" w:space="0" w:color="auto"/>
              <w:left w:val="nil"/>
              <w:bottom w:val="single" w:sz="4" w:space="0" w:color="auto"/>
              <w:right w:val="single" w:sz="4" w:space="0" w:color="auto"/>
            </w:tcBorders>
            <w:noWrap/>
            <w:vAlign w:val="center"/>
            <w:hideMark/>
          </w:tcPr>
          <w:p w:rsidR="000C1A8F" w:rsidRPr="000431AE" w:rsidRDefault="000C1A8F" w:rsidP="00287F4D">
            <w:pPr>
              <w:jc w:val="center"/>
              <w:rPr>
                <w:rFonts w:asciiTheme="minorHAnsi" w:hAnsiTheme="minorHAnsi" w:cstheme="minorHAnsi"/>
                <w:b/>
                <w:bCs/>
                <w:lang w:eastAsia="it-CH"/>
              </w:rPr>
            </w:pPr>
            <w:r w:rsidRPr="000431AE">
              <w:rPr>
                <w:rFonts w:asciiTheme="minorHAnsi" w:hAnsiTheme="minorHAnsi" w:cstheme="minorHAnsi"/>
                <w:b/>
                <w:bCs/>
                <w:lang w:eastAsia="it-CH"/>
              </w:rPr>
              <w:t>PF 2021</w:t>
            </w:r>
          </w:p>
        </w:tc>
        <w:tc>
          <w:tcPr>
            <w:tcW w:w="851" w:type="dxa"/>
            <w:tcBorders>
              <w:top w:val="single" w:sz="4" w:space="0" w:color="auto"/>
              <w:left w:val="nil"/>
              <w:bottom w:val="single" w:sz="4" w:space="0" w:color="auto"/>
              <w:right w:val="single" w:sz="4" w:space="0" w:color="auto"/>
            </w:tcBorders>
            <w:noWrap/>
            <w:vAlign w:val="center"/>
            <w:hideMark/>
          </w:tcPr>
          <w:p w:rsidR="000C1A8F" w:rsidRPr="000431AE" w:rsidRDefault="000C1A8F" w:rsidP="00B95DF8">
            <w:pPr>
              <w:spacing w:after="40"/>
              <w:jc w:val="center"/>
              <w:rPr>
                <w:rFonts w:asciiTheme="minorHAnsi" w:hAnsiTheme="minorHAnsi" w:cstheme="minorHAnsi"/>
                <w:b/>
                <w:bCs/>
                <w:lang w:eastAsia="it-CH"/>
              </w:rPr>
            </w:pPr>
            <w:r w:rsidRPr="000431AE">
              <w:rPr>
                <w:rFonts w:asciiTheme="minorHAnsi" w:hAnsiTheme="minorHAnsi" w:cstheme="minorHAnsi"/>
                <w:b/>
                <w:bCs/>
                <w:lang w:eastAsia="it-CH"/>
              </w:rPr>
              <w:t>PF 2022</w:t>
            </w:r>
          </w:p>
        </w:tc>
        <w:tc>
          <w:tcPr>
            <w:tcW w:w="850" w:type="dxa"/>
            <w:tcBorders>
              <w:top w:val="single" w:sz="4" w:space="0" w:color="auto"/>
              <w:left w:val="nil"/>
              <w:bottom w:val="single" w:sz="4" w:space="0" w:color="auto"/>
              <w:right w:val="single" w:sz="4" w:space="0" w:color="auto"/>
            </w:tcBorders>
            <w:vAlign w:val="center"/>
            <w:hideMark/>
          </w:tcPr>
          <w:p w:rsidR="000C1A8F" w:rsidRPr="000431AE" w:rsidRDefault="000C1A8F" w:rsidP="00B95DF8">
            <w:pPr>
              <w:spacing w:after="40"/>
              <w:jc w:val="center"/>
              <w:rPr>
                <w:rFonts w:asciiTheme="minorHAnsi" w:hAnsiTheme="minorHAnsi" w:cstheme="minorHAnsi"/>
                <w:b/>
                <w:bCs/>
                <w:lang w:eastAsia="it-CH"/>
              </w:rPr>
            </w:pPr>
            <w:r w:rsidRPr="000431AE">
              <w:rPr>
                <w:rFonts w:asciiTheme="minorHAnsi" w:hAnsiTheme="minorHAnsi" w:cstheme="minorHAnsi"/>
                <w:b/>
                <w:bCs/>
                <w:iCs/>
                <w:lang w:eastAsia="it-CH"/>
              </w:rPr>
              <w:t>PF 2023</w:t>
            </w:r>
          </w:p>
        </w:tc>
        <w:tc>
          <w:tcPr>
            <w:tcW w:w="851" w:type="dxa"/>
            <w:tcBorders>
              <w:top w:val="single" w:sz="4" w:space="0" w:color="auto"/>
              <w:left w:val="nil"/>
              <w:bottom w:val="single" w:sz="4" w:space="0" w:color="auto"/>
              <w:right w:val="single" w:sz="4" w:space="0" w:color="auto"/>
            </w:tcBorders>
            <w:vAlign w:val="center"/>
            <w:hideMark/>
          </w:tcPr>
          <w:p w:rsidR="000C1A8F" w:rsidRPr="000431AE" w:rsidRDefault="000C1A8F" w:rsidP="00B95DF8">
            <w:pPr>
              <w:spacing w:after="40"/>
              <w:jc w:val="center"/>
              <w:rPr>
                <w:rFonts w:asciiTheme="minorHAnsi" w:hAnsiTheme="minorHAnsi" w:cstheme="minorHAnsi"/>
                <w:b/>
                <w:bCs/>
                <w:color w:val="000000"/>
                <w:lang w:eastAsia="it-CH"/>
              </w:rPr>
            </w:pPr>
            <w:r w:rsidRPr="000431AE">
              <w:rPr>
                <w:rFonts w:asciiTheme="minorHAnsi" w:hAnsiTheme="minorHAnsi" w:cstheme="minorHAnsi"/>
                <w:b/>
                <w:bCs/>
                <w:color w:val="000000"/>
                <w:lang w:eastAsia="it-CH"/>
              </w:rPr>
              <w:t>PF 2024</w:t>
            </w:r>
          </w:p>
        </w:tc>
      </w:tr>
      <w:tr w:rsidR="000C1A8F" w:rsidRPr="000431AE" w:rsidTr="00287F4D">
        <w:trPr>
          <w:trHeight w:val="255"/>
        </w:trPr>
        <w:tc>
          <w:tcPr>
            <w:tcW w:w="3772" w:type="dxa"/>
            <w:tcBorders>
              <w:top w:val="single" w:sz="4" w:space="0" w:color="auto"/>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Contributo federale LPSU insegnamento</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20.05</w:t>
            </w:r>
          </w:p>
        </w:tc>
        <w:tc>
          <w:tcPr>
            <w:tcW w:w="851" w:type="dxa"/>
            <w:tcBorders>
              <w:top w:val="single" w:sz="4" w:space="0" w:color="auto"/>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20.13</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20.94</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21.23</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22.17</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Cs/>
                <w:lang w:eastAsia="it-CH"/>
              </w:rPr>
            </w:pPr>
            <w:r w:rsidRPr="000431AE">
              <w:rPr>
                <w:rFonts w:asciiTheme="minorHAnsi" w:hAnsiTheme="minorHAnsi" w:cstheme="minorHAnsi"/>
                <w:bCs/>
                <w:lang w:eastAsia="it-CH"/>
              </w:rPr>
              <w:t>23.11</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Cs/>
                <w:color w:val="000000"/>
                <w:lang w:eastAsia="it-CH"/>
              </w:rPr>
            </w:pPr>
            <w:r w:rsidRPr="000431AE">
              <w:rPr>
                <w:rFonts w:asciiTheme="minorHAnsi" w:hAnsiTheme="minorHAnsi" w:cstheme="minorHAnsi"/>
                <w:bCs/>
                <w:color w:val="000000"/>
                <w:lang w:eastAsia="it-CH"/>
              </w:rPr>
              <w:t>23.33</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bCs/>
                <w:lang w:eastAsia="it-CH"/>
              </w:rPr>
              <w:t>Contributo federale LPSU ricerca USI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4.81</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5.82</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5.26</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5.94</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6.58</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7.09</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7.52</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Contributo federale LPSU ricerca IOR</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0.79</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1.16</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1.05</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1.10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1.16</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1.22</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1.28</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Contributo federale LPSU ricerca IRB</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2.37</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2.17</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2.50</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2.30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2.10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2.10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2.10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Contributo AIU studenti altri Cantoni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2.58</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3.13</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4.49</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6.55</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8.79</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11.03</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11.40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 xml:space="preserve">Contributo Cantone studenti ticinesi </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9.88</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10.45</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9.44</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11.03</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12.10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13.17</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13.09</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4B208F">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Contributo di gestione Cantone</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18.81</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18.92</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18.92</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20.03</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20.68</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21.35</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21.35</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4B208F">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Contributo infrastruttura Cantone</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0.19</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0.19</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0.19</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0.19</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Contributo Cantone manutenzione campus Lugano-</w:t>
            </w:r>
            <w:proofErr w:type="spellStart"/>
            <w:r w:rsidRPr="000431AE">
              <w:rPr>
                <w:rFonts w:asciiTheme="minorHAnsi" w:hAnsiTheme="minorHAnsi" w:cstheme="minorHAnsi"/>
                <w:lang w:eastAsia="it-CH"/>
              </w:rPr>
              <w:t>Viganello</w:t>
            </w:r>
            <w:proofErr w:type="spellEnd"/>
            <w:r w:rsidRPr="000431AE">
              <w:rPr>
                <w:rFonts w:asciiTheme="minorHAnsi" w:hAnsiTheme="minorHAnsi" w:cstheme="minorHAnsi"/>
                <w:lang w:eastAsia="it-CH"/>
              </w:rPr>
              <w:t xml:space="preserve"> </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0.42</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0.45</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0.49</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lang w:eastAsia="it-CH"/>
              </w:rPr>
            </w:pPr>
            <w:r w:rsidRPr="000431AE">
              <w:rPr>
                <w:rFonts w:asciiTheme="minorHAnsi" w:hAnsiTheme="minorHAnsi" w:cstheme="minorHAnsi"/>
                <w:lang w:eastAsia="it-CH"/>
              </w:rPr>
              <w:t>0.47</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Contributo aggiuntivo Cantone</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0.49</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0.70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0.70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4B208F">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Contributi Cantone IOR</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0.65</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0.75</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0.75</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1.02</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1.04</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1.06</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1.06</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Contributi Cantone IRB</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2.19</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2.08</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2.08</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2.26</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2.31</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2.37</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2.37</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4B208F">
            <w:pPr>
              <w:spacing w:before="40" w:after="40"/>
              <w:jc w:val="left"/>
              <w:rPr>
                <w:rFonts w:asciiTheme="minorHAnsi" w:hAnsiTheme="minorHAnsi" w:cstheme="minorHAnsi"/>
                <w:lang w:eastAsia="it-CH"/>
              </w:rPr>
            </w:pPr>
            <w:r w:rsidRPr="000431AE">
              <w:rPr>
                <w:rFonts w:asciiTheme="minorHAnsi" w:hAnsiTheme="minorHAnsi" w:cstheme="minorHAnsi"/>
                <w:lang w:eastAsia="it-CH"/>
              </w:rPr>
              <w:t>Contributi Cantone altri affiliati e associati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w:t>
            </w:r>
          </w:p>
        </w:tc>
        <w:tc>
          <w:tcPr>
            <w:tcW w:w="992"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0.33</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0.38</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0.38</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0.38</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4B208F">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Contributo Cantone BMED</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1.00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1.50</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3.00</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6.00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6.00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6.00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6.00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Tasse frequenza</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13.42</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14.10</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14.94</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15.39</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16.71</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17.43</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17.59</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Cs/>
                <w:lang w:eastAsia="it-CH"/>
              </w:rPr>
            </w:pPr>
            <w:r w:rsidRPr="000431AE">
              <w:rPr>
                <w:rFonts w:asciiTheme="minorHAnsi" w:hAnsiTheme="minorHAnsi" w:cstheme="minorHAnsi"/>
                <w:bCs/>
                <w:lang w:eastAsia="it-CH"/>
              </w:rPr>
              <w:t>Progetti di ricerca</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12.00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12.00</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14.00</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14.90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15.70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16.70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17.40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proofErr w:type="spellStart"/>
            <w:r w:rsidRPr="000431AE">
              <w:rPr>
                <w:rFonts w:asciiTheme="minorHAnsi" w:hAnsiTheme="minorHAnsi" w:cstheme="minorHAnsi"/>
                <w:lang w:eastAsia="it-CH"/>
              </w:rPr>
              <w:t>Overhead</w:t>
            </w:r>
            <w:proofErr w:type="spellEnd"/>
            <w:r w:rsidRPr="000431AE">
              <w:rPr>
                <w:rFonts w:asciiTheme="minorHAnsi" w:hAnsiTheme="minorHAnsi" w:cstheme="minorHAnsi"/>
                <w:lang w:eastAsia="it-CH"/>
              </w:rPr>
              <w:t xml:space="preserve"> progetti di ricerca USI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0.69</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0.68</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1.60</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1.66</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1.67</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1.74</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1.80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proofErr w:type="spellStart"/>
            <w:r w:rsidRPr="000431AE">
              <w:rPr>
                <w:rFonts w:asciiTheme="minorHAnsi" w:hAnsiTheme="minorHAnsi" w:cstheme="minorHAnsi"/>
                <w:lang w:eastAsia="it-CH"/>
              </w:rPr>
              <w:t>Overhead</w:t>
            </w:r>
            <w:proofErr w:type="spellEnd"/>
            <w:r w:rsidRPr="000431AE">
              <w:rPr>
                <w:rFonts w:asciiTheme="minorHAnsi" w:hAnsiTheme="minorHAnsi" w:cstheme="minorHAnsi"/>
                <w:lang w:eastAsia="it-CH"/>
              </w:rPr>
              <w:t xml:space="preserve"> FNRS progetti di ricerca IOR</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0.07</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0.09</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0.20</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proofErr w:type="spellStart"/>
            <w:r w:rsidRPr="000431AE">
              <w:rPr>
                <w:rFonts w:asciiTheme="minorHAnsi" w:hAnsiTheme="minorHAnsi" w:cstheme="minorHAnsi"/>
                <w:lang w:eastAsia="it-CH"/>
              </w:rPr>
              <w:t>Overhead</w:t>
            </w:r>
            <w:proofErr w:type="spellEnd"/>
            <w:r w:rsidRPr="000431AE">
              <w:rPr>
                <w:rFonts w:asciiTheme="minorHAnsi" w:hAnsiTheme="minorHAnsi" w:cstheme="minorHAnsi"/>
                <w:lang w:eastAsia="it-CH"/>
              </w:rPr>
              <w:t xml:space="preserve"> FNRS progetti di ricerca IRB</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0.50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0.24</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0.30</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0.30</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0.30</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lang w:eastAsia="it-CH"/>
              </w:rPr>
            </w:pPr>
            <w:r w:rsidRPr="000431AE">
              <w:rPr>
                <w:rFonts w:asciiTheme="minorHAnsi" w:hAnsiTheme="minorHAnsi" w:cstheme="minorHAnsi"/>
                <w:lang w:eastAsia="it-CH"/>
              </w:rPr>
              <w:t>Ricavi diversi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17.08</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9.36</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8.31</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5.04</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4.87</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4.80</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color w:val="000000"/>
                <w:lang w:eastAsia="it-CH"/>
              </w:rPr>
            </w:pPr>
            <w:r w:rsidRPr="000431AE">
              <w:rPr>
                <w:rFonts w:asciiTheme="minorHAnsi" w:hAnsiTheme="minorHAnsi" w:cstheme="minorHAnsi"/>
                <w:color w:val="000000"/>
                <w:lang w:eastAsia="it-CH"/>
              </w:rPr>
              <w:t>4.83</w:t>
            </w:r>
          </w:p>
        </w:tc>
      </w:tr>
      <w:tr w:rsidR="000C1A8F" w:rsidRPr="000431AE" w:rsidTr="00287F4D">
        <w:trPr>
          <w:trHeight w:val="255"/>
        </w:trPr>
        <w:tc>
          <w:tcPr>
            <w:tcW w:w="3772" w:type="dxa"/>
            <w:tcBorders>
              <w:top w:val="nil"/>
              <w:left w:val="single" w:sz="4" w:space="0" w:color="auto"/>
              <w:bottom w:val="single" w:sz="4" w:space="0" w:color="auto"/>
              <w:right w:val="single" w:sz="4" w:space="0" w:color="auto"/>
            </w:tcBorders>
            <w:noWrap/>
            <w:vAlign w:val="bottom"/>
            <w:hideMark/>
          </w:tcPr>
          <w:p w:rsidR="000C1A8F" w:rsidRPr="000431AE" w:rsidRDefault="000C1A8F" w:rsidP="00B95DF8">
            <w:pPr>
              <w:spacing w:before="40" w:after="40"/>
              <w:jc w:val="left"/>
              <w:rPr>
                <w:rFonts w:asciiTheme="minorHAnsi" w:hAnsiTheme="minorHAnsi" w:cstheme="minorHAnsi"/>
                <w:b/>
                <w:lang w:eastAsia="it-CH"/>
              </w:rPr>
            </w:pPr>
            <w:r w:rsidRPr="000431AE">
              <w:rPr>
                <w:rFonts w:asciiTheme="minorHAnsi" w:hAnsiTheme="minorHAnsi" w:cstheme="minorHAnsi"/>
                <w:b/>
                <w:lang w:eastAsia="it-CH"/>
              </w:rPr>
              <w:t>Totale ricavi</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106.89</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102.59</w:t>
            </w:r>
          </w:p>
        </w:tc>
        <w:tc>
          <w:tcPr>
            <w:tcW w:w="850"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107.78</w:t>
            </w:r>
          </w:p>
        </w:tc>
        <w:tc>
          <w:tcPr>
            <w:tcW w:w="992"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116.36</w:t>
            </w:r>
          </w:p>
        </w:tc>
        <w:tc>
          <w:tcPr>
            <w:tcW w:w="851" w:type="dxa"/>
            <w:tcBorders>
              <w:top w:val="nil"/>
              <w:left w:val="nil"/>
              <w:bottom w:val="single" w:sz="4" w:space="0" w:color="auto"/>
              <w:right w:val="single" w:sz="4" w:space="0" w:color="auto"/>
            </w:tcBorders>
            <w:noWrap/>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124.10</w:t>
            </w:r>
          </w:p>
        </w:tc>
        <w:tc>
          <w:tcPr>
            <w:tcW w:w="850"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131.42</w:t>
            </w:r>
          </w:p>
        </w:tc>
        <w:tc>
          <w:tcPr>
            <w:tcW w:w="851" w:type="dxa"/>
            <w:tcBorders>
              <w:top w:val="nil"/>
              <w:left w:val="nil"/>
              <w:bottom w:val="single" w:sz="4" w:space="0" w:color="auto"/>
              <w:right w:val="single" w:sz="4" w:space="0" w:color="auto"/>
            </w:tcBorders>
            <w:vAlign w:val="center"/>
            <w:hideMark/>
          </w:tcPr>
          <w:p w:rsidR="000C1A8F" w:rsidRPr="000431AE" w:rsidRDefault="000C1A8F" w:rsidP="00B95DF8">
            <w:pPr>
              <w:spacing w:before="40" w:after="40"/>
              <w:jc w:val="right"/>
              <w:rPr>
                <w:rFonts w:asciiTheme="minorHAnsi" w:hAnsiTheme="minorHAnsi" w:cstheme="minorHAnsi"/>
                <w:b/>
                <w:color w:val="000000"/>
                <w:lang w:eastAsia="it-CH"/>
              </w:rPr>
            </w:pPr>
            <w:r w:rsidRPr="000431AE">
              <w:rPr>
                <w:rFonts w:asciiTheme="minorHAnsi" w:hAnsiTheme="minorHAnsi" w:cstheme="minorHAnsi"/>
                <w:b/>
                <w:color w:val="000000"/>
                <w:lang w:eastAsia="it-CH"/>
              </w:rPr>
              <w:t>132.66</w:t>
            </w:r>
          </w:p>
        </w:tc>
      </w:tr>
    </w:tbl>
    <w:p w:rsidR="000C1A8F" w:rsidRPr="00D617C9" w:rsidRDefault="000C1A8F" w:rsidP="000C1A8F">
      <w:pPr>
        <w:autoSpaceDE w:val="0"/>
        <w:autoSpaceDN w:val="0"/>
        <w:adjustRightInd w:val="0"/>
        <w:rPr>
          <w:rFonts w:cs="Arial"/>
          <w:sz w:val="24"/>
          <w:szCs w:val="24"/>
        </w:rPr>
      </w:pPr>
    </w:p>
    <w:p w:rsidR="000C1A8F" w:rsidRPr="00D617C9" w:rsidRDefault="000C1A8F" w:rsidP="000C1A8F">
      <w:pPr>
        <w:autoSpaceDE w:val="0"/>
        <w:autoSpaceDN w:val="0"/>
        <w:adjustRightInd w:val="0"/>
        <w:rPr>
          <w:rFonts w:cs="Arial"/>
          <w:sz w:val="24"/>
          <w:szCs w:val="24"/>
        </w:rPr>
      </w:pPr>
      <w:r w:rsidRPr="00D617C9">
        <w:rPr>
          <w:rFonts w:cs="Arial"/>
          <w:sz w:val="24"/>
          <w:szCs w:val="24"/>
        </w:rPr>
        <w:t>Senza dimenticare la SUPSI, che fa molta ricerca applicata.</w:t>
      </w:r>
    </w:p>
    <w:p w:rsidR="000C1A8F" w:rsidRPr="00D617C9" w:rsidRDefault="000C1A8F" w:rsidP="000C1A8F">
      <w:pPr>
        <w:autoSpaceDE w:val="0"/>
        <w:autoSpaceDN w:val="0"/>
        <w:adjustRightInd w:val="0"/>
        <w:rPr>
          <w:rFonts w:cs="Arial"/>
          <w:sz w:val="24"/>
          <w:szCs w:val="24"/>
        </w:rPr>
      </w:pPr>
    </w:p>
    <w:p w:rsidR="000C1A8F" w:rsidRDefault="000C1A8F" w:rsidP="000C1A8F">
      <w:pPr>
        <w:autoSpaceDE w:val="0"/>
        <w:autoSpaceDN w:val="0"/>
        <w:adjustRightInd w:val="0"/>
        <w:rPr>
          <w:rFonts w:cs="Arial"/>
          <w:sz w:val="24"/>
          <w:szCs w:val="24"/>
        </w:rPr>
      </w:pPr>
      <w:r w:rsidRPr="00D617C9">
        <w:rPr>
          <w:rFonts w:cs="Arial"/>
          <w:sz w:val="24"/>
          <w:szCs w:val="24"/>
        </w:rPr>
        <w:t xml:space="preserve">Per quanto riguarda la biomedicina, nel frattempo (il 21 luglio scorso) è stata costituita BIOS+ (Centro di ricerche biomediche della Svizzera italiana), nuova associazione tra l’IRB e lo IOR, con lo scopo di rendere più efficiente la collaborazione tra i due istituti e intensificare ulteriormente le ricerche in comune. </w:t>
      </w:r>
    </w:p>
    <w:p w:rsidR="000431AE" w:rsidRPr="00D617C9" w:rsidRDefault="000431AE" w:rsidP="000C1A8F">
      <w:pPr>
        <w:autoSpaceDE w:val="0"/>
        <w:autoSpaceDN w:val="0"/>
        <w:adjustRightInd w:val="0"/>
        <w:rPr>
          <w:rFonts w:cs="Arial"/>
          <w:sz w:val="24"/>
          <w:szCs w:val="24"/>
        </w:rPr>
      </w:pPr>
    </w:p>
    <w:p w:rsidR="000C1A8F" w:rsidRPr="00D617C9" w:rsidRDefault="000C1A8F" w:rsidP="000C1A8F">
      <w:pPr>
        <w:autoSpaceDE w:val="0"/>
        <w:autoSpaceDN w:val="0"/>
        <w:adjustRightInd w:val="0"/>
        <w:rPr>
          <w:rFonts w:cs="Arial"/>
          <w:sz w:val="24"/>
          <w:szCs w:val="24"/>
        </w:rPr>
      </w:pPr>
      <w:r w:rsidRPr="00D617C9">
        <w:rPr>
          <w:rFonts w:cs="Arial"/>
          <w:sz w:val="24"/>
          <w:szCs w:val="24"/>
        </w:rPr>
        <w:t xml:space="preserve">Come noto, l’IRB si è sempre occupato di immunologia e lo IOR di oncologia, e ora il grande sviluppo dell’immunoterapia ha portato a un avvicinamento dei temi. Anche grazie a questa intensificata collaborazione vi è l’ambizioso obiettivo di arrivare a costituire, nei prossimi anni, in collaborazione con l’USI e gli altri attori già presenti sul territorio, </w:t>
      </w:r>
      <w:r w:rsidR="004B208F">
        <w:rPr>
          <w:rFonts w:cs="Arial"/>
          <w:sz w:val="24"/>
          <w:szCs w:val="24"/>
        </w:rPr>
        <w:br/>
      </w:r>
      <w:r w:rsidRPr="00D617C9">
        <w:rPr>
          <w:rFonts w:cs="Arial"/>
          <w:sz w:val="24"/>
          <w:szCs w:val="24"/>
        </w:rPr>
        <w:lastRenderedPageBreak/>
        <w:t>un Centro di ricerca nazionale e internazionale sulle scienze della vita, riconosciuto dalla Confederazione e dal Fondo nazionale svizzero per la ricerca scientifica.</w:t>
      </w:r>
    </w:p>
    <w:p w:rsidR="000431AE" w:rsidRPr="00D617C9" w:rsidRDefault="000431AE" w:rsidP="000C1A8F">
      <w:pPr>
        <w:autoSpaceDE w:val="0"/>
        <w:autoSpaceDN w:val="0"/>
        <w:adjustRightInd w:val="0"/>
        <w:rPr>
          <w:rFonts w:cs="Arial"/>
          <w:sz w:val="24"/>
          <w:szCs w:val="24"/>
        </w:rPr>
      </w:pPr>
    </w:p>
    <w:p w:rsidR="000C1A8F" w:rsidRPr="00D617C9" w:rsidRDefault="000431AE" w:rsidP="000C1A8F">
      <w:pPr>
        <w:autoSpaceDE w:val="0"/>
        <w:autoSpaceDN w:val="0"/>
        <w:adjustRightInd w:val="0"/>
        <w:rPr>
          <w:rFonts w:cs="Arial"/>
          <w:sz w:val="24"/>
          <w:szCs w:val="24"/>
        </w:rPr>
      </w:pPr>
      <w:r>
        <w:rPr>
          <w:rFonts w:cs="Arial"/>
          <w:sz w:val="24"/>
          <w:szCs w:val="24"/>
        </w:rPr>
        <w:t>La C</w:t>
      </w:r>
      <w:r w:rsidR="000C1A8F" w:rsidRPr="00D617C9">
        <w:rPr>
          <w:rFonts w:cs="Arial"/>
          <w:sz w:val="24"/>
          <w:szCs w:val="24"/>
        </w:rPr>
        <w:t>ommissione invita quindi il Parlamento a seguire il Consiglio di Stato e a considerare evasa la mozione, non senza chiedere però al Governo di tenere presente gli auspici della stessa, da tutti condivisi, al momento di redigere il messaggio sulla politica universitaria per il quadriennio 2025-2028.</w:t>
      </w:r>
    </w:p>
    <w:p w:rsidR="000C1A8F" w:rsidRDefault="000C1A8F" w:rsidP="000C1A8F">
      <w:pPr>
        <w:autoSpaceDE w:val="0"/>
        <w:autoSpaceDN w:val="0"/>
        <w:adjustRightInd w:val="0"/>
        <w:rPr>
          <w:rFonts w:cs="Arial"/>
          <w:sz w:val="24"/>
          <w:szCs w:val="24"/>
        </w:rPr>
      </w:pPr>
    </w:p>
    <w:p w:rsidR="000431AE" w:rsidRPr="00D617C9" w:rsidRDefault="000431AE" w:rsidP="000C1A8F">
      <w:pPr>
        <w:autoSpaceDE w:val="0"/>
        <w:autoSpaceDN w:val="0"/>
        <w:adjustRightInd w:val="0"/>
        <w:rPr>
          <w:rFonts w:cs="Arial"/>
          <w:sz w:val="24"/>
          <w:szCs w:val="24"/>
        </w:rPr>
      </w:pPr>
    </w:p>
    <w:p w:rsidR="001537F3" w:rsidRPr="001537F3" w:rsidRDefault="001537F3" w:rsidP="001537F3">
      <w:pPr>
        <w:spacing w:after="120"/>
        <w:rPr>
          <w:rFonts w:cs="Arial"/>
          <w:sz w:val="24"/>
          <w:szCs w:val="24"/>
        </w:rPr>
      </w:pPr>
      <w:r w:rsidRPr="001537F3">
        <w:rPr>
          <w:rFonts w:cs="Arial"/>
          <w:sz w:val="24"/>
          <w:szCs w:val="24"/>
        </w:rPr>
        <w:t>Per la Commissione</w:t>
      </w:r>
      <w:r>
        <w:rPr>
          <w:rFonts w:cs="Arial"/>
          <w:sz w:val="24"/>
          <w:szCs w:val="24"/>
        </w:rPr>
        <w:t xml:space="preserve"> formazione e cultura</w:t>
      </w:r>
      <w:r w:rsidRPr="001537F3">
        <w:rPr>
          <w:rFonts w:cs="Arial"/>
          <w:sz w:val="24"/>
          <w:szCs w:val="24"/>
        </w:rPr>
        <w:t>:</w:t>
      </w:r>
    </w:p>
    <w:p w:rsidR="001537F3" w:rsidRPr="001537F3" w:rsidRDefault="001537F3" w:rsidP="001537F3">
      <w:pPr>
        <w:rPr>
          <w:rFonts w:cs="Arial"/>
          <w:sz w:val="24"/>
          <w:szCs w:val="24"/>
        </w:rPr>
      </w:pPr>
      <w:r>
        <w:rPr>
          <w:rFonts w:cs="Arial"/>
          <w:sz w:val="24"/>
          <w:szCs w:val="24"/>
        </w:rPr>
        <w:t>Maddalena Ermotti-Lepori, relatrice</w:t>
      </w:r>
    </w:p>
    <w:p w:rsidR="00682300" w:rsidRPr="0057192F" w:rsidRDefault="00682300" w:rsidP="00682300">
      <w:pPr>
        <w:rPr>
          <w:rFonts w:eastAsia="Times New Roman" w:cs="Times New Roman"/>
          <w:sz w:val="24"/>
          <w:szCs w:val="20"/>
          <w:lang w:val="it-IT" w:eastAsia="it-IT"/>
        </w:rPr>
      </w:pPr>
      <w:r w:rsidRPr="0057192F">
        <w:rPr>
          <w:rFonts w:eastAsia="Times New Roman" w:cs="Times New Roman"/>
          <w:sz w:val="24"/>
          <w:szCs w:val="20"/>
          <w:lang w:val="it-IT" w:eastAsia="it-IT"/>
        </w:rPr>
        <w:t xml:space="preserve">Biscossa - Franscella - Gardenghi - </w:t>
      </w:r>
    </w:p>
    <w:p w:rsidR="00682300" w:rsidRPr="0057192F" w:rsidRDefault="00682300" w:rsidP="00682300">
      <w:pPr>
        <w:rPr>
          <w:rFonts w:eastAsia="Times New Roman" w:cs="Times New Roman"/>
          <w:sz w:val="24"/>
          <w:szCs w:val="20"/>
          <w:lang w:val="it-IT" w:eastAsia="it-IT"/>
        </w:rPr>
      </w:pPr>
      <w:r w:rsidRPr="0057192F">
        <w:rPr>
          <w:rFonts w:eastAsia="Times New Roman" w:cs="Times New Roman"/>
          <w:sz w:val="24"/>
          <w:szCs w:val="20"/>
          <w:lang w:val="it-IT" w:eastAsia="it-IT"/>
        </w:rPr>
        <w:t xml:space="preserve">Ghisla - Ghisletta - Guerra - Guscio - Ortelli P. - </w:t>
      </w:r>
    </w:p>
    <w:p w:rsidR="00682300" w:rsidRPr="0057192F" w:rsidRDefault="00682300" w:rsidP="00682300">
      <w:pPr>
        <w:rPr>
          <w:rFonts w:eastAsia="Times New Roman" w:cs="Times New Roman"/>
          <w:sz w:val="24"/>
          <w:szCs w:val="20"/>
          <w:lang w:val="it-IT" w:eastAsia="it-IT"/>
        </w:rPr>
      </w:pPr>
      <w:r w:rsidRPr="0057192F">
        <w:rPr>
          <w:rFonts w:eastAsia="Times New Roman" w:cs="Times New Roman"/>
          <w:sz w:val="24"/>
          <w:szCs w:val="20"/>
          <w:lang w:val="it-IT" w:eastAsia="it-IT"/>
        </w:rPr>
        <w:t xml:space="preserve">Pellegrini - Piezzi - Polli - Pugno Ghirlanda - </w:t>
      </w:r>
    </w:p>
    <w:p w:rsidR="00682300" w:rsidRPr="00682300" w:rsidRDefault="00682300" w:rsidP="00682300">
      <w:pPr>
        <w:rPr>
          <w:rFonts w:eastAsia="Times New Roman" w:cs="Times New Roman"/>
          <w:sz w:val="24"/>
          <w:szCs w:val="20"/>
          <w:lang w:val="it-IT" w:eastAsia="it-IT"/>
        </w:rPr>
      </w:pPr>
      <w:r w:rsidRPr="0057192F">
        <w:rPr>
          <w:rFonts w:eastAsia="Times New Roman" w:cs="Times New Roman"/>
          <w:sz w:val="24"/>
          <w:szCs w:val="20"/>
          <w:lang w:val="it-IT" w:eastAsia="it-IT"/>
        </w:rPr>
        <w:t>Robbiani - Seitz - Speziali - Tenconi</w:t>
      </w:r>
      <w:r w:rsidRPr="00682300">
        <w:rPr>
          <w:rFonts w:eastAsia="Times New Roman" w:cs="Times New Roman"/>
          <w:sz w:val="24"/>
          <w:szCs w:val="20"/>
          <w:lang w:val="it-IT" w:eastAsia="it-IT"/>
        </w:rPr>
        <w:t xml:space="preserve"> </w:t>
      </w:r>
    </w:p>
    <w:p w:rsidR="00D649A8" w:rsidRPr="000C1A8F" w:rsidRDefault="00D649A8" w:rsidP="00D33940">
      <w:pPr>
        <w:pStyle w:val="StandardRisoluzionedelConsigliodiStato"/>
        <w:ind w:right="-1"/>
      </w:pPr>
    </w:p>
    <w:sectPr w:rsidR="00D649A8" w:rsidRPr="000C1A8F"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8F" w:rsidRDefault="000C1A8F" w:rsidP="00F657BF">
      <w:r>
        <w:separator/>
      </w:r>
    </w:p>
  </w:endnote>
  <w:endnote w:type="continuationSeparator" w:id="0">
    <w:p w:rsidR="000C1A8F" w:rsidRDefault="000C1A8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A4A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A4A8D" w:rsidP="00912E34">
          <w:pPr>
            <w:tabs>
              <w:tab w:val="center" w:pos="2382"/>
            </w:tabs>
          </w:pPr>
        </w:p>
      </w:tc>
      <w:tc>
        <w:tcPr>
          <w:tcW w:w="721" w:type="dxa"/>
        </w:tcPr>
        <w:p w:rsidR="00912E34" w:rsidRPr="003D1008" w:rsidRDefault="00423FD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23FD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A4A8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A4A8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8F" w:rsidRDefault="000C1A8F" w:rsidP="00F657BF">
      <w:r>
        <w:separator/>
      </w:r>
    </w:p>
  </w:footnote>
  <w:footnote w:type="continuationSeparator" w:id="0">
    <w:p w:rsidR="000C1A8F" w:rsidRDefault="000C1A8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A4A8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29AE1BE-5AE9-4E43-B27D-A8F250972D2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30BE2"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23FD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A4A8D">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A4A8D">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29AE1BE-5AE9-4E43-B27D-A8F250972D20}"/>
          <w:text w:multiLine="1"/>
        </w:sdtPr>
        <w:sdtEndPr/>
        <w:sdtContent>
          <w:tc>
            <w:tcPr>
              <w:tcW w:w="8383" w:type="dxa"/>
              <w:tcBorders>
                <w:left w:val="single" w:sz="4" w:space="0" w:color="auto"/>
              </w:tcBorders>
              <w:tcMar>
                <w:top w:w="0" w:type="dxa"/>
                <w:left w:w="142" w:type="dxa"/>
              </w:tcMar>
            </w:tcPr>
            <w:p w:rsidR="005012EC" w:rsidRPr="00E8185F" w:rsidRDefault="00B30BE2"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7829 R del 16 maggio 2022</w:t>
              </w:r>
            </w:p>
          </w:tc>
        </w:sdtContent>
      </w:sdt>
      <w:tc>
        <w:tcPr>
          <w:tcW w:w="1710" w:type="dxa"/>
          <w:tcBorders>
            <w:top w:val="single" w:sz="4" w:space="0" w:color="auto"/>
          </w:tcBorders>
        </w:tcPr>
        <w:p w:rsidR="005012EC" w:rsidRPr="00E043A3" w:rsidRDefault="00EA4A8D" w:rsidP="00662409">
          <w:pPr>
            <w:pStyle w:val="InvisibleLine"/>
            <w:rPr>
              <w:lang w:val="de-DE"/>
            </w:rPr>
          </w:pPr>
        </w:p>
      </w:tc>
    </w:tr>
  </w:tbl>
  <w:p w:rsidR="00F657BF" w:rsidRPr="00980362" w:rsidRDefault="00423FD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29AE1BE-5AE9-4E43-B27D-A8F250972D20}"/>
                            <w:text w:multiLine="1"/>
                          </w:sdtPr>
                          <w:sdtEndPr/>
                          <w:sdtContent>
                            <w:p w:rsidR="008065E8" w:rsidRPr="00411371" w:rsidRDefault="00423FD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29AE1BE-5AE9-4E43-B27D-A8F250972D20}"/>
                      <w:text w:multiLine="1"/>
                    </w:sdtPr>
                    <w:sdtEndPr/>
                    <w:sdtContent>
                      <w:p w:rsidR="008065E8" w:rsidRPr="00411371" w:rsidRDefault="00423FD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A4A8D" w:rsidP="00D07D6E">
          <w:pPr>
            <w:pStyle w:val="InvisibleLine"/>
            <w:ind w:left="150"/>
            <w:rPr>
              <w:sz w:val="16"/>
            </w:rPr>
          </w:pPr>
        </w:p>
      </w:tc>
      <w:tc>
        <w:tcPr>
          <w:tcW w:w="373" w:type="pct"/>
          <w:tcBorders>
            <w:top w:val="nil"/>
            <w:bottom w:val="single" w:sz="4" w:space="0" w:color="auto"/>
          </w:tcBorders>
          <w:vAlign w:val="bottom"/>
        </w:tcPr>
        <w:p w:rsidR="00662409" w:rsidRPr="003108C0" w:rsidRDefault="00EA4A8D" w:rsidP="00D07D6E">
          <w:pPr>
            <w:pStyle w:val="Level"/>
            <w:ind w:left="150"/>
            <w:rPr>
              <w:sz w:val="16"/>
            </w:rPr>
          </w:pPr>
        </w:p>
      </w:tc>
      <w:tc>
        <w:tcPr>
          <w:tcW w:w="209" w:type="pct"/>
          <w:tcBorders>
            <w:top w:val="nil"/>
            <w:bottom w:val="single" w:sz="4" w:space="0" w:color="auto"/>
          </w:tcBorders>
        </w:tcPr>
        <w:p w:rsidR="00662409" w:rsidRDefault="00423FD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23FD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A4A8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A4A8D">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29AE1BE-5AE9-4E43-B27D-A8F250972D20}"/>
          <w:text w:multiLine="1"/>
        </w:sdtPr>
        <w:sdtEndPr/>
        <w:sdtContent>
          <w:tc>
            <w:tcPr>
              <w:tcW w:w="5000" w:type="pct"/>
              <w:gridSpan w:val="6"/>
              <w:tcBorders>
                <w:left w:val="nil"/>
                <w:right w:val="nil"/>
              </w:tcBorders>
              <w:noWrap/>
              <w:tcMar>
                <w:top w:w="0" w:type="dxa"/>
              </w:tcMar>
              <w:vAlign w:val="bottom"/>
            </w:tcPr>
            <w:p w:rsidR="00662409" w:rsidRPr="008C03B5" w:rsidRDefault="00B30BE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23FD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A4A8D"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23FD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A4A8D"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23FD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A4A8D"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EA4A8D"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C29AE1BE-5AE9-4E43-B27D-A8F250972D20}"/>
              <w:text w:multiLine="1"/>
            </w:sdtPr>
            <w:sdtEndPr/>
            <w:sdtContent>
              <w:r w:rsidR="00B30BE2">
                <w:rPr>
                  <w:rFonts w:cstheme="minorHAnsi"/>
                  <w:b/>
                  <w:sz w:val="24"/>
                  <w:szCs w:val="24"/>
                </w:rPr>
                <w:t>7829 R</w:t>
              </w:r>
            </w:sdtContent>
          </w:sdt>
        </w:p>
      </w:tc>
      <w:sdt>
        <w:sdtPr>
          <w:rPr>
            <w:sz w:val="24"/>
          </w:rPr>
          <w:alias w:val="DocParam.Date"/>
          <w:id w:val="-464426178"/>
          <w:dataBinding w:xpath="//DateTime[@id='DocParam.Date']" w:storeItemID="{C29AE1BE-5AE9-4E43-B27D-A8F250972D20}"/>
          <w:date w:fullDate="2022-05-1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B30BE2" w:rsidP="00A532F6">
              <w:pPr>
                <w:pStyle w:val="Data"/>
              </w:pPr>
              <w:r>
                <w:rPr>
                  <w:sz w:val="24"/>
                </w:rPr>
                <w:t>16 maggio 2022</w:t>
              </w:r>
            </w:p>
          </w:tc>
        </w:sdtContent>
      </w:sdt>
      <w:tc>
        <w:tcPr>
          <w:tcW w:w="3218" w:type="pct"/>
          <w:gridSpan w:val="4"/>
          <w:tcBorders>
            <w:top w:val="nil"/>
            <w:left w:val="nil"/>
            <w:bottom w:val="nil"/>
            <w:right w:val="nil"/>
          </w:tcBorders>
        </w:tcPr>
        <w:p w:rsidR="008C03B5" w:rsidRPr="00BE22A2" w:rsidRDefault="00EA4A8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C29AE1BE-5AE9-4E43-B27D-A8F250972D20}"/>
              <w:text w:multiLine="1"/>
            </w:sdtPr>
            <w:sdtEndPr/>
            <w:sdtContent>
              <w:r w:rsidR="00B30BE2">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A4A8D" w:rsidP="00D07D6E">
          <w:pPr>
            <w:pStyle w:val="Level"/>
            <w:ind w:left="150"/>
            <w:rPr>
              <w:rFonts w:ascii="Gill Alt One MT Light" w:hAnsi="Gill Alt One MT Light"/>
              <w:sz w:val="16"/>
              <w:szCs w:val="16"/>
            </w:rPr>
          </w:pPr>
        </w:p>
      </w:tc>
    </w:tr>
  </w:tbl>
  <w:p w:rsidR="00F657BF" w:rsidRPr="00DA2879" w:rsidRDefault="00423FD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29AE1BE-5AE9-4E43-B27D-A8F250972D20}"/>
                            <w:text w:multiLine="1"/>
                          </w:sdtPr>
                          <w:sdtEndPr/>
                          <w:sdtContent>
                            <w:p w:rsidR="00E93620" w:rsidRPr="00411371" w:rsidRDefault="00423FD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29AE1BE-5AE9-4E43-B27D-A8F250972D20}"/>
                      <w:text w:multiLine="1"/>
                    </w:sdtPr>
                    <w:sdtEndPr/>
                    <w:sdtContent>
                      <w:p w:rsidR="00E93620" w:rsidRPr="00411371" w:rsidRDefault="00423FD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2346544"/>
    <w:multiLevelType w:val="hybridMultilevel"/>
    <w:tmpl w:val="65028AB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77FA7143"/>
    <w:multiLevelType w:val="hybridMultilevel"/>
    <w:tmpl w:val="B2B0BF2C"/>
    <w:lvl w:ilvl="0" w:tplc="171E5B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8F"/>
    <w:rsid w:val="000431AE"/>
    <w:rsid w:val="000C1A8F"/>
    <w:rsid w:val="001537F3"/>
    <w:rsid w:val="002B5D9F"/>
    <w:rsid w:val="002C4D75"/>
    <w:rsid w:val="002D4890"/>
    <w:rsid w:val="00311B7A"/>
    <w:rsid w:val="003547DB"/>
    <w:rsid w:val="003B756D"/>
    <w:rsid w:val="00403ADB"/>
    <w:rsid w:val="00423FD6"/>
    <w:rsid w:val="004B208F"/>
    <w:rsid w:val="0057192F"/>
    <w:rsid w:val="00572FD3"/>
    <w:rsid w:val="00575D7A"/>
    <w:rsid w:val="00682300"/>
    <w:rsid w:val="006C247B"/>
    <w:rsid w:val="00843E24"/>
    <w:rsid w:val="008720C4"/>
    <w:rsid w:val="008D2CDA"/>
    <w:rsid w:val="008F52AF"/>
    <w:rsid w:val="009C5E5A"/>
    <w:rsid w:val="00A66B4B"/>
    <w:rsid w:val="00AF0268"/>
    <w:rsid w:val="00B30BE2"/>
    <w:rsid w:val="00B95DF8"/>
    <w:rsid w:val="00BF0A1F"/>
    <w:rsid w:val="00D33940"/>
    <w:rsid w:val="00D600FD"/>
    <w:rsid w:val="00D649A8"/>
    <w:rsid w:val="00D75654"/>
    <w:rsid w:val="00EA4A8D"/>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6B848B-5C4E-4EC7-92C2-4287E91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EA4A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4A8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3c7b355a-c9ab-40cf-ad31-c0f2c1c937a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i = " h t t p : / / w w w . w 3 . o r g / 2 0 0 1 / X M L S c h e m a - i n s t a n c e "   x m l n s : x s d = " h t t p : / / w w w . w 3 . o r g / 2 0 0 1 / X M L S c h e m a "   i d = " e 1 7 1 9 4 5 2 - f 6 e 2 - 4 6 4 f - 8 e 5 0 - 8 6 3 6 1 f 8 1 a 2 e 5 "   t I d = " a 3 6 2 a 5 d 4 - 9 5 8 9 - 4 1 b f - a 4 e 6 - 4 f 8 7 c 4 e 4 1 2 3 9 "   i n t e r n a l T I d = " 9 0 6 4 c c 7 f - 3 1 6 d - 4 6 b 1 - a 4 a c - 7 4 8 6 0 c 3 f 8 a 5 b "   m t I d = " 2 7 5 a f 3 2 e - b c 4 0 - 4 5 c 2 - 8 5 b 7 - a f b 1 c 0 3 8 2 6 5 3 "   r e v i s i o n = " 0 "   c r e a t e d m a j o r v e r s i o n = " 0 "   c r e a t e d m i n o r v e r s i o n = " 0 "   c r e a t e d = " 2 0 2 2 - 0 5 - 1 7 T 0 7 : 0 4 : 3 8 . 8 2 7 5 3 5 5 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 2 0 2 2 - 0 5 - 1 6 T 0 0 : 0 0 : 0 0 Z < / D a t e T i m e >  
                 < T e x t   i d = " D o c P a r a m . N u m b e r " > < ! [ C D A T A [ 7 8 2 9   R ] ] > < / T e x t >  
                 < T e x t   i d = " D o c P a r a m . D o c u m e n t o " > < ! [ C D A T A [ R a p p o r t o ] ] > < / T e x t >  
                 < T e x t   i d = " D o c P a r a m . A g g i u n t a D o c "   t o o l t i p = " ( e s .   b i s ,   a g g i u n t i v o ,   a g g i u n t i v o   b i s ,   1 ,   2   e c c . ) " > < ! [ C D A T A [   ] ] > < / T e x t >  
                 < T e x t   i d = " D o c P a r a m . D i p a r t i m e n t i " > < ! [ C D A T A [ D i p a r t i m e n t o   d e l l  e d u c a z i o n e ,   d e l l a   c u l t u r a   e   d e l l o   s p o r 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T e x t >  
                 < T e x t   i d = " C u s t o m E l e m e n t s . F i e l d s . T i t o l o 2 "   l a b e l = " C u s t o m E l e m e n t s . F i e l d s . T i t o l o 2 " > < ! [ C D A T A [ R a p p o r t o   n .   7 8 2 9   R   d e l   1 6 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3A807D0-A300-4B53-95A0-0C6A05E65281}">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C29AE1BE-5AE9-4E43-B27D-A8F250972D2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3c7b355a-c9ab-40cf-ad31-c0f2c1c937a4.dotx</Template>
  <TotalTime>59</TotalTime>
  <Pages>4</Pages>
  <Words>1105</Words>
  <Characters>6301</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19</cp:revision>
  <cp:lastPrinted>2022-05-17T12:41:00Z</cp:lastPrinted>
  <dcterms:created xsi:type="dcterms:W3CDTF">2022-05-17T07:05:00Z</dcterms:created>
  <dcterms:modified xsi:type="dcterms:W3CDTF">2022-05-17T13:09:00Z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