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442" w:rsidRPr="00D25752" w:rsidRDefault="009B4442" w:rsidP="009B4442">
      <w:pPr>
        <w:rPr>
          <w:rFonts w:cs="Arial"/>
          <w:b/>
          <w:sz w:val="28"/>
          <w:szCs w:val="28"/>
        </w:rPr>
      </w:pPr>
      <w:r w:rsidRPr="008B4137">
        <w:rPr>
          <w:rFonts w:cs="Arial"/>
          <w:b/>
          <w:sz w:val="28"/>
          <w:szCs w:val="28"/>
        </w:rPr>
        <w:t xml:space="preserve">della Commissione </w:t>
      </w:r>
      <w:r w:rsidRPr="00D25752">
        <w:rPr>
          <w:rFonts w:cs="Arial"/>
          <w:b/>
          <w:sz w:val="28"/>
          <w:szCs w:val="28"/>
        </w:rPr>
        <w:t>gestione e finanze</w:t>
      </w:r>
    </w:p>
    <w:p w:rsidR="009B4442" w:rsidRPr="00D25752" w:rsidRDefault="009B4442" w:rsidP="009B4442">
      <w:pPr>
        <w:rPr>
          <w:rFonts w:cs="Arial"/>
          <w:b/>
          <w:sz w:val="28"/>
          <w:szCs w:val="28"/>
        </w:rPr>
      </w:pPr>
      <w:r w:rsidRPr="000D6BD0">
        <w:rPr>
          <w:rFonts w:cs="Arial"/>
          <w:b/>
          <w:sz w:val="28"/>
          <w:szCs w:val="28"/>
        </w:rPr>
        <w:t>sul</w:t>
      </w:r>
      <w:r>
        <w:rPr>
          <w:rFonts w:cs="Arial"/>
          <w:b/>
          <w:sz w:val="28"/>
          <w:szCs w:val="28"/>
        </w:rPr>
        <w:t xml:space="preserve"> messaggio</w:t>
      </w:r>
      <w:r w:rsidRPr="00D25752">
        <w:rPr>
          <w:rFonts w:cs="Arial"/>
          <w:b/>
          <w:sz w:val="28"/>
          <w:szCs w:val="28"/>
        </w:rPr>
        <w:t xml:space="preserve"> 1</w:t>
      </w:r>
      <w:r>
        <w:rPr>
          <w:rFonts w:cs="Arial"/>
          <w:b/>
          <w:sz w:val="28"/>
          <w:szCs w:val="28"/>
        </w:rPr>
        <w:t>3</w:t>
      </w:r>
      <w:r w:rsidRPr="00D25752">
        <w:rPr>
          <w:rFonts w:cs="Arial"/>
          <w:b/>
          <w:sz w:val="28"/>
          <w:szCs w:val="28"/>
        </w:rPr>
        <w:t xml:space="preserve"> aprile 202</w:t>
      </w:r>
      <w:r>
        <w:rPr>
          <w:rFonts w:cs="Arial"/>
          <w:b/>
          <w:sz w:val="28"/>
          <w:szCs w:val="28"/>
        </w:rPr>
        <w:t>2</w:t>
      </w:r>
      <w:r w:rsidRPr="00D25752">
        <w:rPr>
          <w:rFonts w:cs="Arial"/>
          <w:b/>
          <w:sz w:val="28"/>
          <w:szCs w:val="28"/>
        </w:rPr>
        <w:t xml:space="preserve"> concernente il Consuntivo 202</w:t>
      </w:r>
      <w:r>
        <w:rPr>
          <w:rFonts w:cs="Arial"/>
          <w:b/>
          <w:sz w:val="28"/>
          <w:szCs w:val="28"/>
        </w:rPr>
        <w:t>1</w:t>
      </w:r>
    </w:p>
    <w:p w:rsidR="009B4442" w:rsidRDefault="009B4442" w:rsidP="009B4442">
      <w:pPr>
        <w:rPr>
          <w:rFonts w:cs="Arial"/>
          <w:szCs w:val="24"/>
        </w:rPr>
      </w:pPr>
    </w:p>
    <w:p w:rsidR="009B4442" w:rsidRPr="00D25752" w:rsidRDefault="009B4442" w:rsidP="009B4442">
      <w:pPr>
        <w:rPr>
          <w:rFonts w:cs="Arial"/>
          <w:szCs w:val="24"/>
        </w:rPr>
      </w:pPr>
      <w:bookmarkStart w:id="0" w:name="_GoBack"/>
      <w:bookmarkEnd w:id="0"/>
    </w:p>
    <w:p w:rsidR="009B4442" w:rsidRPr="00D25752" w:rsidRDefault="009B4442" w:rsidP="009B4442">
      <w:pPr>
        <w:pStyle w:val="Titolo1"/>
        <w:numPr>
          <w:ilvl w:val="0"/>
          <w:numId w:val="18"/>
        </w:numPr>
        <w:tabs>
          <w:tab w:val="left" w:pos="567"/>
        </w:tabs>
        <w:spacing w:before="0"/>
        <w:ind w:left="567" w:hanging="567"/>
        <w:jc w:val="both"/>
      </w:pPr>
      <w:r w:rsidRPr="00D25752">
        <w:t>INTRODUZIONE</w:t>
      </w:r>
    </w:p>
    <w:p w:rsidR="009B4442" w:rsidRDefault="009B4442" w:rsidP="009B4442">
      <w:pPr>
        <w:rPr>
          <w:rFonts w:cs="Arial"/>
          <w:szCs w:val="24"/>
        </w:rPr>
      </w:pPr>
      <w:r w:rsidRPr="00940071">
        <w:rPr>
          <w:rFonts w:cs="Arial"/>
          <w:szCs w:val="24"/>
        </w:rPr>
        <w:t>Il C</w:t>
      </w:r>
      <w:r>
        <w:rPr>
          <w:rFonts w:cs="Arial"/>
          <w:szCs w:val="24"/>
        </w:rPr>
        <w:t xml:space="preserve">onsuntivo </w:t>
      </w:r>
      <w:r w:rsidRPr="00940071">
        <w:rPr>
          <w:rFonts w:cs="Arial"/>
          <w:szCs w:val="24"/>
        </w:rPr>
        <w:t>2021</w:t>
      </w:r>
      <w:r>
        <w:rPr>
          <w:rFonts w:cs="Arial"/>
          <w:szCs w:val="24"/>
        </w:rPr>
        <w:t xml:space="preserve">, seppur presenti ancora un disavanzo di 58.2 mio di franchi, ha chiuso </w:t>
      </w:r>
      <w:r w:rsidRPr="00940071">
        <w:rPr>
          <w:rFonts w:cs="Arial"/>
          <w:szCs w:val="24"/>
        </w:rPr>
        <w:t xml:space="preserve">in </w:t>
      </w:r>
      <w:r>
        <w:rPr>
          <w:rFonts w:cs="Arial"/>
          <w:szCs w:val="24"/>
        </w:rPr>
        <w:t xml:space="preserve">cifre nettamente migliori rispetto ai valori stimati a Preventivo 2021 (risultato di esercizio di -230.7 mio di franchi), il cui messaggio è stato allestito in </w:t>
      </w:r>
      <w:r w:rsidRPr="00940071">
        <w:rPr>
          <w:rFonts w:cs="Arial"/>
          <w:szCs w:val="24"/>
        </w:rPr>
        <w:t xml:space="preserve">un </w:t>
      </w:r>
      <w:r>
        <w:rPr>
          <w:rFonts w:cs="Arial"/>
          <w:szCs w:val="24"/>
        </w:rPr>
        <w:t xml:space="preserve">momento in cui le previsioni erano difficili da effettuare, </w:t>
      </w:r>
      <w:r w:rsidRPr="00940071">
        <w:rPr>
          <w:rFonts w:cs="Arial"/>
          <w:szCs w:val="24"/>
        </w:rPr>
        <w:t>considerate le incognite legate alla pandemia</w:t>
      </w:r>
      <w:r>
        <w:rPr>
          <w:rFonts w:cs="Arial"/>
          <w:szCs w:val="24"/>
        </w:rPr>
        <w:t xml:space="preserve"> da Covid-19</w:t>
      </w:r>
      <w:r w:rsidRPr="00940071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La fine del 2020 e la primavera del 2021 sono state segnate da recrudescenze del virus che hanno determinato la chiusura di attività economiche, soprattutto nel settore della ristorazione, dell’albergheria e più in generale del turismo, e ha penalizzato pure </w:t>
      </w:r>
      <w:proofErr w:type="gramStart"/>
      <w:r>
        <w:rPr>
          <w:rFonts w:cs="Arial"/>
          <w:szCs w:val="24"/>
        </w:rPr>
        <w:t>la micro</w:t>
      </w:r>
      <w:proofErr w:type="gramEnd"/>
      <w:r>
        <w:rPr>
          <w:rFonts w:cs="Arial"/>
          <w:szCs w:val="24"/>
        </w:rPr>
        <w:t xml:space="preserve"> imprenditorialità indipendente.</w:t>
      </w:r>
      <w:r w:rsidRPr="0094007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Pur dinanzi </w:t>
      </w:r>
      <w:r w:rsidRPr="00940071">
        <w:rPr>
          <w:rFonts w:cs="Arial"/>
          <w:szCs w:val="24"/>
        </w:rPr>
        <w:t xml:space="preserve">a una situazione </w:t>
      </w:r>
      <w:r>
        <w:rPr>
          <w:rFonts w:cs="Arial"/>
          <w:szCs w:val="24"/>
        </w:rPr>
        <w:t>finanziaria ancora gestibile, r</w:t>
      </w:r>
      <w:r w:rsidRPr="00940071">
        <w:rPr>
          <w:rFonts w:cs="Arial"/>
          <w:szCs w:val="24"/>
        </w:rPr>
        <w:t>esta il tema di una certa fragilità delle finanze cantonali</w:t>
      </w:r>
      <w:r>
        <w:rPr>
          <w:rFonts w:cs="Arial"/>
          <w:szCs w:val="24"/>
        </w:rPr>
        <w:t xml:space="preserve">, che però non è neanche minimamente </w:t>
      </w:r>
      <w:r w:rsidRPr="00940071">
        <w:rPr>
          <w:rFonts w:cs="Arial"/>
          <w:szCs w:val="24"/>
        </w:rPr>
        <w:t>comparabil</w:t>
      </w:r>
      <w:r>
        <w:rPr>
          <w:rFonts w:cs="Arial"/>
          <w:szCs w:val="24"/>
        </w:rPr>
        <w:t>e</w:t>
      </w:r>
      <w:r w:rsidRPr="00940071">
        <w:rPr>
          <w:rFonts w:cs="Arial"/>
          <w:szCs w:val="24"/>
        </w:rPr>
        <w:t xml:space="preserve"> ad alcuni </w:t>
      </w:r>
      <w:r>
        <w:rPr>
          <w:rFonts w:cs="Arial"/>
          <w:szCs w:val="24"/>
        </w:rPr>
        <w:t xml:space="preserve">momenti vissuti durante gli ultimi </w:t>
      </w:r>
      <w:r w:rsidRPr="00940071">
        <w:rPr>
          <w:rFonts w:cs="Arial"/>
          <w:szCs w:val="24"/>
        </w:rPr>
        <w:t xml:space="preserve">vent’anni, </w:t>
      </w:r>
      <w:r>
        <w:rPr>
          <w:rFonts w:cs="Arial"/>
          <w:szCs w:val="24"/>
        </w:rPr>
        <w:t>durante i quali</w:t>
      </w:r>
      <w:r w:rsidRPr="00940071">
        <w:rPr>
          <w:rFonts w:cs="Arial"/>
          <w:szCs w:val="24"/>
        </w:rPr>
        <w:t xml:space="preserve"> si è assistito a importanti fasi di indebitamento e di autofinanziamento negativo, che avrebbero meritato interventi </w:t>
      </w:r>
      <w:r>
        <w:rPr>
          <w:rFonts w:cs="Arial"/>
          <w:szCs w:val="24"/>
        </w:rPr>
        <w:t xml:space="preserve">finanziari </w:t>
      </w:r>
      <w:r w:rsidRPr="00940071">
        <w:rPr>
          <w:rFonts w:cs="Arial"/>
          <w:szCs w:val="24"/>
        </w:rPr>
        <w:t xml:space="preserve">più incisivi. </w:t>
      </w:r>
      <w:r>
        <w:rPr>
          <w:rFonts w:cs="Arial"/>
          <w:szCs w:val="24"/>
        </w:rPr>
        <w:t>Non a caso, Parlamento e popolo hanno adottato il meccanismo del freno al disavanzo iscritto nella Costituzione cantonale e in vigore dal 2015.</w:t>
      </w:r>
    </w:p>
    <w:p w:rsidR="009B4442" w:rsidRDefault="009B4442" w:rsidP="009B4442">
      <w:pPr>
        <w:rPr>
          <w:rFonts w:cs="Arial"/>
          <w:szCs w:val="24"/>
        </w:rPr>
      </w:pPr>
    </w:p>
    <w:p w:rsidR="009B4442" w:rsidRPr="00C12609" w:rsidRDefault="009B4442" w:rsidP="009B4442">
      <w:pPr>
        <w:rPr>
          <w:rFonts w:cs="Arial"/>
          <w:szCs w:val="24"/>
        </w:rPr>
      </w:pPr>
      <w:r>
        <w:rPr>
          <w:rFonts w:cs="Arial"/>
          <w:szCs w:val="24"/>
        </w:rPr>
        <w:t>L</w:t>
      </w:r>
      <w:r>
        <w:t>’esercizio 2021 chiude ancora nel rispetto di tale vincolo, in quanto il conto di compensazione registra un saldo inferiore al limite del 9% dei ricavi correnti. Il debito pubblico è di poco inferiore alla soglia di 2.2 miliardi di franchi, mentre il capitale proprio è pari a -98.8 milioni di franchi.</w:t>
      </w:r>
    </w:p>
    <w:p w:rsidR="009B4442" w:rsidRDefault="009B4442" w:rsidP="009B4442">
      <w:pPr>
        <w:rPr>
          <w:rFonts w:cs="Arial"/>
          <w:szCs w:val="24"/>
        </w:rPr>
      </w:pPr>
    </w:p>
    <w:p w:rsidR="009B4442" w:rsidRPr="00D25752" w:rsidRDefault="009B4442" w:rsidP="009B4442">
      <w:pPr>
        <w:rPr>
          <w:rFonts w:cs="Arial"/>
          <w:szCs w:val="24"/>
        </w:rPr>
      </w:pPr>
      <w:r>
        <w:rPr>
          <w:rFonts w:cs="Arial"/>
          <w:szCs w:val="24"/>
        </w:rPr>
        <w:t xml:space="preserve">È utile ricordare che già </w:t>
      </w:r>
      <w:r w:rsidRPr="00D25752">
        <w:rPr>
          <w:rFonts w:cs="Arial"/>
          <w:szCs w:val="24"/>
        </w:rPr>
        <w:t xml:space="preserve">durante il mese di maggio del 2021, contestualmente all’aggiornamento del P2021, il Governo ha </w:t>
      </w:r>
      <w:r>
        <w:rPr>
          <w:rFonts w:cs="Arial"/>
          <w:szCs w:val="24"/>
        </w:rPr>
        <w:t xml:space="preserve">segnalato </w:t>
      </w:r>
      <w:r w:rsidRPr="00D25752">
        <w:rPr>
          <w:rFonts w:cs="Arial"/>
          <w:szCs w:val="24"/>
        </w:rPr>
        <w:t xml:space="preserve">alla Commissione alcuni scostamenti </w:t>
      </w:r>
      <w:r>
        <w:rPr>
          <w:rFonts w:cs="Arial"/>
          <w:szCs w:val="24"/>
        </w:rPr>
        <w:t xml:space="preserve">evidenziati </w:t>
      </w:r>
      <w:r w:rsidRPr="00D25752">
        <w:rPr>
          <w:rFonts w:cs="Arial"/>
          <w:szCs w:val="24"/>
        </w:rPr>
        <w:t xml:space="preserve">dai vari Dipartimenti. </w:t>
      </w:r>
      <w:r>
        <w:rPr>
          <w:rFonts w:cs="Arial"/>
          <w:szCs w:val="24"/>
        </w:rPr>
        <w:t xml:space="preserve">Essi hanno permesso di </w:t>
      </w:r>
      <w:r w:rsidRPr="00D25752">
        <w:rPr>
          <w:rFonts w:cs="Arial"/>
          <w:szCs w:val="24"/>
        </w:rPr>
        <w:t>ricond</w:t>
      </w:r>
      <w:r>
        <w:rPr>
          <w:rFonts w:cs="Arial"/>
          <w:szCs w:val="24"/>
        </w:rPr>
        <w:t xml:space="preserve">urre </w:t>
      </w:r>
      <w:r w:rsidRPr="00D25752">
        <w:rPr>
          <w:rFonts w:cs="Arial"/>
          <w:szCs w:val="24"/>
        </w:rPr>
        <w:t xml:space="preserve">l’autofinanziamento in cifre positive, </w:t>
      </w:r>
      <w:r>
        <w:rPr>
          <w:rFonts w:cs="Arial"/>
          <w:szCs w:val="24"/>
        </w:rPr>
        <w:t xml:space="preserve">dando seguito </w:t>
      </w:r>
      <w:r w:rsidRPr="00D25752">
        <w:rPr>
          <w:rFonts w:cs="Arial"/>
          <w:szCs w:val="24"/>
        </w:rPr>
        <w:t xml:space="preserve">alla richiesta formulata dalla Commissione gestione e finanze nel rapporto di maggioranza sul Preventivo 2021. Tali scostamenti sono stati resi pubblici dal Consiglio di Stato nel </w:t>
      </w:r>
      <w:hyperlink r:id="rId12" w:history="1">
        <w:r w:rsidRPr="00D25752">
          <w:rPr>
            <w:rStyle w:val="Collegamentoipertestuale"/>
            <w:rFonts w:cs="Arial"/>
            <w:szCs w:val="24"/>
          </w:rPr>
          <w:t xml:space="preserve">comunicato stampa del </w:t>
        </w:r>
        <w:r>
          <w:rPr>
            <w:rStyle w:val="Collegamentoipertestuale"/>
            <w:rFonts w:cs="Arial"/>
            <w:szCs w:val="24"/>
          </w:rPr>
          <w:br/>
        </w:r>
        <w:r w:rsidRPr="00D25752">
          <w:rPr>
            <w:rStyle w:val="Collegamentoipertestuale"/>
            <w:rFonts w:cs="Arial"/>
            <w:szCs w:val="24"/>
          </w:rPr>
          <w:t>15 giugno del 2021</w:t>
        </w:r>
      </w:hyperlink>
      <w:r w:rsidRPr="00D25752">
        <w:rPr>
          <w:rFonts w:cs="Arial"/>
          <w:szCs w:val="24"/>
        </w:rPr>
        <w:t xml:space="preserve"> e nei documenti ad esso allegati. </w:t>
      </w:r>
    </w:p>
    <w:p w:rsidR="009B4442" w:rsidRDefault="009B4442" w:rsidP="009B4442">
      <w:pPr>
        <w:rPr>
          <w:rFonts w:cs="Arial"/>
          <w:szCs w:val="24"/>
        </w:rPr>
      </w:pPr>
    </w:p>
    <w:p w:rsidR="009B4442" w:rsidRPr="00C12609" w:rsidRDefault="009B4442" w:rsidP="009B4442">
      <w:pPr>
        <w:shd w:val="clear" w:color="auto" w:fill="FFFFFF"/>
        <w:rPr>
          <w:rFonts w:eastAsia="Times New Roman" w:cs="Arial"/>
          <w:szCs w:val="24"/>
          <w:lang w:eastAsia="it-CH"/>
        </w:rPr>
      </w:pPr>
      <w:r>
        <w:rPr>
          <w:rFonts w:eastAsia="Times New Roman" w:cs="Arial"/>
          <w:bCs/>
          <w:szCs w:val="24"/>
          <w:lang w:eastAsia="it-CH"/>
        </w:rPr>
        <w:t xml:space="preserve">Anche il </w:t>
      </w:r>
      <w:r w:rsidRPr="00C4653D">
        <w:rPr>
          <w:rFonts w:eastAsia="Times New Roman" w:cs="Arial"/>
          <w:bCs/>
          <w:szCs w:val="24"/>
          <w:lang w:eastAsia="it-CH"/>
        </w:rPr>
        <w:t>rendiconto intermedio di fine settembre 2021</w:t>
      </w:r>
      <w:r w:rsidRPr="00C12609">
        <w:rPr>
          <w:rFonts w:eastAsia="Times New Roman" w:cs="Arial"/>
          <w:bCs/>
          <w:szCs w:val="24"/>
          <w:lang w:eastAsia="it-CH"/>
        </w:rPr>
        <w:t xml:space="preserve"> (</w:t>
      </w:r>
      <w:hyperlink r:id="rId13" w:history="1">
        <w:r w:rsidRPr="00C54B8C">
          <w:rPr>
            <w:rStyle w:val="Collegamentoipertestuale"/>
            <w:rFonts w:eastAsia="Times New Roman" w:cs="Arial"/>
            <w:bCs/>
            <w:szCs w:val="24"/>
            <w:lang w:eastAsia="it-CH"/>
          </w:rPr>
          <w:t xml:space="preserve">comunicato stampa del </w:t>
        </w:r>
        <w:r>
          <w:rPr>
            <w:rStyle w:val="Collegamentoipertestuale"/>
            <w:rFonts w:eastAsia="Times New Roman" w:cs="Arial"/>
            <w:bCs/>
            <w:szCs w:val="24"/>
            <w:lang w:eastAsia="it-CH"/>
          </w:rPr>
          <w:br/>
        </w:r>
        <w:r w:rsidRPr="00C54B8C">
          <w:rPr>
            <w:rStyle w:val="Collegamentoipertestuale"/>
            <w:rFonts w:eastAsia="Times New Roman" w:cs="Arial"/>
            <w:bCs/>
            <w:szCs w:val="24"/>
            <w:lang w:eastAsia="it-CH"/>
          </w:rPr>
          <w:t>10 novembre</w:t>
        </w:r>
      </w:hyperlink>
      <w:r w:rsidRPr="00C12609">
        <w:rPr>
          <w:rFonts w:eastAsia="Times New Roman" w:cs="Arial"/>
          <w:bCs/>
          <w:szCs w:val="24"/>
          <w:lang w:eastAsia="it-CH"/>
        </w:rPr>
        <w:t>)</w:t>
      </w:r>
      <w:r w:rsidRPr="00C4653D">
        <w:rPr>
          <w:rFonts w:eastAsia="Times New Roman" w:cs="Arial"/>
          <w:bCs/>
          <w:szCs w:val="24"/>
          <w:lang w:eastAsia="it-CH"/>
        </w:rPr>
        <w:t xml:space="preserve"> </w:t>
      </w:r>
      <w:r w:rsidRPr="00C12609">
        <w:rPr>
          <w:rFonts w:eastAsia="Times New Roman" w:cs="Arial"/>
          <w:bCs/>
          <w:szCs w:val="24"/>
          <w:lang w:eastAsia="it-CH"/>
        </w:rPr>
        <w:t xml:space="preserve">ha quantificato un disavanzo di </w:t>
      </w:r>
      <w:r w:rsidRPr="00C4653D">
        <w:rPr>
          <w:rFonts w:eastAsia="Times New Roman" w:cs="Arial"/>
          <w:bCs/>
          <w:szCs w:val="24"/>
          <w:lang w:eastAsia="it-CH"/>
        </w:rPr>
        <w:t xml:space="preserve">-115.2 milioni di franchi, migliore di 40.9 milioni di franchi rispetto all’ultimo preconsuntivo </w:t>
      </w:r>
      <w:r w:rsidRPr="00C12609">
        <w:rPr>
          <w:rFonts w:eastAsia="Times New Roman" w:cs="Arial"/>
          <w:bCs/>
          <w:szCs w:val="24"/>
          <w:lang w:eastAsia="it-CH"/>
        </w:rPr>
        <w:t xml:space="preserve">(disavanzo di </w:t>
      </w:r>
      <w:r w:rsidRPr="00C4653D">
        <w:rPr>
          <w:rFonts w:eastAsia="Times New Roman" w:cs="Arial"/>
          <w:bCs/>
          <w:szCs w:val="24"/>
          <w:lang w:eastAsia="it-CH"/>
        </w:rPr>
        <w:t>-156.1 milioni</w:t>
      </w:r>
      <w:r w:rsidRPr="00C12609">
        <w:rPr>
          <w:rFonts w:eastAsia="Times New Roman" w:cs="Arial"/>
          <w:bCs/>
          <w:szCs w:val="24"/>
          <w:lang w:eastAsia="it-CH"/>
        </w:rPr>
        <w:t>)</w:t>
      </w:r>
      <w:r w:rsidRPr="00C4653D">
        <w:rPr>
          <w:rFonts w:eastAsia="Times New Roman" w:cs="Arial"/>
          <w:bCs/>
          <w:szCs w:val="24"/>
          <w:lang w:eastAsia="it-CH"/>
        </w:rPr>
        <w:t xml:space="preserve">. </w:t>
      </w:r>
      <w:r w:rsidRPr="00C12609">
        <w:rPr>
          <w:rFonts w:eastAsia="Times New Roman" w:cs="Arial"/>
          <w:bCs/>
          <w:szCs w:val="24"/>
          <w:lang w:eastAsia="it-CH"/>
        </w:rPr>
        <w:t xml:space="preserve">Determinante </w:t>
      </w:r>
      <w:r w:rsidRPr="00C4653D">
        <w:rPr>
          <w:rFonts w:eastAsia="Times New Roman" w:cs="Arial"/>
          <w:szCs w:val="24"/>
          <w:lang w:eastAsia="it-CH"/>
        </w:rPr>
        <w:t xml:space="preserve">è </w:t>
      </w:r>
      <w:r w:rsidRPr="00C12609">
        <w:rPr>
          <w:rFonts w:eastAsia="Times New Roman" w:cs="Arial"/>
          <w:szCs w:val="24"/>
          <w:lang w:eastAsia="it-CH"/>
        </w:rPr>
        <w:t xml:space="preserve">stato </w:t>
      </w:r>
      <w:r w:rsidRPr="00C4653D">
        <w:rPr>
          <w:rFonts w:eastAsia="Times New Roman" w:cs="Arial"/>
          <w:szCs w:val="24"/>
          <w:lang w:eastAsia="it-CH"/>
        </w:rPr>
        <w:t>l’aggiornamento delle stime del PIL relative al 2021 prese in considerazione per la valutazione dei gettiti e la revisione al ribasso di alcune spese.</w:t>
      </w:r>
      <w:r w:rsidRPr="00C12609">
        <w:rPr>
          <w:rFonts w:eastAsia="Times New Roman" w:cs="Arial"/>
          <w:szCs w:val="24"/>
          <w:lang w:eastAsia="it-CH"/>
        </w:rPr>
        <w:t xml:space="preserve"> Determinanti sono stati anche m</w:t>
      </w:r>
      <w:r w:rsidRPr="00C4653D">
        <w:rPr>
          <w:rFonts w:eastAsia="Times New Roman" w:cs="Arial"/>
          <w:szCs w:val="24"/>
          <w:lang w:eastAsia="it-CH"/>
        </w:rPr>
        <w:t xml:space="preserve">aggiori ricavi per complessivi 143 milioni di franchi. </w:t>
      </w:r>
    </w:p>
    <w:p w:rsidR="009B4442" w:rsidRDefault="009B4442" w:rsidP="009B4442">
      <w:pPr>
        <w:shd w:val="clear" w:color="auto" w:fill="FFFFFF"/>
        <w:rPr>
          <w:rFonts w:eastAsia="Times New Roman" w:cs="Arial"/>
          <w:szCs w:val="24"/>
          <w:lang w:eastAsia="it-CH"/>
        </w:rPr>
      </w:pPr>
    </w:p>
    <w:p w:rsidR="009B4442" w:rsidRPr="00C12609" w:rsidRDefault="009B4442" w:rsidP="009B4442">
      <w:pPr>
        <w:shd w:val="clear" w:color="auto" w:fill="FFFFFF"/>
        <w:rPr>
          <w:rFonts w:eastAsia="Times New Roman" w:cs="Arial"/>
          <w:szCs w:val="24"/>
          <w:lang w:eastAsia="it-CH"/>
        </w:rPr>
      </w:pPr>
      <w:r w:rsidRPr="00C4653D">
        <w:rPr>
          <w:rFonts w:eastAsia="Times New Roman" w:cs="Arial"/>
          <w:szCs w:val="24"/>
          <w:lang w:eastAsia="it-CH"/>
        </w:rPr>
        <w:t xml:space="preserve">L’aumento dei ricavi rispetto al preventivo è </w:t>
      </w:r>
      <w:r w:rsidRPr="00C12609">
        <w:rPr>
          <w:rFonts w:eastAsia="Times New Roman" w:cs="Arial"/>
          <w:szCs w:val="24"/>
          <w:lang w:eastAsia="it-CH"/>
        </w:rPr>
        <w:t xml:space="preserve">stato determinato </w:t>
      </w:r>
      <w:r w:rsidRPr="00C4653D">
        <w:rPr>
          <w:rFonts w:eastAsia="Times New Roman" w:cs="Arial"/>
          <w:szCs w:val="24"/>
          <w:lang w:eastAsia="it-CH"/>
        </w:rPr>
        <w:t xml:space="preserve">soprattutto </w:t>
      </w:r>
      <w:r>
        <w:rPr>
          <w:rFonts w:eastAsia="Times New Roman" w:cs="Arial"/>
          <w:szCs w:val="24"/>
          <w:lang w:eastAsia="it-CH"/>
        </w:rPr>
        <w:t>d</w:t>
      </w:r>
      <w:r w:rsidRPr="00C4653D">
        <w:rPr>
          <w:rFonts w:eastAsia="Times New Roman" w:cs="Arial"/>
          <w:szCs w:val="24"/>
          <w:lang w:eastAsia="it-CH"/>
        </w:rPr>
        <w:t>alla quota sull’utile della Banca Nazionale Svizzera</w:t>
      </w:r>
      <w:r>
        <w:rPr>
          <w:rFonts w:eastAsia="Times New Roman" w:cs="Arial"/>
          <w:szCs w:val="24"/>
          <w:lang w:eastAsia="it-CH"/>
        </w:rPr>
        <w:t>,</w:t>
      </w:r>
      <w:r w:rsidRPr="00C4653D">
        <w:rPr>
          <w:rFonts w:eastAsia="Times New Roman" w:cs="Arial"/>
          <w:szCs w:val="24"/>
          <w:lang w:eastAsia="it-CH"/>
        </w:rPr>
        <w:t xml:space="preserve"> </w:t>
      </w:r>
      <w:r w:rsidRPr="00C12609">
        <w:rPr>
          <w:rFonts w:eastAsia="Times New Roman" w:cs="Arial"/>
          <w:szCs w:val="24"/>
          <w:lang w:eastAsia="it-CH"/>
        </w:rPr>
        <w:t xml:space="preserve">cresciuto </w:t>
      </w:r>
      <w:r w:rsidRPr="00C4653D">
        <w:rPr>
          <w:rFonts w:eastAsia="Times New Roman" w:cs="Arial"/>
          <w:szCs w:val="24"/>
          <w:lang w:eastAsia="it-CH"/>
        </w:rPr>
        <w:t xml:space="preserve">di 80.4 milioni di franchi rispetto a </w:t>
      </w:r>
      <w:r w:rsidRPr="00C4653D">
        <w:rPr>
          <w:rFonts w:eastAsia="Times New Roman" w:cs="Arial"/>
          <w:szCs w:val="24"/>
          <w:lang w:eastAsia="it-CH"/>
        </w:rPr>
        <w:lastRenderedPageBreak/>
        <w:t xml:space="preserve">quanto preventivato. L’incremento è da ricondurre alla nuova convenzione del 29 gennaio 2021 tra la BNS e il Dipartimento federale delle finanze per il periodo 2021-2025 che prevede, in funzione del livello dell’utile di bilancio, una distribuzione massima di 6 miliardi di franchi a Confederazione e Cantoni, ciò che è avvenuto nel 2021. </w:t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pPr>
        <w:rPr>
          <w:rFonts w:cs="Arial"/>
          <w:szCs w:val="24"/>
        </w:rPr>
      </w:pPr>
      <w:r w:rsidRPr="00C12609">
        <w:rPr>
          <w:rFonts w:cs="Arial"/>
          <w:szCs w:val="24"/>
        </w:rPr>
        <w:t xml:space="preserve">Resta </w:t>
      </w:r>
      <w:r>
        <w:rPr>
          <w:rFonts w:cs="Arial"/>
          <w:szCs w:val="24"/>
        </w:rPr>
        <w:t>assodato che i</w:t>
      </w:r>
      <w:r w:rsidRPr="00C12609">
        <w:rPr>
          <w:rFonts w:cs="Arial"/>
          <w:szCs w:val="24"/>
        </w:rPr>
        <w:t>l conto di compensazione negli ultimi due anni ha subito una crescita, che piano piano andrà ammortizzata, e ciò avrà un impatto sugli esercizi del futuro. Il Governo sta già lavorando al P2023 adottando un approccio pragmatico che tiene conto di tutte</w:t>
      </w:r>
      <w:r>
        <w:rPr>
          <w:rFonts w:cs="Arial"/>
          <w:szCs w:val="24"/>
        </w:rPr>
        <w:t xml:space="preserve"> le incidenze sui conti, </w:t>
      </w:r>
      <w:r w:rsidRPr="00C12609">
        <w:rPr>
          <w:rFonts w:cs="Arial"/>
          <w:szCs w:val="24"/>
        </w:rPr>
        <w:t xml:space="preserve">compresa la crisi in Ucraina, che comporterà spese supplementari inevitabili, nonostante il sostegno della Confederazione. </w:t>
      </w:r>
    </w:p>
    <w:p w:rsidR="009B4442" w:rsidRDefault="009B4442" w:rsidP="009B4442">
      <w:pPr>
        <w:rPr>
          <w:rFonts w:cs="Arial"/>
          <w:szCs w:val="24"/>
        </w:rPr>
      </w:pPr>
    </w:p>
    <w:p w:rsidR="009B4442" w:rsidRPr="00C12609" w:rsidRDefault="009B4442" w:rsidP="009B4442">
      <w:pPr>
        <w:rPr>
          <w:rFonts w:cs="Arial"/>
          <w:szCs w:val="24"/>
        </w:rPr>
      </w:pPr>
      <w:r>
        <w:rPr>
          <w:rFonts w:cs="Arial"/>
          <w:szCs w:val="24"/>
        </w:rPr>
        <w:t xml:space="preserve">Perciò è importante mantenere aperto un dialogo costruttivo tra Consiglio di Stato e Parlamento, appellandosi alla responsabilità da parte di tutti, senza tuttavia che questo aspetto finisca per favorire un generale appiattimento delle varie sensibilità presenti in Parlamento. </w:t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pPr>
        <w:jc w:val="left"/>
        <w:rPr>
          <w:rFonts w:cs="Arial"/>
          <w:szCs w:val="24"/>
        </w:rPr>
      </w:pPr>
    </w:p>
    <w:p w:rsidR="009B4442" w:rsidRPr="00940071" w:rsidRDefault="009B4442" w:rsidP="009B4442">
      <w:pPr>
        <w:pStyle w:val="Titolo1"/>
        <w:numPr>
          <w:ilvl w:val="0"/>
          <w:numId w:val="18"/>
        </w:numPr>
        <w:tabs>
          <w:tab w:val="left" w:pos="567"/>
        </w:tabs>
        <w:spacing w:before="0"/>
        <w:ind w:left="567" w:hanging="567"/>
        <w:jc w:val="both"/>
      </w:pPr>
      <w:r w:rsidRPr="00940071">
        <w:t>DATI PRINCIPALI DEL CONSUNTIVO 2021</w:t>
      </w:r>
    </w:p>
    <w:p w:rsidR="009B4442" w:rsidRDefault="009B4442" w:rsidP="009B4442">
      <w:pPr>
        <w:rPr>
          <w:rFonts w:cs="Arial"/>
          <w:szCs w:val="24"/>
        </w:rPr>
      </w:pPr>
      <w:r w:rsidRPr="00940071">
        <w:rPr>
          <w:rFonts w:cs="Arial"/>
          <w:szCs w:val="24"/>
        </w:rPr>
        <w:t>I punti che seguono espongono i dati principali che caratterizzano il C2021. Ogni punto è accompagnato da un grafico che lo contestualizza.</w:t>
      </w:r>
    </w:p>
    <w:p w:rsidR="009B4442" w:rsidRPr="00940071" w:rsidRDefault="009B4442" w:rsidP="009B4442">
      <w:pPr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noProof/>
          <w:szCs w:val="24"/>
          <w:lang w:eastAsia="it-CH"/>
        </w:rPr>
        <w:drawing>
          <wp:inline distT="0" distB="0" distL="0" distR="0" wp14:anchorId="4356E326" wp14:editId="7754FD19">
            <wp:extent cx="6115050" cy="3441700"/>
            <wp:effectExtent l="19050" t="19050" r="19050" b="2540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1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pPr>
        <w:pStyle w:val="Titolo2"/>
        <w:numPr>
          <w:ilvl w:val="1"/>
          <w:numId w:val="18"/>
        </w:numPr>
        <w:tabs>
          <w:tab w:val="left" w:pos="567"/>
        </w:tabs>
        <w:spacing w:before="0" w:after="120"/>
        <w:ind w:left="567" w:hanging="567"/>
        <w:jc w:val="both"/>
      </w:pPr>
      <w:r>
        <w:t>Risultato di esercizio</w:t>
      </w:r>
    </w:p>
    <w:p w:rsidR="009B4442" w:rsidRPr="00B14B94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  <w:r w:rsidRPr="00B14B94">
        <w:rPr>
          <w:rFonts w:cs="Arial"/>
          <w:color w:val="000000"/>
          <w:szCs w:val="24"/>
          <w:lang w:eastAsia="it-CH"/>
        </w:rPr>
        <w:t>Il disavanzo d’esercizio a C2021 si attesta a 58.2 milioni di franchi a fronte di un disavanzo</w:t>
      </w:r>
    </w:p>
    <w:p w:rsidR="009B4442" w:rsidRPr="00B14B94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  <w:r w:rsidRPr="00B14B94">
        <w:rPr>
          <w:rFonts w:cs="Arial"/>
          <w:color w:val="000000"/>
          <w:szCs w:val="24"/>
          <w:lang w:eastAsia="it-CH"/>
        </w:rPr>
        <w:t xml:space="preserve">preventivato di 230.7 milioni di franchi, indicando un miglioramento di 172.5 milioni rispetto al preventivo 2021. Tale tendenza al miglioramento dei conti 2021 è stata riscontrata anche in altri enti pubblici. Le incertezze legate alla pandemia di Covid-19 hanno condizionato </w:t>
      </w:r>
      <w:r w:rsidRPr="00B14B94">
        <w:rPr>
          <w:rFonts w:cs="Arial"/>
          <w:color w:val="000000"/>
          <w:szCs w:val="24"/>
          <w:lang w:eastAsia="it-CH"/>
        </w:rPr>
        <w:lastRenderedPageBreak/>
        <w:t>pesantemente le valutazioni finanziarie relative al 2021 sia sul fronte dei ricavi sia sul fronte delle spese. Il PIL ha registrato nel 2021 una ripresa del 5.3%</w:t>
      </w:r>
      <w:r>
        <w:rPr>
          <w:rFonts w:cs="Arial"/>
          <w:color w:val="000000"/>
          <w:szCs w:val="24"/>
          <w:lang w:eastAsia="it-CH"/>
        </w:rPr>
        <w:t>,</w:t>
      </w:r>
      <w:r w:rsidRPr="00B14B94">
        <w:rPr>
          <w:rFonts w:cs="Arial"/>
          <w:color w:val="000000"/>
          <w:szCs w:val="24"/>
          <w:lang w:eastAsia="it-CH"/>
        </w:rPr>
        <w:t xml:space="preserve"> ritenuta insufficiente per compensare la riduzione nel 2020 dell’8%. </w:t>
      </w:r>
    </w:p>
    <w:p w:rsidR="009B4442" w:rsidRPr="00B14B94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  <w:r w:rsidRPr="00B14B94">
        <w:rPr>
          <w:rFonts w:cs="Arial"/>
          <w:color w:val="000000"/>
          <w:szCs w:val="24"/>
          <w:lang w:eastAsia="it-CH"/>
        </w:rPr>
        <w:t xml:space="preserve">Gli ultimi aggiornamenti del PIL nominale forniti dal BAK Basel indicano attualmente una riduzione molto più contenuta nel 2020 (-2.8%), che è stata recuperata nel 2021 (+4.3%). </w:t>
      </w:r>
    </w:p>
    <w:p w:rsidR="009B4442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</w:p>
    <w:p w:rsidR="009B4442" w:rsidRPr="00B14B94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  <w:r w:rsidRPr="00940071">
        <w:rPr>
          <w:rFonts w:cs="Arial"/>
          <w:noProof/>
          <w:szCs w:val="24"/>
          <w:lang w:eastAsia="it-CH"/>
        </w:rPr>
        <w:drawing>
          <wp:inline distT="0" distB="0" distL="0" distR="0" wp14:anchorId="127E8F30" wp14:editId="1C47D585">
            <wp:extent cx="6115050" cy="3441700"/>
            <wp:effectExtent l="19050" t="19050" r="19050" b="2540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90" cy="34457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442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</w:p>
    <w:p w:rsidR="009B4442" w:rsidRPr="00B14B94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  <w:r w:rsidRPr="00B14B94">
        <w:rPr>
          <w:rFonts w:cs="Arial"/>
          <w:color w:val="000000"/>
          <w:szCs w:val="24"/>
          <w:lang w:eastAsia="it-CH"/>
        </w:rPr>
        <w:t>Il miglioramento delle condizioni congiunturali ha comportato un incremento di 77.5 milioni di franchi dei gettiti di competenza 2021 delle imposte delle persone fisiche e giuridiche rispetto a quanto previsto nel messaggio sul preventivo 2021, nonché un aumento di altre imposte e</w:t>
      </w:r>
      <w:r>
        <w:rPr>
          <w:rFonts w:cs="Arial"/>
          <w:color w:val="000000"/>
          <w:szCs w:val="24"/>
          <w:lang w:eastAsia="it-CH"/>
        </w:rPr>
        <w:t>d</w:t>
      </w:r>
      <w:r w:rsidRPr="00B14B94">
        <w:rPr>
          <w:rFonts w:cs="Arial"/>
          <w:color w:val="000000"/>
          <w:szCs w:val="24"/>
          <w:lang w:eastAsia="it-CH"/>
        </w:rPr>
        <w:t xml:space="preserve"> entrate, quali i proventi sull’utile della Banca nazionale svizzera (BNS), che ha versato una quota di 6 miliardi di franchi a Confederazione e Cantoni nel 2021. Il Ticino ha ricevuto una quota di 164.4 milioni di franchi, a fronte di un preventivo di 84 milioni.</w:t>
      </w:r>
    </w:p>
    <w:p w:rsidR="009B4442" w:rsidRPr="00B14B94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</w:p>
    <w:p w:rsidR="009B4442" w:rsidRPr="00B14B94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  <w:r w:rsidRPr="00B14B94">
        <w:rPr>
          <w:rFonts w:cs="Arial"/>
          <w:color w:val="000000"/>
          <w:szCs w:val="24"/>
          <w:lang w:eastAsia="it-CH"/>
        </w:rPr>
        <w:t>Contribuiscono all’aumento complessivo dei ricavi</w:t>
      </w:r>
      <w:r>
        <w:rPr>
          <w:rFonts w:cs="Arial"/>
          <w:color w:val="000000"/>
          <w:szCs w:val="24"/>
          <w:lang w:eastAsia="it-CH"/>
        </w:rPr>
        <w:t>,</w:t>
      </w:r>
      <w:r w:rsidRPr="00B14B94">
        <w:rPr>
          <w:rFonts w:cs="Arial"/>
          <w:color w:val="000000"/>
          <w:szCs w:val="24"/>
          <w:lang w:eastAsia="it-CH"/>
        </w:rPr>
        <w:t xml:space="preserve"> i contributi di enti pubblici e terzi, tra cui i contributi federali per i casi di rigore per un importo di 132.5 milioni di franchi, non preventivato a P2021. </w:t>
      </w:r>
    </w:p>
    <w:p w:rsidR="009B4442" w:rsidRPr="00B14B94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</w:p>
    <w:p w:rsidR="009B4442" w:rsidRPr="00B14B94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  <w:r w:rsidRPr="00B14B94">
        <w:rPr>
          <w:rFonts w:cs="Arial"/>
          <w:color w:val="000000"/>
          <w:szCs w:val="24"/>
          <w:lang w:eastAsia="it-CH"/>
        </w:rPr>
        <w:t xml:space="preserve">Le spese registrano un aumento rispetto al </w:t>
      </w:r>
      <w:r>
        <w:rPr>
          <w:rFonts w:cs="Arial"/>
          <w:color w:val="000000"/>
          <w:szCs w:val="24"/>
          <w:lang w:eastAsia="it-CH"/>
        </w:rPr>
        <w:t>P</w:t>
      </w:r>
      <w:r w:rsidRPr="00B14B94">
        <w:rPr>
          <w:rFonts w:cs="Arial"/>
          <w:color w:val="000000"/>
          <w:szCs w:val="24"/>
          <w:lang w:eastAsia="it-CH"/>
        </w:rPr>
        <w:t>reventivo 2021 di 159.7 milioni di franchi, in gran parte determinato dal programma di sostegno economico ai settori economici particolarmente colpiti dalla</w:t>
      </w:r>
      <w:r>
        <w:rPr>
          <w:rFonts w:cs="Arial"/>
          <w:color w:val="000000"/>
          <w:szCs w:val="24"/>
          <w:lang w:eastAsia="it-CH"/>
        </w:rPr>
        <w:t xml:space="preserve"> p</w:t>
      </w:r>
      <w:r w:rsidRPr="00B14B94">
        <w:rPr>
          <w:rFonts w:cs="Arial"/>
          <w:color w:val="000000"/>
          <w:szCs w:val="24"/>
          <w:lang w:eastAsia="it-CH"/>
        </w:rPr>
        <w:t>andemia (casi di rigore)</w:t>
      </w:r>
      <w:r>
        <w:rPr>
          <w:rFonts w:cs="Arial"/>
          <w:color w:val="000000"/>
          <w:szCs w:val="24"/>
          <w:lang w:eastAsia="it-CH"/>
        </w:rPr>
        <w:t>,</w:t>
      </w:r>
      <w:r w:rsidRPr="00B14B94">
        <w:rPr>
          <w:rFonts w:cs="Arial"/>
          <w:color w:val="000000"/>
          <w:szCs w:val="24"/>
          <w:lang w:eastAsia="it-CH"/>
        </w:rPr>
        <w:t xml:space="preserve"> per i quali il Cantone ha stanziato aiuti per 139.1 milioni di franchi, a fronte</w:t>
      </w:r>
      <w:r>
        <w:rPr>
          <w:rFonts w:cs="Arial"/>
          <w:color w:val="000000"/>
          <w:szCs w:val="24"/>
          <w:lang w:eastAsia="it-CH"/>
        </w:rPr>
        <w:t xml:space="preserve"> </w:t>
      </w:r>
      <w:r w:rsidRPr="00B14B94">
        <w:rPr>
          <w:rFonts w:cs="Arial"/>
          <w:color w:val="000000"/>
          <w:szCs w:val="24"/>
          <w:lang w:eastAsia="it-CH"/>
        </w:rPr>
        <w:t xml:space="preserve">però di contributi federali per 132.5 milioni di franchi. </w:t>
      </w:r>
    </w:p>
    <w:p w:rsidR="009B4442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</w:p>
    <w:p w:rsidR="009B4442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  <w:r w:rsidRPr="00940071">
        <w:rPr>
          <w:rFonts w:cs="Arial"/>
          <w:szCs w:val="24"/>
        </w:rPr>
        <w:t xml:space="preserve">Si stimano </w:t>
      </w:r>
      <w:r w:rsidRPr="00F40838">
        <w:rPr>
          <w:rFonts w:cs="Arial"/>
          <w:szCs w:val="24"/>
          <w:u w:val="single"/>
        </w:rPr>
        <w:t>circa 50 mio di incidenza diretta legata al Covid-19</w:t>
      </w:r>
      <w:r w:rsidRPr="00940071">
        <w:rPr>
          <w:rFonts w:cs="Arial"/>
          <w:szCs w:val="24"/>
        </w:rPr>
        <w:t xml:space="preserve"> sul risultato di esercizio 2021.</w:t>
      </w:r>
    </w:p>
    <w:p w:rsidR="009B4442" w:rsidRPr="00940071" w:rsidRDefault="009B4442" w:rsidP="009B4442">
      <w:pPr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noProof/>
          <w:szCs w:val="24"/>
          <w:lang w:eastAsia="it-CH"/>
        </w:rPr>
        <w:lastRenderedPageBreak/>
        <w:drawing>
          <wp:inline distT="0" distB="0" distL="0" distR="0" wp14:anchorId="0AD701D2" wp14:editId="756D9919">
            <wp:extent cx="6115050" cy="3441700"/>
            <wp:effectExtent l="19050" t="19050" r="19050" b="2540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1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442" w:rsidRDefault="009B4442" w:rsidP="00AA1C90">
      <w:pPr>
        <w:spacing w:before="120"/>
        <w:jc w:val="left"/>
        <w:rPr>
          <w:rFonts w:cs="Arial"/>
          <w:color w:val="000000"/>
          <w:szCs w:val="24"/>
          <w:lang w:eastAsia="it-CH"/>
        </w:rPr>
      </w:pPr>
    </w:p>
    <w:p w:rsidR="009B4442" w:rsidRPr="00B14B94" w:rsidRDefault="009B4442" w:rsidP="009B4442">
      <w:pPr>
        <w:rPr>
          <w:rFonts w:cs="Arial"/>
          <w:color w:val="000000"/>
          <w:szCs w:val="24"/>
          <w:lang w:eastAsia="it-CH"/>
        </w:rPr>
      </w:pPr>
      <w:r>
        <w:rPr>
          <w:rFonts w:cs="Arial"/>
          <w:color w:val="000000"/>
          <w:szCs w:val="24"/>
          <w:lang w:eastAsia="it-CH"/>
        </w:rPr>
        <w:t xml:space="preserve">La seguente tabella e il seguente grafico mostrano in ottica evolutiva i risultati di conto economico dal C2020 al C2021 e dei risultati di esercizio. </w:t>
      </w:r>
      <w:r w:rsidRPr="00B14B94">
        <w:rPr>
          <w:rFonts w:cs="Arial"/>
          <w:color w:val="000000"/>
          <w:szCs w:val="24"/>
          <w:lang w:eastAsia="it-CH"/>
        </w:rPr>
        <w:t xml:space="preserve">L’autofinanziamento </w:t>
      </w:r>
      <w:r>
        <w:rPr>
          <w:rFonts w:cs="Arial"/>
          <w:color w:val="000000"/>
          <w:szCs w:val="24"/>
          <w:lang w:eastAsia="it-CH"/>
        </w:rPr>
        <w:t xml:space="preserve">a C2021 </w:t>
      </w:r>
      <w:r w:rsidRPr="00B14B94">
        <w:rPr>
          <w:rFonts w:cs="Arial"/>
          <w:color w:val="000000"/>
          <w:szCs w:val="24"/>
          <w:lang w:eastAsia="it-CH"/>
        </w:rPr>
        <w:t>si attesta a 190.4 milioni di franchi, mentre il risultato totale ammonta a -64.6 milioni di franchi a fronte di -280.8 milioni di franchi</w:t>
      </w:r>
      <w:r>
        <w:rPr>
          <w:rFonts w:cs="Arial"/>
          <w:color w:val="000000"/>
          <w:szCs w:val="24"/>
          <w:lang w:eastAsia="it-CH"/>
        </w:rPr>
        <w:t xml:space="preserve"> </w:t>
      </w:r>
      <w:r w:rsidRPr="00B14B94">
        <w:rPr>
          <w:rFonts w:cs="Arial"/>
          <w:color w:val="000000"/>
          <w:szCs w:val="24"/>
          <w:lang w:eastAsia="it-CH"/>
        </w:rPr>
        <w:t xml:space="preserve">stimato in sede di </w:t>
      </w:r>
      <w:r>
        <w:rPr>
          <w:rFonts w:cs="Arial"/>
          <w:color w:val="000000"/>
          <w:szCs w:val="24"/>
          <w:lang w:eastAsia="it-CH"/>
        </w:rPr>
        <w:t>P</w:t>
      </w:r>
      <w:r w:rsidRPr="00B14B94">
        <w:rPr>
          <w:rFonts w:cs="Arial"/>
          <w:color w:val="000000"/>
          <w:szCs w:val="24"/>
          <w:lang w:eastAsia="it-CH"/>
        </w:rPr>
        <w:t xml:space="preserve">reventivo. </w:t>
      </w:r>
    </w:p>
    <w:p w:rsidR="009B4442" w:rsidRPr="00722534" w:rsidRDefault="009B4442" w:rsidP="009B4442">
      <w:pPr>
        <w:autoSpaceDE w:val="0"/>
        <w:autoSpaceDN w:val="0"/>
        <w:adjustRightInd w:val="0"/>
        <w:jc w:val="left"/>
        <w:rPr>
          <w:rFonts w:cs="Arial"/>
          <w:color w:val="000000"/>
          <w:szCs w:val="24"/>
          <w:lang w:eastAsia="it-CH"/>
        </w:rPr>
      </w:pPr>
    </w:p>
    <w:p w:rsidR="009B4442" w:rsidRPr="00B76311" w:rsidRDefault="009B4442" w:rsidP="009B4442">
      <w:pPr>
        <w:rPr>
          <w:lang w:val="it-IT" w:eastAsia="it-IT"/>
        </w:rPr>
      </w:pPr>
      <w:r w:rsidRPr="00B14B94">
        <w:rPr>
          <w:noProof/>
          <w:lang w:eastAsia="it-CH"/>
        </w:rPr>
        <w:lastRenderedPageBreak/>
        <w:drawing>
          <wp:inline distT="0" distB="0" distL="0" distR="0" wp14:anchorId="08973CB0" wp14:editId="2CFFCEEE">
            <wp:extent cx="5696243" cy="4400776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6243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42" w:rsidRDefault="009B4442" w:rsidP="00AA1C90">
      <w:pPr>
        <w:spacing w:after="120"/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noProof/>
          <w:szCs w:val="24"/>
          <w:lang w:eastAsia="it-CH"/>
        </w:rPr>
        <w:drawing>
          <wp:inline distT="0" distB="0" distL="0" distR="0" wp14:anchorId="6CB253A1" wp14:editId="103F3928">
            <wp:extent cx="6115050" cy="3441700"/>
            <wp:effectExtent l="19050" t="19050" r="19050" b="2540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1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1C90" w:rsidRDefault="00AA1C90" w:rsidP="004442A1">
      <w:pPr>
        <w:spacing w:before="240"/>
        <w:rPr>
          <w:rFonts w:cs="Arial"/>
          <w:szCs w:val="24"/>
        </w:rPr>
      </w:pPr>
    </w:p>
    <w:p w:rsidR="009B4442" w:rsidRPr="00940071" w:rsidRDefault="009B4442" w:rsidP="004442A1">
      <w:pPr>
        <w:spacing w:before="240"/>
        <w:rPr>
          <w:rFonts w:cs="Arial"/>
          <w:szCs w:val="24"/>
        </w:rPr>
      </w:pPr>
      <w:r>
        <w:rPr>
          <w:rFonts w:cs="Arial"/>
          <w:szCs w:val="24"/>
        </w:rPr>
        <w:lastRenderedPageBreak/>
        <w:t>Da un confronto intercantonale dei risultati di esercizio, si evince che u</w:t>
      </w:r>
      <w:r w:rsidRPr="00940071">
        <w:rPr>
          <w:rFonts w:cs="Arial"/>
          <w:szCs w:val="24"/>
        </w:rPr>
        <w:t>n buon numero di Cantoni è vicino al pareggio. La Confederazione ha una perdita leggermente superiore alla perdita del Ticino. Altri Cantoni hanno registrato utili. Due fattori incidono sui risultati: essendo stato il Ticino il primo Cantone colpito dalla crisi Covid-19, il costo della gestione della pandemia è stato superiore ad altri Cantoni in termin</w:t>
      </w:r>
      <w:r>
        <w:rPr>
          <w:rFonts w:cs="Arial"/>
          <w:szCs w:val="24"/>
        </w:rPr>
        <w:t>i</w:t>
      </w:r>
      <w:r w:rsidRPr="00940071">
        <w:rPr>
          <w:rFonts w:cs="Arial"/>
          <w:szCs w:val="24"/>
        </w:rPr>
        <w:t xml:space="preserve"> pro</w:t>
      </w:r>
      <w:r>
        <w:rPr>
          <w:rFonts w:cs="Arial"/>
          <w:szCs w:val="24"/>
        </w:rPr>
        <w:t xml:space="preserve"> </w:t>
      </w:r>
      <w:r w:rsidRPr="00940071">
        <w:rPr>
          <w:rFonts w:cs="Arial"/>
          <w:szCs w:val="24"/>
        </w:rPr>
        <w:t>capite, ciò che incide anche sul risultato di esercizio; inoltre</w:t>
      </w:r>
      <w:r>
        <w:rPr>
          <w:rFonts w:cs="Arial"/>
          <w:szCs w:val="24"/>
        </w:rPr>
        <w:t>,</w:t>
      </w:r>
      <w:r w:rsidRPr="00940071">
        <w:rPr>
          <w:rFonts w:cs="Arial"/>
          <w:szCs w:val="24"/>
        </w:rPr>
        <w:t xml:space="preserve"> il riequilibrio raggiunto nel 2019 ha spinto ad adottare nuove scelte politiche con costi che la crisi Covid-19 ha reso più difficili da sopportare in termini di finanze pubbliche.</w:t>
      </w:r>
    </w:p>
    <w:p w:rsidR="009B4442" w:rsidRDefault="009B4442" w:rsidP="009B4442">
      <w:pPr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noProof/>
          <w:szCs w:val="24"/>
          <w:lang w:eastAsia="it-CH"/>
        </w:rPr>
        <w:drawing>
          <wp:inline distT="0" distB="0" distL="0" distR="0" wp14:anchorId="64807C23" wp14:editId="302724EE">
            <wp:extent cx="6115050" cy="3441700"/>
            <wp:effectExtent l="19050" t="19050" r="19050" b="2540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1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442" w:rsidRDefault="009B4442" w:rsidP="009B4442">
      <w:pPr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szCs w:val="24"/>
        </w:rPr>
        <w:t xml:space="preserve">Una visione più strutturale sulle spese, e di riflesso sui ricavi, sarà disponibile eleminando gli esercizi 2020 e 2021, anni particolari in ragione della presenza della crisi pandemica.  </w:t>
      </w:r>
    </w:p>
    <w:p w:rsidR="009B4442" w:rsidRDefault="009B4442" w:rsidP="009B4442">
      <w:pPr>
        <w:rPr>
          <w:rFonts w:cs="Arial"/>
          <w:szCs w:val="24"/>
        </w:rPr>
      </w:pPr>
    </w:p>
    <w:p w:rsidR="00AA1C90" w:rsidRDefault="00AA1C90" w:rsidP="009B4442">
      <w:pPr>
        <w:rPr>
          <w:rFonts w:cs="Arial"/>
          <w:szCs w:val="24"/>
        </w:rPr>
      </w:pPr>
    </w:p>
    <w:p w:rsidR="009B4442" w:rsidRDefault="009B4442" w:rsidP="009B4442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9B4442" w:rsidRDefault="009B4442" w:rsidP="009B4442">
      <w:pPr>
        <w:pStyle w:val="Titolo2"/>
        <w:numPr>
          <w:ilvl w:val="1"/>
          <w:numId w:val="18"/>
        </w:numPr>
        <w:tabs>
          <w:tab w:val="left" w:pos="567"/>
        </w:tabs>
        <w:spacing w:before="0" w:after="0"/>
        <w:ind w:left="567" w:hanging="567"/>
        <w:jc w:val="both"/>
      </w:pPr>
      <w:r w:rsidRPr="005E7D65">
        <w:lastRenderedPageBreak/>
        <w:t>Capitale proprio e debito pubblico</w:t>
      </w:r>
    </w:p>
    <w:p w:rsidR="009B4442" w:rsidRPr="0067179D" w:rsidRDefault="009B4442" w:rsidP="009B4442">
      <w:pPr>
        <w:rPr>
          <w:lang w:val="it-IT" w:eastAsia="it-IT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noProof/>
          <w:szCs w:val="24"/>
          <w:lang w:eastAsia="it-CH"/>
        </w:rPr>
        <w:drawing>
          <wp:inline distT="0" distB="0" distL="0" distR="0" wp14:anchorId="68C08C9C" wp14:editId="3DDF27D2">
            <wp:extent cx="6115050" cy="3441700"/>
            <wp:effectExtent l="19050" t="19050" r="19050" b="2540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1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AA1C90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 w:rsidRPr="00940071">
        <w:rPr>
          <w:rFonts w:cs="Arial"/>
          <w:szCs w:val="24"/>
        </w:rPr>
        <w:t xml:space="preserve">Il campanello d’allarme più negativo concerne il capitale proprio, che si attesta a quasi -100 mio, ciò che denota che il Cantone non ha riserve e che </w:t>
      </w:r>
      <w:r>
        <w:rPr>
          <w:rFonts w:cs="Arial"/>
          <w:szCs w:val="24"/>
        </w:rPr>
        <w:t xml:space="preserve">anzi </w:t>
      </w:r>
      <w:r w:rsidRPr="00940071">
        <w:rPr>
          <w:rFonts w:cs="Arial"/>
          <w:szCs w:val="24"/>
        </w:rPr>
        <w:t xml:space="preserve">ha accumulato riserve negative. Il debito pubblico, pur superando la soglia dei 2 mia, comporta una crescita che ancora si sta gestendo. L’autofinanziamento ha chiuso a 190 mio di franchi. </w:t>
      </w:r>
      <w:r>
        <w:rPr>
          <w:rFonts w:cs="Arial"/>
          <w:szCs w:val="24"/>
        </w:rPr>
        <w:t>I</w:t>
      </w:r>
      <w:r w:rsidRPr="00940071">
        <w:rPr>
          <w:rFonts w:cs="Arial"/>
          <w:szCs w:val="24"/>
        </w:rPr>
        <w:t>nvestimenti superiori all’autofinanziamento</w:t>
      </w:r>
      <w:r>
        <w:rPr>
          <w:rFonts w:cs="Arial"/>
          <w:szCs w:val="24"/>
        </w:rPr>
        <w:t xml:space="preserve"> hanno </w:t>
      </w:r>
      <w:r w:rsidRPr="00940071">
        <w:rPr>
          <w:rFonts w:cs="Arial"/>
          <w:szCs w:val="24"/>
        </w:rPr>
        <w:t xml:space="preserve">generato un aumento del debito pubblico. Il grado di autofinanziamento si situa attorno al 75%. </w:t>
      </w:r>
    </w:p>
    <w:p w:rsidR="009B4442" w:rsidRDefault="009B4442" w:rsidP="009B4442">
      <w:pPr>
        <w:autoSpaceDE w:val="0"/>
        <w:autoSpaceDN w:val="0"/>
        <w:adjustRightInd w:val="0"/>
        <w:rPr>
          <w:rFonts w:cs="Arial"/>
          <w:szCs w:val="24"/>
        </w:rPr>
      </w:pPr>
    </w:p>
    <w:p w:rsidR="009B4442" w:rsidRPr="00B14B94" w:rsidRDefault="009B4442" w:rsidP="009B4442">
      <w:pPr>
        <w:autoSpaceDE w:val="0"/>
        <w:autoSpaceDN w:val="0"/>
        <w:adjustRightInd w:val="0"/>
        <w:rPr>
          <w:rFonts w:cs="Arial"/>
          <w:color w:val="000000"/>
          <w:szCs w:val="24"/>
          <w:lang w:eastAsia="it-CH"/>
        </w:rPr>
      </w:pPr>
      <w:r w:rsidRPr="00B14B94">
        <w:rPr>
          <w:rFonts w:cs="Arial"/>
          <w:color w:val="000000"/>
          <w:szCs w:val="24"/>
          <w:lang w:eastAsia="it-CH"/>
        </w:rPr>
        <w:t xml:space="preserve">Gli investimenti netti effettuati nel 2021 ammontano a 255 milioni di franchi, inferiori di </w:t>
      </w:r>
      <w:r w:rsidR="00AA1C90">
        <w:rPr>
          <w:rFonts w:cs="Arial"/>
          <w:color w:val="000000"/>
          <w:szCs w:val="24"/>
          <w:lang w:eastAsia="it-CH"/>
        </w:rPr>
        <w:br/>
      </w:r>
      <w:r w:rsidRPr="00B14B94">
        <w:rPr>
          <w:rFonts w:cs="Arial"/>
          <w:color w:val="000000"/>
          <w:szCs w:val="24"/>
          <w:lang w:eastAsia="it-CH"/>
        </w:rPr>
        <w:t>3.5 milioni di franchi</w:t>
      </w:r>
      <w:r>
        <w:rPr>
          <w:rFonts w:cs="Arial"/>
          <w:color w:val="000000"/>
          <w:szCs w:val="24"/>
          <w:lang w:eastAsia="it-CH"/>
        </w:rPr>
        <w:t xml:space="preserve"> </w:t>
      </w:r>
      <w:r w:rsidRPr="00B14B94">
        <w:rPr>
          <w:rFonts w:cs="Arial"/>
          <w:color w:val="000000"/>
          <w:szCs w:val="24"/>
          <w:lang w:eastAsia="it-CH"/>
        </w:rPr>
        <w:t xml:space="preserve">rispetto al preventivo. </w:t>
      </w:r>
    </w:p>
    <w:p w:rsidR="009B4442" w:rsidRPr="00940071" w:rsidRDefault="009B4442" w:rsidP="009B4442">
      <w:pPr>
        <w:rPr>
          <w:rFonts w:cs="Arial"/>
          <w:szCs w:val="24"/>
        </w:rPr>
      </w:pPr>
      <w:r>
        <w:t>Deducendo dall'autofinanziamento gli investimenti netti si determina un disavanzo totale di -64.6 milioni di franchi, rispetto al disavanzo totale di -280.8 milioni di franchi del Preventivo 2021.</w:t>
      </w: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noProof/>
          <w:szCs w:val="24"/>
          <w:lang w:eastAsia="it-CH"/>
        </w:rPr>
        <w:lastRenderedPageBreak/>
        <w:drawing>
          <wp:inline distT="0" distB="0" distL="0" distR="0" wp14:anchorId="35077363" wp14:editId="79E27D78">
            <wp:extent cx="6115050" cy="3441700"/>
            <wp:effectExtent l="19050" t="19050" r="19050" b="2540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1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442" w:rsidRDefault="009B4442" w:rsidP="00AA1C90">
      <w:pPr>
        <w:spacing w:before="120"/>
        <w:rPr>
          <w:rFonts w:cs="Arial"/>
          <w:szCs w:val="24"/>
        </w:rPr>
      </w:pPr>
    </w:p>
    <w:p w:rsidR="009B4442" w:rsidRDefault="009B4442" w:rsidP="009B4442">
      <w:r>
        <w:t>Il debito pubblico, corrispondente al capitale di terzi dedotti i beni patrimoniali, evolve in relazione al risultato totale del Cantone ed è tendenzialmente in crescita dal 1990 al 2016. Dal 2017 al 2019, grazie al raggiungimento di un avanzo di esercizio, il debito pubblico è diminuito e nel 2020 e nel 2021 è nuovamente aumentato, soprattutto a causa dell’importante disavanzo d’esercizio indotto dalla pandemia.</w:t>
      </w:r>
    </w:p>
    <w:p w:rsidR="009B4442" w:rsidRPr="00940071" w:rsidRDefault="009B4442" w:rsidP="009B4442">
      <w:pPr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>
        <w:rPr>
          <w:rFonts w:cs="Arial"/>
          <w:szCs w:val="24"/>
        </w:rPr>
        <w:t>I</w:t>
      </w:r>
      <w:r w:rsidRPr="00940071">
        <w:rPr>
          <w:rFonts w:cs="Arial"/>
          <w:szCs w:val="24"/>
        </w:rPr>
        <w:t>l triennio 2017, 2018 e 2019 ha registrato buoni risultati</w:t>
      </w:r>
      <w:r>
        <w:rPr>
          <w:rFonts w:cs="Arial"/>
          <w:szCs w:val="24"/>
        </w:rPr>
        <w:t xml:space="preserve">, segnando </w:t>
      </w:r>
      <w:r w:rsidRPr="00940071">
        <w:rPr>
          <w:rFonts w:cs="Arial"/>
          <w:szCs w:val="24"/>
        </w:rPr>
        <w:t xml:space="preserve">un contenimento e una riduzione del debito pubblico. Nel 2020 e nel 2021 il debito pubblico non è esploso, ma è </w:t>
      </w:r>
      <w:proofErr w:type="spellStart"/>
      <w:r w:rsidRPr="00940071">
        <w:rPr>
          <w:rFonts w:cs="Arial"/>
          <w:szCs w:val="24"/>
        </w:rPr>
        <w:t>riaumentato</w:t>
      </w:r>
      <w:proofErr w:type="spellEnd"/>
      <w:r w:rsidRPr="00940071">
        <w:rPr>
          <w:rFonts w:cs="Arial"/>
          <w:szCs w:val="24"/>
        </w:rPr>
        <w:t xml:space="preserve"> e oggi si situa oltre i 2 mia di franchi.</w:t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pPr>
        <w:jc w:val="left"/>
        <w:rPr>
          <w:rFonts w:cs="Arial"/>
          <w:szCs w:val="24"/>
        </w:rPr>
      </w:pPr>
    </w:p>
    <w:p w:rsidR="009B4442" w:rsidRDefault="009B4442" w:rsidP="009B4442">
      <w:pPr>
        <w:pStyle w:val="Titolo2"/>
        <w:numPr>
          <w:ilvl w:val="1"/>
          <w:numId w:val="18"/>
        </w:numPr>
        <w:tabs>
          <w:tab w:val="left" w:pos="567"/>
        </w:tabs>
        <w:spacing w:before="0" w:after="120"/>
        <w:ind w:left="567" w:hanging="567"/>
        <w:jc w:val="both"/>
      </w:pPr>
      <w:r>
        <w:t>Spese e ricavi</w:t>
      </w: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szCs w:val="24"/>
        </w:rPr>
        <w:t xml:space="preserve">Di seguito </w:t>
      </w:r>
      <w:r>
        <w:rPr>
          <w:rFonts w:cs="Arial"/>
          <w:szCs w:val="24"/>
        </w:rPr>
        <w:t xml:space="preserve">si presentano </w:t>
      </w:r>
      <w:r w:rsidRPr="00940071">
        <w:rPr>
          <w:rFonts w:cs="Arial"/>
          <w:szCs w:val="24"/>
        </w:rPr>
        <w:t xml:space="preserve">i dati principali di scostamento </w:t>
      </w:r>
      <w:r>
        <w:rPr>
          <w:rFonts w:cs="Arial"/>
          <w:szCs w:val="24"/>
        </w:rPr>
        <w:t xml:space="preserve">tra C2021 e </w:t>
      </w:r>
      <w:r w:rsidRPr="00940071">
        <w:rPr>
          <w:rFonts w:cs="Arial"/>
          <w:szCs w:val="24"/>
        </w:rPr>
        <w:t>P2021</w:t>
      </w:r>
      <w:r>
        <w:rPr>
          <w:rFonts w:cs="Arial"/>
          <w:szCs w:val="24"/>
        </w:rPr>
        <w:t xml:space="preserve">: occorre leggere in modo prudente soprattutto i dati concernenti </w:t>
      </w:r>
      <w:r w:rsidRPr="00940071">
        <w:rPr>
          <w:rFonts w:cs="Arial"/>
          <w:szCs w:val="24"/>
        </w:rPr>
        <w:t>le spese 2020 e 2021</w:t>
      </w:r>
      <w:r>
        <w:rPr>
          <w:rFonts w:cs="Arial"/>
          <w:szCs w:val="24"/>
        </w:rPr>
        <w:t xml:space="preserve"> e di riflesso anche i dati relativi ai ricavi</w:t>
      </w:r>
      <w:r w:rsidRPr="00940071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Si registra un aumento di alcune spese </w:t>
      </w:r>
      <w:r w:rsidRPr="00940071">
        <w:rPr>
          <w:rFonts w:cs="Arial"/>
          <w:szCs w:val="24"/>
        </w:rPr>
        <w:t xml:space="preserve">legate alla contingenza </w:t>
      </w:r>
      <w:r>
        <w:rPr>
          <w:rFonts w:cs="Arial"/>
          <w:szCs w:val="24"/>
        </w:rPr>
        <w:t xml:space="preserve">Covid-19 e riconducibile alle </w:t>
      </w:r>
      <w:r w:rsidRPr="00940071">
        <w:rPr>
          <w:rFonts w:cs="Arial"/>
          <w:szCs w:val="24"/>
        </w:rPr>
        <w:t>misure messe in campo</w:t>
      </w:r>
      <w:r>
        <w:rPr>
          <w:rFonts w:cs="Arial"/>
          <w:szCs w:val="24"/>
        </w:rPr>
        <w:t xml:space="preserve"> da Confederazione e Cantone, parzialmente compensati da </w:t>
      </w:r>
      <w:r w:rsidRPr="00940071">
        <w:rPr>
          <w:rFonts w:cs="Arial"/>
          <w:szCs w:val="24"/>
        </w:rPr>
        <w:t>finanziament</w:t>
      </w:r>
      <w:r>
        <w:rPr>
          <w:rFonts w:cs="Arial"/>
          <w:szCs w:val="24"/>
        </w:rPr>
        <w:t>i</w:t>
      </w:r>
      <w:r w:rsidRPr="00940071">
        <w:rPr>
          <w:rFonts w:cs="Arial"/>
          <w:szCs w:val="24"/>
        </w:rPr>
        <w:t xml:space="preserve"> federal</w:t>
      </w:r>
      <w:r>
        <w:rPr>
          <w:rFonts w:cs="Arial"/>
          <w:szCs w:val="24"/>
        </w:rPr>
        <w:t>i. Ad es</w:t>
      </w:r>
      <w:r w:rsidRPr="00940071">
        <w:rPr>
          <w:rFonts w:cs="Arial"/>
          <w:szCs w:val="24"/>
        </w:rPr>
        <w:t>empio, i casi di rigor</w:t>
      </w:r>
      <w:r>
        <w:rPr>
          <w:rFonts w:cs="Arial"/>
          <w:szCs w:val="24"/>
        </w:rPr>
        <w:t>e</w:t>
      </w:r>
      <w:r w:rsidRPr="00940071">
        <w:rPr>
          <w:rFonts w:cs="Arial"/>
          <w:szCs w:val="24"/>
        </w:rPr>
        <w:t xml:space="preserve"> comportano un aumento della spesa di 1</w:t>
      </w:r>
      <w:r>
        <w:rPr>
          <w:rFonts w:cs="Arial"/>
          <w:szCs w:val="24"/>
        </w:rPr>
        <w:t>39.1</w:t>
      </w:r>
      <w:r w:rsidRPr="00940071">
        <w:rPr>
          <w:rFonts w:cs="Arial"/>
          <w:szCs w:val="24"/>
        </w:rPr>
        <w:t xml:space="preserve"> mio, ma a fronte di un’entrata che azzera quasi completamente la spesa</w:t>
      </w:r>
      <w:r>
        <w:rPr>
          <w:rFonts w:cs="Arial"/>
          <w:szCs w:val="24"/>
        </w:rPr>
        <w:t>,</w:t>
      </w:r>
      <w:r w:rsidRPr="00940071">
        <w:rPr>
          <w:rFonts w:cs="Arial"/>
          <w:szCs w:val="24"/>
        </w:rPr>
        <w:t xml:space="preserve"> in ragione dei contributi ricevuti dalla Confederazione. </w:t>
      </w:r>
    </w:p>
    <w:p w:rsidR="009B4442" w:rsidRDefault="009B4442" w:rsidP="009B4442">
      <w:pPr>
        <w:ind w:left="2268" w:hanging="2268"/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noProof/>
          <w:szCs w:val="24"/>
          <w:lang w:eastAsia="it-CH"/>
        </w:rPr>
        <w:lastRenderedPageBreak/>
        <w:drawing>
          <wp:inline distT="0" distB="0" distL="0" distR="0" wp14:anchorId="00F46301" wp14:editId="3A86BAF6">
            <wp:extent cx="6115050" cy="3441700"/>
            <wp:effectExtent l="19050" t="19050" r="19050" b="2540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1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442" w:rsidRPr="00940071" w:rsidRDefault="009B4442" w:rsidP="00AA1C90">
      <w:pPr>
        <w:spacing w:before="120"/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>
        <w:rPr>
          <w:rFonts w:cs="Arial"/>
          <w:szCs w:val="24"/>
        </w:rPr>
        <w:t>L</w:t>
      </w:r>
      <w:r w:rsidRPr="00940071">
        <w:rPr>
          <w:rFonts w:cs="Arial"/>
          <w:szCs w:val="24"/>
        </w:rPr>
        <w:t>e curve mostrano un’impennata delle spese, ma anche un</w:t>
      </w:r>
      <w:r>
        <w:rPr>
          <w:rFonts w:cs="Arial"/>
          <w:szCs w:val="24"/>
        </w:rPr>
        <w:t xml:space="preserve"> incremento non di poco conto </w:t>
      </w:r>
      <w:r w:rsidRPr="00940071">
        <w:rPr>
          <w:rFonts w:cs="Arial"/>
          <w:szCs w:val="24"/>
        </w:rPr>
        <w:t>a seguito della correzione del 2020</w:t>
      </w:r>
      <w:r>
        <w:rPr>
          <w:rFonts w:cs="Arial"/>
          <w:szCs w:val="24"/>
        </w:rPr>
        <w:t>,</w:t>
      </w:r>
      <w:r w:rsidRPr="00940071">
        <w:rPr>
          <w:rFonts w:cs="Arial"/>
          <w:szCs w:val="24"/>
        </w:rPr>
        <w:t xml:space="preserve"> in particolare dei gettiti fiscali e dei ricavi. </w:t>
      </w:r>
      <w:r>
        <w:rPr>
          <w:rFonts w:cs="Arial"/>
          <w:szCs w:val="24"/>
        </w:rPr>
        <w:t xml:space="preserve">Una fotografia in termini strutturali sarà </w:t>
      </w:r>
      <w:r w:rsidRPr="00940071">
        <w:rPr>
          <w:rFonts w:cs="Arial"/>
          <w:szCs w:val="24"/>
        </w:rPr>
        <w:t>disponibile non appena sarà possibile eliminare gli esercizi 2020 e 2021 dalla serie storica. Nel 2019, a seguito anche del ritrovato equilibrio finanziario, sono stati adottati nuovi compiti</w:t>
      </w:r>
      <w:r>
        <w:rPr>
          <w:rFonts w:cs="Arial"/>
          <w:szCs w:val="24"/>
        </w:rPr>
        <w:t>, legati in particolare al</w:t>
      </w:r>
      <w:r w:rsidRPr="00940071">
        <w:rPr>
          <w:rFonts w:cs="Arial"/>
          <w:szCs w:val="24"/>
        </w:rPr>
        <w:t>l’apertura della nuova galleria del Ceneri</w:t>
      </w:r>
      <w:r>
        <w:rPr>
          <w:rFonts w:cs="Arial"/>
          <w:szCs w:val="24"/>
        </w:rPr>
        <w:t xml:space="preserve">, che </w:t>
      </w:r>
      <w:r w:rsidRPr="00940071">
        <w:rPr>
          <w:rFonts w:cs="Arial"/>
          <w:szCs w:val="24"/>
        </w:rPr>
        <w:t>ha comportato il potenziamento del trasporto pubblico</w:t>
      </w:r>
      <w:r>
        <w:rPr>
          <w:rFonts w:cs="Arial"/>
          <w:szCs w:val="24"/>
        </w:rPr>
        <w:t>, ma anche i</w:t>
      </w:r>
      <w:r w:rsidRPr="00940071">
        <w:rPr>
          <w:rFonts w:cs="Arial"/>
          <w:szCs w:val="24"/>
        </w:rPr>
        <w:t>n ambito sociale e fiscale</w:t>
      </w:r>
      <w:r>
        <w:rPr>
          <w:rFonts w:cs="Arial"/>
          <w:szCs w:val="24"/>
        </w:rPr>
        <w:t xml:space="preserve">, poiché </w:t>
      </w:r>
      <w:r w:rsidRPr="00940071">
        <w:rPr>
          <w:rFonts w:cs="Arial"/>
          <w:szCs w:val="24"/>
        </w:rPr>
        <w:t xml:space="preserve">sono state attivate le riforme decise dal Gran Consiglio. </w:t>
      </w:r>
    </w:p>
    <w:p w:rsidR="009B4442" w:rsidRPr="00D31CCD" w:rsidRDefault="009B4442" w:rsidP="009B4442">
      <w:pPr>
        <w:jc w:val="left"/>
        <w:rPr>
          <w:bCs/>
          <w:iCs/>
          <w:sz w:val="23"/>
          <w:szCs w:val="23"/>
          <w:lang w:val="it-IT" w:eastAsia="it-IT"/>
        </w:rPr>
      </w:pPr>
    </w:p>
    <w:p w:rsidR="009B4442" w:rsidRPr="004442A1" w:rsidRDefault="009B4442" w:rsidP="004442A1">
      <w:pPr>
        <w:pStyle w:val="Titolo3"/>
        <w:numPr>
          <w:ilvl w:val="0"/>
          <w:numId w:val="0"/>
        </w:numPr>
        <w:spacing w:after="120"/>
        <w:ind w:left="726" w:hanging="726"/>
        <w:rPr>
          <w:i/>
        </w:rPr>
      </w:pPr>
      <w:r w:rsidRPr="004442A1">
        <w:rPr>
          <w:i/>
        </w:rPr>
        <w:t>2.3.1</w:t>
      </w:r>
      <w:r w:rsidRPr="004442A1">
        <w:rPr>
          <w:i/>
        </w:rPr>
        <w:tab/>
        <w:t xml:space="preserve">Spesa </w:t>
      </w:r>
    </w:p>
    <w:p w:rsidR="009B4442" w:rsidRDefault="009B4442" w:rsidP="009B4442">
      <w:r>
        <w:t xml:space="preserve">L’aumento registrato delle spese rispetto al Preventivo 2021 è pari a 159.7 milioni di franchi, in gran parte dipesi dal programma di sostegno economico ai settori economici particolarmente colpiti dalla pandemia, in particolare i casi di rigore, e compensati per 132.5 milioni di franchi dalla Confederazione. L’onere netto a carico del Cantone a C2021 è quindi di 6.6 milioni (a cui si aggiungono oneri già accantonati di 21.4 milioni di franchi riconducibili al 2020). </w:t>
      </w:r>
    </w:p>
    <w:p w:rsidR="009B4442" w:rsidRDefault="009B4442" w:rsidP="009B4442"/>
    <w:p w:rsidR="009B4442" w:rsidRDefault="009B4442" w:rsidP="009B4442">
      <w:r>
        <w:t xml:space="preserve">Analogamente al 2020, il Cantone ha assunto spese straordinarie (anche in termini di spesa del personale) volte ad assicurare le necessarie misure sanitarie e di protezione della popolazione e dell’amministrazione pari a 27.3 milioni di franchi, di cui 9.1 mio per l’organizzazione del soccorso per l’emergenza sanitaria e la gestione dei casi di rigore (le quali hanno anche contribuito all’incremento riscontrato sulla voce di spesa per beni e servizi). </w:t>
      </w:r>
    </w:p>
    <w:p w:rsidR="009B4442" w:rsidRDefault="009B4442" w:rsidP="009B4442"/>
    <w:p w:rsidR="009B4442" w:rsidRDefault="009B4442" w:rsidP="009B4442">
      <w:r>
        <w:t xml:space="preserve">Si rileva che anche nel corso del 2021, al netto dei casi di rigore, i contributi a enti pubblici e a terzi sono risultati inferiori al preventivo per circa 55 milioni di franchi. </w:t>
      </w:r>
    </w:p>
    <w:p w:rsidR="009B4442" w:rsidRDefault="009B4442" w:rsidP="009B4442">
      <w:r>
        <w:lastRenderedPageBreak/>
        <w:t>Ciò si registra in particolare nelle spese per l’assistenza (-17.3 milioni di franchi), per il trasporto pubblico (-12.8 milioni), per ospedalizzazioni nel Cantone (-12.7 milioni), per l’asilo (-7.5 milioni) e per le prestazioni complementari AI (-7 milioni).</w:t>
      </w:r>
    </w:p>
    <w:p w:rsidR="009B4442" w:rsidRDefault="009B4442" w:rsidP="009B4442"/>
    <w:p w:rsidR="009B4442" w:rsidRDefault="009B4442" w:rsidP="009B4442">
      <w:r>
        <w:t xml:space="preserve">Crescono di complessivi 17.9 milioni le spese del personale, conseguentemente alla crescita degli stipendi dei docenti, in particolare nel settore della pedagogia speciale. </w:t>
      </w:r>
    </w:p>
    <w:p w:rsidR="009B4442" w:rsidRDefault="009B4442" w:rsidP="009B4442"/>
    <w:p w:rsidR="009B4442" w:rsidRPr="00D25752" w:rsidRDefault="009B4442" w:rsidP="009B4442">
      <w:pPr>
        <w:rPr>
          <w:rFonts w:cs="Arial"/>
          <w:szCs w:val="24"/>
        </w:rPr>
      </w:pPr>
      <w:r w:rsidRPr="00D25752">
        <w:rPr>
          <w:rFonts w:cs="Arial"/>
          <w:szCs w:val="24"/>
        </w:rPr>
        <w:t>Tendenzialmente è importante rilevare che</w:t>
      </w:r>
      <w:r>
        <w:rPr>
          <w:rFonts w:cs="Arial"/>
          <w:szCs w:val="24"/>
        </w:rPr>
        <w:t>,</w:t>
      </w:r>
      <w:r w:rsidRPr="00D25752">
        <w:rPr>
          <w:rFonts w:cs="Arial"/>
          <w:szCs w:val="24"/>
        </w:rPr>
        <w:t xml:space="preserve"> in un confronto tra le spese del 2001 e del 202</w:t>
      </w:r>
      <w:r>
        <w:rPr>
          <w:rFonts w:cs="Arial"/>
          <w:szCs w:val="24"/>
        </w:rPr>
        <w:t>1</w:t>
      </w:r>
      <w:r w:rsidRPr="00D25752">
        <w:rPr>
          <w:rFonts w:cs="Arial"/>
          <w:szCs w:val="24"/>
        </w:rPr>
        <w:t xml:space="preserve"> in termini relativi (in percentuale per capitolo di spesa), sono cresciuti solo i contributi a enti terzi, passati dal 37% nel 2001 al 4</w:t>
      </w:r>
      <w:r>
        <w:rPr>
          <w:rFonts w:cs="Arial"/>
          <w:szCs w:val="24"/>
        </w:rPr>
        <w:t>9</w:t>
      </w:r>
      <w:r w:rsidRPr="00D25752">
        <w:rPr>
          <w:rFonts w:cs="Arial"/>
          <w:szCs w:val="24"/>
        </w:rPr>
        <w:t>% 202</w:t>
      </w:r>
      <w:r>
        <w:rPr>
          <w:rFonts w:cs="Arial"/>
          <w:szCs w:val="24"/>
        </w:rPr>
        <w:t>1</w:t>
      </w:r>
      <w:r w:rsidRPr="00D25752">
        <w:rPr>
          <w:rFonts w:cs="Arial"/>
          <w:szCs w:val="24"/>
        </w:rPr>
        <w:t>. Le altre voci (in particolare la spesa del personale e le spese per beni e servizi) hanno conosciuto, in termini relativi, un’erosione. A breve i contributi a enti terzi supereranno il 50% delle spese dello Stato, una struttura dei costi che merita una riflessione</w:t>
      </w:r>
      <w:r>
        <w:rPr>
          <w:rFonts w:cs="Arial"/>
          <w:szCs w:val="24"/>
        </w:rPr>
        <w:t xml:space="preserve">. È un </w:t>
      </w:r>
      <w:r w:rsidRPr="00D25752">
        <w:rPr>
          <w:rFonts w:cs="Arial"/>
          <w:szCs w:val="24"/>
        </w:rPr>
        <w:t>trend che si sta affermando, così come mostra</w:t>
      </w:r>
      <w:r>
        <w:rPr>
          <w:rFonts w:cs="Arial"/>
          <w:szCs w:val="24"/>
        </w:rPr>
        <w:t xml:space="preserve"> il </w:t>
      </w:r>
      <w:r w:rsidRPr="00D25752">
        <w:rPr>
          <w:rFonts w:cs="Arial"/>
          <w:szCs w:val="24"/>
        </w:rPr>
        <w:t>grafico seguente</w:t>
      </w:r>
      <w:r>
        <w:rPr>
          <w:rFonts w:cs="Arial"/>
          <w:szCs w:val="24"/>
        </w:rPr>
        <w:t>, che ogni anno il Governo aggiorna</w:t>
      </w:r>
      <w:r w:rsidRPr="00D25752">
        <w:rPr>
          <w:rFonts w:cs="Arial"/>
          <w:szCs w:val="24"/>
        </w:rPr>
        <w:t xml:space="preserve">. </w:t>
      </w:r>
    </w:p>
    <w:p w:rsidR="009B4442" w:rsidRPr="00940071" w:rsidRDefault="009B4442" w:rsidP="009B4442">
      <w:pPr>
        <w:rPr>
          <w:rFonts w:cs="Arial"/>
          <w:szCs w:val="24"/>
        </w:rPr>
      </w:pPr>
      <w:r>
        <w:rPr>
          <w:lang w:val="it-IT" w:eastAsia="it-IT"/>
        </w:rPr>
        <w:t>È tuttavia importante segnalare che l</w:t>
      </w:r>
      <w:r>
        <w:rPr>
          <w:rFonts w:cs="Arial"/>
          <w:szCs w:val="24"/>
        </w:rPr>
        <w:t xml:space="preserve">’esercizio del </w:t>
      </w:r>
      <w:r w:rsidRPr="00940071">
        <w:rPr>
          <w:rFonts w:cs="Arial"/>
          <w:szCs w:val="24"/>
        </w:rPr>
        <w:t>2021</w:t>
      </w:r>
      <w:r>
        <w:rPr>
          <w:rFonts w:cs="Arial"/>
          <w:szCs w:val="24"/>
        </w:rPr>
        <w:t>,</w:t>
      </w:r>
      <w:r w:rsidRPr="00940071">
        <w:rPr>
          <w:rFonts w:cs="Arial"/>
          <w:szCs w:val="24"/>
        </w:rPr>
        <w:t xml:space="preserve"> proprio perché condizionato dai fattori </w:t>
      </w:r>
      <w:r>
        <w:rPr>
          <w:rFonts w:cs="Arial"/>
          <w:szCs w:val="24"/>
        </w:rPr>
        <w:t>legati alla pandemia,</w:t>
      </w:r>
      <w:r w:rsidRPr="00940071">
        <w:rPr>
          <w:rFonts w:cs="Arial"/>
          <w:szCs w:val="24"/>
        </w:rPr>
        <w:t xml:space="preserve"> rende difficile trarre conclusioni strutturali. </w:t>
      </w:r>
    </w:p>
    <w:p w:rsidR="009B4442" w:rsidRPr="0047772F" w:rsidRDefault="009B4442" w:rsidP="00AA1C90">
      <w:pPr>
        <w:spacing w:before="120"/>
        <w:rPr>
          <w:lang w:val="it-IT" w:eastAsia="it-IT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noProof/>
          <w:szCs w:val="24"/>
          <w:lang w:eastAsia="it-CH"/>
        </w:rPr>
        <w:drawing>
          <wp:inline distT="0" distB="0" distL="0" distR="0" wp14:anchorId="5DBF3F8A" wp14:editId="0CF58414">
            <wp:extent cx="6115050" cy="3441700"/>
            <wp:effectExtent l="19050" t="19050" r="19050" b="2540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1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442" w:rsidRPr="00940071" w:rsidRDefault="009B4442" w:rsidP="009B4442">
      <w:pPr>
        <w:rPr>
          <w:rFonts w:cs="Arial"/>
          <w:szCs w:val="24"/>
        </w:rPr>
      </w:pPr>
    </w:p>
    <w:p w:rsidR="009B4442" w:rsidRPr="0015018B" w:rsidRDefault="009B4442" w:rsidP="00AA1C90">
      <w:pPr>
        <w:spacing w:before="120" w:after="120"/>
        <w:rPr>
          <w:b/>
          <w:bCs/>
          <w:i/>
          <w:iCs/>
        </w:rPr>
      </w:pPr>
      <w:r w:rsidRPr="0015018B">
        <w:rPr>
          <w:b/>
          <w:bCs/>
          <w:i/>
          <w:iCs/>
        </w:rPr>
        <w:t>Nel dettaglio</w:t>
      </w:r>
    </w:p>
    <w:p w:rsidR="009B4442" w:rsidRDefault="009B4442" w:rsidP="009B4442">
      <w:r>
        <w:t xml:space="preserve">La </w:t>
      </w:r>
      <w:r>
        <w:rPr>
          <w:b/>
          <w:bCs/>
        </w:rPr>
        <w:t>S</w:t>
      </w:r>
      <w:r w:rsidRPr="0015018B">
        <w:rPr>
          <w:b/>
          <w:bCs/>
        </w:rPr>
        <w:t>pes</w:t>
      </w:r>
      <w:r>
        <w:rPr>
          <w:b/>
          <w:bCs/>
        </w:rPr>
        <w:t>a</w:t>
      </w:r>
      <w:r w:rsidRPr="0015018B">
        <w:rPr>
          <w:b/>
          <w:bCs/>
        </w:rPr>
        <w:t xml:space="preserve"> per il personale</w:t>
      </w:r>
      <w:r>
        <w:t xml:space="preserve"> è superiore di 17.9 milioni di franchi (+1.6%) rispetto al preventivo 2021 e di 32.6 milioni rispetto al consuntivo 2020 (+3%). </w:t>
      </w:r>
    </w:p>
    <w:p w:rsidR="009B4442" w:rsidRDefault="009B4442" w:rsidP="009B4442"/>
    <w:p w:rsidR="009B4442" w:rsidRDefault="009B4442" w:rsidP="004442A1">
      <w:pPr>
        <w:spacing w:after="60"/>
      </w:pPr>
      <w:r>
        <w:t xml:space="preserve">L’aumento della spesa per gli stipendi dei docenti è dovuto: 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 xml:space="preserve">alla crescita registrata nell’ambito della </w:t>
      </w:r>
      <w:r w:rsidRPr="00D93180">
        <w:t>Sezione della pedagogia speciale</w:t>
      </w:r>
      <w:r>
        <w:t xml:space="preserve"> (+5.7 milioni di franchi);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 xml:space="preserve">all’aumento delle classi inclusive e alla crescita degli operatori specializzati. Nel settore della scuola media si riscontra poi un aumento della spesa di 2.9 milioni di franchi a </w:t>
      </w:r>
      <w:r>
        <w:lastRenderedPageBreak/>
        <w:t>seguito della riduzione del numero massimo di allievi per classe e dell’introduzione di laboratori specifici;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>all’aumento di sezioni e alla modifica della griglia oraria delle scuole medie superiori (+0.9 milioni di franchi);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 xml:space="preserve">alla progressiva diffusione delle Unità Scolastiche Differenziate e alla </w:t>
      </w:r>
      <w:proofErr w:type="spellStart"/>
      <w:r>
        <w:t>cantonalizzazione</w:t>
      </w:r>
      <w:proofErr w:type="spellEnd"/>
      <w:r>
        <w:t xml:space="preserve"> dei docenti di lingua e integrazione nelle scuole comunali (+0.8 milioni di franchi);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>all'aumento degli allievi, delle sezioni e delle ore di insegnamento nel settore della formazione professionale, conseguente all’evoluzione delle ordinanze federali di formazione (+1.5 milioni di franchi);</w:t>
      </w:r>
    </w:p>
    <w:p w:rsidR="009B4442" w:rsidRDefault="009B4442" w:rsidP="009B4442">
      <w:pPr>
        <w:ind w:left="284" w:hanging="284"/>
      </w:pPr>
      <w:r>
        <w:t>-</w:t>
      </w:r>
      <w:r>
        <w:tab/>
        <w:t>all’aumento della spesa del personale dell’Istituto di formazione continua (+1.3 milioni di franchi).</w:t>
      </w:r>
    </w:p>
    <w:p w:rsidR="009B4442" w:rsidRDefault="009B4442" w:rsidP="009B4442">
      <w:pPr>
        <w:ind w:left="284" w:hanging="284"/>
      </w:pPr>
    </w:p>
    <w:p w:rsidR="009B4442" w:rsidRDefault="009B4442" w:rsidP="009B4442">
      <w:r>
        <w:t>La spesa per gli stipendi del personale amministrativo (voce 301) è superiore di 3.1 milioni di franchi rispetto al Preventivo 2021 (+0.6%) e superiore di 14.1 milioni di franchi rispetto al Consuntivo 2020. Essa è dovuta principalmente agli stipendi del personale ausiliario assunto per la gestione dell’emergenza sanitaria e per la gestione dei casi di rigore (+9.1 milioni di franchi).</w:t>
      </w:r>
    </w:p>
    <w:p w:rsidR="009B4442" w:rsidRDefault="009B4442" w:rsidP="009B4442"/>
    <w:p w:rsidR="009B4442" w:rsidRDefault="009B4442" w:rsidP="004442A1">
      <w:pPr>
        <w:spacing w:after="60"/>
      </w:pPr>
      <w:r>
        <w:t xml:space="preserve">A fronte di tale aumento si segnalano riduzioni alle seguenti posizioni: 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>di 1.2 milioni di franchi degli stipendi finanziati da terzi degli Uffici di collocamento: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>di 0.8 milioni degli stipendi e indennità al corpo di Polizia, a seguito del posticipo di alcune assunzioni;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>di 0.7 milioni della spesa del personale dell’Organizzazione sociopsichiatrica cantonale (OSC);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>di 2.1 milioni di franchi di altre spese del personale, principalmente a seguito di minori spese nell’ambito del perfezionamento professionale (-0.8 milioni di franchi), e per l’equipaggiamento e gli abiti di servizio (- 0.7 milioni);</w:t>
      </w:r>
    </w:p>
    <w:p w:rsidR="009B4442" w:rsidRDefault="009B4442" w:rsidP="009B4442">
      <w:pPr>
        <w:ind w:left="284" w:hanging="284"/>
        <w:rPr>
          <w:lang w:val="it-IT" w:eastAsia="it-IT"/>
        </w:rPr>
      </w:pPr>
      <w:r>
        <w:t>-</w:t>
      </w:r>
      <w:r>
        <w:tab/>
        <w:t>di 1.7 milioni di franchi delle prestazioni del datore di lavoro (voce 306), a seguito soprattutto del numero inferiore di prepensionamenti rispetto a quanto preventivato (-1.3 milioni).</w:t>
      </w:r>
    </w:p>
    <w:p w:rsidR="009B4442" w:rsidRDefault="009B4442" w:rsidP="009B4442">
      <w:pPr>
        <w:rPr>
          <w:lang w:val="it-IT" w:eastAsia="it-IT"/>
        </w:rPr>
      </w:pPr>
    </w:p>
    <w:p w:rsidR="009B4442" w:rsidRDefault="009B4442" w:rsidP="009B4442">
      <w:r>
        <w:rPr>
          <w:lang w:val="it-IT" w:eastAsia="it-IT"/>
        </w:rPr>
        <w:t xml:space="preserve">La </w:t>
      </w:r>
      <w:r w:rsidRPr="005F4101">
        <w:rPr>
          <w:b/>
          <w:bCs/>
          <w:lang w:val="it-IT" w:eastAsia="it-IT"/>
        </w:rPr>
        <w:t>spesa per beni e servizi</w:t>
      </w:r>
      <w:r>
        <w:rPr>
          <w:b/>
          <w:bCs/>
          <w:lang w:val="it-IT" w:eastAsia="it-IT"/>
        </w:rPr>
        <w:t xml:space="preserve"> </w:t>
      </w:r>
      <w:r w:rsidRPr="005F4101">
        <w:rPr>
          <w:lang w:val="it-IT" w:eastAsia="it-IT"/>
        </w:rPr>
        <w:t>è</w:t>
      </w:r>
      <w:r>
        <w:rPr>
          <w:b/>
          <w:bCs/>
          <w:lang w:val="it-IT" w:eastAsia="it-IT"/>
        </w:rPr>
        <w:t xml:space="preserve"> </w:t>
      </w:r>
      <w:r>
        <w:t xml:space="preserve">superiore di 16.6 milioni di franchi (+5.2%) rispetto al preventivo, in particolare a seguito delle spese per l’organizzazione del soccorso dell’emergenza sanitaria dovuta alla pandemia di COVID-19 (+11.6 milioni). I dettagli sono indicati a pag. 25 del messaggio. </w:t>
      </w:r>
    </w:p>
    <w:p w:rsidR="009B4442" w:rsidRDefault="009B4442" w:rsidP="009B4442"/>
    <w:p w:rsidR="009B4442" w:rsidRDefault="009B4442" w:rsidP="004442A1">
      <w:pPr>
        <w:spacing w:after="60"/>
      </w:pPr>
      <w:r>
        <w:t xml:space="preserve">Le </w:t>
      </w:r>
      <w:r w:rsidRPr="00F913FF">
        <w:rPr>
          <w:b/>
          <w:bCs/>
        </w:rPr>
        <w:t>spese di trasferimento</w:t>
      </w:r>
      <w:r>
        <w:t xml:space="preserve"> sono superiori di 113.8 milioni di franchi rispetto al Preventivo 2021 (+5.3%). La variazione è determinata principalmente da: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>l’aumento di 84 milioni di franchi dei contributi a enti pubblici e terzi, in crescita rispetto al 2020 di 164 milioni;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>l’aumento di 18 milioni di franchi in relazione alle rettifiche di valore sulle partecipazioni amministrative (voce 365) e in particolare della partecipazione all’EOC a seguito del risultato d’esercizio negativo conseguito nel 2020 quale conseguenza della pandemia;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 xml:space="preserve">l’aumento di 12.9 milioni di franchi degli ammortamenti di contributi per investimenti (voce 366); </w:t>
      </w:r>
    </w:p>
    <w:p w:rsidR="009B4442" w:rsidRDefault="009B4442" w:rsidP="004442A1">
      <w:pPr>
        <w:spacing w:after="60"/>
        <w:ind w:left="284" w:hanging="284"/>
      </w:pPr>
      <w:r>
        <w:lastRenderedPageBreak/>
        <w:t>-</w:t>
      </w:r>
      <w:r>
        <w:tab/>
        <w:t>l’aumento di 2.2 milioni di franchi delle diverse spese di riversamento (voce 369) a seguito principalmente dell’aumento della quota Stato per computo globale d’imposta, conseguente a tassazioni di dividendi esteri legati a casistiche straordinarie;</w:t>
      </w:r>
    </w:p>
    <w:p w:rsidR="009B4442" w:rsidRDefault="009B4442" w:rsidP="009B4442">
      <w:pPr>
        <w:ind w:left="284" w:hanging="284"/>
      </w:pPr>
      <w:r>
        <w:t>-</w:t>
      </w:r>
      <w:r>
        <w:tab/>
        <w:t xml:space="preserve">l’aumento di 1.2 milioni di franchi dei contributi di perequazione finanziaria e compensazione degli oneri (voce 362) a seguito dell’incremento dei contributi di livellamento della potenzialità fiscale dei Comuni. </w:t>
      </w:r>
    </w:p>
    <w:p w:rsidR="009B4442" w:rsidRDefault="009B4442" w:rsidP="009B4442">
      <w:pPr>
        <w:ind w:left="284" w:hanging="284"/>
      </w:pPr>
    </w:p>
    <w:p w:rsidR="009B4442" w:rsidRDefault="009B4442" w:rsidP="004442A1">
      <w:pPr>
        <w:spacing w:after="60"/>
      </w:pPr>
      <w:r>
        <w:t>A fronte di questi aumenti si segnalano una riduzione di 1 milione di franchi delle quote di ricavo destinate a terzi (voce 360) e di 3.1 milioni dei rimborsi a enti pubblici (voce 361), dovuti: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>a minori spese per l’esecuzione di pene in altri istituti (-0.8 milioni);</w:t>
      </w:r>
    </w:p>
    <w:p w:rsidR="009B4442" w:rsidRDefault="009B4442" w:rsidP="004442A1">
      <w:pPr>
        <w:spacing w:after="60"/>
        <w:ind w:left="284" w:hanging="284"/>
      </w:pPr>
      <w:r>
        <w:t>-</w:t>
      </w:r>
      <w:r>
        <w:tab/>
        <w:t xml:space="preserve">a minori rimborsi alla Confederazione per tasse di discarica (-0.8 milioni); </w:t>
      </w:r>
    </w:p>
    <w:p w:rsidR="009B4442" w:rsidRDefault="009B4442" w:rsidP="009B4442">
      <w:pPr>
        <w:ind w:left="284" w:hanging="284"/>
      </w:pPr>
      <w:r>
        <w:t>-</w:t>
      </w:r>
      <w:r>
        <w:tab/>
        <w:t>a minori rimborsi a Comuni e guardie di confine per multe (-0.5 milioni). Si riducono poi di 1 milione di franchi le quote di ricavo destinate a terzi (voce 360).</w:t>
      </w:r>
    </w:p>
    <w:p w:rsidR="009B4442" w:rsidRDefault="009B4442" w:rsidP="009B4442">
      <w:pPr>
        <w:rPr>
          <w:lang w:val="it-IT" w:eastAsia="it-IT"/>
        </w:rPr>
      </w:pPr>
    </w:p>
    <w:p w:rsidR="009B4442" w:rsidRDefault="009B4442" w:rsidP="009B4442">
      <w:pPr>
        <w:rPr>
          <w:lang w:val="it-IT" w:eastAsia="it-IT"/>
        </w:rPr>
      </w:pPr>
      <w:r>
        <w:rPr>
          <w:lang w:val="it-IT" w:eastAsia="it-IT"/>
        </w:rPr>
        <w:t xml:space="preserve">Ogni anno il Governo aggiorna il grafico concernente la ripartizione delle spese di trasferimento per settore di attività. </w:t>
      </w:r>
    </w:p>
    <w:p w:rsidR="009B4442" w:rsidRPr="00940071" w:rsidRDefault="009B4442" w:rsidP="00AA1C90">
      <w:pPr>
        <w:spacing w:before="120"/>
        <w:ind w:left="2268" w:hanging="2268"/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noProof/>
          <w:szCs w:val="24"/>
          <w:lang w:eastAsia="it-CH"/>
        </w:rPr>
        <w:drawing>
          <wp:inline distT="0" distB="0" distL="0" distR="0" wp14:anchorId="41D898CE" wp14:editId="2D6AF0C0">
            <wp:extent cx="6115050" cy="3441700"/>
            <wp:effectExtent l="19050" t="19050" r="19050" b="2540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1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442" w:rsidRDefault="009B4442" w:rsidP="009B4442">
      <w:pPr>
        <w:rPr>
          <w:rFonts w:cs="Arial"/>
          <w:szCs w:val="24"/>
        </w:rPr>
      </w:pPr>
    </w:p>
    <w:p w:rsidR="009B4442" w:rsidRPr="004442A1" w:rsidRDefault="009B4442" w:rsidP="004442A1">
      <w:pPr>
        <w:pStyle w:val="Titolo3"/>
        <w:numPr>
          <w:ilvl w:val="0"/>
          <w:numId w:val="0"/>
        </w:numPr>
        <w:spacing w:after="120"/>
        <w:ind w:left="726" w:hanging="726"/>
        <w:rPr>
          <w:i/>
        </w:rPr>
      </w:pPr>
      <w:r w:rsidRPr="004442A1">
        <w:rPr>
          <w:i/>
        </w:rPr>
        <w:t>2.3.2</w:t>
      </w:r>
      <w:r w:rsidRPr="004442A1">
        <w:rPr>
          <w:i/>
        </w:rPr>
        <w:tab/>
        <w:t>Ricavi</w:t>
      </w:r>
    </w:p>
    <w:p w:rsidR="009B4442" w:rsidRDefault="009B4442" w:rsidP="009B4442">
      <w:r>
        <w:t xml:space="preserve">Rispetto al P2021 i ricavi correnti a C2021 sono superiori di 332.2 milioni di franchi (+8.7%). L’aumento è dovuto principalmente alla crescita dei gettiti fiscali, pari a 144.8 milioni di franchi (+7.7%). </w:t>
      </w:r>
    </w:p>
    <w:p w:rsidR="009B4442" w:rsidRDefault="009B4442" w:rsidP="009B4442"/>
    <w:p w:rsidR="009B4442" w:rsidRPr="008B2AA1" w:rsidRDefault="009B4442" w:rsidP="004442A1">
      <w:pPr>
        <w:spacing w:after="120"/>
        <w:rPr>
          <w:rFonts w:cs="Arial"/>
          <w:b/>
          <w:bCs/>
          <w:szCs w:val="24"/>
        </w:rPr>
      </w:pPr>
      <w:r w:rsidRPr="008B2AA1">
        <w:rPr>
          <w:rFonts w:cs="Arial"/>
          <w:b/>
          <w:bCs/>
          <w:szCs w:val="24"/>
        </w:rPr>
        <w:t>Ricavi fiscali</w:t>
      </w:r>
    </w:p>
    <w:p w:rsidR="009B4442" w:rsidRDefault="009B4442" w:rsidP="009B4442">
      <w:r>
        <w:t xml:space="preserve">Eccezion fatta per l’imposta alla fonte (-10.3 milioni), per le tasse sulle case da gioco </w:t>
      </w:r>
      <w:r w:rsidR="004442A1">
        <w:br/>
      </w:r>
      <w:r>
        <w:t xml:space="preserve">(-4.2 milioni) e per le imposte suppletorie (-0.5 milioni), tutte le imposte hanno registrato </w:t>
      </w:r>
      <w:r>
        <w:lastRenderedPageBreak/>
        <w:t xml:space="preserve">dei risultati superiori alle attese, in particolare per quanto riguarda i gettiti dell’imposta sul reddito e sulla sostanza delle persone fisiche (+71.7 milioni), dell’imposta sugli utili immobiliari (+26.1 milioni), delle tasse d’iscrizione a registro fondiario (+19.6 milioni) e delle imposte di successione e donazione (+16.4 milioni). </w:t>
      </w:r>
    </w:p>
    <w:p w:rsidR="009B4442" w:rsidRDefault="009B4442" w:rsidP="009B4442"/>
    <w:p w:rsidR="009B4442" w:rsidRDefault="009B4442" w:rsidP="009B4442">
      <w:pPr>
        <w:rPr>
          <w:rFonts w:cs="Arial"/>
          <w:szCs w:val="24"/>
        </w:rPr>
      </w:pPr>
      <w:r>
        <w:t>La valutazione dei gettiti di competenza 2021 delle persone fisiche e giuridiche è complessivamente superiore di 77.5 milioni rispetto a quanto previsto al momento dell’allestimento del preventivo. Tale incremento è da ascrivere principalmente al miglioramento della previsione congiunturale rispetto al 2020, la quale è stata corretta al rialzo di 5.2 punti percentuali. Quanto alle persone fisiche, si è assistito all’evoluzione positiva delle tassazioni 2020 emesse, le quali registrano un tasso di crescita addirittura positivo (+0.8%).</w:t>
      </w:r>
    </w:p>
    <w:p w:rsidR="009B4442" w:rsidRDefault="009B4442" w:rsidP="009B4442">
      <w:pPr>
        <w:rPr>
          <w:rFonts w:cs="Arial"/>
          <w:szCs w:val="24"/>
        </w:rPr>
      </w:pPr>
      <w:r w:rsidRPr="008B2AA1">
        <w:rPr>
          <w:rFonts w:cs="Arial"/>
          <w:noProof/>
          <w:szCs w:val="24"/>
          <w:lang w:eastAsia="it-CH"/>
        </w:rPr>
        <w:drawing>
          <wp:inline distT="0" distB="0" distL="0" distR="0" wp14:anchorId="7AA2CE63" wp14:editId="52D4A799">
            <wp:extent cx="6120130" cy="4338320"/>
            <wp:effectExtent l="0" t="0" r="0" b="5080"/>
            <wp:docPr id="1" name="Immagine 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avolo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42" w:rsidRDefault="009B4442" w:rsidP="009B4442">
      <w:pPr>
        <w:rPr>
          <w:rFonts w:cs="Arial"/>
          <w:szCs w:val="24"/>
        </w:rPr>
      </w:pPr>
    </w:p>
    <w:p w:rsidR="004442A1" w:rsidRDefault="004442A1" w:rsidP="009B4442">
      <w:pPr>
        <w:rPr>
          <w:rFonts w:cs="Arial"/>
          <w:szCs w:val="24"/>
        </w:rPr>
      </w:pPr>
    </w:p>
    <w:p w:rsidR="009B4442" w:rsidRDefault="004442A1" w:rsidP="009B4442">
      <w:pPr>
        <w:pStyle w:val="Titolo1"/>
        <w:numPr>
          <w:ilvl w:val="0"/>
          <w:numId w:val="18"/>
        </w:numPr>
        <w:tabs>
          <w:tab w:val="left" w:pos="567"/>
        </w:tabs>
        <w:spacing w:before="0"/>
        <w:ind w:left="567" w:hanging="567"/>
        <w:jc w:val="both"/>
      </w:pPr>
      <w:r>
        <w:t>BILANCIO DEGLI EFFETTI DELLA PANDEMIA DA COVID-19</w:t>
      </w:r>
    </w:p>
    <w:p w:rsidR="009B4442" w:rsidRDefault="009B4442" w:rsidP="009B4442">
      <w:pPr>
        <w:rPr>
          <w:rFonts w:cs="Arial"/>
          <w:szCs w:val="24"/>
        </w:rPr>
      </w:pPr>
      <w:r>
        <w:rPr>
          <w:rFonts w:cs="Arial"/>
          <w:szCs w:val="24"/>
        </w:rPr>
        <w:t xml:space="preserve">La Commissione gestione e finanze ha cercato di tracciare un bilancio dell’impatto della pandemia da Covid-19 sulle finanze cantonali. </w:t>
      </w:r>
    </w:p>
    <w:p w:rsidR="009B4442" w:rsidRDefault="009B4442" w:rsidP="009B4442">
      <w:pPr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>
        <w:rPr>
          <w:rFonts w:cs="Arial"/>
          <w:szCs w:val="24"/>
        </w:rPr>
        <w:t xml:space="preserve">Dalla seguente tabella, si evince un impatto diretto di circa </w:t>
      </w:r>
      <w:r w:rsidRPr="00940071">
        <w:rPr>
          <w:rFonts w:cs="Arial"/>
          <w:szCs w:val="24"/>
        </w:rPr>
        <w:t xml:space="preserve">50 mio </w:t>
      </w:r>
      <w:r>
        <w:rPr>
          <w:rFonts w:cs="Arial"/>
          <w:szCs w:val="24"/>
        </w:rPr>
        <w:t>di franchi su</w:t>
      </w:r>
      <w:r w:rsidRPr="00940071">
        <w:rPr>
          <w:rFonts w:cs="Arial"/>
          <w:szCs w:val="24"/>
        </w:rPr>
        <w:t>i conti 2021</w:t>
      </w:r>
      <w:r>
        <w:rPr>
          <w:rFonts w:cs="Arial"/>
          <w:szCs w:val="24"/>
        </w:rPr>
        <w:t xml:space="preserve">. Sono circa </w:t>
      </w:r>
      <w:r w:rsidRPr="00940071">
        <w:rPr>
          <w:rFonts w:cs="Arial"/>
          <w:szCs w:val="24"/>
        </w:rPr>
        <w:t xml:space="preserve">32 mio </w:t>
      </w:r>
      <w:r>
        <w:rPr>
          <w:rFonts w:cs="Arial"/>
          <w:szCs w:val="24"/>
        </w:rPr>
        <w:t xml:space="preserve">di franchi i costi da essa derivanti e circa 16 mio di franchi i minori ricavi. </w:t>
      </w:r>
    </w:p>
    <w:p w:rsidR="009B4442" w:rsidRDefault="009B4442" w:rsidP="009B4442">
      <w:pPr>
        <w:ind w:left="2268" w:hanging="2268"/>
        <w:rPr>
          <w:rFonts w:cs="Arial"/>
          <w:szCs w:val="24"/>
        </w:rPr>
      </w:pP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noProof/>
          <w:szCs w:val="24"/>
          <w:lang w:eastAsia="it-CH"/>
        </w:rPr>
        <w:lastRenderedPageBreak/>
        <w:drawing>
          <wp:inline distT="0" distB="0" distL="0" distR="0" wp14:anchorId="432E6755" wp14:editId="663EFE0B">
            <wp:extent cx="6115050" cy="3441700"/>
            <wp:effectExtent l="19050" t="19050" r="19050" b="25400"/>
            <wp:docPr id="3" name="Immagine 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1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r w:rsidRPr="00485EA9">
        <w:rPr>
          <w:u w:val="single"/>
        </w:rPr>
        <w:t>Si rileva da subito che</w:t>
      </w:r>
      <w:r>
        <w:rPr>
          <w:u w:val="single"/>
        </w:rPr>
        <w:t>,</w:t>
      </w:r>
      <w:r w:rsidRPr="00485EA9">
        <w:rPr>
          <w:u w:val="single"/>
        </w:rPr>
        <w:t xml:space="preserve"> contrariamente al 2020, anno in cui è stato valutato l’impatto sul gettito delle imposte delle persone fisiche e giuridiche, esaminando la differenza tra Preventivo 2020 e Consuntivo 2020 e identificando la parte di minori ricavi imputabili agli effetti della pandemia, tale operazione per il 2021 non è stata possibile, perché il preventivo già considerava gli effetti della pandemia iniziata nel 2020. Perciò viene a mancare un riferimento per il raffronto</w:t>
      </w:r>
      <w:r>
        <w:t>.</w:t>
      </w:r>
    </w:p>
    <w:p w:rsidR="009B4442" w:rsidRDefault="009B4442" w:rsidP="009B4442"/>
    <w:p w:rsidR="009B4442" w:rsidRDefault="009B4442" w:rsidP="009B4442">
      <w:pPr>
        <w:tabs>
          <w:tab w:val="left" w:pos="5103"/>
        </w:tabs>
      </w:pPr>
      <w:r>
        <w:t xml:space="preserve">La Commissione nel suo rapporto sul C2021 coglie l’occasione per presentare alcuni dettagli riferiti ai dati che figurano nella tabella sopraindicata relativi agli impatti della pandemia Covid-19 sulle finanze cantonali per gli anni 2020 e 2021. Essi sono anche pubblicati in forma tabellare nei rispettivi messaggi di Consuntivo, più precisamente alle pagine 35 e 36 del messaggio n. 7982 di Consuntivo 2020 e alle pagine 33 e 34 del messaggio n. 8141 di Consuntivo 2021. Per ognuna delle tabelle sono indicati i maggiori e i minori costi, così come i minori ricavi. </w:t>
      </w:r>
    </w:p>
    <w:p w:rsidR="009B4442" w:rsidRDefault="009B4442" w:rsidP="009B4442"/>
    <w:p w:rsidR="009B4442" w:rsidRDefault="009B4442" w:rsidP="009B4442">
      <w:r>
        <w:t xml:space="preserve">Gli approfondimenti esperiti dalla Commissione toccano i seguenti settori. </w:t>
      </w:r>
    </w:p>
    <w:p w:rsidR="009B4442" w:rsidRDefault="009B4442" w:rsidP="009B4442"/>
    <w:p w:rsidR="009B4442" w:rsidRDefault="009B4442" w:rsidP="009B4442">
      <w:pPr>
        <w:pStyle w:val="Paragrafoelenco"/>
        <w:numPr>
          <w:ilvl w:val="0"/>
          <w:numId w:val="19"/>
        </w:numPr>
        <w:autoSpaceDE w:val="0"/>
        <w:autoSpaceDN w:val="0"/>
        <w:adjustRightInd w:val="0"/>
        <w:ind w:left="284" w:hanging="284"/>
        <w:contextualSpacing w:val="0"/>
        <w:rPr>
          <w:rFonts w:cs="Arial"/>
          <w:szCs w:val="24"/>
        </w:rPr>
      </w:pPr>
      <w:r w:rsidRPr="00736761">
        <w:rPr>
          <w:rFonts w:cs="Arial"/>
          <w:b/>
          <w:szCs w:val="24"/>
        </w:rPr>
        <w:t>Dati di dettaglio concernenti le spese assunte dal Cantone al fine di contenere la pandemia</w:t>
      </w:r>
      <w:r>
        <w:rPr>
          <w:rFonts w:cs="Arial"/>
          <w:szCs w:val="24"/>
        </w:rPr>
        <w:t xml:space="preserve"> </w:t>
      </w:r>
      <w:r w:rsidRPr="00FD722A">
        <w:rPr>
          <w:rFonts w:cs="Arial"/>
          <w:szCs w:val="24"/>
        </w:rPr>
        <w:t>nei diversi campi di attività (organizzativo, sanitario, economico, sociale, ecc.) negli anni 2020 e 2021</w:t>
      </w:r>
      <w:r>
        <w:rPr>
          <w:rFonts w:cs="Arial"/>
          <w:szCs w:val="24"/>
        </w:rPr>
        <w:t>.</w:t>
      </w:r>
    </w:p>
    <w:p w:rsidR="009B4442" w:rsidRDefault="009B4442" w:rsidP="004442A1">
      <w:pPr>
        <w:pStyle w:val="Paragrafoelenco"/>
        <w:autoSpaceDE w:val="0"/>
        <w:autoSpaceDN w:val="0"/>
        <w:adjustRightInd w:val="0"/>
        <w:ind w:left="0"/>
        <w:rPr>
          <w:rFonts w:cs="Arial"/>
          <w:szCs w:val="24"/>
        </w:rPr>
      </w:pPr>
    </w:p>
    <w:p w:rsidR="009B4442" w:rsidRDefault="009B4442" w:rsidP="009B4442">
      <w:pPr>
        <w:tabs>
          <w:tab w:val="left" w:pos="5103"/>
        </w:tabs>
      </w:pPr>
      <w:r w:rsidRPr="00EE3F0B">
        <w:t>L’allegato 1 riporta le tabelle che indicano un maggiore dettaglio relativo alle spese</w:t>
      </w:r>
      <w:r>
        <w:t xml:space="preserve"> legate all’organizzazione dell’emergenza sanitaria. In corsivo sono aggiunte celle colorate con le informazioni richieste. </w:t>
      </w:r>
    </w:p>
    <w:p w:rsidR="009B4442" w:rsidRPr="00F257F8" w:rsidRDefault="009B4442" w:rsidP="009B4442">
      <w:pPr>
        <w:autoSpaceDE w:val="0"/>
        <w:autoSpaceDN w:val="0"/>
        <w:adjustRightInd w:val="0"/>
        <w:rPr>
          <w:rFonts w:cs="Arial"/>
          <w:szCs w:val="24"/>
        </w:rPr>
      </w:pPr>
    </w:p>
    <w:p w:rsidR="009B4442" w:rsidRDefault="009B4442" w:rsidP="009B4442">
      <w:pPr>
        <w:pStyle w:val="Paragrafoelenco"/>
        <w:numPr>
          <w:ilvl w:val="0"/>
          <w:numId w:val="19"/>
        </w:numPr>
        <w:autoSpaceDE w:val="0"/>
        <w:autoSpaceDN w:val="0"/>
        <w:adjustRightInd w:val="0"/>
        <w:ind w:left="284" w:hanging="284"/>
        <w:contextualSpacing w:val="0"/>
        <w:rPr>
          <w:rFonts w:cs="Arial"/>
          <w:szCs w:val="24"/>
        </w:rPr>
      </w:pPr>
      <w:r w:rsidRPr="00736761">
        <w:rPr>
          <w:rFonts w:cs="Arial"/>
          <w:b/>
          <w:szCs w:val="24"/>
        </w:rPr>
        <w:t>I casi di rigore</w:t>
      </w:r>
      <w:r w:rsidRPr="00FD722A">
        <w:rPr>
          <w:rFonts w:cs="Arial"/>
          <w:szCs w:val="24"/>
        </w:rPr>
        <w:t>: importi stanziati (anni 2020 e 2021) per categoria economica e professionale in termini generali (per esempio ristorazione, albergheria, attività indipendenti, ecc.)</w:t>
      </w:r>
      <w:r>
        <w:rPr>
          <w:rFonts w:cs="Arial"/>
          <w:szCs w:val="24"/>
        </w:rPr>
        <w:t>.</w:t>
      </w:r>
    </w:p>
    <w:p w:rsidR="009B4442" w:rsidRDefault="009B4442" w:rsidP="009B4442">
      <w:r>
        <w:lastRenderedPageBreak/>
        <w:t>Per quanto attiene ai casi di rigore, si ricorda che il programma ha preso ufficialmente avvio il 1° febbraio 2021. Gli importi stanziati ed erogati nell’anno ammontano a CHF 160.5 milioni, di cui la parte cantonale ammonta a CHF 28 milioni mentre la parte federale ammonta a CHF 132.5 milioni.</w:t>
      </w:r>
    </w:p>
    <w:p w:rsidR="009B4442" w:rsidRDefault="009B4442" w:rsidP="009B4442"/>
    <w:p w:rsidR="009B4442" w:rsidRDefault="009B4442" w:rsidP="009B4442">
      <w:r>
        <w:t xml:space="preserve">Nel 2020 </w:t>
      </w:r>
      <w:r w:rsidRPr="00010348">
        <w:t xml:space="preserve">è stato effettuato </w:t>
      </w:r>
      <w:r>
        <w:t>un accantonamento di CHF 21.4 milioni per una questione di competenza (le chiusure erano state impartite dalle autorità già a dicembre 2020), pertanto l’importo netto a carico del Cantone nel 2021 è stato di CHF 6.6 milioni.</w:t>
      </w:r>
    </w:p>
    <w:p w:rsidR="009B4442" w:rsidRDefault="009B4442" w:rsidP="009B4442"/>
    <w:p w:rsidR="009B4442" w:rsidRDefault="009B4442" w:rsidP="009B4442">
      <w:r>
        <w:t>Di seguito è riportata la suddivisione per settore degli aiuti erogati per i casi di rigore:</w:t>
      </w:r>
    </w:p>
    <w:p w:rsidR="009B4442" w:rsidRDefault="009B4442" w:rsidP="009B4442"/>
    <w:p w:rsidR="009B4442" w:rsidRDefault="009B4442" w:rsidP="009B4442">
      <w:pPr>
        <w:rPr>
          <w:color w:val="1F497D"/>
        </w:rPr>
      </w:pPr>
      <w:r w:rsidRPr="00F0552D">
        <w:rPr>
          <w:noProof/>
          <w:lang w:eastAsia="it-CH"/>
        </w:rPr>
        <w:drawing>
          <wp:inline distT="0" distB="0" distL="0" distR="0" wp14:anchorId="19A4E7DB" wp14:editId="665F79B3">
            <wp:extent cx="5972175" cy="2590800"/>
            <wp:effectExtent l="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42" w:rsidRDefault="009B4442" w:rsidP="00AA1C90">
      <w:pPr>
        <w:pStyle w:val="StandardRisoluzionedelConsigliodiStato"/>
        <w:spacing w:before="120"/>
      </w:pPr>
    </w:p>
    <w:p w:rsidR="009B4442" w:rsidRPr="00EE3F0B" w:rsidRDefault="009B4442" w:rsidP="009B4442">
      <w:pPr>
        <w:pStyle w:val="Paragrafoelenco"/>
        <w:numPr>
          <w:ilvl w:val="0"/>
          <w:numId w:val="19"/>
        </w:numPr>
        <w:autoSpaceDE w:val="0"/>
        <w:autoSpaceDN w:val="0"/>
        <w:adjustRightInd w:val="0"/>
        <w:ind w:left="284" w:hanging="284"/>
        <w:contextualSpacing w:val="0"/>
        <w:rPr>
          <w:rFonts w:cs="Arial"/>
          <w:szCs w:val="24"/>
        </w:rPr>
      </w:pPr>
      <w:r w:rsidRPr="00736761">
        <w:rPr>
          <w:rFonts w:cs="Arial"/>
          <w:b/>
          <w:szCs w:val="24"/>
        </w:rPr>
        <w:t>Le prestazioni ponte COVID</w:t>
      </w:r>
      <w:r w:rsidRPr="00FD722A">
        <w:rPr>
          <w:rFonts w:cs="Arial"/>
          <w:szCs w:val="24"/>
        </w:rPr>
        <w:t xml:space="preserve">: contributi erogati nel 2020 e 2021 e quale categoria in </w:t>
      </w:r>
      <w:r w:rsidRPr="00EE3F0B">
        <w:rPr>
          <w:rFonts w:cs="Arial"/>
          <w:szCs w:val="24"/>
        </w:rPr>
        <w:t xml:space="preserve">generale </w:t>
      </w:r>
      <w:r>
        <w:rPr>
          <w:rFonts w:cs="Arial"/>
          <w:szCs w:val="24"/>
        </w:rPr>
        <w:t>vi ha fatto capo</w:t>
      </w:r>
      <w:r w:rsidRPr="00EE3F0B">
        <w:rPr>
          <w:rFonts w:cs="Arial"/>
          <w:szCs w:val="24"/>
        </w:rPr>
        <w:t xml:space="preserve"> (indipendenti, persone bisognose e senza altri aiuti ecc.).</w:t>
      </w:r>
    </w:p>
    <w:p w:rsidR="009B4442" w:rsidRDefault="009B4442" w:rsidP="004442A1">
      <w:pPr>
        <w:pStyle w:val="Paragrafoelenco"/>
        <w:autoSpaceDE w:val="0"/>
        <w:autoSpaceDN w:val="0"/>
        <w:adjustRightInd w:val="0"/>
        <w:ind w:left="0"/>
        <w:rPr>
          <w:rFonts w:cs="Arial"/>
          <w:szCs w:val="24"/>
        </w:rPr>
      </w:pPr>
    </w:p>
    <w:p w:rsidR="009B4442" w:rsidRDefault="009B4442" w:rsidP="009B4442">
      <w:pPr>
        <w:pStyle w:val="StandardRisoluzionedelConsigliodiStato"/>
        <w:rPr>
          <w:rFonts w:cs="Arial"/>
          <w:szCs w:val="24"/>
        </w:rPr>
      </w:pPr>
      <w:r>
        <w:t>In merito alle prestazioni ponte COVID, ricordiamo che i</w:t>
      </w:r>
      <w:r>
        <w:rPr>
          <w:rFonts w:cs="Arial"/>
          <w:szCs w:val="24"/>
        </w:rPr>
        <w:t>l 26 gennaio 2021 il Gran Consiglio ha approvato il messaggio n. 7906 del 7 ottobre 2020, concernente la prestazione ponte COVID, un aiuto mirato, straordinario e temporaneo per permettere di superare una fase di difficoltà, recuperare l’autonomia finanziaria ed evitare il ricorso alle prestazioni assistenziali. La prestazione, entrata in vigore il 1 marzo 2021, è stata rinnovata dal Gran Consiglio a due riprese. Essa è principalmente rivolta ai lavoratori indipendenti affiliati come tali ad una Cassa di compensazione AVS e a quelli salariati che non possono beneficiare di indennità ai sensi della Legge sull’assicurazione contro la disoccupazione (LADI).</w:t>
      </w:r>
    </w:p>
    <w:p w:rsidR="009B4442" w:rsidRDefault="009B4442" w:rsidP="00AA1C90">
      <w:pPr>
        <w:spacing w:before="240" w:after="120"/>
        <w:rPr>
          <w:rFonts w:cs="Arial"/>
          <w:szCs w:val="24"/>
        </w:rPr>
      </w:pPr>
      <w:r>
        <w:rPr>
          <w:rFonts w:cs="Arial"/>
          <w:szCs w:val="24"/>
        </w:rPr>
        <w:t>Nel 2020 non sono stati erogati contributi, mentre il totale degli esborsi 2021 (marzo – dicembre 2021) ammonta a CHF 2'455'695, di cui CHF 1'841'771 a carico del Cantone. Mediamente sono stati erogati contributi mensili per CHF 245'569 (valore massimo a marzo 2021: CHF 353'917 / valore minimo a luglio 2021: CHF 178'917).</w:t>
      </w:r>
    </w:p>
    <w:p w:rsidR="009B4442" w:rsidRDefault="009B4442" w:rsidP="00AA1C90">
      <w:pPr>
        <w:spacing w:before="240" w:after="120"/>
        <w:rPr>
          <w:rFonts w:cs="Arial"/>
          <w:szCs w:val="24"/>
        </w:rPr>
      </w:pPr>
      <w:r>
        <w:rPr>
          <w:rFonts w:cs="Arial"/>
          <w:szCs w:val="24"/>
        </w:rPr>
        <w:t>La consulenza individuale e la determinazione del diritto alla prestazione sono demandate ai Comuni, i quali sono in possesso delle informazioni dettagliate che, tuttavia, per evitare un carico amministrativo eccessivo al momento dell’allestimento della reportistica mensile, non sono raccolte in modo centralizzato.</w:t>
      </w:r>
    </w:p>
    <w:p w:rsidR="009B4442" w:rsidRDefault="009B4442" w:rsidP="009B4442">
      <w:pPr>
        <w:spacing w:after="120"/>
        <w:rPr>
          <w:rFonts w:cs="Arial"/>
          <w:szCs w:val="24"/>
        </w:rPr>
      </w:pPr>
      <w:r>
        <w:rPr>
          <w:rFonts w:cs="Arial"/>
          <w:szCs w:val="24"/>
        </w:rPr>
        <w:lastRenderedPageBreak/>
        <w:t>Ci limitiamo dunque di seguito a indicare le informazioni dettagliate delle prestazioni erogate dalla Città di Lugano, che riteniamo significative poiché rappresentative del 19% dell’importo erogato e del 27% delle domande trattate.</w:t>
      </w:r>
    </w:p>
    <w:p w:rsidR="009B4442" w:rsidRDefault="009B4442" w:rsidP="00AA1C90">
      <w:pPr>
        <w:spacing w:before="240" w:after="120"/>
        <w:rPr>
          <w:rFonts w:cs="Arial"/>
          <w:szCs w:val="24"/>
        </w:rPr>
      </w:pPr>
      <w:r>
        <w:rPr>
          <w:rFonts w:cs="Arial"/>
          <w:szCs w:val="24"/>
        </w:rPr>
        <w:t xml:space="preserve">Nel dettaglio i cittadini beneficiari della prestazione ponte COVID sono perlopiù indipendenti, da almeno tre mesi, in taluni casi responsabili di attività che non hanno consentito loro – in qualità di titolari – di beneficiare della prestazione IPG Corona. </w:t>
      </w:r>
    </w:p>
    <w:p w:rsidR="009B4442" w:rsidRDefault="009B4442" w:rsidP="00AA1C90">
      <w:pPr>
        <w:spacing w:before="240" w:after="120"/>
        <w:rPr>
          <w:rFonts w:cs="Arial"/>
          <w:szCs w:val="24"/>
        </w:rPr>
      </w:pPr>
      <w:r>
        <w:rPr>
          <w:rFonts w:cs="Arial"/>
          <w:szCs w:val="24"/>
        </w:rPr>
        <w:t>La Città di Lugano ha erogato la prestazione a</w:t>
      </w:r>
      <w:r w:rsidRPr="00CD676B">
        <w:rPr>
          <w:rFonts w:cs="Arial"/>
          <w:szCs w:val="24"/>
        </w:rPr>
        <w:t xml:space="preserve"> un numero di indipendenti pari al 51%</w:t>
      </w:r>
      <w:r>
        <w:rPr>
          <w:rFonts w:cs="Arial"/>
          <w:szCs w:val="24"/>
        </w:rPr>
        <w:t>;</w:t>
      </w:r>
      <w:r w:rsidRPr="00CD676B">
        <w:rPr>
          <w:rFonts w:cs="Arial"/>
          <w:szCs w:val="24"/>
        </w:rPr>
        <w:t xml:space="preserve"> mentre il 37% dei beneficiari erano dipendenti/salariati (di cui il 16% dalla propria azienda). Solo l’1% dei beneficiari </w:t>
      </w:r>
      <w:r>
        <w:rPr>
          <w:rFonts w:cs="Arial"/>
          <w:szCs w:val="24"/>
        </w:rPr>
        <w:t xml:space="preserve">concerne persone senza lavoro e senza diritto alla disoccupazione; mentre l’11% si riferisce ad altre categorie di beneficiari. </w:t>
      </w:r>
    </w:p>
    <w:p w:rsidR="009B4442" w:rsidRPr="00D33F2B" w:rsidRDefault="009B4442" w:rsidP="00AA1C90">
      <w:pPr>
        <w:spacing w:before="240"/>
        <w:rPr>
          <w:rFonts w:cs="Arial"/>
          <w:szCs w:val="24"/>
        </w:rPr>
      </w:pPr>
      <w:r>
        <w:rPr>
          <w:rFonts w:cs="Arial"/>
          <w:szCs w:val="24"/>
        </w:rPr>
        <w:t>L’art. 3 del decreto legislativo esclude invece dalla prestazione ponte COVID le persone a beneficio di indennità ai sensi della legge sull’assicurazione contro la disoccupazione, come pure le richieste formulate da persone (compresi i membri dell’unità di riferimento) a beneficio di altre prestazioni a copertura del fabbisogno, quali le indennità straordinarie di disoccupazione, l’assegno di prima infanzia, la prestazione assistenziale e le prestazioni complementari all’AVS/AI.</w:t>
      </w:r>
    </w:p>
    <w:p w:rsidR="009B4442" w:rsidRPr="00736761" w:rsidRDefault="009B4442" w:rsidP="009B4442">
      <w:pPr>
        <w:autoSpaceDE w:val="0"/>
        <w:autoSpaceDN w:val="0"/>
        <w:adjustRightInd w:val="0"/>
        <w:rPr>
          <w:rFonts w:cs="Arial"/>
          <w:szCs w:val="24"/>
        </w:rPr>
      </w:pPr>
    </w:p>
    <w:p w:rsidR="009B4442" w:rsidRDefault="009B4442" w:rsidP="009B4442">
      <w:pPr>
        <w:pStyle w:val="Paragrafoelenco"/>
        <w:numPr>
          <w:ilvl w:val="0"/>
          <w:numId w:val="19"/>
        </w:numPr>
        <w:autoSpaceDE w:val="0"/>
        <w:autoSpaceDN w:val="0"/>
        <w:adjustRightInd w:val="0"/>
        <w:ind w:left="284" w:hanging="284"/>
        <w:contextualSpacing w:val="0"/>
        <w:rPr>
          <w:rFonts w:cs="Arial"/>
          <w:szCs w:val="24"/>
        </w:rPr>
      </w:pPr>
      <w:r w:rsidRPr="00FB5EFA">
        <w:rPr>
          <w:rFonts w:cs="Arial"/>
          <w:b/>
          <w:szCs w:val="24"/>
        </w:rPr>
        <w:t>Le spese legate all’organizzazione</w:t>
      </w:r>
      <w:r w:rsidRPr="003038CD">
        <w:rPr>
          <w:rFonts w:cs="Arial"/>
          <w:szCs w:val="24"/>
        </w:rPr>
        <w:t xml:space="preserve"> (</w:t>
      </w:r>
      <w:r w:rsidRPr="00FD722A">
        <w:rPr>
          <w:rFonts w:cs="Arial"/>
          <w:szCs w:val="24"/>
        </w:rPr>
        <w:t xml:space="preserve">spese per la logistica, centri per tamponi, </w:t>
      </w:r>
      <w:proofErr w:type="spellStart"/>
      <w:r w:rsidRPr="003038CD">
        <w:rPr>
          <w:rFonts w:cs="Arial"/>
          <w:i/>
          <w:szCs w:val="24"/>
        </w:rPr>
        <w:t>check</w:t>
      </w:r>
      <w:proofErr w:type="spellEnd"/>
      <w:r w:rsidRPr="003038CD">
        <w:rPr>
          <w:rFonts w:cs="Arial"/>
          <w:i/>
          <w:szCs w:val="24"/>
        </w:rPr>
        <w:t xml:space="preserve"> </w:t>
      </w:r>
      <w:proofErr w:type="spellStart"/>
      <w:r w:rsidRPr="003038CD">
        <w:rPr>
          <w:rFonts w:cs="Arial"/>
          <w:i/>
          <w:szCs w:val="24"/>
        </w:rPr>
        <w:t>point</w:t>
      </w:r>
      <w:proofErr w:type="spellEnd"/>
      <w:r w:rsidRPr="00FD722A">
        <w:rPr>
          <w:rFonts w:cs="Arial"/>
          <w:szCs w:val="24"/>
        </w:rPr>
        <w:t xml:space="preserve">, vaccinazioni, </w:t>
      </w:r>
      <w:proofErr w:type="spellStart"/>
      <w:r w:rsidRPr="003038CD">
        <w:rPr>
          <w:rFonts w:cs="Arial"/>
          <w:i/>
          <w:szCs w:val="24"/>
        </w:rPr>
        <w:t>contact</w:t>
      </w:r>
      <w:proofErr w:type="spellEnd"/>
      <w:r w:rsidRPr="003038CD">
        <w:rPr>
          <w:rFonts w:cs="Arial"/>
          <w:i/>
          <w:szCs w:val="24"/>
        </w:rPr>
        <w:t xml:space="preserve"> </w:t>
      </w:r>
      <w:proofErr w:type="spellStart"/>
      <w:r w:rsidRPr="003038CD">
        <w:rPr>
          <w:rFonts w:cs="Arial"/>
          <w:i/>
          <w:szCs w:val="24"/>
        </w:rPr>
        <w:t>tracing</w:t>
      </w:r>
      <w:proofErr w:type="spellEnd"/>
      <w:r w:rsidRPr="00FD722A">
        <w:rPr>
          <w:rFonts w:cs="Arial"/>
          <w:szCs w:val="24"/>
        </w:rPr>
        <w:t xml:space="preserve"> ecc.)</w:t>
      </w:r>
      <w:r>
        <w:rPr>
          <w:rFonts w:cs="Arial"/>
          <w:szCs w:val="24"/>
        </w:rPr>
        <w:t>,</w:t>
      </w:r>
    </w:p>
    <w:p w:rsidR="009B4442" w:rsidRPr="00FB5EFA" w:rsidRDefault="009B4442" w:rsidP="009B4442">
      <w:pPr>
        <w:autoSpaceDE w:val="0"/>
        <w:autoSpaceDN w:val="0"/>
        <w:adjustRightInd w:val="0"/>
        <w:rPr>
          <w:rFonts w:cs="Arial"/>
          <w:szCs w:val="24"/>
        </w:rPr>
      </w:pPr>
    </w:p>
    <w:p w:rsidR="009B4442" w:rsidRDefault="009B4442" w:rsidP="009B4442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I maggiori costi per l’anno 2020 (espressi in mio di franchi) sono stati: </w:t>
      </w:r>
    </w:p>
    <w:p w:rsidR="009B4442" w:rsidRDefault="009B4442" w:rsidP="009B4442">
      <w:pPr>
        <w:autoSpaceDE w:val="0"/>
        <w:autoSpaceDN w:val="0"/>
        <w:adjustRightInd w:val="0"/>
        <w:rPr>
          <w:rFonts w:cs="Arial"/>
          <w:szCs w:val="24"/>
        </w:rPr>
      </w:pP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20"/>
        <w:gridCol w:w="1420"/>
      </w:tblGrid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color w:val="000000"/>
                <w:sz w:val="22"/>
                <w:lang w:eastAsia="it-CH"/>
              </w:rPr>
              <w:t xml:space="preserve">Organizzazione emergenza sanitaria 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center"/>
              <w:rPr>
                <w:rFonts w:eastAsia="Times New Roman" w:cs="Arial"/>
                <w:color w:val="000000"/>
                <w:szCs w:val="24"/>
                <w:lang w:eastAsia="it-CH"/>
              </w:rPr>
            </w:pPr>
            <w:r w:rsidRPr="005A56EB">
              <w:rPr>
                <w:rFonts w:eastAsia="Times New Roman" w:cs="Arial"/>
                <w:color w:val="000000"/>
                <w:szCs w:val="24"/>
                <w:lang w:eastAsia="it-CH"/>
              </w:rPr>
              <w:t>5.30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 xml:space="preserve">di cui </w:t>
            </w:r>
            <w:proofErr w:type="spellStart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contact</w:t>
            </w:r>
            <w:proofErr w:type="spellEnd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 xml:space="preserve"> </w:t>
            </w:r>
            <w:proofErr w:type="spellStart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tracing</w:t>
            </w:r>
            <w:proofErr w:type="spellEnd"/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0.67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di cui check-point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0.57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di cui tamponi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0.05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 xml:space="preserve">di cui spese logistiche/materiale (Regioni </w:t>
            </w:r>
            <w:proofErr w:type="spellStart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PCi</w:t>
            </w:r>
            <w:proofErr w:type="spellEnd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)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2.88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 xml:space="preserve">di cui altro (Centrale </w:t>
            </w:r>
            <w:proofErr w:type="spellStart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Hotline</w:t>
            </w:r>
            <w:proofErr w:type="spellEnd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)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1.20</w:t>
            </w:r>
          </w:p>
        </w:tc>
      </w:tr>
    </w:tbl>
    <w:p w:rsidR="009B4442" w:rsidRDefault="009B4442" w:rsidP="009B4442">
      <w:pPr>
        <w:autoSpaceDE w:val="0"/>
        <w:autoSpaceDN w:val="0"/>
        <w:adjustRightInd w:val="0"/>
        <w:rPr>
          <w:rFonts w:cs="Arial"/>
          <w:szCs w:val="24"/>
        </w:rPr>
      </w:pPr>
    </w:p>
    <w:p w:rsidR="009B4442" w:rsidRDefault="009B4442" w:rsidP="00AA1C90">
      <w:pPr>
        <w:autoSpaceDE w:val="0"/>
        <w:autoSpaceDN w:val="0"/>
        <w:adjustRightInd w:val="0"/>
        <w:spacing w:before="120"/>
        <w:rPr>
          <w:rFonts w:cs="Arial"/>
          <w:szCs w:val="24"/>
        </w:rPr>
      </w:pPr>
      <w:r>
        <w:rPr>
          <w:rFonts w:cs="Arial"/>
          <w:szCs w:val="24"/>
        </w:rPr>
        <w:t>I maggiori costo per l’anno 2021 (espressi in mio di franchi) sono stati:</w:t>
      </w:r>
    </w:p>
    <w:p w:rsidR="009B4442" w:rsidRDefault="009B4442" w:rsidP="009B4442">
      <w:pPr>
        <w:autoSpaceDE w:val="0"/>
        <w:autoSpaceDN w:val="0"/>
        <w:adjustRightInd w:val="0"/>
        <w:rPr>
          <w:rFonts w:cs="Arial"/>
          <w:szCs w:val="24"/>
        </w:rPr>
      </w:pP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20"/>
        <w:gridCol w:w="1420"/>
      </w:tblGrid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color w:val="000000"/>
                <w:sz w:val="22"/>
                <w:lang w:eastAsia="it-CH"/>
              </w:rPr>
              <w:t xml:space="preserve">Organizzazione emergenza sanitaria 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center"/>
              <w:rPr>
                <w:rFonts w:eastAsia="Times New Roman" w:cs="Arial"/>
                <w:color w:val="000000"/>
                <w:szCs w:val="24"/>
                <w:lang w:eastAsia="it-CH"/>
              </w:rPr>
            </w:pPr>
            <w:r>
              <w:rPr>
                <w:rFonts w:eastAsia="Times New Roman" w:cs="Arial"/>
                <w:color w:val="000000"/>
                <w:szCs w:val="24"/>
                <w:lang w:eastAsia="it-CH"/>
              </w:rPr>
              <w:t>13</w:t>
            </w:r>
            <w:r w:rsidRPr="005A56EB">
              <w:rPr>
                <w:rFonts w:eastAsia="Times New Roman" w:cs="Arial"/>
                <w:color w:val="000000"/>
                <w:szCs w:val="24"/>
                <w:lang w:eastAsia="it-CH"/>
              </w:rPr>
              <w:t>.</w:t>
            </w:r>
            <w:r>
              <w:rPr>
                <w:rFonts w:eastAsia="Times New Roman" w:cs="Arial"/>
                <w:color w:val="000000"/>
                <w:szCs w:val="24"/>
                <w:lang w:eastAsia="it-CH"/>
              </w:rPr>
              <w:t>5</w:t>
            </w:r>
            <w:r w:rsidRPr="005A56EB">
              <w:rPr>
                <w:rFonts w:eastAsia="Times New Roman" w:cs="Arial"/>
                <w:color w:val="000000"/>
                <w:szCs w:val="24"/>
                <w:lang w:eastAsia="it-CH"/>
              </w:rPr>
              <w:t>0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 xml:space="preserve">di cui </w:t>
            </w:r>
            <w:proofErr w:type="spellStart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contact</w:t>
            </w:r>
            <w:proofErr w:type="spellEnd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 xml:space="preserve"> </w:t>
            </w:r>
            <w:proofErr w:type="spellStart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tracing</w:t>
            </w:r>
            <w:proofErr w:type="spellEnd"/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1</w:t>
            </w:r>
            <w:r w:rsidRPr="005A56EB"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.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13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di cui vaccinazioni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</w:tcPr>
          <w:p w:rsidR="009B4442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13.11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di cui check-point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0.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23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di cui tamponi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0.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12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 xml:space="preserve">di cui spese logistiche/materiale (Regioni </w:t>
            </w:r>
            <w:proofErr w:type="spellStart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PCi</w:t>
            </w:r>
            <w:proofErr w:type="spellEnd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)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2.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00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 xml:space="preserve">di cui altro (Centrale </w:t>
            </w:r>
            <w:proofErr w:type="spellStart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Hotline</w:t>
            </w:r>
            <w:proofErr w:type="spellEnd"/>
            <w:r w:rsidRPr="005A56EB"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)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B4442" w:rsidRPr="005A56EB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3</w:t>
            </w:r>
            <w:r w:rsidRPr="005A56EB"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.</w:t>
            </w:r>
            <w:r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60</w:t>
            </w:r>
          </w:p>
        </w:tc>
      </w:tr>
      <w:tr w:rsidR="009B4442" w:rsidRPr="005A56EB" w:rsidTr="002C66D5">
        <w:trPr>
          <w:trHeight w:val="310"/>
        </w:trPr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</w:tcPr>
          <w:p w:rsidR="009B4442" w:rsidRPr="005A56EB" w:rsidRDefault="009B4442" w:rsidP="002C66D5">
            <w:pPr>
              <w:jc w:val="right"/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</w:pPr>
            <w:r>
              <w:rPr>
                <w:rFonts w:eastAsia="Times New Roman" w:cs="Arial"/>
                <w:i/>
                <w:iCs/>
                <w:color w:val="000000"/>
                <w:sz w:val="22"/>
                <w:lang w:eastAsia="it-CH"/>
              </w:rPr>
              <w:t>rimborsi ricevuti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</w:tcPr>
          <w:p w:rsidR="009B4442" w:rsidRDefault="009B4442" w:rsidP="002C66D5">
            <w:pPr>
              <w:jc w:val="left"/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</w:pPr>
            <w:r>
              <w:rPr>
                <w:rFonts w:eastAsia="Times New Roman" w:cs="Arial"/>
                <w:i/>
                <w:iCs/>
                <w:color w:val="000000"/>
                <w:szCs w:val="24"/>
                <w:lang w:eastAsia="it-CH"/>
              </w:rPr>
              <w:t>-6.70</w:t>
            </w:r>
          </w:p>
        </w:tc>
      </w:tr>
    </w:tbl>
    <w:p w:rsidR="009B4442" w:rsidRDefault="009B4442" w:rsidP="00AA1C90">
      <w:pPr>
        <w:autoSpaceDE w:val="0"/>
        <w:autoSpaceDN w:val="0"/>
        <w:adjustRightInd w:val="0"/>
        <w:spacing w:before="120"/>
        <w:rPr>
          <w:rFonts w:cs="Arial"/>
          <w:szCs w:val="24"/>
        </w:rPr>
      </w:pPr>
    </w:p>
    <w:p w:rsidR="00AA1C90" w:rsidRDefault="009B4442" w:rsidP="009B4442">
      <w:pPr>
        <w:tabs>
          <w:tab w:val="left" w:pos="5103"/>
        </w:tabs>
        <w:autoSpaceDE w:val="0"/>
        <w:autoSpaceDN w:val="0"/>
        <w:adjustRightInd w:val="0"/>
        <w:rPr>
          <w:rFonts w:cs="Arial"/>
          <w:szCs w:val="24"/>
        </w:rPr>
      </w:pPr>
      <w:r w:rsidRPr="00FF633D">
        <w:rPr>
          <w:rFonts w:cs="Arial"/>
          <w:szCs w:val="24"/>
        </w:rPr>
        <w:t xml:space="preserve">Le spese che figurano nella tabella contenuta nel messaggio (pag. 33), con un maggior dettaglio relativo alle spese straordinarie per il personale e per beni e servizi assunte dal Cantone per far fronte al Covid-19 sono quantificate in 27.3 milioni di franchi, di cui </w:t>
      </w:r>
      <w:r w:rsidR="00AA1C90">
        <w:rPr>
          <w:rFonts w:cs="Arial"/>
          <w:szCs w:val="24"/>
        </w:rPr>
        <w:br/>
      </w:r>
    </w:p>
    <w:p w:rsidR="009B4442" w:rsidRDefault="009B4442" w:rsidP="009B4442">
      <w:pPr>
        <w:tabs>
          <w:tab w:val="left" w:pos="5103"/>
        </w:tabs>
        <w:autoSpaceDE w:val="0"/>
        <w:autoSpaceDN w:val="0"/>
        <w:adjustRightInd w:val="0"/>
        <w:rPr>
          <w:rFonts w:cs="Arial"/>
          <w:szCs w:val="24"/>
        </w:rPr>
      </w:pPr>
      <w:r w:rsidRPr="00FF633D">
        <w:rPr>
          <w:rFonts w:cs="Arial"/>
          <w:szCs w:val="24"/>
        </w:rPr>
        <w:lastRenderedPageBreak/>
        <w:t>9.1 milioni per l'organizzazione del soccorso per l'emergenza sanitaria e la gestione dei casi di rigore, le quali hanno anche contribuito all'incremento riscontrato sulla voce di spesa per beni e servizi.</w:t>
      </w:r>
    </w:p>
    <w:p w:rsidR="00AA1C90" w:rsidRDefault="00AA1C90" w:rsidP="009B4442">
      <w:pPr>
        <w:tabs>
          <w:tab w:val="left" w:pos="5103"/>
        </w:tabs>
        <w:autoSpaceDE w:val="0"/>
        <w:autoSpaceDN w:val="0"/>
        <w:adjustRightInd w:val="0"/>
        <w:rPr>
          <w:rFonts w:cs="Arial"/>
          <w:szCs w:val="24"/>
        </w:rPr>
      </w:pPr>
    </w:p>
    <w:p w:rsidR="00AA1C90" w:rsidRPr="00FF633D" w:rsidRDefault="00AA1C90" w:rsidP="009B4442">
      <w:pPr>
        <w:tabs>
          <w:tab w:val="left" w:pos="5103"/>
        </w:tabs>
        <w:autoSpaceDE w:val="0"/>
        <w:autoSpaceDN w:val="0"/>
        <w:adjustRightInd w:val="0"/>
        <w:rPr>
          <w:rFonts w:cs="Arial"/>
          <w:szCs w:val="24"/>
        </w:rPr>
      </w:pPr>
    </w:p>
    <w:p w:rsidR="009B4442" w:rsidRPr="00940071" w:rsidRDefault="00AA1C90" w:rsidP="00AA1C90">
      <w:pPr>
        <w:pStyle w:val="Titolo1"/>
        <w:numPr>
          <w:ilvl w:val="0"/>
          <w:numId w:val="18"/>
        </w:numPr>
        <w:tabs>
          <w:tab w:val="left" w:pos="567"/>
        </w:tabs>
        <w:spacing w:before="0"/>
        <w:ind w:left="567" w:hanging="567"/>
        <w:jc w:val="both"/>
      </w:pPr>
      <w:r w:rsidRPr="00940071">
        <w:t>CON</w:t>
      </w:r>
      <w:r>
        <w:t>SIDERAZIONI COMMISSIONALI</w:t>
      </w:r>
      <w:r w:rsidRPr="00940071">
        <w:t xml:space="preserve"> </w:t>
      </w:r>
    </w:p>
    <w:p w:rsidR="009B4442" w:rsidRDefault="009B4442" w:rsidP="009B4442">
      <w:pPr>
        <w:rPr>
          <w:rFonts w:cs="Arial"/>
        </w:rPr>
      </w:pPr>
      <w:r>
        <w:rPr>
          <w:rFonts w:cs="Arial"/>
        </w:rPr>
        <w:t>Situandosi i</w:t>
      </w:r>
      <w:r w:rsidRPr="00324C64">
        <w:rPr>
          <w:rFonts w:cs="Arial"/>
        </w:rPr>
        <w:t>n una situazione sospesa tra un passato marcato da difficoltà e un futuro prossimo ancora costellato da incertezze</w:t>
      </w:r>
      <w:r>
        <w:rPr>
          <w:rFonts w:cs="Arial"/>
        </w:rPr>
        <w:t>, quali eventuali recrudescenze del Covid-19 e la crisi in Ucraina</w:t>
      </w:r>
      <w:r w:rsidRPr="00324C64">
        <w:rPr>
          <w:rFonts w:cs="Arial"/>
        </w:rPr>
        <w:t xml:space="preserve">, </w:t>
      </w:r>
      <w:r>
        <w:rPr>
          <w:rFonts w:cs="Arial"/>
        </w:rPr>
        <w:t xml:space="preserve">e </w:t>
      </w:r>
      <w:r w:rsidRPr="00324C64">
        <w:rPr>
          <w:rFonts w:cs="Arial"/>
        </w:rPr>
        <w:t>a cavallo tra due legislature</w:t>
      </w:r>
      <w:r>
        <w:rPr>
          <w:rFonts w:cs="Arial"/>
        </w:rPr>
        <w:t xml:space="preserve">, </w:t>
      </w:r>
      <w:r w:rsidRPr="00324C64">
        <w:rPr>
          <w:rFonts w:cs="Arial"/>
        </w:rPr>
        <w:t xml:space="preserve">la maggioranza della Commissione ha </w:t>
      </w:r>
      <w:r>
        <w:rPr>
          <w:rFonts w:cs="Arial"/>
        </w:rPr>
        <w:t xml:space="preserve">deciso di </w:t>
      </w:r>
      <w:r w:rsidRPr="00324C64">
        <w:rPr>
          <w:rFonts w:cs="Arial"/>
        </w:rPr>
        <w:t>allestire un rapporto unico e neutrale</w:t>
      </w:r>
      <w:r>
        <w:rPr>
          <w:rFonts w:cs="Arial"/>
        </w:rPr>
        <w:t xml:space="preserve">. </w:t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pPr>
        <w:rPr>
          <w:rFonts w:cs="Arial"/>
        </w:rPr>
      </w:pPr>
      <w:r>
        <w:rPr>
          <w:rFonts w:cs="Arial"/>
        </w:rPr>
        <w:t>L</w:t>
      </w:r>
      <w:r w:rsidRPr="00324C64">
        <w:rPr>
          <w:rFonts w:cs="Arial"/>
        </w:rPr>
        <w:t xml:space="preserve">’approvazione del </w:t>
      </w:r>
      <w:r>
        <w:rPr>
          <w:rFonts w:cs="Arial"/>
        </w:rPr>
        <w:t xml:space="preserve">Consuntivo </w:t>
      </w:r>
      <w:r w:rsidRPr="00324C64">
        <w:rPr>
          <w:rFonts w:cs="Arial"/>
        </w:rPr>
        <w:t>202</w:t>
      </w:r>
      <w:r>
        <w:rPr>
          <w:rFonts w:cs="Arial"/>
        </w:rPr>
        <w:t>1</w:t>
      </w:r>
      <w:r w:rsidRPr="00324C64">
        <w:rPr>
          <w:rFonts w:cs="Arial"/>
        </w:rPr>
        <w:t xml:space="preserve"> </w:t>
      </w:r>
      <w:r>
        <w:rPr>
          <w:rFonts w:cs="Arial"/>
        </w:rPr>
        <w:t>rappresenta</w:t>
      </w:r>
      <w:r w:rsidRPr="00324C64">
        <w:rPr>
          <w:rFonts w:cs="Arial"/>
        </w:rPr>
        <w:t xml:space="preserve"> per la Commissione</w:t>
      </w:r>
      <w:r>
        <w:rPr>
          <w:rFonts w:cs="Arial"/>
        </w:rPr>
        <w:t xml:space="preserve"> un</w:t>
      </w:r>
      <w:r w:rsidRPr="00324C64">
        <w:rPr>
          <w:rFonts w:cs="Arial"/>
        </w:rPr>
        <w:t xml:space="preserve"> atto </w:t>
      </w:r>
      <w:r>
        <w:rPr>
          <w:rFonts w:cs="Arial"/>
        </w:rPr>
        <w:t xml:space="preserve">di responsabilità, che lascia tuttavia </w:t>
      </w:r>
      <w:r w:rsidRPr="00324C64">
        <w:rPr>
          <w:rFonts w:cs="Arial"/>
        </w:rPr>
        <w:t xml:space="preserve">alla </w:t>
      </w:r>
      <w:r w:rsidRPr="002E4CA1">
        <w:rPr>
          <w:rFonts w:cs="Arial"/>
        </w:rPr>
        <w:t xml:space="preserve">sensibilità dei singoli gruppi </w:t>
      </w:r>
      <w:r>
        <w:rPr>
          <w:rFonts w:cs="Arial"/>
        </w:rPr>
        <w:t xml:space="preserve">e deputati </w:t>
      </w:r>
      <w:r w:rsidRPr="002E4CA1">
        <w:rPr>
          <w:rFonts w:cs="Arial"/>
        </w:rPr>
        <w:t xml:space="preserve">la libertà di </w:t>
      </w:r>
      <w:r>
        <w:rPr>
          <w:rFonts w:cs="Arial"/>
        </w:rPr>
        <w:t xml:space="preserve">esprimere le loro </w:t>
      </w:r>
      <w:r w:rsidRPr="002E4CA1">
        <w:rPr>
          <w:rFonts w:cs="Arial"/>
        </w:rPr>
        <w:t>legittime considerazioni</w:t>
      </w:r>
      <w:r>
        <w:rPr>
          <w:rFonts w:cs="Arial"/>
        </w:rPr>
        <w:t xml:space="preserve">, anche alla luce dell’esito della votazione popolare del 15 maggio in merito al Decreto legislativo di Morisoli e cof. per la modifica della </w:t>
      </w:r>
      <w:r w:rsidRPr="002E4CA1">
        <w:rPr>
          <w:rFonts w:cs="Arial"/>
        </w:rPr>
        <w:t>Legge sulla gestione e sul controllo finanziario dello Stato</w:t>
      </w:r>
      <w:r>
        <w:rPr>
          <w:rFonts w:cs="Arial"/>
        </w:rPr>
        <w:t>.</w:t>
      </w:r>
      <w:r w:rsidRPr="002E4CA1">
        <w:rPr>
          <w:rFonts w:cs="Arial"/>
        </w:rPr>
        <w:t xml:space="preserve"> </w:t>
      </w:r>
    </w:p>
    <w:p w:rsidR="009B4442" w:rsidRDefault="009B4442" w:rsidP="009B4442">
      <w:pPr>
        <w:rPr>
          <w:rFonts w:cs="Arial"/>
        </w:rPr>
      </w:pPr>
    </w:p>
    <w:p w:rsidR="009B4442" w:rsidRDefault="009B4442" w:rsidP="009B4442">
      <w:pPr>
        <w:rPr>
          <w:rFonts w:cs="Arial"/>
        </w:rPr>
      </w:pPr>
      <w:r>
        <w:rPr>
          <w:rFonts w:cs="Arial"/>
        </w:rPr>
        <w:t>Per quanto riguarda le numerose domande dei gruppi parlamentari, le stesse, con le rel</w:t>
      </w:r>
      <w:r w:rsidR="00AA1C90">
        <w:rPr>
          <w:rFonts w:cs="Arial"/>
        </w:rPr>
        <w:t>at</w:t>
      </w:r>
      <w:r>
        <w:rPr>
          <w:rFonts w:cs="Arial"/>
        </w:rPr>
        <w:t>ive risposte, sono allegate al presente rapporto nella forma online e quindi venir consultate sul sito del Cantone.</w:t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pPr>
        <w:rPr>
          <w:rFonts w:cs="Arial"/>
          <w:szCs w:val="24"/>
        </w:rPr>
      </w:pPr>
      <w:r w:rsidRPr="002E4CA1">
        <w:rPr>
          <w:rFonts w:cs="Arial"/>
        </w:rPr>
        <w:t xml:space="preserve">Proprio perché ci si muove all’interno di un insieme di dati e letture parziali, il </w:t>
      </w:r>
      <w:r w:rsidRPr="002E4CA1">
        <w:rPr>
          <w:rFonts w:cs="Arial"/>
          <w:szCs w:val="24"/>
        </w:rPr>
        <w:t xml:space="preserve">Consuntivo 2021 è da considerarsi </w:t>
      </w:r>
      <w:r>
        <w:rPr>
          <w:rFonts w:cs="Arial"/>
          <w:szCs w:val="24"/>
        </w:rPr>
        <w:t xml:space="preserve">un documento </w:t>
      </w:r>
      <w:r w:rsidRPr="002E4CA1">
        <w:rPr>
          <w:rFonts w:cs="Arial"/>
          <w:szCs w:val="24"/>
        </w:rPr>
        <w:t xml:space="preserve">di transizione, perché ancora troppo marcato da fattori congiunturali (Covid-19). </w:t>
      </w:r>
    </w:p>
    <w:p w:rsidR="009B4442" w:rsidRPr="00940071" w:rsidRDefault="009B4442" w:rsidP="009B4442">
      <w:pPr>
        <w:rPr>
          <w:rFonts w:cs="Arial"/>
          <w:szCs w:val="24"/>
        </w:rPr>
      </w:pPr>
      <w:r w:rsidRPr="002E4CA1">
        <w:rPr>
          <w:rFonts w:cs="Arial"/>
          <w:szCs w:val="24"/>
        </w:rPr>
        <w:t>Lo stato reale delle finanze dello Stato ed eventuali problematiche strutturali saranno determinabili non appena sarà possibile togliere dallo storico gli anni 2020 e 2021.</w:t>
      </w:r>
      <w:r>
        <w:rPr>
          <w:rFonts w:cs="Arial"/>
          <w:szCs w:val="24"/>
        </w:rPr>
        <w:t xml:space="preserve"> </w:t>
      </w:r>
    </w:p>
    <w:p w:rsidR="009B4442" w:rsidRDefault="009B4442" w:rsidP="009B4442">
      <w:pPr>
        <w:rPr>
          <w:rFonts w:cs="Arial"/>
          <w:szCs w:val="24"/>
        </w:rPr>
      </w:pPr>
      <w:r w:rsidRPr="002E4CA1">
        <w:rPr>
          <w:rFonts w:cs="Arial"/>
          <w:szCs w:val="24"/>
        </w:rPr>
        <w:t xml:space="preserve">È </w:t>
      </w:r>
      <w:r>
        <w:rPr>
          <w:rFonts w:cs="Arial"/>
          <w:szCs w:val="24"/>
        </w:rPr>
        <w:t xml:space="preserve">pertanto </w:t>
      </w:r>
      <w:r w:rsidRPr="002E4CA1">
        <w:rPr>
          <w:rFonts w:cs="Arial"/>
          <w:szCs w:val="24"/>
        </w:rPr>
        <w:t xml:space="preserve">prematuro esprimere considerazioni politiche oltre alle indicazioni già date </w:t>
      </w:r>
      <w:r>
        <w:rPr>
          <w:rFonts w:cs="Arial"/>
          <w:szCs w:val="24"/>
        </w:rPr>
        <w:t xml:space="preserve">da Commissione gestione e finanze e Gran Consiglio, e </w:t>
      </w:r>
      <w:r w:rsidRPr="002E4CA1">
        <w:rPr>
          <w:rFonts w:cs="Arial"/>
          <w:szCs w:val="24"/>
        </w:rPr>
        <w:t>recepite dal Governo</w:t>
      </w:r>
      <w:r>
        <w:rPr>
          <w:rFonts w:cs="Arial"/>
          <w:szCs w:val="24"/>
        </w:rPr>
        <w:t xml:space="preserve">. </w:t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pPr>
        <w:rPr>
          <w:rFonts w:cs="Arial"/>
          <w:szCs w:val="24"/>
        </w:rPr>
      </w:pPr>
      <w:r w:rsidRPr="00324C64">
        <w:rPr>
          <w:rFonts w:cs="Arial"/>
        </w:rPr>
        <w:t>Tenuto conto di un’evoluzione economica e politica incerta in tutta Europa, della pressione fiscale cantonale non propriamente concorrenziale</w:t>
      </w:r>
      <w:r>
        <w:rPr>
          <w:rFonts w:cs="Arial"/>
        </w:rPr>
        <w:t>,</w:t>
      </w:r>
      <w:r w:rsidRPr="00324C64">
        <w:rPr>
          <w:rFonts w:cs="Arial"/>
        </w:rPr>
        <w:t xml:space="preserve"> nonché </w:t>
      </w:r>
      <w:r w:rsidRPr="003211C8">
        <w:rPr>
          <w:rFonts w:cs="Arial"/>
        </w:rPr>
        <w:t xml:space="preserve">dei costi per i cittadini oramai troppo elevati, </w:t>
      </w:r>
      <w:r>
        <w:rPr>
          <w:rFonts w:cs="Arial"/>
        </w:rPr>
        <w:t xml:space="preserve">Governo e Gran Consiglio sono chiamati a un atto di responsabilità per riuscire a far </w:t>
      </w:r>
      <w:r w:rsidRPr="003211C8">
        <w:rPr>
          <w:rFonts w:cs="Arial"/>
        </w:rPr>
        <w:t>fronte alle sfide future e consegnare uno Stato solido alle prossime generazioni.</w:t>
      </w:r>
      <w:r>
        <w:rPr>
          <w:rFonts w:cs="Arial"/>
        </w:rPr>
        <w:t xml:space="preserve"> Il Governo ha già annunciato </w:t>
      </w:r>
      <w:r>
        <w:rPr>
          <w:rFonts w:cs="Arial"/>
          <w:szCs w:val="24"/>
        </w:rPr>
        <w:t xml:space="preserve">una </w:t>
      </w:r>
      <w:r w:rsidRPr="002E4CA1">
        <w:rPr>
          <w:rFonts w:cs="Arial"/>
          <w:szCs w:val="24"/>
        </w:rPr>
        <w:t>manovra di riequilibrio</w:t>
      </w:r>
      <w:r>
        <w:rPr>
          <w:rFonts w:cs="Arial"/>
          <w:szCs w:val="24"/>
        </w:rPr>
        <w:t xml:space="preserve">, prevedendo un disavanzo </w:t>
      </w:r>
      <w:r w:rsidRPr="002E4CA1">
        <w:rPr>
          <w:rFonts w:cs="Arial"/>
          <w:szCs w:val="24"/>
        </w:rPr>
        <w:t xml:space="preserve">massimo </w:t>
      </w:r>
      <w:r>
        <w:rPr>
          <w:rFonts w:cs="Arial"/>
          <w:szCs w:val="24"/>
        </w:rPr>
        <w:t xml:space="preserve">di 80 mio di franchi </w:t>
      </w:r>
      <w:r w:rsidRPr="002E4CA1">
        <w:rPr>
          <w:rFonts w:cs="Arial"/>
          <w:szCs w:val="24"/>
        </w:rPr>
        <w:t>a P2023</w:t>
      </w:r>
      <w:r>
        <w:rPr>
          <w:rFonts w:cs="Arial"/>
          <w:szCs w:val="24"/>
        </w:rPr>
        <w:t xml:space="preserve">, un </w:t>
      </w:r>
      <w:r w:rsidRPr="002E4CA1">
        <w:rPr>
          <w:rFonts w:cs="Arial"/>
          <w:szCs w:val="24"/>
        </w:rPr>
        <w:t xml:space="preserve">disavanzo massimo </w:t>
      </w:r>
      <w:r>
        <w:rPr>
          <w:rFonts w:cs="Arial"/>
          <w:szCs w:val="24"/>
        </w:rPr>
        <w:t>d</w:t>
      </w:r>
      <w:r w:rsidRPr="002E4CA1">
        <w:rPr>
          <w:rFonts w:cs="Arial"/>
          <w:szCs w:val="24"/>
        </w:rPr>
        <w:t>i 40 mio</w:t>
      </w:r>
      <w:r>
        <w:rPr>
          <w:rFonts w:cs="Arial"/>
          <w:szCs w:val="24"/>
        </w:rPr>
        <w:t xml:space="preserve"> di franchi a P2024 e il pareggio dei conti a P2025. </w:t>
      </w:r>
    </w:p>
    <w:p w:rsidR="009B4442" w:rsidRDefault="009B4442" w:rsidP="009B4442">
      <w:pPr>
        <w:rPr>
          <w:rFonts w:cs="Arial"/>
        </w:rPr>
      </w:pPr>
    </w:p>
    <w:p w:rsidR="009B4442" w:rsidRPr="00324C64" w:rsidRDefault="009B4442" w:rsidP="009B4442">
      <w:pPr>
        <w:rPr>
          <w:rFonts w:cs="Arial"/>
        </w:rPr>
      </w:pPr>
      <w:r>
        <w:rPr>
          <w:rFonts w:cs="Arial"/>
        </w:rPr>
        <w:t xml:space="preserve">In vista del Preventivo 2023, che sarà la vera sede per una discussione politica approfondita, </w:t>
      </w:r>
    </w:p>
    <w:p w:rsidR="009B4442" w:rsidRDefault="009B4442" w:rsidP="009B4442">
      <w:pPr>
        <w:rPr>
          <w:rFonts w:cs="Arial"/>
        </w:rPr>
      </w:pPr>
      <w:r>
        <w:rPr>
          <w:rFonts w:cs="Arial"/>
        </w:rPr>
        <w:t xml:space="preserve">la </w:t>
      </w:r>
      <w:r w:rsidRPr="00324C64">
        <w:rPr>
          <w:rFonts w:cs="Arial"/>
        </w:rPr>
        <w:t>maggioranza della Commissione desidera pertanto sin d’ora puntualizzare di non condividere che si intervenga tramite facili tagli lineari o aumenti generalizzati d’imposta, ma occorreranno misure mirate e strutturali sulla spesa</w:t>
      </w:r>
      <w:r>
        <w:rPr>
          <w:rFonts w:cs="Arial"/>
        </w:rPr>
        <w:t xml:space="preserve">, il più possibile condivise. </w:t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pPr>
        <w:rPr>
          <w:rFonts w:cs="Arial"/>
          <w:szCs w:val="24"/>
        </w:rPr>
      </w:pPr>
      <w:r>
        <w:rPr>
          <w:rFonts w:cs="Arial"/>
          <w:szCs w:val="24"/>
        </w:rPr>
        <w:t xml:space="preserve">Sul Consuntivo 2021, la Commissione non ritiene di aggiungere altro. Non intende aggiungere in modo particolare elementi che rischierebbero di creare ulteriori disaccordi o frizioni tra i gruppi su un documento, il C2021, che riporta un risultato tutto sommato migliore delle previsioni e delle aspettative. </w:t>
      </w:r>
    </w:p>
    <w:p w:rsidR="009B4442" w:rsidRDefault="009B4442" w:rsidP="009B4442">
      <w:pPr>
        <w:rPr>
          <w:rFonts w:cs="Arial"/>
          <w:szCs w:val="24"/>
        </w:rPr>
      </w:pPr>
    </w:p>
    <w:p w:rsidR="009B4442" w:rsidRDefault="009B4442" w:rsidP="009B4442">
      <w:pPr>
        <w:jc w:val="left"/>
        <w:rPr>
          <w:rFonts w:cs="Arial"/>
          <w:szCs w:val="24"/>
        </w:rPr>
      </w:pPr>
    </w:p>
    <w:p w:rsidR="009B4442" w:rsidRPr="00940071" w:rsidRDefault="009B4442" w:rsidP="00AA1C90">
      <w:pPr>
        <w:pStyle w:val="Titolo1"/>
        <w:numPr>
          <w:ilvl w:val="0"/>
          <w:numId w:val="18"/>
        </w:numPr>
        <w:tabs>
          <w:tab w:val="left" w:pos="567"/>
        </w:tabs>
        <w:spacing w:before="0"/>
        <w:ind w:left="567" w:hanging="567"/>
        <w:jc w:val="both"/>
      </w:pPr>
      <w:r w:rsidRPr="00940071">
        <w:lastRenderedPageBreak/>
        <w:t xml:space="preserve">CONCLUSIONI </w:t>
      </w: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szCs w:val="24"/>
        </w:rPr>
        <w:t>Tenuto conto di tutto quanto precede e del messaggio del Consiglio di Stato, si invita il Gran Consiglio ad approvare il decreto legislativo concernente il Consuntivo 202</w:t>
      </w:r>
      <w:r>
        <w:rPr>
          <w:rFonts w:cs="Arial"/>
          <w:szCs w:val="24"/>
        </w:rPr>
        <w:t>1</w:t>
      </w:r>
      <w:r w:rsidRPr="00940071">
        <w:rPr>
          <w:rFonts w:cs="Arial"/>
          <w:szCs w:val="24"/>
        </w:rPr>
        <w:t xml:space="preserve"> annesso al messaggio governativo. </w:t>
      </w:r>
    </w:p>
    <w:p w:rsidR="009B4442" w:rsidRPr="00940071" w:rsidRDefault="009B4442" w:rsidP="009B4442">
      <w:pPr>
        <w:rPr>
          <w:szCs w:val="24"/>
        </w:rPr>
      </w:pPr>
      <w:bookmarkStart w:id="1" w:name="_Toc532286235"/>
    </w:p>
    <w:p w:rsidR="009B4442" w:rsidRPr="00940071" w:rsidRDefault="009B4442" w:rsidP="009B4442">
      <w:pPr>
        <w:rPr>
          <w:szCs w:val="24"/>
        </w:rPr>
      </w:pPr>
    </w:p>
    <w:bookmarkEnd w:id="1"/>
    <w:p w:rsidR="009B4442" w:rsidRPr="00940071" w:rsidRDefault="009B4442" w:rsidP="00AA1C90">
      <w:pPr>
        <w:spacing w:after="120"/>
        <w:rPr>
          <w:rFonts w:cs="Arial"/>
          <w:szCs w:val="24"/>
        </w:rPr>
      </w:pPr>
      <w:r w:rsidRPr="00940071">
        <w:rPr>
          <w:rFonts w:cs="Arial"/>
          <w:szCs w:val="24"/>
        </w:rPr>
        <w:t>Per la Commissione gestione e finanze:</w:t>
      </w:r>
    </w:p>
    <w:p w:rsidR="009B4442" w:rsidRPr="00940071" w:rsidRDefault="009B4442" w:rsidP="009B4442">
      <w:pPr>
        <w:rPr>
          <w:rFonts w:cs="Arial"/>
          <w:szCs w:val="24"/>
        </w:rPr>
      </w:pPr>
      <w:r w:rsidRPr="00940071">
        <w:rPr>
          <w:rFonts w:cs="Arial"/>
          <w:szCs w:val="24"/>
        </w:rPr>
        <w:t>Fiorenzo Dadò, relatore</w:t>
      </w:r>
    </w:p>
    <w:p w:rsidR="000D2A97" w:rsidRDefault="0001220C" w:rsidP="0001220C">
      <w:pPr>
        <w:rPr>
          <w:rFonts w:eastAsia="Times New Roman" w:cs="Arial"/>
          <w:szCs w:val="20"/>
          <w:lang w:val="it-IT" w:eastAsia="it-IT"/>
        </w:rPr>
      </w:pPr>
      <w:bookmarkStart w:id="2" w:name="OLE_LINK1"/>
      <w:bookmarkStart w:id="3" w:name="OLE_LINK2"/>
      <w:r w:rsidRPr="0001220C">
        <w:rPr>
          <w:rFonts w:eastAsia="Times New Roman" w:cs="Arial"/>
          <w:szCs w:val="20"/>
          <w:lang w:val="it-IT" w:eastAsia="it-IT"/>
        </w:rPr>
        <w:t xml:space="preserve">Agustoni - Balli - Bignasca - Biscossa - Caprara </w:t>
      </w:r>
      <w:r w:rsidR="000D2A97">
        <w:rPr>
          <w:rFonts w:eastAsia="Times New Roman" w:cs="Arial"/>
          <w:szCs w:val="20"/>
          <w:lang w:val="it-IT" w:eastAsia="it-IT"/>
        </w:rPr>
        <w:t>-</w:t>
      </w:r>
      <w:r w:rsidRPr="0001220C">
        <w:rPr>
          <w:rFonts w:eastAsia="Times New Roman" w:cs="Arial"/>
          <w:szCs w:val="20"/>
          <w:lang w:val="it-IT" w:eastAsia="it-IT"/>
        </w:rPr>
        <w:t xml:space="preserve"> </w:t>
      </w:r>
    </w:p>
    <w:p w:rsidR="000D2A97" w:rsidRDefault="0001220C" w:rsidP="0001220C">
      <w:pPr>
        <w:rPr>
          <w:rFonts w:eastAsia="Times New Roman" w:cs="Arial"/>
          <w:szCs w:val="20"/>
          <w:lang w:val="it-IT" w:eastAsia="it-IT"/>
        </w:rPr>
      </w:pPr>
      <w:r w:rsidRPr="0001220C">
        <w:rPr>
          <w:rFonts w:eastAsia="Times New Roman" w:cs="Arial"/>
          <w:szCs w:val="20"/>
          <w:lang w:val="it-IT" w:eastAsia="it-IT"/>
        </w:rPr>
        <w:t xml:space="preserve">Caverzasio - Durisch - Ferrara - Gianella Alessandra </w:t>
      </w:r>
      <w:r w:rsidR="000D2A97">
        <w:rPr>
          <w:rFonts w:eastAsia="Times New Roman" w:cs="Arial"/>
          <w:szCs w:val="20"/>
          <w:lang w:val="it-IT" w:eastAsia="it-IT"/>
        </w:rPr>
        <w:t>-</w:t>
      </w:r>
      <w:r w:rsidRPr="0001220C">
        <w:rPr>
          <w:rFonts w:eastAsia="Times New Roman" w:cs="Arial"/>
          <w:szCs w:val="20"/>
          <w:lang w:val="it-IT" w:eastAsia="it-IT"/>
        </w:rPr>
        <w:t xml:space="preserve"> </w:t>
      </w:r>
    </w:p>
    <w:p w:rsidR="0001220C" w:rsidRPr="0001220C" w:rsidRDefault="0001220C" w:rsidP="0001220C">
      <w:pPr>
        <w:rPr>
          <w:rFonts w:eastAsia="Times New Roman" w:cs="Arial"/>
          <w:szCs w:val="20"/>
          <w:lang w:val="it-IT" w:eastAsia="it-IT"/>
        </w:rPr>
      </w:pPr>
      <w:r w:rsidRPr="0001220C">
        <w:rPr>
          <w:rFonts w:eastAsia="Times New Roman" w:cs="Arial"/>
          <w:szCs w:val="20"/>
          <w:lang w:val="it-IT" w:eastAsia="it-IT"/>
        </w:rPr>
        <w:t xml:space="preserve">Guerra - Jelmini - Pini - Quadranti </w:t>
      </w:r>
      <w:bookmarkEnd w:id="2"/>
      <w:bookmarkEnd w:id="3"/>
      <w:r w:rsidRPr="0001220C">
        <w:rPr>
          <w:rFonts w:eastAsia="Times New Roman" w:cs="Arial"/>
          <w:szCs w:val="20"/>
          <w:lang w:val="it-IT" w:eastAsia="it-IT"/>
        </w:rPr>
        <w:t>- Sirica</w:t>
      </w:r>
    </w:p>
    <w:p w:rsidR="009B4442" w:rsidRPr="0001220C" w:rsidRDefault="009B4442" w:rsidP="009B4442">
      <w:pPr>
        <w:rPr>
          <w:lang w:val="it-IT"/>
        </w:rPr>
      </w:pPr>
    </w:p>
    <w:p w:rsidR="00AA1C90" w:rsidRDefault="00AA1C90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0D2A97" w:rsidRDefault="000D2A97" w:rsidP="009B4442"/>
    <w:p w:rsidR="000D2A97" w:rsidRDefault="000D2A97" w:rsidP="009B4442"/>
    <w:p w:rsidR="000D2A97" w:rsidRDefault="000D2A97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9B4442"/>
    <w:p w:rsidR="007163BB" w:rsidRDefault="007163BB" w:rsidP="000D2A97">
      <w:pPr>
        <w:spacing w:after="40"/>
      </w:pPr>
      <w:r w:rsidRPr="007163BB">
        <w:rPr>
          <w:u w:val="single"/>
        </w:rPr>
        <w:t>Allegati</w:t>
      </w:r>
      <w:r>
        <w:t>:</w:t>
      </w:r>
    </w:p>
    <w:p w:rsidR="007163BB" w:rsidRDefault="007163BB" w:rsidP="009B4442">
      <w:r>
        <w:t>- Impatto Covid-19 a Consuntivo 2021</w:t>
      </w:r>
    </w:p>
    <w:p w:rsidR="007163BB" w:rsidRDefault="007163BB" w:rsidP="009B4442">
      <w:r>
        <w:t xml:space="preserve">- Risposte del Consiglio di Stato </w:t>
      </w:r>
      <w:r w:rsidR="00774246">
        <w:t xml:space="preserve">alle domande dei Gruppi </w:t>
      </w:r>
      <w:r w:rsidR="00303108">
        <w:t>(consultabili</w:t>
      </w:r>
      <w:r>
        <w:t xml:space="preserve"> in Internet)</w:t>
      </w:r>
    </w:p>
    <w:sectPr w:rsidR="007163BB" w:rsidSect="0037511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985" w:right="861" w:bottom="1134" w:left="1560" w:header="533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442" w:rsidRDefault="009B4442" w:rsidP="00F657BF">
      <w:r>
        <w:separator/>
      </w:r>
    </w:p>
  </w:endnote>
  <w:endnote w:type="continuationSeparator" w:id="0">
    <w:p w:rsidR="009B4442" w:rsidRDefault="009B4442" w:rsidP="00F65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Gill Alt One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Gill Sans MT Pro Light">
    <w:panose1 w:val="020B0302020104020203"/>
    <w:charset w:val="00"/>
    <w:family w:val="swiss"/>
    <w:pitch w:val="variable"/>
    <w:sig w:usb0="A00000AF" w:usb1="4000205A" w:usb2="00000000" w:usb3="00000000" w:csb0="00000093" w:csb1="00000000"/>
  </w:font>
  <w:font w:name="Gill Sans Display MT Pro BdCn">
    <w:panose1 w:val="020B0806020104020203"/>
    <w:charset w:val="00"/>
    <w:family w:val="swiss"/>
    <w:pitch w:val="variable"/>
    <w:sig w:usb0="A00000EF" w:usb1="5000205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3B5" w:rsidRDefault="002C6B0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1" w:type="dxa"/>
      <w:tblBorders>
        <w:top w:val="single" w:sz="2" w:space="0" w:color="auto"/>
        <w:insideH w:val="single" w:sz="4" w:space="0" w:color="auto"/>
        <w:insideV w:val="single" w:sz="2" w:space="0" w:color="auto"/>
      </w:tblBorders>
      <w:tblLook w:val="04A0" w:firstRow="1" w:lastRow="0" w:firstColumn="1" w:lastColumn="0" w:noHBand="0" w:noVBand="1"/>
    </w:tblPr>
    <w:tblGrid>
      <w:gridCol w:w="4695"/>
      <w:gridCol w:w="721"/>
      <w:gridCol w:w="424"/>
      <w:gridCol w:w="4081"/>
    </w:tblGrid>
    <w:tr w:rsidR="00912E34" w:rsidRPr="003D1008" w:rsidTr="007A3D11">
      <w:trPr>
        <w:trHeight w:hRule="exact" w:val="737"/>
      </w:trPr>
      <w:tc>
        <w:tcPr>
          <w:tcW w:w="4695" w:type="dxa"/>
        </w:tcPr>
        <w:p w:rsidR="00912E34" w:rsidRPr="003D1008" w:rsidRDefault="002C6B08" w:rsidP="00912E34">
          <w:pPr>
            <w:tabs>
              <w:tab w:val="center" w:pos="2382"/>
            </w:tabs>
          </w:pPr>
        </w:p>
      </w:tc>
      <w:tc>
        <w:tcPr>
          <w:tcW w:w="721" w:type="dxa"/>
        </w:tcPr>
        <w:p w:rsidR="00912E34" w:rsidRPr="003D1008" w:rsidRDefault="00AA1C90" w:rsidP="00912E34">
          <w:pPr>
            <w:jc w:val="center"/>
          </w:pPr>
          <w:r w:rsidRPr="003D1008">
            <w:rPr>
              <w:noProof/>
              <w:lang w:eastAsia="it-CH"/>
            </w:rPr>
            <w:drawing>
              <wp:anchor distT="0" distB="0" distL="114300" distR="114300" simplePos="0" relativeHeight="251669504" behindDoc="0" locked="1" layoutInCell="1" allowOverlap="1" wp14:anchorId="57A4C8AD" wp14:editId="67B37CFF">
                <wp:simplePos x="0" y="0"/>
                <wp:positionH relativeFrom="column">
                  <wp:posOffset>-46990</wp:posOffset>
                </wp:positionH>
                <wp:positionV relativeFrom="paragraph">
                  <wp:posOffset>4445</wp:posOffset>
                </wp:positionV>
                <wp:extent cx="423929" cy="431800"/>
                <wp:effectExtent l="0" t="0" r="0" b="6350"/>
                <wp:wrapNone/>
                <wp:docPr id="9" name="ooImg_247828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29" cy="43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24" w:type="dxa"/>
        </w:tcPr>
        <w:p w:rsidR="00912E34" w:rsidRPr="003D1008" w:rsidRDefault="00AA1C90" w:rsidP="00912E34">
          <w:pPr>
            <w:jc w:val="center"/>
          </w:pPr>
          <w:r w:rsidRPr="003D1008">
            <w:rPr>
              <w:noProof/>
              <w:lang w:eastAsia="it-CH"/>
            </w:rPr>
            <w:drawing>
              <wp:anchor distT="0" distB="0" distL="114300" distR="114300" simplePos="0" relativeHeight="251670528" behindDoc="0" locked="1" layoutInCell="1" allowOverlap="1" wp14:anchorId="6BCF2EE8" wp14:editId="0647662F">
                <wp:simplePos x="0" y="0"/>
                <wp:positionH relativeFrom="column">
                  <wp:posOffset>-57785</wp:posOffset>
                </wp:positionH>
                <wp:positionV relativeFrom="paragraph">
                  <wp:posOffset>4445</wp:posOffset>
                </wp:positionV>
                <wp:extent cx="253247" cy="428400"/>
                <wp:effectExtent l="0" t="0" r="0" b="0"/>
                <wp:wrapNone/>
                <wp:docPr id="10" name="ooImg_13808987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247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081" w:type="dxa"/>
        </w:tcPr>
        <w:p w:rsidR="00912E34" w:rsidRPr="003D1008" w:rsidRDefault="002C6B08" w:rsidP="00912E34"/>
      </w:tc>
    </w:tr>
  </w:tbl>
  <w:p w:rsidR="00F657BF" w:rsidRDefault="00F657BF" w:rsidP="00F5689F">
    <w:pPr>
      <w:pStyle w:val="InvisibleLi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BB7" w:rsidRDefault="002C6B08">
    <w:pPr>
      <w:pStyle w:val="Pidipagina"/>
      <w:jc w:val="center"/>
    </w:pPr>
  </w:p>
  <w:p w:rsidR="00F657BF" w:rsidRPr="008C6C46" w:rsidRDefault="00F657BF" w:rsidP="00AD7FE7">
    <w:pPr>
      <w:pStyle w:val="InvisibleLi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442" w:rsidRDefault="009B4442" w:rsidP="00F657BF">
      <w:r>
        <w:separator/>
      </w:r>
    </w:p>
  </w:footnote>
  <w:footnote w:type="continuationSeparator" w:id="0">
    <w:p w:rsidR="009B4442" w:rsidRDefault="009B4442" w:rsidP="00F65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3B5" w:rsidRDefault="002C6B0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3" w:type="dxa"/>
      <w:tblInd w:w="-15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83"/>
      <w:gridCol w:w="1710"/>
    </w:tblGrid>
    <w:tr w:rsidR="005012EC" w:rsidRPr="002747E7" w:rsidTr="006B682A">
      <w:trPr>
        <w:trHeight w:val="562"/>
      </w:trPr>
      <w:sdt>
        <w:sdtPr>
          <w:rPr>
            <w:rFonts w:ascii="Gill Alt One MT Light" w:hAnsi="Gill Alt One MT Light"/>
            <w:sz w:val="16"/>
            <w:szCs w:val="16"/>
          </w:rPr>
          <w:alias w:val="CustomElements.Fields.Dipartimenti"/>
          <w:id w:val="1567676091"/>
          <w:dataBinding w:xpath="//Text[@id='CustomElements.Fields.Dipartimenti']" w:storeItemID="{87171479-0A95-4D8A-A56D-FECD54086C0A}"/>
          <w:text w:multiLine="1"/>
        </w:sdtPr>
        <w:sdtEndPr/>
        <w:sdtContent>
          <w:tc>
            <w:tcPr>
              <w:tcW w:w="8383" w:type="dxa"/>
              <w:tcBorders>
                <w:left w:val="single" w:sz="4" w:space="0" w:color="auto"/>
                <w:bottom w:val="single" w:sz="4" w:space="0" w:color="auto"/>
              </w:tcBorders>
              <w:tcMar>
                <w:left w:w="142" w:type="dxa"/>
              </w:tcMar>
              <w:vAlign w:val="bottom"/>
            </w:tcPr>
            <w:p w:rsidR="005012EC" w:rsidRPr="00E8185F" w:rsidRDefault="00325082" w:rsidP="00A532F6">
              <w:pPr>
                <w:pStyle w:val="Page"/>
                <w:rPr>
                  <w:rFonts w:ascii="Gill Alt One MT Light" w:hAnsi="Gill Alt One MT Light"/>
                  <w:sz w:val="16"/>
                  <w:szCs w:val="16"/>
                </w:rPr>
              </w:pPr>
              <w:r>
                <w:rPr>
                  <w:rFonts w:ascii="Gill Alt One MT Light" w:hAnsi="Gill Alt One MT Light"/>
                  <w:sz w:val="16"/>
                  <w:szCs w:val="16"/>
                </w:rPr>
                <w:t>Dipartimento delle finanze e dell’economia</w:t>
              </w:r>
            </w:p>
          </w:tc>
        </w:sdtContent>
      </w:sdt>
      <w:tc>
        <w:tcPr>
          <w:tcW w:w="1710" w:type="dxa"/>
          <w:tcBorders>
            <w:bottom w:val="single" w:sz="4" w:space="0" w:color="auto"/>
          </w:tcBorders>
          <w:vAlign w:val="bottom"/>
        </w:tcPr>
        <w:p w:rsidR="005012EC" w:rsidRPr="004204CB" w:rsidRDefault="00AA1C90" w:rsidP="00662409">
          <w:pPr>
            <w:pStyle w:val="Page"/>
            <w:jc w:val="right"/>
          </w:pPr>
          <w:r w:rsidRPr="004204CB">
            <w:fldChar w:fldCharType="begin"/>
          </w:r>
          <w:r w:rsidRPr="004204CB">
            <w:instrText xml:space="preserve"> PAGE   \* MERGEFORMAT </w:instrText>
          </w:r>
          <w:r w:rsidRPr="004204CB">
            <w:fldChar w:fldCharType="separate"/>
          </w:r>
          <w:r w:rsidR="002C6B08">
            <w:rPr>
              <w:noProof/>
            </w:rPr>
            <w:t>2</w:t>
          </w:r>
          <w:r w:rsidRPr="004204CB">
            <w:fldChar w:fldCharType="end"/>
          </w:r>
          <w:r w:rsidRPr="004204CB">
            <w:t xml:space="preserve"> di </w:t>
          </w:r>
          <w:r w:rsidR="002C6B08">
            <w:fldChar w:fldCharType="begin"/>
          </w:r>
          <w:r w:rsidR="002C6B08">
            <w:instrText xml:space="preserve"> NUMPAGES   \* MERGEFORMAT </w:instrText>
          </w:r>
          <w:r w:rsidR="002C6B08">
            <w:fldChar w:fldCharType="separate"/>
          </w:r>
          <w:r w:rsidR="002C6B08">
            <w:rPr>
              <w:noProof/>
            </w:rPr>
            <w:t>18</w:t>
          </w:r>
          <w:r w:rsidR="002C6B08">
            <w:rPr>
              <w:noProof/>
            </w:rPr>
            <w:fldChar w:fldCharType="end"/>
          </w:r>
        </w:p>
      </w:tc>
    </w:tr>
    <w:tr w:rsidR="005012EC" w:rsidRPr="009E444B" w:rsidTr="006B682A">
      <w:trPr>
        <w:trHeight w:val="334"/>
      </w:trPr>
      <w:sdt>
        <w:sdtPr>
          <w:rPr>
            <w:rFonts w:ascii="Gill Sans Display MT Pro BdCn" w:hAnsi="Gill Sans Display MT Pro BdCn"/>
            <w:sz w:val="18"/>
            <w:szCs w:val="18"/>
          </w:rPr>
          <w:alias w:val="CustomElements.Fields.Titolo2"/>
          <w:id w:val="48588533"/>
          <w:dataBinding w:xpath="//Text[@id='CustomElements.Fields.Titolo2']" w:storeItemID="{87171479-0A95-4D8A-A56D-FECD54086C0A}"/>
          <w:text w:multiLine="1"/>
        </w:sdtPr>
        <w:sdtEndPr/>
        <w:sdtContent>
          <w:tc>
            <w:tcPr>
              <w:tcW w:w="8383" w:type="dxa"/>
              <w:tcBorders>
                <w:left w:val="single" w:sz="4" w:space="0" w:color="auto"/>
              </w:tcBorders>
              <w:tcMar>
                <w:top w:w="0" w:type="dxa"/>
                <w:left w:w="142" w:type="dxa"/>
              </w:tcMar>
            </w:tcPr>
            <w:p w:rsidR="005012EC" w:rsidRPr="00E8185F" w:rsidRDefault="00325082" w:rsidP="00A532F6">
              <w:pPr>
                <w:pStyle w:val="Information"/>
                <w:rPr>
                  <w:rFonts w:ascii="Gill Sans Display MT Pro BdCn" w:hAnsi="Gill Sans Display MT Pro BdCn"/>
                  <w:sz w:val="18"/>
                  <w:szCs w:val="18"/>
                  <w:lang w:val="de-DE"/>
                </w:rPr>
              </w:pPr>
              <w:r>
                <w:rPr>
                  <w:rFonts w:ascii="Gill Sans Display MT Pro BdCn" w:hAnsi="Gill Sans Display MT Pro BdCn"/>
                  <w:sz w:val="18"/>
                  <w:szCs w:val="18"/>
                </w:rPr>
                <w:t>Rapporto n. 8141 R del 7 giugno 2022</w:t>
              </w:r>
            </w:p>
          </w:tc>
        </w:sdtContent>
      </w:sdt>
      <w:tc>
        <w:tcPr>
          <w:tcW w:w="1710" w:type="dxa"/>
          <w:tcBorders>
            <w:top w:val="single" w:sz="4" w:space="0" w:color="auto"/>
          </w:tcBorders>
        </w:tcPr>
        <w:p w:rsidR="005012EC" w:rsidRPr="00E043A3" w:rsidRDefault="002C6B08" w:rsidP="00662409">
          <w:pPr>
            <w:pStyle w:val="InvisibleLine"/>
            <w:rPr>
              <w:lang w:val="de-DE"/>
            </w:rPr>
          </w:pPr>
        </w:p>
      </w:tc>
    </w:tr>
  </w:tbl>
  <w:p w:rsidR="00F657BF" w:rsidRPr="00980362" w:rsidRDefault="00AA1C90" w:rsidP="00980362">
    <w:pPr>
      <w:pStyle w:val="Intestazione"/>
    </w:pPr>
    <w:r>
      <w:rPr>
        <w:noProof/>
        <w:lang w:val="it-CH" w:eastAsia="it-CH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546BBD1" wp14:editId="731DA234">
              <wp:simplePos x="0" y="0"/>
              <wp:positionH relativeFrom="page">
                <wp:posOffset>-590550</wp:posOffset>
              </wp:positionH>
              <wp:positionV relativeFrom="page">
                <wp:posOffset>-16171545</wp:posOffset>
              </wp:positionV>
              <wp:extent cx="8640000" cy="1800000"/>
              <wp:effectExtent l="1991360" t="0" r="2057400" b="0"/>
              <wp:wrapNone/>
              <wp:docPr id="5" name="###DraftMode###4" descr="off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000000">
                        <a:off x="0" y="0"/>
                        <a:ext cx="8640000" cy="180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lang w:val="it-CH"/>
                            </w:rPr>
                            <w:alias w:val="CustomElements.Texts.Draft"/>
                            <w:id w:val="1849289353"/>
                            <w:dataBinding w:xpath="//Text[@id='CustomElements.Texts.Draft']" w:storeItemID="{87171479-0A95-4D8A-A56D-FECD54086C0A}"/>
                            <w:text w:multiLine="1"/>
                          </w:sdtPr>
                          <w:sdtEndPr/>
                          <w:sdtContent>
                            <w:p w:rsidR="008065E8" w:rsidRPr="00411371" w:rsidRDefault="00AA1C90" w:rsidP="008065E8">
                              <w:pPr>
                                <w:pStyle w:val="DraftText"/>
                                <w:rPr>
                                  <w:lang w:val="it-CH"/>
                                </w:rPr>
                              </w:pPr>
                              <w:r w:rsidRPr="00411371">
                                <w:rPr>
                                  <w:lang w:val="it-CH"/>
                                </w:rPr>
                                <w:t>Bozza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46BBD1" id="_x0000_t202" coordsize="21600,21600" o:spt="202" path="m,l,21600r21600,l21600,xe">
              <v:stroke joinstyle="miter"/>
              <v:path gradientshapeok="t" o:connecttype="rect"/>
            </v:shapetype>
            <v:shape id="###DraftMode###4" o:spid="_x0000_s1026" type="#_x0000_t202" alt="off" style="position:absolute;left:0;text-align:left;margin-left:-46.5pt;margin-top:-1273.35pt;width:680.3pt;height:141.75pt;rotation:-6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" filled="f" stroked="f" strokeweight=".5pt">
              <v:textbox inset="0,0,0,0">
                <w:txbxContent>
                  <w:sdt>
                    <w:sdtPr>
                      <w:rPr>
                        <w:lang w:val="it-CH"/>
                      </w:rPr>
                      <w:alias w:val="CustomElements.Texts.Draft"/>
                      <w:id w:val="1849289353"/>
                      <w:dataBinding w:xpath="//Text[@id='CustomElements.Texts.Draft']" w:storeItemID="{87171479-0A95-4D8A-A56D-FECD54086C0A}"/>
                      <w:text w:multiLine="1"/>
                    </w:sdtPr>
                    <w:sdtEndPr/>
                    <w:sdtContent>
                      <w:p w:rsidR="008065E8" w:rsidRPr="00411371" w:rsidRDefault="00AA1C90" w:rsidP="008065E8">
                        <w:pPr>
                          <w:pStyle w:val="DraftText"/>
                          <w:rPr>
                            <w:lang w:val="it-CH"/>
                          </w:rPr>
                        </w:pPr>
                        <w:r w:rsidRPr="00411371">
                          <w:rPr>
                            <w:lang w:val="it-CH"/>
                          </w:rPr>
                          <w:t>Bozza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21" w:type="pct"/>
      <w:tblInd w:w="-1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42" w:type="dxa"/>
        <w:right w:w="0" w:type="dxa"/>
      </w:tblCellMar>
      <w:tblLook w:val="04A0" w:firstRow="1" w:lastRow="0" w:firstColumn="1" w:lastColumn="0" w:noHBand="0" w:noVBand="1"/>
    </w:tblPr>
    <w:tblGrid>
      <w:gridCol w:w="1353"/>
      <w:gridCol w:w="2245"/>
      <w:gridCol w:w="1328"/>
      <w:gridCol w:w="753"/>
      <w:gridCol w:w="422"/>
      <w:gridCol w:w="3993"/>
    </w:tblGrid>
    <w:tr w:rsidR="00912E34" w:rsidRPr="0004624C" w:rsidTr="0098208F">
      <w:trPr>
        <w:trHeight w:val="586"/>
      </w:trPr>
      <w:tc>
        <w:tcPr>
          <w:tcW w:w="2440" w:type="pct"/>
          <w:gridSpan w:val="3"/>
          <w:tcBorders>
            <w:top w:val="nil"/>
            <w:left w:val="nil"/>
            <w:bottom w:val="single" w:sz="4" w:space="0" w:color="auto"/>
          </w:tcBorders>
          <w:vAlign w:val="bottom"/>
        </w:tcPr>
        <w:p w:rsidR="00662409" w:rsidRPr="003108C0" w:rsidRDefault="002C6B08" w:rsidP="00D07D6E">
          <w:pPr>
            <w:pStyle w:val="InvisibleLine"/>
            <w:ind w:left="150"/>
            <w:rPr>
              <w:sz w:val="16"/>
            </w:rPr>
          </w:pPr>
        </w:p>
      </w:tc>
      <w:tc>
        <w:tcPr>
          <w:tcW w:w="373" w:type="pct"/>
          <w:tcBorders>
            <w:top w:val="nil"/>
            <w:bottom w:val="single" w:sz="4" w:space="0" w:color="auto"/>
          </w:tcBorders>
          <w:vAlign w:val="bottom"/>
        </w:tcPr>
        <w:p w:rsidR="00662409" w:rsidRPr="003108C0" w:rsidRDefault="002C6B08" w:rsidP="00D07D6E">
          <w:pPr>
            <w:pStyle w:val="Level"/>
            <w:ind w:left="150"/>
            <w:rPr>
              <w:sz w:val="16"/>
            </w:rPr>
          </w:pPr>
        </w:p>
      </w:tc>
      <w:tc>
        <w:tcPr>
          <w:tcW w:w="209" w:type="pct"/>
          <w:tcBorders>
            <w:top w:val="nil"/>
            <w:bottom w:val="single" w:sz="4" w:space="0" w:color="auto"/>
          </w:tcBorders>
        </w:tcPr>
        <w:p w:rsidR="00662409" w:rsidRDefault="00AA1C90" w:rsidP="00D07D6E">
          <w:pPr>
            <w:pStyle w:val="InvisibleLine"/>
            <w:ind w:left="150"/>
          </w:pPr>
          <w:r>
            <w:rPr>
              <w:noProof/>
              <w:lang w:val="it-CH" w:eastAsia="it-CH"/>
            </w:rPr>
            <w:drawing>
              <wp:anchor distT="0" distB="0" distL="114300" distR="114300" simplePos="0" relativeHeight="251667456" behindDoc="1" locked="1" layoutInCell="1" allowOverlap="1" wp14:anchorId="62E156CF" wp14:editId="226CACA6">
                <wp:simplePos x="0" y="0"/>
                <wp:positionH relativeFrom="column">
                  <wp:posOffset>-92710</wp:posOffset>
                </wp:positionH>
                <wp:positionV relativeFrom="page">
                  <wp:posOffset>-119380</wp:posOffset>
                </wp:positionV>
                <wp:extent cx="275590" cy="467995"/>
                <wp:effectExtent l="0" t="0" r="0" b="8255"/>
                <wp:wrapNone/>
                <wp:docPr id="6" name="ooImg_13349820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590" cy="467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78" w:type="pct"/>
          <w:tcBorders>
            <w:top w:val="nil"/>
            <w:bottom w:val="single" w:sz="4" w:space="0" w:color="auto"/>
            <w:right w:val="nil"/>
          </w:tcBorders>
          <w:vAlign w:val="bottom"/>
        </w:tcPr>
        <w:p w:rsidR="00662409" w:rsidRPr="004204CB" w:rsidRDefault="00AA1C90" w:rsidP="00D07D6E">
          <w:pPr>
            <w:pStyle w:val="HeaderDecisione"/>
            <w:spacing w:after="60"/>
            <w:ind w:left="150"/>
            <w:jc w:val="right"/>
            <w:rPr>
              <w:rFonts w:asciiTheme="minorHAnsi" w:hAnsiTheme="minorHAnsi" w:cstheme="minorHAnsi"/>
              <w:sz w:val="24"/>
            </w:rPr>
          </w:pPr>
          <w:r w:rsidRPr="004204CB">
            <w:rPr>
              <w:rFonts w:asciiTheme="minorHAnsi" w:hAnsiTheme="minorHAnsi" w:cstheme="minorHAnsi"/>
              <w:sz w:val="24"/>
            </w:rPr>
            <w:fldChar w:fldCharType="begin"/>
          </w:r>
          <w:r w:rsidRPr="004204CB">
            <w:rPr>
              <w:rFonts w:asciiTheme="minorHAnsi" w:hAnsiTheme="minorHAnsi" w:cstheme="minorHAnsi"/>
              <w:sz w:val="24"/>
            </w:rPr>
            <w:instrText xml:space="preserve"> PAGE   \* MERGEFORMAT </w:instrText>
          </w:r>
          <w:r w:rsidRPr="004204CB">
            <w:rPr>
              <w:rFonts w:asciiTheme="minorHAnsi" w:hAnsiTheme="minorHAnsi" w:cstheme="minorHAnsi"/>
              <w:sz w:val="24"/>
            </w:rPr>
            <w:fldChar w:fldCharType="separate"/>
          </w:r>
          <w:r w:rsidR="002C6B08">
            <w:rPr>
              <w:rFonts w:asciiTheme="minorHAnsi" w:hAnsiTheme="minorHAnsi" w:cstheme="minorHAnsi"/>
              <w:noProof/>
              <w:sz w:val="24"/>
            </w:rPr>
            <w:t>1</w:t>
          </w:r>
          <w:r w:rsidRPr="004204CB">
            <w:rPr>
              <w:rFonts w:asciiTheme="minorHAnsi" w:hAnsiTheme="minorHAnsi" w:cstheme="minorHAnsi"/>
              <w:sz w:val="24"/>
            </w:rPr>
            <w:fldChar w:fldCharType="end"/>
          </w:r>
          <w:r w:rsidRPr="004204CB">
            <w:rPr>
              <w:rFonts w:asciiTheme="minorHAnsi" w:hAnsiTheme="minorHAnsi" w:cstheme="minorHAnsi"/>
              <w:sz w:val="24"/>
            </w:rPr>
            <w:t xml:space="preserve"> di </w:t>
          </w:r>
          <w:r w:rsidRPr="004204CB">
            <w:rPr>
              <w:rFonts w:asciiTheme="minorHAnsi" w:hAnsiTheme="minorHAnsi" w:cstheme="minorHAnsi"/>
              <w:sz w:val="24"/>
            </w:rPr>
            <w:fldChar w:fldCharType="begin"/>
          </w:r>
          <w:r w:rsidRPr="004204CB">
            <w:rPr>
              <w:rFonts w:asciiTheme="minorHAnsi" w:hAnsiTheme="minorHAnsi" w:cstheme="minorHAnsi"/>
              <w:sz w:val="24"/>
            </w:rPr>
            <w:instrText xml:space="preserve"> NUMPAGES   \* MERGEFORMAT </w:instrText>
          </w:r>
          <w:r w:rsidRPr="004204CB">
            <w:rPr>
              <w:rFonts w:asciiTheme="minorHAnsi" w:hAnsiTheme="minorHAnsi" w:cstheme="minorHAnsi"/>
              <w:sz w:val="24"/>
            </w:rPr>
            <w:fldChar w:fldCharType="separate"/>
          </w:r>
          <w:r w:rsidR="002C6B08">
            <w:rPr>
              <w:rFonts w:asciiTheme="minorHAnsi" w:hAnsiTheme="minorHAnsi" w:cstheme="minorHAnsi"/>
              <w:noProof/>
              <w:sz w:val="24"/>
            </w:rPr>
            <w:t>18</w:t>
          </w:r>
          <w:r w:rsidRPr="004204CB">
            <w:rPr>
              <w:rFonts w:asciiTheme="minorHAnsi" w:hAnsiTheme="minorHAnsi" w:cstheme="minorHAnsi"/>
              <w:noProof/>
              <w:sz w:val="24"/>
            </w:rPr>
            <w:fldChar w:fldCharType="end"/>
          </w:r>
        </w:p>
      </w:tc>
    </w:tr>
    <w:tr w:rsidR="00912E34" w:rsidRPr="0004624C" w:rsidTr="0098208F">
      <w:trPr>
        <w:trHeight w:val="1097"/>
      </w:trPr>
      <w:sdt>
        <w:sdtPr>
          <w:rPr>
            <w:rFonts w:ascii="Gill Sans Display MT Pro BdCn" w:hAnsi="Gill Sans Display MT Pro BdCn"/>
            <w:sz w:val="44"/>
            <w:szCs w:val="44"/>
          </w:rPr>
          <w:alias w:val="CustomElements.Fields.Titolo1"/>
          <w:id w:val="1596973270"/>
          <w:dataBinding w:xpath="//Text[@id='CustomElements.Fields.Titolo1']" w:storeItemID="{87171479-0A95-4D8A-A56D-FECD54086C0A}"/>
          <w:text w:multiLine="1"/>
        </w:sdtPr>
        <w:sdtEndPr/>
        <w:sdtContent>
          <w:tc>
            <w:tcPr>
              <w:tcW w:w="5000" w:type="pct"/>
              <w:gridSpan w:val="6"/>
              <w:tcBorders>
                <w:left w:val="nil"/>
                <w:right w:val="nil"/>
              </w:tcBorders>
              <w:noWrap/>
              <w:tcMar>
                <w:top w:w="0" w:type="dxa"/>
              </w:tcMar>
              <w:vAlign w:val="bottom"/>
            </w:tcPr>
            <w:p w:rsidR="00662409" w:rsidRPr="008C03B5" w:rsidRDefault="00325082" w:rsidP="00DB7CD8">
              <w:pPr>
                <w:pStyle w:val="HeaderDecisione"/>
                <w:tabs>
                  <w:tab w:val="left" w:pos="1459"/>
                </w:tabs>
                <w:spacing w:after="160" w:line="640" w:lineRule="exact"/>
                <w:rPr>
                  <w:rFonts w:ascii="Gill Sans Display MT Pro BdCn" w:hAnsi="Gill Sans Display MT Pro BdCn"/>
                  <w:sz w:val="44"/>
                  <w:szCs w:val="44"/>
                </w:rPr>
              </w:pPr>
              <w:r>
                <w:rPr>
                  <w:rFonts w:ascii="Gill Sans Display MT Pro BdCn" w:hAnsi="Gill Sans Display MT Pro BdCn"/>
                  <w:sz w:val="44"/>
                  <w:szCs w:val="44"/>
                </w:rPr>
                <w:t>Rapporto</w:t>
              </w:r>
            </w:p>
          </w:tc>
        </w:sdtContent>
      </w:sdt>
    </w:tr>
    <w:tr w:rsidR="008C03B5" w:rsidRPr="0004624C" w:rsidTr="00B76ABD">
      <w:trPr>
        <w:trHeight w:hRule="exact" w:val="306"/>
      </w:trPr>
      <w:tc>
        <w:tcPr>
          <w:tcW w:w="670" w:type="pct"/>
          <w:tcBorders>
            <w:left w:val="nil"/>
            <w:bottom w:val="nil"/>
          </w:tcBorders>
          <w:noWrap/>
          <w:tcMar>
            <w:top w:w="57" w:type="dxa"/>
            <w:left w:w="142" w:type="dxa"/>
          </w:tcMar>
        </w:tcPr>
        <w:p w:rsidR="008C03B5" w:rsidRPr="00C7320A" w:rsidRDefault="00AA1C90" w:rsidP="002B0F22">
          <w:pPr>
            <w:pStyle w:val="Level"/>
            <w:spacing w:before="60"/>
            <w:rPr>
              <w:rFonts w:ascii="Gill Alt One MT Light" w:hAnsi="Gill Alt One MT Light"/>
              <w:sz w:val="16"/>
            </w:rPr>
          </w:pPr>
          <w:r w:rsidRPr="00C7320A">
            <w:rPr>
              <w:rFonts w:ascii="Gill Alt One MT Light" w:hAnsi="Gill Alt One MT Light"/>
              <w:sz w:val="16"/>
            </w:rPr>
            <w:t>numero</w:t>
          </w:r>
        </w:p>
        <w:p w:rsidR="008C03B5" w:rsidRPr="00C7320A" w:rsidRDefault="002C6B08" w:rsidP="002B0F22">
          <w:pPr>
            <w:pStyle w:val="InvisibleLine"/>
            <w:spacing w:before="60"/>
            <w:rPr>
              <w:rFonts w:ascii="Gill Alt One MT Light" w:hAnsi="Gill Alt One MT Light"/>
              <w:sz w:val="16"/>
            </w:rPr>
          </w:pPr>
        </w:p>
      </w:tc>
      <w:tc>
        <w:tcPr>
          <w:tcW w:w="1112" w:type="pct"/>
          <w:tcBorders>
            <w:bottom w:val="nil"/>
            <w:right w:val="single" w:sz="4" w:space="0" w:color="auto"/>
          </w:tcBorders>
          <w:noWrap/>
          <w:tcMar>
            <w:top w:w="57" w:type="dxa"/>
            <w:left w:w="142" w:type="dxa"/>
          </w:tcMar>
        </w:tcPr>
        <w:p w:rsidR="008C03B5" w:rsidRPr="00C7320A" w:rsidRDefault="00AA1C90" w:rsidP="002B0F22">
          <w:pPr>
            <w:pStyle w:val="Level"/>
            <w:spacing w:before="60"/>
            <w:rPr>
              <w:rFonts w:ascii="Gill Alt One MT Light" w:hAnsi="Gill Alt One MT Light"/>
              <w:sz w:val="16"/>
            </w:rPr>
          </w:pPr>
          <w:r w:rsidRPr="00C7320A">
            <w:rPr>
              <w:rFonts w:ascii="Gill Alt One MT Light" w:hAnsi="Gill Alt One MT Light"/>
              <w:sz w:val="16"/>
            </w:rPr>
            <w:t>data</w:t>
          </w:r>
        </w:p>
        <w:p w:rsidR="008C03B5" w:rsidRPr="00C7320A" w:rsidRDefault="002C6B08" w:rsidP="002B0F22">
          <w:pPr>
            <w:pStyle w:val="InvisibleLine"/>
            <w:spacing w:before="60"/>
            <w:rPr>
              <w:rFonts w:ascii="Gill Alt One MT Light" w:hAnsi="Gill Alt One MT Light"/>
              <w:sz w:val="16"/>
            </w:rPr>
          </w:pPr>
        </w:p>
      </w:tc>
      <w:tc>
        <w:tcPr>
          <w:tcW w:w="3218" w:type="pct"/>
          <w:gridSpan w:val="4"/>
          <w:tcBorders>
            <w:left w:val="single" w:sz="4" w:space="0" w:color="auto"/>
            <w:bottom w:val="nil"/>
            <w:right w:val="nil"/>
          </w:tcBorders>
          <w:noWrap/>
          <w:tcMar>
            <w:top w:w="0" w:type="dxa"/>
            <w:left w:w="142" w:type="dxa"/>
          </w:tcMar>
        </w:tcPr>
        <w:p w:rsidR="008C03B5" w:rsidRPr="00C7320A" w:rsidRDefault="00AA1C90" w:rsidP="002B0F22">
          <w:pPr>
            <w:pStyle w:val="Level"/>
            <w:spacing w:before="60"/>
            <w:rPr>
              <w:rFonts w:ascii="Gill Alt One MT Light" w:hAnsi="Gill Alt One MT Light"/>
              <w:sz w:val="16"/>
            </w:rPr>
          </w:pPr>
          <w:r>
            <w:rPr>
              <w:rFonts w:ascii="Gill Alt One MT Light" w:hAnsi="Gill Alt One MT Light"/>
              <w:sz w:val="16"/>
            </w:rPr>
            <w:t>competenza</w:t>
          </w:r>
        </w:p>
        <w:p w:rsidR="008C03B5" w:rsidRPr="008C03B5" w:rsidRDefault="002C6B08" w:rsidP="002B0F22">
          <w:pPr>
            <w:pStyle w:val="Level"/>
            <w:spacing w:before="60" w:line="240" w:lineRule="auto"/>
            <w:rPr>
              <w:rFonts w:ascii="Gill Alt One MT Light" w:hAnsi="Gill Alt One MT Light"/>
              <w:sz w:val="16"/>
            </w:rPr>
          </w:pPr>
        </w:p>
      </w:tc>
    </w:tr>
    <w:tr w:rsidR="008C03B5" w:rsidRPr="0004624C" w:rsidTr="008C03B5">
      <w:trPr>
        <w:trHeight w:hRule="exact" w:val="699"/>
      </w:trPr>
      <w:tc>
        <w:tcPr>
          <w:tcW w:w="670" w:type="pct"/>
          <w:tcBorders>
            <w:top w:val="nil"/>
            <w:left w:val="nil"/>
            <w:bottom w:val="single" w:sz="4" w:space="0" w:color="auto"/>
            <w:right w:val="nil"/>
          </w:tcBorders>
          <w:noWrap/>
          <w:tcMar>
            <w:top w:w="0" w:type="dxa"/>
          </w:tcMar>
        </w:tcPr>
        <w:p w:rsidR="008C03B5" w:rsidRPr="00BE22A2" w:rsidRDefault="002C6B08" w:rsidP="00A532F6">
          <w:pPr>
            <w:pStyle w:val="InvisibleLine"/>
            <w:spacing w:line="280" w:lineRule="exact"/>
            <w:rPr>
              <w:rFonts w:cstheme="minorHAnsi"/>
              <w:b/>
              <w:sz w:val="28"/>
              <w:szCs w:val="28"/>
            </w:rPr>
          </w:pPr>
          <w:sdt>
            <w:sdtPr>
              <w:rPr>
                <w:rFonts w:cstheme="minorHAnsi"/>
                <w:b/>
                <w:sz w:val="24"/>
                <w:szCs w:val="24"/>
              </w:rPr>
              <w:alias w:val="DocParam.Number"/>
              <w:id w:val="614175640"/>
              <w:dataBinding w:xpath="//Text[@id='DocParam.Number']" w:storeItemID="{87171479-0A95-4D8A-A56D-FECD54086C0A}"/>
              <w:text w:multiLine="1"/>
            </w:sdtPr>
            <w:sdtEndPr/>
            <w:sdtContent>
              <w:r w:rsidR="00325082">
                <w:rPr>
                  <w:rFonts w:cstheme="minorHAnsi"/>
                  <w:b/>
                  <w:sz w:val="24"/>
                  <w:szCs w:val="24"/>
                </w:rPr>
                <w:t>8141 R</w:t>
              </w:r>
            </w:sdtContent>
          </w:sdt>
        </w:p>
      </w:tc>
      <w:sdt>
        <w:sdtPr>
          <w:alias w:val="DocParam.Date"/>
          <w:id w:val="-464426178"/>
          <w:dataBinding w:xpath="//DateTime[@id='DocParam.Date']" w:storeItemID="{87171479-0A95-4D8A-A56D-FECD54086C0A}"/>
          <w:date w:fullDate="2022-06-07T02:00:00Z">
            <w:dateFormat w:val="d MMMM yyyy"/>
            <w:lid w:val="it-CH"/>
            <w:storeMappedDataAs w:val="dateTime"/>
            <w:calendar w:val="gregorian"/>
          </w:date>
        </w:sdtPr>
        <w:sdtEndPr/>
        <w:sdtContent>
          <w:tc>
            <w:tcPr>
              <w:tcW w:w="1112" w:type="pct"/>
              <w:tcBorders>
                <w:top w:val="nil"/>
                <w:left w:val="nil"/>
                <w:bottom w:val="single" w:sz="4" w:space="0" w:color="auto"/>
                <w:right w:val="nil"/>
              </w:tcBorders>
              <w:noWrap/>
              <w:tcMar>
                <w:top w:w="0" w:type="dxa"/>
              </w:tcMar>
            </w:tcPr>
            <w:p w:rsidR="008C03B5" w:rsidRPr="002A0371" w:rsidRDefault="00325082" w:rsidP="00A532F6">
              <w:pPr>
                <w:pStyle w:val="Data"/>
              </w:pPr>
              <w:r>
                <w:t>7 giugno 2022</w:t>
              </w:r>
            </w:p>
          </w:tc>
        </w:sdtContent>
      </w:sdt>
      <w:tc>
        <w:tcPr>
          <w:tcW w:w="3218" w:type="pct"/>
          <w:gridSpan w:val="4"/>
          <w:tcBorders>
            <w:top w:val="nil"/>
            <w:left w:val="nil"/>
            <w:bottom w:val="nil"/>
            <w:right w:val="nil"/>
          </w:tcBorders>
        </w:tcPr>
        <w:p w:rsidR="008C03B5" w:rsidRPr="00BE22A2" w:rsidRDefault="002C6B08" w:rsidP="00A532F6">
          <w:pPr>
            <w:pStyle w:val="Data"/>
            <w:rPr>
              <w:rFonts w:asciiTheme="minorHAnsi" w:hAnsiTheme="minorHAnsi" w:cstheme="minorHAnsi"/>
              <w:sz w:val="23"/>
              <w:szCs w:val="23"/>
            </w:rPr>
          </w:pPr>
          <w:sdt>
            <w:sdtPr>
              <w:rPr>
                <w:smallCaps/>
                <w:sz w:val="23"/>
                <w:szCs w:val="23"/>
              </w:rPr>
              <w:alias w:val="CustomElements.Fields.Dipartimenti"/>
              <w:id w:val="-1138097914"/>
              <w:dataBinding w:xpath="//Text[@id='CustomElements.Fields.Dipartimenti']" w:storeItemID="{87171479-0A95-4D8A-A56D-FECD54086C0A}"/>
              <w:text w:multiLine="1"/>
            </w:sdtPr>
            <w:sdtEndPr/>
            <w:sdtContent>
              <w:r w:rsidR="00325082">
                <w:rPr>
                  <w:smallCaps/>
                  <w:sz w:val="23"/>
                  <w:szCs w:val="23"/>
                </w:rPr>
                <w:t>Dipartimento delle finanze e dell’economia</w:t>
              </w:r>
            </w:sdtContent>
          </w:sdt>
        </w:p>
      </w:tc>
    </w:tr>
    <w:tr w:rsidR="00912E34" w:rsidRPr="00C63927" w:rsidTr="0098208F">
      <w:trPr>
        <w:trHeight w:hRule="exact" w:val="198"/>
      </w:trPr>
      <w:tc>
        <w:tcPr>
          <w:tcW w:w="5000" w:type="pct"/>
          <w:gridSpan w:val="6"/>
          <w:tcBorders>
            <w:left w:val="nil"/>
            <w:bottom w:val="nil"/>
            <w:right w:val="nil"/>
          </w:tcBorders>
          <w:noWrap/>
          <w:tcMar>
            <w:top w:w="57" w:type="dxa"/>
            <w:left w:w="85" w:type="dxa"/>
            <w:bottom w:w="170" w:type="dxa"/>
          </w:tcMar>
        </w:tcPr>
        <w:p w:rsidR="00662409" w:rsidRPr="00C7320A" w:rsidRDefault="002C6B08" w:rsidP="00D07D6E">
          <w:pPr>
            <w:pStyle w:val="Level"/>
            <w:ind w:left="150"/>
            <w:rPr>
              <w:rFonts w:ascii="Gill Alt One MT Light" w:hAnsi="Gill Alt One MT Light"/>
              <w:sz w:val="16"/>
              <w:szCs w:val="16"/>
            </w:rPr>
          </w:pPr>
        </w:p>
      </w:tc>
    </w:tr>
  </w:tbl>
  <w:p w:rsidR="00F657BF" w:rsidRPr="00DA2879" w:rsidRDefault="00AA1C90" w:rsidP="00C7320A">
    <w:pPr>
      <w:pStyle w:val="Nessunaspaziatura"/>
      <w:spacing w:line="40" w:lineRule="exact"/>
    </w:pPr>
    <w:r>
      <w:rPr>
        <w:noProof/>
        <w:lang w:val="it-CH" w:eastAsia="it-CH"/>
      </w:rPr>
      <w:drawing>
        <wp:anchor distT="0" distB="0" distL="114300" distR="114300" simplePos="0" relativeHeight="251659264" behindDoc="1" locked="1" layoutInCell="1" allowOverlap="1" wp14:anchorId="2AE9A79C" wp14:editId="2D72E6B9">
          <wp:simplePos x="0" y="0"/>
          <wp:positionH relativeFrom="column">
            <wp:posOffset>3042920</wp:posOffset>
          </wp:positionH>
          <wp:positionV relativeFrom="page">
            <wp:posOffset>215265</wp:posOffset>
          </wp:positionV>
          <wp:extent cx="458470" cy="467995"/>
          <wp:effectExtent l="0" t="0" r="0" b="8255"/>
          <wp:wrapNone/>
          <wp:docPr id="7" name="ooImg_993988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47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CH" w:eastAsia="it-CH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21F82C06" wp14:editId="0F364815">
              <wp:simplePos x="0" y="0"/>
              <wp:positionH relativeFrom="page">
                <wp:align>center</wp:align>
              </wp:positionH>
              <wp:positionV relativeFrom="page">
                <wp:posOffset>-16175990</wp:posOffset>
              </wp:positionV>
              <wp:extent cx="8640000" cy="1800000"/>
              <wp:effectExtent l="1991360" t="0" r="2057400" b="0"/>
              <wp:wrapNone/>
              <wp:docPr id="8" name="###DraftMode###4" descr="off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000000">
                        <a:off x="0" y="0"/>
                        <a:ext cx="8640000" cy="180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lang w:val="it-CH"/>
                            </w:rPr>
                            <w:alias w:val="CustomElements.Texts.Draft"/>
                            <w:id w:val="1582408335"/>
                            <w:dataBinding w:xpath="//Text[@id='CustomElements.Texts.Draft']" w:storeItemID="{87171479-0A95-4D8A-A56D-FECD54086C0A}"/>
                            <w:text w:multiLine="1"/>
                          </w:sdtPr>
                          <w:sdtEndPr/>
                          <w:sdtContent>
                            <w:p w:rsidR="00E93620" w:rsidRPr="00411371" w:rsidRDefault="00AA1C90" w:rsidP="00621AA2">
                              <w:pPr>
                                <w:pStyle w:val="DraftText"/>
                                <w:rPr>
                                  <w:lang w:val="it-CH"/>
                                </w:rPr>
                              </w:pPr>
                              <w:r w:rsidRPr="00411371">
                                <w:rPr>
                                  <w:lang w:val="it-CH"/>
                                </w:rPr>
                                <w:t>Bozza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F82C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" style="position:absolute;left:0;text-align:left;margin-left:0;margin-top:-1273.7pt;width:680.3pt;height:141.75pt;rotation:-60;z-index:-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" filled="f" stroked="f" strokeweight=".5pt">
              <v:textbox inset="0,0,0,0">
                <w:txbxContent>
                  <w:sdt>
                    <w:sdtPr>
                      <w:rPr>
                        <w:lang w:val="it-CH"/>
                      </w:rPr>
                      <w:alias w:val="CustomElements.Texts.Draft"/>
                      <w:id w:val="1582408335"/>
                      <w:dataBinding w:xpath="//Text[@id='CustomElements.Texts.Draft']" w:storeItemID="{87171479-0A95-4D8A-A56D-FECD54086C0A}"/>
                      <w:text w:multiLine="1"/>
                    </w:sdtPr>
                    <w:sdtEndPr/>
                    <w:sdtContent>
                      <w:p w:rsidR="00E93620" w:rsidRPr="00411371" w:rsidRDefault="00AA1C90" w:rsidP="00621AA2">
                        <w:pPr>
                          <w:pStyle w:val="DraftText"/>
                          <w:rPr>
                            <w:lang w:val="it-CH"/>
                          </w:rPr>
                        </w:pPr>
                        <w:r w:rsidRPr="00411371">
                          <w:rPr>
                            <w:lang w:val="it-CH"/>
                          </w:rPr>
                          <w:t>Bozza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3C235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A2F5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6E36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B8A5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E01A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9A75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6898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5C91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4C1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B81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355C0C"/>
    <w:multiLevelType w:val="multilevel"/>
    <w:tmpl w:val="62E8D5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1" w15:restartNumberingAfterBreak="0">
    <w:nsid w:val="10117EF6"/>
    <w:multiLevelType w:val="multilevel"/>
    <w:tmpl w:val="8C5894EA"/>
    <w:lvl w:ilvl="0">
      <w:start w:val="1"/>
      <w:numFmt w:val="lowerLetter"/>
      <w:pStyle w:val="ListAlphabetic12"/>
      <w:lvlText w:val="%1)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lowerLetter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134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2" w15:restartNumberingAfterBreak="0">
    <w:nsid w:val="1E3E54B7"/>
    <w:multiLevelType w:val="multilevel"/>
    <w:tmpl w:val="953CA1B2"/>
    <w:styleLink w:val="HeadingList"/>
    <w:lvl w:ilvl="0">
      <w:start w:val="1"/>
      <w:numFmt w:val="decimal"/>
      <w:pStyle w:val="Titolo1"/>
      <w:lvlText w:val="%1"/>
      <w:lvlJc w:val="left"/>
      <w:pPr>
        <w:ind w:left="363" w:hanging="363"/>
      </w:pPr>
      <w:rPr>
        <w:rFonts w:asciiTheme="majorHAnsi" w:hAnsiTheme="majorHAnsi" w:hint="default"/>
      </w:rPr>
    </w:lvl>
    <w:lvl w:ilvl="1">
      <w:start w:val="1"/>
      <w:numFmt w:val="decimal"/>
      <w:pStyle w:val="Titolo2"/>
      <w:lvlText w:val="%1.%2"/>
      <w:lvlJc w:val="left"/>
      <w:pPr>
        <w:ind w:left="544" w:hanging="544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ind w:left="726" w:hanging="726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3" w15:restartNumberingAfterBreak="0">
    <w:nsid w:val="20173F22"/>
    <w:multiLevelType w:val="multilevel"/>
    <w:tmpl w:val="87C657A2"/>
    <w:styleLink w:val="ListLineList"/>
    <w:lvl w:ilvl="0">
      <w:numFmt w:val="bullet"/>
      <w:pStyle w:val="ListLine"/>
      <w:lvlText w:val="-"/>
      <w:lvlJc w:val="left"/>
      <w:pPr>
        <w:ind w:left="284" w:hanging="284"/>
      </w:pPr>
      <w:rPr>
        <w:rFonts w:ascii="Arial" w:hAnsi="Arial" w:hint="default"/>
      </w:rPr>
    </w:lvl>
    <w:lvl w:ilvl="1">
      <w:numFmt w:val="bullet"/>
      <w:lvlText w:val="-"/>
      <w:lvlJc w:val="left"/>
      <w:pPr>
        <w:ind w:left="567" w:hanging="283"/>
      </w:pPr>
      <w:rPr>
        <w:rFonts w:ascii="Arial" w:hAnsi="Arial" w:hint="default"/>
      </w:rPr>
    </w:lvl>
    <w:lvl w:ilvl="2">
      <w:numFmt w:val="bullet"/>
      <w:lvlText w:val="-"/>
      <w:lvlJc w:val="left"/>
      <w:pPr>
        <w:ind w:left="851" w:hanging="284"/>
      </w:pPr>
      <w:rPr>
        <w:rFonts w:ascii="Arial" w:hAnsi="Arial" w:hint="default"/>
      </w:rPr>
    </w:lvl>
    <w:lvl w:ilvl="3">
      <w:numFmt w:val="bullet"/>
      <w:lvlText w:val="-"/>
      <w:lvlJc w:val="left"/>
      <w:pPr>
        <w:ind w:left="1134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4" w15:restartNumberingAfterBreak="0">
    <w:nsid w:val="2AB47336"/>
    <w:multiLevelType w:val="multilevel"/>
    <w:tmpl w:val="C2606BDC"/>
    <w:styleLink w:val="ListNumericList"/>
    <w:lvl w:ilvl="0">
      <w:start w:val="1"/>
      <w:numFmt w:val="decimal"/>
      <w:pStyle w:val="ListNumeric"/>
      <w:lvlText w:val="%1.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5" w15:restartNumberingAfterBreak="0">
    <w:nsid w:val="3618656C"/>
    <w:multiLevelType w:val="multilevel"/>
    <w:tmpl w:val="3B7683D0"/>
    <w:styleLink w:val="ListBulletList"/>
    <w:lvl w:ilvl="0">
      <w:start w:val="1"/>
      <w:numFmt w:val="bullet"/>
      <w:pStyle w:val="ListBullet"/>
      <w:lvlText w:val="●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●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●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●"/>
      <w:lvlJc w:val="left"/>
      <w:pPr>
        <w:ind w:left="1134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6" w15:restartNumberingAfterBreak="0">
    <w:nsid w:val="496B532B"/>
    <w:multiLevelType w:val="multilevel"/>
    <w:tmpl w:val="8C5894EA"/>
    <w:styleLink w:val="ListAlphabeticList"/>
    <w:lvl w:ilvl="0">
      <w:start w:val="1"/>
      <w:numFmt w:val="lowerLetter"/>
      <w:pStyle w:val="ListAlphabetic"/>
      <w:lvlText w:val="%1)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lowerLetter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134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3402" w:hanging="3402"/>
      </w:pPr>
      <w:rPr>
        <w:rFonts w:hint="default"/>
      </w:rPr>
    </w:lvl>
    <w:lvl w:ilvl="5">
      <w:start w:val="1"/>
      <w:numFmt w:val="none"/>
      <w:lvlText w:val=""/>
      <w:lvlJc w:val="left"/>
      <w:pPr>
        <w:ind w:left="3515" w:hanging="3402"/>
      </w:pPr>
      <w:rPr>
        <w:rFonts w:hint="default"/>
      </w:rPr>
    </w:lvl>
    <w:lvl w:ilvl="6">
      <w:start w:val="1"/>
      <w:numFmt w:val="none"/>
      <w:lvlText w:val=""/>
      <w:lvlJc w:val="left"/>
      <w:pPr>
        <w:ind w:left="3629" w:hanging="3402"/>
      </w:pPr>
      <w:rPr>
        <w:rFonts w:hint="default"/>
      </w:rPr>
    </w:lvl>
    <w:lvl w:ilvl="7">
      <w:start w:val="1"/>
      <w:numFmt w:val="none"/>
      <w:lvlText w:val=""/>
      <w:lvlJc w:val="left"/>
      <w:pPr>
        <w:ind w:left="3742" w:hanging="3402"/>
      </w:pPr>
      <w:rPr>
        <w:rFonts w:hint="default"/>
      </w:rPr>
    </w:lvl>
    <w:lvl w:ilvl="8">
      <w:start w:val="1"/>
      <w:numFmt w:val="none"/>
      <w:lvlText w:val=""/>
      <w:lvlJc w:val="left"/>
      <w:pPr>
        <w:ind w:left="3856" w:hanging="3402"/>
      </w:pPr>
      <w:rPr>
        <w:rFonts w:hint="default"/>
      </w:rPr>
    </w:lvl>
  </w:abstractNum>
  <w:abstractNum w:abstractNumId="17" w15:restartNumberingAfterBreak="0">
    <w:nsid w:val="49D524CC"/>
    <w:multiLevelType w:val="multilevel"/>
    <w:tmpl w:val="953CA1B2"/>
    <w:numStyleLink w:val="HeadingList"/>
  </w:abstractNum>
  <w:abstractNum w:abstractNumId="18" w15:restartNumberingAfterBreak="0">
    <w:nsid w:val="7C307E55"/>
    <w:multiLevelType w:val="hybridMultilevel"/>
    <w:tmpl w:val="6F86BFF8"/>
    <w:lvl w:ilvl="0" w:tplc="B17A0D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  <w:lvlOverride w:ilvl="0">
      <w:lvl w:ilvl="0">
        <w:start w:val="1"/>
        <w:numFmt w:val="decimal"/>
        <w:pStyle w:val="Titolo1"/>
        <w:lvlText w:val="%1"/>
        <w:lvlJc w:val="left"/>
        <w:pPr>
          <w:ind w:left="363" w:hanging="363"/>
        </w:pPr>
        <w:rPr>
          <w:rFonts w:ascii="Arial" w:hAnsi="Arial" w:cs="Arial" w:hint="default"/>
        </w:rPr>
      </w:lvl>
    </w:lvlOverride>
  </w:num>
  <w:num w:numId="3">
    <w:abstractNumId w:val="11"/>
  </w:num>
  <w:num w:numId="4">
    <w:abstractNumId w:val="16"/>
  </w:num>
  <w:num w:numId="5">
    <w:abstractNumId w:val="15"/>
  </w:num>
  <w:num w:numId="6">
    <w:abstractNumId w:val="13"/>
  </w:num>
  <w:num w:numId="7">
    <w:abstractNumId w:val="1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0"/>
  </w:num>
  <w:num w:numId="19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442"/>
    <w:rsid w:val="0001220C"/>
    <w:rsid w:val="000D2A97"/>
    <w:rsid w:val="002B5D9F"/>
    <w:rsid w:val="002C6B08"/>
    <w:rsid w:val="00303108"/>
    <w:rsid w:val="00325082"/>
    <w:rsid w:val="003B756D"/>
    <w:rsid w:val="003D137E"/>
    <w:rsid w:val="00403ADB"/>
    <w:rsid w:val="004442A1"/>
    <w:rsid w:val="005039FA"/>
    <w:rsid w:val="00572FD3"/>
    <w:rsid w:val="007163BB"/>
    <w:rsid w:val="00724974"/>
    <w:rsid w:val="00774246"/>
    <w:rsid w:val="008720C4"/>
    <w:rsid w:val="008F52AF"/>
    <w:rsid w:val="009B4442"/>
    <w:rsid w:val="009C5E5A"/>
    <w:rsid w:val="00AA1C90"/>
    <w:rsid w:val="00AF0268"/>
    <w:rsid w:val="00BF0A1F"/>
    <w:rsid w:val="00D33940"/>
    <w:rsid w:val="00D600FD"/>
    <w:rsid w:val="00D649A8"/>
    <w:rsid w:val="00E955E0"/>
    <w:rsid w:val="00EB088A"/>
    <w:rsid w:val="00EB31E0"/>
    <w:rsid w:val="00F6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5:docId w15:val="{931D9E74-2D1E-4A30-A062-8D076375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B4442"/>
    <w:rPr>
      <w:rFonts w:ascii="Arial" w:eastAsia="Calibri" w:hAnsi="Arial" w:cs="Times New Roman"/>
      <w:sz w:val="24"/>
      <w:lang w:val="it-CH"/>
    </w:rPr>
  </w:style>
  <w:style w:type="paragraph" w:styleId="Titolo1">
    <w:name w:val="heading 1"/>
    <w:basedOn w:val="Normale"/>
    <w:next w:val="Normale"/>
    <w:link w:val="Titolo1Carattere"/>
    <w:qFormat/>
    <w:rsid w:val="006F0D42"/>
    <w:pPr>
      <w:keepNext/>
      <w:numPr>
        <w:numId w:val="2"/>
      </w:numPr>
      <w:spacing w:before="240" w:after="120"/>
      <w:jc w:val="left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nhideWhenUsed/>
    <w:qFormat/>
    <w:rsid w:val="006F0D42"/>
    <w:pPr>
      <w:numPr>
        <w:ilvl w:val="1"/>
      </w:numPr>
      <w:spacing w:before="120" w:after="60"/>
      <w:outlineLvl w:val="1"/>
    </w:pPr>
  </w:style>
  <w:style w:type="paragraph" w:styleId="Titolo3">
    <w:name w:val="heading 3"/>
    <w:basedOn w:val="Titolo1"/>
    <w:next w:val="Normale"/>
    <w:link w:val="Titolo3Carattere"/>
    <w:unhideWhenUsed/>
    <w:qFormat/>
    <w:rsid w:val="006F0D42"/>
    <w:pPr>
      <w:numPr>
        <w:ilvl w:val="2"/>
      </w:numPr>
      <w:spacing w:before="120" w:after="60"/>
      <w:outlineLvl w:val="2"/>
    </w:pPr>
  </w:style>
  <w:style w:type="paragraph" w:styleId="Titolo4">
    <w:name w:val="heading 4"/>
    <w:basedOn w:val="Titolo1"/>
    <w:next w:val="Normale"/>
    <w:link w:val="Titolo4Carattere"/>
    <w:uiPriority w:val="9"/>
    <w:unhideWhenUsed/>
    <w:qFormat/>
    <w:rsid w:val="006F0D42"/>
    <w:pPr>
      <w:numPr>
        <w:ilvl w:val="3"/>
      </w:numPr>
      <w:spacing w:before="120" w:after="60"/>
      <w:outlineLvl w:val="3"/>
    </w:p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6F0D42"/>
    <w:pPr>
      <w:keepNext/>
      <w:keepLines/>
      <w:spacing w:before="40"/>
      <w:outlineLvl w:val="4"/>
    </w:pPr>
    <w:rPr>
      <w:rFonts w:eastAsiaTheme="majorEastAsia" w:cstheme="majorBidi"/>
      <w:b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0D42"/>
    <w:pPr>
      <w:keepNext/>
      <w:keepLines/>
      <w:spacing w:before="40"/>
      <w:outlineLvl w:val="5"/>
    </w:pPr>
    <w:rPr>
      <w:rFonts w:eastAsiaTheme="majorEastAsia" w:cstheme="majorBidi"/>
      <w:b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0D42"/>
    <w:pPr>
      <w:keepNext/>
      <w:keepLines/>
      <w:spacing w:before="40"/>
      <w:outlineLvl w:val="6"/>
    </w:pPr>
    <w:rPr>
      <w:rFonts w:eastAsiaTheme="majorEastAsia" w:cstheme="majorBidi"/>
      <w:b/>
      <w:i/>
      <w:iCs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0D42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0D42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ubject">
    <w:name w:val="Subject"/>
    <w:basedOn w:val="Normale"/>
    <w:next w:val="Normale"/>
    <w:link w:val="SubjectZchn"/>
    <w:rsid w:val="00C65DA0"/>
    <w:pPr>
      <w:spacing w:before="80" w:after="240"/>
    </w:pPr>
    <w:rPr>
      <w:b/>
    </w:rPr>
  </w:style>
  <w:style w:type="paragraph" w:styleId="Titolo">
    <w:name w:val="Title"/>
    <w:aliases w:val="NotYetCustomized2178"/>
    <w:basedOn w:val="Normale"/>
    <w:next w:val="Normale"/>
    <w:link w:val="TitoloCarattere"/>
    <w:uiPriority w:val="10"/>
    <w:qFormat/>
    <w:rsid w:val="00BC7BF9"/>
    <w:pPr>
      <w:jc w:val="left"/>
    </w:pPr>
    <w:rPr>
      <w:rFonts w:asciiTheme="majorHAnsi" w:hAnsiTheme="majorHAnsi"/>
      <w:b/>
      <w:sz w:val="32"/>
    </w:rPr>
  </w:style>
  <w:style w:type="character" w:customStyle="1" w:styleId="TitoloCarattere">
    <w:name w:val="Titolo Carattere"/>
    <w:aliases w:val="NotYetCustomized2178 Carattere"/>
    <w:basedOn w:val="Carpredefinitoparagrafo"/>
    <w:link w:val="Titolo"/>
    <w:uiPriority w:val="10"/>
    <w:rsid w:val="00BC7BF9"/>
    <w:rPr>
      <w:rFonts w:asciiTheme="majorHAnsi" w:hAnsiTheme="majorHAnsi"/>
      <w:b/>
      <w:sz w:val="32"/>
      <w:lang w:val="it-CH"/>
    </w:rPr>
  </w:style>
  <w:style w:type="character" w:customStyle="1" w:styleId="Titolo1Carattere">
    <w:name w:val="Titolo 1 Carattere"/>
    <w:basedOn w:val="Carpredefinitoparagrafo"/>
    <w:link w:val="Titolo1"/>
    <w:rsid w:val="006F0D42"/>
    <w:rPr>
      <w:rFonts w:ascii="Arial" w:hAnsi="Arial"/>
      <w:b/>
      <w:lang w:val="it-CH"/>
    </w:rPr>
  </w:style>
  <w:style w:type="paragraph" w:styleId="Sottotitolo">
    <w:name w:val="Subtitle"/>
    <w:aliases w:val="NotYetCustomized3335"/>
    <w:basedOn w:val="Normale"/>
    <w:next w:val="Normale"/>
    <w:link w:val="SottotitoloCarattere"/>
    <w:uiPriority w:val="11"/>
    <w:qFormat/>
    <w:rsid w:val="00BC7BF9"/>
    <w:pPr>
      <w:spacing w:after="200"/>
      <w:jc w:val="left"/>
    </w:pPr>
    <w:rPr>
      <w:rFonts w:asciiTheme="majorHAnsi" w:hAnsiTheme="majorHAnsi"/>
      <w:b/>
    </w:rPr>
  </w:style>
  <w:style w:type="character" w:customStyle="1" w:styleId="SottotitoloCarattere">
    <w:name w:val="Sottotitolo Carattere"/>
    <w:aliases w:val="NotYetCustomized3335 Carattere"/>
    <w:basedOn w:val="Carpredefinitoparagrafo"/>
    <w:link w:val="Sottotitolo"/>
    <w:uiPriority w:val="11"/>
    <w:rsid w:val="00BC7BF9"/>
    <w:rPr>
      <w:rFonts w:asciiTheme="majorHAnsi" w:hAnsiTheme="majorHAnsi"/>
      <w:b/>
      <w:sz w:val="24"/>
      <w:lang w:val="it-CH"/>
    </w:rPr>
  </w:style>
  <w:style w:type="character" w:customStyle="1" w:styleId="Titolo2Carattere">
    <w:name w:val="Titolo 2 Carattere"/>
    <w:basedOn w:val="Carpredefinitoparagrafo"/>
    <w:link w:val="Titolo2"/>
    <w:rsid w:val="006F0D42"/>
    <w:rPr>
      <w:rFonts w:ascii="Arial" w:hAnsi="Arial"/>
      <w:b/>
      <w:lang w:val="it-CH"/>
    </w:rPr>
  </w:style>
  <w:style w:type="character" w:customStyle="1" w:styleId="Titolo3Carattere">
    <w:name w:val="Titolo 3 Carattere"/>
    <w:basedOn w:val="Carpredefinitoparagrafo"/>
    <w:link w:val="Titolo3"/>
    <w:rsid w:val="006F0D42"/>
    <w:rPr>
      <w:rFonts w:ascii="Arial" w:hAnsi="Arial"/>
      <w:b/>
      <w:lang w:val="it-CH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F0D42"/>
    <w:rPr>
      <w:rFonts w:ascii="Arial" w:hAnsi="Arial"/>
      <w:b/>
      <w:lang w:val="it-CH"/>
    </w:rPr>
  </w:style>
  <w:style w:type="paragraph" w:customStyle="1" w:styleId="ListAlphabetic">
    <w:name w:val="ListAlphabetic"/>
    <w:basedOn w:val="Normale"/>
    <w:rsid w:val="008C0661"/>
    <w:pPr>
      <w:numPr>
        <w:numId w:val="4"/>
      </w:numPr>
      <w:contextualSpacing/>
    </w:pPr>
  </w:style>
  <w:style w:type="paragraph" w:styleId="Paragrafoelenco">
    <w:name w:val="List Paragraph"/>
    <w:basedOn w:val="Normale"/>
    <w:uiPriority w:val="34"/>
    <w:qFormat/>
    <w:rsid w:val="004D7849"/>
    <w:pPr>
      <w:ind w:left="720"/>
      <w:contextualSpacing/>
    </w:pPr>
  </w:style>
  <w:style w:type="paragraph" w:customStyle="1" w:styleId="ListNumeric">
    <w:name w:val="ListNumeric"/>
    <w:basedOn w:val="Normale"/>
    <w:rsid w:val="008C0661"/>
    <w:pPr>
      <w:numPr>
        <w:numId w:val="7"/>
      </w:numPr>
      <w:contextualSpacing/>
    </w:pPr>
  </w:style>
  <w:style w:type="paragraph" w:customStyle="1" w:styleId="ListLine">
    <w:name w:val="ListLine"/>
    <w:basedOn w:val="Normale"/>
    <w:rsid w:val="008C0661"/>
    <w:pPr>
      <w:numPr>
        <w:numId w:val="6"/>
      </w:numPr>
      <w:contextualSpacing/>
    </w:pPr>
  </w:style>
  <w:style w:type="paragraph" w:customStyle="1" w:styleId="ListBullet">
    <w:name w:val="ListBullet"/>
    <w:basedOn w:val="Normale"/>
    <w:rsid w:val="008C0661"/>
    <w:pPr>
      <w:numPr>
        <w:numId w:val="5"/>
      </w:numPr>
      <w:contextualSpacing/>
    </w:pPr>
  </w:style>
  <w:style w:type="paragraph" w:customStyle="1" w:styleId="Transmission">
    <w:name w:val="Transmission"/>
    <w:aliases w:val="NotYetCustomized1228"/>
    <w:basedOn w:val="Nessunaspaziatura"/>
    <w:link w:val="TransmissionZchn"/>
    <w:rsid w:val="00944FBC"/>
    <w:pPr>
      <w:spacing w:after="120"/>
    </w:pPr>
    <w:rPr>
      <w:b/>
    </w:rPr>
  </w:style>
  <w:style w:type="paragraph" w:customStyle="1" w:styleId="EnclosuresBox">
    <w:name w:val="EnclosuresBox"/>
    <w:basedOn w:val="Nessunaspaziatura"/>
    <w:rsid w:val="003C60F0"/>
    <w:pPr>
      <w:tabs>
        <w:tab w:val="left" w:pos="284"/>
      </w:tabs>
    </w:pPr>
    <w:rPr>
      <w:rFonts w:ascii="Arial" w:hAnsi="Arial"/>
    </w:rPr>
  </w:style>
  <w:style w:type="paragraph" w:styleId="Sommario1">
    <w:name w:val="toc 1"/>
    <w:aliases w:val="NotYetCustomized8649"/>
    <w:basedOn w:val="Normale"/>
    <w:next w:val="Normale"/>
    <w:autoRedefine/>
    <w:uiPriority w:val="39"/>
    <w:unhideWhenUsed/>
    <w:rsid w:val="002B40AC"/>
    <w:pPr>
      <w:tabs>
        <w:tab w:val="left" w:pos="567"/>
        <w:tab w:val="right" w:leader="dot" w:pos="9072"/>
      </w:tabs>
      <w:spacing w:before="240" w:after="120"/>
      <w:ind w:left="567" w:right="567" w:hanging="567"/>
      <w:jc w:val="left"/>
    </w:pPr>
    <w:rPr>
      <w:b/>
    </w:rPr>
  </w:style>
  <w:style w:type="paragraph" w:styleId="Sommario2">
    <w:name w:val="toc 2"/>
    <w:aliases w:val="NotYetCustomized3819"/>
    <w:basedOn w:val="Sommario1"/>
    <w:next w:val="Normale"/>
    <w:autoRedefine/>
    <w:uiPriority w:val="39"/>
    <w:unhideWhenUsed/>
    <w:rsid w:val="00442590"/>
    <w:pPr>
      <w:spacing w:before="0" w:after="80"/>
    </w:pPr>
    <w:rPr>
      <w:b w:val="0"/>
    </w:rPr>
  </w:style>
  <w:style w:type="paragraph" w:styleId="Sommario3">
    <w:name w:val="toc 3"/>
    <w:aliases w:val="NotYetCustomized1834"/>
    <w:basedOn w:val="Sommario2"/>
    <w:next w:val="Normale"/>
    <w:autoRedefine/>
    <w:uiPriority w:val="39"/>
    <w:unhideWhenUsed/>
    <w:rsid w:val="001E2AC6"/>
    <w:pPr>
      <w:spacing w:after="40"/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0D42"/>
    <w:rPr>
      <w:rFonts w:ascii="Arial" w:eastAsiaTheme="majorEastAsia" w:hAnsi="Arial" w:cstheme="majorBidi"/>
      <w:b/>
      <w:color w:val="365F91" w:themeColor="accent1" w:themeShade="BF"/>
      <w:lang w:val="it-CH"/>
    </w:rPr>
  </w:style>
  <w:style w:type="paragraph" w:customStyle="1" w:styleId="DraftText">
    <w:name w:val="DraftText"/>
    <w:rsid w:val="00B33B5E"/>
    <w:pPr>
      <w:widowControl w:val="0"/>
      <w:suppressAutoHyphens/>
      <w:spacing w:line="216" w:lineRule="auto"/>
      <w:jc w:val="center"/>
    </w:pPr>
    <w:rPr>
      <w:rFonts w:ascii="Arial" w:hAnsi="Arial"/>
      <w:b/>
      <w:smallCaps/>
      <w:color w:val="E6E6E6"/>
      <w:sz w:val="300"/>
    </w:rPr>
  </w:style>
  <w:style w:type="paragraph" w:styleId="Titolosommario">
    <w:name w:val="TOC Heading"/>
    <w:aliases w:val="NotYetCustomized7842"/>
    <w:basedOn w:val="Titolo"/>
    <w:next w:val="Normale"/>
    <w:uiPriority w:val="39"/>
    <w:unhideWhenUsed/>
    <w:rsid w:val="003A6C79"/>
  </w:style>
  <w:style w:type="paragraph" w:customStyle="1" w:styleId="InvisibleLine">
    <w:name w:val="InvisibleLine"/>
    <w:basedOn w:val="Nessunaspaziatura"/>
    <w:rsid w:val="00B47829"/>
    <w:pPr>
      <w:spacing w:line="14" w:lineRule="auto"/>
    </w:pPr>
    <w:rPr>
      <w:sz w:val="2"/>
    </w:rPr>
  </w:style>
  <w:style w:type="paragraph" w:styleId="Pidipagina">
    <w:name w:val="footer"/>
    <w:aliases w:val="NotYetCustomized8954"/>
    <w:basedOn w:val="Intestazione"/>
    <w:link w:val="PidipaginaCarattere"/>
    <w:uiPriority w:val="99"/>
    <w:unhideWhenUsed/>
    <w:rsid w:val="009E32DC"/>
  </w:style>
  <w:style w:type="character" w:customStyle="1" w:styleId="PidipaginaCarattere">
    <w:name w:val="Piè di pagina Carattere"/>
    <w:aliases w:val="NotYetCustomized8954 Carattere"/>
    <w:basedOn w:val="Carpredefinitoparagrafo"/>
    <w:link w:val="Pidipagina"/>
    <w:uiPriority w:val="99"/>
    <w:rsid w:val="00D713F1"/>
    <w:rPr>
      <w:sz w:val="20"/>
    </w:rPr>
  </w:style>
  <w:style w:type="paragraph" w:styleId="Testonotaapidipagina">
    <w:name w:val="footnote text"/>
    <w:aliases w:val="NotYetCustomized2879"/>
    <w:basedOn w:val="Nessunaspaziatura"/>
    <w:link w:val="TestonotaapidipaginaCarattere"/>
    <w:uiPriority w:val="99"/>
    <w:unhideWhenUsed/>
    <w:rsid w:val="009E32DC"/>
    <w:pPr>
      <w:spacing w:after="60"/>
    </w:pPr>
    <w:rPr>
      <w:szCs w:val="20"/>
    </w:rPr>
  </w:style>
  <w:style w:type="character" w:customStyle="1" w:styleId="TestonotaapidipaginaCarattere">
    <w:name w:val="Testo nota a piè di pagina Carattere"/>
    <w:aliases w:val="NotYetCustomized2879 Carattere"/>
    <w:basedOn w:val="Carpredefinitoparagrafo"/>
    <w:link w:val="Testonotaapidipagina"/>
    <w:uiPriority w:val="99"/>
    <w:rsid w:val="00F44995"/>
    <w:rPr>
      <w:sz w:val="20"/>
      <w:szCs w:val="20"/>
    </w:rPr>
  </w:style>
  <w:style w:type="character" w:styleId="Enfasicorsivo">
    <w:name w:val="Emphasis"/>
    <w:aliases w:val="NotYetCustomized0913"/>
    <w:basedOn w:val="Carpredefinitoparagrafo"/>
    <w:uiPriority w:val="20"/>
    <w:rsid w:val="000C5980"/>
    <w:rPr>
      <w:b/>
      <w:i w:val="0"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rsid w:val="0005642B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rsid w:val="0005642B"/>
    <w:rPr>
      <w:i/>
      <w:iCs/>
      <w:color w:val="4F81BD" w:themeColor="accent1"/>
    </w:rPr>
  </w:style>
  <w:style w:type="paragraph" w:styleId="Intestazione">
    <w:name w:val="header"/>
    <w:aliases w:val="NotYetCustomized2561"/>
    <w:basedOn w:val="Nessunaspaziatura"/>
    <w:link w:val="IntestazioneCarattere"/>
    <w:uiPriority w:val="99"/>
    <w:unhideWhenUsed/>
    <w:rsid w:val="00940F45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aliases w:val="NotYetCustomized2561 Carattere"/>
    <w:basedOn w:val="Carpredefinitoparagrafo"/>
    <w:link w:val="Intestazione"/>
    <w:uiPriority w:val="99"/>
    <w:rsid w:val="00EE3591"/>
    <w:rPr>
      <w:sz w:val="20"/>
    </w:rPr>
  </w:style>
  <w:style w:type="paragraph" w:styleId="Formuladiapertura">
    <w:name w:val="Salutation"/>
    <w:aliases w:val="NotYetCustomized3018"/>
    <w:basedOn w:val="Normale"/>
    <w:next w:val="Normale"/>
    <w:link w:val="FormuladiaperturaCarattere"/>
    <w:uiPriority w:val="99"/>
    <w:unhideWhenUsed/>
    <w:rsid w:val="002E7316"/>
    <w:pPr>
      <w:jc w:val="left"/>
    </w:pPr>
  </w:style>
  <w:style w:type="character" w:customStyle="1" w:styleId="FormuladiaperturaCarattere">
    <w:name w:val="Formula di apertura Carattere"/>
    <w:aliases w:val="NotYetCustomized3018 Carattere"/>
    <w:basedOn w:val="Carpredefinitoparagrafo"/>
    <w:link w:val="Formuladiapertura"/>
    <w:uiPriority w:val="99"/>
    <w:rsid w:val="002E7316"/>
    <w:rPr>
      <w:rFonts w:ascii="Arial" w:hAnsi="Arial"/>
      <w:sz w:val="24"/>
      <w:lang w:val="it-CH"/>
    </w:rPr>
  </w:style>
  <w:style w:type="character" w:styleId="Enfasigrassetto">
    <w:name w:val="Strong"/>
    <w:aliases w:val="NotYetCustomized1427"/>
    <w:basedOn w:val="Carpredefinitoparagrafo"/>
    <w:uiPriority w:val="22"/>
    <w:rsid w:val="00940F45"/>
    <w:rPr>
      <w:b/>
      <w:bCs/>
    </w:rPr>
  </w:style>
  <w:style w:type="paragraph" w:styleId="Formuladichiusura">
    <w:name w:val="Closing"/>
    <w:aliases w:val="NotYetCustomized2787"/>
    <w:basedOn w:val="Normale"/>
    <w:link w:val="FormuladichiusuraCarattere"/>
    <w:uiPriority w:val="99"/>
    <w:unhideWhenUsed/>
    <w:rsid w:val="00337DF1"/>
    <w:pPr>
      <w:jc w:val="left"/>
    </w:pPr>
  </w:style>
  <w:style w:type="character" w:customStyle="1" w:styleId="FormuladichiusuraCarattere">
    <w:name w:val="Formula di chiusura Carattere"/>
    <w:aliases w:val="NotYetCustomized2787 Carattere"/>
    <w:basedOn w:val="Carpredefinitoparagrafo"/>
    <w:link w:val="Formuladichiusura"/>
    <w:uiPriority w:val="99"/>
    <w:rsid w:val="00337DF1"/>
    <w:rPr>
      <w:rFonts w:ascii="Arial" w:hAnsi="Arial"/>
      <w:sz w:val="24"/>
      <w:lang w:val="it-CH"/>
    </w:rPr>
  </w:style>
  <w:style w:type="paragraph" w:styleId="Nessunaspaziatura">
    <w:name w:val="No Spacing"/>
    <w:link w:val="NessunaspaziaturaCarattere"/>
    <w:uiPriority w:val="1"/>
    <w:rsid w:val="00B33B5E"/>
    <w:pPr>
      <w:suppressAutoHyphens/>
    </w:pPr>
  </w:style>
  <w:style w:type="character" w:styleId="Numeropagina">
    <w:name w:val="page number"/>
    <w:basedOn w:val="Carpredefinitoparagrafo"/>
    <w:uiPriority w:val="99"/>
    <w:unhideWhenUsed/>
    <w:rsid w:val="00940F45"/>
  </w:style>
  <w:style w:type="paragraph" w:styleId="Firma">
    <w:name w:val="Signature"/>
    <w:aliases w:val="NotYetCustomized3210"/>
    <w:basedOn w:val="Normale"/>
    <w:link w:val="FirmaCarattere"/>
    <w:uiPriority w:val="99"/>
    <w:unhideWhenUsed/>
    <w:rsid w:val="00FD1909"/>
  </w:style>
  <w:style w:type="character" w:customStyle="1" w:styleId="FirmaCarattere">
    <w:name w:val="Firma Carattere"/>
    <w:aliases w:val="NotYetCustomized3210 Carattere"/>
    <w:basedOn w:val="Carpredefinitoparagrafo"/>
    <w:link w:val="Firma"/>
    <w:uiPriority w:val="99"/>
    <w:rsid w:val="001E2AC6"/>
    <w:rPr>
      <w:sz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33B5E"/>
  </w:style>
  <w:style w:type="character" w:styleId="Rimandonotaapidipagina">
    <w:name w:val="footnote reference"/>
    <w:basedOn w:val="Carpredefinitoparagrafo"/>
    <w:uiPriority w:val="99"/>
    <w:unhideWhenUsed/>
    <w:rsid w:val="00F811E1"/>
    <w:rPr>
      <w:vertAlign w:val="superscript"/>
    </w:rPr>
  </w:style>
  <w:style w:type="paragraph" w:styleId="Sommario4">
    <w:name w:val="toc 4"/>
    <w:aliases w:val="NotYetCustomized5839"/>
    <w:basedOn w:val="Sommario3"/>
    <w:next w:val="Normale"/>
    <w:autoRedefine/>
    <w:uiPriority w:val="39"/>
    <w:unhideWhenUsed/>
    <w:rsid w:val="00C31BC2"/>
  </w:style>
  <w:style w:type="character" w:customStyle="1" w:styleId="TransmissionZchn">
    <w:name w:val="Transmission Zchn"/>
    <w:aliases w:val="NotYetCustomized1228 Zchn"/>
    <w:basedOn w:val="NessunaspaziaturaCarattere"/>
    <w:link w:val="Transmission"/>
    <w:rsid w:val="00FF52DF"/>
    <w:rPr>
      <w:b/>
      <w:sz w:val="20"/>
    </w:rPr>
  </w:style>
  <w:style w:type="character" w:customStyle="1" w:styleId="SubjectZchn">
    <w:name w:val="Subject Zchn"/>
    <w:basedOn w:val="Carpredefinitoparagrafo"/>
    <w:link w:val="Subject"/>
    <w:rsid w:val="00C65DA0"/>
    <w:rPr>
      <w:rFonts w:ascii="Arial" w:hAnsi="Arial"/>
      <w:b/>
      <w:sz w:val="24"/>
      <w:lang w:val="it-CH"/>
    </w:rPr>
  </w:style>
  <w:style w:type="numbering" w:customStyle="1" w:styleId="ListAlphabeticList">
    <w:name w:val="ListAlphabeticList"/>
    <w:uiPriority w:val="99"/>
    <w:rsid w:val="0040086C"/>
    <w:pPr>
      <w:numPr>
        <w:numId w:val="4"/>
      </w:numPr>
    </w:pPr>
  </w:style>
  <w:style w:type="numbering" w:customStyle="1" w:styleId="ListNumericList">
    <w:name w:val="ListNumericList"/>
    <w:uiPriority w:val="99"/>
    <w:rsid w:val="0040086C"/>
    <w:pPr>
      <w:numPr>
        <w:numId w:val="7"/>
      </w:numPr>
    </w:pPr>
  </w:style>
  <w:style w:type="numbering" w:customStyle="1" w:styleId="ListLineList">
    <w:name w:val="ListLineList"/>
    <w:uiPriority w:val="99"/>
    <w:rsid w:val="0040086C"/>
    <w:pPr>
      <w:numPr>
        <w:numId w:val="6"/>
      </w:numPr>
    </w:pPr>
  </w:style>
  <w:style w:type="numbering" w:customStyle="1" w:styleId="ListBulletList">
    <w:name w:val="ListBulletList"/>
    <w:uiPriority w:val="99"/>
    <w:rsid w:val="0040086C"/>
    <w:pPr>
      <w:numPr>
        <w:numId w:val="5"/>
      </w:numPr>
    </w:pPr>
  </w:style>
  <w:style w:type="numbering" w:customStyle="1" w:styleId="HeadingList">
    <w:name w:val="HeadingList"/>
    <w:uiPriority w:val="99"/>
    <w:rsid w:val="00EC214A"/>
    <w:pPr>
      <w:numPr>
        <w:numId w:val="1"/>
      </w:numPr>
    </w:pPr>
  </w:style>
  <w:style w:type="paragraph" w:customStyle="1" w:styleId="NormalNoSpacing">
    <w:name w:val="NormalNoSpacing"/>
    <w:basedOn w:val="Normale"/>
    <w:rsid w:val="00AC222A"/>
  </w:style>
  <w:style w:type="paragraph" w:customStyle="1" w:styleId="Sender">
    <w:name w:val="Sender"/>
    <w:basedOn w:val="Normale"/>
    <w:rsid w:val="00B33B5E"/>
    <w:pPr>
      <w:spacing w:line="204" w:lineRule="auto"/>
      <w:jc w:val="right"/>
    </w:pPr>
    <w:rPr>
      <w:rFonts w:ascii="Gill Alt One MT Light" w:hAnsi="Gill Alt One MT Light"/>
      <w:sz w:val="16"/>
    </w:rPr>
  </w:style>
  <w:style w:type="paragraph" w:customStyle="1" w:styleId="Level">
    <w:name w:val="Level"/>
    <w:basedOn w:val="Sender"/>
    <w:rsid w:val="00A1759A"/>
    <w:pPr>
      <w:spacing w:line="192" w:lineRule="auto"/>
      <w:contextualSpacing/>
      <w:jc w:val="left"/>
    </w:pPr>
    <w:rPr>
      <w:rFonts w:ascii="Gill Sans MT Pro Light" w:hAnsi="Gill Sans MT Pro Light"/>
      <w:sz w:val="23"/>
    </w:rPr>
  </w:style>
  <w:style w:type="paragraph" w:customStyle="1" w:styleId="Unit">
    <w:name w:val="Unit"/>
    <w:basedOn w:val="Level"/>
    <w:rsid w:val="0020397A"/>
    <w:pPr>
      <w:spacing w:after="40" w:line="240" w:lineRule="exact"/>
    </w:pPr>
    <w:rPr>
      <w:rFonts w:ascii="Gill Sans Display MT Pro BdCn" w:hAnsi="Gill Sans Display MT Pro BdCn"/>
      <w:sz w:val="24"/>
    </w:rPr>
  </w:style>
  <w:style w:type="paragraph" w:customStyle="1" w:styleId="SenderPerson">
    <w:name w:val="SenderPerson"/>
    <w:basedOn w:val="Sender"/>
    <w:rsid w:val="00914AA5"/>
    <w:pPr>
      <w:spacing w:before="200" w:after="100"/>
    </w:pPr>
  </w:style>
  <w:style w:type="paragraph" w:customStyle="1" w:styleId="Recipient">
    <w:name w:val="Recipient"/>
    <w:basedOn w:val="Normale"/>
    <w:link w:val="RecipientZchn"/>
    <w:rsid w:val="006E0CF7"/>
    <w:pPr>
      <w:spacing w:after="240" w:line="240" w:lineRule="exact"/>
      <w:contextualSpacing/>
      <w:jc w:val="left"/>
    </w:pPr>
  </w:style>
  <w:style w:type="paragraph" w:customStyle="1" w:styleId="Prefix">
    <w:name w:val="Prefix"/>
    <w:basedOn w:val="Recipient"/>
    <w:link w:val="PrefixZchn"/>
    <w:rsid w:val="00DC1DC5"/>
    <w:pPr>
      <w:spacing w:after="0"/>
    </w:pPr>
    <w:rPr>
      <w:rFonts w:ascii="Gill Sans MT Pro Light" w:hAnsi="Gill Sans MT Pro Light"/>
      <w:sz w:val="16"/>
    </w:rPr>
  </w:style>
  <w:style w:type="paragraph" w:styleId="Data">
    <w:name w:val="Date"/>
    <w:aliases w:val="Content"/>
    <w:basedOn w:val="Normale"/>
    <w:next w:val="Normale"/>
    <w:link w:val="DataCarattere"/>
    <w:uiPriority w:val="99"/>
    <w:unhideWhenUsed/>
    <w:rsid w:val="004233BD"/>
    <w:pPr>
      <w:jc w:val="left"/>
    </w:pPr>
  </w:style>
  <w:style w:type="character" w:customStyle="1" w:styleId="DataCarattere">
    <w:name w:val="Data Carattere"/>
    <w:aliases w:val="Content Carattere"/>
    <w:basedOn w:val="Carpredefinitoparagrafo"/>
    <w:link w:val="Data"/>
    <w:uiPriority w:val="99"/>
    <w:rsid w:val="004233BD"/>
    <w:rPr>
      <w:rFonts w:ascii="Arial" w:hAnsi="Arial"/>
      <w:sz w:val="24"/>
      <w:lang w:val="it-CH"/>
    </w:rPr>
  </w:style>
  <w:style w:type="character" w:customStyle="1" w:styleId="RecipientZchn">
    <w:name w:val="Recipient Zchn"/>
    <w:basedOn w:val="Carpredefinitoparagrafo"/>
    <w:link w:val="Recipient"/>
    <w:rsid w:val="006E0CF7"/>
    <w:rPr>
      <w:rFonts w:ascii="Arial" w:hAnsi="Arial"/>
      <w:sz w:val="24"/>
      <w:lang w:val="it-CH"/>
    </w:rPr>
  </w:style>
  <w:style w:type="character" w:customStyle="1" w:styleId="PrefixZchn">
    <w:name w:val="Prefix Zchn"/>
    <w:basedOn w:val="RecipientZchn"/>
    <w:link w:val="Prefix"/>
    <w:rsid w:val="00AC2026"/>
    <w:rPr>
      <w:rFonts w:ascii="Gill Sans MT Pro Light" w:hAnsi="Gill Sans MT Pro Light"/>
      <w:sz w:val="16"/>
      <w:lang w:val="it-CH"/>
    </w:rPr>
  </w:style>
  <w:style w:type="paragraph" w:customStyle="1" w:styleId="ShortText">
    <w:name w:val="ShortText"/>
    <w:basedOn w:val="Normale"/>
    <w:link w:val="ShortTextZchn"/>
    <w:rsid w:val="002B3430"/>
    <w:pPr>
      <w:tabs>
        <w:tab w:val="left" w:pos="284"/>
      </w:tabs>
      <w:spacing w:after="240"/>
      <w:ind w:left="425" w:hanging="425"/>
      <w:jc w:val="left"/>
    </w:pPr>
    <w:rPr>
      <w:rFonts w:ascii="Gill Sans MT Pro Light" w:hAnsi="Gill Sans MT Pro Light"/>
      <w:sz w:val="16"/>
    </w:rPr>
  </w:style>
  <w:style w:type="character" w:customStyle="1" w:styleId="ShortTextZchn">
    <w:name w:val="ShortText Zchn"/>
    <w:basedOn w:val="Carpredefinitoparagrafo"/>
    <w:link w:val="ShortText"/>
    <w:rsid w:val="002B3430"/>
    <w:rPr>
      <w:rFonts w:ascii="Gill Sans MT Pro Light" w:hAnsi="Gill Sans MT Pro Light"/>
      <w:sz w:val="16"/>
      <w:lang w:val="it-CH"/>
    </w:rPr>
  </w:style>
  <w:style w:type="paragraph" w:customStyle="1" w:styleId="SubjectMemo">
    <w:name w:val="SubjectMemo"/>
    <w:basedOn w:val="Subject"/>
    <w:rsid w:val="007D4BE3"/>
    <w:pPr>
      <w:spacing w:before="964"/>
    </w:pPr>
  </w:style>
  <w:style w:type="paragraph" w:customStyle="1" w:styleId="HeaderDecisione">
    <w:name w:val="HeaderDecisione"/>
    <w:basedOn w:val="Level"/>
    <w:rsid w:val="00796AED"/>
    <w:pPr>
      <w:spacing w:line="240" w:lineRule="auto"/>
    </w:pPr>
    <w:rPr>
      <w:rFonts w:ascii="Gill Alt One MT Light" w:hAnsi="Gill Alt One MT Light"/>
      <w:sz w:val="16"/>
    </w:rPr>
  </w:style>
  <w:style w:type="paragraph" w:customStyle="1" w:styleId="SenderDecisione">
    <w:name w:val="SenderDecisione"/>
    <w:basedOn w:val="HeaderDecisione"/>
    <w:rsid w:val="00796AED"/>
    <w:pPr>
      <w:contextualSpacing w:val="0"/>
    </w:pPr>
    <w:rPr>
      <w:rFonts w:ascii="Gill Sans MT Pro Light" w:hAnsi="Gill Sans MT Pro Light"/>
    </w:rPr>
  </w:style>
  <w:style w:type="paragraph" w:customStyle="1" w:styleId="SubjectDecisione">
    <w:name w:val="SubjectDecisione"/>
    <w:basedOn w:val="Unit"/>
    <w:rsid w:val="006871EF"/>
    <w:pPr>
      <w:spacing w:after="720" w:line="240" w:lineRule="auto"/>
      <w:contextualSpacing w:val="0"/>
    </w:pPr>
    <w:rPr>
      <w:sz w:val="42"/>
    </w:rPr>
  </w:style>
  <w:style w:type="paragraph" w:customStyle="1" w:styleId="EnclosuresBoxDecisione">
    <w:name w:val="EnclosuresBoxDecisione"/>
    <w:basedOn w:val="EnclosuresBox"/>
    <w:rsid w:val="00B33B5E"/>
    <w:pPr>
      <w:spacing w:before="2400"/>
    </w:pPr>
  </w:style>
  <w:style w:type="paragraph" w:customStyle="1" w:styleId="EtiketteSender">
    <w:name w:val="EtiketteSender"/>
    <w:basedOn w:val="Normale"/>
    <w:rsid w:val="00A93292"/>
    <w:pPr>
      <w:ind w:left="340"/>
      <w:jc w:val="left"/>
    </w:pPr>
    <w:rPr>
      <w:rFonts w:ascii="Gill Sans Display MT Pro BdCn" w:hAnsi="Gill Sans Display MT Pro BdCn"/>
    </w:rPr>
  </w:style>
  <w:style w:type="paragraph" w:customStyle="1" w:styleId="EtiketteRecipient">
    <w:name w:val="EtiketteRecipient"/>
    <w:basedOn w:val="EtiketteSender"/>
    <w:rsid w:val="00DF05C6"/>
    <w:rPr>
      <w:rFonts w:ascii="Arial" w:hAnsi="Arial"/>
    </w:rPr>
  </w:style>
  <w:style w:type="paragraph" w:customStyle="1" w:styleId="SenderPersonContent">
    <w:name w:val="SenderPersonContent"/>
    <w:basedOn w:val="SenderPerson"/>
    <w:rsid w:val="00B33B5E"/>
    <w:pPr>
      <w:jc w:val="left"/>
    </w:pPr>
    <w:rPr>
      <w:lang w:val="de-CH"/>
    </w:rPr>
  </w:style>
  <w:style w:type="paragraph" w:customStyle="1" w:styleId="SenderContent">
    <w:name w:val="SenderContent"/>
    <w:basedOn w:val="Sender"/>
    <w:rsid w:val="00EC0738"/>
    <w:pPr>
      <w:jc w:val="left"/>
    </w:pPr>
  </w:style>
  <w:style w:type="paragraph" w:customStyle="1" w:styleId="EnclosuresBoxDecisione1">
    <w:name w:val="EnclosuresBoxDecisione1"/>
    <w:basedOn w:val="EnclosuresBoxDecisione"/>
    <w:qFormat/>
    <w:rsid w:val="00B33B5E"/>
    <w:pPr>
      <w:ind w:left="153"/>
    </w:pPr>
    <w:rPr>
      <w:u w:val="single"/>
    </w:rPr>
  </w:style>
  <w:style w:type="paragraph" w:customStyle="1" w:styleId="EnclosuresBox1">
    <w:name w:val="EnclosuresBox1"/>
    <w:basedOn w:val="EnclosuresBox"/>
    <w:qFormat/>
    <w:rsid w:val="00BE1F4B"/>
    <w:pPr>
      <w:tabs>
        <w:tab w:val="clear" w:pos="284"/>
        <w:tab w:val="left" w:pos="437"/>
      </w:tabs>
      <w:ind w:left="153"/>
    </w:pPr>
  </w:style>
  <w:style w:type="paragraph" w:customStyle="1" w:styleId="DatumBig">
    <w:name w:val="DatumBig"/>
    <w:basedOn w:val="EnclosuresBox1"/>
    <w:qFormat/>
    <w:rsid w:val="00B33B5E"/>
    <w:rPr>
      <w:lang w:val="it-CH"/>
    </w:rPr>
  </w:style>
  <w:style w:type="paragraph" w:customStyle="1" w:styleId="SubjectRisoluzione">
    <w:name w:val="SubjectRisoluzione"/>
    <w:basedOn w:val="SubjectDecisione"/>
    <w:qFormat/>
    <w:rsid w:val="00BC7C6B"/>
    <w:pPr>
      <w:spacing w:after="240"/>
    </w:pPr>
  </w:style>
  <w:style w:type="paragraph" w:customStyle="1" w:styleId="EnclosuresBoxRisoluzione">
    <w:name w:val="EnclosuresBoxRisoluzione"/>
    <w:basedOn w:val="EnclosuresBoxDecisione"/>
    <w:qFormat/>
    <w:rsid w:val="00792E54"/>
    <w:pPr>
      <w:spacing w:before="0"/>
    </w:pPr>
  </w:style>
  <w:style w:type="paragraph" w:customStyle="1" w:styleId="ProgettoStandard">
    <w:name w:val="ProgettoStandard"/>
    <w:basedOn w:val="Normale"/>
    <w:qFormat/>
    <w:rsid w:val="00771337"/>
    <w:pPr>
      <w:jc w:val="left"/>
    </w:pPr>
  </w:style>
  <w:style w:type="paragraph" w:customStyle="1" w:styleId="StandardRisoluzionedelConsigliodiStato">
    <w:name w:val="StandardRisoluzionedelConsigliodiStato"/>
    <w:basedOn w:val="Normale"/>
    <w:qFormat/>
    <w:rsid w:val="00FA1872"/>
  </w:style>
  <w:style w:type="paragraph" w:customStyle="1" w:styleId="DatumRisoluzionedelConsigliodiStato">
    <w:name w:val="DatumRisoluzionedelConsigliodiStato"/>
    <w:basedOn w:val="StandardRisoluzionedelConsigliodiStato"/>
    <w:qFormat/>
    <w:rsid w:val="00075E78"/>
    <w:pPr>
      <w:spacing w:before="60"/>
      <w:jc w:val="left"/>
    </w:pPr>
  </w:style>
  <w:style w:type="paragraph" w:customStyle="1" w:styleId="EnclosuresBoxRisoluzionedelConsigliodiStato">
    <w:name w:val="EnclosuresBoxRisoluzionedelConsigliodiStato"/>
    <w:basedOn w:val="EnclosuresBox"/>
    <w:qFormat/>
    <w:rsid w:val="003C60F0"/>
    <w:rPr>
      <w:sz w:val="24"/>
      <w:lang w:val="it-CH"/>
    </w:rPr>
  </w:style>
  <w:style w:type="paragraph" w:customStyle="1" w:styleId="Page">
    <w:name w:val="Page"/>
    <w:basedOn w:val="Data"/>
    <w:qFormat/>
    <w:rsid w:val="0029312B"/>
    <w:pPr>
      <w:spacing w:after="60"/>
    </w:pPr>
  </w:style>
  <w:style w:type="paragraph" w:customStyle="1" w:styleId="Information">
    <w:name w:val="Information"/>
    <w:basedOn w:val="Data"/>
    <w:qFormat/>
    <w:rsid w:val="00955039"/>
    <w:pPr>
      <w:spacing w:before="60"/>
    </w:pPr>
  </w:style>
  <w:style w:type="paragraph" w:customStyle="1" w:styleId="PageRisoluzioneConsigliodiStato">
    <w:name w:val="PageRisoluzioneConsigliodiStato"/>
    <w:basedOn w:val="Page"/>
    <w:qFormat/>
    <w:rsid w:val="00075E78"/>
  </w:style>
  <w:style w:type="paragraph" w:customStyle="1" w:styleId="ListAlphabetic12">
    <w:name w:val="ListAlphabetic12"/>
    <w:basedOn w:val="ListAlphabetic"/>
    <w:qFormat/>
    <w:rsid w:val="0040086C"/>
    <w:pPr>
      <w:numPr>
        <w:numId w:val="3"/>
      </w:numPr>
    </w:pPr>
    <w:rPr>
      <w:szCs w:val="24"/>
    </w:rPr>
  </w:style>
  <w:style w:type="paragraph" w:customStyle="1" w:styleId="ListNumeric12">
    <w:name w:val="ListNumeric12"/>
    <w:basedOn w:val="ListNumeric"/>
    <w:qFormat/>
    <w:rsid w:val="0040086C"/>
    <w:rPr>
      <w:szCs w:val="24"/>
    </w:rPr>
  </w:style>
  <w:style w:type="paragraph" w:customStyle="1" w:styleId="ListBullet12">
    <w:name w:val="ListBullet12"/>
    <w:basedOn w:val="ListBullet"/>
    <w:qFormat/>
    <w:rsid w:val="0040086C"/>
    <w:rPr>
      <w:szCs w:val="24"/>
    </w:rPr>
  </w:style>
  <w:style w:type="paragraph" w:customStyle="1" w:styleId="ListLine12">
    <w:name w:val="ListLine12"/>
    <w:basedOn w:val="ListLine"/>
    <w:qFormat/>
    <w:rsid w:val="0040086C"/>
    <w:rPr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0D42"/>
    <w:rPr>
      <w:rFonts w:ascii="Arial" w:eastAsiaTheme="majorEastAsia" w:hAnsi="Arial" w:cstheme="majorBidi"/>
      <w:b/>
      <w:color w:val="243F60" w:themeColor="accent1" w:themeShade="7F"/>
      <w:lang w:val="it-CH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0D42"/>
    <w:rPr>
      <w:rFonts w:ascii="Arial" w:eastAsiaTheme="majorEastAsia" w:hAnsi="Arial" w:cstheme="majorBidi"/>
      <w:b/>
      <w:i/>
      <w:iCs/>
      <w:color w:val="243F60" w:themeColor="accent1" w:themeShade="7F"/>
      <w:lang w:val="it-CH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0D42"/>
    <w:rPr>
      <w:rFonts w:ascii="Arial" w:eastAsiaTheme="majorEastAsia" w:hAnsi="Arial" w:cstheme="majorBidi"/>
      <w:color w:val="272727" w:themeColor="text1" w:themeTint="D8"/>
      <w:szCs w:val="21"/>
      <w:lang w:val="it-CH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0D42"/>
    <w:rPr>
      <w:rFonts w:ascii="Arial" w:eastAsiaTheme="majorEastAsia" w:hAnsi="Arial" w:cstheme="majorBidi"/>
      <w:i/>
      <w:iCs/>
      <w:color w:val="272727" w:themeColor="text1" w:themeTint="D8"/>
      <w:szCs w:val="21"/>
      <w:lang w:val="it-CH"/>
    </w:rPr>
  </w:style>
  <w:style w:type="character" w:styleId="Collegamentoipertestuale">
    <w:name w:val="Hyperlink"/>
    <w:uiPriority w:val="99"/>
    <w:unhideWhenUsed/>
    <w:rsid w:val="009B444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63B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63BB"/>
    <w:rPr>
      <w:rFonts w:ascii="Segoe UI" w:eastAsia="Calibri" w:hAnsi="Segoe UI" w:cs="Segoe UI"/>
      <w:sz w:val="18"/>
      <w:szCs w:val="18"/>
      <w:lang w:val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4.ti.ch/area-media/comunicati/dettaglio-comunicato/?NEWS_ID=194949&amp;cHash=cd309e338978819199eccb27ff4faeb8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4.ti.ch/area-media/comunicati/dettaglio-comunicato/?NEWS_ID=191314&amp;cHash=cb68406b3ecd7be9dc7e0dd538cff496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xgc001\AppData\Local\Temp\OneOffixx\generated\1b37cc71-4c7c-4832-b199-30afae98ac4c.dotx" TargetMode="External"/></Relationships>
</file>

<file path=word/theme/theme1.xml><?xml version="1.0" encoding="utf-8"?>
<a:theme xmlns:a="http://schemas.openxmlformats.org/drawingml/2006/main" name="Tema basis colorato">
  <a:themeElements>
    <a:clrScheme name="Tema basis colorat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ma basis colorato">
      <a:majorFont>
        <a:latin typeface="Calibri Light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O n e O f f i x x D o c u m e n t P a r t   x m l n s : x s i = " h t t p : / / w w w . w 3 . o r g / 2 0 0 1 / X M L S c h e m a - i n s t a n c e "   x m l n s : x s d = " h t t p : / / w w w . w 3 . o r g / 2 0 0 1 / X M L S c h e m a "   i d = " b 7 2 9 3 0 e 0 - d 3 1 3 - 4 e 7 1 - a 4 d c - 7 3 0 2 0 6 3 b e 2 8 2 "   t I d = " a 3 6 2 a 5 d 4 - 9 5 8 9 - 4 1 b f - a 4 e 6 - 4 f 8 7 c 4 e 4 1 2 3 9 "   i n t e r n a l T I d = " 9 0 6 4 c c 7 f - 3 1 6 d - 4 6 b 1 - a 4 a c - 7 4 8 6 0 c 3 f 8 a 5 b "   m t I d = " 2 7 5 a f 3 2 e - b c 4 0 - 4 5 c 2 - 8 5 b 7 - a f b 1 c 0 3 8 2 6 5 3 "   r e v i s i o n = " 0 "   c r e a t e d m a j o r v e r s i o n = " 0 "   c r e a t e d m i n o r v e r s i o n = " 0 "   c r e a t e d = " 2 0 2 2 - 0 6 - 0 3 T 0 8 : 0 6 : 5 2 . 0 5 9 9 5 0 8 Z "   m o d i f i e d m a j o r v e r s i o n = " 0 "   m o d i f i e d m i n o r v e r s i o n = " 0 "   m o d i f i e d = " 0 0 0 1 - 0 1 - 0 1 T 0 0 : 0 0 : 0 0 "   p r o f i l e = " 8 8 0 c a 6 9 9 - 0 3 5 4 - 4 c a 1 - b 3 2 5 - b d 2 0 7 9 5 1 6 b 4 8 "   m o d e = " S a v e d D o c u m e n t "   c o l o r m o d e = " C o l o r "   l c i d = " 2 0 6 4 "   x m l n s = " h t t p : / / s c h e m a . o n e o f f i x x . c o m / O n e O f f i x x D o c u m e n t P a r t / 1 " >  
     < C o n t e n t >  
         < D a t a M o d e l   x m l n s = " " >  
             < P r o f i l e >  
                 < T e x t   i d = " P r o f i l e . I d "   l a b e l = " P r o f i l e . I d " > < ! [ C D A T A [ 8 8 0 c a 6 9 9 - 0 3 5 4 - 4 c a 1 - b 3 2 5 - b d 2 0 7 9 5 1 6 b 4 8 ] ] > < / T e x t >  
                 < T e x t   i d = " P r o f i l e . O r g a n i z a t i o n U n i t I d "   l a b e l = " P r o f i l e . O r g a n i z a t i o n U n i t I d " > < ! [ C D A T A [ d c 7 9 3 f c 0 - 4 0 a 3 - 4 a a b - b 1 d e - 7 7 b 2 d f c 5 8 3 c 2 ] ] > < / T e x t >  
                 < T e x t   i d = " P r o f i l e . O r g . E m a i l "   l a b e l = " P r o f i l e . O r g . E m a i l " > < ! [ C D A T A [ s g c @ t i . c h ] ] > < / T e x t >  
                 < T e x t   i d = " P r o f i l e . O r g . F a x "   l a b e l = " P r o f i l e . O r g . F a x " > < ! [ C D A T A [ + 4 1   9 1   8 1 4   4 4   0 6 ] ] > < / T e x t >  
                 < T e x t   i d = " P r o f i l e . O r g . I n f o . S u p p 1 "   l a b e l = " P r o f i l e . O r g . I n f o . S u p p 1 " > < ! [ C D A T A [   ] ] > < / T e x t >  
                 < T e x t   i d = " P r o f i l e . O r g . I n f o . S u p p 2 "   l a b e l = " P r o f i l e . O r g . I n f o . S u p p 2 " > < ! [ C D A T A [   ] ] > < / T e x t >  
                 < T e x t   i d = " P r o f i l e . O r g . L e v e l 1 "   l a b e l = " P r o f i l e . O r g . L e v e l 1 " > < ! [ C D A T A [ R e p u b b l i c a   e   C a n t o n e  
 T i c i n o ] ] > < / T e x t >  
                 < T e x t   i d = " P r o f i l e . O r g . L e v e l 2 "   l a b e l = " P r o f i l e . O r g . L e v e l 2 " > < ! [ C D A T A [   ] ] > < / T e x t >  
                 < T e x t   i d = " P r o f i l e . O r g . L e v e l 3 "   l a b e l = " P r o f i l e . O r g . L e v e l 3 " > < ! [ C D A T A [   ] ] > < / T e x t >  
                 < T e x t   i d = " P r o f i l e . O r g . L e v e l 4 "   l a b e l = " P r o f i l e . O r g . L e v e l 4 " > < ! [ C D A T A [   ] ] > < / T e x t >  
                 < T e x t   i d = " P r o f i l e . O r g . L e v e l 5 "   l a b e l = " P r o f i l e . O r g . L e v e l 5 " > < ! [ C D A T A [   ] ] > < / T e x t >  
                 < T e x t   i d = " P r o f i l e . O r g . L e v e l 6 "   l a b e l = " P r o f i l e . O r g . L e v e l 6 " > < ! [ C D A T A [ S e r v i z i   d e l   G r a n   C o n s i g l i o ] ] > < / T e x t >  
                 < T e x t   i d = " P r o f i l e . O r g . P h o n e "   l a b e l = " P r o f i l e . O r g . P h o n e " > < ! [ C D A T A [ + 4 1   9 1   8 1 4   4 3   2 6 / 2 7 ] ] > < / T e x t >  
                 < T e x t   i d = " P r o f i l e . O r g . P o s t a l . C i t y "   l a b e l = " P r o f i l e . O r g . P o s t a l . C i t y " > < ! [ C D A T A [ B e l l i n z o n a ] ] > < / T e x t >  
                 < T e x t   i d = " P r o f i l e . O r g . P o s t a l . P B o x "   l a b e l = " P r o f i l e . O r g . P o s t a l . P B o x " > < ! [ C D A T A [   ] ] > < / T e x t >  
                 < T e x t   i d = " P r o f i l e . O r g . P o s t a l . P C i t y "   l a b e l = " P r o f i l e . O r g . P o s t a l . P C i t y " > < ! [ C D A T A [   ] ] > < / T e x t >  
                 < T e x t   i d = " P r o f i l e . O r g . P o s t a l . P l a c e "   l a b e l = " P r o f i l e . O r g . P o s t a l . P l a c e " > < ! [ C D A T A [   ] ] > < / T e x t >  
                 < T e x t   i d = " P r o f i l e . O r g . P o s t a l . P Z i p "   l a b e l = " P r o f i l e . O r g . P o s t a l . P Z i p " > < ! [ C D A T A [   ] ] > < / T e x t >  
                 < T e x t   i d = " P r o f i l e . O r g . P o s t a l . S t r e e t "   l a b e l = " P r o f i l e . O r g . P o s t a l . S t r e e t " > < ! [ C D A T A [ P i a z z a   G o v e r n o   6 ] ] > < / T e x t >  
                 < T e x t   i d = " P r o f i l e . O r g . P o s t a l . Z i p "   l a b e l = " P r o f i l e . O r g . P o s t a l . Z i p " > < ! [ C D A T A [ 6 5 0 1 ] ] > < / T e x t >  
                 < T e x t   i d = " P r o f i l e . O r g . W e b "   l a b e l = " P r o f i l e . O r g . W e b " > < ! [ C D A T A [   ] ] > < / T e x t >  
                 < T e x t   i d = " P r o f i l e . U s e r . A l i a s "   l a b e l = " P r o f i l e . U s e r . A l i a s " > < ! [ C D A T A [   ] ] > < / T e x t >  
                 < T e x t   i d = " P r o f i l e . U s e r . E m a i l "   l a b e l = " P r o f i l e . U s e r . E m a i l " > < ! [ C D A T A [ m a r i s a . m o r a n d i @ t i . c h ] ] > < / T e x t >  
                 < T e x t   i d = " P r o f i l e . U s e r . F i r s t N a m e "   l a b e l = " P r o f i l e . U s e r . F i r s t N a m e " > < ! [ C D A T A [ M a r i s a ] ] > < / T e x t >  
                 < T e x t   i d = " P r o f i l e . U s e r . F u n c t i o n "   l a b e l = " P r o f i l e . U s e r . F u n c t i o n " > < ! [ C D A T A [ S G C ] ] > < / T e x t >  
                 < T e x t   i d = " P r o f i l e . U s e r . L a s t N a m e "   l a b e l = " P r o f i l e . U s e r . L a s t N a m e " > < ! [ C D A T A [ M o r a n d i ] ] > < / T e x t >  
                 < T e x t   i d = " P r o f i l e . U s e r . M o b i l e "   l a b e l = " P r o f i l e . U s e r . M o b i l e " > < ! [ C D A T A [   ] ] > < / T e x t >  
                 < T e x t   i d = " P r o f i l e . U s e r . P h o n e "   l a b e l = " P r o f i l e . U s e r . P h o n e " > < ! [ C D A T A [ + 4 1 9 1 8 1 4 4 3 2 7 ] ] > < / T e x t >  
                 < T e x t   i d = " P r o f i l e . U s e r . S a l u t a t i o n "   l a b e l = " P r o f i l e . U s e r . S a l u t a t i o n " > < ! [ C D A T A [   ] ] > < / T e x t >  
                 < T e x t   i d = " P r o f i l e . U s e r . T i t l e "   l a b e l = " P r o f i l e . U s e r . T i t l e " > < ! [ C D A T A [   ] ] > < / T e x t >  
             < / P r o f i l e >  
             < A u t h o r >  
                 < T e x t   i d = " A u t h o r . U s e r . A l i a s "   l a b e l = " A u t h o r . U s e r . A l i a s " > < ! [ C D A T A [   ] ] > < / T e x t >  
                 < T e x t   i d = " A u t h o r . U s e r . E m a i l "   l a b e l = " A u t h o r . U s e r . E m a i l " > < ! [ C D A T A [ m a r i s a . m o r a n d i @ t i . c h ] ] > < / T e x t >  
                 < T e x t   i d = " A u t h o r . U s e r . F i r s t N a m e "   l a b e l = " A u t h o r . U s e r . F i r s t N a m e " > < ! [ C D A T A [ M a r i s a ] ] > < / T e x t >  
                 < T e x t   i d = " A u t h o r . U s e r . F u n c t i o n "   l a b e l = " A u t h o r . U s e r . F u n c t i o n " > < ! [ C D A T A [ S G C ] ] > < / T e x t >  
                 < T e x t   i d = " A u t h o r . U s e r . L a s t N a m e "   l a b e l = " A u t h o r . U s e r . L a s t N a m e " > < ! [ C D A T A [ M o r a n d i ] ] > < / T e x t >  
                 < T e x t   i d = " A u t h o r . U s e r . M o b i l e "   l a b e l = " A u t h o r . U s e r . M o b i l e " > < ! [ C D A T A [   ] ] > < / T e x t >  
                 < T e x t   i d = " A u t h o r . U s e r . P h o n e "   l a b e l = " A u t h o r . U s e r . P h o n e " > < ! [ C D A T A [ + 4 1 9 1 8 1 4 4 3 2 7 ] ] > < / T e x t >  
                 < T e x t   i d = " A u t h o r . U s e r . S a l u t a t i o n "   l a b e l = " A u t h o r . U s e r . S a l u t a t i o n " > < ! [ C D A T A [   ] ] > < / T e x t >  
                 < T e x t   i d = " A u t h o r . U s e r . T i t l e "   l a b e l = " A u t h o r . U s e r . T i t l e " > < ! [ C D A T A [   ] ] > < / T e x t >  
             < / A u t h o r >  
             < S i g n e r _ 0 >  
                 < T e x t   i d = " S i g n e r _ 0 . I d "   l a b e l = " S i g n e r _ 0 . I d " > < ! [ C D A T A [ 0 0 0 0 0 0 0 0 - 0 0 0 0 - 0 0 0 0 - 0 0 0 0 - 0 0 0 0 0 0 0 0 0 0 0 0 ] ] > < / T e x t >  
                 < T e x t   i d = " S i g n e r _ 0 . O r g a n i z a t i o n U n i t I d "   l a b e l = " S i g n e r _ 0 . O r g a n i z a t i o n U n i t I d " > < ! [ C D A T A [   ] ] > < / T e x t >  
                 < T e x t   i d = " S i g n e r _ 0 . O r g . E m a i l "   l a b e l = " S i g n e r _ 0 . O r g . E m a i l " > < ! [ C D A T A [   ] ] > < / T e x t >  
                 < T e x t   i d = " S i g n e r _ 0 . O r g . F a x "   l a b e l = " S i g n e r _ 0 . O r g . F a x " > < ! [ C D A T A [   ] ] > < / T e x t >  
                 < T e x t   i d = " S i g n e r _ 0 . O r g . I n f o . S u p p 1 "   l a b e l = " S i g n e r _ 0 . O r g . I n f o . S u p p 1 " > < ! [ C D A T A [   ] ] > < / T e x t >  
                 < T e x t   i d = " S i g n e r _ 0 . O r g . I n f o . S u p p 2 "   l a b e l = " S i g n e r _ 0 . O r g . I n f o . S u p p 2 " > < ! [ C D A T A [   ] ] > < / T e x t >  
                 < T e x t   i d = " S i g n e r _ 0 . O r g . L e v e l 1 "   l a b e l = " S i g n e r _ 0 . O r g . L e v e l 1 " > < ! [ C D A T A [   ] ] > < / T e x t >  
                 < T e x t   i d = " S i g n e r _ 0 . O r g . L e v e l 2 "   l a b e l = " S i g n e r _ 0 . O r g . L e v e l 2 " > < ! [ C D A T A [   ] ] > < / T e x t >  
                 < T e x t   i d = " S i g n e r _ 0 . O r g . L e v e l 3 "   l a b e l = " S i g n e r _ 0 . O r g . L e v e l 3 " > < ! [ C D A T A [   ] ] > < / T e x t >  
                 < T e x t   i d = " S i g n e r _ 0 . O r g . L e v e l 4 "   l a b e l = " S i g n e r _ 0 . O r g . L e v e l 4 " > < ! [ C D A T A [   ] ] > < / T e x t >  
                 < T e x t   i d = " S i g n e r _ 0 . O r g . L e v e l 5 "   l a b e l = " S i g n e r _ 0 . O r g . L e v e l 5 " > < ! [ C D A T A [   ] ] > < / T e x t >  
                 < T e x t   i d = " S i g n e r _ 0 . O r g . L e v e l 6 "   l a b e l = " S i g n e r _ 0 . O r g . L e v e l 6 " > < ! [ C D A T A [   ] ] > < / T e x t >  
                 < T e x t   i d = " S i g n e r _ 0 . O r g . P h o n e "   l a b e l = " S i g n e r _ 0 . O r g . P h o n e " > < ! [ C D A T A [   ] ] > < / T e x t >  
                 < T e x t   i d = " S i g n e r _ 0 . O r g . P o s t a l . C i t y "   l a b e l = " S i g n e r _ 0 . O r g . P o s t a l . C i t y " > < ! [ C D A T A [   ] ] > < / T e x t >  
                 < T e x t   i d = " S i g n e r _ 0 . O r g . P o s t a l . P B o x "   l a b e l = " S i g n e r _ 0 . O r g . P o s t a l . P B o x " > < ! [ C D A T A [   ] ] > < / T e x t >  
                 < T e x t   i d = " S i g n e r _ 0 . O r g . P o s t a l . P C i t y "   l a b e l = " S i g n e r _ 0 . O r g . P o s t a l . P C i t y " > < ! [ C D A T A [   ] ] > < / T e x t >  
                 < T e x t   i d = " S i g n e r _ 0 . O r g . P o s t a l . P l a c e "   l a b e l = " S i g n e r _ 0 . O r g . P o s t a l . P l a c e " > < ! [ C D A T A [   ] ] > < / T e x t >  
                 < T e x t   i d = " S i g n e r _ 0 . O r g . P o s t a l . P Z i p "   l a b e l = " S i g n e r _ 0 . O r g . P o s t a l . P Z i p " > < ! [ C D A T A [   ] ] > < / T e x t >  
                 < T e x t   i d = " S i g n e r _ 0 . O r g . P o s t a l . S t r e e t "   l a b e l = " S i g n e r _ 0 . O r g . P o s t a l . S t r e e t " > < ! [ C D A T A [   ] ] > < / T e x t >  
                 < T e x t   i d = " S i g n e r _ 0 . O r g . P o s t a l . Z i p "   l a b e l = " S i g n e r _ 0 . O r g . P o s t a l . Z i p " > < ! [ C D A T A [   ] ] > < / T e x t >  
                 < T e x t   i d = " S i g n e r _ 0 . O r g . W e b "   l a b e l = " S i g n e r _ 0 . O r g . W e b " > < ! [ C D A T A [   ] ] > < / T e x t >  
                 < T e x t   i d = " S i g n e r _ 0 . U s e r . A l i a s "   l a b e l = " S i g n e r _ 0 . U s e r . A l i a s " > < ! [ C D A T A [   ] ] > < / T e x t >  
                 < T e x t   i d = " S i g n e r _ 0 . U s e r . E m a i l "   l a b e l = " S i g n e r _ 0 . U s e r . E m a i l " > < ! [ C D A T A [   ] ] > < / T e x t >  
                 < T e x t   i d = " S i g n e r _ 0 . U s e r . F i r s t N a m e "   l a b e l = " S i g n e r _ 0 . U s e r . F i r s t N a m e " > < ! [ C D A T A [   ] ] > < / T e x t >  
                 < T e x t   i d = " S i g n e r _ 0 . U s e r . F u n c t i o n "   l a b e l = " S i g n e r _ 0 . U s e r . F u n c t i o n " > < ! [ C D A T A [   ] ] > < / T e x t >  
                 < T e x t   i d = " S i g n e r _ 0 . U s e r . L a s t N a m e "   l a b e l = " S i g n e r _ 0 . U s e r . L a s t N a m e " > < ! [ C D A T A [   ] ] > < / T e x t >  
                 < T e x t   i d = " S i g n e r _ 0 . U s e r . M o b i l e "   l a b e l = " S i g n e r _ 0 . U s e r . M o b i l e " > < ! [ C D A T A [   ] ] > < / T e x t >  
                 < T e x t   i d = " S i g n e r _ 0 . U s e r . P h o n e "   l a b e l = " S i g n e r _ 0 . U s e r . P h o n e " > < ! [ C D A T A [   ] ] > < / T e x t >  
                 < T e x t   i d = " S i g n e r _ 0 . U s e r . S a l u t a t i o n "   l a b e l = " S i g n e r _ 0 . U s e r . S a l u t a t i o n " > < ! [ C D A T A [   ] ] > < / T e x t >  
                 < T e x t   i d = " S i g n e r _ 0 . U s e r . T i t l e "   l a b e l = " S i g n e r _ 0 . U s e r . T i t l e " > < ! [ C D A T A [   ] ] > < / T e x t >  
             < / S i g n e r _ 0 >  
             < S i g n e r _ 1 >  
                 < T e x t   i d = " S i g n e r _ 1 . I d "   l a b e l = " S i g n e r _ 1 . I d " > < ! [ C D A T A [ 0 0 0 0 0 0 0 0 - 0 0 0 0 - 0 0 0 0 - 0 0 0 0 - 0 0 0 0 0 0 0 0 0 0 0 0 ] ] > < / T e x t >  
                 < T e x t   i d = " S i g n e r _ 1 . O r g a n i z a t i o n U n i t I d "   l a b e l = " S i g n e r _ 1 . O r g a n i z a t i o n U n i t I d " > < ! [ C D A T A [   ] ] > < / T e x t >  
                 < T e x t   i d = " S i g n e r _ 1 . O r g . E m a i l "   l a b e l = " S i g n e r _ 1 . O r g . E m a i l " > < ! [ C D A T A [   ] ] > < / T e x t >  
                 < T e x t   i d = " S i g n e r _ 1 . O r g . F a x "   l a b e l = " S i g n e r _ 1 . O r g . F a x " > < ! [ C D A T A [   ] ] > < / T e x t >  
                 < T e x t   i d = " S i g n e r _ 1 . O r g . I n f o . S u p p 1 "   l a b e l = " S i g n e r _ 1 . O r g . I n f o . S u p p 1 " > < ! [ C D A T A [   ] ] > < / T e x t >  
                 < T e x t   i d = " S i g n e r _ 1 . O r g . I n f o . S u p p 2 "   l a b e l = " S i g n e r _ 1 . O r g . I n f o . S u p p 2 " > < ! [ C D A T A [   ] ] > < / T e x t >  
                 < T e x t   i d = " S i g n e r _ 1 . O r g . L e v e l 1 "   l a b e l = " S i g n e r _ 1 . O r g . L e v e l 1 " > < ! [ C D A T A [   ] ] > < / T e x t >  
                 < T e x t   i d = " S i g n e r _ 1 . O r g . L e v e l 2 "   l a b e l = " S i g n e r _ 1 . O r g . L e v e l 2 " > < ! [ C D A T A [   ] ] > < / T e x t >  
                 < T e x t   i d = " S i g n e r _ 1 . O r g . L e v e l 3 "   l a b e l = " S i g n e r _ 1 . O r g . L e v e l 3 " > < ! [ C D A T A [   ] ] > < / T e x t >  
                 < T e x t   i d = " S i g n e r _ 1 . O r g . L e v e l 4 "   l a b e l = " S i g n e r _ 1 . O r g . L e v e l 4 " > < ! [ C D A T A [   ] ] > < / T e x t >  
                 < T e x t   i d = " S i g n e r _ 1 . O r g . L e v e l 5 "   l a b e l = " S i g n e r _ 1 . O r g . L e v e l 5 " > < ! [ C D A T A [   ] ] > < / T e x t >  
                 < T e x t   i d = " S i g n e r _ 1 . O r g . L e v e l 6 "   l a b e l = " S i g n e r _ 1 . O r g . L e v e l 6 " > < ! [ C D A T A [   ] ] > < / T e x t >  
                 < T e x t   i d = " S i g n e r _ 1 . O r g . P h o n e "   l a b e l = " S i g n e r _ 1 . O r g . P h o n e " > < ! [ C D A T A [   ] ] > < / T e x t >  
                 < T e x t   i d = " S i g n e r _ 1 . O r g . P o s t a l . C i t y "   l a b e l = " S i g n e r _ 1 . O r g . P o s t a l . C i t y " > < ! [ C D A T A [   ] ] > < / T e x t >  
                 < T e x t   i d = " S i g n e r _ 1 . O r g . P o s t a l . P B o x "   l a b e l = " S i g n e r _ 1 . O r g . P o s t a l . P B o x " > < ! [ C D A T A [   ] ] > < / T e x t >  
                 < T e x t   i d = " S i g n e r _ 1 . O r g . P o s t a l . P C i t y "   l a b e l = " S i g n e r _ 1 . O r g . P o s t a l . P C i t y " > < ! [ C D A T A [   ] ] > < / T e x t >  
                 < T e x t   i d = " S i g n e r _ 1 . O r g . P o s t a l . P l a c e "   l a b e l = " S i g n e r _ 1 . O r g . P o s t a l . P l a c e " > < ! [ C D A T A [   ] ] > < / T e x t >  
                 < T e x t   i d = " S i g n e r _ 1 . O r g . P o s t a l . P Z i p "   l a b e l = " S i g n e r _ 1 . O r g . P o s t a l . P Z i p " > < ! [ C D A T A [   ] ] > < / T e x t >  
                 < T e x t   i d = " S i g n e r _ 1 . O r g . P o s t a l . S t r e e t "   l a b e l = " S i g n e r _ 1 . O r g . P o s t a l . S t r e e t " > < ! [ C D A T A [   ] ] > < / T e x t >  
                 < T e x t   i d = " S i g n e r _ 1 . O r g . P o s t a l . Z i p "   l a b e l = " S i g n e r _ 1 . O r g . P o s t a l . Z i p " > < ! [ C D A T A [   ] ] > < / T e x t >  
                 < T e x t   i d = " S i g n e r _ 1 . O r g . W e b "   l a b e l = " S i g n e r _ 1 . O r g . W e b " > < ! [ C D A T A [   ] ] > < / T e x t >  
                 < T e x t   i d = " S i g n e r _ 1 . U s e r . A l i a s "   l a b e l = " S i g n e r _ 1 . U s e r . A l i a s " > < ! [ C D A T A [   ] ] > < / T e x t >  
                 < T e x t   i d = " S i g n e r _ 1 . U s e r . E m a i l "   l a b e l = " S i g n e r _ 1 . U s e r . E m a i l " > < ! [ C D A T A [   ] ] > < / T e x t >  
                 < T e x t   i d = " S i g n e r _ 1 . U s e r . F i r s t N a m e "   l a b e l = " S i g n e r _ 1 . U s e r . F i r s t N a m e " > < ! [ C D A T A [   ] ] > < / T e x t >  
                 < T e x t   i d = " S i g n e r _ 1 . U s e r . F u n c t i o n "   l a b e l = " S i g n e r _ 1 . U s e r . F u n c t i o n " > < ! [ C D A T A [   ] ] > < / T e x t >  
                 < T e x t   i d = " S i g n e r _ 1 . U s e r . L a s t N a m e "   l a b e l = " S i g n e r _ 1 . U s e r . L a s t N a m e " > < ! [ C D A T A [   ] ] > < / T e x t >  
                 < T e x t   i d = " S i g n e r _ 1 . U s e r . M o b i l e "   l a b e l = " S i g n e r _ 1 . U s e r . M o b i l e " > < ! [ C D A T A [   ] ] > < / T e x t >  
                 < T e x t   i d = " S i g n e r _ 1 . U s e r . P h o n e "   l a b e l = " S i g n e r _ 1 . U s e r . P h o n e " > < ! [ C D A T A [   ] ] > < / T e x t >  
                 < T e x t   i d = " S i g n e r _ 1 . U s e r . S a l u t a t i o n "   l a b e l = " S i g n e r _ 1 . U s e r . S a l u t a t i o n " > < ! [ C D A T A [   ] ] > < / T e x t >  
                 < T e x t   i d = " S i g n e r _ 1 . U s e r . T i t l e "   l a b e l = " S i g n e r _ 1 . U s e r . T i t l e " > < ! [ C D A T A [   ] ] > < / T e x t >  
             < / S i g n e r _ 1 >  
             < P a r a m e t e r   w i n d o w w i d t h = " 7 5 0 "   w i n d o w h e i g h t = " 4 5 0 " >  
                 < T e x t   i d = " S p e c i a l . C h e c k b o x G r o u p V i e w L i s t "   l a b e l = " S p e c i a l . C h e c k b o x G r o u p V i e w L i s t "   v i s i b l e = " F a l s e " > < ! [ C D A T A [   ] ] > < / T e x t >  
                 < T e x t   i d = " S p e c i a l . C h e c k b o x G r o u p V i e w B o x "   l a b e l = " S p e c i a l . C h e c k b o x G r o u p V i e w B o x "   v i s i b l e = " F a l s e " > < ! [ C D A T A [   ] ] > < / T e x t >  
                 < T e x t   i d = " S p e c i a l . C h e c k b o x G r o u p V i e w T e x t "   l a b e l = " S p e c i a l . C h e c k b o x G r o u p V i e w T e x t "   v i s i b l e = " F a l s e " > < ! [ C D A T A [   ] ] > < / T e x t >  
                 < T e x t   i d = " S p e c i a l . C h e c k b o x G r o u p V i e w B o x A n d T e x t "   l a b e l = " S p e c i a l . C h e c k b o x G r o u p V i e w B o x A n d T e x t "   v i s i b l e = " F a l s e " > < ! [ C D A T A [   ] ] > < / T e x t >  
                 < T e x t   i d = " D o c P a r a m . H i d d e n . T e m p l a t e I d " > < ! [ C D A T A [ a 3 6 2 a 5 d 4 - 9 5 8 9 - 4 1 b f - a 4 e 6 - 4 f 8 7 c 4 e 4 1 2 3 9 ] ] > < / T e x t >  
                 < D a t e T i m e   i d = " D o c P a r a m . D a t e "   l i d = " i t a l i a n o   ( I t a l i a ) "   f o r m a t = " d   M M M M   y y y y "   c a l e n d a r = " G r e g o r " > 2 0 2 2 - 0 6 - 0 7 T 0 0 : 0 0 : 0 0 Z < / D a t e T i m e >  
                 < T e x t   i d = " D o c P a r a m . N u m b e r " > < ! [ C D A T A [ 8 1 4 1   R ] ] > < / T e x t >  
                 < T e x t   i d = " D o c P a r a m . D o c u m e n t o " > < ! [ C D A T A [ R a p p o r t o ] ] > < / T e x t >  
                 < T e x t   i d = " D o c P a r a m . A g g i u n t a D o c "   t o o l t i p = " ( e s .   b i s ,   a g g i u n t i v o ,   a g g i u n t i v o   b i s ,   1 ,   2   e c c . ) " > < ! [ C D A T A [   ] ] > < / T e x t >  
                 < T e x t   i d = " D o c P a r a m . D i p a r t i m e n t i " > < ! [ C D A T A [ D i p a r t i m e n t o   d e l l e   f i n a n z e   e   d e l l  e c o n o m i a ] ] > < / T e x t >  
                 < T e x t   i d = " D o c P a r a m . A l t r i D i p a r t i m e n t i " > < ! [ C D A T A [   ] ] > < / T e x t >  
             < / P a r a m e t e r >  
             < S c r i p t i n g >  
                 < T e x t   i d = " C u s t o m E l e m e n t s . T e x t s . D r a f t "   l a b e l = " C u s t o m E l e m e n t s . T e x t s . D r a f t " > < ! [ C D A T A [ B o z z a ] ] > < / T e x t >  
                 < T e x t   i d = " C u s t o m E l e m e n t s . F i e l d s . D i p a r t i m e n t i "   l a b e l = " C u s t o m E l e m e n t s . F i e l d s . D i p a r t i m e n t i " > < ! [ C D A T A [ D i p a r t i m e n t o   d e l l e   f i n a n z e   e   d e l l  e c o n o m i a ] ] > < / T e x t >  
                 < T e x t   i d = " C u s t o m E l e m e n t s . F i e l d s . T i t o l o 1 "   l a b e l = " C u s t o m E l e m e n t s . F i e l d s . T i t o l o 1 " > < ! [ C D A T A [ R a p p o r t o ] ] > < / T e x t >  
                 < T e x t   i d = " C u s t o m E l e m e n t s . F i e l d s . T i t o l o 2 "   l a b e l = " C u s t o m E l e m e n t s . F i e l d s . T i t o l o 2 " > < ! [ C D A T A [ R a p p o r t o   n .   8 1 4 1   R   d e l   7   g i u g n o   2 0 2 2 ] ] > < / T e x t >  
             < / S c r i p t i n g >  
         < / D a t a M o d e l >  
     < / C o n t e n t >  
     < T e m p l a t e T r e e   C r e a t i o n M o d e = " P u b l i s h e d "   P i p e l i n e V e r s i o n = " V 2 " >  
         < T e m p l a t e   t I d = " a 3 6 2 a 5 d 4 - 9 5 8 9 - 4 1 b f - a 4 e 6 - 4 f 8 7 c 4 e 4 1 2 3 9 "   i n t e r n a l T I d = " 9 0 6 4 c c 7 f - 3 1 6 d - 4 6 b 1 - a 4 a c - 7 4 8 6 0 c 3 f 8 a 5 b " >  
             < B a s e d O n >  
                 < T e m p l a t e   t I d = " 8 0 c 9 8 4 9 b - 2 5 3 a - 4 5 a 8 - 9 5 6 a - 0 1 6 9 2 1 d 4 0 f f d "   i n t e r n a l T I d = " 2 a 3 7 0 8 2 4 - 6 4 a 3 - 4 f 2 e - 9 e 5 3 - 7 7 6 e 0 8 1 d 0 b 6 1 " >  
                     < B a s e d O n >  
                         < T e m p l a t e   t I d = " e 7 b 4 5 b 5 9 - 4 4 b d - 4 7 b f - 9 6 f d - 9 4 4 e b d a f f 6 a c "   i n t e r n a l T I d = " e 7 b 4 5 b 5 9 - 4 4 b d - 4 7 b f - 9 6 f d - 9 4 4 e b d a f f 6 a c " / >  
                     < / B a s e d O n >  
                 < / T e m p l a t e >  
             < / B a s e d O n >  
         < / T e m p l a t e >  
     < / T e m p l a t e T r e e >  
 < / O n e O f f i x x D o c u m e n t P a r t > 
</file>

<file path=customXml/item2.xml><?xml version="1.0" encoding="utf-8"?>
<OneOffixxExtendedBindingPart xmlns:xsd="http://www.w3.org/2001/XMLSchema" xmlns:xsi="http://www.w3.org/2001/XMLSchema-instance" xmlns="http://schema.oneoffixx.com/OneOffixxExtendedBindingPart/1">
  <ExtendedBindings/>
</OneOffixxExtendedBindingPart>
</file>

<file path=customXml/item3.xml><?xml version="1.0" encoding="utf-8"?>
<OneOffixxFormattingPart xmlns:xsd="http://www.w3.org/2001/XMLSchema" xmlns:xsi="http://www.w3.org/2001/XMLSchema-instance" xmlns="http://schema.oneoffixx.com/OneOffixxFormattingPart/1">
  <Configuration>
    <DocumentFunction xmlns="">
      <!-- Parametrierung der Überschriften -->
      <!-- Parametrierung der Überschriften -->
      <Group name="Headings">
        <Definition type="Heading" level="1" style="Überschrift 1"/>
        <Definition type="Heading" level="2" style="Überschrift 2"/>
        <Definition type="Heading" level="3" style="Überschrift 3"/>
        <Definition type="Heading" level="4" style="Überschrift 4"/>
      </Group>
      <!-- Parametrierung der Tabulatoren -->
      <Group name="Indents" maxListLevels="1">
      </Group>
      <!-- Parametrierung der Listen, Aufzählungen und Nummerierungen -->
      <Group name="NumberingStyles">
        <Definition type="Numeric" tabPosition="1" style="ListNumeric12"/>
        <Definition type="Alphabetic" tabPosition="1" style="ListAlphabetic12"/>
        <Definition type="Bullet" tabPosition="1" style="ListBullet12"/>
        <Definition type="Line" tabPosition="1" style="ListLine12"/>
      </Group>
      <!-- Parametrierung der Nummerierungs-Optionen -->
      <Group name="NumberingBehaviors">
        <Definition type="Increment" style="ListNumeric12"/>
        <Definition type="Decrement"/>
        <!--
          <Definition type="RestartMain"/>
          <Definition type="RestartSub"/>
          -->
        <Definition type="ResetChapter" style="Überschrift 1"/>
        <Definition type="ResetList" style="ListNumeric12"/>
      </Group>
      <!-- Parametrierung der weiteren Formatierungs-Optionen -->
      <Group name="Styles">
        <Definition type="Standard" style="StandardRisoluzionedelConsigliodiStato"/>
        <Definition type="Bold" style=""/>
        <Definition type="Italic" style=""/>
        <Definition type="Underline" style=""/>
      </Group>
      <!-- Parametrierung der weiteren kundenspezifischen Formatierungs-Optionen -->
      <Group name="CustomStyles">
        <Category id="Headings">
          <Label lcid="1042">Überschriften</Label>
          <Definition type="Titel" style="Titel">
            <Label lcid="1042">Titel</Label>
          </Definition>
          <Definition type="Untertitel" style="Untertitel">
            <Label lcid="1042">Untertitel</Label>
          </Definition>
        </Category>
        <Category id="Various">
          <Label lcid="1042">Diverses</Label>
          <Definition type="Hervorhebung" style="Hervorhebung">
            <Label lcid="1042">Hervorhebung</Label>
          </Definition>
        </Category>
        <!--
          <Category id="Formats">
            <Label lcid="1042">div. Formatierungen</Label>
            <Definition type="Intensiv" style="Intensiv">
              <Label lcid="1042">Hervorgehoben</Label>
            </Definition>
            <Definition type="Bold" style="Fett">
              <Label lcid="1042">Fett</Label>
            </Definition>
          </Category>
          -->
      </Group>
    </DocumentFunction>
  </Configuration>
</OneOffixxFormattingPart>
</file>

<file path=customXml/item4.xml><?xml version="1.0" encoding="utf-8"?>
<OneOffixxImageDefinitionPart xmlns:xsd="http://www.w3.org/2001/XMLSchema" xmlns:xsi="http://www.w3.org/2001/XMLSchema-instance" xmlns="http://schema.oneoffixx.com/OneOffixxImageDefinitionPart/1">
  <ImageDefinitions>
    <ImageSizeDefinition>
      <Id>993988235</Id>
      <Width>0</Width>
      <Height>0</Height>
      <XPath>//Image[@id='Profile.Org.Logo']</XPath>
      <ImageHash>c7fbb08f0a33672f3bdb4c56f6819a65</ImageHash>
    </ImageSizeDefinition>
    <ImageSizeDefinition>
      <Id>1334982032</Id>
      <Width>0</Width>
      <Height>0</Height>
      <XPath>//Image[@id='Profile.Org.WappenSW']</XPath>
      <ImageHash>175a27f480afd6acc77c371c027287b9</ImageHash>
    </ImageSizeDefinition>
  </ImageDefinitions>
</OneOffixxImageDefinitionPart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71479-0A95-4D8A-A56D-FECD54086C0A}">
  <ds:schemaRefs>
    <ds:schemaRef ds:uri="http://www.w3.org/2001/XMLSchema"/>
    <ds:schemaRef ds:uri="http://schema.oneoffixx.com/OneOffixxDocumentPart/1"/>
    <ds:schemaRef ds:uri=""/>
  </ds:schemaRefs>
</ds:datastoreItem>
</file>

<file path=customXml/itemProps2.xml><?xml version="1.0" encoding="utf-8"?>
<ds:datastoreItem xmlns:ds="http://schemas.openxmlformats.org/officeDocument/2006/customXml" ds:itemID="{BBD33451-786F-4893-8EC7-C0681C5735DE}">
  <ds:schemaRefs>
    <ds:schemaRef ds:uri="http://www.w3.org/2001/XMLSchema"/>
    <ds:schemaRef ds:uri="http://schema.oneoffixx.com/OneOffixxExtendedBindingPart/1"/>
  </ds:schemaRefs>
</ds:datastoreItem>
</file>

<file path=customXml/itemProps3.xml><?xml version="1.0" encoding="utf-8"?>
<ds:datastoreItem xmlns:ds="http://schemas.openxmlformats.org/officeDocument/2006/customXml" ds:itemID="{0851930E-48EE-4C88-B764-CC61993142AA}">
  <ds:schemaRefs>
    <ds:schemaRef ds:uri="http://www.w3.org/2001/XMLSchema"/>
    <ds:schemaRef ds:uri="http://schema.oneoffixx.com/OneOffixxFormattingPart/1"/>
    <ds:schemaRef ds:uri=""/>
  </ds:schemaRefs>
</ds:datastoreItem>
</file>

<file path=customXml/itemProps4.xml><?xml version="1.0" encoding="utf-8"?>
<ds:datastoreItem xmlns:ds="http://schemas.openxmlformats.org/officeDocument/2006/customXml" ds:itemID="{EB3AA025-4069-4308-BCEA-4C02AEB29CE8}">
  <ds:schemaRefs>
    <ds:schemaRef ds:uri="http://www.w3.org/2001/XMLSchema"/>
    <ds:schemaRef ds:uri="http://schema.oneoffixx.com/OneOffixxImageDefinitionPart/1"/>
  </ds:schemaRefs>
</ds:datastoreItem>
</file>

<file path=customXml/itemProps5.xml><?xml version="1.0" encoding="utf-8"?>
<ds:datastoreItem xmlns:ds="http://schemas.openxmlformats.org/officeDocument/2006/customXml" ds:itemID="{E0A04DB5-9EEF-4854-8958-E12F39680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1b37cc71-4c7c-4832-b199-30afae98ac4c.dotx</Template>
  <TotalTime>46</TotalTime>
  <Pages>18</Pages>
  <Words>4281</Words>
  <Characters>24493</Characters>
  <Application>Microsoft Office Word</Application>
  <DocSecurity>0</DocSecurity>
  <Lines>395</Lines>
  <Paragraphs>89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Morandi Marisa / kxgc001</dc:creator>
  <cp:lastModifiedBy>Venturi Luca</cp:lastModifiedBy>
  <cp:revision>13</cp:revision>
  <cp:lastPrinted>2022-06-07T08:19:00Z</cp:lastPrinted>
  <dcterms:created xsi:type="dcterms:W3CDTF">2022-06-03T08:07:00Z</dcterms:created>
  <dcterms:modified xsi:type="dcterms:W3CDTF">2022-06-07T08:27:00Z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OTrackRevision">
    <vt:bool>false</vt:bool>
  </property>
</Properties>
</file>