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9A8" w:rsidRPr="00B67B61" w:rsidRDefault="00B67B61" w:rsidP="00D33940">
      <w:pPr>
        <w:pStyle w:val="StandardRisoluzionedelConsigliodiStato"/>
        <w:ind w:right="-1"/>
        <w:rPr>
          <w:rFonts w:cs="Arial"/>
          <w:b/>
          <w:color w:val="000000" w:themeColor="text1"/>
          <w:sz w:val="28"/>
          <w:szCs w:val="28"/>
        </w:rPr>
      </w:pPr>
      <w:r w:rsidRPr="00B67B61">
        <w:rPr>
          <w:rFonts w:cs="Arial"/>
          <w:b/>
          <w:color w:val="000000" w:themeColor="text1"/>
          <w:sz w:val="28"/>
          <w:szCs w:val="28"/>
        </w:rPr>
        <w:t>d</w:t>
      </w:r>
      <w:r>
        <w:rPr>
          <w:rFonts w:cs="Arial"/>
          <w:b/>
          <w:color w:val="000000" w:themeColor="text1"/>
          <w:sz w:val="28"/>
          <w:szCs w:val="28"/>
        </w:rPr>
        <w:t>ella C</w:t>
      </w:r>
      <w:r w:rsidRPr="00B67B61">
        <w:rPr>
          <w:rFonts w:cs="Arial"/>
          <w:b/>
          <w:color w:val="000000" w:themeColor="text1"/>
          <w:sz w:val="28"/>
          <w:szCs w:val="28"/>
        </w:rPr>
        <w:t>ommissione gestione e finanze</w:t>
      </w:r>
    </w:p>
    <w:p w:rsidR="00B67B61" w:rsidRDefault="00B67B61" w:rsidP="00B67B61">
      <w:pPr>
        <w:pStyle w:val="StandardRisoluzionedelConsigliodiStato"/>
        <w:ind w:right="-1"/>
      </w:pPr>
      <w:r>
        <w:rPr>
          <w:rFonts w:cs="Arial"/>
          <w:b/>
          <w:color w:val="000000" w:themeColor="text1"/>
          <w:sz w:val="28"/>
          <w:szCs w:val="28"/>
        </w:rPr>
        <w:t>sul messaggio 13 luglio 2022 concernente la r</w:t>
      </w:r>
      <w:r w:rsidRPr="00572033">
        <w:rPr>
          <w:rFonts w:cs="Arial"/>
          <w:b/>
          <w:color w:val="000000" w:themeColor="text1"/>
          <w:sz w:val="28"/>
          <w:szCs w:val="28"/>
        </w:rPr>
        <w:t xml:space="preserve">ichiesta di un credito netto di </w:t>
      </w:r>
      <w:r>
        <w:rPr>
          <w:rFonts w:cs="Arial"/>
          <w:b/>
          <w:color w:val="000000" w:themeColor="text1"/>
          <w:sz w:val="28"/>
          <w:szCs w:val="28"/>
        </w:rPr>
        <w:t>CHF</w:t>
      </w:r>
      <w:r w:rsidRPr="00572033">
        <w:rPr>
          <w:rFonts w:cs="Arial"/>
          <w:b/>
          <w:color w:val="000000" w:themeColor="text1"/>
          <w:sz w:val="28"/>
          <w:szCs w:val="28"/>
        </w:rPr>
        <w:t xml:space="preserve"> 3</w:t>
      </w:r>
      <w:r>
        <w:rPr>
          <w:rFonts w:cs="Arial"/>
          <w:b/>
          <w:color w:val="000000" w:themeColor="text1"/>
          <w:sz w:val="28"/>
          <w:szCs w:val="28"/>
        </w:rPr>
        <w:t>6</w:t>
      </w:r>
      <w:r w:rsidRPr="00572033">
        <w:rPr>
          <w:rFonts w:cs="Arial"/>
          <w:b/>
          <w:color w:val="000000" w:themeColor="text1"/>
          <w:sz w:val="28"/>
          <w:szCs w:val="28"/>
        </w:rPr>
        <w:t>’</w:t>
      </w:r>
      <w:r>
        <w:rPr>
          <w:rFonts w:cs="Arial"/>
          <w:b/>
          <w:color w:val="000000" w:themeColor="text1"/>
          <w:sz w:val="28"/>
          <w:szCs w:val="28"/>
        </w:rPr>
        <w:t>224</w:t>
      </w:r>
      <w:r w:rsidRPr="00572033">
        <w:rPr>
          <w:rFonts w:cs="Arial"/>
          <w:b/>
          <w:color w:val="000000" w:themeColor="text1"/>
          <w:sz w:val="28"/>
          <w:szCs w:val="28"/>
        </w:rPr>
        <w:t>'</w:t>
      </w:r>
      <w:r>
        <w:rPr>
          <w:rFonts w:cs="Arial"/>
          <w:b/>
          <w:color w:val="000000" w:themeColor="text1"/>
          <w:sz w:val="28"/>
          <w:szCs w:val="28"/>
        </w:rPr>
        <w:t>2</w:t>
      </w:r>
      <w:r w:rsidRPr="00572033">
        <w:rPr>
          <w:rFonts w:cs="Arial"/>
          <w:b/>
          <w:color w:val="000000" w:themeColor="text1"/>
          <w:sz w:val="28"/>
          <w:szCs w:val="28"/>
        </w:rPr>
        <w:t>00.-</w:t>
      </w:r>
      <w:r>
        <w:rPr>
          <w:rFonts w:cs="Arial"/>
          <w:b/>
          <w:color w:val="000000" w:themeColor="text1"/>
          <w:sz w:val="28"/>
          <w:szCs w:val="28"/>
        </w:rPr>
        <w:t>-</w:t>
      </w:r>
      <w:r w:rsidRPr="00572033">
        <w:rPr>
          <w:rFonts w:cs="Arial"/>
          <w:b/>
          <w:color w:val="000000" w:themeColor="text1"/>
          <w:sz w:val="28"/>
          <w:szCs w:val="28"/>
        </w:rPr>
        <w:t xml:space="preserve"> per la ristrutturazione e </w:t>
      </w:r>
      <w:r>
        <w:rPr>
          <w:rFonts w:cs="Arial"/>
          <w:b/>
          <w:color w:val="000000" w:themeColor="text1"/>
          <w:sz w:val="28"/>
          <w:szCs w:val="28"/>
        </w:rPr>
        <w:t>l’</w:t>
      </w:r>
      <w:r w:rsidRPr="00572033">
        <w:rPr>
          <w:rFonts w:cs="Arial"/>
          <w:b/>
          <w:color w:val="000000" w:themeColor="text1"/>
          <w:sz w:val="28"/>
          <w:szCs w:val="28"/>
        </w:rPr>
        <w:t xml:space="preserve">ampliamento del Liceo cantonale a Bellinzona </w:t>
      </w:r>
      <w:r>
        <w:rPr>
          <w:rFonts w:cs="Arial"/>
          <w:b/>
          <w:color w:val="000000" w:themeColor="text1"/>
          <w:sz w:val="28"/>
          <w:szCs w:val="28"/>
        </w:rPr>
        <w:t>nel</w:t>
      </w:r>
      <w:r w:rsidRPr="00572033">
        <w:rPr>
          <w:rFonts w:cs="Arial"/>
          <w:b/>
          <w:color w:val="000000" w:themeColor="text1"/>
          <w:sz w:val="28"/>
          <w:szCs w:val="28"/>
        </w:rPr>
        <w:t xml:space="preserve"> mappale 48</w:t>
      </w:r>
      <w:r>
        <w:rPr>
          <w:rFonts w:cs="Arial"/>
          <w:b/>
          <w:color w:val="000000" w:themeColor="text1"/>
          <w:sz w:val="28"/>
          <w:szCs w:val="28"/>
        </w:rPr>
        <w:t>2</w:t>
      </w:r>
      <w:r w:rsidRPr="00572033">
        <w:rPr>
          <w:rFonts w:cs="Arial"/>
          <w:b/>
          <w:color w:val="000000" w:themeColor="text1"/>
          <w:sz w:val="28"/>
          <w:szCs w:val="28"/>
        </w:rPr>
        <w:t>8 RFD</w:t>
      </w:r>
    </w:p>
    <w:p w:rsidR="00B67B61" w:rsidRDefault="00B67B61" w:rsidP="00D33940">
      <w:pPr>
        <w:pStyle w:val="StandardRisoluzionedelConsigliodiStato"/>
        <w:ind w:right="-1"/>
      </w:pPr>
    </w:p>
    <w:p w:rsidR="00B67B61" w:rsidRDefault="00B67B61" w:rsidP="00B67B61">
      <w:pPr>
        <w:pStyle w:val="StandardRisoluzionedelConsigliodiStato"/>
        <w:ind w:right="-1"/>
      </w:pPr>
    </w:p>
    <w:p w:rsidR="00B67B61" w:rsidRPr="007456E6" w:rsidRDefault="00B67B61" w:rsidP="007456E6">
      <w:pPr>
        <w:pStyle w:val="Titolo1"/>
        <w:numPr>
          <w:ilvl w:val="0"/>
          <w:numId w:val="21"/>
        </w:numPr>
        <w:tabs>
          <w:tab w:val="left" w:pos="567"/>
        </w:tabs>
        <w:spacing w:before="0"/>
        <w:ind w:left="567" w:hanging="567"/>
        <w:jc w:val="both"/>
        <w:rPr>
          <w:rFonts w:eastAsia="Calibri" w:cs="Times New Roman"/>
          <w:caps/>
          <w:sz w:val="24"/>
          <w:szCs w:val="24"/>
          <w:lang w:val="it-IT" w:eastAsia="it-IT"/>
        </w:rPr>
      </w:pPr>
      <w:r w:rsidRPr="007456E6">
        <w:rPr>
          <w:rFonts w:eastAsia="Calibri" w:cs="Times New Roman"/>
          <w:caps/>
          <w:sz w:val="24"/>
          <w:szCs w:val="24"/>
          <w:lang w:val="it-IT" w:eastAsia="it-IT"/>
        </w:rPr>
        <w:t>Preambolo</w:t>
      </w:r>
    </w:p>
    <w:p w:rsidR="00B67B61" w:rsidRDefault="00B67B61" w:rsidP="00B67B61">
      <w:pPr>
        <w:pStyle w:val="StandardRisoluzionedelConsigliodiStato"/>
        <w:ind w:right="-1"/>
      </w:pPr>
      <w:r>
        <w:t xml:space="preserve">Il messaggio </w:t>
      </w:r>
      <w:r w:rsidR="007456E6">
        <w:t xml:space="preserve">n. </w:t>
      </w:r>
      <w:r>
        <w:t>8173 in oggetto chiude il percorso che portato alla definizione della soluzione definitiva per poter attuare gli indispensabili interventi di risanamento al Liceo cantonale di Bellinzona.</w:t>
      </w:r>
    </w:p>
    <w:p w:rsidR="00B67B61" w:rsidRDefault="00B67B61" w:rsidP="00B67B61">
      <w:pPr>
        <w:pStyle w:val="StandardRisoluzionedelConsigliodiStato"/>
        <w:ind w:right="-1"/>
      </w:pPr>
      <w:r>
        <w:t>Uno stabile messo in funzione nel lontano 1978 che da tempo richiedeva interventi risolutori e che ha richiesto alcuni messaggi per poter chiarire la miglior modalità di intervento.</w:t>
      </w:r>
    </w:p>
    <w:p w:rsidR="007456E6" w:rsidRDefault="007456E6" w:rsidP="00B67B61">
      <w:pPr>
        <w:pStyle w:val="StandardRisoluzionedelConsigliodiStato"/>
        <w:ind w:right="-1"/>
      </w:pPr>
    </w:p>
    <w:p w:rsidR="00B67B61" w:rsidRDefault="00B67B61" w:rsidP="00B67B61">
      <w:pPr>
        <w:pStyle w:val="StandardRisoluzionedelConsigliodiStato"/>
        <w:ind w:right="-1"/>
      </w:pPr>
      <w:r>
        <w:t xml:space="preserve">In effetti il percorso che ha portato alla definizione del progetto risale al </w:t>
      </w:r>
      <w:r w:rsidRPr="00765DEF">
        <w:t>messaggio no. 6993 del 4 novembre 2014 riguardante la concessione di un credito di fr. 1'460'000 per la progettazione dell’ampliamento della Scuola cantonale di commercio di Bellinzona</w:t>
      </w:r>
      <w:r>
        <w:t xml:space="preserve"> (a</w:t>
      </w:r>
      <w:r w:rsidRPr="00765DEF">
        <w:t>pprovato dal Gran Consiglio il 18 dicembre 2014</w:t>
      </w:r>
      <w:r>
        <w:t>)</w:t>
      </w:r>
      <w:r w:rsidRPr="00765DEF">
        <w:t xml:space="preserve">. </w:t>
      </w:r>
    </w:p>
    <w:p w:rsidR="007456E6" w:rsidRDefault="007456E6" w:rsidP="00B67B61">
      <w:pPr>
        <w:pStyle w:val="StandardRisoluzionedelConsigliodiStato"/>
        <w:ind w:right="-1"/>
      </w:pPr>
    </w:p>
    <w:p w:rsidR="00B67B61" w:rsidRDefault="00B67B61" w:rsidP="00B67B61">
      <w:pPr>
        <w:pStyle w:val="StandardRisoluzionedelConsigliodiStato"/>
        <w:ind w:right="-1"/>
      </w:pPr>
      <w:r w:rsidRPr="00765DEF">
        <w:t xml:space="preserve">In quel contesto si posero le basi per una </w:t>
      </w:r>
      <w:r>
        <w:t>strategia di</w:t>
      </w:r>
      <w:r w:rsidRPr="00765DEF">
        <w:t xml:space="preserve"> politica scolastica volta a favorire una miglior sinergia fra istituti facenti capo al Dipartimento dell’educazione, della cultura e dello sport (DECS). Questa strategia ha portato a considerare </w:t>
      </w:r>
      <w:r>
        <w:t xml:space="preserve">la zona della golena di Bellinzona quale </w:t>
      </w:r>
      <w:r w:rsidRPr="00765DEF">
        <w:t xml:space="preserve">un “campus” unico, ovvero una “cittadella” degli studi e del tempo libero, che inglobi - oltre all’Istituto cantonale di economia e commercio in cui ha sede </w:t>
      </w:r>
      <w:smartTag w:uri="urn:schemas-microsoft-com:office:smarttags" w:element="PersonName">
        <w:smartTagPr>
          <w:attr w:name="ProductID" w:val="la Scuola"/>
        </w:smartTagPr>
        <w:r w:rsidRPr="00765DEF">
          <w:t>la Scuola</w:t>
        </w:r>
      </w:smartTag>
      <w:r w:rsidRPr="00765DEF">
        <w:t xml:space="preserve"> cantonale di commercio - anche </w:t>
      </w:r>
      <w:smartTag w:uri="urn:schemas-microsoft-com:office:smarttags" w:element="PersonName">
        <w:smartTagPr>
          <w:attr w:name="ProductID" w:val="la Biblioteca"/>
        </w:smartTagPr>
        <w:r w:rsidRPr="00765DEF">
          <w:t>la Biblioteca</w:t>
        </w:r>
      </w:smartTag>
      <w:r w:rsidRPr="00765DEF">
        <w:t xml:space="preserve"> cantonale, l’Archivio di Stato, il Centro risorse didattiche e digitali, il Centro Gioventù e Sport con tutti i servizi annessi</w:t>
      </w:r>
    </w:p>
    <w:p w:rsidR="00B67B61" w:rsidRDefault="00B67B61" w:rsidP="00B67B61">
      <w:pPr>
        <w:pStyle w:val="StandardRisoluzionedelConsigliodiStato"/>
        <w:ind w:right="-1"/>
      </w:pPr>
    </w:p>
    <w:p w:rsidR="00B67B61" w:rsidRDefault="00B67B61" w:rsidP="00B67B61">
      <w:pPr>
        <w:pStyle w:val="StandardRisoluzionedelConsigliodiStato"/>
        <w:ind w:right="-1"/>
      </w:pPr>
      <w:r>
        <w:t>Questi gli atti presentati e finora approvati.</w:t>
      </w:r>
    </w:p>
    <w:p w:rsidR="00B67B61" w:rsidRDefault="00B67B61" w:rsidP="00B67B61">
      <w:pPr>
        <w:pStyle w:val="StandardRisoluzionedelConsigliodiStato"/>
        <w:ind w:right="-1"/>
      </w:pPr>
    </w:p>
    <w:tbl>
      <w:tblPr>
        <w:tblStyle w:val="Grigliatabella"/>
        <w:tblW w:w="0" w:type="auto"/>
        <w:tblLook w:val="04A0" w:firstRow="1" w:lastRow="0" w:firstColumn="1" w:lastColumn="0" w:noHBand="0" w:noVBand="1"/>
      </w:tblPr>
      <w:tblGrid>
        <w:gridCol w:w="1419"/>
        <w:gridCol w:w="1695"/>
        <w:gridCol w:w="4036"/>
        <w:gridCol w:w="2325"/>
      </w:tblGrid>
      <w:tr w:rsidR="00B67B61" w:rsidRPr="00A16141" w:rsidTr="00C316E6">
        <w:tc>
          <w:tcPr>
            <w:tcW w:w="1419" w:type="dxa"/>
          </w:tcPr>
          <w:p w:rsidR="00B67B61" w:rsidRPr="007456E6" w:rsidRDefault="00B67B61" w:rsidP="00C316E6">
            <w:pPr>
              <w:pStyle w:val="StandardRisoluzionedelConsigliodiStato"/>
              <w:ind w:right="-1"/>
              <w:rPr>
                <w:b/>
                <w:sz w:val="22"/>
                <w:szCs w:val="22"/>
              </w:rPr>
            </w:pPr>
            <w:r w:rsidRPr="007456E6">
              <w:rPr>
                <w:b/>
                <w:sz w:val="22"/>
                <w:szCs w:val="22"/>
              </w:rPr>
              <w:t>Data</w:t>
            </w:r>
          </w:p>
        </w:tc>
        <w:tc>
          <w:tcPr>
            <w:tcW w:w="1695" w:type="dxa"/>
          </w:tcPr>
          <w:p w:rsidR="00B67B61" w:rsidRPr="007456E6" w:rsidRDefault="00B67B61" w:rsidP="00C316E6">
            <w:pPr>
              <w:pStyle w:val="StandardRisoluzionedelConsigliodiStato"/>
              <w:ind w:right="-1"/>
              <w:rPr>
                <w:b/>
                <w:sz w:val="22"/>
                <w:szCs w:val="22"/>
              </w:rPr>
            </w:pPr>
            <w:r w:rsidRPr="007456E6">
              <w:rPr>
                <w:b/>
                <w:sz w:val="22"/>
                <w:szCs w:val="22"/>
              </w:rPr>
              <w:t>Documento</w:t>
            </w:r>
          </w:p>
        </w:tc>
        <w:tc>
          <w:tcPr>
            <w:tcW w:w="4036" w:type="dxa"/>
          </w:tcPr>
          <w:p w:rsidR="00B67B61" w:rsidRPr="007456E6" w:rsidRDefault="00B67B61" w:rsidP="00C316E6">
            <w:pPr>
              <w:pStyle w:val="StandardRisoluzionedelConsigliodiStato"/>
              <w:ind w:right="-1"/>
              <w:rPr>
                <w:b/>
                <w:sz w:val="22"/>
                <w:szCs w:val="22"/>
              </w:rPr>
            </w:pPr>
            <w:r w:rsidRPr="007456E6">
              <w:rPr>
                <w:b/>
                <w:sz w:val="22"/>
                <w:szCs w:val="22"/>
              </w:rPr>
              <w:t>Titolo</w:t>
            </w:r>
          </w:p>
        </w:tc>
        <w:tc>
          <w:tcPr>
            <w:tcW w:w="2325" w:type="dxa"/>
          </w:tcPr>
          <w:p w:rsidR="00B67B61" w:rsidRPr="007456E6" w:rsidRDefault="00B67B61" w:rsidP="00C316E6">
            <w:pPr>
              <w:pStyle w:val="StandardRisoluzionedelConsigliodiStato"/>
              <w:ind w:right="-1"/>
              <w:rPr>
                <w:b/>
                <w:sz w:val="22"/>
                <w:szCs w:val="22"/>
              </w:rPr>
            </w:pPr>
            <w:r w:rsidRPr="007456E6">
              <w:rPr>
                <w:b/>
                <w:sz w:val="22"/>
                <w:szCs w:val="22"/>
              </w:rPr>
              <w:t>Valore</w:t>
            </w: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04.11.2014</w:t>
            </w:r>
          </w:p>
        </w:tc>
        <w:tc>
          <w:tcPr>
            <w:tcW w:w="1695" w:type="dxa"/>
          </w:tcPr>
          <w:p w:rsidR="00B67B61" w:rsidRPr="007456E6" w:rsidRDefault="00B67B61" w:rsidP="00C316E6">
            <w:pPr>
              <w:pStyle w:val="StandardRisoluzionedelConsigliodiStato"/>
              <w:ind w:right="-1"/>
              <w:rPr>
                <w:sz w:val="22"/>
                <w:szCs w:val="22"/>
              </w:rPr>
            </w:pPr>
            <w:r w:rsidRPr="007456E6">
              <w:rPr>
                <w:sz w:val="22"/>
                <w:szCs w:val="22"/>
              </w:rPr>
              <w:t>Mess. 6993</w:t>
            </w:r>
          </w:p>
        </w:tc>
        <w:tc>
          <w:tcPr>
            <w:tcW w:w="4036" w:type="dxa"/>
          </w:tcPr>
          <w:p w:rsidR="00B67B61" w:rsidRPr="007456E6" w:rsidRDefault="00B67B61" w:rsidP="00C316E6">
            <w:pPr>
              <w:pStyle w:val="StandardRisoluzionedelConsigliodiStato"/>
              <w:ind w:right="-1"/>
              <w:rPr>
                <w:sz w:val="22"/>
                <w:szCs w:val="22"/>
              </w:rPr>
            </w:pPr>
            <w:r w:rsidRPr="007456E6">
              <w:rPr>
                <w:rFonts w:cs="Arial"/>
                <w:sz w:val="22"/>
                <w:szCs w:val="22"/>
              </w:rPr>
              <w:t xml:space="preserve">Progettazione dell’ampliamento della Scuola cantonale di commercio di Bellinzona </w:t>
            </w:r>
          </w:p>
        </w:tc>
        <w:tc>
          <w:tcPr>
            <w:tcW w:w="2325" w:type="dxa"/>
          </w:tcPr>
          <w:p w:rsidR="00B67B61" w:rsidRPr="007456E6" w:rsidRDefault="00B67B61" w:rsidP="00C316E6">
            <w:pPr>
              <w:pStyle w:val="StandardRisoluzionedelConsigliodiStato"/>
              <w:ind w:right="-1"/>
              <w:rPr>
                <w:sz w:val="22"/>
                <w:szCs w:val="22"/>
              </w:rPr>
            </w:pPr>
            <w:r w:rsidRPr="007456E6">
              <w:rPr>
                <w:sz w:val="22"/>
                <w:szCs w:val="22"/>
              </w:rPr>
              <w:t>CHF 1'460'000.-</w:t>
            </w: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18.12.2014</w:t>
            </w:r>
          </w:p>
        </w:tc>
        <w:tc>
          <w:tcPr>
            <w:tcW w:w="1695" w:type="dxa"/>
          </w:tcPr>
          <w:p w:rsidR="00B67B61" w:rsidRPr="007456E6" w:rsidRDefault="00B67B61" w:rsidP="00C316E6">
            <w:pPr>
              <w:pStyle w:val="StandardRisoluzionedelConsigliodiStato"/>
              <w:ind w:right="-1"/>
              <w:rPr>
                <w:sz w:val="22"/>
                <w:szCs w:val="22"/>
              </w:rPr>
            </w:pPr>
          </w:p>
        </w:tc>
        <w:tc>
          <w:tcPr>
            <w:tcW w:w="4036" w:type="dxa"/>
          </w:tcPr>
          <w:p w:rsidR="00B67B61" w:rsidRPr="007456E6" w:rsidRDefault="00B67B61" w:rsidP="00C316E6">
            <w:pPr>
              <w:pStyle w:val="StandardRisoluzionedelConsigliodiStato"/>
              <w:ind w:right="-1"/>
              <w:rPr>
                <w:sz w:val="22"/>
                <w:szCs w:val="22"/>
              </w:rPr>
            </w:pPr>
            <w:r w:rsidRPr="007456E6">
              <w:rPr>
                <w:sz w:val="22"/>
                <w:szCs w:val="22"/>
              </w:rPr>
              <w:t xml:space="preserve">Approvazione GC </w:t>
            </w:r>
          </w:p>
        </w:tc>
        <w:tc>
          <w:tcPr>
            <w:tcW w:w="2325" w:type="dxa"/>
          </w:tcPr>
          <w:p w:rsidR="00B67B61" w:rsidRPr="007456E6" w:rsidRDefault="00B67B61" w:rsidP="00C316E6">
            <w:pPr>
              <w:pStyle w:val="StandardRisoluzionedelConsigliodiStato"/>
              <w:ind w:right="-1"/>
              <w:rPr>
                <w:sz w:val="22"/>
                <w:szCs w:val="22"/>
              </w:rPr>
            </w:pP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18.05.2015</w:t>
            </w:r>
          </w:p>
        </w:tc>
        <w:tc>
          <w:tcPr>
            <w:tcW w:w="1695" w:type="dxa"/>
          </w:tcPr>
          <w:p w:rsidR="00B67B61" w:rsidRPr="007456E6" w:rsidRDefault="00B67B61" w:rsidP="00C316E6">
            <w:pPr>
              <w:pStyle w:val="StandardRisoluzionedelConsigliodiStato"/>
              <w:ind w:right="-1"/>
              <w:rPr>
                <w:sz w:val="22"/>
                <w:szCs w:val="22"/>
              </w:rPr>
            </w:pPr>
            <w:r w:rsidRPr="007456E6">
              <w:rPr>
                <w:sz w:val="22"/>
                <w:szCs w:val="22"/>
              </w:rPr>
              <w:t>Mess.7064</w:t>
            </w:r>
          </w:p>
        </w:tc>
        <w:tc>
          <w:tcPr>
            <w:tcW w:w="4036" w:type="dxa"/>
          </w:tcPr>
          <w:p w:rsidR="00B67B61" w:rsidRPr="007456E6" w:rsidRDefault="00B67B61" w:rsidP="00C316E6">
            <w:pPr>
              <w:pStyle w:val="StandardRisoluzionedelConsigliodiStato"/>
              <w:ind w:right="-1"/>
              <w:rPr>
                <w:sz w:val="22"/>
                <w:szCs w:val="22"/>
              </w:rPr>
            </w:pPr>
            <w:r w:rsidRPr="007456E6">
              <w:rPr>
                <w:sz w:val="22"/>
                <w:szCs w:val="22"/>
              </w:rPr>
              <w:t>credito per la progettazione dell’ampliamento del Liceo cantonale di Bellinzona</w:t>
            </w:r>
          </w:p>
        </w:tc>
        <w:tc>
          <w:tcPr>
            <w:tcW w:w="2325" w:type="dxa"/>
          </w:tcPr>
          <w:p w:rsidR="00B67B61" w:rsidRPr="007456E6" w:rsidRDefault="00B67B61" w:rsidP="00C316E6">
            <w:pPr>
              <w:pStyle w:val="StandardRisoluzionedelConsigliodiStato"/>
              <w:ind w:right="-1"/>
              <w:rPr>
                <w:sz w:val="22"/>
                <w:szCs w:val="22"/>
              </w:rPr>
            </w:pPr>
            <w:r w:rsidRPr="007456E6">
              <w:rPr>
                <w:sz w:val="22"/>
                <w:szCs w:val="22"/>
              </w:rPr>
              <w:t>CHF 2'575'800.-</w:t>
            </w: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22.09.2015</w:t>
            </w:r>
          </w:p>
        </w:tc>
        <w:tc>
          <w:tcPr>
            <w:tcW w:w="1695" w:type="dxa"/>
          </w:tcPr>
          <w:p w:rsidR="00B67B61" w:rsidRPr="007456E6" w:rsidRDefault="00B67B61" w:rsidP="00C316E6">
            <w:pPr>
              <w:pStyle w:val="StandardRisoluzionedelConsigliodiStato"/>
              <w:ind w:right="-1"/>
              <w:rPr>
                <w:sz w:val="22"/>
                <w:szCs w:val="22"/>
              </w:rPr>
            </w:pPr>
          </w:p>
        </w:tc>
        <w:tc>
          <w:tcPr>
            <w:tcW w:w="4036" w:type="dxa"/>
          </w:tcPr>
          <w:p w:rsidR="00B67B61" w:rsidRPr="007456E6" w:rsidRDefault="00B67B61" w:rsidP="00C316E6">
            <w:pPr>
              <w:pStyle w:val="StandardRisoluzionedelConsigliodiStato"/>
              <w:ind w:right="-1"/>
              <w:rPr>
                <w:sz w:val="22"/>
                <w:szCs w:val="22"/>
              </w:rPr>
            </w:pPr>
            <w:r w:rsidRPr="007456E6">
              <w:rPr>
                <w:sz w:val="22"/>
                <w:szCs w:val="22"/>
              </w:rPr>
              <w:t>Approvazione GC</w:t>
            </w:r>
          </w:p>
        </w:tc>
        <w:tc>
          <w:tcPr>
            <w:tcW w:w="2325" w:type="dxa"/>
          </w:tcPr>
          <w:p w:rsidR="00B67B61" w:rsidRPr="007456E6" w:rsidRDefault="00B67B61" w:rsidP="00C316E6">
            <w:pPr>
              <w:pStyle w:val="StandardRisoluzionedelConsigliodiStato"/>
              <w:ind w:right="-1"/>
              <w:rPr>
                <w:sz w:val="22"/>
                <w:szCs w:val="22"/>
              </w:rPr>
            </w:pP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23.06.2021</w:t>
            </w:r>
          </w:p>
        </w:tc>
        <w:tc>
          <w:tcPr>
            <w:tcW w:w="1695" w:type="dxa"/>
          </w:tcPr>
          <w:p w:rsidR="00B67B61" w:rsidRPr="007456E6" w:rsidRDefault="00B67B61" w:rsidP="00C316E6">
            <w:pPr>
              <w:pStyle w:val="StandardRisoluzionedelConsigliodiStato"/>
              <w:ind w:right="-1"/>
              <w:rPr>
                <w:sz w:val="22"/>
                <w:szCs w:val="22"/>
              </w:rPr>
            </w:pPr>
            <w:r w:rsidRPr="007456E6">
              <w:rPr>
                <w:sz w:val="22"/>
                <w:szCs w:val="22"/>
              </w:rPr>
              <w:t>Mess. 8018</w:t>
            </w:r>
          </w:p>
        </w:tc>
        <w:tc>
          <w:tcPr>
            <w:tcW w:w="4036" w:type="dxa"/>
          </w:tcPr>
          <w:p w:rsidR="00B67B61" w:rsidRPr="007456E6" w:rsidRDefault="00B67B61" w:rsidP="00C316E6">
            <w:pPr>
              <w:pStyle w:val="StandardRisoluzionedelConsigliodiStato"/>
              <w:ind w:right="-1"/>
              <w:rPr>
                <w:sz w:val="22"/>
                <w:szCs w:val="22"/>
              </w:rPr>
            </w:pPr>
            <w:r w:rsidRPr="007456E6">
              <w:rPr>
                <w:sz w:val="22"/>
                <w:szCs w:val="22"/>
              </w:rPr>
              <w:t>credito per la realizzazione della sede provvisoria del Liceo a Bellinzona</w:t>
            </w:r>
          </w:p>
        </w:tc>
        <w:tc>
          <w:tcPr>
            <w:tcW w:w="2325" w:type="dxa"/>
          </w:tcPr>
          <w:p w:rsidR="00B67B61" w:rsidRPr="007456E6" w:rsidRDefault="00B67B61" w:rsidP="00C316E6">
            <w:pPr>
              <w:pStyle w:val="StandardRisoluzionedelConsigliodiStato"/>
              <w:ind w:right="-1"/>
              <w:rPr>
                <w:sz w:val="22"/>
                <w:szCs w:val="22"/>
              </w:rPr>
            </w:pPr>
            <w:r w:rsidRPr="007456E6">
              <w:rPr>
                <w:sz w:val="22"/>
                <w:szCs w:val="22"/>
              </w:rPr>
              <w:t>CHF 8’890’000.-</w:t>
            </w:r>
          </w:p>
        </w:tc>
      </w:tr>
      <w:tr w:rsidR="00B67B61" w:rsidTr="00C316E6">
        <w:tc>
          <w:tcPr>
            <w:tcW w:w="1419" w:type="dxa"/>
          </w:tcPr>
          <w:p w:rsidR="00B67B61" w:rsidRPr="007456E6" w:rsidRDefault="00B67B61" w:rsidP="00C316E6">
            <w:pPr>
              <w:pStyle w:val="StandardRisoluzionedelConsigliodiStato"/>
              <w:ind w:right="-1"/>
              <w:rPr>
                <w:sz w:val="22"/>
                <w:szCs w:val="22"/>
              </w:rPr>
            </w:pPr>
            <w:r w:rsidRPr="007456E6">
              <w:rPr>
                <w:sz w:val="22"/>
                <w:szCs w:val="22"/>
              </w:rPr>
              <w:t>22.11.2021</w:t>
            </w:r>
          </w:p>
        </w:tc>
        <w:tc>
          <w:tcPr>
            <w:tcW w:w="1695" w:type="dxa"/>
          </w:tcPr>
          <w:p w:rsidR="00B67B61" w:rsidRPr="007456E6" w:rsidRDefault="00B67B61" w:rsidP="00C316E6">
            <w:pPr>
              <w:pStyle w:val="StandardRisoluzionedelConsigliodiStato"/>
              <w:ind w:right="-1"/>
              <w:rPr>
                <w:sz w:val="22"/>
                <w:szCs w:val="22"/>
              </w:rPr>
            </w:pPr>
          </w:p>
        </w:tc>
        <w:tc>
          <w:tcPr>
            <w:tcW w:w="4036" w:type="dxa"/>
          </w:tcPr>
          <w:p w:rsidR="00B67B61" w:rsidRPr="007456E6" w:rsidRDefault="00B67B61" w:rsidP="00C316E6">
            <w:pPr>
              <w:pStyle w:val="StandardRisoluzionedelConsigliodiStato"/>
              <w:ind w:right="-1"/>
              <w:rPr>
                <w:sz w:val="22"/>
                <w:szCs w:val="22"/>
              </w:rPr>
            </w:pPr>
            <w:r w:rsidRPr="007456E6">
              <w:rPr>
                <w:sz w:val="22"/>
                <w:szCs w:val="22"/>
              </w:rPr>
              <w:t xml:space="preserve">Approvazione GC </w:t>
            </w:r>
          </w:p>
          <w:p w:rsidR="00B67B61" w:rsidRPr="007456E6" w:rsidRDefault="00B67B61" w:rsidP="00C316E6">
            <w:pPr>
              <w:pStyle w:val="StandardRisoluzionedelConsigliodiStato"/>
              <w:ind w:right="-1"/>
              <w:rPr>
                <w:sz w:val="22"/>
                <w:szCs w:val="22"/>
              </w:rPr>
            </w:pPr>
          </w:p>
        </w:tc>
        <w:tc>
          <w:tcPr>
            <w:tcW w:w="2325" w:type="dxa"/>
          </w:tcPr>
          <w:p w:rsidR="00B67B61" w:rsidRPr="007456E6" w:rsidRDefault="00B67B61" w:rsidP="00C316E6">
            <w:pPr>
              <w:pStyle w:val="StandardRisoluzionedelConsigliodiStato"/>
              <w:ind w:right="-1"/>
              <w:rPr>
                <w:sz w:val="22"/>
                <w:szCs w:val="22"/>
              </w:rPr>
            </w:pPr>
            <w:r w:rsidRPr="007456E6">
              <w:rPr>
                <w:sz w:val="22"/>
                <w:szCs w:val="22"/>
              </w:rPr>
              <w:t>CHF 9'980'000.-</w:t>
            </w:r>
          </w:p>
          <w:p w:rsidR="00B67B61" w:rsidRPr="007456E6" w:rsidRDefault="00B67B61" w:rsidP="00C316E6">
            <w:pPr>
              <w:pStyle w:val="StandardRisoluzionedelConsigliodiStato"/>
              <w:ind w:right="-1"/>
              <w:rPr>
                <w:sz w:val="22"/>
                <w:szCs w:val="22"/>
              </w:rPr>
            </w:pPr>
            <w:r w:rsidRPr="007456E6">
              <w:rPr>
                <w:sz w:val="22"/>
                <w:szCs w:val="22"/>
              </w:rPr>
              <w:t>(importo corretto)</w:t>
            </w:r>
          </w:p>
        </w:tc>
      </w:tr>
    </w:tbl>
    <w:p w:rsidR="00B67B61" w:rsidRDefault="00B67B61" w:rsidP="00B67B61">
      <w:pPr>
        <w:spacing w:after="120"/>
        <w:rPr>
          <w:rFonts w:cs="Arial"/>
          <w:szCs w:val="24"/>
        </w:rPr>
      </w:pPr>
    </w:p>
    <w:p w:rsidR="00B67B61" w:rsidRPr="007456E6" w:rsidRDefault="00B67B61" w:rsidP="007456E6">
      <w:pPr>
        <w:pStyle w:val="Titolo1"/>
        <w:numPr>
          <w:ilvl w:val="0"/>
          <w:numId w:val="21"/>
        </w:numPr>
        <w:tabs>
          <w:tab w:val="left" w:pos="567"/>
        </w:tabs>
        <w:spacing w:before="0"/>
        <w:ind w:left="567" w:hanging="567"/>
        <w:jc w:val="both"/>
        <w:rPr>
          <w:rFonts w:eastAsia="Calibri" w:cs="Times New Roman"/>
          <w:caps/>
          <w:sz w:val="24"/>
          <w:szCs w:val="24"/>
          <w:lang w:val="it-IT" w:eastAsia="it-IT"/>
        </w:rPr>
      </w:pPr>
      <w:r w:rsidRPr="007456E6">
        <w:rPr>
          <w:rFonts w:eastAsia="Calibri" w:cs="Times New Roman"/>
          <w:caps/>
          <w:sz w:val="24"/>
          <w:szCs w:val="24"/>
          <w:lang w:val="it-IT" w:eastAsia="it-IT"/>
        </w:rPr>
        <w:lastRenderedPageBreak/>
        <w:t xml:space="preserve">Lo sviluppo progettuale </w:t>
      </w:r>
    </w:p>
    <w:p w:rsidR="00B67B61" w:rsidRDefault="00B67B61" w:rsidP="00B67B61">
      <w:pPr>
        <w:pStyle w:val="StandardRisoluzionedelConsigliodiStato"/>
        <w:ind w:right="-1"/>
      </w:pPr>
      <w:r w:rsidRPr="006A2B4B">
        <w:t xml:space="preserve">Nel corso del 2018 era stato indetto </w:t>
      </w:r>
      <w:r w:rsidRPr="000879EF">
        <w:t xml:space="preserve">un concorso di architettura </w:t>
      </w:r>
      <w:r>
        <w:t>concluso</w:t>
      </w:r>
      <w:r w:rsidRPr="000879EF">
        <w:t xml:space="preserve"> </w:t>
      </w:r>
      <w:r>
        <w:t>nel mese di</w:t>
      </w:r>
      <w:r w:rsidRPr="000879EF">
        <w:t xml:space="preserve"> ottobre 2018 con l’assegnazione del mandato di progettazione al Team di progettisti guidati dallo studio Durisch e Nolli di Massagno.</w:t>
      </w:r>
    </w:p>
    <w:p w:rsidR="007456E6" w:rsidRPr="006A2B4B" w:rsidRDefault="007456E6" w:rsidP="00B67B61">
      <w:pPr>
        <w:pStyle w:val="StandardRisoluzionedelConsigliodiStato"/>
        <w:ind w:right="-1"/>
      </w:pPr>
    </w:p>
    <w:p w:rsidR="00B67B61" w:rsidRDefault="00B67B61" w:rsidP="00B67B61">
      <w:pPr>
        <w:pStyle w:val="StandardRisoluzionedelConsigliodiStato"/>
        <w:ind w:right="-1"/>
      </w:pPr>
      <w:r w:rsidRPr="006A2B4B">
        <w:t xml:space="preserve">Durante lo sviluppo del progetto di massima del nuovo liceo di Bellinzona, nella primavera del 2020 erano emersi due aspetti importanti, che hanno richiesto ulteriori approfondimenti. </w:t>
      </w:r>
    </w:p>
    <w:p w:rsidR="007456E6" w:rsidRDefault="007456E6" w:rsidP="00B67B61">
      <w:pPr>
        <w:pStyle w:val="StandardRisoluzionedelConsigliodiStato"/>
        <w:ind w:right="-1"/>
      </w:pPr>
    </w:p>
    <w:p w:rsidR="00B67B61" w:rsidRDefault="00B67B61" w:rsidP="007456E6">
      <w:pPr>
        <w:pStyle w:val="StandardRisoluzionedelConsigliodiStato"/>
        <w:spacing w:after="120"/>
      </w:pPr>
      <w:r w:rsidRPr="006A2B4B">
        <w:t>Ciò ha comportato una revisione del progetto rispetto a quanto prospettato in fase di studio preliminare e nel messaggio del 2015 su due fronti:</w:t>
      </w:r>
    </w:p>
    <w:p w:rsidR="00B67B61" w:rsidRPr="006A2B4B" w:rsidRDefault="00B67B61" w:rsidP="007456E6">
      <w:pPr>
        <w:pStyle w:val="StandardRisoluzionedelConsigliodiStato"/>
        <w:numPr>
          <w:ilvl w:val="0"/>
          <w:numId w:val="22"/>
        </w:numPr>
        <w:spacing w:after="120"/>
        <w:ind w:left="357" w:hanging="357"/>
      </w:pPr>
      <w:r w:rsidRPr="006A2B4B">
        <w:t>da un lato, la necessità di realizzare di una struttura provvisoria in grado di ospitare l’intero liceo;</w:t>
      </w:r>
    </w:p>
    <w:p w:rsidR="00B67B61" w:rsidRPr="006A2B4B" w:rsidRDefault="00B67B61" w:rsidP="007456E6">
      <w:pPr>
        <w:pStyle w:val="StandardRisoluzionedelConsigliodiStato"/>
        <w:numPr>
          <w:ilvl w:val="0"/>
          <w:numId w:val="22"/>
        </w:numPr>
        <w:spacing w:after="120"/>
        <w:ind w:left="357" w:hanging="357"/>
      </w:pPr>
      <w:r w:rsidRPr="006A2B4B">
        <w:t>dall’altro, la necessità di un maggiore grado di profondità dell’intervento sull’edificio esistente.</w:t>
      </w:r>
    </w:p>
    <w:p w:rsidR="00B67B61" w:rsidRPr="006A2B4B" w:rsidRDefault="00B67B61" w:rsidP="00B67B61">
      <w:pPr>
        <w:pStyle w:val="StandardRisoluzionedelConsigliodiStato"/>
        <w:ind w:right="-1"/>
      </w:pPr>
      <w:r w:rsidRPr="006A2B4B">
        <w:t xml:space="preserve">L’approfondimento di questi aspetti ha generato un allungamento dei tempi di verifica della progettazione e a un aggiornamento del progetto, che permette, a fronte di un aumento dei costi previsti, un miglioramento della qualità dell’insegnamento durante la fase di cantiere e un sensibile aumento della qualità finale dell’edificio ristrutturato. </w:t>
      </w:r>
    </w:p>
    <w:p w:rsidR="00B67B61" w:rsidRDefault="00B67B61" w:rsidP="00B67B61">
      <w:pPr>
        <w:pStyle w:val="StandardRisoluzionedelConsigliodiStato"/>
        <w:ind w:right="-1"/>
      </w:pPr>
    </w:p>
    <w:p w:rsidR="00B67B61" w:rsidRDefault="00B67B61" w:rsidP="00B67B61">
      <w:pPr>
        <w:pStyle w:val="StandardRisoluzionedelConsigliodiStato"/>
        <w:ind w:right="-1"/>
      </w:pPr>
      <w:r>
        <w:t xml:space="preserve">Il citato messaggio 8018 ha consentito di illustrare in modo trasparente le necessità poste dall’evoluzione del progetto con in particolare la realizzazione della sede provvisoria così da rendere fattibile la ristrutturazione radicale dello stabile attuale senza pregiudicare le attività scolastiche. </w:t>
      </w:r>
    </w:p>
    <w:p w:rsidR="00B67B61" w:rsidRDefault="00B67B61" w:rsidP="00B67B61">
      <w:pPr>
        <w:pStyle w:val="StandardRisoluzionedelConsigliodiStato"/>
        <w:ind w:right="-1"/>
      </w:pPr>
    </w:p>
    <w:p w:rsidR="00B67B61" w:rsidRDefault="00B67B61" w:rsidP="00B67B61">
      <w:pPr>
        <w:pStyle w:val="StandardRisoluzionedelConsigliodiStato"/>
        <w:ind w:right="-1"/>
      </w:pPr>
      <w:r>
        <w:t xml:space="preserve">Come ben visibile e riportato anche dai quotidiani (LaRegione del 30 agosto 2022) la sede provvisoria è stata realizzata a tempo di record grazie a strutture prefabbricate ed ha permesso di avviare l’anno scolastico nella sede provvisoria con gli adeguamenti e le aggiunte decise dal Gran Consiglio approvando il rapporto in data 22 novembre 2021. Un plauso quindi ai servizi dello Stato; sezione della logistica, e alle maestranze per questa prestazione sicuramente non scontata. </w:t>
      </w:r>
    </w:p>
    <w:p w:rsidR="00B67B61" w:rsidRDefault="00B67B61" w:rsidP="00B67B61">
      <w:pPr>
        <w:pStyle w:val="StandardRisoluzionedelConsigliodiStato"/>
        <w:ind w:right="-1"/>
      </w:pPr>
    </w:p>
    <w:p w:rsidR="00B67B61" w:rsidRPr="00CF10B0" w:rsidRDefault="00B67B61" w:rsidP="00B67B61">
      <w:pPr>
        <w:rPr>
          <w:sz w:val="24"/>
          <w:szCs w:val="24"/>
        </w:rPr>
      </w:pPr>
      <w:r w:rsidRPr="00CF10B0">
        <w:rPr>
          <w:sz w:val="24"/>
          <w:szCs w:val="24"/>
        </w:rPr>
        <w:t xml:space="preserve">Con il </w:t>
      </w:r>
      <w:r>
        <w:rPr>
          <w:sz w:val="24"/>
          <w:szCs w:val="24"/>
        </w:rPr>
        <w:t xml:space="preserve">citato </w:t>
      </w:r>
      <w:r w:rsidRPr="00CF10B0">
        <w:rPr>
          <w:sz w:val="24"/>
          <w:szCs w:val="24"/>
        </w:rPr>
        <w:t>messaggio n. 8018 del 23.6.2021, assieme alla richiesta per la realizzazione della sede provvisoria del Liceo a Bellinzona, il Consiglio di Stato ha aggiornato il Parlamento in merito alle modifiche intervenute nell’ambito della progettazione della ristrutturazione del Liceo a Bellinzona, degli impatti finanziari delle stesse, tenuto anche conto di altre variabili che sono state valutate.</w:t>
      </w:r>
    </w:p>
    <w:p w:rsidR="00B67B61" w:rsidRPr="00CF10B0" w:rsidRDefault="00B67B61" w:rsidP="00B67B61">
      <w:pPr>
        <w:pStyle w:val="StandardRisoluzionedelConsigliodiStato"/>
        <w:ind w:right="-1"/>
      </w:pPr>
      <w:r>
        <w:t xml:space="preserve">Questi i temi principali presentati: </w:t>
      </w:r>
    </w:p>
    <w:p w:rsidR="00B67B61" w:rsidRPr="00CF10B0" w:rsidRDefault="00B67B61" w:rsidP="007456E6">
      <w:pPr>
        <w:pStyle w:val="127TitoloSottosottocapitolo"/>
        <w:tabs>
          <w:tab w:val="left" w:pos="0"/>
        </w:tabs>
        <w:rPr>
          <w:rFonts w:ascii="Arial" w:hAnsi="Arial" w:cs="Arial"/>
          <w:bCs/>
          <w:color w:val="000000" w:themeColor="text1"/>
        </w:rPr>
      </w:pPr>
    </w:p>
    <w:p w:rsidR="00B67B61" w:rsidRPr="00B823B7" w:rsidRDefault="00B67B61" w:rsidP="007456E6">
      <w:pPr>
        <w:pStyle w:val="127TitoloSottosottocapitolo"/>
        <w:numPr>
          <w:ilvl w:val="0"/>
          <w:numId w:val="23"/>
        </w:numPr>
        <w:tabs>
          <w:tab w:val="left" w:pos="0"/>
        </w:tabs>
        <w:spacing w:after="120"/>
        <w:ind w:left="284" w:hanging="284"/>
        <w:jc w:val="both"/>
        <w:rPr>
          <w:rFonts w:ascii="Arial" w:hAnsi="Arial" w:cs="Arial"/>
          <w:bCs/>
          <w:color w:val="000000" w:themeColor="text1"/>
        </w:rPr>
      </w:pPr>
      <w:r w:rsidRPr="00B823B7">
        <w:rPr>
          <w:rFonts w:ascii="Arial" w:hAnsi="Arial" w:cs="Arial"/>
          <w:bCs/>
          <w:color w:val="000000" w:themeColor="text1"/>
          <w:u w:val="single"/>
        </w:rPr>
        <w:t>Sviluppo progettuale e conseguenze</w:t>
      </w:r>
      <w:r w:rsidRPr="00B823B7">
        <w:rPr>
          <w:rFonts w:ascii="Arial" w:hAnsi="Arial" w:cs="Arial"/>
          <w:bCs/>
          <w:color w:val="000000" w:themeColor="text1"/>
        </w:rPr>
        <w:t>. Il progetto di risanamento e ampliamento del</w:t>
      </w:r>
      <w:r w:rsidRPr="00CF10B0">
        <w:rPr>
          <w:rFonts w:ascii="Arial" w:hAnsi="Arial" w:cs="Arial"/>
          <w:bCs/>
          <w:color w:val="000000" w:themeColor="text1"/>
        </w:rPr>
        <w:t xml:space="preserve"> Liceo di Bellinzona è stato oggetto di un concorso di architettura terminato in ottobre 2018 con l’assegnazione del mandato di progettazione al Team di progettisti guidati dallo studio Durisch e Nolli di Massagno. Dopo la progettazione di massima, nel mese di maggio del 2020, è emerso che il tipo di intervento previsto negli studi di fattibilità inerenti al risanamento dell’edificio non era più attuabile</w:t>
      </w:r>
      <w:r w:rsidRPr="00B823B7">
        <w:rPr>
          <w:rFonts w:ascii="Arial" w:hAnsi="Arial" w:cs="Arial"/>
          <w:bCs/>
          <w:color w:val="000000" w:themeColor="text1"/>
        </w:rPr>
        <w:t xml:space="preserve">. Interventi più radicali nell’impiantistica, richiesti in buona parte dalle modifiche normative intercorse tra l’inizio della fase di concorso e la progettazione di massima, hanno comportato la necessità di </w:t>
      </w:r>
      <w:r w:rsidRPr="00B823B7">
        <w:rPr>
          <w:rFonts w:ascii="Arial" w:hAnsi="Arial" w:cs="Arial"/>
          <w:bCs/>
          <w:color w:val="000000" w:themeColor="text1"/>
        </w:rPr>
        <w:lastRenderedPageBreak/>
        <w:t>prevedere un intervento di risanamento completo dell’impiantistica e non</w:t>
      </w:r>
      <w:r w:rsidRPr="00CF10B0">
        <w:rPr>
          <w:rFonts w:ascii="Arial" w:hAnsi="Arial" w:cs="Arial"/>
          <w:bCs/>
          <w:color w:val="000000" w:themeColor="text1"/>
        </w:rPr>
        <w:t xml:space="preserve"> un semplice riammodernamento come pianificato. La profondità del risanamento, maggiore rispetto a quanto previsto inizialmente, comporta un aumento dei costi per gli impianti e le loro alimentazioni e per la necessità d’intervenire al piano interrato. Questo a fronte di un netto miglioramento della qualità della ristrutturazione, che </w:t>
      </w:r>
      <w:r w:rsidRPr="00B823B7">
        <w:rPr>
          <w:rFonts w:ascii="Arial" w:hAnsi="Arial" w:cs="Arial"/>
          <w:bCs/>
          <w:color w:val="000000" w:themeColor="text1"/>
        </w:rPr>
        <w:t>determina un ciclo di vita superiore, al pari di una nuova edificazione;</w:t>
      </w:r>
    </w:p>
    <w:p w:rsidR="00B67B61" w:rsidRPr="00B823B7" w:rsidRDefault="00B67B61" w:rsidP="007456E6">
      <w:pPr>
        <w:pStyle w:val="127TitoloSottosottocapitolo"/>
        <w:numPr>
          <w:ilvl w:val="0"/>
          <w:numId w:val="23"/>
        </w:numPr>
        <w:tabs>
          <w:tab w:val="left" w:pos="0"/>
        </w:tabs>
        <w:ind w:left="284" w:hanging="284"/>
        <w:jc w:val="both"/>
        <w:rPr>
          <w:rFonts w:ascii="Arial" w:hAnsi="Arial" w:cs="Arial"/>
          <w:bCs/>
          <w:color w:val="000000" w:themeColor="text1"/>
        </w:rPr>
      </w:pPr>
      <w:r w:rsidRPr="00B823B7">
        <w:rPr>
          <w:rFonts w:ascii="Arial" w:hAnsi="Arial" w:cs="Arial"/>
          <w:bCs/>
          <w:color w:val="000000" w:themeColor="text1"/>
          <w:u w:val="single"/>
        </w:rPr>
        <w:t>Aggiornamento finanziario.</w:t>
      </w:r>
      <w:r w:rsidRPr="00B823B7">
        <w:rPr>
          <w:rFonts w:ascii="Arial" w:hAnsi="Arial" w:cs="Arial"/>
          <w:bCs/>
          <w:color w:val="000000" w:themeColor="text1"/>
        </w:rPr>
        <w:t xml:space="preserve"> Gli approfondimenti eseguiti in seguito alla presentazione della progettazione di massima nel maggio 2020 hanno comportato un aumento dei costi di realizzazione del progetto dovuti principalmente: a) alla modifica nel tipo di intervento, non più a tappe ma completa con la necessità di realizzare una struttura provvisoria; b) ai cambiamenti normativi intercorsi nel tempo, che implicano la necessità di un intervento di risanamento completo dell’impiantistica e non un semplice riammodernamento come pianificato. </w:t>
      </w:r>
    </w:p>
    <w:p w:rsidR="00B67B61" w:rsidRPr="0094678D" w:rsidRDefault="00B67B61" w:rsidP="007456E6">
      <w:pPr>
        <w:pStyle w:val="127TitoloSottosottocapitolo"/>
        <w:tabs>
          <w:tab w:val="left" w:pos="0"/>
        </w:tabs>
        <w:spacing w:after="120"/>
        <w:ind w:left="284"/>
        <w:jc w:val="both"/>
        <w:rPr>
          <w:rFonts w:ascii="Arial" w:hAnsi="Arial" w:cs="Arial"/>
          <w:bCs/>
          <w:color w:val="0070C0"/>
        </w:rPr>
      </w:pPr>
      <w:r w:rsidRPr="00B823B7">
        <w:rPr>
          <w:rFonts w:ascii="Arial" w:hAnsi="Arial" w:cs="Arial"/>
          <w:bCs/>
          <w:color w:val="000000" w:themeColor="text1"/>
        </w:rPr>
        <w:t>La profondità del risanamento ha comportato aumenti dei costi sia negli impianti e nelle loro alimentazioni, sia nella necessità d’intervenire al piano interrato. Ricordiamo che nel messaggio di progettazione del 2015, la ristrutturazione dell’edificio (senza struttura provvisoria) era valutato a 24.09 milioni di franchi, con un grado di precisione del +/- 25%. Nel messaggio n. 8018, il preventivo è stato rivisto a 34.9 milioni di franchi</w:t>
      </w:r>
      <w:r>
        <w:rPr>
          <w:rFonts w:ascii="Arial" w:hAnsi="Arial" w:cs="Arial"/>
          <w:bCs/>
          <w:color w:val="000000" w:themeColor="text1"/>
        </w:rPr>
        <w:t>.</w:t>
      </w:r>
    </w:p>
    <w:p w:rsidR="00B67B61" w:rsidRPr="00CF10B0" w:rsidRDefault="00B67B61" w:rsidP="007456E6">
      <w:pPr>
        <w:pStyle w:val="127TitoloSottosottocapitolo"/>
        <w:numPr>
          <w:ilvl w:val="0"/>
          <w:numId w:val="23"/>
        </w:numPr>
        <w:tabs>
          <w:tab w:val="left" w:pos="0"/>
        </w:tabs>
        <w:ind w:left="284" w:hanging="284"/>
        <w:jc w:val="both"/>
        <w:rPr>
          <w:rFonts w:ascii="Arial" w:hAnsi="Arial" w:cs="Arial"/>
          <w:bCs/>
          <w:color w:val="000000" w:themeColor="text1"/>
        </w:rPr>
      </w:pPr>
      <w:r w:rsidRPr="00B823B7">
        <w:rPr>
          <w:rFonts w:ascii="Arial" w:hAnsi="Arial" w:cs="Arial"/>
          <w:bCs/>
          <w:color w:val="000000" w:themeColor="text1"/>
          <w:u w:val="single"/>
        </w:rPr>
        <w:t>Varianti analizzate</w:t>
      </w:r>
      <w:r w:rsidRPr="00CF10B0">
        <w:rPr>
          <w:rFonts w:ascii="Arial" w:hAnsi="Arial" w:cs="Arial"/>
          <w:bCs/>
          <w:color w:val="000000" w:themeColor="text1"/>
        </w:rPr>
        <w:t xml:space="preserve">. Nel messaggio 8018 sono state indicate tre alternative alla ristrutturazione del liceo, così come prevista, ossia: l’edificazione di una nuova sede del liceo al posto dell’attuale edificio; l’edificazione di una nuova sede del liceo a fianco dell’attuale edificio; l’edificazione di una nuova sede del liceo presso il comparto Officine FFS. </w:t>
      </w:r>
    </w:p>
    <w:p w:rsidR="00B67B61" w:rsidRDefault="00B67B61" w:rsidP="00B67B61">
      <w:pPr>
        <w:pStyle w:val="StandardRisoluzionedelConsigliodiStato"/>
        <w:ind w:right="-1"/>
        <w:rPr>
          <w:rFonts w:cs="Arial"/>
          <w:bCs/>
          <w:color w:val="000000" w:themeColor="text1"/>
        </w:rPr>
      </w:pPr>
    </w:p>
    <w:p w:rsidR="00B67B61" w:rsidRDefault="00B67B61" w:rsidP="00B67B61">
      <w:pPr>
        <w:pStyle w:val="StandardRisoluzionedelConsigliodiStato"/>
        <w:ind w:right="-1"/>
      </w:pPr>
      <w:r w:rsidRPr="00CF10B0">
        <w:rPr>
          <w:rFonts w:cs="Arial"/>
          <w:bCs/>
          <w:color w:val="000000" w:themeColor="text1"/>
        </w:rPr>
        <w:t>L’esame di queste varianti, per i motivi indicati nel messaggio 8018, hanno mostrato come l’intervento di risanamento completo previsto sia ancora la migliore soluzione.</w:t>
      </w:r>
    </w:p>
    <w:p w:rsidR="00B67B61" w:rsidRDefault="00B67B61" w:rsidP="00B67B61">
      <w:pPr>
        <w:pStyle w:val="StandardRisoluzionedelConsigliodiStato"/>
        <w:ind w:right="-1"/>
      </w:pPr>
    </w:p>
    <w:p w:rsidR="00B67B61" w:rsidRDefault="00B67B61" w:rsidP="00B67B61">
      <w:pPr>
        <w:pStyle w:val="StandardRisoluzionedelConsigliodiStato"/>
        <w:ind w:right="-1"/>
      </w:pPr>
    </w:p>
    <w:p w:rsidR="00B67B61" w:rsidRPr="00B033C0" w:rsidRDefault="00B67B61" w:rsidP="00B033C0">
      <w:pPr>
        <w:pStyle w:val="Titolo1"/>
        <w:numPr>
          <w:ilvl w:val="0"/>
          <w:numId w:val="21"/>
        </w:numPr>
        <w:tabs>
          <w:tab w:val="left" w:pos="567"/>
        </w:tabs>
        <w:spacing w:before="0"/>
        <w:ind w:left="567" w:hanging="567"/>
        <w:jc w:val="both"/>
        <w:rPr>
          <w:rFonts w:eastAsia="Calibri" w:cs="Times New Roman"/>
          <w:caps/>
          <w:sz w:val="24"/>
          <w:szCs w:val="24"/>
          <w:lang w:val="it-IT" w:eastAsia="it-IT"/>
        </w:rPr>
      </w:pPr>
      <w:r w:rsidRPr="00B033C0">
        <w:rPr>
          <w:rFonts w:eastAsia="Calibri" w:cs="Times New Roman"/>
          <w:caps/>
          <w:sz w:val="24"/>
          <w:szCs w:val="24"/>
          <w:lang w:val="it-IT" w:eastAsia="it-IT"/>
        </w:rPr>
        <w:t xml:space="preserve">Progetto definitivo </w:t>
      </w:r>
    </w:p>
    <w:p w:rsidR="00B67B61" w:rsidRPr="00E0121F" w:rsidRDefault="00B67B61" w:rsidP="00E0121F">
      <w:pPr>
        <w:pStyle w:val="Titolo2"/>
        <w:numPr>
          <w:ilvl w:val="0"/>
          <w:numId w:val="0"/>
        </w:numPr>
        <w:tabs>
          <w:tab w:val="left" w:pos="567"/>
        </w:tabs>
        <w:spacing w:before="0" w:after="120"/>
        <w:jc w:val="both"/>
        <w:rPr>
          <w:rFonts w:eastAsia="Calibri" w:cs="Times New Roman"/>
          <w:sz w:val="24"/>
          <w:lang w:val="it-IT" w:eastAsia="it-IT"/>
        </w:rPr>
      </w:pPr>
      <w:r w:rsidRPr="00E0121F">
        <w:rPr>
          <w:rFonts w:eastAsia="Calibri" w:cs="Times New Roman"/>
          <w:sz w:val="24"/>
          <w:lang w:val="it-IT" w:eastAsia="it-IT"/>
        </w:rPr>
        <w:t>3.1</w:t>
      </w:r>
      <w:r w:rsidRPr="00E0121F">
        <w:rPr>
          <w:rFonts w:eastAsia="Calibri" w:cs="Times New Roman"/>
          <w:sz w:val="24"/>
          <w:lang w:val="it-IT" w:eastAsia="it-IT"/>
        </w:rPr>
        <w:tab/>
        <w:t>Dati pianificatori</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Secondo l’art. 58 delle Norme di attuazione del Piano Regolatore della Città di Bellinzona, l’area in cui sorge il Liceo si trova nel piano degli Edifici pubblici e/o privati d’interesse pubblico con i seguenti parametri edificatori:</w:t>
      </w:r>
    </w:p>
    <w:p w:rsidR="00B67B61" w:rsidRPr="00CF10B0" w:rsidRDefault="00B67B61" w:rsidP="00B67B61">
      <w:pPr>
        <w:rPr>
          <w:rFonts w:eastAsia="MS Mincho" w:cs="Arial"/>
          <w:bCs/>
          <w:color w:val="000000" w:themeColor="text1"/>
          <w:sz w:val="24"/>
          <w:szCs w:val="24"/>
          <w:lang w:val="it-IT" w:eastAsia="ja-JP"/>
        </w:rPr>
      </w:pP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Mappale: 4828 RFD del Comune di Bellinzona</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Superficie: 50’025 mq</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Altezza Massima: 16.5 m</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Indice di Edificabilità: 2.5</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Area verde minima: 40%</w:t>
      </w: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Grado di sensibilità ai rumori: 2</w:t>
      </w:r>
    </w:p>
    <w:p w:rsidR="00B67B61" w:rsidRPr="00CF10B0" w:rsidRDefault="00B67B61" w:rsidP="00B67B61">
      <w:pPr>
        <w:rPr>
          <w:rFonts w:eastAsia="MS Mincho" w:cs="Arial"/>
          <w:bCs/>
          <w:color w:val="000000" w:themeColor="text1"/>
          <w:sz w:val="24"/>
          <w:szCs w:val="24"/>
          <w:lang w:val="it-IT" w:eastAsia="ja-JP"/>
        </w:rPr>
      </w:pPr>
    </w:p>
    <w:p w:rsidR="00B67B61" w:rsidRPr="00E0121F" w:rsidRDefault="00B67B61" w:rsidP="00E0121F">
      <w:pPr>
        <w:pStyle w:val="Titolo2"/>
        <w:numPr>
          <w:ilvl w:val="0"/>
          <w:numId w:val="0"/>
        </w:numPr>
        <w:tabs>
          <w:tab w:val="left" w:pos="567"/>
        </w:tabs>
        <w:spacing w:before="0" w:after="120"/>
        <w:jc w:val="both"/>
        <w:rPr>
          <w:rFonts w:eastAsia="Calibri" w:cs="Times New Roman"/>
          <w:sz w:val="24"/>
          <w:lang w:val="it-IT" w:eastAsia="it-IT"/>
        </w:rPr>
      </w:pPr>
      <w:r w:rsidRPr="00E0121F">
        <w:rPr>
          <w:rFonts w:eastAsia="Calibri" w:cs="Times New Roman"/>
          <w:sz w:val="24"/>
          <w:lang w:val="it-IT" w:eastAsia="it-IT"/>
        </w:rPr>
        <w:t>3.2</w:t>
      </w:r>
      <w:r w:rsidRPr="00E0121F">
        <w:rPr>
          <w:rFonts w:eastAsia="Calibri" w:cs="Times New Roman"/>
          <w:sz w:val="24"/>
          <w:lang w:val="it-IT" w:eastAsia="it-IT"/>
        </w:rPr>
        <w:tab/>
        <w:t>Descrizione dell’intervento</w:t>
      </w:r>
    </w:p>
    <w:p w:rsidR="00B67B61" w:rsidRPr="00B34E36" w:rsidRDefault="00B67B61" w:rsidP="00B67B61">
      <w:pPr>
        <w:rPr>
          <w:rFonts w:eastAsia="MS Mincho" w:cs="Arial"/>
          <w:bCs/>
          <w:sz w:val="24"/>
          <w:szCs w:val="24"/>
          <w:lang w:val="it-IT" w:eastAsia="ja-JP"/>
        </w:rPr>
      </w:pPr>
      <w:r w:rsidRPr="00B34E36">
        <w:rPr>
          <w:rFonts w:eastAsia="MS Mincho" w:cs="Arial"/>
          <w:bCs/>
          <w:sz w:val="24"/>
          <w:szCs w:val="24"/>
          <w:lang w:val="it-IT" w:eastAsia="ja-JP"/>
        </w:rPr>
        <w:t xml:space="preserve">Il Liceo Cantonale di Bellinzona è costituito da un edificio costruito negli anni 1975 / 1978 </w:t>
      </w:r>
      <w:r w:rsidRPr="00CF10B0">
        <w:rPr>
          <w:rFonts w:eastAsia="MS Mincho" w:cs="Arial"/>
          <w:bCs/>
          <w:color w:val="000000" w:themeColor="text1"/>
          <w:sz w:val="24"/>
          <w:szCs w:val="24"/>
          <w:lang w:val="it-IT" w:eastAsia="ja-JP"/>
        </w:rPr>
        <w:t>progettato dall’architetto Alex Huber</w:t>
      </w:r>
      <w:r>
        <w:rPr>
          <w:rFonts w:eastAsia="MS Mincho" w:cs="Arial"/>
          <w:bCs/>
          <w:color w:val="000000" w:themeColor="text1"/>
          <w:sz w:val="24"/>
          <w:szCs w:val="24"/>
          <w:lang w:val="it-IT" w:eastAsia="ja-JP"/>
        </w:rPr>
        <w:t>. Sono q</w:t>
      </w:r>
      <w:r w:rsidRPr="00B34E36">
        <w:rPr>
          <w:rFonts w:eastAsia="MS Mincho" w:cs="Arial"/>
          <w:bCs/>
          <w:sz w:val="24"/>
          <w:szCs w:val="24"/>
          <w:lang w:val="it-IT" w:eastAsia="ja-JP"/>
        </w:rPr>
        <w:t xml:space="preserve">uindi trascorsi ben 44 anni caratterizzati da un uso molto inteso </w:t>
      </w:r>
      <w:r>
        <w:rPr>
          <w:rFonts w:eastAsia="MS Mincho" w:cs="Arial"/>
          <w:bCs/>
          <w:sz w:val="24"/>
          <w:szCs w:val="24"/>
          <w:lang w:val="it-IT" w:eastAsia="ja-JP"/>
        </w:rPr>
        <w:t>dello stabile</w:t>
      </w:r>
      <w:r w:rsidRPr="00CF10B0">
        <w:rPr>
          <w:rFonts w:eastAsia="MS Mincho" w:cs="Arial"/>
          <w:bCs/>
          <w:color w:val="000000" w:themeColor="text1"/>
          <w:sz w:val="24"/>
          <w:szCs w:val="24"/>
          <w:lang w:val="it-IT" w:eastAsia="ja-JP"/>
        </w:rPr>
        <w:t xml:space="preserve">. È situato nella zona denominata “Campo d’aviazione” tra l’Istituto Cantonale di Economia e Commercio ICEC e il Centro Gioventù e Sport a sud, il bagno pubblico a nord e la golena del fiume Ticino a ovest. La Sezione della Logistica nel </w:t>
      </w:r>
      <w:r w:rsidRPr="00CF10B0">
        <w:rPr>
          <w:rFonts w:eastAsia="MS Mincho" w:cs="Arial"/>
          <w:bCs/>
          <w:color w:val="000000" w:themeColor="text1"/>
          <w:sz w:val="24"/>
          <w:szCs w:val="24"/>
          <w:lang w:val="it-IT" w:eastAsia="ja-JP"/>
        </w:rPr>
        <w:lastRenderedPageBreak/>
        <w:t>2017 ha indetto un concorso per la progettazione dell’ampliamento e della ristrutturazione del Liceo che è stato aggiudicato a fine 2018.</w:t>
      </w:r>
    </w:p>
    <w:p w:rsidR="00B67B61" w:rsidRPr="00CF10B0" w:rsidRDefault="00B67B61" w:rsidP="00B67B61">
      <w:pPr>
        <w:rPr>
          <w:rFonts w:eastAsia="MS Mincho" w:cs="Arial"/>
          <w:bCs/>
          <w:color w:val="000000" w:themeColor="text1"/>
          <w:sz w:val="24"/>
          <w:szCs w:val="24"/>
          <w:lang w:val="it-IT" w:eastAsia="ja-JP"/>
        </w:rPr>
      </w:pPr>
    </w:p>
    <w:p w:rsidR="00B67B61" w:rsidRPr="00B34E36" w:rsidRDefault="00B67B61" w:rsidP="00B67B61">
      <w:pPr>
        <w:rPr>
          <w:rFonts w:eastAsia="MS Mincho" w:cs="Arial"/>
          <w:bCs/>
          <w:color w:val="000000" w:themeColor="text1"/>
          <w:sz w:val="24"/>
          <w:szCs w:val="24"/>
          <w:lang w:val="it-IT" w:eastAsia="ja-JP"/>
        </w:rPr>
      </w:pPr>
      <w:r w:rsidRPr="00B34E36">
        <w:rPr>
          <w:rFonts w:eastAsia="MS Mincho" w:cs="Arial"/>
          <w:bCs/>
          <w:color w:val="000000" w:themeColor="text1"/>
          <w:sz w:val="24"/>
          <w:szCs w:val="24"/>
          <w:lang w:val="it-IT" w:eastAsia="ja-JP"/>
        </w:rPr>
        <w:t xml:space="preserve">Il progetto di ampliamento e ristrutturazione del Liceo corrisponde alle esigenze formulate nel bando di concorso con un aumento delle superfici e della cubatura attuale, il conferimento di un’adeguata qualità edilizia, energetica e funzionale dell’edificio esistente, e di un nuovo ciclo di vita all’edificio, al pari di una nuova costruzione. </w:t>
      </w:r>
    </w:p>
    <w:p w:rsidR="00B67B61" w:rsidRPr="00B34E36" w:rsidRDefault="00B67B61" w:rsidP="00B67B61">
      <w:pPr>
        <w:rPr>
          <w:rFonts w:eastAsia="MS Mincho" w:cs="Arial"/>
          <w:bCs/>
          <w:color w:val="000000" w:themeColor="text1"/>
          <w:sz w:val="24"/>
          <w:szCs w:val="24"/>
          <w:lang w:val="it-IT" w:eastAsia="ja-JP"/>
        </w:rPr>
      </w:pPr>
    </w:p>
    <w:p w:rsidR="00B67B61" w:rsidRPr="00B34E36" w:rsidRDefault="00B67B61" w:rsidP="00B67B61">
      <w:pPr>
        <w:rPr>
          <w:rFonts w:eastAsia="MS Mincho" w:cs="Arial"/>
          <w:bCs/>
          <w:color w:val="000000" w:themeColor="text1"/>
          <w:sz w:val="24"/>
          <w:szCs w:val="24"/>
          <w:lang w:val="it-IT" w:eastAsia="ja-JP"/>
        </w:rPr>
      </w:pPr>
      <w:r w:rsidRPr="00B34E36">
        <w:rPr>
          <w:rFonts w:eastAsia="MS Mincho" w:cs="Arial"/>
          <w:bCs/>
          <w:color w:val="000000" w:themeColor="text1"/>
          <w:sz w:val="24"/>
          <w:szCs w:val="24"/>
          <w:lang w:val="it-IT" w:eastAsia="ja-JP"/>
        </w:rPr>
        <w:t xml:space="preserve">Il progetto sposa i requisiti della “nuova architettura pedagogica”, che prevedono che un liceo, oltre a permettere un insegnamento ottimale per il conseguimento del diploma di maturità, debba favorire le attività culturali, sia all’interno sia all’esterno dell’istituto, promuovere la vita sociale all’interno ed essere il fulcro e centro delle iniziative extra-scolastiche dell’intera regione. Per questo motivo, a livello tipologico, oltre al rinnovamento degli spazi esistenti e all’aumento delle superfici dedicate alle aule legate alla didattica attraverso un ampliamento verso la golena del fiume Ticino, è previsto l’innesto di un nuovo elemento centrale in sostituzione del modulo che attualmente ospita la mensa. </w:t>
      </w:r>
    </w:p>
    <w:p w:rsidR="00B67B61" w:rsidRPr="00B34E36" w:rsidRDefault="00B67B61" w:rsidP="00B67B61">
      <w:pPr>
        <w:rPr>
          <w:rFonts w:eastAsia="MS Mincho" w:cs="Arial"/>
          <w:bCs/>
          <w:color w:val="000000" w:themeColor="text1"/>
          <w:sz w:val="24"/>
          <w:szCs w:val="24"/>
          <w:lang w:val="it-IT" w:eastAsia="ja-JP"/>
        </w:rPr>
      </w:pPr>
    </w:p>
    <w:p w:rsidR="00B67B61" w:rsidRPr="00B34E36" w:rsidRDefault="00B67B61" w:rsidP="00B67B61">
      <w:pPr>
        <w:rPr>
          <w:rFonts w:eastAsia="MS Mincho" w:cs="Arial"/>
          <w:bCs/>
          <w:color w:val="000000" w:themeColor="text1"/>
          <w:sz w:val="24"/>
          <w:szCs w:val="24"/>
          <w:lang w:val="it-IT" w:eastAsia="ja-JP"/>
        </w:rPr>
      </w:pPr>
      <w:r w:rsidRPr="00B34E36">
        <w:rPr>
          <w:rFonts w:eastAsia="MS Mincho" w:cs="Arial"/>
          <w:bCs/>
          <w:color w:val="000000" w:themeColor="text1"/>
          <w:sz w:val="24"/>
          <w:szCs w:val="24"/>
          <w:lang w:val="it-IT" w:eastAsia="ja-JP"/>
        </w:rPr>
        <w:t xml:space="preserve">Il nuovo cuore della scuola, innestato sull’impianto tipologico esistente, ospiterà la nuova mensa, l’aula magna, l’aula studio e la biblioteca, riunendole attorno a un nuovo atrio su quattro livelli serviti da una generosa scala circolare e da un nuovo vano ascensore. In questa zona centrale viene creato il nuovo ingresso che vuole rivestire quel ruolo polarizzatore fondamentale per l’organizzazione e la vita dell’Istituto. </w:t>
      </w:r>
    </w:p>
    <w:p w:rsidR="00B67B61" w:rsidRPr="00B34E36" w:rsidRDefault="00B67B61" w:rsidP="00B67B61">
      <w:pPr>
        <w:rPr>
          <w:rFonts w:eastAsia="MS Mincho" w:cs="Arial"/>
          <w:bCs/>
          <w:color w:val="000000" w:themeColor="text1"/>
          <w:sz w:val="24"/>
          <w:szCs w:val="24"/>
          <w:lang w:val="it-IT" w:eastAsia="ja-JP"/>
        </w:rPr>
      </w:pPr>
    </w:p>
    <w:p w:rsidR="00B67B61" w:rsidRDefault="00B67B61" w:rsidP="00B67B61">
      <w:pPr>
        <w:rPr>
          <w:rFonts w:eastAsia="MS Mincho" w:cs="Arial"/>
          <w:bCs/>
          <w:color w:val="000000" w:themeColor="text1"/>
          <w:sz w:val="24"/>
          <w:szCs w:val="24"/>
          <w:lang w:val="it-IT" w:eastAsia="ja-JP"/>
        </w:rPr>
      </w:pPr>
      <w:r w:rsidRPr="00B34E36">
        <w:rPr>
          <w:rFonts w:eastAsia="MS Mincho" w:cs="Arial"/>
          <w:bCs/>
          <w:color w:val="000000" w:themeColor="text1"/>
          <w:sz w:val="24"/>
          <w:szCs w:val="24"/>
          <w:lang w:val="it-IT" w:eastAsia="ja-JP"/>
        </w:rPr>
        <w:t xml:space="preserve">Il carattere sobrio dell’edificio sarà mantenuto anche nell’ampliamento delle aule disposte lungo il lato ovest, ma conferendo all’intero Liceo Cantonale un ciclo di vita al pari di una nuova edificazione. In pratica si avrà un edificio completamente nuovo effettuando un intervento di riutilizzo di una struttura esistente, un intervento che corrisponde ai più recenti criteri dello Standard Costruzione Sostenibile Svizzera SNBS. </w:t>
      </w:r>
    </w:p>
    <w:p w:rsidR="00B67B61" w:rsidRDefault="00B67B61" w:rsidP="00B67B61">
      <w:pPr>
        <w:rPr>
          <w:rFonts w:eastAsia="MS Mincho" w:cs="Arial"/>
          <w:bCs/>
          <w:color w:val="000000" w:themeColor="text1"/>
          <w:sz w:val="24"/>
          <w:szCs w:val="24"/>
          <w:lang w:val="it-IT" w:eastAsia="ja-JP"/>
        </w:rPr>
      </w:pPr>
    </w:p>
    <w:p w:rsidR="00B67B61" w:rsidRPr="008D560D" w:rsidRDefault="00B67B61" w:rsidP="00B67B61">
      <w:pPr>
        <w:rPr>
          <w:rFonts w:eastAsia="MS Mincho" w:cs="Arial"/>
          <w:bCs/>
          <w:sz w:val="24"/>
          <w:szCs w:val="24"/>
          <w:lang w:val="it-IT" w:eastAsia="ja-JP"/>
        </w:rPr>
      </w:pPr>
      <w:r w:rsidRPr="008D560D">
        <w:rPr>
          <w:rFonts w:eastAsia="MS Mincho" w:cs="Arial"/>
          <w:bCs/>
          <w:sz w:val="24"/>
          <w:szCs w:val="24"/>
          <w:lang w:val="it-IT" w:eastAsia="ja-JP"/>
        </w:rPr>
        <w:t>Proprio la qualità dell’ubicazione e il contesto paesaggistico in cui è inserito questo luogo di formazione meritano una citazione particolare; la prossimità dell’area di svago golenale e degli impianti sportivi comunali, oltre che il contesto formativo con la Commercio e il centro Gioventù e Sport a cui aggiungere il contenuto scientifico dell’IRB con lo sfondo dei castelli di Bellinzona, danno un senso compito al concetto di campus e di cittadella della formazione auspicata all’inizio delle riflessioni.</w:t>
      </w:r>
    </w:p>
    <w:p w:rsidR="00B67B61" w:rsidRPr="008D560D" w:rsidRDefault="00B67B61" w:rsidP="00B67B61">
      <w:pPr>
        <w:rPr>
          <w:rFonts w:eastAsia="MS Mincho" w:cs="Arial"/>
          <w:bCs/>
          <w:sz w:val="24"/>
          <w:szCs w:val="24"/>
          <w:lang w:val="it-IT" w:eastAsia="ja-JP"/>
        </w:rPr>
      </w:pPr>
    </w:p>
    <w:p w:rsidR="00B67B61" w:rsidRPr="008D560D" w:rsidRDefault="00B67B61" w:rsidP="00B67B61">
      <w:pPr>
        <w:rPr>
          <w:rFonts w:eastAsia="MS Mincho" w:cs="Arial"/>
          <w:bCs/>
          <w:sz w:val="24"/>
          <w:szCs w:val="24"/>
          <w:lang w:val="it-IT" w:eastAsia="ja-JP"/>
        </w:rPr>
      </w:pPr>
      <w:r w:rsidRPr="003C3E03">
        <w:rPr>
          <w:rFonts w:eastAsia="MS Mincho" w:cs="Arial"/>
          <w:bCs/>
          <w:color w:val="000000" w:themeColor="text1"/>
          <w:sz w:val="24"/>
          <w:szCs w:val="24"/>
          <w:lang w:val="it-IT" w:eastAsia="ja-JP"/>
        </w:rPr>
        <w:t xml:space="preserve">La superficie complessiva dell’edificio esistente è di circa 10’370 mq mentre il volume è di circa 33’780 mc; nel progetto di ristrutturazione e ampliamento le superfici complessive </w:t>
      </w:r>
      <w:r w:rsidRPr="008D560D">
        <w:rPr>
          <w:rFonts w:eastAsia="MS Mincho" w:cs="Arial"/>
          <w:bCs/>
          <w:sz w:val="24"/>
          <w:szCs w:val="24"/>
          <w:lang w:val="it-IT" w:eastAsia="ja-JP"/>
        </w:rPr>
        <w:t>arriveranno a circa 14’150 mq (+36%) mentre il volume è di circa 52’340 mc.(+55%)</w:t>
      </w: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I lavori di ristrutturazione e ampliamento dureranno secondo le stime 3 anni; nel frattempo la popolazione scolastica risiederà in un insediamento provvisorio costruito tra l’attuale Liceo e i bagni di Bellinzona.</w:t>
      </w:r>
    </w:p>
    <w:p w:rsidR="00B67B61" w:rsidRPr="003C3E03" w:rsidRDefault="00B67B61" w:rsidP="00B67B61">
      <w:pPr>
        <w:rPr>
          <w:rFonts w:cs="Arial"/>
          <w:color w:val="000000" w:themeColor="text1"/>
          <w:sz w:val="24"/>
          <w:szCs w:val="24"/>
        </w:rPr>
      </w:pPr>
    </w:p>
    <w:p w:rsidR="00B67B61" w:rsidRPr="00E0121F" w:rsidRDefault="00B67B61" w:rsidP="00E0121F">
      <w:pPr>
        <w:pStyle w:val="Titolo2"/>
        <w:numPr>
          <w:ilvl w:val="0"/>
          <w:numId w:val="0"/>
        </w:numPr>
        <w:tabs>
          <w:tab w:val="left" w:pos="567"/>
        </w:tabs>
        <w:spacing w:before="0" w:after="120"/>
        <w:jc w:val="both"/>
        <w:rPr>
          <w:rFonts w:eastAsia="Calibri" w:cs="Times New Roman"/>
          <w:sz w:val="24"/>
          <w:lang w:val="it-IT" w:eastAsia="it-IT"/>
        </w:rPr>
      </w:pPr>
      <w:r w:rsidRPr="00E0121F">
        <w:rPr>
          <w:rFonts w:eastAsia="Calibri" w:cs="Times New Roman"/>
          <w:sz w:val="24"/>
          <w:lang w:val="it-IT" w:eastAsia="it-IT"/>
        </w:rPr>
        <w:t xml:space="preserve">3.3 </w:t>
      </w:r>
      <w:r w:rsidRPr="00E0121F">
        <w:rPr>
          <w:rFonts w:eastAsia="Calibri" w:cs="Times New Roman"/>
          <w:sz w:val="24"/>
          <w:lang w:val="it-IT" w:eastAsia="it-IT"/>
        </w:rPr>
        <w:tab/>
        <w:t>Organizzazione funzionale</w:t>
      </w: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 xml:space="preserve">L’edificio è organizzato su quattro livelli fuori terra e su un piano interrato dimensionato per circa 750 studenti e circa 100 docenti. I primi due livelli sono caratterizzati da corpi sporgenti verso il parco urbano. La circolazione verticale è garantita tramite i due corpi scala laterali esistenti, una nuova scala circolare e un ascensore nel corpo centrale. La scala circolare è stata verificata con il perito antincendio, l’Ufficio Sanità e l’Ispettorato del </w:t>
      </w:r>
      <w:r w:rsidRPr="003C3E03">
        <w:rPr>
          <w:rFonts w:eastAsia="MS Mincho" w:cs="Arial"/>
          <w:bCs/>
          <w:color w:val="000000" w:themeColor="text1"/>
          <w:sz w:val="24"/>
          <w:szCs w:val="24"/>
          <w:lang w:val="it-IT" w:eastAsia="ja-JP"/>
        </w:rPr>
        <w:lastRenderedPageBreak/>
        <w:t>Lavoro ed è caratterizzata da un pianerottolo dopo l’ottavo gradino e una profondità di pedata a 60 cm dal parapetto esterno di 140 cm. L’ascensore è caratterizzato da una cabina di dimensione 210 x 110 cm e una porta con luce di passaggio di 90 cm.</w:t>
      </w:r>
    </w:p>
    <w:p w:rsidR="00B67B61" w:rsidRPr="003C3E03" w:rsidRDefault="00B67B61" w:rsidP="00B67B61">
      <w:pPr>
        <w:rPr>
          <w:rFonts w:eastAsia="MS Mincho" w:cs="Arial"/>
          <w:bCs/>
          <w:color w:val="000000" w:themeColor="text1"/>
          <w:sz w:val="24"/>
          <w:szCs w:val="24"/>
          <w:lang w:val="it-IT" w:eastAsia="ja-JP"/>
        </w:rPr>
      </w:pP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Al piano terreno si trova il nuovo refettorio nel corpo centrale che si sviluppa su una doppia altezza, nei corpi laterali troviamo invece gli uffici della Direzione, la Segreteria e locali per docenti e custodi, le aule e i laboratori di Biologia, aule di informatica, scuola speciale ed educazione alimentare.</w:t>
      </w:r>
    </w:p>
    <w:p w:rsidR="00B67B61" w:rsidRPr="003C3E03" w:rsidRDefault="00B67B61" w:rsidP="00B67B61">
      <w:pPr>
        <w:rPr>
          <w:rFonts w:eastAsia="MS Mincho" w:cs="Arial"/>
          <w:bCs/>
          <w:color w:val="000000" w:themeColor="text1"/>
          <w:sz w:val="24"/>
          <w:szCs w:val="24"/>
          <w:lang w:val="it-IT" w:eastAsia="ja-JP"/>
        </w:rPr>
      </w:pP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Al primo piano si trovano le aule e i laboratori di chimica e fisica oltre a delle aule di matematica.</w:t>
      </w:r>
    </w:p>
    <w:p w:rsidR="00B67B61" w:rsidRPr="003C3E03" w:rsidRDefault="00B67B61" w:rsidP="00B67B61">
      <w:pPr>
        <w:rPr>
          <w:rFonts w:eastAsia="MS Mincho" w:cs="Arial"/>
          <w:bCs/>
          <w:color w:val="000000" w:themeColor="text1"/>
          <w:sz w:val="24"/>
          <w:szCs w:val="24"/>
          <w:lang w:val="it-IT" w:eastAsia="ja-JP"/>
        </w:rPr>
      </w:pP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Al secondo piano si trova un’aula magna per 100 persone e un’aula studio nel nuovo corpo centrale, mentre nei corpi laterali si trovano le aule delle arti (musica, arti visive, storia dell’arte), aule di matematica e delle discipline delle scienze umane (storia, filosofia, geografia, economia e diritto). In prossimità dei vani scala si trovano anche i disponibili di materia, ovvero uffici e depositi.</w:t>
      </w:r>
    </w:p>
    <w:p w:rsidR="00B67B61" w:rsidRPr="003C3E03" w:rsidRDefault="00B67B61" w:rsidP="00B67B61">
      <w:pPr>
        <w:rPr>
          <w:rFonts w:eastAsia="MS Mincho" w:cs="Arial"/>
          <w:bCs/>
          <w:color w:val="000000" w:themeColor="text1"/>
          <w:sz w:val="24"/>
          <w:szCs w:val="24"/>
          <w:lang w:val="it-IT" w:eastAsia="ja-JP"/>
        </w:rPr>
      </w:pP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Al terzo piano si trova la biblioteca nel corpo centrale, mentre nei corpi laterali si trovano le aule di lingua (italiano, francese, tedesco, inglese, spagnolo, latino e greco). In prossimità dei vani scala si trovano anche ulteriori disponibili di materia, ovvero uffici e depositi.</w:t>
      </w:r>
    </w:p>
    <w:p w:rsidR="00B67B61" w:rsidRPr="003C3E03" w:rsidRDefault="00B67B61" w:rsidP="00B67B61">
      <w:pPr>
        <w:rPr>
          <w:rFonts w:eastAsia="MS Mincho" w:cs="Arial"/>
          <w:bCs/>
          <w:color w:val="000000" w:themeColor="text1"/>
          <w:sz w:val="24"/>
          <w:szCs w:val="24"/>
          <w:lang w:val="it-IT" w:eastAsia="ja-JP"/>
        </w:rPr>
      </w:pPr>
    </w:p>
    <w:p w:rsidR="00B67B61" w:rsidRPr="003C3E03"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I vani scala laterali proseguono entrambi fino alla copertura dove è previsto un impianto fotovoltaico che verrà realizzato in collaborazione con AET. Tutte le coperture sono dotate di linee vita e sono state verificate con l’Ispettorato del Lavoro. Sulla copertura non è previsto l’accesso al pubblico / utenti.</w:t>
      </w:r>
    </w:p>
    <w:p w:rsidR="00B67B61" w:rsidRPr="003C3E03" w:rsidRDefault="00B67B61" w:rsidP="00B67B61">
      <w:pPr>
        <w:rPr>
          <w:rFonts w:eastAsia="MS Mincho" w:cs="Arial"/>
          <w:bCs/>
          <w:color w:val="000000" w:themeColor="text1"/>
          <w:sz w:val="24"/>
          <w:szCs w:val="24"/>
          <w:lang w:val="it-IT" w:eastAsia="ja-JP"/>
        </w:rPr>
      </w:pPr>
    </w:p>
    <w:p w:rsidR="00B67B61" w:rsidRPr="00CF10B0" w:rsidRDefault="00B67B61" w:rsidP="00B67B61">
      <w:pPr>
        <w:rPr>
          <w:rFonts w:eastAsia="MS Mincho" w:cs="Arial"/>
          <w:bCs/>
          <w:color w:val="000000" w:themeColor="text1"/>
          <w:sz w:val="24"/>
          <w:szCs w:val="24"/>
          <w:lang w:val="it-IT" w:eastAsia="ja-JP"/>
        </w:rPr>
      </w:pPr>
      <w:r w:rsidRPr="003C3E03">
        <w:rPr>
          <w:rFonts w:eastAsia="MS Mincho" w:cs="Arial"/>
          <w:bCs/>
          <w:color w:val="000000" w:themeColor="text1"/>
          <w:sz w:val="24"/>
          <w:szCs w:val="24"/>
          <w:lang w:val="it-IT" w:eastAsia="ja-JP"/>
        </w:rPr>
        <w:t>Al piano interrato si trovano i locali di deposito, i rifugi esistenti della protezione civile e i locali tecnici. Rispetto alla situazione attuale, il piano interrato viene completamente</w:t>
      </w:r>
      <w:r w:rsidRPr="00CF10B0">
        <w:rPr>
          <w:rFonts w:eastAsia="MS Mincho" w:cs="Arial"/>
          <w:bCs/>
          <w:color w:val="000000" w:themeColor="text1"/>
          <w:sz w:val="24"/>
          <w:szCs w:val="24"/>
          <w:lang w:val="it-IT" w:eastAsia="ja-JP"/>
        </w:rPr>
        <w:t xml:space="preserve"> collegato grazie all’innesto del nuovo corpo centrale ed alla creazione di due corridoi che collegato i due piani interrati esistenti. In questo modo e grazie all’inserimento di un ascensore nel corpo centrale viene garantita un’ottimale organizzazione logistica degli spazi di deposito a servizio del liceo oltre ad una zona di servizi igienici e di spogliatoio per i lavoratori del locale mescita. Segnaliamo che per realizzare il corridoio che collega l’atrio del corpo centrale con il vano scala esistente verso nord è stato necessario dismettere una piccola superficie di rifugio in accordo con la Sezione del Militare e della Protezione della Popolazione - Servizio Costruzioni (approvazione del 16 dicembre 2021). Nell’incarto viene allegato il piano di approvazione.</w:t>
      </w:r>
    </w:p>
    <w:p w:rsidR="00B67B61" w:rsidRPr="00CF10B0" w:rsidRDefault="00B67B61" w:rsidP="00B67B61">
      <w:pPr>
        <w:rPr>
          <w:rFonts w:eastAsia="MS Mincho" w:cs="Arial"/>
          <w:bCs/>
          <w:color w:val="000000" w:themeColor="text1"/>
          <w:sz w:val="24"/>
          <w:szCs w:val="24"/>
          <w:lang w:val="it-IT" w:eastAsia="ja-JP"/>
        </w:rPr>
      </w:pPr>
    </w:p>
    <w:p w:rsidR="00B67B61" w:rsidRPr="00CF10B0" w:rsidRDefault="00B67B61" w:rsidP="00B67B61">
      <w:pPr>
        <w:rPr>
          <w:rFonts w:eastAsia="MS Mincho" w:cs="Arial"/>
          <w:bCs/>
          <w:color w:val="000000" w:themeColor="text1"/>
          <w:sz w:val="24"/>
          <w:szCs w:val="24"/>
          <w:lang w:val="it-IT" w:eastAsia="ja-JP"/>
        </w:rPr>
      </w:pPr>
      <w:r w:rsidRPr="00CF10B0">
        <w:rPr>
          <w:rFonts w:eastAsia="MS Mincho" w:cs="Arial"/>
          <w:bCs/>
          <w:color w:val="000000" w:themeColor="text1"/>
          <w:sz w:val="24"/>
          <w:szCs w:val="24"/>
          <w:lang w:val="it-IT" w:eastAsia="ja-JP"/>
        </w:rPr>
        <w:t>Oltre ai contenuti scolastici sono stati dimensionati, con il supporto dell’Ufficio Sanità e l’Ispettorato del Lavoro un adeguato numero di servizi igienici per studenti, docenti, lavoratori esterni (locale mescita) e disabili.</w:t>
      </w:r>
    </w:p>
    <w:p w:rsidR="00B67B61" w:rsidRPr="00CF10B0" w:rsidRDefault="00B67B61" w:rsidP="00E0121F">
      <w:pPr>
        <w:rPr>
          <w:rFonts w:cs="Arial"/>
          <w:color w:val="000000" w:themeColor="text1"/>
          <w:sz w:val="24"/>
          <w:szCs w:val="24"/>
        </w:rPr>
      </w:pPr>
      <w:r>
        <w:rPr>
          <w:rFonts w:cs="Arial"/>
          <w:color w:val="000000" w:themeColor="text1"/>
          <w:sz w:val="24"/>
          <w:szCs w:val="24"/>
        </w:rPr>
        <w:br w:type="page"/>
      </w:r>
    </w:p>
    <w:p w:rsidR="00B67B61" w:rsidRPr="00E0121F" w:rsidRDefault="00B67B61" w:rsidP="00E0121F">
      <w:pPr>
        <w:pStyle w:val="Titolo3"/>
        <w:numPr>
          <w:ilvl w:val="0"/>
          <w:numId w:val="0"/>
        </w:numPr>
        <w:tabs>
          <w:tab w:val="left" w:pos="709"/>
        </w:tabs>
        <w:spacing w:after="120"/>
        <w:jc w:val="both"/>
        <w:rPr>
          <w:rFonts w:eastAsia="Calibri" w:cs="Times New Roman"/>
          <w:i/>
          <w:sz w:val="23"/>
          <w:szCs w:val="23"/>
          <w:lang w:val="it-IT" w:eastAsia="it-IT"/>
        </w:rPr>
      </w:pPr>
      <w:r w:rsidRPr="00E0121F">
        <w:rPr>
          <w:rFonts w:eastAsia="Calibri" w:cs="Times New Roman"/>
          <w:i/>
          <w:sz w:val="23"/>
          <w:szCs w:val="23"/>
          <w:lang w:val="it-IT" w:eastAsia="it-IT"/>
        </w:rPr>
        <w:lastRenderedPageBreak/>
        <w:t>3.3.1</w:t>
      </w:r>
      <w:r w:rsidRPr="00E0121F">
        <w:rPr>
          <w:rFonts w:eastAsia="Calibri" w:cs="Times New Roman"/>
          <w:i/>
          <w:sz w:val="23"/>
          <w:szCs w:val="23"/>
          <w:lang w:val="it-IT" w:eastAsia="it-IT"/>
        </w:rPr>
        <w:tab/>
        <w:t>Planimetrie</w:t>
      </w:r>
    </w:p>
    <w:p w:rsidR="00B67B61" w:rsidRPr="00561E76" w:rsidRDefault="00B67B61" w:rsidP="00B67B61">
      <w:pPr>
        <w:pStyle w:val="127TitoloSottosottocapitolo"/>
        <w:spacing w:after="120" w:line="276" w:lineRule="auto"/>
        <w:ind w:left="567" w:hanging="567"/>
        <w:rPr>
          <w:rFonts w:ascii="Arial" w:hAnsi="Arial" w:cs="Arial"/>
          <w:b/>
          <w:bCs/>
          <w:color w:val="000000" w:themeColor="text1"/>
        </w:rPr>
      </w:pPr>
      <w:r w:rsidRPr="00561E76">
        <w:rPr>
          <w:rFonts w:ascii="Arial" w:hAnsi="Arial" w:cs="Arial"/>
          <w:b/>
          <w:bCs/>
          <w:color w:val="000000" w:themeColor="text1"/>
        </w:rPr>
        <w:t>Piano terreno</w:t>
      </w:r>
    </w:p>
    <w:p w:rsidR="00B67B61" w:rsidRPr="008D560D" w:rsidRDefault="00B67B61" w:rsidP="00B67B61">
      <w:pPr>
        <w:pStyle w:val="127TitoloSottosottocapitolo"/>
        <w:spacing w:line="276" w:lineRule="auto"/>
        <w:ind w:left="567" w:hanging="567"/>
        <w:rPr>
          <w:rFonts w:ascii="Arial" w:hAnsi="Arial" w:cs="Arial"/>
          <w:b/>
          <w:bCs/>
          <w:color w:val="000000" w:themeColor="text1"/>
          <w:highlight w:val="yellow"/>
        </w:rPr>
      </w:pPr>
      <w:r w:rsidRPr="008D560D">
        <w:rPr>
          <w:rFonts w:cs="Arial"/>
          <w:noProof/>
          <w:color w:val="000000" w:themeColor="text1"/>
          <w:highlight w:val="yellow"/>
          <w:lang w:val="it-CH" w:eastAsia="it-CH"/>
        </w:rPr>
        <w:drawing>
          <wp:anchor distT="0" distB="0" distL="114300" distR="114300" simplePos="0" relativeHeight="251659264" behindDoc="1" locked="0" layoutInCell="1" allowOverlap="1" wp14:anchorId="0129DBAB" wp14:editId="3DDCEB10">
            <wp:simplePos x="0" y="0"/>
            <wp:positionH relativeFrom="column">
              <wp:posOffset>22860</wp:posOffset>
            </wp:positionH>
            <wp:positionV relativeFrom="paragraph">
              <wp:posOffset>13335</wp:posOffset>
            </wp:positionV>
            <wp:extent cx="6120130" cy="2693035"/>
            <wp:effectExtent l="19050" t="19050" r="13970" b="1206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693035"/>
                    </a:xfrm>
                    <a:prstGeom prst="rect">
                      <a:avLst/>
                    </a:prstGeom>
                    <a:ln>
                      <a:solidFill>
                        <a:sysClr val="windowText" lastClr="000000"/>
                      </a:solidFill>
                    </a:ln>
                  </pic:spPr>
                </pic:pic>
              </a:graphicData>
            </a:graphic>
          </wp:anchor>
        </w:drawing>
      </w: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8D560D" w:rsidRDefault="00B67B61" w:rsidP="00B67B61">
      <w:pPr>
        <w:rPr>
          <w:rFonts w:cs="Arial"/>
          <w:color w:val="000000" w:themeColor="text1"/>
          <w:sz w:val="24"/>
          <w:szCs w:val="24"/>
          <w:highlight w:val="yellow"/>
        </w:rPr>
      </w:pPr>
    </w:p>
    <w:p w:rsidR="00B67B61" w:rsidRPr="00CF10B0" w:rsidRDefault="00B67B61" w:rsidP="00B67B61">
      <w:pPr>
        <w:rPr>
          <w:rFonts w:cs="Arial"/>
          <w:color w:val="000000" w:themeColor="text1"/>
          <w:sz w:val="24"/>
          <w:szCs w:val="24"/>
        </w:rPr>
      </w:pPr>
    </w:p>
    <w:p w:rsidR="00B67B61" w:rsidRPr="00CF10B0" w:rsidRDefault="00B67B61" w:rsidP="00B67B61">
      <w:pPr>
        <w:spacing w:after="120"/>
        <w:rPr>
          <w:rFonts w:cs="Arial"/>
          <w:b/>
          <w:color w:val="000000" w:themeColor="text1"/>
          <w:sz w:val="24"/>
          <w:szCs w:val="24"/>
        </w:rPr>
      </w:pPr>
      <w:r w:rsidRPr="008D560D">
        <w:rPr>
          <w:rFonts w:cs="Arial"/>
          <w:b/>
          <w:color w:val="000000" w:themeColor="text1"/>
          <w:sz w:val="24"/>
          <w:szCs w:val="24"/>
        </w:rPr>
        <w:t>1° Piano</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0288" behindDoc="1" locked="0" layoutInCell="1" allowOverlap="1" wp14:anchorId="5F32AAA4" wp14:editId="35C9351D">
            <wp:simplePos x="0" y="0"/>
            <wp:positionH relativeFrom="column">
              <wp:posOffset>22860</wp:posOffset>
            </wp:positionH>
            <wp:positionV relativeFrom="paragraph">
              <wp:posOffset>31115</wp:posOffset>
            </wp:positionV>
            <wp:extent cx="6120130" cy="2707640"/>
            <wp:effectExtent l="19050" t="19050" r="13970" b="165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07640"/>
                    </a:xfrm>
                    <a:prstGeom prst="rect">
                      <a:avLst/>
                    </a:prstGeom>
                    <a:ln>
                      <a:solidFill>
                        <a:sysClr val="windowText" lastClr="000000"/>
                      </a:solidFill>
                    </a:ln>
                  </pic:spPr>
                </pic:pic>
              </a:graphicData>
            </a:graphic>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spacing w:after="240"/>
        <w:rPr>
          <w:rFonts w:cs="Arial"/>
          <w:color w:val="000000" w:themeColor="text1"/>
          <w:sz w:val="24"/>
          <w:szCs w:val="24"/>
        </w:rPr>
      </w:pPr>
    </w:p>
    <w:p w:rsidR="00B67B61" w:rsidRDefault="00B67B61" w:rsidP="00B67B61">
      <w:pPr>
        <w:rPr>
          <w:rFonts w:cs="Arial"/>
          <w:b/>
          <w:color w:val="000000" w:themeColor="text1"/>
          <w:sz w:val="24"/>
          <w:szCs w:val="24"/>
        </w:rPr>
      </w:pPr>
      <w:r>
        <w:rPr>
          <w:rFonts w:cs="Arial"/>
          <w:b/>
          <w:color w:val="000000" w:themeColor="text1"/>
          <w:sz w:val="24"/>
          <w:szCs w:val="24"/>
        </w:rPr>
        <w:br w:type="page"/>
      </w:r>
    </w:p>
    <w:p w:rsidR="00B67B61" w:rsidRPr="00CF10B0" w:rsidRDefault="00B67B61" w:rsidP="00B67B61">
      <w:pPr>
        <w:spacing w:after="120"/>
        <w:rPr>
          <w:rFonts w:cs="Arial"/>
          <w:b/>
          <w:color w:val="000000" w:themeColor="text1"/>
          <w:sz w:val="24"/>
          <w:szCs w:val="24"/>
        </w:rPr>
      </w:pPr>
      <w:r w:rsidRPr="008D560D">
        <w:rPr>
          <w:rFonts w:cs="Arial"/>
          <w:b/>
          <w:color w:val="000000" w:themeColor="text1"/>
          <w:sz w:val="24"/>
          <w:szCs w:val="24"/>
        </w:rPr>
        <w:lastRenderedPageBreak/>
        <w:t>2° Piano</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1312" behindDoc="1" locked="0" layoutInCell="1" allowOverlap="1" wp14:anchorId="030763B8" wp14:editId="4D893693">
            <wp:simplePos x="0" y="0"/>
            <wp:positionH relativeFrom="column">
              <wp:posOffset>22860</wp:posOffset>
            </wp:positionH>
            <wp:positionV relativeFrom="paragraph">
              <wp:posOffset>19685</wp:posOffset>
            </wp:positionV>
            <wp:extent cx="6120130" cy="2710180"/>
            <wp:effectExtent l="19050" t="19050" r="13970" b="1397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710180"/>
                    </a:xfrm>
                    <a:prstGeom prst="rect">
                      <a:avLst/>
                    </a:prstGeom>
                    <a:ln>
                      <a:solidFill>
                        <a:sysClr val="windowText" lastClr="000000"/>
                      </a:solidFill>
                    </a:ln>
                  </pic:spPr>
                </pic:pic>
              </a:graphicData>
            </a:graphic>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Default="00B67B61" w:rsidP="00B67B61">
      <w:pPr>
        <w:spacing w:after="120"/>
        <w:rPr>
          <w:rFonts w:cs="Arial"/>
          <w:b/>
          <w:color w:val="000000" w:themeColor="text1"/>
          <w:sz w:val="24"/>
          <w:szCs w:val="24"/>
        </w:rPr>
      </w:pPr>
      <w:r w:rsidRPr="008D560D">
        <w:rPr>
          <w:rFonts w:cs="Arial"/>
          <w:b/>
          <w:color w:val="000000" w:themeColor="text1"/>
          <w:sz w:val="24"/>
          <w:szCs w:val="24"/>
        </w:rPr>
        <w:t>3° Piano</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2336" behindDoc="1" locked="0" layoutInCell="1" allowOverlap="1" wp14:anchorId="23FF901B" wp14:editId="1E48191A">
            <wp:simplePos x="0" y="0"/>
            <wp:positionH relativeFrom="column">
              <wp:posOffset>22860</wp:posOffset>
            </wp:positionH>
            <wp:positionV relativeFrom="paragraph">
              <wp:posOffset>20955</wp:posOffset>
            </wp:positionV>
            <wp:extent cx="6120130" cy="2713990"/>
            <wp:effectExtent l="19050" t="19050" r="13970" b="1016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713990"/>
                    </a:xfrm>
                    <a:prstGeom prst="rect">
                      <a:avLst/>
                    </a:prstGeom>
                    <a:ln>
                      <a:solidFill>
                        <a:sysClr val="windowText" lastClr="000000"/>
                      </a:solidFill>
                    </a:ln>
                  </pic:spPr>
                </pic:pic>
              </a:graphicData>
            </a:graphic>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spacing w:after="240"/>
        <w:rPr>
          <w:rFonts w:cs="Arial"/>
          <w:color w:val="000000" w:themeColor="text1"/>
          <w:sz w:val="24"/>
          <w:szCs w:val="24"/>
        </w:rPr>
      </w:pPr>
    </w:p>
    <w:p w:rsidR="00B67B61" w:rsidRDefault="00B67B61" w:rsidP="00B67B61">
      <w:pPr>
        <w:rPr>
          <w:rFonts w:cs="Arial"/>
          <w:b/>
          <w:color w:val="000000" w:themeColor="text1"/>
          <w:sz w:val="24"/>
          <w:szCs w:val="24"/>
          <w:highlight w:val="yellow"/>
        </w:rPr>
      </w:pPr>
      <w:r>
        <w:rPr>
          <w:rFonts w:cs="Arial"/>
          <w:b/>
          <w:color w:val="000000" w:themeColor="text1"/>
          <w:sz w:val="24"/>
          <w:szCs w:val="24"/>
          <w:highlight w:val="yellow"/>
        </w:rPr>
        <w:br w:type="page"/>
      </w:r>
    </w:p>
    <w:p w:rsidR="00B67B61" w:rsidRPr="00CF10B0" w:rsidRDefault="00B67B61" w:rsidP="00B67B61">
      <w:pPr>
        <w:spacing w:after="120"/>
        <w:rPr>
          <w:rFonts w:cs="Arial"/>
          <w:b/>
          <w:color w:val="000000" w:themeColor="text1"/>
          <w:sz w:val="24"/>
          <w:szCs w:val="24"/>
        </w:rPr>
      </w:pPr>
      <w:r w:rsidRPr="008D560D">
        <w:rPr>
          <w:rFonts w:cs="Arial"/>
          <w:b/>
          <w:color w:val="000000" w:themeColor="text1"/>
          <w:sz w:val="24"/>
          <w:szCs w:val="24"/>
        </w:rPr>
        <w:lastRenderedPageBreak/>
        <w:t>Piano copertura</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3360" behindDoc="1" locked="0" layoutInCell="1" allowOverlap="1" wp14:anchorId="4EF7C440" wp14:editId="1230A1DF">
            <wp:simplePos x="0" y="0"/>
            <wp:positionH relativeFrom="margin">
              <wp:align>left</wp:align>
            </wp:positionH>
            <wp:positionV relativeFrom="paragraph">
              <wp:posOffset>28437</wp:posOffset>
            </wp:positionV>
            <wp:extent cx="6120130" cy="2658110"/>
            <wp:effectExtent l="19050" t="19050" r="13970" b="2794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658110"/>
                    </a:xfrm>
                    <a:prstGeom prst="rect">
                      <a:avLst/>
                    </a:prstGeom>
                    <a:ln>
                      <a:solidFill>
                        <a:sysClr val="windowText" lastClr="000000"/>
                      </a:solidFill>
                    </a:ln>
                  </pic:spPr>
                </pic:pic>
              </a:graphicData>
            </a:graphic>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spacing w:after="240"/>
        <w:rPr>
          <w:rFonts w:cs="Arial"/>
          <w:color w:val="000000" w:themeColor="text1"/>
          <w:sz w:val="24"/>
          <w:szCs w:val="24"/>
        </w:rPr>
      </w:pPr>
    </w:p>
    <w:p w:rsidR="00B67B61" w:rsidRPr="00CF10B0" w:rsidRDefault="00B67B61" w:rsidP="00B67B61">
      <w:pPr>
        <w:spacing w:after="120"/>
        <w:rPr>
          <w:rFonts w:cs="Arial"/>
          <w:b/>
          <w:color w:val="000000" w:themeColor="text1"/>
          <w:sz w:val="24"/>
          <w:szCs w:val="24"/>
        </w:rPr>
      </w:pPr>
      <w:r w:rsidRPr="00CF10B0">
        <w:rPr>
          <w:rFonts w:cs="Arial"/>
          <w:b/>
          <w:color w:val="000000" w:themeColor="text1"/>
          <w:sz w:val="24"/>
          <w:szCs w:val="24"/>
        </w:rPr>
        <w:t>Piano interrato</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4384" behindDoc="1" locked="0" layoutInCell="1" allowOverlap="1" wp14:anchorId="6EBE9A96" wp14:editId="213D5DA3">
            <wp:simplePos x="0" y="0"/>
            <wp:positionH relativeFrom="margin">
              <wp:align>left</wp:align>
            </wp:positionH>
            <wp:positionV relativeFrom="paragraph">
              <wp:posOffset>32717</wp:posOffset>
            </wp:positionV>
            <wp:extent cx="6120130" cy="2684145"/>
            <wp:effectExtent l="19050" t="19050" r="13970" b="2095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684145"/>
                    </a:xfrm>
                    <a:prstGeom prst="rect">
                      <a:avLst/>
                    </a:prstGeom>
                    <a:ln>
                      <a:solidFill>
                        <a:sysClr val="windowText" lastClr="000000"/>
                      </a:solidFill>
                    </a:ln>
                  </pic:spPr>
                </pic:pic>
              </a:graphicData>
            </a:graphic>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Default="00B67B61" w:rsidP="00B67B61">
      <w:pPr>
        <w:rPr>
          <w:rFonts w:eastAsia="MS Mincho" w:cs="Arial"/>
          <w:b/>
          <w:bCs/>
          <w:color w:val="000000" w:themeColor="text1"/>
          <w:sz w:val="24"/>
          <w:szCs w:val="24"/>
          <w:lang w:val="it-IT" w:eastAsia="ja-JP"/>
        </w:rPr>
      </w:pPr>
      <w:r>
        <w:rPr>
          <w:rFonts w:cs="Arial"/>
          <w:b/>
          <w:bCs/>
          <w:color w:val="000000" w:themeColor="text1"/>
        </w:rPr>
        <w:br w:type="page"/>
      </w:r>
    </w:p>
    <w:p w:rsidR="00B67B61" w:rsidRPr="00E0121F" w:rsidRDefault="00B67B61" w:rsidP="00E0121F">
      <w:pPr>
        <w:pStyle w:val="Titolo3"/>
        <w:numPr>
          <w:ilvl w:val="0"/>
          <w:numId w:val="0"/>
        </w:numPr>
        <w:tabs>
          <w:tab w:val="left" w:pos="709"/>
        </w:tabs>
        <w:spacing w:after="120"/>
        <w:jc w:val="both"/>
        <w:rPr>
          <w:rFonts w:eastAsia="Calibri" w:cs="Times New Roman"/>
          <w:i/>
          <w:sz w:val="23"/>
          <w:szCs w:val="23"/>
          <w:lang w:val="it-IT" w:eastAsia="it-IT"/>
        </w:rPr>
      </w:pPr>
      <w:r w:rsidRPr="00E0121F">
        <w:rPr>
          <w:rFonts w:eastAsia="Calibri" w:cs="Times New Roman"/>
          <w:i/>
          <w:sz w:val="23"/>
          <w:szCs w:val="23"/>
          <w:lang w:val="it-IT" w:eastAsia="it-IT"/>
        </w:rPr>
        <w:lastRenderedPageBreak/>
        <w:t>3.3.2</w:t>
      </w:r>
      <w:r w:rsidRPr="00E0121F">
        <w:rPr>
          <w:rFonts w:eastAsia="Calibri" w:cs="Times New Roman"/>
          <w:i/>
          <w:sz w:val="23"/>
          <w:szCs w:val="23"/>
          <w:lang w:val="it-IT" w:eastAsia="it-IT"/>
        </w:rPr>
        <w:tab/>
        <w:t>Visualizzazioni zone</w:t>
      </w: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5408" behindDoc="1" locked="0" layoutInCell="1" allowOverlap="1" wp14:anchorId="4A3DF47B" wp14:editId="45D8EA5A">
            <wp:simplePos x="0" y="0"/>
            <wp:positionH relativeFrom="column">
              <wp:posOffset>0</wp:posOffset>
            </wp:positionH>
            <wp:positionV relativeFrom="paragraph">
              <wp:posOffset>81281</wp:posOffset>
            </wp:positionV>
            <wp:extent cx="5640925" cy="3924300"/>
            <wp:effectExtent l="19050" t="19050" r="17145" b="1905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9428" b="11098"/>
                    <a:stretch/>
                  </pic:blipFill>
                  <pic:spPr bwMode="auto">
                    <a:xfrm>
                      <a:off x="0" y="0"/>
                      <a:ext cx="5642341" cy="39252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r w:rsidRPr="00CF10B0">
        <w:rPr>
          <w:rFonts w:cs="Arial"/>
          <w:noProof/>
          <w:color w:val="000000" w:themeColor="text1"/>
          <w:sz w:val="24"/>
          <w:szCs w:val="24"/>
          <w:lang w:eastAsia="it-CH"/>
        </w:rPr>
        <w:drawing>
          <wp:anchor distT="0" distB="0" distL="114300" distR="114300" simplePos="0" relativeHeight="251666432" behindDoc="1" locked="0" layoutInCell="1" allowOverlap="1" wp14:anchorId="2DA3461A" wp14:editId="6BC53141">
            <wp:simplePos x="0" y="0"/>
            <wp:positionH relativeFrom="column">
              <wp:posOffset>0</wp:posOffset>
            </wp:positionH>
            <wp:positionV relativeFrom="paragraph">
              <wp:posOffset>14605</wp:posOffset>
            </wp:positionV>
            <wp:extent cx="5635620" cy="4210050"/>
            <wp:effectExtent l="19050" t="19050" r="22860" b="190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6343" b="2786"/>
                    <a:stretch/>
                  </pic:blipFill>
                  <pic:spPr bwMode="auto">
                    <a:xfrm>
                      <a:off x="0" y="0"/>
                      <a:ext cx="5640980" cy="421405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p>
    <w:p w:rsidR="00B67B61" w:rsidRPr="00E0121F" w:rsidRDefault="00B67B61" w:rsidP="00E0121F">
      <w:pPr>
        <w:pStyle w:val="Titolo2"/>
        <w:numPr>
          <w:ilvl w:val="0"/>
          <w:numId w:val="0"/>
        </w:numPr>
        <w:tabs>
          <w:tab w:val="left" w:pos="567"/>
        </w:tabs>
        <w:spacing w:before="0" w:after="120"/>
        <w:jc w:val="both"/>
        <w:rPr>
          <w:rFonts w:eastAsia="Calibri" w:cs="Times New Roman"/>
          <w:sz w:val="24"/>
          <w:lang w:val="it-IT" w:eastAsia="it-IT"/>
        </w:rPr>
      </w:pPr>
      <w:r w:rsidRPr="00E0121F">
        <w:rPr>
          <w:rFonts w:eastAsia="Calibri" w:cs="Times New Roman"/>
          <w:sz w:val="24"/>
          <w:lang w:val="it-IT" w:eastAsia="it-IT"/>
        </w:rPr>
        <w:lastRenderedPageBreak/>
        <w:t xml:space="preserve">3.4 </w:t>
      </w:r>
      <w:r w:rsidRPr="00E0121F">
        <w:rPr>
          <w:rFonts w:eastAsia="Calibri" w:cs="Times New Roman"/>
          <w:sz w:val="24"/>
          <w:lang w:val="it-IT" w:eastAsia="it-IT"/>
        </w:rPr>
        <w:tab/>
        <w:t xml:space="preserve">Aspetti tecnici del progetto </w:t>
      </w:r>
    </w:p>
    <w:p w:rsidR="00B67B61" w:rsidRDefault="00B67B61" w:rsidP="00B67B61">
      <w:pPr>
        <w:rPr>
          <w:rFonts w:cs="Arial"/>
          <w:color w:val="000000" w:themeColor="text1"/>
          <w:sz w:val="24"/>
          <w:szCs w:val="24"/>
        </w:rPr>
      </w:pPr>
      <w:r>
        <w:rPr>
          <w:rFonts w:cs="Arial"/>
          <w:color w:val="000000" w:themeColor="text1"/>
          <w:sz w:val="24"/>
          <w:szCs w:val="24"/>
        </w:rPr>
        <w:t xml:space="preserve">Il messaggio indica in modo dettagliato vari aspetti tecnici del progetto come facciate, concetto strutturale, interventi sullo stabile esistente e sull’esterno, infrastrutture, concetto energetico. </w:t>
      </w:r>
    </w:p>
    <w:p w:rsidR="00B67B61" w:rsidRDefault="00B67B61" w:rsidP="00B67B61">
      <w:pPr>
        <w:rPr>
          <w:rFonts w:cs="Arial"/>
          <w:color w:val="000000" w:themeColor="text1"/>
          <w:sz w:val="24"/>
          <w:szCs w:val="24"/>
        </w:rPr>
      </w:pPr>
      <w:r>
        <w:rPr>
          <w:rFonts w:cs="Arial"/>
          <w:color w:val="000000" w:themeColor="text1"/>
          <w:sz w:val="24"/>
          <w:szCs w:val="24"/>
        </w:rPr>
        <w:t>Il rapporto evita per economia di riprendere il testo che non potrebbe essere fatto meglio.</w:t>
      </w:r>
    </w:p>
    <w:p w:rsidR="00B67B61"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r>
        <w:rPr>
          <w:rFonts w:cs="Arial"/>
          <w:color w:val="000000" w:themeColor="text1"/>
          <w:sz w:val="24"/>
          <w:szCs w:val="24"/>
        </w:rPr>
        <w:t>L’attualità ci porta invece a riprendere sottolineare gli aspetti legati alla sostenibilità del progetto a cui si pone un’attenzione particolare come ben illustrato dal messaggio.</w:t>
      </w:r>
    </w:p>
    <w:p w:rsidR="00B67B61" w:rsidRPr="00CF10B0" w:rsidRDefault="00B67B61" w:rsidP="00B67B61">
      <w:pPr>
        <w:rPr>
          <w:rFonts w:cs="Arial"/>
          <w:color w:val="000000" w:themeColor="text1"/>
          <w:sz w:val="24"/>
          <w:szCs w:val="24"/>
        </w:rPr>
      </w:pPr>
    </w:p>
    <w:p w:rsidR="00B67B61" w:rsidRPr="008D560D" w:rsidRDefault="00B67B61" w:rsidP="00B67B61">
      <w:pPr>
        <w:rPr>
          <w:rFonts w:cs="Arial"/>
          <w:color w:val="000000" w:themeColor="text1"/>
          <w:sz w:val="24"/>
          <w:szCs w:val="24"/>
        </w:rPr>
      </w:pPr>
      <w:r w:rsidRPr="008D560D">
        <w:rPr>
          <w:rFonts w:cs="Arial"/>
          <w:color w:val="000000" w:themeColor="text1"/>
          <w:sz w:val="24"/>
          <w:szCs w:val="24"/>
        </w:rPr>
        <w:t>Il progetto di ristrutturazione e ampliamento del liceo renderà possibile il rinnovo integrale del ciclo di vita e l’ampliamento del liceo esistente, trasformando il complesso liceale ormai obsoleto in una nuova scuola contemporanea, capace di offrire condizioni ottimali per l’insegnamento, l’apprendimento e le attività culturali promosse dal liceo.</w:t>
      </w:r>
    </w:p>
    <w:p w:rsidR="00B67B61" w:rsidRPr="008D560D" w:rsidRDefault="00B67B61" w:rsidP="00B67B61">
      <w:pPr>
        <w:rPr>
          <w:rFonts w:cs="Arial"/>
          <w:color w:val="000000" w:themeColor="text1"/>
          <w:sz w:val="24"/>
          <w:szCs w:val="24"/>
        </w:rPr>
      </w:pPr>
    </w:p>
    <w:p w:rsidR="00B67B61" w:rsidRPr="008D560D" w:rsidRDefault="00B67B61" w:rsidP="00B67B61">
      <w:pPr>
        <w:spacing w:after="120"/>
        <w:rPr>
          <w:rFonts w:cs="Arial"/>
          <w:color w:val="000000" w:themeColor="text1"/>
          <w:sz w:val="24"/>
          <w:szCs w:val="24"/>
        </w:rPr>
      </w:pPr>
      <w:r w:rsidRPr="008D560D">
        <w:rPr>
          <w:rFonts w:cs="Arial"/>
          <w:color w:val="000000" w:themeColor="text1"/>
          <w:sz w:val="24"/>
          <w:szCs w:val="24"/>
        </w:rPr>
        <w:t>Il progetto garantisce:</w:t>
      </w:r>
    </w:p>
    <w:p w:rsidR="00B67B61" w:rsidRPr="008D560D" w:rsidRDefault="00B67B61" w:rsidP="00E0121F">
      <w:pPr>
        <w:pStyle w:val="Paragrafoelenco"/>
        <w:numPr>
          <w:ilvl w:val="0"/>
          <w:numId w:val="24"/>
        </w:numPr>
        <w:spacing w:after="120"/>
        <w:ind w:left="284" w:hanging="284"/>
        <w:contextualSpacing w:val="0"/>
        <w:rPr>
          <w:rFonts w:cs="Arial"/>
          <w:color w:val="000000" w:themeColor="text1"/>
          <w:sz w:val="24"/>
          <w:szCs w:val="24"/>
        </w:rPr>
      </w:pPr>
      <w:r w:rsidRPr="008D560D">
        <w:rPr>
          <w:rFonts w:cs="Arial"/>
          <w:color w:val="000000" w:themeColor="text1"/>
          <w:sz w:val="24"/>
          <w:szCs w:val="24"/>
        </w:rPr>
        <w:t>l’integrazione ottimale nel contesto preesistente in modo da assicurarne uno sviluppo armonioso e sostenibile;</w:t>
      </w:r>
    </w:p>
    <w:p w:rsidR="00B67B61" w:rsidRPr="008D560D" w:rsidRDefault="00B67B61" w:rsidP="00E0121F">
      <w:pPr>
        <w:pStyle w:val="Paragrafoelenco"/>
        <w:numPr>
          <w:ilvl w:val="0"/>
          <w:numId w:val="24"/>
        </w:numPr>
        <w:spacing w:after="120"/>
        <w:ind w:left="284" w:hanging="284"/>
        <w:contextualSpacing w:val="0"/>
        <w:rPr>
          <w:rFonts w:cs="Arial"/>
          <w:color w:val="000000" w:themeColor="text1"/>
          <w:sz w:val="24"/>
          <w:szCs w:val="24"/>
        </w:rPr>
      </w:pPr>
      <w:r w:rsidRPr="008D560D">
        <w:rPr>
          <w:rFonts w:cs="Arial"/>
          <w:color w:val="000000" w:themeColor="text1"/>
          <w:sz w:val="24"/>
          <w:szCs w:val="24"/>
        </w:rPr>
        <w:t>il rispetto dell’ambiente, preservando le risorse non sfruttate mediante un uso parsimonioso del suolo;</w:t>
      </w:r>
    </w:p>
    <w:p w:rsidR="00B67B61" w:rsidRPr="008D560D" w:rsidRDefault="00B67B61" w:rsidP="00E0121F">
      <w:pPr>
        <w:pStyle w:val="Paragrafoelenco"/>
        <w:numPr>
          <w:ilvl w:val="0"/>
          <w:numId w:val="24"/>
        </w:numPr>
        <w:spacing w:after="120"/>
        <w:ind w:left="284" w:hanging="284"/>
        <w:contextualSpacing w:val="0"/>
        <w:jc w:val="left"/>
        <w:rPr>
          <w:rFonts w:cs="Arial"/>
          <w:color w:val="000000" w:themeColor="text1"/>
          <w:sz w:val="24"/>
          <w:szCs w:val="24"/>
        </w:rPr>
      </w:pPr>
      <w:r w:rsidRPr="008D560D">
        <w:rPr>
          <w:rFonts w:cs="Arial"/>
          <w:color w:val="000000" w:themeColor="text1"/>
          <w:sz w:val="24"/>
          <w:szCs w:val="24"/>
        </w:rPr>
        <w:t>l’apertura alla collettività nelle sue pertinenze pubbliche e semi pubbliche;</w:t>
      </w:r>
    </w:p>
    <w:p w:rsidR="00B67B61" w:rsidRPr="008D560D" w:rsidRDefault="00B67B61" w:rsidP="00E0121F">
      <w:pPr>
        <w:pStyle w:val="Paragrafoelenco"/>
        <w:numPr>
          <w:ilvl w:val="0"/>
          <w:numId w:val="24"/>
        </w:numPr>
        <w:spacing w:after="120"/>
        <w:ind w:left="284" w:hanging="284"/>
        <w:contextualSpacing w:val="0"/>
        <w:rPr>
          <w:rFonts w:cs="Arial"/>
          <w:color w:val="000000" w:themeColor="text1"/>
          <w:sz w:val="24"/>
          <w:szCs w:val="24"/>
        </w:rPr>
      </w:pPr>
      <w:r w:rsidRPr="008D560D">
        <w:rPr>
          <w:rFonts w:cs="Arial"/>
          <w:color w:val="000000" w:themeColor="text1"/>
          <w:sz w:val="24"/>
          <w:szCs w:val="24"/>
        </w:rPr>
        <w:t>un’elevata qualità di utilizzo grazie alla funzionalità, alla sinergia e alla reversibilità degli spazi;</w:t>
      </w:r>
    </w:p>
    <w:p w:rsidR="00B67B61" w:rsidRPr="008D560D" w:rsidRDefault="00B67B61" w:rsidP="00E0121F">
      <w:pPr>
        <w:pStyle w:val="Paragrafoelenco"/>
        <w:numPr>
          <w:ilvl w:val="0"/>
          <w:numId w:val="24"/>
        </w:numPr>
        <w:spacing w:after="120"/>
        <w:ind w:left="284" w:hanging="284"/>
        <w:contextualSpacing w:val="0"/>
        <w:rPr>
          <w:rFonts w:cs="Arial"/>
          <w:color w:val="000000" w:themeColor="text1"/>
          <w:sz w:val="24"/>
          <w:szCs w:val="24"/>
        </w:rPr>
      </w:pPr>
      <w:r w:rsidRPr="008D560D">
        <w:rPr>
          <w:rFonts w:cs="Arial"/>
          <w:color w:val="000000" w:themeColor="text1"/>
          <w:sz w:val="24"/>
          <w:szCs w:val="24"/>
        </w:rPr>
        <w:t>l’adempimento dei requisiti energetici ed ambientali conformi alle normative in essere</w:t>
      </w:r>
    </w:p>
    <w:p w:rsidR="00B67B61" w:rsidRPr="008D560D" w:rsidRDefault="00B67B61" w:rsidP="007F24F6">
      <w:pPr>
        <w:pStyle w:val="Paragrafoelenco"/>
        <w:numPr>
          <w:ilvl w:val="0"/>
          <w:numId w:val="24"/>
        </w:numPr>
        <w:ind w:left="284" w:hanging="284"/>
        <w:contextualSpacing w:val="0"/>
        <w:jc w:val="left"/>
        <w:rPr>
          <w:rFonts w:cs="Arial"/>
          <w:color w:val="000000" w:themeColor="text1"/>
          <w:sz w:val="24"/>
          <w:szCs w:val="24"/>
        </w:rPr>
      </w:pPr>
      <w:r w:rsidRPr="008D560D">
        <w:rPr>
          <w:rFonts w:cs="Arial"/>
          <w:color w:val="000000" w:themeColor="text1"/>
          <w:sz w:val="24"/>
          <w:szCs w:val="24"/>
        </w:rPr>
        <w:t>un elevato comfort ambientale interno ed esterno.</w:t>
      </w:r>
    </w:p>
    <w:p w:rsidR="00B67B61" w:rsidRPr="008D560D" w:rsidRDefault="00B67B61" w:rsidP="00B67B61">
      <w:pPr>
        <w:rPr>
          <w:rFonts w:cs="Arial"/>
          <w:color w:val="000000" w:themeColor="text1"/>
          <w:sz w:val="24"/>
          <w:szCs w:val="24"/>
        </w:rPr>
      </w:pPr>
    </w:p>
    <w:p w:rsidR="00B67B61" w:rsidRDefault="00B67B61" w:rsidP="00B67B61">
      <w:pPr>
        <w:rPr>
          <w:rFonts w:cs="Arial"/>
          <w:color w:val="000000" w:themeColor="text1"/>
          <w:sz w:val="24"/>
          <w:szCs w:val="24"/>
        </w:rPr>
      </w:pPr>
      <w:r w:rsidRPr="008D560D">
        <w:rPr>
          <w:rFonts w:cs="Arial"/>
          <w:color w:val="000000" w:themeColor="text1"/>
          <w:sz w:val="24"/>
          <w:szCs w:val="24"/>
        </w:rPr>
        <w:t>Il concetto di intervento con mantenimento dell’esistente permette di limitare l’utilizzo di nuovi materiali, con un notevole risparmio di energia grigia altrimenti necessaria per realizzare un edificio completamente nuovo. Le demolizioni sono limitate a quanto strettamente indispensabile, per ridurre al minimo il quantitativo di materiali di scarto.</w:t>
      </w:r>
    </w:p>
    <w:p w:rsidR="00E0121F" w:rsidRPr="008D560D" w:rsidRDefault="00E0121F" w:rsidP="00B67B61">
      <w:pPr>
        <w:rPr>
          <w:rFonts w:cs="Arial"/>
          <w:color w:val="000000" w:themeColor="text1"/>
          <w:sz w:val="24"/>
          <w:szCs w:val="24"/>
        </w:rPr>
      </w:pPr>
    </w:p>
    <w:p w:rsidR="00B67B61" w:rsidRDefault="00B67B61" w:rsidP="00B67B61">
      <w:pPr>
        <w:rPr>
          <w:rFonts w:cs="Arial"/>
          <w:color w:val="000000" w:themeColor="text1"/>
          <w:sz w:val="24"/>
          <w:szCs w:val="24"/>
        </w:rPr>
      </w:pPr>
      <w:r w:rsidRPr="008D560D">
        <w:rPr>
          <w:rFonts w:cs="Arial"/>
          <w:color w:val="000000" w:themeColor="text1"/>
          <w:sz w:val="24"/>
          <w:szCs w:val="24"/>
        </w:rPr>
        <w:t>Il rinnovamento del ciclo di vita dell’edificio permette una limitazione delle immissioni di CO2 considerevole rispetto a una nuova costruzione e un migliore bilancio energetico globale, ispirandosi agli obiettivi di quello Standard di Costruzione Sostenibile Svizzera (SNBS) che si va affermando velocemente a livello svizzero.</w:t>
      </w:r>
    </w:p>
    <w:p w:rsidR="00E0121F" w:rsidRPr="008D560D" w:rsidRDefault="00E0121F" w:rsidP="00B67B61">
      <w:pPr>
        <w:rPr>
          <w:rFonts w:cs="Arial"/>
          <w:color w:val="000000" w:themeColor="text1"/>
          <w:sz w:val="24"/>
          <w:szCs w:val="24"/>
        </w:rPr>
      </w:pPr>
    </w:p>
    <w:p w:rsidR="00B67B61" w:rsidRDefault="00B67B61" w:rsidP="00B67B61">
      <w:pPr>
        <w:rPr>
          <w:rFonts w:cs="Arial"/>
          <w:color w:val="000000" w:themeColor="text1"/>
          <w:sz w:val="24"/>
          <w:szCs w:val="24"/>
        </w:rPr>
      </w:pPr>
      <w:r w:rsidRPr="008D560D">
        <w:rPr>
          <w:rFonts w:cs="Arial"/>
          <w:color w:val="000000" w:themeColor="text1"/>
          <w:sz w:val="24"/>
          <w:szCs w:val="24"/>
        </w:rPr>
        <w:t>La realizzazione di un isolamento termico efficace dell’edificio esistente, nonché di un ampliamento secondo Standard Minergie, permetterà una riduzione consistente dei fabbisogni di riscaldamento e raffrescamento del nuovo edificio, rispetto a quello attuale. Negli interventi si darà, dove possibile, la priorità all’utilizzo di materiali con ridotta energia grigia, e limitati costi del ciclo di vita.</w:t>
      </w:r>
    </w:p>
    <w:p w:rsidR="00E0121F" w:rsidRPr="008D560D" w:rsidRDefault="00E0121F" w:rsidP="00B67B61">
      <w:pPr>
        <w:rPr>
          <w:rFonts w:cs="Arial"/>
          <w:color w:val="000000" w:themeColor="text1"/>
          <w:sz w:val="24"/>
          <w:szCs w:val="24"/>
        </w:rPr>
      </w:pPr>
    </w:p>
    <w:p w:rsidR="00B67B61" w:rsidRPr="008D560D" w:rsidRDefault="00B67B61" w:rsidP="00B67B61">
      <w:pPr>
        <w:rPr>
          <w:rFonts w:cs="Arial"/>
          <w:color w:val="000000" w:themeColor="text1"/>
          <w:sz w:val="24"/>
          <w:szCs w:val="24"/>
        </w:rPr>
      </w:pPr>
      <w:r w:rsidRPr="008D560D">
        <w:rPr>
          <w:rFonts w:cs="Arial"/>
          <w:color w:val="000000" w:themeColor="text1"/>
          <w:sz w:val="24"/>
          <w:szCs w:val="24"/>
        </w:rPr>
        <w:t>L’allacciamento alla rete TERIS (teleriscaldamento) permette di riscaldare l’edificio e produrre l’acqua calda sanitaria con il calore residuo dell’impianto di incenerimento (senza utilizzo di altro combustibile), senza alcuna emissione aggiuntiva in atmosfera (no camini, no ulteriore inquinamento).</w:t>
      </w:r>
    </w:p>
    <w:p w:rsidR="00B67B61" w:rsidRDefault="00B67B61" w:rsidP="00B67B61">
      <w:pPr>
        <w:rPr>
          <w:rFonts w:cs="Arial"/>
          <w:color w:val="000000" w:themeColor="text1"/>
          <w:sz w:val="24"/>
          <w:szCs w:val="24"/>
        </w:rPr>
      </w:pPr>
      <w:r w:rsidRPr="008D560D">
        <w:rPr>
          <w:rFonts w:cs="Arial"/>
          <w:color w:val="000000" w:themeColor="text1"/>
          <w:sz w:val="24"/>
          <w:szCs w:val="24"/>
        </w:rPr>
        <w:lastRenderedPageBreak/>
        <w:t>Per il raffrescamento dei locali è previsto l’uso di termopompe acqua/acqua ad elevata efficienza energetica. Le unità di trattamento aria per il ricambio igienico saranno provviste di recuperatore di calore superiore al 70% di rendimento.</w:t>
      </w:r>
    </w:p>
    <w:p w:rsidR="00E0121F" w:rsidRPr="008D560D" w:rsidRDefault="00E0121F" w:rsidP="00B67B61">
      <w:pPr>
        <w:rPr>
          <w:rFonts w:cs="Arial"/>
          <w:color w:val="000000" w:themeColor="text1"/>
          <w:sz w:val="24"/>
          <w:szCs w:val="24"/>
        </w:rPr>
      </w:pPr>
    </w:p>
    <w:p w:rsidR="00B67B61" w:rsidRPr="001522E9" w:rsidRDefault="00B67B61" w:rsidP="00B67B61">
      <w:pPr>
        <w:rPr>
          <w:rFonts w:cs="Arial"/>
          <w:color w:val="000000" w:themeColor="text1"/>
          <w:sz w:val="24"/>
          <w:szCs w:val="24"/>
        </w:rPr>
      </w:pPr>
      <w:r w:rsidRPr="001522E9">
        <w:rPr>
          <w:rFonts w:cs="Arial"/>
          <w:color w:val="000000" w:themeColor="text1"/>
          <w:sz w:val="24"/>
          <w:szCs w:val="24"/>
        </w:rPr>
        <w:t>Le termopompe e le macchine per la ventilazione saranno in parte alimentate da energia elettrica con l’obbiettivo di avere una copertura pari al 100% di energia rinnovabile, prodotta dall’impianto fotovoltaico previsto su tutta la copertura.</w:t>
      </w:r>
    </w:p>
    <w:p w:rsidR="00B67B61" w:rsidRPr="001522E9" w:rsidRDefault="00B67B61" w:rsidP="00B67B61">
      <w:pPr>
        <w:rPr>
          <w:rFonts w:cs="Arial"/>
          <w:color w:val="000000" w:themeColor="text1"/>
          <w:sz w:val="24"/>
          <w:szCs w:val="24"/>
        </w:rPr>
      </w:pPr>
      <w:r w:rsidRPr="001522E9">
        <w:rPr>
          <w:rFonts w:cs="Arial"/>
          <w:color w:val="000000" w:themeColor="text1"/>
          <w:sz w:val="24"/>
          <w:szCs w:val="24"/>
        </w:rPr>
        <w:t>I consumi di energia elettrica saranno contenuti, sia per l’uso di lampade a LED, sia per l’utilizzo di sensori di presenza (luci accese solo con persone presenti) e sensori di luce diurna (luce spenta se disponibile sufficiente illuminazione naturale).</w:t>
      </w:r>
    </w:p>
    <w:p w:rsidR="00B67B61" w:rsidRPr="001522E9" w:rsidRDefault="00B67B61" w:rsidP="00B67B61">
      <w:pPr>
        <w:rPr>
          <w:rFonts w:cs="Arial"/>
          <w:color w:val="000000" w:themeColor="text1"/>
          <w:sz w:val="24"/>
          <w:szCs w:val="24"/>
        </w:rPr>
      </w:pPr>
      <w:r w:rsidRPr="001522E9">
        <w:rPr>
          <w:rFonts w:cs="Arial"/>
          <w:color w:val="000000" w:themeColor="text1"/>
          <w:sz w:val="24"/>
          <w:szCs w:val="24"/>
        </w:rPr>
        <w:t>Gli isolamenti termici delle condotte di distribuzione avranno un coefficiente di disperdimento calorico molto basso, questo per ridurre al minimo gli sprechi energetici.</w:t>
      </w:r>
    </w:p>
    <w:p w:rsidR="00B67B61" w:rsidRPr="001522E9" w:rsidRDefault="00B67B61" w:rsidP="00B67B61">
      <w:pPr>
        <w:jc w:val="left"/>
        <w:rPr>
          <w:color w:val="000000"/>
          <w:sz w:val="24"/>
          <w:szCs w:val="24"/>
        </w:rPr>
      </w:pPr>
    </w:p>
    <w:p w:rsidR="00B67B61" w:rsidRPr="008D560D" w:rsidRDefault="00B67B61" w:rsidP="00B67B61">
      <w:pPr>
        <w:rPr>
          <w:rFonts w:cs="Arial"/>
          <w:color w:val="000000" w:themeColor="text1"/>
          <w:sz w:val="24"/>
          <w:szCs w:val="24"/>
        </w:rPr>
      </w:pPr>
      <w:r w:rsidRPr="001522E9">
        <w:rPr>
          <w:color w:val="000000"/>
          <w:sz w:val="24"/>
          <w:szCs w:val="24"/>
        </w:rPr>
        <w:t>Riassumendo si può affermare che l’efficienza energetica generale dell’edificio, con l’utilizzo dell’acqua di falda per il raffrescamento, il collegamento all’impianto di teleriscaldamento e la produzione di energia elettrica tramite un impianto fotovoltaico sull’intera copertura, permetterà di rispondere in maniera ottimale alle più attuali esigenze di sostenibilità energetica ed ambientale.</w:t>
      </w:r>
    </w:p>
    <w:p w:rsidR="00B67B61" w:rsidRDefault="00B67B61" w:rsidP="00B67B61">
      <w:pPr>
        <w:jc w:val="left"/>
        <w:rPr>
          <w:rFonts w:cs="Arial"/>
          <w:color w:val="000000" w:themeColor="text1"/>
          <w:sz w:val="24"/>
          <w:szCs w:val="24"/>
        </w:rPr>
      </w:pPr>
    </w:p>
    <w:p w:rsidR="00B67B61" w:rsidRPr="00CF10B0" w:rsidRDefault="00B67B61" w:rsidP="00B67B61">
      <w:pPr>
        <w:jc w:val="left"/>
        <w:rPr>
          <w:rFonts w:cs="Arial"/>
          <w:color w:val="000000" w:themeColor="text1"/>
          <w:sz w:val="24"/>
          <w:szCs w:val="24"/>
        </w:rPr>
      </w:pPr>
    </w:p>
    <w:p w:rsidR="00B67B61" w:rsidRPr="007F24F6" w:rsidRDefault="00B67B61" w:rsidP="007F24F6">
      <w:pPr>
        <w:pStyle w:val="Titolo1"/>
        <w:tabs>
          <w:tab w:val="left" w:pos="567"/>
        </w:tabs>
        <w:spacing w:before="0"/>
        <w:ind w:left="567" w:hanging="567"/>
        <w:jc w:val="both"/>
        <w:rPr>
          <w:rFonts w:eastAsia="Calibri" w:cs="Times New Roman"/>
          <w:caps/>
          <w:sz w:val="24"/>
          <w:szCs w:val="24"/>
          <w:lang w:val="it-IT" w:eastAsia="it-IT"/>
        </w:rPr>
      </w:pPr>
      <w:r w:rsidRPr="007F24F6">
        <w:rPr>
          <w:rFonts w:eastAsia="Calibri" w:cs="Times New Roman"/>
          <w:caps/>
          <w:sz w:val="24"/>
          <w:szCs w:val="24"/>
          <w:lang w:val="it-IT" w:eastAsia="it-IT"/>
        </w:rPr>
        <w:t>4.</w:t>
      </w:r>
      <w:r w:rsidRPr="007F24F6">
        <w:rPr>
          <w:rFonts w:eastAsia="Calibri" w:cs="Times New Roman"/>
          <w:caps/>
          <w:sz w:val="24"/>
          <w:szCs w:val="24"/>
          <w:lang w:val="it-IT" w:eastAsia="it-IT"/>
        </w:rPr>
        <w:tab/>
        <w:t>Aspetti finanziari</w:t>
      </w:r>
    </w:p>
    <w:p w:rsidR="00B67B61" w:rsidRDefault="00B67B61" w:rsidP="00B67B61">
      <w:pPr>
        <w:rPr>
          <w:sz w:val="24"/>
          <w:szCs w:val="24"/>
        </w:rPr>
      </w:pPr>
      <w:r w:rsidRPr="00CF10B0">
        <w:rPr>
          <w:sz w:val="24"/>
          <w:szCs w:val="24"/>
        </w:rPr>
        <w:t>Nel messaggio n. 8088 del 23.6.2021 il Consiglio di Stato ha aggiornato il Parlamento in merito ai costi dell’intervento di ristrutturazione basati su un progetto di massima, quindi con un grado di precisione del +/- 15%.</w:t>
      </w:r>
    </w:p>
    <w:p w:rsidR="007F24F6" w:rsidRPr="00CF10B0" w:rsidRDefault="007F24F6" w:rsidP="00B67B61">
      <w:pPr>
        <w:rPr>
          <w:sz w:val="24"/>
          <w:szCs w:val="24"/>
        </w:rPr>
      </w:pPr>
    </w:p>
    <w:p w:rsidR="00B67B61" w:rsidRPr="00CF10B0" w:rsidRDefault="00B67B61" w:rsidP="00B67B61">
      <w:pPr>
        <w:rPr>
          <w:sz w:val="24"/>
          <w:szCs w:val="24"/>
        </w:rPr>
      </w:pPr>
      <w:r w:rsidRPr="00CF10B0">
        <w:rPr>
          <w:sz w:val="24"/>
          <w:szCs w:val="24"/>
        </w:rPr>
        <w:t xml:space="preserve">A causa degli sviluppi geopolitici legati alla crisi ucraina, oltre al rapidissimo aumento del prezzo dell’energia, il materiale utilizzato nell’edilizia (in particolare, legno, acciaio, </w:t>
      </w:r>
      <w:r w:rsidRPr="008D560D">
        <w:rPr>
          <w:sz w:val="24"/>
          <w:szCs w:val="24"/>
        </w:rPr>
        <w:t>plastica, materiali isolanti derivanti dal petrolio, materie prime in genere) ha conosciuto un importante rincaro. In questo senso l’indice dei prezzi della costruzione nell’edilizia mostra un indice di 109.7 punti</w:t>
      </w:r>
      <w:r>
        <w:rPr>
          <w:sz w:val="24"/>
          <w:szCs w:val="24"/>
        </w:rPr>
        <w:t xml:space="preserve"> </w:t>
      </w:r>
      <w:r w:rsidRPr="008D560D">
        <w:rPr>
          <w:sz w:val="24"/>
          <w:szCs w:val="24"/>
        </w:rPr>
        <w:t>(+ 7.5%) contro un indice di 102 punti a metà 2021.</w:t>
      </w:r>
      <w:r w:rsidRPr="00CF10B0">
        <w:rPr>
          <w:sz w:val="24"/>
          <w:szCs w:val="24"/>
        </w:rPr>
        <w:t xml:space="preserve"> </w:t>
      </w:r>
    </w:p>
    <w:p w:rsidR="00B67B61" w:rsidRPr="00CF10B0" w:rsidRDefault="00B67B61" w:rsidP="00B67B61">
      <w:pPr>
        <w:rPr>
          <w:sz w:val="24"/>
          <w:szCs w:val="24"/>
        </w:rPr>
      </w:pPr>
    </w:p>
    <w:p w:rsidR="00B67B61" w:rsidRDefault="00B67B61" w:rsidP="00B67B61">
      <w:pPr>
        <w:rPr>
          <w:sz w:val="24"/>
          <w:szCs w:val="24"/>
        </w:rPr>
      </w:pPr>
      <w:r w:rsidRPr="00CF10B0">
        <w:rPr>
          <w:sz w:val="24"/>
          <w:szCs w:val="24"/>
        </w:rPr>
        <w:t xml:space="preserve">Ad oggi è stata esperita parzialmente la fase SIA 4.41 - Procedura d’appalto, con la pubblicazione di oltre il 50% del valore degli appalti necessari alla realizzazione dell’intero intervento. Le aperture degli appalti pubblicati finora, che rappresentano circa il 50% delle </w:t>
      </w:r>
      <w:r w:rsidRPr="008D560D">
        <w:rPr>
          <w:sz w:val="24"/>
          <w:szCs w:val="24"/>
        </w:rPr>
        <w:t xml:space="preserve">opere, confermano un aumento del costo dei singoli appalti. Questa differenza è dovuta all’aumento di costi delle materie prime utilizzate per la realizzazione delle opere. </w:t>
      </w:r>
    </w:p>
    <w:p w:rsidR="00B67B61" w:rsidRDefault="00B67B61" w:rsidP="00B67B61">
      <w:pPr>
        <w:rPr>
          <w:sz w:val="24"/>
          <w:szCs w:val="24"/>
        </w:rPr>
      </w:pPr>
    </w:p>
    <w:p w:rsidR="00B67B61" w:rsidRPr="008D560D" w:rsidRDefault="00B67B61" w:rsidP="007F24F6">
      <w:pPr>
        <w:spacing w:after="120"/>
        <w:rPr>
          <w:sz w:val="24"/>
          <w:szCs w:val="24"/>
        </w:rPr>
      </w:pPr>
      <w:r w:rsidRPr="008D560D">
        <w:rPr>
          <w:sz w:val="24"/>
          <w:szCs w:val="24"/>
        </w:rPr>
        <w:t>Dopo la messa in appalto del 50% delle opere, si riscontrano gli aumenti nelle seguenti opere/forniture:</w:t>
      </w:r>
    </w:p>
    <w:p w:rsidR="00B67B61" w:rsidRPr="007F24F6" w:rsidRDefault="00B67B61" w:rsidP="007F24F6">
      <w:pPr>
        <w:pStyle w:val="Paragrafoelenco"/>
        <w:numPr>
          <w:ilvl w:val="0"/>
          <w:numId w:val="25"/>
        </w:numPr>
        <w:spacing w:after="120"/>
        <w:rPr>
          <w:sz w:val="24"/>
          <w:szCs w:val="24"/>
        </w:rPr>
      </w:pPr>
      <w:r w:rsidRPr="007F24F6">
        <w:rPr>
          <w:sz w:val="24"/>
          <w:szCs w:val="24"/>
        </w:rPr>
        <w:t>Impresario costruttore</w:t>
      </w:r>
      <w:r w:rsidRPr="007F24F6">
        <w:rPr>
          <w:sz w:val="24"/>
          <w:szCs w:val="24"/>
        </w:rPr>
        <w:tab/>
        <w:t>+25%</w:t>
      </w:r>
      <w:r w:rsidRPr="007F24F6">
        <w:rPr>
          <w:sz w:val="24"/>
          <w:szCs w:val="24"/>
        </w:rPr>
        <w:tab/>
      </w:r>
      <w:r w:rsidRPr="007F24F6">
        <w:rPr>
          <w:sz w:val="24"/>
          <w:szCs w:val="24"/>
        </w:rPr>
        <w:tab/>
        <w:t>fr. +1.32 mio</w:t>
      </w:r>
    </w:p>
    <w:p w:rsidR="00B67B61" w:rsidRPr="007F24F6" w:rsidRDefault="00B67B61" w:rsidP="007F24F6">
      <w:pPr>
        <w:pStyle w:val="Paragrafoelenco"/>
        <w:numPr>
          <w:ilvl w:val="0"/>
          <w:numId w:val="25"/>
        </w:numPr>
        <w:spacing w:after="120"/>
        <w:rPr>
          <w:sz w:val="24"/>
          <w:szCs w:val="24"/>
        </w:rPr>
      </w:pPr>
      <w:r w:rsidRPr="007F24F6">
        <w:rPr>
          <w:sz w:val="24"/>
          <w:szCs w:val="24"/>
        </w:rPr>
        <w:t>Impianto di ventilazione</w:t>
      </w:r>
      <w:r w:rsidRPr="007F24F6">
        <w:rPr>
          <w:sz w:val="24"/>
          <w:szCs w:val="24"/>
        </w:rPr>
        <w:tab/>
        <w:t>+11%</w:t>
      </w:r>
      <w:r w:rsidRPr="007F24F6">
        <w:rPr>
          <w:sz w:val="24"/>
          <w:szCs w:val="24"/>
        </w:rPr>
        <w:tab/>
      </w:r>
      <w:r w:rsidRPr="007F24F6">
        <w:rPr>
          <w:sz w:val="24"/>
          <w:szCs w:val="24"/>
        </w:rPr>
        <w:tab/>
        <w:t>fr. +0.25 mio</w:t>
      </w:r>
    </w:p>
    <w:p w:rsidR="00B67B61" w:rsidRPr="007F24F6" w:rsidRDefault="00B67B61" w:rsidP="007F24F6">
      <w:pPr>
        <w:pStyle w:val="Paragrafoelenco"/>
        <w:numPr>
          <w:ilvl w:val="0"/>
          <w:numId w:val="25"/>
        </w:numPr>
        <w:spacing w:after="120"/>
        <w:rPr>
          <w:sz w:val="24"/>
          <w:szCs w:val="24"/>
        </w:rPr>
      </w:pPr>
      <w:r w:rsidRPr="007F24F6">
        <w:rPr>
          <w:sz w:val="24"/>
          <w:szCs w:val="24"/>
        </w:rPr>
        <w:t>Impianto san./risc.</w:t>
      </w:r>
      <w:r w:rsidRPr="007F24F6">
        <w:rPr>
          <w:sz w:val="24"/>
          <w:szCs w:val="24"/>
        </w:rPr>
        <w:tab/>
      </w:r>
      <w:r w:rsidRPr="007F24F6">
        <w:rPr>
          <w:sz w:val="24"/>
          <w:szCs w:val="24"/>
        </w:rPr>
        <w:tab/>
        <w:t>+4%</w:t>
      </w:r>
      <w:r w:rsidRPr="007F24F6">
        <w:rPr>
          <w:sz w:val="24"/>
          <w:szCs w:val="24"/>
        </w:rPr>
        <w:tab/>
      </w:r>
      <w:r w:rsidRPr="007F24F6">
        <w:rPr>
          <w:sz w:val="24"/>
          <w:szCs w:val="24"/>
        </w:rPr>
        <w:tab/>
        <w:t>fr. +0.10 mio</w:t>
      </w:r>
    </w:p>
    <w:p w:rsidR="00B67B61" w:rsidRPr="008D560D" w:rsidRDefault="00B67B61" w:rsidP="00B67B61">
      <w:pPr>
        <w:rPr>
          <w:sz w:val="24"/>
          <w:szCs w:val="24"/>
        </w:rPr>
      </w:pPr>
    </w:p>
    <w:p w:rsidR="007F24F6" w:rsidRDefault="00B67B61" w:rsidP="00B67B61">
      <w:pPr>
        <w:rPr>
          <w:sz w:val="24"/>
          <w:szCs w:val="24"/>
        </w:rPr>
      </w:pPr>
      <w:r w:rsidRPr="008D560D">
        <w:rPr>
          <w:sz w:val="24"/>
          <w:szCs w:val="24"/>
        </w:rPr>
        <w:t xml:space="preserve">Per quanto concerne le opere non ancora oggetto di una procedura di appalto (50% delle opere), stimiamo che possano esserci ulteriori incrementi di costo dovuto ai prezzi delle forniture pari a circa 1.3 milioni di franchi. Rispetto alle previsioni di costo contenute nel messaggio 8018 del 23 giugno 2021 riferite al progetto di massima, l’aumento dei costi di </w:t>
      </w:r>
      <w:r w:rsidRPr="008D560D">
        <w:rPr>
          <w:sz w:val="24"/>
          <w:szCs w:val="24"/>
        </w:rPr>
        <w:lastRenderedPageBreak/>
        <w:t xml:space="preserve">realizzazione della ristrutturazione del Liceo, rispetto a quanto indicato nel 2021, ammonta quindi a 2.9 mio, pari all’8%. </w:t>
      </w:r>
    </w:p>
    <w:p w:rsidR="00B67B61" w:rsidRDefault="00B67B61" w:rsidP="00B67B61">
      <w:pPr>
        <w:rPr>
          <w:sz w:val="24"/>
          <w:szCs w:val="24"/>
        </w:rPr>
      </w:pPr>
      <w:r w:rsidRPr="008D560D">
        <w:rPr>
          <w:sz w:val="24"/>
          <w:szCs w:val="24"/>
        </w:rPr>
        <w:t>Ricordiamo comunque che il preventivo del progetto di massima presentato nel messaggio 8018 del 23 giugno 2021 prevedeva una precisione dei costi del +/- 15% mentre il preventivo presentato con questo messaggio, basato sui risultati dei concorsi indetti per il 50% circa delle opere, ha un grado di precisione maggiore del +/- 10%.</w:t>
      </w:r>
    </w:p>
    <w:p w:rsidR="00B67B61" w:rsidRPr="00CF10B0" w:rsidRDefault="00B67B61" w:rsidP="00B67B61">
      <w:pPr>
        <w:rPr>
          <w:rFonts w:cs="Arial"/>
          <w:color w:val="000000" w:themeColor="text1"/>
          <w:sz w:val="24"/>
          <w:szCs w:val="24"/>
        </w:rPr>
      </w:pPr>
    </w:p>
    <w:tbl>
      <w:tblPr>
        <w:tblStyle w:val="Grigliatabella"/>
        <w:tblW w:w="9493" w:type="dxa"/>
        <w:jc w:val="center"/>
        <w:tblLook w:val="04A0" w:firstRow="1" w:lastRow="0" w:firstColumn="1" w:lastColumn="0" w:noHBand="0" w:noVBand="1"/>
      </w:tblPr>
      <w:tblGrid>
        <w:gridCol w:w="2699"/>
        <w:gridCol w:w="1666"/>
        <w:gridCol w:w="1736"/>
        <w:gridCol w:w="3392"/>
      </w:tblGrid>
      <w:tr w:rsidR="00B67B61" w:rsidRPr="007F24F6" w:rsidTr="00C316E6">
        <w:trPr>
          <w:trHeight w:val="841"/>
          <w:jc w:val="center"/>
        </w:trPr>
        <w:tc>
          <w:tcPr>
            <w:tcW w:w="2699" w:type="dxa"/>
            <w:shd w:val="clear" w:color="auto" w:fill="BFBFBF" w:themeFill="background1" w:themeFillShade="BF"/>
            <w:vAlign w:val="center"/>
          </w:tcPr>
          <w:p w:rsidR="00B67B61" w:rsidRPr="007F24F6" w:rsidRDefault="00B67B61" w:rsidP="00C316E6">
            <w:pPr>
              <w:pStyle w:val="Paragrafoelenco"/>
              <w:ind w:left="0"/>
              <w:rPr>
                <w:b/>
                <w:sz w:val="22"/>
                <w:szCs w:val="22"/>
              </w:rPr>
            </w:pPr>
            <w:r w:rsidRPr="007F24F6">
              <w:rPr>
                <w:b/>
                <w:sz w:val="22"/>
                <w:szCs w:val="22"/>
              </w:rPr>
              <w:t>Opera</w:t>
            </w:r>
          </w:p>
        </w:tc>
        <w:tc>
          <w:tcPr>
            <w:tcW w:w="3402" w:type="dxa"/>
            <w:gridSpan w:val="2"/>
            <w:shd w:val="clear" w:color="auto" w:fill="A6A6A6" w:themeFill="background1" w:themeFillShade="A6"/>
            <w:vAlign w:val="center"/>
          </w:tcPr>
          <w:p w:rsidR="00B67B61" w:rsidRPr="007F24F6" w:rsidRDefault="00B67B61" w:rsidP="00C316E6">
            <w:pPr>
              <w:pStyle w:val="Paragrafoelenco"/>
              <w:ind w:left="0"/>
              <w:jc w:val="center"/>
              <w:rPr>
                <w:b/>
                <w:sz w:val="22"/>
                <w:szCs w:val="22"/>
              </w:rPr>
            </w:pPr>
            <w:r w:rsidRPr="007F24F6">
              <w:rPr>
                <w:b/>
                <w:sz w:val="22"/>
                <w:szCs w:val="22"/>
              </w:rPr>
              <w:t>MG 8088 del 23.06.2021</w:t>
            </w:r>
          </w:p>
          <w:p w:rsidR="00B67B61" w:rsidRPr="007F24F6" w:rsidRDefault="00B67B61" w:rsidP="00C316E6">
            <w:pPr>
              <w:pStyle w:val="Paragrafoelenco"/>
              <w:ind w:left="0"/>
              <w:jc w:val="center"/>
              <w:rPr>
                <w:b/>
                <w:sz w:val="22"/>
                <w:szCs w:val="22"/>
              </w:rPr>
            </w:pPr>
            <w:r w:rsidRPr="007F24F6">
              <w:rPr>
                <w:b/>
                <w:sz w:val="22"/>
                <w:szCs w:val="22"/>
              </w:rPr>
              <w:t xml:space="preserve">fr. </w:t>
            </w:r>
          </w:p>
        </w:tc>
        <w:tc>
          <w:tcPr>
            <w:tcW w:w="3392" w:type="dxa"/>
            <w:shd w:val="clear" w:color="auto" w:fill="A6A6A6" w:themeFill="background1" w:themeFillShade="A6"/>
            <w:vAlign w:val="center"/>
          </w:tcPr>
          <w:p w:rsidR="00B67B61" w:rsidRPr="007F24F6" w:rsidRDefault="00B67B61" w:rsidP="00C316E6">
            <w:pPr>
              <w:pStyle w:val="Paragrafoelenco"/>
              <w:ind w:left="0"/>
              <w:jc w:val="center"/>
              <w:rPr>
                <w:b/>
                <w:sz w:val="22"/>
                <w:szCs w:val="22"/>
              </w:rPr>
            </w:pPr>
            <w:r w:rsidRPr="007F24F6">
              <w:rPr>
                <w:b/>
                <w:sz w:val="22"/>
                <w:szCs w:val="22"/>
              </w:rPr>
              <w:t>Attualizzazione preventivo 2022</w:t>
            </w:r>
          </w:p>
          <w:p w:rsidR="00B67B61" w:rsidRPr="007F24F6" w:rsidRDefault="00B67B61" w:rsidP="00C316E6">
            <w:pPr>
              <w:pStyle w:val="Paragrafoelenco"/>
              <w:ind w:left="0"/>
              <w:jc w:val="center"/>
              <w:rPr>
                <w:b/>
                <w:sz w:val="22"/>
                <w:szCs w:val="22"/>
              </w:rPr>
            </w:pPr>
            <w:r w:rsidRPr="007F24F6">
              <w:rPr>
                <w:b/>
                <w:sz w:val="22"/>
                <w:szCs w:val="22"/>
              </w:rPr>
              <w:t xml:space="preserve">fr. </w:t>
            </w:r>
          </w:p>
        </w:tc>
      </w:tr>
      <w:tr w:rsidR="00B67B61" w:rsidRPr="007F24F6" w:rsidTr="00C316E6">
        <w:trPr>
          <w:trHeight w:val="433"/>
          <w:jc w:val="center"/>
        </w:trPr>
        <w:tc>
          <w:tcPr>
            <w:tcW w:w="2699" w:type="dxa"/>
            <w:vAlign w:val="center"/>
          </w:tcPr>
          <w:p w:rsidR="00B67B61" w:rsidRPr="007F24F6" w:rsidRDefault="00B67B61" w:rsidP="00C316E6">
            <w:pPr>
              <w:pStyle w:val="Paragrafoelenco"/>
              <w:ind w:left="0"/>
              <w:rPr>
                <w:sz w:val="22"/>
                <w:szCs w:val="22"/>
              </w:rPr>
            </w:pPr>
            <w:r w:rsidRPr="007F24F6">
              <w:rPr>
                <w:sz w:val="22"/>
                <w:szCs w:val="22"/>
              </w:rPr>
              <w:t>Struttura Liceo provvisorio</w:t>
            </w:r>
          </w:p>
        </w:tc>
        <w:tc>
          <w:tcPr>
            <w:tcW w:w="3402" w:type="dxa"/>
            <w:gridSpan w:val="2"/>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8'900'000.--</w:t>
            </w:r>
          </w:p>
        </w:tc>
        <w:tc>
          <w:tcPr>
            <w:tcW w:w="3392" w:type="dxa"/>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8'900'000.--</w:t>
            </w:r>
          </w:p>
        </w:tc>
      </w:tr>
      <w:tr w:rsidR="00B67B61" w:rsidRPr="007F24F6" w:rsidTr="00C316E6">
        <w:trPr>
          <w:trHeight w:val="424"/>
          <w:jc w:val="center"/>
        </w:trPr>
        <w:tc>
          <w:tcPr>
            <w:tcW w:w="2699" w:type="dxa"/>
            <w:vAlign w:val="center"/>
          </w:tcPr>
          <w:p w:rsidR="00B67B61" w:rsidRPr="007F24F6" w:rsidRDefault="00B67B61" w:rsidP="00C316E6">
            <w:pPr>
              <w:pStyle w:val="Paragrafoelenco"/>
              <w:ind w:left="0"/>
              <w:rPr>
                <w:sz w:val="22"/>
                <w:szCs w:val="22"/>
              </w:rPr>
            </w:pPr>
            <w:r w:rsidRPr="007F24F6">
              <w:rPr>
                <w:sz w:val="22"/>
                <w:szCs w:val="22"/>
              </w:rPr>
              <w:t xml:space="preserve">Ristrutturazione edificio </w:t>
            </w:r>
          </w:p>
        </w:tc>
        <w:tc>
          <w:tcPr>
            <w:tcW w:w="1666" w:type="dxa"/>
            <w:shd w:val="clear" w:color="auto" w:fill="D6E3BC" w:themeFill="accent3" w:themeFillTint="66"/>
            <w:vAlign w:val="center"/>
          </w:tcPr>
          <w:p w:rsidR="00B67B61" w:rsidRPr="007F24F6" w:rsidRDefault="00B67B61" w:rsidP="00C316E6">
            <w:pPr>
              <w:pStyle w:val="Paragrafoelenco"/>
              <w:ind w:left="0"/>
              <w:jc w:val="right"/>
              <w:rPr>
                <w:sz w:val="22"/>
                <w:szCs w:val="22"/>
              </w:rPr>
            </w:pPr>
            <w:r w:rsidRPr="007F24F6">
              <w:rPr>
                <w:sz w:val="22"/>
                <w:szCs w:val="22"/>
              </w:rPr>
              <w:t>26'300'000.--</w:t>
            </w:r>
          </w:p>
        </w:tc>
        <w:tc>
          <w:tcPr>
            <w:tcW w:w="1736" w:type="dxa"/>
            <w:vMerge w:val="restart"/>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34'900'000.--</w:t>
            </w:r>
          </w:p>
        </w:tc>
        <w:tc>
          <w:tcPr>
            <w:tcW w:w="3392" w:type="dxa"/>
            <w:vMerge w:val="restart"/>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37'800'000.--</w:t>
            </w:r>
          </w:p>
        </w:tc>
      </w:tr>
      <w:tr w:rsidR="00B67B61" w:rsidRPr="007F24F6" w:rsidTr="00C316E6">
        <w:trPr>
          <w:trHeight w:val="418"/>
          <w:jc w:val="center"/>
        </w:trPr>
        <w:tc>
          <w:tcPr>
            <w:tcW w:w="2699" w:type="dxa"/>
            <w:vAlign w:val="center"/>
          </w:tcPr>
          <w:p w:rsidR="00B67B61" w:rsidRPr="007F24F6" w:rsidRDefault="00B67B61" w:rsidP="00C316E6">
            <w:pPr>
              <w:pStyle w:val="Paragrafoelenco"/>
              <w:ind w:left="0"/>
              <w:rPr>
                <w:sz w:val="22"/>
                <w:szCs w:val="22"/>
              </w:rPr>
            </w:pPr>
            <w:r w:rsidRPr="007F24F6">
              <w:rPr>
                <w:sz w:val="22"/>
                <w:szCs w:val="22"/>
              </w:rPr>
              <w:t>Adeguamenti normativi</w:t>
            </w:r>
          </w:p>
        </w:tc>
        <w:tc>
          <w:tcPr>
            <w:tcW w:w="1666" w:type="dxa"/>
            <w:shd w:val="clear" w:color="auto" w:fill="D6E3BC" w:themeFill="accent3" w:themeFillTint="66"/>
            <w:vAlign w:val="center"/>
          </w:tcPr>
          <w:p w:rsidR="00B67B61" w:rsidRPr="007F24F6" w:rsidRDefault="00B67B61" w:rsidP="00C316E6">
            <w:pPr>
              <w:pStyle w:val="Paragrafoelenco"/>
              <w:ind w:left="0"/>
              <w:jc w:val="right"/>
              <w:rPr>
                <w:sz w:val="22"/>
                <w:szCs w:val="22"/>
              </w:rPr>
            </w:pPr>
            <w:r w:rsidRPr="007F24F6">
              <w:rPr>
                <w:sz w:val="22"/>
                <w:szCs w:val="22"/>
              </w:rPr>
              <w:t>6'500'000.--</w:t>
            </w:r>
          </w:p>
        </w:tc>
        <w:tc>
          <w:tcPr>
            <w:tcW w:w="1736" w:type="dxa"/>
            <w:vMerge/>
            <w:shd w:val="clear" w:color="auto" w:fill="D6E3BC" w:themeFill="accent3" w:themeFillTint="66"/>
            <w:vAlign w:val="center"/>
          </w:tcPr>
          <w:p w:rsidR="00B67B61" w:rsidRPr="007F24F6" w:rsidRDefault="00B67B61" w:rsidP="00C316E6">
            <w:pPr>
              <w:pStyle w:val="Paragrafoelenco"/>
              <w:ind w:left="0"/>
              <w:rPr>
                <w:sz w:val="22"/>
                <w:szCs w:val="22"/>
              </w:rPr>
            </w:pPr>
          </w:p>
        </w:tc>
        <w:tc>
          <w:tcPr>
            <w:tcW w:w="3392" w:type="dxa"/>
            <w:vMerge/>
            <w:shd w:val="clear" w:color="auto" w:fill="D6E3BC" w:themeFill="accent3" w:themeFillTint="66"/>
            <w:vAlign w:val="center"/>
          </w:tcPr>
          <w:p w:rsidR="00B67B61" w:rsidRPr="007F24F6" w:rsidRDefault="00B67B61" w:rsidP="00C316E6">
            <w:pPr>
              <w:pStyle w:val="Paragrafoelenco"/>
              <w:ind w:left="0"/>
              <w:rPr>
                <w:sz w:val="22"/>
                <w:szCs w:val="22"/>
              </w:rPr>
            </w:pPr>
          </w:p>
        </w:tc>
      </w:tr>
      <w:tr w:rsidR="00B67B61" w:rsidRPr="007F24F6" w:rsidTr="00C316E6">
        <w:trPr>
          <w:trHeight w:val="410"/>
          <w:jc w:val="center"/>
        </w:trPr>
        <w:tc>
          <w:tcPr>
            <w:tcW w:w="2699" w:type="dxa"/>
            <w:vAlign w:val="center"/>
          </w:tcPr>
          <w:p w:rsidR="00B67B61" w:rsidRPr="007F24F6" w:rsidRDefault="00B67B61" w:rsidP="00C316E6">
            <w:pPr>
              <w:pStyle w:val="Paragrafoelenco"/>
              <w:ind w:left="0"/>
              <w:rPr>
                <w:sz w:val="22"/>
                <w:szCs w:val="22"/>
              </w:rPr>
            </w:pPr>
            <w:r w:rsidRPr="007F24F6">
              <w:rPr>
                <w:sz w:val="22"/>
                <w:szCs w:val="22"/>
              </w:rPr>
              <w:t>Richieste committenza (interventi al piano interrato)</w:t>
            </w:r>
          </w:p>
        </w:tc>
        <w:tc>
          <w:tcPr>
            <w:tcW w:w="1666" w:type="dxa"/>
            <w:shd w:val="clear" w:color="auto" w:fill="D6E3BC" w:themeFill="accent3" w:themeFillTint="66"/>
            <w:vAlign w:val="center"/>
          </w:tcPr>
          <w:p w:rsidR="00B67B61" w:rsidRPr="007F24F6" w:rsidRDefault="00B67B61" w:rsidP="00C316E6">
            <w:pPr>
              <w:pStyle w:val="Paragrafoelenco"/>
              <w:ind w:left="0"/>
              <w:jc w:val="right"/>
              <w:rPr>
                <w:sz w:val="22"/>
                <w:szCs w:val="22"/>
              </w:rPr>
            </w:pPr>
            <w:r w:rsidRPr="007F24F6">
              <w:rPr>
                <w:sz w:val="22"/>
                <w:szCs w:val="22"/>
              </w:rPr>
              <w:t>2’300'000.--</w:t>
            </w:r>
          </w:p>
        </w:tc>
        <w:tc>
          <w:tcPr>
            <w:tcW w:w="1736" w:type="dxa"/>
            <w:vMerge/>
            <w:shd w:val="clear" w:color="auto" w:fill="D6E3BC" w:themeFill="accent3" w:themeFillTint="66"/>
            <w:vAlign w:val="center"/>
          </w:tcPr>
          <w:p w:rsidR="00B67B61" w:rsidRPr="007F24F6" w:rsidRDefault="00B67B61" w:rsidP="00C316E6">
            <w:pPr>
              <w:pStyle w:val="Paragrafoelenco"/>
              <w:ind w:left="0"/>
              <w:rPr>
                <w:sz w:val="22"/>
                <w:szCs w:val="22"/>
              </w:rPr>
            </w:pPr>
          </w:p>
        </w:tc>
        <w:tc>
          <w:tcPr>
            <w:tcW w:w="3392" w:type="dxa"/>
            <w:vMerge/>
            <w:shd w:val="clear" w:color="auto" w:fill="D6E3BC" w:themeFill="accent3" w:themeFillTint="66"/>
            <w:vAlign w:val="center"/>
          </w:tcPr>
          <w:p w:rsidR="00B67B61" w:rsidRPr="007F24F6" w:rsidRDefault="00B67B61" w:rsidP="00C316E6">
            <w:pPr>
              <w:pStyle w:val="Paragrafoelenco"/>
              <w:ind w:left="0"/>
              <w:rPr>
                <w:sz w:val="22"/>
                <w:szCs w:val="22"/>
              </w:rPr>
            </w:pPr>
          </w:p>
        </w:tc>
      </w:tr>
      <w:tr w:rsidR="00B67B61" w:rsidRPr="007F24F6" w:rsidTr="00C316E6">
        <w:trPr>
          <w:trHeight w:val="410"/>
          <w:jc w:val="center"/>
        </w:trPr>
        <w:tc>
          <w:tcPr>
            <w:tcW w:w="2699" w:type="dxa"/>
            <w:vAlign w:val="center"/>
          </w:tcPr>
          <w:p w:rsidR="00B67B61" w:rsidRPr="007F24F6" w:rsidRDefault="00B67B61" w:rsidP="00C316E6">
            <w:pPr>
              <w:pStyle w:val="Paragrafoelenco"/>
              <w:ind w:left="0"/>
              <w:rPr>
                <w:sz w:val="22"/>
                <w:szCs w:val="22"/>
              </w:rPr>
            </w:pPr>
            <w:r w:rsidRPr="007F24F6">
              <w:rPr>
                <w:b/>
                <w:sz w:val="22"/>
                <w:szCs w:val="22"/>
              </w:rPr>
              <w:t>Totale</w:t>
            </w:r>
          </w:p>
        </w:tc>
        <w:tc>
          <w:tcPr>
            <w:tcW w:w="3402" w:type="dxa"/>
            <w:gridSpan w:val="2"/>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43'800'000.--</w:t>
            </w:r>
          </w:p>
        </w:tc>
        <w:tc>
          <w:tcPr>
            <w:tcW w:w="3392" w:type="dxa"/>
            <w:shd w:val="clear" w:color="auto" w:fill="D6E3BC" w:themeFill="accent3" w:themeFillTint="66"/>
            <w:vAlign w:val="center"/>
          </w:tcPr>
          <w:p w:rsidR="00B67B61" w:rsidRPr="007F24F6" w:rsidRDefault="00B67B61" w:rsidP="00C316E6">
            <w:pPr>
              <w:pStyle w:val="Paragrafoelenco"/>
              <w:ind w:left="0"/>
              <w:jc w:val="right"/>
              <w:rPr>
                <w:b/>
                <w:sz w:val="22"/>
                <w:szCs w:val="22"/>
              </w:rPr>
            </w:pPr>
            <w:r w:rsidRPr="007F24F6">
              <w:rPr>
                <w:b/>
                <w:sz w:val="22"/>
                <w:szCs w:val="22"/>
              </w:rPr>
              <w:t>46'700'000.--</w:t>
            </w:r>
          </w:p>
        </w:tc>
      </w:tr>
    </w:tbl>
    <w:p w:rsidR="00B67B61" w:rsidRDefault="00B67B61" w:rsidP="007F24F6">
      <w:pPr>
        <w:pStyle w:val="p1"/>
        <w:rPr>
          <w:b/>
          <w:bCs/>
          <w:color w:val="000000" w:themeColor="text1"/>
          <w:sz w:val="24"/>
          <w:szCs w:val="24"/>
          <w:lang w:eastAsia="ja-JP"/>
        </w:rPr>
      </w:pPr>
    </w:p>
    <w:p w:rsidR="007F24F6" w:rsidRPr="00CF10B0" w:rsidRDefault="007F24F6" w:rsidP="00B67B61">
      <w:pPr>
        <w:pStyle w:val="p1"/>
        <w:rPr>
          <w:b/>
          <w:bCs/>
          <w:color w:val="000000" w:themeColor="text1"/>
          <w:sz w:val="24"/>
          <w:szCs w:val="24"/>
          <w:lang w:eastAsia="ja-JP"/>
        </w:rPr>
      </w:pPr>
    </w:p>
    <w:p w:rsidR="00B67B61" w:rsidRPr="007F24F6" w:rsidRDefault="00B67B61" w:rsidP="007F24F6">
      <w:pPr>
        <w:pStyle w:val="Titolo2"/>
        <w:numPr>
          <w:ilvl w:val="0"/>
          <w:numId w:val="0"/>
        </w:numPr>
        <w:tabs>
          <w:tab w:val="left" w:pos="567"/>
        </w:tabs>
        <w:spacing w:before="0" w:after="120"/>
        <w:jc w:val="both"/>
        <w:rPr>
          <w:rFonts w:eastAsia="Calibri" w:cs="Times New Roman"/>
          <w:sz w:val="24"/>
          <w:lang w:val="it-IT" w:eastAsia="it-IT"/>
        </w:rPr>
      </w:pPr>
      <w:r w:rsidRPr="007F24F6">
        <w:rPr>
          <w:rFonts w:eastAsia="Calibri" w:cs="Times New Roman"/>
          <w:sz w:val="24"/>
          <w:lang w:val="it-IT" w:eastAsia="it-IT"/>
        </w:rPr>
        <w:t>4.1</w:t>
      </w:r>
      <w:r w:rsidRPr="007F24F6">
        <w:rPr>
          <w:rFonts w:eastAsia="Calibri" w:cs="Times New Roman"/>
          <w:sz w:val="24"/>
          <w:lang w:val="it-IT" w:eastAsia="it-IT"/>
        </w:rPr>
        <w:tab/>
        <w:t>Ristrutturazione e ampliamento Liceo cantonale a Bellinzona</w:t>
      </w:r>
    </w:p>
    <w:p w:rsidR="00B67B61" w:rsidRPr="00CF10B0" w:rsidRDefault="00B67B61" w:rsidP="00B67B61">
      <w:pPr>
        <w:rPr>
          <w:rFonts w:cs="Arial"/>
          <w:color w:val="000000" w:themeColor="text1"/>
          <w:sz w:val="24"/>
          <w:szCs w:val="24"/>
        </w:rPr>
      </w:pPr>
      <w:r w:rsidRPr="00CF10B0">
        <w:rPr>
          <w:rFonts w:cs="Arial"/>
          <w:color w:val="000000" w:themeColor="text1"/>
          <w:sz w:val="24"/>
          <w:szCs w:val="24"/>
        </w:rPr>
        <w:t>Il preventivo della ristrutturazione e ampliamento del Liceo secondo la descrizione eCCC-E è illustrato nella tabella che segue.</w:t>
      </w:r>
    </w:p>
    <w:p w:rsidR="00B67B61" w:rsidRPr="00CF10B0" w:rsidRDefault="00B67B61" w:rsidP="00B67B61">
      <w:pPr>
        <w:tabs>
          <w:tab w:val="left" w:pos="709"/>
          <w:tab w:val="left" w:pos="1418"/>
          <w:tab w:val="right" w:pos="8789"/>
        </w:tabs>
        <w:rPr>
          <w:color w:val="000000" w:themeColor="text1"/>
          <w:sz w:val="24"/>
          <w:szCs w:val="24"/>
        </w:rPr>
      </w:pPr>
    </w:p>
    <w:tbl>
      <w:tblPr>
        <w:tblW w:w="9799" w:type="dxa"/>
        <w:tblInd w:w="-5" w:type="dxa"/>
        <w:tblCellMar>
          <w:left w:w="70" w:type="dxa"/>
          <w:right w:w="70" w:type="dxa"/>
        </w:tblCellMar>
        <w:tblLook w:val="04A0" w:firstRow="1" w:lastRow="0" w:firstColumn="1" w:lastColumn="0" w:noHBand="0" w:noVBand="1"/>
      </w:tblPr>
      <w:tblGrid>
        <w:gridCol w:w="1187"/>
        <w:gridCol w:w="5334"/>
        <w:gridCol w:w="697"/>
        <w:gridCol w:w="2280"/>
        <w:gridCol w:w="301"/>
      </w:tblGrid>
      <w:tr w:rsidR="00B67B61" w:rsidRPr="007F24F6" w:rsidTr="00C316E6">
        <w:trPr>
          <w:gridAfter w:val="1"/>
          <w:wAfter w:w="301" w:type="dxa"/>
          <w:trHeight w:val="515"/>
        </w:trPr>
        <w:tc>
          <w:tcPr>
            <w:tcW w:w="9498" w:type="dxa"/>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themeColor="text1"/>
                <w:lang w:eastAsia="ja-JP"/>
              </w:rPr>
              <w:t>Ristrutturazione e ampliamento Liceo cantonale</w:t>
            </w:r>
          </w:p>
        </w:tc>
      </w:tr>
      <w:tr w:rsidR="00B67B61" w:rsidRPr="007F24F6" w:rsidTr="00C316E6">
        <w:trPr>
          <w:gridAfter w:val="1"/>
          <w:wAfter w:w="301" w:type="dxa"/>
          <w:trHeight w:val="591"/>
        </w:trPr>
        <w:tc>
          <w:tcPr>
            <w:tcW w:w="1187"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eCCC-E</w:t>
            </w:r>
          </w:p>
        </w:tc>
        <w:tc>
          <w:tcPr>
            <w:tcW w:w="5334"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B67B61" w:rsidRPr="007F24F6" w:rsidRDefault="00B67B61" w:rsidP="00C316E6">
            <w:pPr>
              <w:jc w:val="left"/>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Descrizione eCCC-E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 xml:space="preserve">Totale Credito MG </w:t>
            </w:r>
          </w:p>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fr.</w:t>
            </w:r>
          </w:p>
        </w:tc>
      </w:tr>
      <w:tr w:rsidR="00B67B61" w:rsidRPr="007F24F6" w:rsidTr="00C316E6">
        <w:trPr>
          <w:gridAfter w:val="1"/>
          <w:wAfter w:w="301" w:type="dxa"/>
          <w:trHeight w:val="414"/>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B</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Preparazione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1’900’000.--</w:t>
            </w:r>
          </w:p>
        </w:tc>
      </w:tr>
      <w:tr w:rsidR="00B67B61" w:rsidRPr="007F24F6" w:rsidTr="00C316E6">
        <w:trPr>
          <w:gridAfter w:val="1"/>
          <w:wAfter w:w="301" w:type="dxa"/>
          <w:trHeight w:val="414"/>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C</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Costruzione grezza edificio</w:t>
            </w:r>
          </w:p>
        </w:tc>
        <w:tc>
          <w:tcPr>
            <w:tcW w:w="2977" w:type="dxa"/>
            <w:gridSpan w:val="2"/>
            <w:vMerge w:val="restart"/>
            <w:tcBorders>
              <w:top w:val="single" w:sz="4" w:space="0" w:color="auto"/>
              <w:left w:val="single" w:sz="4" w:space="0" w:color="auto"/>
              <w:right w:val="single" w:sz="4" w:space="0" w:color="auto"/>
            </w:tcBorders>
            <w:shd w:val="clear" w:color="auto" w:fill="F2F2F2"/>
            <w:noWrap/>
            <w:vAlign w:val="center"/>
            <w:hideMark/>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23’300'000.--</w:t>
            </w:r>
          </w:p>
        </w:tc>
      </w:tr>
      <w:tr w:rsidR="00B67B61" w:rsidRPr="007F24F6" w:rsidTr="00C316E6">
        <w:trPr>
          <w:gridAfter w:val="1"/>
          <w:wAfter w:w="301" w:type="dxa"/>
          <w:trHeight w:val="419"/>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D</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 xml:space="preserve">Impianti tecnici edifici </w:t>
            </w:r>
          </w:p>
        </w:tc>
        <w:tc>
          <w:tcPr>
            <w:tcW w:w="2977" w:type="dxa"/>
            <w:gridSpan w:val="2"/>
            <w:vMerge/>
            <w:tcBorders>
              <w:left w:val="single" w:sz="4" w:space="0" w:color="auto"/>
              <w:right w:val="single" w:sz="4" w:space="0" w:color="auto"/>
            </w:tcBorders>
            <w:shd w:val="clear" w:color="auto" w:fill="F2F2F2"/>
            <w:noWrap/>
            <w:vAlign w:val="center"/>
            <w:hideMark/>
          </w:tcPr>
          <w:p w:rsidR="00B67B61" w:rsidRPr="007F24F6" w:rsidRDefault="00B67B61" w:rsidP="00C316E6">
            <w:pPr>
              <w:jc w:val="right"/>
              <w:rPr>
                <w:rFonts w:asciiTheme="minorHAnsi" w:hAnsiTheme="minorHAnsi" w:cstheme="minorHAnsi"/>
                <w:color w:val="000000"/>
                <w:lang w:eastAsia="it-CH"/>
              </w:rPr>
            </w:pPr>
          </w:p>
        </w:tc>
      </w:tr>
      <w:tr w:rsidR="00B67B61" w:rsidRPr="007F24F6" w:rsidTr="00C316E6">
        <w:trPr>
          <w:gridAfter w:val="1"/>
          <w:wAfter w:w="301" w:type="dxa"/>
          <w:trHeight w:val="411"/>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E</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Facciata edificio</w:t>
            </w:r>
          </w:p>
        </w:tc>
        <w:tc>
          <w:tcPr>
            <w:tcW w:w="2977" w:type="dxa"/>
            <w:gridSpan w:val="2"/>
            <w:vMerge/>
            <w:tcBorders>
              <w:left w:val="single" w:sz="4" w:space="0" w:color="auto"/>
              <w:right w:val="single" w:sz="4" w:space="0" w:color="auto"/>
            </w:tcBorders>
            <w:shd w:val="clear" w:color="auto" w:fill="F2F2F2"/>
            <w:noWrap/>
            <w:vAlign w:val="center"/>
            <w:hideMark/>
          </w:tcPr>
          <w:p w:rsidR="00B67B61" w:rsidRPr="007F24F6" w:rsidRDefault="00B67B61" w:rsidP="00C316E6">
            <w:pPr>
              <w:jc w:val="right"/>
              <w:rPr>
                <w:rFonts w:asciiTheme="minorHAnsi" w:hAnsiTheme="minorHAnsi" w:cstheme="minorHAnsi"/>
                <w:color w:val="000000"/>
                <w:lang w:eastAsia="it-CH"/>
              </w:rPr>
            </w:pPr>
          </w:p>
        </w:tc>
      </w:tr>
      <w:tr w:rsidR="00B67B61" w:rsidRPr="007F24F6" w:rsidTr="00C316E6">
        <w:trPr>
          <w:gridAfter w:val="1"/>
          <w:wAfter w:w="301" w:type="dxa"/>
          <w:trHeight w:val="418"/>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F</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Tetto edificio</w:t>
            </w:r>
          </w:p>
        </w:tc>
        <w:tc>
          <w:tcPr>
            <w:tcW w:w="2977" w:type="dxa"/>
            <w:gridSpan w:val="2"/>
            <w:vMerge/>
            <w:tcBorders>
              <w:left w:val="single" w:sz="4" w:space="0" w:color="auto"/>
              <w:right w:val="single" w:sz="4" w:space="0" w:color="auto"/>
            </w:tcBorders>
            <w:shd w:val="clear" w:color="auto" w:fill="F2F2F2"/>
            <w:noWrap/>
            <w:vAlign w:val="center"/>
            <w:hideMark/>
          </w:tcPr>
          <w:p w:rsidR="00B67B61" w:rsidRPr="007F24F6" w:rsidRDefault="00B67B61" w:rsidP="00C316E6">
            <w:pPr>
              <w:jc w:val="right"/>
              <w:rPr>
                <w:rFonts w:asciiTheme="minorHAnsi" w:hAnsiTheme="minorHAnsi" w:cstheme="minorHAnsi"/>
                <w:color w:val="000000"/>
                <w:lang w:eastAsia="it-CH"/>
              </w:rPr>
            </w:pPr>
          </w:p>
        </w:tc>
      </w:tr>
      <w:tr w:rsidR="00B67B61" w:rsidRPr="007F24F6" w:rsidTr="00C316E6">
        <w:trPr>
          <w:gridAfter w:val="1"/>
          <w:wAfter w:w="301"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G</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Finitura interna edificio</w:t>
            </w:r>
          </w:p>
        </w:tc>
        <w:tc>
          <w:tcPr>
            <w:tcW w:w="2977" w:type="dxa"/>
            <w:gridSpan w:val="2"/>
            <w:vMerge/>
            <w:tcBorders>
              <w:left w:val="single" w:sz="4" w:space="0" w:color="auto"/>
              <w:bottom w:val="single" w:sz="4" w:space="0" w:color="auto"/>
              <w:right w:val="single" w:sz="4" w:space="0" w:color="auto"/>
            </w:tcBorders>
            <w:shd w:val="clear" w:color="auto" w:fill="F2F2F2"/>
            <w:noWrap/>
            <w:vAlign w:val="center"/>
            <w:hideMark/>
          </w:tcPr>
          <w:p w:rsidR="00B67B61" w:rsidRPr="007F24F6" w:rsidRDefault="00B67B61" w:rsidP="00C316E6">
            <w:pPr>
              <w:jc w:val="right"/>
              <w:rPr>
                <w:rFonts w:asciiTheme="minorHAnsi" w:hAnsiTheme="minorHAnsi" w:cstheme="minorHAnsi"/>
                <w:color w:val="000000"/>
                <w:lang w:eastAsia="it-CH"/>
              </w:rPr>
            </w:pPr>
          </w:p>
        </w:tc>
      </w:tr>
      <w:tr w:rsidR="00B67B61" w:rsidRPr="007F24F6" w:rsidTr="00C316E6">
        <w:trPr>
          <w:gridAfter w:val="1"/>
          <w:wAfter w:w="301"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I</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Esterno edificio</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800'000.--</w:t>
            </w:r>
          </w:p>
        </w:tc>
      </w:tr>
      <w:tr w:rsidR="00B67B61" w:rsidRPr="007F24F6" w:rsidTr="00C316E6">
        <w:trPr>
          <w:gridAfter w:val="1"/>
          <w:wAfter w:w="301"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J</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Arredamento-trasloco-vari SL</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3’300'000.--</w:t>
            </w:r>
          </w:p>
        </w:tc>
      </w:tr>
      <w:tr w:rsidR="00B67B61" w:rsidRPr="007F24F6" w:rsidTr="00C316E6">
        <w:trPr>
          <w:gridAfter w:val="1"/>
          <w:wAfter w:w="301"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 xml:space="preserve">V </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Costi di progettazione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5’600'000.--</w:t>
            </w:r>
          </w:p>
        </w:tc>
      </w:tr>
      <w:tr w:rsidR="00B67B61" w:rsidRPr="007F24F6" w:rsidTr="00C316E6">
        <w:trPr>
          <w:gridAfter w:val="1"/>
          <w:wAfter w:w="301" w:type="dxa"/>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W</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Costi secondari</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bCs/>
                <w:color w:val="000000"/>
                <w:lang w:eastAsia="it-CH"/>
              </w:rPr>
              <w:t>200'000.--</w:t>
            </w:r>
          </w:p>
        </w:tc>
      </w:tr>
      <w:tr w:rsidR="00B67B61" w:rsidRPr="007F24F6" w:rsidTr="00C316E6">
        <w:trPr>
          <w:trHeight w:val="423"/>
        </w:trPr>
        <w:tc>
          <w:tcPr>
            <w:tcW w:w="118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cente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Z</w:t>
            </w:r>
          </w:p>
        </w:tc>
        <w:tc>
          <w:tcPr>
            <w:tcW w:w="5334"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left"/>
              <w:rPr>
                <w:rFonts w:asciiTheme="minorHAnsi" w:hAnsiTheme="minorHAnsi" w:cstheme="minorHAnsi"/>
                <w:bCs/>
                <w:color w:val="000000"/>
                <w:lang w:eastAsia="it-CH"/>
              </w:rPr>
            </w:pPr>
            <w:r w:rsidRPr="007F24F6">
              <w:rPr>
                <w:rFonts w:asciiTheme="minorHAnsi" w:hAnsiTheme="minorHAnsi" w:cstheme="minorHAnsi"/>
                <w:bCs/>
                <w:color w:val="000000"/>
                <w:lang w:eastAsia="it-CH"/>
              </w:rPr>
              <w:t>Imposta sul valore aggiunto 7.7%</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color w:val="000000"/>
                <w:lang w:eastAsia="it-CH"/>
              </w:rPr>
              <w:t>2’700'000.--</w:t>
            </w:r>
          </w:p>
        </w:tc>
        <w:tc>
          <w:tcPr>
            <w:tcW w:w="301" w:type="dxa"/>
            <w:vAlign w:val="center"/>
          </w:tcPr>
          <w:p w:rsidR="00B67B61" w:rsidRPr="007F24F6" w:rsidRDefault="00B67B61" w:rsidP="00C316E6">
            <w:pPr>
              <w:rPr>
                <w:rFonts w:asciiTheme="minorHAnsi" w:hAnsiTheme="minorHAnsi" w:cstheme="minorHAnsi"/>
                <w:b/>
                <w:bCs/>
                <w:color w:val="000000"/>
                <w:lang w:eastAsia="it-CH"/>
              </w:rPr>
            </w:pPr>
          </w:p>
        </w:tc>
      </w:tr>
      <w:tr w:rsidR="00B67B61" w:rsidRPr="007F24F6" w:rsidTr="00C316E6">
        <w:trPr>
          <w:gridAfter w:val="1"/>
          <w:wAfter w:w="301" w:type="dxa"/>
          <w:trHeight w:val="110"/>
        </w:trPr>
        <w:tc>
          <w:tcPr>
            <w:tcW w:w="1187" w:type="dxa"/>
            <w:tcBorders>
              <w:top w:val="single" w:sz="4" w:space="0" w:color="auto"/>
              <w:bottom w:val="single" w:sz="4" w:space="0" w:color="auto"/>
            </w:tcBorders>
            <w:shd w:val="clear" w:color="auto" w:fill="FFFFFF"/>
            <w:noWrap/>
            <w:vAlign w:val="center"/>
          </w:tcPr>
          <w:p w:rsidR="00B67B61" w:rsidRPr="007F24F6" w:rsidRDefault="00B67B61" w:rsidP="00C316E6">
            <w:pPr>
              <w:jc w:val="center"/>
              <w:rPr>
                <w:rFonts w:asciiTheme="minorHAnsi" w:hAnsiTheme="minorHAnsi" w:cstheme="minorHAnsi"/>
                <w:b/>
                <w:bCs/>
                <w:color w:val="000000"/>
                <w:lang w:eastAsia="it-CH"/>
              </w:rPr>
            </w:pPr>
          </w:p>
        </w:tc>
        <w:tc>
          <w:tcPr>
            <w:tcW w:w="5334" w:type="dxa"/>
            <w:tcBorders>
              <w:top w:val="single" w:sz="4" w:space="0" w:color="auto"/>
              <w:bottom w:val="single" w:sz="4" w:space="0" w:color="auto"/>
            </w:tcBorders>
            <w:shd w:val="clear" w:color="auto" w:fill="FFFFFF"/>
            <w:noWrap/>
            <w:vAlign w:val="center"/>
          </w:tcPr>
          <w:p w:rsidR="00B67B61" w:rsidRPr="007F24F6" w:rsidRDefault="00B67B61" w:rsidP="00C316E6">
            <w:pPr>
              <w:jc w:val="left"/>
              <w:rPr>
                <w:rFonts w:asciiTheme="minorHAnsi" w:hAnsiTheme="minorHAnsi" w:cstheme="minorHAnsi"/>
                <w:b/>
                <w:bCs/>
                <w:color w:val="000000"/>
                <w:lang w:eastAsia="it-CH"/>
              </w:rPr>
            </w:pPr>
          </w:p>
        </w:tc>
        <w:tc>
          <w:tcPr>
            <w:tcW w:w="697" w:type="dxa"/>
            <w:tcBorders>
              <w:top w:val="single" w:sz="4" w:space="0" w:color="auto"/>
              <w:bottom w:val="single" w:sz="4" w:space="0" w:color="auto"/>
            </w:tcBorders>
            <w:shd w:val="clear" w:color="auto" w:fill="FFFFFF"/>
            <w:noWrap/>
            <w:vAlign w:val="center"/>
          </w:tcPr>
          <w:p w:rsidR="00B67B61" w:rsidRPr="007F24F6" w:rsidRDefault="00B67B61" w:rsidP="00C316E6">
            <w:pPr>
              <w:jc w:val="right"/>
              <w:rPr>
                <w:rFonts w:asciiTheme="minorHAnsi" w:hAnsiTheme="minorHAnsi" w:cstheme="minorHAnsi"/>
                <w:color w:val="000000"/>
                <w:lang w:eastAsia="it-CH"/>
              </w:rPr>
            </w:pPr>
          </w:p>
        </w:tc>
        <w:tc>
          <w:tcPr>
            <w:tcW w:w="2280" w:type="dxa"/>
            <w:tcBorders>
              <w:top w:val="single" w:sz="4" w:space="0" w:color="auto"/>
              <w:bottom w:val="single" w:sz="4" w:space="0" w:color="auto"/>
            </w:tcBorders>
            <w:shd w:val="clear" w:color="auto" w:fill="FFFFFF"/>
            <w:noWrap/>
            <w:vAlign w:val="center"/>
          </w:tcPr>
          <w:p w:rsidR="00B67B61" w:rsidRPr="007F24F6" w:rsidRDefault="00B67B61" w:rsidP="00C316E6">
            <w:pPr>
              <w:jc w:val="right"/>
              <w:rPr>
                <w:rFonts w:asciiTheme="minorHAnsi" w:hAnsiTheme="minorHAnsi" w:cstheme="minorHAnsi"/>
                <w:b/>
                <w:bCs/>
                <w:color w:val="000000"/>
                <w:lang w:eastAsia="it-CH"/>
              </w:rPr>
            </w:pPr>
          </w:p>
        </w:tc>
      </w:tr>
      <w:tr w:rsidR="00B67B61" w:rsidRPr="007F24F6" w:rsidTr="00C316E6">
        <w:trPr>
          <w:gridAfter w:val="1"/>
          <w:wAfter w:w="301" w:type="dxa"/>
          <w:trHeight w:val="419"/>
        </w:trPr>
        <w:tc>
          <w:tcPr>
            <w:tcW w:w="6521" w:type="dxa"/>
            <w:gridSpan w:val="2"/>
            <w:tcBorders>
              <w:top w:val="single" w:sz="4" w:space="0" w:color="auto"/>
              <w:left w:val="single" w:sz="4" w:space="0" w:color="auto"/>
              <w:bottom w:val="single" w:sz="4" w:space="0" w:color="auto"/>
            </w:tcBorders>
            <w:shd w:val="clear" w:color="000000" w:fill="BFBFBF"/>
            <w:noWrap/>
            <w:vAlign w:val="center"/>
            <w:hideMark/>
          </w:tcPr>
          <w:p w:rsidR="00B67B61" w:rsidRPr="007F24F6" w:rsidRDefault="00B67B61" w:rsidP="00C316E6">
            <w:pPr>
              <w:rPr>
                <w:rFonts w:asciiTheme="minorHAnsi" w:hAnsiTheme="minorHAnsi" w:cstheme="minorHAnsi"/>
                <w:b/>
                <w:bCs/>
                <w:color w:val="000000"/>
                <w:lang w:eastAsia="it-CH"/>
              </w:rPr>
            </w:pPr>
            <w:r w:rsidRPr="007F24F6">
              <w:rPr>
                <w:rFonts w:asciiTheme="minorHAnsi" w:hAnsiTheme="minorHAnsi" w:cstheme="minorHAnsi"/>
                <w:b/>
                <w:bCs/>
                <w:color w:val="000000"/>
                <w:lang w:eastAsia="it-CH"/>
              </w:rPr>
              <w:t>TOTALE B-Z IVA inclusa</w:t>
            </w:r>
          </w:p>
        </w:tc>
        <w:tc>
          <w:tcPr>
            <w:tcW w:w="2977" w:type="dxa"/>
            <w:gridSpan w:val="2"/>
            <w:tcBorders>
              <w:top w:val="single" w:sz="4" w:space="0" w:color="auto"/>
              <w:bottom w:val="single" w:sz="4" w:space="0" w:color="auto"/>
              <w:right w:val="single" w:sz="4" w:space="0" w:color="auto"/>
            </w:tcBorders>
            <w:shd w:val="clear" w:color="000000" w:fill="BFBFBF"/>
            <w:noWrap/>
            <w:vAlign w:val="center"/>
            <w:hideMark/>
          </w:tcPr>
          <w:p w:rsidR="00B67B61" w:rsidRPr="007F24F6" w:rsidRDefault="00B67B61" w:rsidP="00C316E6">
            <w:pPr>
              <w:jc w:val="right"/>
              <w:rPr>
                <w:rFonts w:asciiTheme="minorHAnsi" w:hAnsiTheme="minorHAnsi" w:cstheme="minorHAnsi"/>
                <w:color w:val="000000"/>
                <w:lang w:eastAsia="it-CH"/>
              </w:rPr>
            </w:pPr>
            <w:r w:rsidRPr="007F24F6">
              <w:rPr>
                <w:rFonts w:asciiTheme="minorHAnsi" w:hAnsiTheme="minorHAnsi" w:cstheme="minorHAnsi"/>
                <w:b/>
                <w:bCs/>
                <w:color w:val="000000"/>
                <w:lang w:eastAsia="it-CH"/>
              </w:rPr>
              <w:t>37'800’000.--</w:t>
            </w:r>
          </w:p>
        </w:tc>
      </w:tr>
    </w:tbl>
    <w:p w:rsidR="00B67B61" w:rsidRPr="00CF10B0" w:rsidRDefault="00B67B61" w:rsidP="00B67B61">
      <w:pPr>
        <w:tabs>
          <w:tab w:val="left" w:pos="709"/>
          <w:tab w:val="left" w:pos="1418"/>
          <w:tab w:val="right" w:pos="8789"/>
        </w:tabs>
        <w:rPr>
          <w:color w:val="000000" w:themeColor="text1"/>
          <w:sz w:val="24"/>
          <w:szCs w:val="24"/>
        </w:rPr>
      </w:pPr>
      <w:r w:rsidRPr="00CF10B0">
        <w:rPr>
          <w:color w:val="000000" w:themeColor="text1"/>
          <w:sz w:val="24"/>
          <w:szCs w:val="24"/>
        </w:rPr>
        <w:lastRenderedPageBreak/>
        <w:t>Per quanto concerne invece gli impianti tecnici di competenza del Centro sistemi informativi (CSI), la situazione è la seguente.</w:t>
      </w:r>
    </w:p>
    <w:p w:rsidR="00B67B61" w:rsidRPr="00CF10B0" w:rsidRDefault="00B67B61" w:rsidP="00B67B61">
      <w:pPr>
        <w:tabs>
          <w:tab w:val="left" w:pos="709"/>
          <w:tab w:val="left" w:pos="1418"/>
          <w:tab w:val="right" w:pos="8789"/>
        </w:tabs>
        <w:rPr>
          <w:color w:val="000000" w:themeColor="text1"/>
          <w:sz w:val="24"/>
          <w:szCs w:val="24"/>
        </w:rPr>
      </w:pPr>
    </w:p>
    <w:tbl>
      <w:tblPr>
        <w:tblW w:w="9498" w:type="dxa"/>
        <w:tblInd w:w="-1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245"/>
        <w:gridCol w:w="2977"/>
      </w:tblGrid>
      <w:tr w:rsidR="00B67B61" w:rsidRPr="007F24F6" w:rsidTr="00C316E6">
        <w:trPr>
          <w:trHeight w:val="315"/>
        </w:trPr>
        <w:tc>
          <w:tcPr>
            <w:tcW w:w="1276"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B67B61" w:rsidRPr="007F24F6" w:rsidRDefault="00B67B61" w:rsidP="00C316E6">
            <w:pPr>
              <w:ind w:right="85"/>
              <w:jc w:val="center"/>
              <w:rPr>
                <w:rFonts w:cs="Arial"/>
                <w:b/>
                <w:color w:val="000000" w:themeColor="text1"/>
              </w:rPr>
            </w:pPr>
            <w:r w:rsidRPr="007F24F6">
              <w:rPr>
                <w:rFonts w:cs="Arial"/>
                <w:b/>
                <w:bCs/>
                <w:color w:val="000000" w:themeColor="text1"/>
                <w:lang w:eastAsia="it-CH"/>
              </w:rPr>
              <w:t>eCCC-E</w:t>
            </w:r>
          </w:p>
        </w:tc>
        <w:tc>
          <w:tcPr>
            <w:tcW w:w="5245" w:type="dxa"/>
            <w:tcBorders>
              <w:top w:val="single" w:sz="8" w:space="0" w:color="auto"/>
              <w:left w:val="single" w:sz="8" w:space="0" w:color="auto"/>
              <w:bottom w:val="single" w:sz="8" w:space="0" w:color="auto"/>
              <w:right w:val="single" w:sz="8" w:space="0" w:color="auto"/>
            </w:tcBorders>
            <w:shd w:val="clear" w:color="auto" w:fill="D9D9D9"/>
            <w:vAlign w:val="center"/>
          </w:tcPr>
          <w:p w:rsidR="00B67B61" w:rsidRPr="007F24F6" w:rsidRDefault="00B67B61" w:rsidP="00C316E6">
            <w:pPr>
              <w:jc w:val="left"/>
              <w:rPr>
                <w:rFonts w:cs="Arial"/>
                <w:b/>
                <w:color w:val="000000" w:themeColor="text1"/>
              </w:rPr>
            </w:pPr>
            <w:r w:rsidRPr="007F24F6">
              <w:rPr>
                <w:rFonts w:cs="Arial"/>
                <w:b/>
                <w:bCs/>
                <w:color w:val="000000" w:themeColor="text1"/>
                <w:lang w:eastAsia="it-CH"/>
              </w:rPr>
              <w:t>Descrizione eCCC-E</w:t>
            </w:r>
            <w:r w:rsidRPr="007F24F6">
              <w:rPr>
                <w:rFonts w:cs="Arial"/>
                <w:b/>
                <w:color w:val="000000" w:themeColor="text1"/>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D9D9D9"/>
            <w:vAlign w:val="center"/>
          </w:tcPr>
          <w:p w:rsidR="00B67B61" w:rsidRPr="007F24F6" w:rsidRDefault="00B67B61" w:rsidP="00C316E6">
            <w:pPr>
              <w:jc w:val="center"/>
              <w:rPr>
                <w:rFonts w:cs="Arial"/>
                <w:color w:val="000000" w:themeColor="text1"/>
              </w:rPr>
            </w:pPr>
            <w:r w:rsidRPr="007F24F6">
              <w:rPr>
                <w:rFonts w:cs="Arial"/>
                <w:b/>
                <w:bCs/>
                <w:color w:val="000000" w:themeColor="text1"/>
                <w:lang w:eastAsia="it-CH"/>
              </w:rPr>
              <w:t>Preventivo eCCC-E             fr.</w:t>
            </w:r>
          </w:p>
        </w:tc>
      </w:tr>
      <w:tr w:rsidR="00B67B61" w:rsidRPr="007F24F6" w:rsidTr="00C316E6">
        <w:trPr>
          <w:trHeight w:val="377"/>
        </w:trPr>
        <w:tc>
          <w:tcPr>
            <w:tcW w:w="1276"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67B61" w:rsidRPr="007F24F6" w:rsidRDefault="00B67B61" w:rsidP="00C316E6">
            <w:pPr>
              <w:jc w:val="left"/>
              <w:rPr>
                <w:rFonts w:cs="Arial"/>
                <w:b/>
                <w:color w:val="000000" w:themeColor="text1"/>
              </w:rPr>
            </w:pPr>
            <w:r w:rsidRPr="007F24F6">
              <w:rPr>
                <w:rFonts w:cs="Arial"/>
                <w:b/>
                <w:color w:val="000000" w:themeColor="text1"/>
              </w:rPr>
              <w:t>D</w:t>
            </w:r>
          </w:p>
        </w:tc>
        <w:tc>
          <w:tcPr>
            <w:tcW w:w="5245" w:type="dxa"/>
            <w:tcBorders>
              <w:top w:val="single" w:sz="8" w:space="0" w:color="auto"/>
              <w:left w:val="single" w:sz="4" w:space="0" w:color="auto"/>
              <w:bottom w:val="single" w:sz="4" w:space="0" w:color="auto"/>
              <w:right w:val="nil"/>
            </w:tcBorders>
            <w:shd w:val="clear" w:color="auto" w:fill="F2F2F2" w:themeFill="background1" w:themeFillShade="F2"/>
            <w:noWrap/>
            <w:vAlign w:val="center"/>
            <w:hideMark/>
          </w:tcPr>
          <w:p w:rsidR="00B67B61" w:rsidRPr="007F24F6" w:rsidRDefault="00B67B61" w:rsidP="00C316E6">
            <w:pPr>
              <w:jc w:val="left"/>
              <w:rPr>
                <w:rFonts w:cs="Arial"/>
                <w:color w:val="000000" w:themeColor="text1"/>
              </w:rPr>
            </w:pPr>
            <w:r w:rsidRPr="007F24F6">
              <w:rPr>
                <w:rFonts w:cs="Arial"/>
                <w:color w:val="000000" w:themeColor="text1"/>
                <w:lang w:eastAsia="it-CH"/>
              </w:rPr>
              <w:t>IMPIANTI TECNICI EDIFICIO</w:t>
            </w:r>
          </w:p>
        </w:tc>
        <w:tc>
          <w:tcPr>
            <w:tcW w:w="2977" w:type="dxa"/>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tcPr>
          <w:p w:rsidR="00B67B61" w:rsidRPr="007F24F6" w:rsidRDefault="00B67B61" w:rsidP="00C316E6">
            <w:pPr>
              <w:jc w:val="right"/>
              <w:rPr>
                <w:rFonts w:cs="Arial"/>
                <w:color w:val="000000" w:themeColor="text1"/>
              </w:rPr>
            </w:pPr>
            <w:r w:rsidRPr="007F24F6">
              <w:rPr>
                <w:rFonts w:cs="Arial"/>
                <w:color w:val="000000" w:themeColor="text1"/>
              </w:rPr>
              <w:t>925'000.--</w:t>
            </w:r>
          </w:p>
        </w:tc>
      </w:tr>
      <w:tr w:rsidR="00B67B61" w:rsidRPr="007F24F6" w:rsidTr="00C316E6">
        <w:trPr>
          <w:trHeight w:val="407"/>
        </w:trPr>
        <w:tc>
          <w:tcPr>
            <w:tcW w:w="1276"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67B61" w:rsidRPr="007F24F6" w:rsidRDefault="00B67B61" w:rsidP="00C316E6">
            <w:pPr>
              <w:jc w:val="left"/>
              <w:rPr>
                <w:rFonts w:cs="Arial"/>
                <w:b/>
                <w:color w:val="000000" w:themeColor="text1"/>
              </w:rPr>
            </w:pPr>
            <w:r w:rsidRPr="007F24F6">
              <w:rPr>
                <w:rFonts w:cs="Arial"/>
                <w:b/>
                <w:color w:val="000000" w:themeColor="text1"/>
              </w:rPr>
              <w:t>Z</w:t>
            </w:r>
          </w:p>
        </w:tc>
        <w:tc>
          <w:tcPr>
            <w:tcW w:w="5245"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rsidR="00B67B61" w:rsidRPr="007F24F6" w:rsidRDefault="00B67B61" w:rsidP="00C316E6">
            <w:pPr>
              <w:jc w:val="left"/>
              <w:rPr>
                <w:rFonts w:cs="Arial"/>
                <w:color w:val="000000" w:themeColor="text1"/>
              </w:rPr>
            </w:pPr>
            <w:r w:rsidRPr="007F24F6">
              <w:rPr>
                <w:rFonts w:cs="Arial"/>
                <w:color w:val="000000" w:themeColor="text1"/>
                <w:lang w:eastAsia="it-CH"/>
              </w:rPr>
              <w:t>IMPOSTA SUL VALORE AGGIUNTO</w:t>
            </w:r>
          </w:p>
        </w:tc>
        <w:tc>
          <w:tcPr>
            <w:tcW w:w="2977"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rsidR="00B67B61" w:rsidRPr="007F24F6" w:rsidRDefault="00B67B61" w:rsidP="00C316E6">
            <w:pPr>
              <w:jc w:val="right"/>
              <w:rPr>
                <w:rFonts w:cs="Arial"/>
                <w:color w:val="000000" w:themeColor="text1"/>
              </w:rPr>
            </w:pPr>
            <w:r w:rsidRPr="007F24F6">
              <w:rPr>
                <w:rFonts w:cs="Arial"/>
                <w:color w:val="000000" w:themeColor="text1"/>
              </w:rPr>
              <w:t>75’000.--</w:t>
            </w:r>
          </w:p>
        </w:tc>
      </w:tr>
      <w:tr w:rsidR="00B67B61" w:rsidRPr="007F24F6" w:rsidTr="00C316E6">
        <w:trPr>
          <w:trHeight w:val="413"/>
        </w:trPr>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67B61" w:rsidRPr="007F24F6" w:rsidRDefault="00B67B61" w:rsidP="00C316E6">
            <w:pPr>
              <w:jc w:val="left"/>
              <w:rPr>
                <w:rFonts w:cs="Arial"/>
                <w:color w:val="000000" w:themeColor="text1"/>
              </w:rPr>
            </w:pPr>
            <w:r w:rsidRPr="007F24F6">
              <w:rPr>
                <w:rFonts w:cs="Arial"/>
                <w:b/>
                <w:color w:val="000000" w:themeColor="text1"/>
              </w:rPr>
              <w:t>D-Z</w:t>
            </w:r>
          </w:p>
        </w:tc>
        <w:tc>
          <w:tcPr>
            <w:tcW w:w="5245" w:type="dxa"/>
            <w:tcBorders>
              <w:top w:val="single" w:sz="4" w:space="0" w:color="auto"/>
              <w:left w:val="single" w:sz="4" w:space="0" w:color="auto"/>
              <w:bottom w:val="single" w:sz="4" w:space="0" w:color="auto"/>
              <w:right w:val="nil"/>
            </w:tcBorders>
            <w:shd w:val="clear" w:color="auto" w:fill="D9D9D9"/>
            <w:noWrap/>
            <w:vAlign w:val="center"/>
            <w:hideMark/>
          </w:tcPr>
          <w:p w:rsidR="00B67B61" w:rsidRPr="007F24F6" w:rsidRDefault="00B67B61" w:rsidP="00C316E6">
            <w:pPr>
              <w:jc w:val="left"/>
              <w:rPr>
                <w:rFonts w:cs="Arial"/>
                <w:b/>
                <w:color w:val="000000" w:themeColor="text1"/>
              </w:rPr>
            </w:pPr>
            <w:r w:rsidRPr="007F24F6">
              <w:rPr>
                <w:rFonts w:cs="Arial"/>
                <w:b/>
                <w:color w:val="000000" w:themeColor="text1"/>
              </w:rPr>
              <w:t xml:space="preserve">Totale costo dell’investimento CSI </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B67B61" w:rsidRPr="007F24F6" w:rsidRDefault="00B67B61" w:rsidP="00C316E6">
            <w:pPr>
              <w:jc w:val="right"/>
              <w:rPr>
                <w:rFonts w:cs="Arial"/>
                <w:b/>
                <w:color w:val="000000" w:themeColor="text1"/>
              </w:rPr>
            </w:pPr>
            <w:r w:rsidRPr="007F24F6">
              <w:rPr>
                <w:rFonts w:cs="Arial"/>
                <w:b/>
                <w:color w:val="000000" w:themeColor="text1"/>
              </w:rPr>
              <w:t>1’000'000.--</w:t>
            </w:r>
          </w:p>
        </w:tc>
      </w:tr>
    </w:tbl>
    <w:p w:rsidR="00B67B61" w:rsidRPr="00CF10B0" w:rsidRDefault="00B67B61" w:rsidP="00B67B61">
      <w:pPr>
        <w:rPr>
          <w:rFonts w:cs="Arial"/>
          <w:color w:val="000000" w:themeColor="text1"/>
          <w:sz w:val="24"/>
          <w:szCs w:val="24"/>
        </w:rPr>
      </w:pPr>
    </w:p>
    <w:p w:rsidR="00B67B61" w:rsidRPr="00CF10B0" w:rsidRDefault="00B67B61" w:rsidP="00B67B61">
      <w:pPr>
        <w:rPr>
          <w:rFonts w:cs="Arial"/>
          <w:color w:val="000000" w:themeColor="text1"/>
          <w:sz w:val="24"/>
          <w:szCs w:val="24"/>
        </w:rPr>
      </w:pPr>
      <w:r w:rsidRPr="00CF10B0">
        <w:rPr>
          <w:rFonts w:cs="Arial"/>
          <w:color w:val="000000" w:themeColor="text1"/>
          <w:sz w:val="24"/>
          <w:szCs w:val="24"/>
        </w:rPr>
        <w:t>Tenuto conto dei crediti già concessi per la progettazione dell’opera, la richiesta di credito oggetto del presente messaggio ammonta a 36'224'200 franchi.</w:t>
      </w:r>
    </w:p>
    <w:p w:rsidR="00B67B61" w:rsidRPr="00B74EAF" w:rsidRDefault="00B67B61" w:rsidP="00B67B61">
      <w:pPr>
        <w:tabs>
          <w:tab w:val="left" w:pos="709"/>
          <w:tab w:val="left" w:pos="1418"/>
          <w:tab w:val="right" w:pos="8789"/>
        </w:tabs>
        <w:rPr>
          <w:color w:val="000000" w:themeColor="text1"/>
          <w:sz w:val="24"/>
          <w:szCs w:val="24"/>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284"/>
        <w:gridCol w:w="2977"/>
      </w:tblGrid>
      <w:tr w:rsidR="00B67B61" w:rsidRPr="007F24F6" w:rsidTr="00C316E6">
        <w:trPr>
          <w:trHeight w:val="540"/>
        </w:trPr>
        <w:tc>
          <w:tcPr>
            <w:tcW w:w="6446" w:type="dxa"/>
            <w:gridSpan w:val="2"/>
            <w:tcBorders>
              <w:top w:val="single" w:sz="8" w:space="0" w:color="auto"/>
              <w:left w:val="single" w:sz="4" w:space="0" w:color="auto"/>
              <w:bottom w:val="single" w:sz="4" w:space="0" w:color="auto"/>
              <w:right w:val="single" w:sz="8" w:space="0" w:color="auto"/>
            </w:tcBorders>
            <w:shd w:val="clear" w:color="auto" w:fill="BFBFBF"/>
            <w:vAlign w:val="center"/>
            <w:hideMark/>
          </w:tcPr>
          <w:p w:rsidR="00B67B61" w:rsidRPr="007F24F6" w:rsidRDefault="00B67B61" w:rsidP="00C316E6">
            <w:pPr>
              <w:jc w:val="left"/>
              <w:rPr>
                <w:rFonts w:cs="Arial"/>
                <w:b/>
                <w:bCs/>
                <w:color w:val="000000" w:themeColor="text1"/>
                <w:lang w:eastAsia="it-CH"/>
              </w:rPr>
            </w:pPr>
            <w:r w:rsidRPr="007F24F6">
              <w:rPr>
                <w:rFonts w:cs="Arial"/>
                <w:b/>
                <w:bCs/>
                <w:color w:val="000000" w:themeColor="text1"/>
                <w:lang w:eastAsia="it-CH"/>
              </w:rPr>
              <w:t>Descrizione crediti</w:t>
            </w:r>
          </w:p>
        </w:tc>
        <w:tc>
          <w:tcPr>
            <w:tcW w:w="2977" w:type="dxa"/>
            <w:tcBorders>
              <w:top w:val="single" w:sz="8" w:space="0" w:color="auto"/>
              <w:left w:val="single" w:sz="8" w:space="0" w:color="auto"/>
              <w:bottom w:val="single" w:sz="4" w:space="0" w:color="auto"/>
              <w:right w:val="single" w:sz="8" w:space="0" w:color="auto"/>
            </w:tcBorders>
            <w:shd w:val="clear" w:color="auto" w:fill="BFBFBF"/>
            <w:vAlign w:val="center"/>
            <w:hideMark/>
          </w:tcPr>
          <w:p w:rsidR="00B67B61" w:rsidRPr="007F24F6" w:rsidRDefault="00B67B61" w:rsidP="00C316E6">
            <w:pPr>
              <w:ind w:right="71"/>
              <w:jc w:val="center"/>
              <w:rPr>
                <w:rFonts w:cs="Arial"/>
                <w:b/>
                <w:bCs/>
                <w:color w:val="000000" w:themeColor="text1"/>
                <w:lang w:eastAsia="it-CH"/>
              </w:rPr>
            </w:pPr>
            <w:r w:rsidRPr="007F24F6">
              <w:rPr>
                <w:rFonts w:cs="Arial"/>
                <w:b/>
                <w:bCs/>
                <w:color w:val="000000" w:themeColor="text1"/>
                <w:lang w:eastAsia="it-CH"/>
              </w:rPr>
              <w:t>Preventivo eCCC-E</w:t>
            </w:r>
          </w:p>
          <w:p w:rsidR="00B67B61" w:rsidRPr="007F24F6" w:rsidRDefault="00B67B61" w:rsidP="00C316E6">
            <w:pPr>
              <w:ind w:right="71"/>
              <w:jc w:val="center"/>
              <w:rPr>
                <w:rFonts w:cs="Arial"/>
                <w:b/>
                <w:bCs/>
                <w:color w:val="000000" w:themeColor="text1"/>
                <w:lang w:eastAsia="it-CH"/>
              </w:rPr>
            </w:pPr>
            <w:r w:rsidRPr="007F24F6">
              <w:rPr>
                <w:rFonts w:cs="Arial"/>
                <w:b/>
                <w:bCs/>
                <w:color w:val="000000" w:themeColor="text1"/>
                <w:lang w:eastAsia="it-CH"/>
              </w:rPr>
              <w:t>fr.</w:t>
            </w:r>
          </w:p>
        </w:tc>
      </w:tr>
      <w:tr w:rsidR="00B67B61" w:rsidRPr="007F24F6" w:rsidTr="00C31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6162" w:type="dxa"/>
            <w:tcBorders>
              <w:top w:val="single" w:sz="4" w:space="0" w:color="auto"/>
              <w:bottom w:val="single" w:sz="4" w:space="0" w:color="auto"/>
            </w:tcBorders>
            <w:shd w:val="clear" w:color="auto" w:fill="auto"/>
            <w:vAlign w:val="center"/>
          </w:tcPr>
          <w:p w:rsidR="00B67B61" w:rsidRPr="007F24F6" w:rsidRDefault="00B67B61" w:rsidP="00C316E6">
            <w:pPr>
              <w:jc w:val="left"/>
              <w:rPr>
                <w:rFonts w:cs="Arial"/>
                <w:b/>
                <w:bCs/>
                <w:color w:val="000000" w:themeColor="text1"/>
                <w:lang w:eastAsia="it-CH"/>
              </w:rPr>
            </w:pPr>
          </w:p>
        </w:tc>
        <w:tc>
          <w:tcPr>
            <w:tcW w:w="284" w:type="dxa"/>
            <w:tcBorders>
              <w:top w:val="single" w:sz="4" w:space="0" w:color="auto"/>
              <w:bottom w:val="single" w:sz="4" w:space="0" w:color="auto"/>
            </w:tcBorders>
            <w:shd w:val="clear" w:color="auto" w:fill="auto"/>
            <w:noWrap/>
            <w:vAlign w:val="center"/>
          </w:tcPr>
          <w:p w:rsidR="00B67B61" w:rsidRPr="007F24F6" w:rsidRDefault="00B67B61" w:rsidP="00C316E6">
            <w:pPr>
              <w:jc w:val="left"/>
              <w:rPr>
                <w:rFonts w:cs="Arial"/>
                <w:b/>
                <w:bCs/>
                <w:color w:val="000000" w:themeColor="text1"/>
                <w:lang w:eastAsia="it-CH"/>
              </w:rPr>
            </w:pPr>
          </w:p>
        </w:tc>
        <w:tc>
          <w:tcPr>
            <w:tcW w:w="2977" w:type="dxa"/>
            <w:tcBorders>
              <w:top w:val="single" w:sz="4" w:space="0" w:color="auto"/>
              <w:bottom w:val="single" w:sz="4" w:space="0" w:color="auto"/>
            </w:tcBorders>
            <w:shd w:val="clear" w:color="auto" w:fill="auto"/>
            <w:noWrap/>
            <w:vAlign w:val="center"/>
          </w:tcPr>
          <w:p w:rsidR="00B67B61" w:rsidRPr="007F24F6" w:rsidRDefault="00B67B61" w:rsidP="00C316E6">
            <w:pPr>
              <w:jc w:val="right"/>
              <w:rPr>
                <w:rFonts w:cs="Arial"/>
                <w:b/>
                <w:bCs/>
                <w:color w:val="000000" w:themeColor="text1"/>
                <w:lang w:eastAsia="it-CH"/>
              </w:rPr>
            </w:pPr>
          </w:p>
        </w:tc>
      </w:tr>
      <w:tr w:rsidR="00B67B61" w:rsidRPr="007F24F6" w:rsidTr="00C31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6162" w:type="dxa"/>
            <w:tcBorders>
              <w:top w:val="single" w:sz="4" w:space="0" w:color="auto"/>
              <w:left w:val="single" w:sz="4" w:space="0" w:color="auto"/>
              <w:bottom w:val="single" w:sz="4" w:space="0" w:color="auto"/>
            </w:tcBorders>
            <w:shd w:val="clear" w:color="auto" w:fill="C2D69B" w:themeFill="accent3" w:themeFillTint="99"/>
            <w:vAlign w:val="center"/>
          </w:tcPr>
          <w:p w:rsidR="00B67B61" w:rsidRPr="007F24F6" w:rsidRDefault="00B67B61" w:rsidP="00C316E6">
            <w:pPr>
              <w:jc w:val="left"/>
              <w:rPr>
                <w:rFonts w:cs="Arial"/>
                <w:b/>
                <w:bCs/>
                <w:color w:val="000000" w:themeColor="text1"/>
                <w:lang w:eastAsia="it-CH"/>
              </w:rPr>
            </w:pPr>
            <w:r w:rsidRPr="007F24F6">
              <w:rPr>
                <w:rFonts w:cs="Arial"/>
                <w:b/>
                <w:bCs/>
                <w:color w:val="000000" w:themeColor="text1"/>
                <w:lang w:eastAsia="it-CH"/>
              </w:rPr>
              <w:t xml:space="preserve">Credito di progettazione – MG 7064 del 18.03.2015 - WBS 941 59 6012 </w:t>
            </w:r>
          </w:p>
          <w:p w:rsidR="00B67B61" w:rsidRPr="007F24F6" w:rsidRDefault="00B67B61" w:rsidP="00C316E6">
            <w:pPr>
              <w:jc w:val="left"/>
              <w:rPr>
                <w:rFonts w:cs="Arial"/>
                <w:b/>
                <w:bCs/>
                <w:color w:val="000000" w:themeColor="text1"/>
                <w:lang w:eastAsia="it-CH"/>
              </w:rPr>
            </w:pPr>
            <w:r w:rsidRPr="007F24F6">
              <w:rPr>
                <w:rFonts w:cs="Arial"/>
                <w:bCs/>
                <w:color w:val="000000" w:themeColor="text1"/>
                <w:lang w:eastAsia="it-CH"/>
              </w:rPr>
              <w:t>(già concesso)</w:t>
            </w:r>
          </w:p>
        </w:tc>
        <w:tc>
          <w:tcPr>
            <w:tcW w:w="284" w:type="dxa"/>
            <w:tcBorders>
              <w:top w:val="single" w:sz="4" w:space="0" w:color="auto"/>
              <w:bottom w:val="single" w:sz="4" w:space="0" w:color="auto"/>
              <w:right w:val="single" w:sz="4" w:space="0" w:color="auto"/>
            </w:tcBorders>
            <w:shd w:val="clear" w:color="auto" w:fill="C2D69B" w:themeFill="accent3" w:themeFillTint="99"/>
            <w:noWrap/>
            <w:vAlign w:val="center"/>
          </w:tcPr>
          <w:p w:rsidR="00B67B61" w:rsidRPr="007F24F6" w:rsidRDefault="00B67B61" w:rsidP="00C316E6">
            <w:pPr>
              <w:jc w:val="left"/>
              <w:rPr>
                <w:rFonts w:cs="Arial"/>
                <w:b/>
                <w:bCs/>
                <w:color w:val="000000" w:themeColor="text1"/>
                <w:lang w:eastAsia="it-CH"/>
              </w:rPr>
            </w:pPr>
          </w:p>
        </w:tc>
        <w:tc>
          <w:tcPr>
            <w:tcW w:w="2977"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B67B61" w:rsidRPr="007F24F6" w:rsidRDefault="00B67B61" w:rsidP="00C316E6">
            <w:pPr>
              <w:jc w:val="right"/>
              <w:rPr>
                <w:rFonts w:cs="Arial"/>
                <w:b/>
                <w:bCs/>
                <w:color w:val="000000" w:themeColor="text1"/>
                <w:lang w:eastAsia="it-CH"/>
              </w:rPr>
            </w:pPr>
            <w:r w:rsidRPr="007F24F6">
              <w:rPr>
                <w:rFonts w:cs="Arial"/>
                <w:b/>
                <w:bCs/>
                <w:color w:val="000000" w:themeColor="text1"/>
                <w:lang w:eastAsia="it-CH"/>
              </w:rPr>
              <w:t>-2’575'800.--</w:t>
            </w:r>
          </w:p>
        </w:tc>
      </w:tr>
      <w:tr w:rsidR="00B67B61" w:rsidRPr="007F24F6" w:rsidTr="00C31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6162" w:type="dxa"/>
            <w:tcBorders>
              <w:top w:val="single" w:sz="4" w:space="0" w:color="auto"/>
              <w:left w:val="single" w:sz="4" w:space="0" w:color="auto"/>
              <w:bottom w:val="single" w:sz="4" w:space="0" w:color="auto"/>
            </w:tcBorders>
            <w:shd w:val="clear" w:color="auto" w:fill="D9D9D9" w:themeFill="background1" w:themeFillShade="D9"/>
            <w:vAlign w:val="center"/>
          </w:tcPr>
          <w:p w:rsidR="00B67B61" w:rsidRPr="007F24F6" w:rsidRDefault="00B67B61" w:rsidP="00C316E6">
            <w:pPr>
              <w:jc w:val="left"/>
              <w:rPr>
                <w:rFonts w:cs="Arial"/>
                <w:b/>
                <w:bCs/>
                <w:color w:val="000000" w:themeColor="text1"/>
                <w:lang w:eastAsia="it-CH"/>
              </w:rPr>
            </w:pPr>
            <w:r w:rsidRPr="007F24F6">
              <w:rPr>
                <w:rFonts w:cs="Arial"/>
                <w:b/>
                <w:bCs/>
                <w:color w:val="000000" w:themeColor="text1"/>
                <w:lang w:eastAsia="it-CH"/>
              </w:rPr>
              <w:t>Costo costruzione – WBS 941 59 6012</w:t>
            </w:r>
          </w:p>
        </w:tc>
        <w:tc>
          <w:tcPr>
            <w:tcW w:w="284" w:type="dxa"/>
            <w:tcBorders>
              <w:top w:val="single" w:sz="4" w:space="0" w:color="auto"/>
              <w:bottom w:val="single" w:sz="4" w:space="0" w:color="auto"/>
              <w:right w:val="single" w:sz="4" w:space="0" w:color="auto"/>
            </w:tcBorders>
            <w:shd w:val="clear" w:color="auto" w:fill="D9D9D9" w:themeFill="background1" w:themeFillShade="D9"/>
            <w:noWrap/>
            <w:vAlign w:val="center"/>
          </w:tcPr>
          <w:p w:rsidR="00B67B61" w:rsidRPr="007F24F6" w:rsidRDefault="00B67B61" w:rsidP="00C316E6">
            <w:pPr>
              <w:jc w:val="left"/>
              <w:rPr>
                <w:rFonts w:cs="Arial"/>
                <w:b/>
                <w:bCs/>
                <w:color w:val="000000" w:themeColor="text1"/>
                <w:lang w:eastAsia="it-CH"/>
              </w:rPr>
            </w:pP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67B61" w:rsidRPr="007F24F6" w:rsidRDefault="00B67B61" w:rsidP="00C316E6">
            <w:pPr>
              <w:jc w:val="right"/>
              <w:rPr>
                <w:rFonts w:cs="Arial"/>
                <w:b/>
                <w:bCs/>
                <w:color w:val="000000" w:themeColor="text1"/>
                <w:lang w:eastAsia="it-CH"/>
              </w:rPr>
            </w:pPr>
            <w:r w:rsidRPr="007F24F6">
              <w:rPr>
                <w:rFonts w:cs="Arial"/>
                <w:b/>
                <w:bCs/>
                <w:color w:val="000000" w:themeColor="text1"/>
                <w:lang w:eastAsia="it-CH"/>
              </w:rPr>
              <w:t>37'800'000.--</w:t>
            </w:r>
          </w:p>
        </w:tc>
      </w:tr>
      <w:tr w:rsidR="00B67B61" w:rsidRPr="007F24F6" w:rsidTr="00C31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6162" w:type="dxa"/>
            <w:tcBorders>
              <w:top w:val="single" w:sz="4" w:space="0" w:color="auto"/>
              <w:bottom w:val="single" w:sz="4" w:space="0" w:color="auto"/>
            </w:tcBorders>
            <w:shd w:val="clear" w:color="auto" w:fill="auto"/>
            <w:vAlign w:val="center"/>
          </w:tcPr>
          <w:p w:rsidR="00B67B61" w:rsidRPr="007F24F6" w:rsidRDefault="00B67B61" w:rsidP="00C316E6">
            <w:pPr>
              <w:jc w:val="left"/>
              <w:rPr>
                <w:rFonts w:cs="Arial"/>
                <w:b/>
                <w:bCs/>
                <w:color w:val="000000" w:themeColor="text1"/>
                <w:lang w:eastAsia="it-CH"/>
              </w:rPr>
            </w:pPr>
          </w:p>
        </w:tc>
        <w:tc>
          <w:tcPr>
            <w:tcW w:w="284" w:type="dxa"/>
            <w:tcBorders>
              <w:top w:val="single" w:sz="4" w:space="0" w:color="auto"/>
              <w:bottom w:val="single" w:sz="4" w:space="0" w:color="auto"/>
            </w:tcBorders>
            <w:shd w:val="clear" w:color="auto" w:fill="auto"/>
            <w:noWrap/>
            <w:vAlign w:val="center"/>
          </w:tcPr>
          <w:p w:rsidR="00B67B61" w:rsidRPr="007F24F6" w:rsidRDefault="00B67B61" w:rsidP="00C316E6">
            <w:pPr>
              <w:jc w:val="left"/>
              <w:rPr>
                <w:rFonts w:cs="Arial"/>
                <w:b/>
                <w:bCs/>
                <w:color w:val="000000" w:themeColor="text1"/>
                <w:lang w:eastAsia="it-CH"/>
              </w:rPr>
            </w:pPr>
          </w:p>
        </w:tc>
        <w:tc>
          <w:tcPr>
            <w:tcW w:w="2977" w:type="dxa"/>
            <w:tcBorders>
              <w:top w:val="single" w:sz="4" w:space="0" w:color="auto"/>
              <w:bottom w:val="single" w:sz="4" w:space="0" w:color="auto"/>
            </w:tcBorders>
            <w:shd w:val="clear" w:color="auto" w:fill="auto"/>
            <w:noWrap/>
            <w:vAlign w:val="center"/>
          </w:tcPr>
          <w:p w:rsidR="00B67B61" w:rsidRPr="007F24F6" w:rsidRDefault="00B67B61" w:rsidP="00C316E6">
            <w:pPr>
              <w:jc w:val="right"/>
              <w:rPr>
                <w:rFonts w:cs="Arial"/>
                <w:b/>
                <w:bCs/>
                <w:color w:val="000000" w:themeColor="text1"/>
                <w:lang w:eastAsia="it-CH"/>
              </w:rPr>
            </w:pPr>
          </w:p>
        </w:tc>
      </w:tr>
      <w:tr w:rsidR="00B67B61" w:rsidRPr="007F24F6" w:rsidTr="00C31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6162" w:type="dxa"/>
            <w:tcBorders>
              <w:top w:val="single" w:sz="4" w:space="0" w:color="auto"/>
              <w:left w:val="single" w:sz="4" w:space="0" w:color="auto"/>
              <w:bottom w:val="single" w:sz="18" w:space="0" w:color="auto"/>
            </w:tcBorders>
            <w:shd w:val="clear" w:color="auto" w:fill="D9D9D9"/>
            <w:vAlign w:val="center"/>
          </w:tcPr>
          <w:p w:rsidR="00B67B61" w:rsidRPr="007F24F6" w:rsidRDefault="00B67B61" w:rsidP="00C316E6">
            <w:pPr>
              <w:jc w:val="left"/>
              <w:rPr>
                <w:rFonts w:cs="Arial"/>
                <w:b/>
                <w:bCs/>
                <w:color w:val="000000" w:themeColor="text1"/>
                <w:lang w:eastAsia="it-CH"/>
              </w:rPr>
            </w:pPr>
            <w:r w:rsidRPr="007F24F6">
              <w:rPr>
                <w:rFonts w:cs="Arial"/>
                <w:b/>
                <w:color w:val="000000" w:themeColor="text1"/>
                <w:lang w:eastAsia="it-CH"/>
              </w:rPr>
              <w:t>Costo impianti tecnici del CSI WBS 951 50 2069</w:t>
            </w:r>
          </w:p>
        </w:tc>
        <w:tc>
          <w:tcPr>
            <w:tcW w:w="284" w:type="dxa"/>
            <w:tcBorders>
              <w:top w:val="single" w:sz="4" w:space="0" w:color="auto"/>
              <w:bottom w:val="single" w:sz="18" w:space="0" w:color="auto"/>
              <w:right w:val="single" w:sz="4" w:space="0" w:color="auto"/>
            </w:tcBorders>
            <w:shd w:val="clear" w:color="auto" w:fill="D9D9D9"/>
            <w:noWrap/>
            <w:vAlign w:val="center"/>
          </w:tcPr>
          <w:p w:rsidR="00B67B61" w:rsidRPr="007F24F6" w:rsidRDefault="00B67B61" w:rsidP="00C316E6">
            <w:pPr>
              <w:jc w:val="left"/>
              <w:rPr>
                <w:rFonts w:cs="Arial"/>
                <w:b/>
                <w:bCs/>
                <w:color w:val="000000" w:themeColor="text1"/>
                <w:lang w:eastAsia="it-CH"/>
              </w:rPr>
            </w:pPr>
          </w:p>
        </w:tc>
        <w:tc>
          <w:tcPr>
            <w:tcW w:w="2977" w:type="dxa"/>
            <w:tcBorders>
              <w:top w:val="single" w:sz="4" w:space="0" w:color="auto"/>
              <w:left w:val="nil"/>
              <w:bottom w:val="single" w:sz="18" w:space="0" w:color="auto"/>
              <w:right w:val="single" w:sz="4" w:space="0" w:color="auto"/>
            </w:tcBorders>
            <w:shd w:val="clear" w:color="auto" w:fill="D9D9D9"/>
            <w:noWrap/>
            <w:vAlign w:val="center"/>
          </w:tcPr>
          <w:p w:rsidR="00B67B61" w:rsidRPr="007F24F6" w:rsidRDefault="00B67B61" w:rsidP="00C316E6">
            <w:pPr>
              <w:jc w:val="right"/>
              <w:rPr>
                <w:rFonts w:cs="Arial"/>
                <w:b/>
                <w:bCs/>
                <w:color w:val="000000" w:themeColor="text1"/>
                <w:lang w:eastAsia="it-CH"/>
              </w:rPr>
            </w:pPr>
            <w:r w:rsidRPr="007F24F6">
              <w:rPr>
                <w:rFonts w:cs="Arial"/>
                <w:b/>
                <w:color w:val="000000" w:themeColor="text1"/>
                <w:lang w:eastAsia="it-CH"/>
              </w:rPr>
              <w:t>1’000'000.--</w:t>
            </w:r>
          </w:p>
        </w:tc>
      </w:tr>
      <w:tr w:rsidR="00B67B61" w:rsidRPr="007F24F6" w:rsidTr="00C316E6">
        <w:trPr>
          <w:trHeight w:val="509"/>
        </w:trPr>
        <w:tc>
          <w:tcPr>
            <w:tcW w:w="6446" w:type="dxa"/>
            <w:gridSpan w:val="2"/>
            <w:tcBorders>
              <w:top w:val="single" w:sz="18" w:space="0" w:color="auto"/>
              <w:bottom w:val="single" w:sz="4" w:space="0" w:color="auto"/>
            </w:tcBorders>
            <w:shd w:val="clear" w:color="auto" w:fill="E5B8B7" w:themeFill="accent2" w:themeFillTint="66"/>
            <w:vAlign w:val="center"/>
            <w:hideMark/>
          </w:tcPr>
          <w:p w:rsidR="00B67B61" w:rsidRPr="007F24F6" w:rsidRDefault="00B67B61" w:rsidP="00C316E6">
            <w:pPr>
              <w:jc w:val="left"/>
              <w:rPr>
                <w:rFonts w:cs="Arial"/>
                <w:b/>
                <w:color w:val="000000" w:themeColor="text1"/>
                <w:lang w:eastAsia="it-CH"/>
              </w:rPr>
            </w:pPr>
            <w:r w:rsidRPr="007F24F6">
              <w:rPr>
                <w:rFonts w:cs="Arial"/>
                <w:b/>
                <w:color w:val="000000" w:themeColor="text1"/>
                <w:lang w:eastAsia="it-CH"/>
              </w:rPr>
              <w:t>Totale richiesta di credito di costruzione</w:t>
            </w:r>
          </w:p>
        </w:tc>
        <w:tc>
          <w:tcPr>
            <w:tcW w:w="2977" w:type="dxa"/>
            <w:tcBorders>
              <w:top w:val="single" w:sz="18" w:space="0" w:color="auto"/>
              <w:bottom w:val="single" w:sz="4" w:space="0" w:color="auto"/>
            </w:tcBorders>
            <w:shd w:val="clear" w:color="auto" w:fill="E5B8B7" w:themeFill="accent2" w:themeFillTint="66"/>
            <w:noWrap/>
            <w:vAlign w:val="center"/>
            <w:hideMark/>
          </w:tcPr>
          <w:p w:rsidR="00B67B61" w:rsidRPr="007F24F6" w:rsidRDefault="00B67B61" w:rsidP="00C316E6">
            <w:pPr>
              <w:jc w:val="right"/>
              <w:rPr>
                <w:rFonts w:cs="Arial"/>
                <w:b/>
                <w:color w:val="000000" w:themeColor="text1"/>
                <w:highlight w:val="yellow"/>
                <w:lang w:eastAsia="it-CH"/>
              </w:rPr>
            </w:pPr>
            <w:r w:rsidRPr="007F24F6">
              <w:rPr>
                <w:rFonts w:cs="Arial"/>
                <w:b/>
                <w:color w:val="000000" w:themeColor="text1"/>
                <w:lang w:eastAsia="it-CH"/>
              </w:rPr>
              <w:t>36’224'200.--</w:t>
            </w:r>
          </w:p>
        </w:tc>
      </w:tr>
      <w:tr w:rsidR="00B67B61" w:rsidRPr="007F24F6" w:rsidTr="00C316E6">
        <w:trPr>
          <w:trHeight w:val="151"/>
        </w:trPr>
        <w:tc>
          <w:tcPr>
            <w:tcW w:w="6446" w:type="dxa"/>
            <w:gridSpan w:val="2"/>
            <w:tcBorders>
              <w:top w:val="single" w:sz="4" w:space="0" w:color="auto"/>
              <w:left w:val="nil"/>
              <w:bottom w:val="single" w:sz="4" w:space="0" w:color="auto"/>
              <w:right w:val="nil"/>
            </w:tcBorders>
            <w:shd w:val="clear" w:color="auto" w:fill="auto"/>
            <w:vAlign w:val="center"/>
          </w:tcPr>
          <w:p w:rsidR="00B67B61" w:rsidRPr="007F24F6" w:rsidRDefault="00B67B61" w:rsidP="00C316E6">
            <w:pPr>
              <w:jc w:val="left"/>
              <w:rPr>
                <w:rFonts w:cs="Arial"/>
                <w:b/>
                <w:color w:val="000000" w:themeColor="text1"/>
                <w:lang w:eastAsia="it-CH"/>
              </w:rPr>
            </w:pPr>
          </w:p>
        </w:tc>
        <w:tc>
          <w:tcPr>
            <w:tcW w:w="2977" w:type="dxa"/>
            <w:tcBorders>
              <w:top w:val="single" w:sz="4" w:space="0" w:color="auto"/>
              <w:left w:val="nil"/>
              <w:bottom w:val="single" w:sz="4" w:space="0" w:color="auto"/>
              <w:right w:val="nil"/>
            </w:tcBorders>
            <w:shd w:val="clear" w:color="auto" w:fill="auto"/>
            <w:noWrap/>
            <w:vAlign w:val="center"/>
          </w:tcPr>
          <w:p w:rsidR="00B67B61" w:rsidRPr="007F24F6" w:rsidRDefault="00B67B61" w:rsidP="00C316E6">
            <w:pPr>
              <w:jc w:val="right"/>
              <w:rPr>
                <w:rFonts w:cs="Arial"/>
                <w:b/>
                <w:color w:val="000000" w:themeColor="text1"/>
                <w:lang w:eastAsia="it-CH"/>
              </w:rPr>
            </w:pPr>
          </w:p>
        </w:tc>
      </w:tr>
    </w:tbl>
    <w:p w:rsidR="00B67B61" w:rsidRDefault="00B67B61" w:rsidP="00B67B61">
      <w:pPr>
        <w:rPr>
          <w:b/>
          <w:sz w:val="24"/>
          <w:szCs w:val="24"/>
        </w:rPr>
      </w:pPr>
    </w:p>
    <w:p w:rsidR="00B67B61" w:rsidRPr="00B74EAF" w:rsidRDefault="00B67B61" w:rsidP="00B67B61">
      <w:pPr>
        <w:rPr>
          <w:b/>
          <w:sz w:val="24"/>
          <w:szCs w:val="24"/>
        </w:rPr>
      </w:pPr>
    </w:p>
    <w:p w:rsidR="00B67B61" w:rsidRPr="000334AF" w:rsidRDefault="00B67B61" w:rsidP="000334AF">
      <w:pPr>
        <w:pStyle w:val="Titolo1"/>
        <w:tabs>
          <w:tab w:val="left" w:pos="567"/>
        </w:tabs>
        <w:spacing w:before="0"/>
        <w:ind w:left="567" w:hanging="567"/>
        <w:jc w:val="both"/>
        <w:rPr>
          <w:rFonts w:eastAsia="Calibri" w:cs="Times New Roman"/>
          <w:caps/>
          <w:sz w:val="24"/>
          <w:szCs w:val="24"/>
          <w:lang w:val="it-IT" w:eastAsia="it-IT"/>
        </w:rPr>
      </w:pPr>
      <w:r w:rsidRPr="000334AF">
        <w:rPr>
          <w:rFonts w:eastAsia="Calibri" w:cs="Times New Roman"/>
          <w:caps/>
          <w:sz w:val="24"/>
          <w:szCs w:val="24"/>
          <w:lang w:val="it-IT" w:eastAsia="it-IT"/>
        </w:rPr>
        <w:t>5.</w:t>
      </w:r>
      <w:r w:rsidRPr="000334AF">
        <w:rPr>
          <w:rFonts w:eastAsia="Calibri" w:cs="Times New Roman"/>
          <w:caps/>
          <w:sz w:val="24"/>
          <w:szCs w:val="24"/>
          <w:lang w:val="it-IT" w:eastAsia="it-IT"/>
        </w:rPr>
        <w:tab/>
        <w:t xml:space="preserve">Linee direttive e Piano finanziario </w:t>
      </w:r>
    </w:p>
    <w:p w:rsidR="00B67B61" w:rsidRPr="00B74EAF" w:rsidRDefault="00B67B61" w:rsidP="00B67B61">
      <w:pPr>
        <w:rPr>
          <w:rFonts w:cs="Arial"/>
          <w:bCs/>
          <w:iCs/>
          <w:color w:val="000000" w:themeColor="text1"/>
          <w:sz w:val="24"/>
          <w:szCs w:val="24"/>
        </w:rPr>
      </w:pPr>
      <w:r w:rsidRPr="00B74EAF">
        <w:rPr>
          <w:rFonts w:cs="Arial"/>
          <w:bCs/>
          <w:iCs/>
          <w:color w:val="000000" w:themeColor="text1"/>
          <w:sz w:val="24"/>
          <w:szCs w:val="24"/>
        </w:rPr>
        <w:t>Lo stanziamento del credito proposto con l’allegato Decreto legislativo richiede l’approvazione da parte della maggioranza assoluta dei membri del Gran Consiglio (cfr. art. 5 cpv. 3 Legge sulla gestione e sul controllo finanziario dello Stato del 20 gennaio 1986).</w:t>
      </w:r>
    </w:p>
    <w:p w:rsidR="00B67B61" w:rsidRPr="00B74EAF" w:rsidRDefault="00B67B61" w:rsidP="00B67B61">
      <w:pPr>
        <w:rPr>
          <w:rFonts w:cs="Arial"/>
          <w:bCs/>
          <w:iCs/>
          <w:color w:val="000000" w:themeColor="text1"/>
          <w:sz w:val="24"/>
          <w:szCs w:val="24"/>
        </w:rPr>
      </w:pPr>
    </w:p>
    <w:p w:rsidR="00B67B61" w:rsidRPr="000334AF" w:rsidRDefault="00B67B61" w:rsidP="000334AF">
      <w:pPr>
        <w:pStyle w:val="Titolo2"/>
        <w:numPr>
          <w:ilvl w:val="0"/>
          <w:numId w:val="0"/>
        </w:numPr>
        <w:tabs>
          <w:tab w:val="left" w:pos="567"/>
        </w:tabs>
        <w:spacing w:before="0" w:after="120"/>
        <w:jc w:val="both"/>
        <w:rPr>
          <w:rFonts w:eastAsia="Calibri" w:cs="Times New Roman"/>
          <w:sz w:val="24"/>
          <w:lang w:val="it-IT" w:eastAsia="it-IT"/>
        </w:rPr>
      </w:pPr>
      <w:r w:rsidRPr="000334AF">
        <w:rPr>
          <w:rFonts w:eastAsia="Calibri" w:cs="Times New Roman"/>
          <w:sz w:val="24"/>
          <w:lang w:val="it-IT" w:eastAsia="it-IT"/>
        </w:rPr>
        <w:t>5.1</w:t>
      </w:r>
      <w:r w:rsidRPr="000334AF">
        <w:rPr>
          <w:rFonts w:eastAsia="Calibri" w:cs="Times New Roman"/>
          <w:sz w:val="24"/>
          <w:lang w:val="it-IT" w:eastAsia="it-IT"/>
        </w:rPr>
        <w:tab/>
        <w:t>Relazioni con il piano finanziario</w:t>
      </w:r>
    </w:p>
    <w:p w:rsidR="00B67B61" w:rsidRPr="00B74EAF" w:rsidRDefault="00B67B61" w:rsidP="00B67B61">
      <w:pPr>
        <w:autoSpaceDE w:val="0"/>
        <w:autoSpaceDN w:val="0"/>
        <w:rPr>
          <w:rFonts w:cs="Arial"/>
          <w:color w:val="000000" w:themeColor="text1"/>
          <w:sz w:val="24"/>
          <w:szCs w:val="24"/>
        </w:rPr>
      </w:pPr>
      <w:r w:rsidRPr="00B74EAF">
        <w:rPr>
          <w:rFonts w:cs="Arial"/>
          <w:sz w:val="24"/>
          <w:szCs w:val="24"/>
        </w:rPr>
        <w:t>La richiesta di credito in oggetto è prevista nelle Linee direttive e nel piano finanziario degli investimenti; in particolare l’onere per la costruzione è pianificato nel settore</w:t>
      </w:r>
      <w:r w:rsidRPr="00B74EAF">
        <w:rPr>
          <w:rFonts w:cs="Arial"/>
          <w:sz w:val="24"/>
          <w:szCs w:val="24"/>
          <w:lang w:eastAsia="it-CH"/>
        </w:rPr>
        <w:t xml:space="preserve"> 42 Scuole medie e medie superiori, posizione 422 063 1, WBS 941 59 6012, per un importo di </w:t>
      </w:r>
      <w:r w:rsidRPr="00B74EAF">
        <w:rPr>
          <w:rFonts w:cs="Arial"/>
          <w:sz w:val="24"/>
          <w:szCs w:val="24"/>
        </w:rPr>
        <w:t xml:space="preserve">fr. </w:t>
      </w:r>
      <w:r w:rsidRPr="00B74EAF">
        <w:rPr>
          <w:rFonts w:cs="Arial"/>
          <w:color w:val="000000" w:themeColor="text1"/>
          <w:sz w:val="24"/>
          <w:szCs w:val="24"/>
        </w:rPr>
        <w:t xml:space="preserve">35'224'200.- </w:t>
      </w:r>
      <w:r w:rsidRPr="00B74EAF">
        <w:rPr>
          <w:rFonts w:cs="Arial"/>
          <w:sz w:val="24"/>
          <w:szCs w:val="24"/>
        </w:rPr>
        <w:t xml:space="preserve">e alla </w:t>
      </w:r>
      <w:r w:rsidRPr="00B74EAF">
        <w:rPr>
          <w:rFonts w:cs="Arial"/>
          <w:sz w:val="24"/>
          <w:szCs w:val="24"/>
          <w:lang w:eastAsia="it-CH"/>
        </w:rPr>
        <w:t>posizione 422 063 1, WBS</w:t>
      </w:r>
      <w:r w:rsidRPr="00B74EAF">
        <w:rPr>
          <w:rFonts w:cs="Arial"/>
          <w:sz w:val="24"/>
          <w:szCs w:val="24"/>
        </w:rPr>
        <w:t xml:space="preserve"> 951 50 2069 </w:t>
      </w:r>
      <w:r w:rsidRPr="00B74EAF">
        <w:rPr>
          <w:rFonts w:cs="Arial"/>
          <w:color w:val="000000" w:themeColor="text1"/>
          <w:sz w:val="24"/>
          <w:szCs w:val="24"/>
        </w:rPr>
        <w:t xml:space="preserve">per un importo di fr. 1’000'000.- per la parte di impianti tecnici del CSI. </w:t>
      </w:r>
    </w:p>
    <w:p w:rsidR="00B67B61" w:rsidRPr="00B74EAF" w:rsidRDefault="00B67B61" w:rsidP="00B67B61">
      <w:pPr>
        <w:rPr>
          <w:color w:val="000000" w:themeColor="text1"/>
          <w:sz w:val="24"/>
          <w:szCs w:val="24"/>
        </w:rPr>
      </w:pPr>
    </w:p>
    <w:p w:rsidR="00B67B61" w:rsidRPr="000334AF" w:rsidRDefault="00B67B61" w:rsidP="000334AF">
      <w:pPr>
        <w:pStyle w:val="Titolo2"/>
        <w:numPr>
          <w:ilvl w:val="0"/>
          <w:numId w:val="0"/>
        </w:numPr>
        <w:tabs>
          <w:tab w:val="left" w:pos="567"/>
        </w:tabs>
        <w:spacing w:before="0" w:after="120"/>
        <w:jc w:val="both"/>
        <w:rPr>
          <w:rFonts w:eastAsia="Calibri" w:cs="Times New Roman"/>
          <w:sz w:val="24"/>
          <w:lang w:val="it-IT" w:eastAsia="it-IT"/>
        </w:rPr>
      </w:pPr>
      <w:r w:rsidRPr="000334AF">
        <w:rPr>
          <w:rFonts w:eastAsia="Calibri" w:cs="Times New Roman"/>
          <w:sz w:val="24"/>
          <w:lang w:val="it-IT" w:eastAsia="it-IT"/>
        </w:rPr>
        <w:t>5.2</w:t>
      </w:r>
      <w:r w:rsidRPr="000334AF">
        <w:rPr>
          <w:rFonts w:eastAsia="Calibri" w:cs="Times New Roman"/>
          <w:sz w:val="24"/>
          <w:lang w:val="it-IT" w:eastAsia="it-IT"/>
        </w:rPr>
        <w:tab/>
        <w:t>Conseguenze finanziarie sulla gestione corrente</w:t>
      </w:r>
    </w:p>
    <w:p w:rsidR="00B67B61" w:rsidRPr="00B74EAF" w:rsidRDefault="00B67B61" w:rsidP="00B67B61">
      <w:pPr>
        <w:tabs>
          <w:tab w:val="right" w:pos="6120"/>
        </w:tabs>
        <w:rPr>
          <w:rFonts w:cs="Arial"/>
          <w:color w:val="000000" w:themeColor="text1"/>
          <w:sz w:val="24"/>
          <w:szCs w:val="24"/>
        </w:rPr>
      </w:pPr>
      <w:r w:rsidRPr="001522E9">
        <w:rPr>
          <w:rFonts w:cs="Arial"/>
          <w:color w:val="000000" w:themeColor="text1"/>
          <w:sz w:val="24"/>
          <w:szCs w:val="24"/>
        </w:rPr>
        <w:t xml:space="preserve">In termini generali si può affermare che i costi di esercizio (ossia i costi di manutenzione ordinaria sommati ai costi di gestione) incidono mediamente annualmente nella misura del 2% dei costi di costruzione (costo d’opera C-G+H). Tale incidenza, per il progetto E 4113 Ristrutturazione e ampliamento liceo Bellinzona è quindi orientativamente calcolabile in </w:t>
      </w:r>
      <w:r w:rsidRPr="001522E9">
        <w:rPr>
          <w:rFonts w:cs="Arial"/>
          <w:color w:val="000000" w:themeColor="text1"/>
          <w:sz w:val="24"/>
          <w:szCs w:val="24"/>
        </w:rPr>
        <w:lastRenderedPageBreak/>
        <w:t xml:space="preserve">complessivi fr. 466'000.--/anno a partire dall’anno 2026 a scapito di un costo attuale di </w:t>
      </w:r>
      <w:r w:rsidRPr="001522E9">
        <w:rPr>
          <w:rFonts w:cs="Arial"/>
          <w:color w:val="000000" w:themeColor="text1"/>
          <w:sz w:val="24"/>
          <w:szCs w:val="24"/>
        </w:rPr>
        <w:br/>
        <w:t>fr. 280'000.--/anno.</w:t>
      </w:r>
    </w:p>
    <w:p w:rsidR="00B67B61" w:rsidRPr="00B74EAF" w:rsidRDefault="00B67B61" w:rsidP="00B67B61">
      <w:pPr>
        <w:tabs>
          <w:tab w:val="left" w:pos="851"/>
          <w:tab w:val="right" w:pos="6120"/>
          <w:tab w:val="right" w:pos="7920"/>
          <w:tab w:val="right" w:pos="9638"/>
        </w:tabs>
        <w:rPr>
          <w:rFonts w:cs="Arial"/>
          <w:color w:val="000000" w:themeColor="text1"/>
          <w:sz w:val="24"/>
          <w:szCs w:val="24"/>
        </w:rPr>
      </w:pPr>
    </w:p>
    <w:p w:rsidR="00B67B61" w:rsidRPr="00B74EAF" w:rsidRDefault="00B67B61" w:rsidP="00B67B61">
      <w:pPr>
        <w:rPr>
          <w:bCs/>
          <w:color w:val="000000" w:themeColor="text1"/>
          <w:sz w:val="24"/>
          <w:szCs w:val="24"/>
          <w:lang w:eastAsia="ja-JP"/>
        </w:rPr>
      </w:pPr>
    </w:p>
    <w:p w:rsidR="00B67B61" w:rsidRPr="00473EA2" w:rsidRDefault="00B67B61" w:rsidP="00473EA2">
      <w:pPr>
        <w:pStyle w:val="Titolo1"/>
        <w:tabs>
          <w:tab w:val="left" w:pos="567"/>
        </w:tabs>
        <w:spacing w:before="0"/>
        <w:ind w:left="567" w:hanging="567"/>
        <w:jc w:val="both"/>
        <w:rPr>
          <w:rFonts w:eastAsia="Calibri" w:cs="Times New Roman"/>
          <w:caps/>
          <w:sz w:val="24"/>
          <w:szCs w:val="24"/>
          <w:lang w:val="it-IT" w:eastAsia="it-IT"/>
        </w:rPr>
      </w:pPr>
      <w:r w:rsidRPr="00473EA2">
        <w:rPr>
          <w:rFonts w:eastAsia="Calibri" w:cs="Times New Roman"/>
          <w:caps/>
          <w:sz w:val="24"/>
          <w:szCs w:val="24"/>
          <w:lang w:val="it-IT" w:eastAsia="it-IT"/>
        </w:rPr>
        <w:t>6</w:t>
      </w:r>
      <w:r w:rsidR="00473EA2">
        <w:rPr>
          <w:rFonts w:eastAsia="Calibri" w:cs="Times New Roman"/>
          <w:caps/>
          <w:sz w:val="24"/>
          <w:szCs w:val="24"/>
          <w:lang w:val="it-IT" w:eastAsia="it-IT"/>
        </w:rPr>
        <w:t>.</w:t>
      </w:r>
      <w:r w:rsidRPr="00473EA2">
        <w:rPr>
          <w:rFonts w:eastAsia="Calibri" w:cs="Times New Roman"/>
          <w:caps/>
          <w:sz w:val="24"/>
          <w:szCs w:val="24"/>
          <w:lang w:val="it-IT" w:eastAsia="it-IT"/>
        </w:rPr>
        <w:tab/>
        <w:t xml:space="preserve">Tempistica </w:t>
      </w:r>
    </w:p>
    <w:p w:rsidR="00B67B61" w:rsidRPr="001522E9" w:rsidRDefault="00B67B61" w:rsidP="00B67B61">
      <w:pPr>
        <w:rPr>
          <w:rFonts w:cs="Arial"/>
          <w:color w:val="000000" w:themeColor="text1"/>
          <w:sz w:val="24"/>
          <w:szCs w:val="24"/>
        </w:rPr>
      </w:pPr>
      <w:r w:rsidRPr="00B74EAF">
        <w:rPr>
          <w:rFonts w:cs="Arial"/>
          <w:color w:val="000000" w:themeColor="text1"/>
          <w:sz w:val="24"/>
          <w:szCs w:val="24"/>
        </w:rPr>
        <w:t xml:space="preserve">Sulla base dei programmi lavoro allestiti con i vari consulenti specialisti, ipotizzando l’approvazione del credito da parte del Parlamento nel corso del mese di novembre 2022, </w:t>
      </w:r>
      <w:r w:rsidRPr="001522E9">
        <w:rPr>
          <w:rFonts w:cs="Arial"/>
          <w:color w:val="000000" w:themeColor="text1"/>
          <w:sz w:val="24"/>
          <w:szCs w:val="24"/>
        </w:rPr>
        <w:t>si possono indicare i seguenti termini di realizzazione:</w:t>
      </w:r>
    </w:p>
    <w:p w:rsidR="00B67B61" w:rsidRPr="001522E9" w:rsidRDefault="00B67B61" w:rsidP="00473EA2">
      <w:pPr>
        <w:pStyle w:val="Paragrafoelenco"/>
        <w:numPr>
          <w:ilvl w:val="0"/>
          <w:numId w:val="26"/>
        </w:numPr>
        <w:tabs>
          <w:tab w:val="left" w:pos="4962"/>
        </w:tabs>
        <w:spacing w:before="100" w:after="120"/>
        <w:ind w:left="714" w:hanging="357"/>
        <w:contextualSpacing w:val="0"/>
        <w:rPr>
          <w:rFonts w:cs="Arial"/>
          <w:color w:val="000000" w:themeColor="text1"/>
          <w:sz w:val="24"/>
          <w:szCs w:val="24"/>
        </w:rPr>
      </w:pPr>
      <w:r w:rsidRPr="001522E9">
        <w:rPr>
          <w:rFonts w:cs="Arial"/>
          <w:color w:val="000000" w:themeColor="text1"/>
          <w:sz w:val="24"/>
          <w:szCs w:val="24"/>
        </w:rPr>
        <w:t xml:space="preserve">Affinamento del progetto esecutivo </w:t>
      </w:r>
      <w:r w:rsidRPr="001522E9">
        <w:rPr>
          <w:rFonts w:cs="Arial"/>
          <w:color w:val="000000" w:themeColor="text1"/>
          <w:sz w:val="24"/>
          <w:szCs w:val="24"/>
        </w:rPr>
        <w:tab/>
        <w:t>- giugno 2022 a novembre 2022- 5 mesi</w:t>
      </w:r>
    </w:p>
    <w:p w:rsidR="00B67B61" w:rsidRPr="001522E9" w:rsidRDefault="00B67B61" w:rsidP="00473EA2">
      <w:pPr>
        <w:pStyle w:val="Paragrafoelenco"/>
        <w:numPr>
          <w:ilvl w:val="0"/>
          <w:numId w:val="26"/>
        </w:numPr>
        <w:tabs>
          <w:tab w:val="left" w:pos="4962"/>
        </w:tabs>
        <w:spacing w:before="100" w:after="120"/>
        <w:ind w:left="714" w:hanging="357"/>
        <w:contextualSpacing w:val="0"/>
        <w:rPr>
          <w:rFonts w:cs="Arial"/>
          <w:color w:val="000000" w:themeColor="text1"/>
          <w:sz w:val="24"/>
          <w:szCs w:val="24"/>
        </w:rPr>
      </w:pPr>
      <w:r w:rsidRPr="001522E9">
        <w:rPr>
          <w:rFonts w:cs="Arial"/>
          <w:color w:val="000000" w:themeColor="text1"/>
          <w:sz w:val="24"/>
          <w:szCs w:val="24"/>
        </w:rPr>
        <w:t>Procedura di autorizzazione</w:t>
      </w:r>
      <w:r w:rsidRPr="001522E9">
        <w:rPr>
          <w:rFonts w:cs="Arial"/>
          <w:color w:val="000000" w:themeColor="text1"/>
          <w:sz w:val="24"/>
          <w:szCs w:val="24"/>
        </w:rPr>
        <w:tab/>
        <w:t xml:space="preserve">- luglio 2022 a novembre 2022- 5 mesi </w:t>
      </w:r>
    </w:p>
    <w:p w:rsidR="00B67B61" w:rsidRPr="001522E9" w:rsidRDefault="00B67B61" w:rsidP="00473EA2">
      <w:pPr>
        <w:pStyle w:val="Paragrafoelenco"/>
        <w:numPr>
          <w:ilvl w:val="0"/>
          <w:numId w:val="26"/>
        </w:numPr>
        <w:tabs>
          <w:tab w:val="left" w:pos="4962"/>
        </w:tabs>
        <w:spacing w:before="100" w:after="120"/>
        <w:ind w:left="714" w:hanging="357"/>
        <w:contextualSpacing w:val="0"/>
        <w:rPr>
          <w:rFonts w:cs="Arial"/>
          <w:color w:val="000000" w:themeColor="text1"/>
          <w:sz w:val="24"/>
          <w:szCs w:val="24"/>
        </w:rPr>
      </w:pPr>
      <w:r w:rsidRPr="001522E9">
        <w:rPr>
          <w:rFonts w:cs="Arial"/>
          <w:color w:val="000000" w:themeColor="text1"/>
          <w:sz w:val="24"/>
          <w:szCs w:val="24"/>
        </w:rPr>
        <w:t>Inizio lavori</w:t>
      </w:r>
      <w:r w:rsidRPr="001522E9">
        <w:rPr>
          <w:rFonts w:cs="Arial"/>
          <w:color w:val="000000" w:themeColor="text1"/>
          <w:sz w:val="24"/>
          <w:szCs w:val="24"/>
        </w:rPr>
        <w:tab/>
        <w:t>- dicembre 2022</w:t>
      </w:r>
    </w:p>
    <w:p w:rsidR="00B67B61" w:rsidRPr="001522E9" w:rsidRDefault="00B67B61" w:rsidP="00473EA2">
      <w:pPr>
        <w:pStyle w:val="Paragrafoelenco"/>
        <w:numPr>
          <w:ilvl w:val="0"/>
          <w:numId w:val="26"/>
        </w:numPr>
        <w:tabs>
          <w:tab w:val="left" w:pos="4962"/>
        </w:tabs>
        <w:spacing w:before="100" w:after="120"/>
        <w:ind w:left="714" w:hanging="357"/>
        <w:contextualSpacing w:val="0"/>
        <w:rPr>
          <w:rFonts w:cs="Arial"/>
          <w:color w:val="000000" w:themeColor="text1"/>
          <w:sz w:val="24"/>
          <w:szCs w:val="24"/>
        </w:rPr>
      </w:pPr>
      <w:r w:rsidRPr="001522E9">
        <w:rPr>
          <w:rFonts w:cs="Arial"/>
          <w:color w:val="000000" w:themeColor="text1"/>
          <w:sz w:val="24"/>
          <w:szCs w:val="24"/>
        </w:rPr>
        <w:t>Fine lavori di costruzione</w:t>
      </w:r>
      <w:r w:rsidRPr="001522E9">
        <w:rPr>
          <w:rFonts w:cs="Arial"/>
          <w:color w:val="000000" w:themeColor="text1"/>
          <w:sz w:val="24"/>
          <w:szCs w:val="24"/>
        </w:rPr>
        <w:tab/>
        <w:t>- luglio 2025 – 32 mesi</w:t>
      </w:r>
    </w:p>
    <w:p w:rsidR="00B67B61" w:rsidRPr="001522E9" w:rsidRDefault="00B67B61" w:rsidP="00473EA2">
      <w:pPr>
        <w:pStyle w:val="Paragrafoelenco"/>
        <w:numPr>
          <w:ilvl w:val="0"/>
          <w:numId w:val="26"/>
        </w:numPr>
        <w:tabs>
          <w:tab w:val="left" w:pos="4536"/>
        </w:tabs>
        <w:spacing w:before="100" w:after="120"/>
        <w:ind w:left="714" w:hanging="357"/>
        <w:contextualSpacing w:val="0"/>
        <w:rPr>
          <w:rFonts w:cs="Arial"/>
          <w:color w:val="000000" w:themeColor="text1"/>
          <w:sz w:val="24"/>
          <w:szCs w:val="24"/>
        </w:rPr>
      </w:pPr>
      <w:r w:rsidRPr="001522E9">
        <w:rPr>
          <w:rFonts w:cs="Arial"/>
          <w:color w:val="000000" w:themeColor="text1"/>
          <w:sz w:val="24"/>
          <w:szCs w:val="24"/>
        </w:rPr>
        <w:t>Consegna edificio e messa in funzione</w:t>
      </w:r>
      <w:r w:rsidRPr="001522E9">
        <w:rPr>
          <w:rFonts w:cs="Arial"/>
          <w:color w:val="000000" w:themeColor="text1"/>
          <w:sz w:val="24"/>
          <w:szCs w:val="24"/>
        </w:rPr>
        <w:tab/>
        <w:t>- inizio settembre 2025</w:t>
      </w:r>
    </w:p>
    <w:p w:rsidR="00B67B61" w:rsidRPr="00B74EAF" w:rsidRDefault="00B67B61" w:rsidP="00B67B61">
      <w:pPr>
        <w:jc w:val="left"/>
        <w:rPr>
          <w:rFonts w:cs="Arial"/>
          <w:color w:val="000000" w:themeColor="text1"/>
          <w:sz w:val="24"/>
          <w:szCs w:val="24"/>
        </w:rPr>
      </w:pPr>
    </w:p>
    <w:p w:rsidR="00B67B61" w:rsidRPr="00B74EAF" w:rsidRDefault="00B67B61" w:rsidP="00B67B61">
      <w:pPr>
        <w:jc w:val="left"/>
        <w:rPr>
          <w:rFonts w:cs="Arial"/>
          <w:color w:val="000000" w:themeColor="text1"/>
          <w:sz w:val="24"/>
          <w:szCs w:val="24"/>
        </w:rPr>
      </w:pPr>
    </w:p>
    <w:p w:rsidR="00B67B61" w:rsidRPr="00473EA2" w:rsidRDefault="00B67B61" w:rsidP="00473EA2">
      <w:pPr>
        <w:pStyle w:val="Titolo1"/>
        <w:tabs>
          <w:tab w:val="left" w:pos="567"/>
        </w:tabs>
        <w:spacing w:before="0"/>
        <w:ind w:left="567" w:hanging="567"/>
        <w:jc w:val="both"/>
        <w:rPr>
          <w:rFonts w:eastAsia="Calibri" w:cs="Times New Roman"/>
          <w:caps/>
          <w:sz w:val="24"/>
          <w:szCs w:val="24"/>
          <w:lang w:val="it-IT" w:eastAsia="it-IT"/>
        </w:rPr>
      </w:pPr>
      <w:r w:rsidRPr="00473EA2">
        <w:rPr>
          <w:rFonts w:eastAsia="Calibri" w:cs="Times New Roman"/>
          <w:caps/>
          <w:sz w:val="24"/>
          <w:szCs w:val="24"/>
          <w:lang w:val="it-IT" w:eastAsia="it-IT"/>
        </w:rPr>
        <w:t>7</w:t>
      </w:r>
      <w:r w:rsidR="00473EA2">
        <w:rPr>
          <w:rFonts w:eastAsia="Calibri" w:cs="Times New Roman"/>
          <w:caps/>
          <w:sz w:val="24"/>
          <w:szCs w:val="24"/>
          <w:lang w:val="it-IT" w:eastAsia="it-IT"/>
        </w:rPr>
        <w:t>.</w:t>
      </w:r>
      <w:r w:rsidRPr="00473EA2">
        <w:rPr>
          <w:rFonts w:eastAsia="Calibri" w:cs="Times New Roman"/>
          <w:caps/>
          <w:sz w:val="24"/>
          <w:szCs w:val="24"/>
          <w:lang w:val="it-IT" w:eastAsia="it-IT"/>
        </w:rPr>
        <w:tab/>
        <w:t xml:space="preserve">Conclusione </w:t>
      </w:r>
    </w:p>
    <w:p w:rsidR="00B67B61" w:rsidRDefault="00B67B61" w:rsidP="00B67B61">
      <w:pPr>
        <w:autoSpaceDE w:val="0"/>
        <w:autoSpaceDN w:val="0"/>
        <w:adjustRightInd w:val="0"/>
        <w:rPr>
          <w:rFonts w:cs="Arial"/>
          <w:color w:val="000000" w:themeColor="text1"/>
          <w:sz w:val="24"/>
          <w:szCs w:val="24"/>
          <w:lang w:eastAsia="it-CH"/>
        </w:rPr>
      </w:pPr>
      <w:r>
        <w:rPr>
          <w:rFonts w:cs="Arial"/>
          <w:color w:val="000000" w:themeColor="text1"/>
          <w:sz w:val="24"/>
          <w:szCs w:val="24"/>
          <w:lang w:eastAsia="it-CH"/>
        </w:rPr>
        <w:t xml:space="preserve">Il messaggio in oggetto chiude un iter lungo e articolato che ha portato alla definizione della soluzione migliore per l’indispensabile risanamento e ampliamento della sede del liceo di Bellinzona </w:t>
      </w:r>
      <w:r w:rsidRPr="00B74EAF">
        <w:rPr>
          <w:rFonts w:cs="Arial"/>
          <w:color w:val="000000" w:themeColor="text1"/>
          <w:sz w:val="24"/>
          <w:szCs w:val="24"/>
          <w:lang w:eastAsia="it-CH"/>
        </w:rPr>
        <w:t xml:space="preserve">adattandola ai nuovi concetti della didattica e bonificandola dalle sostanze pericolose. </w:t>
      </w:r>
    </w:p>
    <w:p w:rsidR="00473EA2" w:rsidRDefault="00473EA2" w:rsidP="00B67B61">
      <w:pPr>
        <w:autoSpaceDE w:val="0"/>
        <w:autoSpaceDN w:val="0"/>
        <w:adjustRightInd w:val="0"/>
        <w:rPr>
          <w:rFonts w:cs="Arial"/>
          <w:color w:val="000000" w:themeColor="text1"/>
          <w:sz w:val="24"/>
          <w:szCs w:val="24"/>
          <w:lang w:eastAsia="it-CH"/>
        </w:rPr>
      </w:pPr>
    </w:p>
    <w:p w:rsidR="00B67B61" w:rsidRPr="00B74EAF" w:rsidRDefault="00B67B61" w:rsidP="00B67B61">
      <w:pPr>
        <w:autoSpaceDE w:val="0"/>
        <w:autoSpaceDN w:val="0"/>
        <w:adjustRightInd w:val="0"/>
        <w:rPr>
          <w:rFonts w:cs="Arial"/>
          <w:color w:val="000000" w:themeColor="text1"/>
          <w:sz w:val="24"/>
          <w:szCs w:val="24"/>
        </w:rPr>
      </w:pPr>
      <w:r>
        <w:rPr>
          <w:rFonts w:cs="Arial"/>
          <w:color w:val="000000" w:themeColor="text1"/>
          <w:sz w:val="24"/>
          <w:szCs w:val="24"/>
        </w:rPr>
        <w:t>In base alle considerazioni esposte la Commissione invita il</w:t>
      </w:r>
      <w:r w:rsidRPr="00B74EAF">
        <w:rPr>
          <w:rFonts w:cs="Arial"/>
          <w:color w:val="000000" w:themeColor="text1"/>
          <w:sz w:val="24"/>
          <w:szCs w:val="24"/>
        </w:rPr>
        <w:t xml:space="preserve"> Parlamento a voler approvare il </w:t>
      </w:r>
      <w:r w:rsidR="00473EA2">
        <w:rPr>
          <w:rFonts w:cs="Arial"/>
          <w:color w:val="000000" w:themeColor="text1"/>
          <w:sz w:val="24"/>
          <w:szCs w:val="24"/>
        </w:rPr>
        <w:t>d</w:t>
      </w:r>
      <w:r w:rsidRPr="00B74EAF">
        <w:rPr>
          <w:rFonts w:cs="Arial"/>
          <w:color w:val="000000" w:themeColor="text1"/>
          <w:sz w:val="24"/>
          <w:szCs w:val="24"/>
        </w:rPr>
        <w:t>ecreto legislativo allegato</w:t>
      </w:r>
      <w:r>
        <w:rPr>
          <w:rFonts w:cs="Arial"/>
          <w:color w:val="000000" w:themeColor="text1"/>
          <w:sz w:val="24"/>
          <w:szCs w:val="24"/>
        </w:rPr>
        <w:t xml:space="preserve"> al messaggio</w:t>
      </w:r>
      <w:r w:rsidRPr="00B74EAF">
        <w:rPr>
          <w:rFonts w:cs="Arial"/>
          <w:color w:val="000000" w:themeColor="text1"/>
          <w:sz w:val="24"/>
          <w:szCs w:val="24"/>
        </w:rPr>
        <w:t>.</w:t>
      </w:r>
    </w:p>
    <w:p w:rsidR="00B67B61" w:rsidRDefault="00B67B61" w:rsidP="00B67B61">
      <w:pPr>
        <w:rPr>
          <w:sz w:val="24"/>
          <w:szCs w:val="24"/>
        </w:rPr>
      </w:pPr>
    </w:p>
    <w:p w:rsidR="00473EA2" w:rsidRDefault="00473EA2" w:rsidP="00B67B61">
      <w:pPr>
        <w:rPr>
          <w:sz w:val="24"/>
          <w:szCs w:val="24"/>
        </w:rPr>
      </w:pPr>
      <w:bookmarkStart w:id="0" w:name="_GoBack"/>
      <w:bookmarkEnd w:id="0"/>
    </w:p>
    <w:p w:rsidR="00473EA2" w:rsidRDefault="00B67B61" w:rsidP="00473EA2">
      <w:pPr>
        <w:spacing w:after="120"/>
        <w:rPr>
          <w:sz w:val="24"/>
          <w:szCs w:val="24"/>
        </w:rPr>
      </w:pPr>
      <w:r>
        <w:rPr>
          <w:sz w:val="24"/>
          <w:szCs w:val="24"/>
        </w:rPr>
        <w:t xml:space="preserve">Per la Commissione </w:t>
      </w:r>
      <w:r w:rsidR="00473EA2">
        <w:rPr>
          <w:sz w:val="24"/>
          <w:szCs w:val="24"/>
        </w:rPr>
        <w:t>gestione e finanze:</w:t>
      </w:r>
    </w:p>
    <w:p w:rsidR="00473EA2" w:rsidRPr="00473EA2" w:rsidRDefault="00473EA2" w:rsidP="00473EA2">
      <w:pPr>
        <w:rPr>
          <w:sz w:val="24"/>
          <w:szCs w:val="24"/>
        </w:rPr>
      </w:pPr>
      <w:r>
        <w:rPr>
          <w:sz w:val="24"/>
          <w:szCs w:val="24"/>
        </w:rPr>
        <w:t>Bixio Caprara,</w:t>
      </w:r>
      <w:r w:rsidRPr="00473EA2">
        <w:rPr>
          <w:rFonts w:eastAsia="Calibri" w:cs="Arial"/>
          <w:sz w:val="24"/>
          <w:szCs w:val="24"/>
        </w:rPr>
        <w:t xml:space="preserve"> relatore</w:t>
      </w:r>
    </w:p>
    <w:p w:rsidR="00EA2DCE" w:rsidRDefault="00EA2DCE" w:rsidP="00EA2DCE">
      <w:pPr>
        <w:rPr>
          <w:rFonts w:eastAsia="Times New Roman" w:cs="Arial"/>
          <w:sz w:val="24"/>
          <w:szCs w:val="20"/>
          <w:lang w:val="it-IT" w:eastAsia="it-IT"/>
        </w:rPr>
      </w:pPr>
      <w:bookmarkStart w:id="1" w:name="OLE_LINK1"/>
      <w:bookmarkStart w:id="2" w:name="OLE_LINK2"/>
      <w:r w:rsidRPr="00EA2DCE">
        <w:rPr>
          <w:rFonts w:eastAsia="Times New Roman" w:cs="Arial"/>
          <w:sz w:val="24"/>
          <w:szCs w:val="20"/>
          <w:lang w:val="it-IT" w:eastAsia="it-IT"/>
        </w:rPr>
        <w:t xml:space="preserve">Agustoni - Balli - Bignasca - Bourgoin - Caverzasio </w:t>
      </w:r>
      <w:r>
        <w:rPr>
          <w:rFonts w:eastAsia="Times New Roman" w:cs="Arial"/>
          <w:sz w:val="24"/>
          <w:szCs w:val="20"/>
          <w:lang w:val="it-IT" w:eastAsia="it-IT"/>
        </w:rPr>
        <w:t>-</w:t>
      </w:r>
      <w:r w:rsidRPr="00EA2DCE">
        <w:rPr>
          <w:rFonts w:eastAsia="Times New Roman" w:cs="Arial"/>
          <w:sz w:val="24"/>
          <w:szCs w:val="20"/>
          <w:lang w:val="it-IT" w:eastAsia="it-IT"/>
        </w:rPr>
        <w:t xml:space="preserve"> </w:t>
      </w:r>
    </w:p>
    <w:p w:rsidR="00EA2DCE" w:rsidRDefault="00EA2DCE" w:rsidP="00EA2DCE">
      <w:pPr>
        <w:rPr>
          <w:rFonts w:eastAsia="Times New Roman" w:cs="Arial"/>
          <w:sz w:val="24"/>
          <w:szCs w:val="20"/>
          <w:lang w:val="it-IT" w:eastAsia="it-IT"/>
        </w:rPr>
      </w:pPr>
      <w:r w:rsidRPr="00EA2DCE">
        <w:rPr>
          <w:rFonts w:eastAsia="Times New Roman" w:cs="Arial"/>
          <w:sz w:val="24"/>
          <w:szCs w:val="20"/>
          <w:lang w:val="it-IT" w:eastAsia="it-IT"/>
        </w:rPr>
        <w:t xml:space="preserve">Dadò - Gianella Alessandra </w:t>
      </w:r>
      <w:r>
        <w:rPr>
          <w:rFonts w:eastAsia="Times New Roman" w:cs="Arial"/>
          <w:sz w:val="24"/>
          <w:szCs w:val="20"/>
          <w:lang w:val="it-IT" w:eastAsia="it-IT"/>
        </w:rPr>
        <w:t>-</w:t>
      </w:r>
      <w:r w:rsidRPr="00EA2DCE">
        <w:rPr>
          <w:rFonts w:eastAsia="Times New Roman" w:cs="Arial"/>
          <w:sz w:val="24"/>
          <w:szCs w:val="20"/>
          <w:lang w:val="it-IT" w:eastAsia="it-IT"/>
        </w:rPr>
        <w:t xml:space="preserve"> Guerra - Jelmini </w:t>
      </w:r>
      <w:r>
        <w:rPr>
          <w:rFonts w:eastAsia="Times New Roman" w:cs="Arial"/>
          <w:sz w:val="24"/>
          <w:szCs w:val="20"/>
          <w:lang w:val="it-IT" w:eastAsia="it-IT"/>
        </w:rPr>
        <w:t>-</w:t>
      </w:r>
      <w:r w:rsidRPr="00EA2DCE">
        <w:rPr>
          <w:rFonts w:eastAsia="Times New Roman" w:cs="Arial"/>
          <w:sz w:val="24"/>
          <w:szCs w:val="20"/>
          <w:lang w:val="it-IT" w:eastAsia="it-IT"/>
        </w:rPr>
        <w:t xml:space="preserve"> </w:t>
      </w:r>
    </w:p>
    <w:p w:rsidR="00EA2DCE" w:rsidRPr="00EA2DCE" w:rsidRDefault="00EA2DCE" w:rsidP="00EA2DCE">
      <w:pPr>
        <w:rPr>
          <w:rFonts w:eastAsia="Times New Roman" w:cs="Arial"/>
          <w:sz w:val="24"/>
          <w:szCs w:val="20"/>
          <w:lang w:val="it-IT" w:eastAsia="it-IT"/>
        </w:rPr>
      </w:pPr>
      <w:r w:rsidRPr="00EA2DCE">
        <w:rPr>
          <w:rFonts w:eastAsia="Times New Roman" w:cs="Arial"/>
          <w:sz w:val="24"/>
          <w:szCs w:val="20"/>
          <w:lang w:val="it-IT" w:eastAsia="it-IT"/>
        </w:rPr>
        <w:t>Pamini -</w:t>
      </w:r>
      <w:r>
        <w:rPr>
          <w:rFonts w:eastAsia="Times New Roman" w:cs="Arial"/>
          <w:sz w:val="24"/>
          <w:szCs w:val="20"/>
          <w:lang w:val="it-IT" w:eastAsia="it-IT"/>
        </w:rPr>
        <w:t xml:space="preserve"> </w:t>
      </w:r>
      <w:r w:rsidRPr="00EA2DCE">
        <w:rPr>
          <w:rFonts w:eastAsia="Times New Roman" w:cs="Arial"/>
          <w:sz w:val="24"/>
          <w:szCs w:val="20"/>
          <w:lang w:val="it-IT" w:eastAsia="it-IT"/>
        </w:rPr>
        <w:t xml:space="preserve">Pini - Quadranti </w:t>
      </w:r>
      <w:bookmarkEnd w:id="1"/>
      <w:bookmarkEnd w:id="2"/>
      <w:r w:rsidRPr="00EA2DCE">
        <w:rPr>
          <w:rFonts w:eastAsia="Times New Roman" w:cs="Arial"/>
          <w:sz w:val="24"/>
          <w:szCs w:val="20"/>
          <w:lang w:val="it-IT" w:eastAsia="it-IT"/>
        </w:rPr>
        <w:t>- Sirica - Speziali</w:t>
      </w:r>
    </w:p>
    <w:p w:rsidR="00B67B61" w:rsidRPr="00B67B61" w:rsidRDefault="00B67B61" w:rsidP="00D33940">
      <w:pPr>
        <w:pStyle w:val="StandardRisoluzionedelConsigliodiStato"/>
        <w:ind w:right="-1"/>
      </w:pPr>
    </w:p>
    <w:p w:rsidR="00D649A8" w:rsidRPr="00B67B61" w:rsidRDefault="00D649A8" w:rsidP="00D33940">
      <w:pPr>
        <w:pStyle w:val="StandardRisoluzionedelConsigliodiStato"/>
        <w:ind w:right="-1"/>
      </w:pPr>
    </w:p>
    <w:sectPr w:rsidR="00D649A8" w:rsidRPr="00B67B61" w:rsidSect="00375115">
      <w:headerReference w:type="even" r:id="rId19"/>
      <w:headerReference w:type="default" r:id="rId20"/>
      <w:footerReference w:type="even" r:id="rId21"/>
      <w:footerReference w:type="default" r:id="rId22"/>
      <w:headerReference w:type="first" r:id="rId23"/>
      <w:footerReference w:type="first" r:id="rId24"/>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B61" w:rsidRDefault="00B67B61" w:rsidP="00F657BF">
      <w:r>
        <w:separator/>
      </w:r>
    </w:p>
  </w:endnote>
  <w:endnote w:type="continuationSeparator" w:id="0">
    <w:p w:rsidR="00B67B61" w:rsidRDefault="00B67B61"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Frutiger 65 Bold">
    <w:altName w:val="Calibri"/>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B211B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B211BA" w:rsidP="00912E34">
          <w:pPr>
            <w:tabs>
              <w:tab w:val="center" w:pos="2382"/>
            </w:tabs>
          </w:pPr>
        </w:p>
      </w:tc>
      <w:tc>
        <w:tcPr>
          <w:tcW w:w="721" w:type="dxa"/>
        </w:tcPr>
        <w:p w:rsidR="00912E34" w:rsidRPr="003D1008" w:rsidRDefault="001612C8"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1612C8"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B211BA"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B211BA">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B61" w:rsidRDefault="00B67B61" w:rsidP="00F657BF">
      <w:r>
        <w:separator/>
      </w:r>
    </w:p>
  </w:footnote>
  <w:footnote w:type="continuationSeparator" w:id="0">
    <w:p w:rsidR="00B67B61" w:rsidRDefault="00B67B61"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B211B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A30C6426-DE56-4F4B-9758-10229717CC16}"/>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B87ED4" w:rsidP="00A532F6">
              <w:pPr>
                <w:pStyle w:val="Page"/>
                <w:rPr>
                  <w:rFonts w:ascii="Gill Alt One MT Light" w:hAnsi="Gill Alt One MT Light"/>
                  <w:sz w:val="16"/>
                  <w:szCs w:val="16"/>
                </w:rPr>
              </w:pPr>
              <w:r>
                <w:rPr>
                  <w:rFonts w:ascii="Gill Alt One MT Light" w:hAnsi="Gill Alt One MT Light"/>
                  <w:sz w:val="16"/>
                  <w:szCs w:val="16"/>
                </w:rPr>
                <w:t>Dipartimento delle finanze e dell’economia</w:t>
              </w:r>
              <w:r>
                <w:rPr>
                  <w:rFonts w:ascii="Gill Alt One MT Light" w:hAnsi="Gill Alt One MT Light"/>
                  <w:sz w:val="16"/>
                  <w:szCs w:val="16"/>
                </w:rPr>
                <w:br/>
                <w:t>Dipartimento dell'educazione, della cultura e dello sport</w:t>
              </w:r>
            </w:p>
          </w:tc>
        </w:sdtContent>
      </w:sdt>
      <w:tc>
        <w:tcPr>
          <w:tcW w:w="1710" w:type="dxa"/>
          <w:tcBorders>
            <w:bottom w:val="single" w:sz="4" w:space="0" w:color="auto"/>
          </w:tcBorders>
          <w:vAlign w:val="bottom"/>
        </w:tcPr>
        <w:p w:rsidR="005012EC" w:rsidRPr="004204CB" w:rsidRDefault="001612C8"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B211BA">
            <w:rPr>
              <w:noProof/>
              <w:sz w:val="24"/>
            </w:rPr>
            <w:t>14</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B211BA">
            <w:rPr>
              <w:noProof/>
              <w:sz w:val="24"/>
            </w:rPr>
            <w:t>14</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A30C6426-DE56-4F4B-9758-10229717CC16}"/>
          <w:text w:multiLine="1"/>
        </w:sdtPr>
        <w:sdtEndPr/>
        <w:sdtContent>
          <w:tc>
            <w:tcPr>
              <w:tcW w:w="8383" w:type="dxa"/>
              <w:tcBorders>
                <w:left w:val="single" w:sz="4" w:space="0" w:color="auto"/>
              </w:tcBorders>
              <w:tcMar>
                <w:top w:w="0" w:type="dxa"/>
                <w:left w:w="142" w:type="dxa"/>
              </w:tcMar>
            </w:tcPr>
            <w:p w:rsidR="005012EC" w:rsidRPr="00B67B61" w:rsidRDefault="00B87ED4"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8173 R del 13 settembre 2022</w:t>
              </w:r>
            </w:p>
          </w:tc>
        </w:sdtContent>
      </w:sdt>
      <w:tc>
        <w:tcPr>
          <w:tcW w:w="1710" w:type="dxa"/>
          <w:tcBorders>
            <w:top w:val="single" w:sz="4" w:space="0" w:color="auto"/>
          </w:tcBorders>
        </w:tcPr>
        <w:p w:rsidR="005012EC" w:rsidRPr="00B67B61" w:rsidRDefault="00B211BA" w:rsidP="00662409">
          <w:pPr>
            <w:pStyle w:val="InvisibleLine"/>
            <w:rPr>
              <w:lang w:val="it-CH"/>
            </w:rPr>
          </w:pPr>
        </w:p>
      </w:tc>
    </w:tr>
  </w:tbl>
  <w:p w:rsidR="00F657BF" w:rsidRPr="00980362" w:rsidRDefault="001612C8"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A30C6426-DE56-4F4B-9758-10229717CC16}"/>
                            <w:text w:multiLine="1"/>
                          </w:sdtPr>
                          <w:sdtEndPr/>
                          <w:sdtContent>
                            <w:p w:rsidR="008065E8" w:rsidRPr="00411371" w:rsidRDefault="001612C8"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92E62BF9-6A03-46A1-A7A5-73A8547D97A0}"/>
                      <w:text w:multiLine="1"/>
                    </w:sdtPr>
                    <w:sdtEndPr/>
                    <w:sdtContent>
                      <w:p w:rsidR="008065E8" w:rsidRPr="00411371" w:rsidRDefault="001612C8"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B211BA" w:rsidP="00D07D6E">
          <w:pPr>
            <w:pStyle w:val="InvisibleLine"/>
            <w:ind w:left="150"/>
            <w:rPr>
              <w:sz w:val="16"/>
            </w:rPr>
          </w:pPr>
        </w:p>
      </w:tc>
      <w:tc>
        <w:tcPr>
          <w:tcW w:w="373" w:type="pct"/>
          <w:tcBorders>
            <w:top w:val="nil"/>
            <w:bottom w:val="single" w:sz="4" w:space="0" w:color="auto"/>
          </w:tcBorders>
          <w:vAlign w:val="bottom"/>
        </w:tcPr>
        <w:p w:rsidR="00662409" w:rsidRPr="003108C0" w:rsidRDefault="00B211BA" w:rsidP="00D07D6E">
          <w:pPr>
            <w:pStyle w:val="Level"/>
            <w:ind w:left="150"/>
            <w:rPr>
              <w:sz w:val="16"/>
            </w:rPr>
          </w:pPr>
        </w:p>
      </w:tc>
      <w:tc>
        <w:tcPr>
          <w:tcW w:w="209" w:type="pct"/>
          <w:tcBorders>
            <w:top w:val="nil"/>
            <w:bottom w:val="single" w:sz="4" w:space="0" w:color="auto"/>
          </w:tcBorders>
        </w:tcPr>
        <w:p w:rsidR="00662409" w:rsidRDefault="001612C8"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57788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1612C8"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263623">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263623">
            <w:rPr>
              <w:rFonts w:asciiTheme="minorHAnsi" w:hAnsiTheme="minorHAnsi" w:cstheme="minorHAnsi"/>
              <w:noProof/>
              <w:sz w:val="24"/>
            </w:rPr>
            <w:t>14</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A30C6426-DE56-4F4B-9758-10229717CC16}"/>
          <w:text w:multiLine="1"/>
        </w:sdtPr>
        <w:sdtEndPr/>
        <w:sdtContent>
          <w:tc>
            <w:tcPr>
              <w:tcW w:w="5000" w:type="pct"/>
              <w:gridSpan w:val="6"/>
              <w:tcBorders>
                <w:left w:val="nil"/>
                <w:right w:val="nil"/>
              </w:tcBorders>
              <w:noWrap/>
              <w:tcMar>
                <w:top w:w="0" w:type="dxa"/>
              </w:tcMar>
              <w:vAlign w:val="bottom"/>
            </w:tcPr>
            <w:p w:rsidR="00662409" w:rsidRPr="008C03B5" w:rsidRDefault="00B87ED4"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1612C8"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B211BA"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1612C8"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B211BA"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1612C8"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B211BA"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B211BA"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A30C6426-DE56-4F4B-9758-10229717CC16}"/>
              <w:text w:multiLine="1"/>
            </w:sdtPr>
            <w:sdtEndPr/>
            <w:sdtContent>
              <w:r w:rsidR="00B87ED4">
                <w:rPr>
                  <w:rFonts w:cstheme="minorHAnsi"/>
                  <w:b/>
                  <w:sz w:val="24"/>
                  <w:szCs w:val="24"/>
                </w:rPr>
                <w:t>8173 R</w:t>
              </w:r>
            </w:sdtContent>
          </w:sdt>
        </w:p>
      </w:tc>
      <w:sdt>
        <w:sdtPr>
          <w:rPr>
            <w:sz w:val="24"/>
          </w:rPr>
          <w:alias w:val="DocParam.Date"/>
          <w:id w:val="-464426178"/>
          <w:dataBinding w:xpath="//DateTime[@id='DocParam.Date']" w:storeItemID="{A30C6426-DE56-4F4B-9758-10229717CC16}"/>
          <w:date w:fullDate="2022-09-13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B87ED4" w:rsidP="00A532F6">
              <w:pPr>
                <w:pStyle w:val="Data"/>
              </w:pPr>
              <w:r>
                <w:rPr>
                  <w:sz w:val="24"/>
                </w:rPr>
                <w:t>13 settembre 2022</w:t>
              </w:r>
            </w:p>
          </w:tc>
        </w:sdtContent>
      </w:sdt>
      <w:tc>
        <w:tcPr>
          <w:tcW w:w="3218" w:type="pct"/>
          <w:gridSpan w:val="4"/>
          <w:tcBorders>
            <w:top w:val="nil"/>
            <w:left w:val="nil"/>
            <w:bottom w:val="nil"/>
            <w:right w:val="nil"/>
          </w:tcBorders>
        </w:tcPr>
        <w:p w:rsidR="008C03B5" w:rsidRPr="00BE22A2" w:rsidRDefault="00B211BA"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A30C6426-DE56-4F4B-9758-10229717CC16}"/>
              <w:text w:multiLine="1"/>
            </w:sdtPr>
            <w:sdtEndPr/>
            <w:sdtContent>
              <w:r w:rsidR="00B87ED4">
                <w:rPr>
                  <w:smallCaps/>
                  <w:sz w:val="23"/>
                  <w:szCs w:val="23"/>
                </w:rPr>
                <w:t>Dipartimento delle finanze e dell’economia</w:t>
              </w:r>
              <w:r w:rsidR="00B87ED4">
                <w:rPr>
                  <w:smallCaps/>
                  <w:sz w:val="23"/>
                  <w:szCs w:val="23"/>
                </w:rPr>
                <w:br/>
                <w:t>Dipartimento dell'educazione, della cultura e dello sport</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B211BA" w:rsidP="00D07D6E">
          <w:pPr>
            <w:pStyle w:val="Level"/>
            <w:ind w:left="150"/>
            <w:rPr>
              <w:rFonts w:ascii="Gill Alt One MT Light" w:hAnsi="Gill Alt One MT Light"/>
              <w:sz w:val="16"/>
              <w:szCs w:val="16"/>
            </w:rPr>
          </w:pPr>
        </w:p>
      </w:tc>
    </w:tr>
  </w:tbl>
  <w:p w:rsidR="00F657BF" w:rsidRPr="00DA2879" w:rsidRDefault="001612C8"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2389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A30C6426-DE56-4F4B-9758-10229717CC16}"/>
                            <w:text w:multiLine="1"/>
                          </w:sdtPr>
                          <w:sdtEndPr/>
                          <w:sdtContent>
                            <w:p w:rsidR="00E93620" w:rsidRPr="00411371" w:rsidRDefault="001612C8"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92E62BF9-6A03-46A1-A7A5-73A8547D97A0}"/>
                      <w:text w:multiLine="1"/>
                    </w:sdtPr>
                    <w:sdtEndPr/>
                    <w:sdtContent>
                      <w:p w:rsidR="00E93620" w:rsidRPr="00411371" w:rsidRDefault="001612C8"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43251"/>
    <w:multiLevelType w:val="hybridMultilevel"/>
    <w:tmpl w:val="0D7CADE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043C2987"/>
    <w:multiLevelType w:val="hybridMultilevel"/>
    <w:tmpl w:val="B4CEFB16"/>
    <w:lvl w:ilvl="0" w:tplc="08100005">
      <w:start w:val="1"/>
      <w:numFmt w:val="bullet"/>
      <w:lvlText w:val=""/>
      <w:lvlJc w:val="left"/>
      <w:pPr>
        <w:ind w:left="720" w:hanging="360"/>
      </w:pPr>
      <w:rPr>
        <w:rFonts w:ascii="Wingdings" w:hAnsi="Wingding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08210FAE"/>
    <w:multiLevelType w:val="hybridMultilevel"/>
    <w:tmpl w:val="66347A2C"/>
    <w:lvl w:ilvl="0" w:tplc="08100001">
      <w:start w:val="1"/>
      <w:numFmt w:val="bullet"/>
      <w:lvlText w:val=""/>
      <w:lvlJc w:val="left"/>
      <w:pPr>
        <w:ind w:left="720" w:hanging="360"/>
      </w:pPr>
      <w:rPr>
        <w:rFonts w:ascii="Symbol" w:hAnsi="Symbol"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0DB16C5A"/>
    <w:multiLevelType w:val="hybridMultilevel"/>
    <w:tmpl w:val="1CCAB7CE"/>
    <w:lvl w:ilvl="0" w:tplc="44DAEA1C">
      <w:start w:val="31"/>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4"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3E2B4176"/>
    <w:multiLevelType w:val="multilevel"/>
    <w:tmpl w:val="08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49D524CC"/>
    <w:multiLevelType w:val="multilevel"/>
    <w:tmpl w:val="953CA1B2"/>
    <w:numStyleLink w:val="HeadingList"/>
  </w:abstractNum>
  <w:abstractNum w:abstractNumId="22" w15:restartNumberingAfterBreak="0">
    <w:nsid w:val="57A9491B"/>
    <w:multiLevelType w:val="hybridMultilevel"/>
    <w:tmpl w:val="8EE8D94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5DC944A5"/>
    <w:multiLevelType w:val="hybridMultilevel"/>
    <w:tmpl w:val="66123E9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6D60467E"/>
    <w:multiLevelType w:val="hybridMultilevel"/>
    <w:tmpl w:val="10A0073E"/>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5" w15:restartNumberingAfterBreak="0">
    <w:nsid w:val="74AF2637"/>
    <w:multiLevelType w:val="hybridMultilevel"/>
    <w:tmpl w:val="2EE220F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5"/>
  </w:num>
  <w:num w:numId="2">
    <w:abstractNumId w:val="21"/>
    <w:lvlOverride w:ilvl="0">
      <w:lvl w:ilvl="0">
        <w:start w:val="1"/>
        <w:numFmt w:val="decimal"/>
        <w:lvlText w:val="%1"/>
        <w:lvlJc w:val="left"/>
        <w:pPr>
          <w:ind w:left="363" w:hanging="363"/>
        </w:pPr>
        <w:rPr>
          <w:rFonts w:ascii="Arial" w:hAnsi="Arial" w:cs="Arial" w:hint="default"/>
        </w:rPr>
      </w:lvl>
    </w:lvlOverride>
  </w:num>
  <w:num w:numId="3">
    <w:abstractNumId w:val="14"/>
  </w:num>
  <w:num w:numId="4">
    <w:abstractNumId w:val="20"/>
  </w:num>
  <w:num w:numId="5">
    <w:abstractNumId w:val="18"/>
  </w:num>
  <w:num w:numId="6">
    <w:abstractNumId w:val="16"/>
  </w:num>
  <w:num w:numId="7">
    <w:abstractNumId w:val="17"/>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5"/>
  </w:num>
  <w:num w:numId="19">
    <w:abstractNumId w:val="11"/>
  </w:num>
  <w:num w:numId="20">
    <w:abstractNumId w:val="24"/>
  </w:num>
  <w:num w:numId="21">
    <w:abstractNumId w:val="19"/>
  </w:num>
  <w:num w:numId="22">
    <w:abstractNumId w:val="13"/>
  </w:num>
  <w:num w:numId="23">
    <w:abstractNumId w:val="23"/>
  </w:num>
  <w:num w:numId="24">
    <w:abstractNumId w:val="12"/>
  </w:num>
  <w:num w:numId="25">
    <w:abstractNumId w:val="22"/>
  </w:num>
  <w:num w:numId="2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61"/>
    <w:rsid w:val="000040D8"/>
    <w:rsid w:val="000334AF"/>
    <w:rsid w:val="000F537F"/>
    <w:rsid w:val="00104717"/>
    <w:rsid w:val="001612C8"/>
    <w:rsid w:val="001C230B"/>
    <w:rsid w:val="00263623"/>
    <w:rsid w:val="002B5D9F"/>
    <w:rsid w:val="002B782E"/>
    <w:rsid w:val="003B756D"/>
    <w:rsid w:val="00403ADB"/>
    <w:rsid w:val="004473BE"/>
    <w:rsid w:val="00473EA2"/>
    <w:rsid w:val="004F7E82"/>
    <w:rsid w:val="00572FD3"/>
    <w:rsid w:val="00580332"/>
    <w:rsid w:val="00581DD0"/>
    <w:rsid w:val="0058498B"/>
    <w:rsid w:val="005D5080"/>
    <w:rsid w:val="00663E15"/>
    <w:rsid w:val="007456E6"/>
    <w:rsid w:val="00762718"/>
    <w:rsid w:val="007E6CAB"/>
    <w:rsid w:val="007F24F6"/>
    <w:rsid w:val="00812B19"/>
    <w:rsid w:val="008720C4"/>
    <w:rsid w:val="00883551"/>
    <w:rsid w:val="00884B7D"/>
    <w:rsid w:val="008F52AF"/>
    <w:rsid w:val="009C5E5A"/>
    <w:rsid w:val="00A83717"/>
    <w:rsid w:val="00A9081E"/>
    <w:rsid w:val="00AF0268"/>
    <w:rsid w:val="00B033C0"/>
    <w:rsid w:val="00B0493F"/>
    <w:rsid w:val="00B211BA"/>
    <w:rsid w:val="00B67B61"/>
    <w:rsid w:val="00B83B2F"/>
    <w:rsid w:val="00B87ED4"/>
    <w:rsid w:val="00BF0A1F"/>
    <w:rsid w:val="00C42BD6"/>
    <w:rsid w:val="00CA2462"/>
    <w:rsid w:val="00D12462"/>
    <w:rsid w:val="00D33940"/>
    <w:rsid w:val="00D600FD"/>
    <w:rsid w:val="00D649A8"/>
    <w:rsid w:val="00E0121F"/>
    <w:rsid w:val="00E10AA4"/>
    <w:rsid w:val="00E5303B"/>
    <w:rsid w:val="00EA2DCE"/>
    <w:rsid w:val="00EB088A"/>
    <w:rsid w:val="00EE69DC"/>
    <w:rsid w:val="00F657BF"/>
    <w:rsid w:val="00FC392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5:docId w15:val="{BEBFCC7A-38FC-4550-B28D-CA86E238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127TitoloSottosottocapitolo">
    <w:name w:val="127 © Titolo Sottosottocapitolo"/>
    <w:basedOn w:val="Normale"/>
    <w:qFormat/>
    <w:rsid w:val="00B67B61"/>
    <w:pPr>
      <w:jc w:val="left"/>
    </w:pPr>
    <w:rPr>
      <w:rFonts w:ascii="Frutiger 65 Bold" w:eastAsia="MS Mincho" w:hAnsi="Frutiger 65 Bold" w:cs="Times New Roman"/>
      <w:sz w:val="24"/>
      <w:szCs w:val="24"/>
      <w:lang w:val="it-IT" w:eastAsia="ja-JP"/>
    </w:rPr>
  </w:style>
  <w:style w:type="table" w:styleId="Grigliatabella">
    <w:name w:val="Table Grid"/>
    <w:basedOn w:val="Tabellanormale"/>
    <w:uiPriority w:val="59"/>
    <w:rsid w:val="00B67B61"/>
    <w:pPr>
      <w:jc w:val="left"/>
    </w:pPr>
    <w:rPr>
      <w:rFonts w:ascii="Times New Roman" w:eastAsia="Times New Roman" w:hAnsi="Times New Roman" w:cs="Times New Roman"/>
      <w:sz w:val="20"/>
      <w:szCs w:val="20"/>
      <w:lang w:val="it-CH"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e"/>
    <w:rsid w:val="00B67B61"/>
    <w:rPr>
      <w:rFonts w:eastAsia="MS Mincho" w:cs="Arial"/>
      <w:sz w:val="14"/>
      <w:szCs w:val="14"/>
      <w:lang w:val="it-IT" w:eastAsia="it-IT"/>
    </w:rPr>
  </w:style>
  <w:style w:type="paragraph" w:styleId="Testofumetto">
    <w:name w:val="Balloon Text"/>
    <w:basedOn w:val="Normale"/>
    <w:link w:val="TestofumettoCarattere"/>
    <w:uiPriority w:val="99"/>
    <w:semiHidden/>
    <w:unhideWhenUsed/>
    <w:rsid w:val="000040D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040D8"/>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665c7e34-8173-487d-9b0c-1ebdb270159a.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1577884625</Id>
      <Width>0</Width>
      <Height>0</Height>
      <XPath>//Image[@id='Profile.Org.WappenSW']</XPath>
      <ImageHash>02f1c0cdac6aeac316213b2e7cb733a0</ImageHash>
    </ImageSizeDefinition>
    <ImageSizeDefinition>
      <Id>23896890</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1 c d b f 7 7 d - 5 7 1 5 - 4 a 6 7 - 8 a e 0 - 9 9 1 6 e 4 0 b 6 b b 5 "   t I d = " a 3 6 2 a 5 d 4 - 9 5 8 9 - 4 1 b f - a 4 e 6 - 4 f 8 7 c 4 e 4 1 2 3 9 "   i n t e r n a l T I d = " 9 0 6 4 c c 7 f - 3 1 6 d - 4 6 b 1 - a 4 a c - 7 4 8 6 0 c 3 f 8 a 5 b "   m t I d = " 2 7 5 a f 3 2 e - b c 4 0 - 4 5 c 2 - 8 5 b 7 - a f b 1 c 0 3 8 2 6 5 3 "   r e v i s i o n = " 0 "   c r e a t e d m a j o r v e r s i o n = " 0 "   c r e a t e d m i n o r v e r s i o n = " 0 "   c r e a t e d = " 2 0 2 2 - 0 9 - 2 3 T 0 9 : 2 6 : 5 5 . 4 1 6 0 0 3 9 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 2 0 2 2 - 0 9 - 1 3 T 0 0 : 0 0 : 0 0 Z < / D a t e T i m e >  
                 < T e x t   i d = " D o c P a r a m . N u m b e r " > < ! [ C D A T A [ 8 1 7 3   R ] ] > < / 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D i p a r t i m e n t o   d e l l ' e d u c a z i o n e ,   d e l l a   c u l t u r a   e   d e l l o   s p o r t ] ] > < / T e x t >  
             < / P a r a m e t e r >  
             < S c r i p t i n g >  
                 < T e x t   i d = " C u s t o m E l e m e n t s . S u b T e m p l a t e . L a n d s c a p e . H e a d e r . O r g I n f o s "   l a b e l = " C u s t o m E l e m e n t s . S u b T e m p l a t e . L a n d s c a p e . H e a d e r . O r g I n f o s " > < ! [ C D A T A [ D i p a r t i m e n t o   d e l l e   f i n a n z e   e   d e l l  e c o n o m i a  
 D i p a r t i m e n t o   d e l l ' e d u c a z i o n e ,   d e l l a   c u l t u r a   e   d e l l o   s p o r t ] ] > < / T e x t >  
                 < T e x t   i d = " C u s t o m E l e m e n t s . S u b T e m p l a t e . L a n d s c a p e . H e a d e r . T i t o l o "   l a b e l = " C u s t o m E l e m e n t s . S u b T e m p l a t e . L a n d s c a p e . H e a d e r . T i t o l o " > < ! [ C D A T A [ R a p p o r t o   n .   8 1 7 3   R   d e l   1 3   s e t t e m b r e   2 0 2 2 ] ] > < / T e x t >  
                 < T e x t   i d = " C u s t o m E l e m e n t s . T e x t s . D r a f t "   l a b e l = " C u s t o m E l e m e n t s . T e x t s . D r a f t " > < ! [ C D A T A [ B o z z a ] ] > < / T e x t >  
                 < T e x t   i d = " C u s t o m E l e m e n t s . F i e l d s . D i p a r t i m e n t i "   l a b e l = " C u s t o m E l e m e n t s . F i e l d s . D i p a r t i m e n t i " > < ! [ C D A T A [ D i p a r t i m e n t o   d e l l e   f i n a n z e   e   d e l l  e c o n o m i a  
 D i p a r t i m e n t o   d e l l ' e d u c a z i o n e ,   d e l l a   c u l t u r a   e   d e l l o   s p o r t ] ] > < / T e x t >  
                 < T e x t   i d = " C u s t o m E l e m e n t s . F i e l d s . T i t o l o 1 "   l a b e l = " C u s t o m E l e m e n t s . F i e l d s . T i t o l o 1 " > < ! [ C D A T A [ R a p p o r t o ] ] > < / T e x t >  
                 < T e x t   i d = " C u s t o m E l e m e n t s . F i e l d s . T i t o l o 2 "   l a b e l = " C u s t o m E l e m e n t s . F i e l d s . T i t o l o 2 " > < ! [ C D A T A [ R a p p o r t o   n .   8 1 7 3   R   d e l   1 3   s e t t e m b r e 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DEDFCDC5-CBA0-4384-B64D-1811D607AC7B}">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A30C6426-DE56-4F4B-9758-10229717CC16}">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665c7e34-8173-487d-9b0c-1ebdb270159a.dotx</Template>
  <TotalTime>24</TotalTime>
  <Pages>14</Pages>
  <Words>3872</Words>
  <Characters>21648</Characters>
  <Application>Microsoft Office Word</Application>
  <DocSecurity>0</DocSecurity>
  <Lines>424</Lines>
  <Paragraphs>122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35</cp:revision>
  <cp:lastPrinted>2022-10-03T15:36:00Z</cp:lastPrinted>
  <dcterms:created xsi:type="dcterms:W3CDTF">2022-09-23T09:43:00Z</dcterms:created>
  <dcterms:modified xsi:type="dcterms:W3CDTF">2022-10-03T15:40:00Z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