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FF" w:rsidRPr="009C22FF" w:rsidRDefault="009C22FF" w:rsidP="009C22FF">
      <w:pPr>
        <w:rPr>
          <w:rFonts w:eastAsia="Calibri" w:cs="Arial"/>
          <w:b/>
          <w:sz w:val="28"/>
          <w:szCs w:val="28"/>
        </w:rPr>
      </w:pPr>
      <w:r w:rsidRPr="009C22FF">
        <w:rPr>
          <w:rFonts w:eastAsia="Calibri" w:cs="Arial"/>
          <w:b/>
          <w:sz w:val="28"/>
          <w:szCs w:val="28"/>
        </w:rPr>
        <w:t>della Commissione gestione e finanze</w:t>
      </w:r>
    </w:p>
    <w:p w:rsidR="009C22FF" w:rsidRPr="009C22FF" w:rsidRDefault="009C22FF" w:rsidP="009C22FF">
      <w:pPr>
        <w:rPr>
          <w:rFonts w:eastAsia="Calibri" w:cs="Arial"/>
          <w:sz w:val="24"/>
          <w:szCs w:val="24"/>
        </w:rPr>
      </w:pPr>
      <w:r w:rsidRPr="009C22FF">
        <w:rPr>
          <w:rFonts w:eastAsia="Calibri" w:cs="Arial"/>
          <w:b/>
          <w:sz w:val="28"/>
          <w:szCs w:val="28"/>
        </w:rPr>
        <w:t xml:space="preserve">sul </w:t>
      </w:r>
      <w:r w:rsidR="00702489">
        <w:rPr>
          <w:rFonts w:eastAsia="Calibri" w:cs="Arial"/>
          <w:b/>
          <w:sz w:val="28"/>
          <w:szCs w:val="28"/>
        </w:rPr>
        <w:t>m</w:t>
      </w:r>
      <w:r w:rsidRPr="009C22FF">
        <w:rPr>
          <w:rFonts w:eastAsia="Calibri" w:cs="Arial"/>
          <w:b/>
          <w:sz w:val="28"/>
          <w:szCs w:val="28"/>
        </w:rPr>
        <w:t xml:space="preserve">essaggio 24 agosto 2022 concernente </w:t>
      </w:r>
      <w:r w:rsidR="00702489">
        <w:rPr>
          <w:rFonts w:eastAsia="Calibri" w:cs="Arial"/>
          <w:b/>
          <w:sz w:val="28"/>
          <w:szCs w:val="28"/>
        </w:rPr>
        <w:t>degli a</w:t>
      </w:r>
      <w:r w:rsidR="00702489" w:rsidRPr="00702489">
        <w:rPr>
          <w:rFonts w:eastAsia="Calibri" w:cs="Arial"/>
          <w:b/>
          <w:sz w:val="28"/>
          <w:szCs w:val="28"/>
        </w:rPr>
        <w:t>deguamenti della Legge tributaria del 21 giugno 1994 (LT) alla Legge federale sull’armonizzazione delle imposte dirette dei Cantoni e dei Comuni (LAID) in relazione alla modifica del Codice delle obbligazioni, alla modifica di altre disposizioni federali, nonché altri adeguamenti di disposizioni cantonali</w:t>
      </w:r>
    </w:p>
    <w:p w:rsidR="009C22FF" w:rsidRDefault="009C22FF" w:rsidP="009C22FF">
      <w:pPr>
        <w:rPr>
          <w:rFonts w:eastAsia="Calibri" w:cs="Arial"/>
          <w:sz w:val="24"/>
          <w:szCs w:val="24"/>
        </w:rPr>
      </w:pPr>
    </w:p>
    <w:p w:rsidR="00702489" w:rsidRDefault="00702489" w:rsidP="009C22FF">
      <w:pPr>
        <w:rPr>
          <w:rFonts w:eastAsia="Calibri" w:cs="Arial"/>
          <w:sz w:val="24"/>
          <w:szCs w:val="24"/>
        </w:rPr>
      </w:pPr>
    </w:p>
    <w:p w:rsidR="006B1D90" w:rsidRPr="009C22FF" w:rsidRDefault="006B1D90" w:rsidP="009C22FF">
      <w:pPr>
        <w:rPr>
          <w:rFonts w:eastAsia="Calibri" w:cs="Arial"/>
          <w:sz w:val="24"/>
          <w:szCs w:val="24"/>
        </w:rPr>
      </w:pPr>
    </w:p>
    <w:p w:rsidR="009C22FF" w:rsidRPr="009C22FF" w:rsidRDefault="009C22FF" w:rsidP="009C22FF">
      <w:pPr>
        <w:keepNext/>
        <w:tabs>
          <w:tab w:val="left" w:pos="0"/>
          <w:tab w:val="left" w:pos="567"/>
        </w:tabs>
        <w:spacing w:after="120"/>
        <w:outlineLvl w:val="0"/>
        <w:rPr>
          <w:rFonts w:eastAsia="Calibri" w:cs="Times New Roman"/>
          <w:b/>
          <w:caps/>
          <w:sz w:val="24"/>
          <w:szCs w:val="24"/>
          <w:lang w:eastAsia="it-IT"/>
        </w:rPr>
      </w:pPr>
      <w:r w:rsidRPr="009C22FF">
        <w:rPr>
          <w:rFonts w:eastAsia="Calibri" w:cs="Times New Roman"/>
          <w:b/>
          <w:caps/>
          <w:sz w:val="24"/>
          <w:szCs w:val="24"/>
          <w:lang w:eastAsia="it-IT"/>
        </w:rPr>
        <w:t>i.</w:t>
      </w:r>
      <w:r w:rsidRPr="009C22FF">
        <w:rPr>
          <w:rFonts w:eastAsia="Calibri" w:cs="Times New Roman"/>
          <w:b/>
          <w:caps/>
          <w:sz w:val="24"/>
          <w:szCs w:val="24"/>
          <w:lang w:eastAsia="it-IT"/>
        </w:rPr>
        <w:tab/>
        <w:t>VISIONE D’INSIEME</w:t>
      </w:r>
    </w:p>
    <w:p w:rsidR="009C22FF" w:rsidRPr="009C22FF" w:rsidRDefault="009C22FF" w:rsidP="009C22FF">
      <w:pPr>
        <w:spacing w:before="120"/>
        <w:rPr>
          <w:rFonts w:eastAsia="Times New Roman" w:cs="Times New Roman"/>
          <w:sz w:val="24"/>
          <w:szCs w:val="20"/>
          <w:lang w:eastAsia="it-IT"/>
        </w:rPr>
      </w:pPr>
      <w:r w:rsidRPr="009C22FF">
        <w:rPr>
          <w:rFonts w:eastAsia="Times New Roman" w:cs="Times New Roman"/>
          <w:sz w:val="24"/>
          <w:szCs w:val="20"/>
          <w:lang w:eastAsia="it-IT"/>
        </w:rPr>
        <w:t xml:space="preserve">Il messaggio </w:t>
      </w:r>
      <w:r w:rsidR="00B15EF1">
        <w:rPr>
          <w:rFonts w:eastAsia="Times New Roman" w:cs="Times New Roman"/>
          <w:sz w:val="24"/>
          <w:szCs w:val="20"/>
          <w:lang w:eastAsia="it-IT"/>
        </w:rPr>
        <w:t xml:space="preserve">n. </w:t>
      </w:r>
      <w:r w:rsidRPr="009C22FF">
        <w:rPr>
          <w:rFonts w:eastAsia="Times New Roman" w:cs="Times New Roman"/>
          <w:sz w:val="24"/>
          <w:szCs w:val="20"/>
          <w:lang w:eastAsia="it-IT"/>
        </w:rPr>
        <w:t>8183 del 24 agosto 2022 propone di modificare, come d’abitudine con cadenza annuale, la Legge tributaria del 21 giugno 1994 (LT) a valle di modifiche della Legge federale del 14 dicembre 1990 sull’armonizzazione delle imposte dirette dei cantoni e dei Comuni (LAID). Tali adeguamenti sono inderogabili, pena l’applicazione della LAID in quanto diritto superiore. Vi sono quattro adeguamenti della LT proposti in tale contesto.</w:t>
      </w:r>
    </w:p>
    <w:p w:rsidR="009C22FF" w:rsidRPr="009C22FF" w:rsidRDefault="009C22FF" w:rsidP="008E3181">
      <w:pPr>
        <w:numPr>
          <w:ilvl w:val="0"/>
          <w:numId w:val="19"/>
        </w:numPr>
        <w:spacing w:before="120"/>
        <w:ind w:left="426" w:hanging="426"/>
        <w:rPr>
          <w:rFonts w:eastAsia="Times New Roman" w:cs="Times New Roman"/>
          <w:sz w:val="24"/>
          <w:szCs w:val="20"/>
          <w:lang w:eastAsia="it-IT"/>
        </w:rPr>
      </w:pPr>
      <w:r w:rsidRPr="009C22FF">
        <w:rPr>
          <w:rFonts w:eastAsia="Times New Roman" w:cs="Times New Roman"/>
          <w:sz w:val="24"/>
          <w:szCs w:val="20"/>
          <w:lang w:eastAsia="it-IT"/>
        </w:rPr>
        <w:t>Art. 19 cpv. 8 LT (nuovo), art. 27 cpv. 1 LT (modificato), art. 71 cpv. 1 LT (modificato), art. 101 cpv. 1</w:t>
      </w:r>
      <w:r w:rsidRPr="009C22FF">
        <w:rPr>
          <w:rFonts w:eastAsia="Times New Roman" w:cs="Times New Roman"/>
          <w:sz w:val="24"/>
          <w:szCs w:val="20"/>
          <w:vertAlign w:val="superscript"/>
          <w:lang w:eastAsia="it-IT"/>
        </w:rPr>
        <w:t>bis</w:t>
      </w:r>
      <w:r w:rsidRPr="009C22FF">
        <w:rPr>
          <w:rFonts w:eastAsia="Times New Roman" w:cs="Times New Roman"/>
          <w:sz w:val="24"/>
          <w:szCs w:val="20"/>
          <w:lang w:eastAsia="it-IT"/>
        </w:rPr>
        <w:t xml:space="preserve"> LT (nuovo), art. 102 cpv. 1</w:t>
      </w:r>
      <w:r w:rsidRPr="009C22FF">
        <w:rPr>
          <w:rFonts w:eastAsia="Times New Roman" w:cs="Times New Roman"/>
          <w:sz w:val="24"/>
          <w:szCs w:val="20"/>
          <w:vertAlign w:val="superscript"/>
          <w:lang w:eastAsia="it-IT"/>
        </w:rPr>
        <w:t>bis</w:t>
      </w:r>
      <w:r w:rsidRPr="009C22FF">
        <w:rPr>
          <w:rFonts w:eastAsia="Times New Roman" w:cs="Times New Roman"/>
          <w:sz w:val="24"/>
          <w:szCs w:val="20"/>
          <w:lang w:eastAsia="it-IT"/>
        </w:rPr>
        <w:t xml:space="preserve"> LT (nuovo), art. 199 cpv. 2 </w:t>
      </w:r>
      <w:proofErr w:type="spellStart"/>
      <w:r w:rsidRPr="009C22FF">
        <w:rPr>
          <w:rFonts w:eastAsia="Times New Roman" w:cs="Times New Roman"/>
          <w:sz w:val="24"/>
          <w:szCs w:val="20"/>
          <w:lang w:eastAsia="it-IT"/>
        </w:rPr>
        <w:t>lett</w:t>
      </w:r>
      <w:proofErr w:type="spellEnd"/>
      <w:r w:rsidRPr="009C22FF">
        <w:rPr>
          <w:rFonts w:eastAsia="Times New Roman" w:cs="Times New Roman"/>
          <w:sz w:val="24"/>
          <w:szCs w:val="20"/>
          <w:lang w:eastAsia="it-IT"/>
        </w:rPr>
        <w:t>. a LT (modificato) – Adeguamento della LT alla LAID in relazione alla modifica del Codice delle obbligazioni del 19 giugno 2020.</w:t>
      </w:r>
    </w:p>
    <w:p w:rsidR="009C22FF" w:rsidRPr="009C22FF" w:rsidRDefault="009C22FF" w:rsidP="008E3181">
      <w:pPr>
        <w:numPr>
          <w:ilvl w:val="0"/>
          <w:numId w:val="19"/>
        </w:numPr>
        <w:spacing w:before="120"/>
        <w:ind w:left="426" w:hanging="426"/>
        <w:rPr>
          <w:rFonts w:eastAsia="Times New Roman" w:cs="Times New Roman"/>
          <w:sz w:val="24"/>
          <w:szCs w:val="20"/>
          <w:lang w:eastAsia="it-IT"/>
        </w:rPr>
      </w:pPr>
      <w:r w:rsidRPr="009C22FF">
        <w:rPr>
          <w:rFonts w:eastAsia="Times New Roman" w:cs="Times New Roman"/>
          <w:sz w:val="24"/>
          <w:szCs w:val="20"/>
          <w:lang w:eastAsia="it-IT"/>
        </w:rPr>
        <w:t xml:space="preserve">Art. 23 </w:t>
      </w:r>
      <w:proofErr w:type="spellStart"/>
      <w:r w:rsidRPr="009C22FF">
        <w:rPr>
          <w:rFonts w:eastAsia="Times New Roman" w:cs="Times New Roman"/>
          <w:sz w:val="24"/>
          <w:szCs w:val="20"/>
          <w:lang w:eastAsia="it-IT"/>
        </w:rPr>
        <w:t>lett</w:t>
      </w:r>
      <w:proofErr w:type="spellEnd"/>
      <w:r w:rsidRPr="009C22FF">
        <w:rPr>
          <w:rFonts w:eastAsia="Times New Roman" w:cs="Times New Roman"/>
          <w:sz w:val="24"/>
          <w:szCs w:val="20"/>
          <w:lang w:eastAsia="it-IT"/>
        </w:rPr>
        <w:t>. n LT (nuovo) – Adeguamento della LT alla LAID in relazione alla Legge sui disoccupati anziani del 19 giugno 2020.</w:t>
      </w:r>
    </w:p>
    <w:p w:rsidR="009C22FF" w:rsidRPr="009C22FF" w:rsidRDefault="009C22FF" w:rsidP="008E3181">
      <w:pPr>
        <w:numPr>
          <w:ilvl w:val="0"/>
          <w:numId w:val="19"/>
        </w:numPr>
        <w:spacing w:before="120"/>
        <w:ind w:left="426" w:hanging="426"/>
        <w:rPr>
          <w:rFonts w:eastAsia="Times New Roman" w:cs="Times New Roman"/>
          <w:sz w:val="24"/>
          <w:szCs w:val="20"/>
          <w:lang w:eastAsia="it-IT"/>
        </w:rPr>
      </w:pPr>
      <w:r w:rsidRPr="009C22FF">
        <w:rPr>
          <w:rFonts w:eastAsia="Times New Roman" w:cs="Times New Roman"/>
          <w:sz w:val="24"/>
          <w:szCs w:val="20"/>
          <w:lang w:eastAsia="it-IT"/>
        </w:rPr>
        <w:t>Art. 59 cpv. 2 LT (nuovo) – Adeguamento della LT alla LAID in relazione alla Legge sugli investimenti collettivi di capitale (fondo riservato a investitori qualificati, L-QIF) del 17 dicembre 2021.</w:t>
      </w:r>
    </w:p>
    <w:p w:rsidR="009C22FF" w:rsidRPr="009C22FF" w:rsidRDefault="009C22FF" w:rsidP="008E3181">
      <w:pPr>
        <w:numPr>
          <w:ilvl w:val="0"/>
          <w:numId w:val="19"/>
        </w:numPr>
        <w:spacing w:before="120"/>
        <w:ind w:left="426" w:hanging="426"/>
        <w:rPr>
          <w:rFonts w:eastAsia="Times New Roman" w:cs="Times New Roman"/>
          <w:sz w:val="24"/>
          <w:szCs w:val="20"/>
          <w:lang w:eastAsia="it-IT"/>
        </w:rPr>
      </w:pPr>
      <w:r w:rsidRPr="009C22FF">
        <w:rPr>
          <w:rFonts w:eastAsia="Times New Roman" w:cs="Times New Roman"/>
          <w:sz w:val="24"/>
          <w:szCs w:val="20"/>
          <w:lang w:eastAsia="it-IT"/>
        </w:rPr>
        <w:t>Art. 185a cpv. 2 LT (abrogato) – Adeguamento della LT alla LAID in relazione alla modifica della Legge federale sull’assicurazione per la vecchiaia e per i superstiti (LAVS) del 18 dicembre 2020 relativa all’utilizzazione sistematica del numero AVS da parte delle autorità.</w:t>
      </w:r>
    </w:p>
    <w:p w:rsidR="009C22FF" w:rsidRPr="009C22FF" w:rsidRDefault="009C22FF" w:rsidP="009C22FF">
      <w:pPr>
        <w:spacing w:before="120"/>
        <w:rPr>
          <w:rFonts w:eastAsia="Times New Roman" w:cs="Times New Roman"/>
          <w:sz w:val="24"/>
          <w:szCs w:val="20"/>
          <w:lang w:eastAsia="it-IT"/>
        </w:rPr>
      </w:pPr>
      <w:r w:rsidRPr="009C22FF">
        <w:rPr>
          <w:rFonts w:eastAsia="Times New Roman" w:cs="Times New Roman"/>
          <w:sz w:val="24"/>
          <w:szCs w:val="20"/>
          <w:lang w:eastAsia="it-IT"/>
        </w:rPr>
        <w:t>Il messaggio propone inoltre cinque modifiche della LT che non discendono direttamente da adeguamenti in relazione alla LAID.</w:t>
      </w:r>
    </w:p>
    <w:p w:rsidR="009C22FF" w:rsidRPr="009C22FF" w:rsidRDefault="009C22FF" w:rsidP="008E3181">
      <w:pPr>
        <w:numPr>
          <w:ilvl w:val="0"/>
          <w:numId w:val="19"/>
        </w:numPr>
        <w:spacing w:before="120"/>
        <w:ind w:left="426" w:hanging="426"/>
        <w:rPr>
          <w:rFonts w:eastAsia="Times New Roman" w:cs="Times New Roman"/>
          <w:sz w:val="24"/>
          <w:szCs w:val="20"/>
          <w:lang w:eastAsia="it-IT"/>
        </w:rPr>
      </w:pPr>
      <w:r w:rsidRPr="009C22FF">
        <w:rPr>
          <w:rFonts w:eastAsia="Times New Roman" w:cs="Times New Roman"/>
          <w:sz w:val="24"/>
          <w:szCs w:val="20"/>
          <w:lang w:eastAsia="it-IT"/>
        </w:rPr>
        <w:t>Art. 252 cpv. 4 e 5 LT (abrogati), art. 253a cpv. 4 LT (nuovo) e art. 254 cpv. 2 LT (abrogato) art. 254 cpv. 2</w:t>
      </w:r>
      <w:r w:rsidRPr="009C22FF">
        <w:rPr>
          <w:rFonts w:eastAsia="Times New Roman" w:cs="Times New Roman"/>
          <w:sz w:val="24"/>
          <w:szCs w:val="20"/>
          <w:vertAlign w:val="superscript"/>
          <w:lang w:eastAsia="it-IT"/>
        </w:rPr>
        <w:t>bis</w:t>
      </w:r>
      <w:r w:rsidRPr="009C22FF">
        <w:rPr>
          <w:rFonts w:eastAsia="Times New Roman" w:cs="Times New Roman"/>
          <w:sz w:val="24"/>
          <w:szCs w:val="20"/>
          <w:lang w:eastAsia="it-IT"/>
        </w:rPr>
        <w:t xml:space="preserve"> LT (modificato) – Abrogazione dell’istituto delle attestazioni vincolanti.</w:t>
      </w:r>
    </w:p>
    <w:p w:rsidR="009C22FF" w:rsidRPr="009C22FF" w:rsidRDefault="009C22FF" w:rsidP="008E3181">
      <w:pPr>
        <w:numPr>
          <w:ilvl w:val="0"/>
          <w:numId w:val="19"/>
        </w:numPr>
        <w:spacing w:before="120"/>
        <w:ind w:left="426" w:hanging="426"/>
        <w:rPr>
          <w:rFonts w:eastAsia="Times New Roman" w:cs="Times New Roman"/>
          <w:sz w:val="24"/>
          <w:szCs w:val="20"/>
          <w:lang w:eastAsia="it-IT"/>
        </w:rPr>
      </w:pPr>
      <w:r w:rsidRPr="009C22FF">
        <w:rPr>
          <w:rFonts w:eastAsia="Times New Roman" w:cs="Times New Roman"/>
          <w:sz w:val="24"/>
          <w:szCs w:val="20"/>
          <w:lang w:eastAsia="it-IT"/>
        </w:rPr>
        <w:t>Art. 277 cpv. 4 LT (modificato) – Modifica in relazione all’assoggettamento comunale per l’imposta annua intera dell’art. 37c LT.</w:t>
      </w:r>
    </w:p>
    <w:p w:rsidR="009C22FF" w:rsidRPr="009C22FF" w:rsidRDefault="009C22FF" w:rsidP="008E3181">
      <w:pPr>
        <w:numPr>
          <w:ilvl w:val="0"/>
          <w:numId w:val="19"/>
        </w:numPr>
        <w:spacing w:before="120"/>
        <w:ind w:left="426" w:hanging="426"/>
        <w:rPr>
          <w:rFonts w:eastAsia="Times New Roman" w:cs="Times New Roman"/>
          <w:sz w:val="24"/>
          <w:szCs w:val="20"/>
          <w:lang w:eastAsia="it-IT"/>
        </w:rPr>
      </w:pPr>
      <w:r w:rsidRPr="009C22FF">
        <w:rPr>
          <w:rFonts w:eastAsia="Times New Roman" w:cs="Times New Roman"/>
          <w:sz w:val="24"/>
          <w:szCs w:val="20"/>
          <w:lang w:eastAsia="it-IT"/>
        </w:rPr>
        <w:t>Art. 125 cpv. 2 LT (nuovo) – Introduzione della facoltà per l’autorità fiscale di chiedere la menzione del differimento degli utili immobiliari (TUI) a Registro fondiario.</w:t>
      </w:r>
    </w:p>
    <w:p w:rsidR="009C22FF" w:rsidRPr="009C22FF" w:rsidRDefault="009C22FF" w:rsidP="008E3181">
      <w:pPr>
        <w:numPr>
          <w:ilvl w:val="0"/>
          <w:numId w:val="19"/>
        </w:numPr>
        <w:spacing w:before="120"/>
        <w:ind w:left="426" w:hanging="426"/>
        <w:rPr>
          <w:rFonts w:eastAsia="Times New Roman" w:cs="Times New Roman"/>
          <w:sz w:val="24"/>
          <w:szCs w:val="20"/>
          <w:lang w:eastAsia="it-IT"/>
        </w:rPr>
      </w:pPr>
      <w:r w:rsidRPr="009C22FF">
        <w:rPr>
          <w:rFonts w:eastAsia="Times New Roman" w:cs="Times New Roman"/>
          <w:sz w:val="24"/>
          <w:szCs w:val="20"/>
          <w:lang w:eastAsia="it-IT"/>
        </w:rPr>
        <w:lastRenderedPageBreak/>
        <w:t>Art. 241 cpv. 2</w:t>
      </w:r>
      <w:r w:rsidRPr="009C22FF">
        <w:rPr>
          <w:rFonts w:eastAsia="Times New Roman" w:cs="Times New Roman"/>
          <w:sz w:val="24"/>
          <w:szCs w:val="20"/>
          <w:vertAlign w:val="superscript"/>
          <w:lang w:eastAsia="it-IT"/>
        </w:rPr>
        <w:t>bis</w:t>
      </w:r>
      <w:r w:rsidRPr="009C22FF">
        <w:rPr>
          <w:rFonts w:eastAsia="Times New Roman" w:cs="Times New Roman"/>
          <w:sz w:val="24"/>
          <w:szCs w:val="20"/>
          <w:lang w:eastAsia="it-IT"/>
        </w:rPr>
        <w:t xml:space="preserve"> LT (nuovo), art. 247a LT (nuovo) e art. 247 cpv. 4 LT (modificato) – Introduzione della facoltà per l’autorità fiscale di riscossione e di restituzione delle eccedenze di imposta e delle imposte non dovute in parti uguali in caso di divorzio, separazione legale o di fatto tra coniugi o partner registrati e conseguente estensione dell’obbligo di fornire un conto bancario o postale.</w:t>
      </w:r>
    </w:p>
    <w:p w:rsidR="009C22FF" w:rsidRPr="009C22FF" w:rsidRDefault="009C22FF" w:rsidP="008E3181">
      <w:pPr>
        <w:numPr>
          <w:ilvl w:val="0"/>
          <w:numId w:val="19"/>
        </w:numPr>
        <w:spacing w:before="120"/>
        <w:ind w:left="426" w:hanging="426"/>
        <w:rPr>
          <w:rFonts w:eastAsia="Times New Roman" w:cs="Times New Roman"/>
          <w:sz w:val="24"/>
          <w:szCs w:val="20"/>
          <w:lang w:eastAsia="it-IT"/>
        </w:rPr>
      </w:pPr>
      <w:r w:rsidRPr="009C22FF">
        <w:rPr>
          <w:rFonts w:eastAsia="Times New Roman" w:cs="Times New Roman"/>
          <w:sz w:val="24"/>
          <w:szCs w:val="20"/>
          <w:lang w:eastAsia="it-IT"/>
        </w:rPr>
        <w:t>Art. 45 cpv. 2 LT (modificato) – Modifica relativa al metodo di calcolo per la valutazione dei titoli non quotati.</w:t>
      </w:r>
    </w:p>
    <w:p w:rsidR="009C22FF" w:rsidRDefault="009C22FF" w:rsidP="009C22FF">
      <w:pPr>
        <w:spacing w:before="120"/>
        <w:rPr>
          <w:rFonts w:eastAsia="Times New Roman" w:cs="Times New Roman"/>
          <w:sz w:val="24"/>
          <w:szCs w:val="20"/>
          <w:lang w:eastAsia="it-IT"/>
        </w:rPr>
      </w:pPr>
      <w:bookmarkStart w:id="0" w:name="_GoBack"/>
      <w:bookmarkEnd w:id="0"/>
    </w:p>
    <w:p w:rsidR="006B1D90" w:rsidRPr="009C22FF" w:rsidRDefault="006B1D90" w:rsidP="009C22FF">
      <w:pPr>
        <w:spacing w:before="120"/>
        <w:rPr>
          <w:rFonts w:eastAsia="Times New Roman" w:cs="Times New Roman"/>
          <w:sz w:val="24"/>
          <w:szCs w:val="20"/>
          <w:lang w:eastAsia="it-IT"/>
        </w:rPr>
      </w:pPr>
    </w:p>
    <w:p w:rsidR="009C22FF" w:rsidRPr="009C22FF" w:rsidRDefault="009C22FF" w:rsidP="006B1D90">
      <w:pPr>
        <w:pStyle w:val="Titolo1"/>
        <w:tabs>
          <w:tab w:val="left" w:pos="567"/>
        </w:tabs>
        <w:spacing w:before="0"/>
        <w:ind w:left="567" w:hanging="567"/>
        <w:jc w:val="both"/>
        <w:rPr>
          <w:rFonts w:eastAsia="Calibri" w:cs="Times New Roman"/>
          <w:caps/>
          <w:sz w:val="24"/>
          <w:szCs w:val="24"/>
          <w:lang w:val="it-IT" w:eastAsia="it-IT"/>
        </w:rPr>
      </w:pPr>
      <w:r w:rsidRPr="009C22FF">
        <w:rPr>
          <w:rFonts w:eastAsia="Calibri" w:cs="Times New Roman"/>
          <w:caps/>
          <w:sz w:val="24"/>
          <w:szCs w:val="24"/>
          <w:lang w:val="it-IT" w:eastAsia="it-IT"/>
        </w:rPr>
        <w:t>ii.</w:t>
      </w:r>
      <w:r w:rsidRPr="009C22FF">
        <w:rPr>
          <w:rFonts w:eastAsia="Calibri" w:cs="Times New Roman"/>
          <w:caps/>
          <w:sz w:val="24"/>
          <w:szCs w:val="24"/>
          <w:lang w:val="it-IT" w:eastAsia="it-IT"/>
        </w:rPr>
        <w:tab/>
        <w:t>COMPARATIVO DELLE MODIFICHE PROPOSTE E APPROFONDIMENTI COMMISSIONALI</w:t>
      </w:r>
    </w:p>
    <w:p w:rsidR="009C22FF" w:rsidRPr="009C22FF" w:rsidRDefault="009C22FF" w:rsidP="009C22FF">
      <w:pPr>
        <w:spacing w:before="120"/>
        <w:rPr>
          <w:rFonts w:eastAsia="Times New Roman" w:cs="Times New Roman"/>
          <w:sz w:val="24"/>
          <w:szCs w:val="20"/>
          <w:lang w:eastAsia="it-IT"/>
        </w:rPr>
      </w:pPr>
      <w:r w:rsidRPr="009C22FF">
        <w:rPr>
          <w:rFonts w:eastAsia="Times New Roman" w:cs="Times New Roman"/>
          <w:sz w:val="24"/>
          <w:szCs w:val="20"/>
          <w:lang w:eastAsia="it-IT"/>
        </w:rPr>
        <w:t>La Commissione gestione e finanze, sulla base dei lavori preparatori svolti dalla sua Sottocommissione Fisco, non ha particolari commenti da aggiungere a quanto esposto nel testo del messaggio.</w:t>
      </w:r>
    </w:p>
    <w:p w:rsidR="009C22FF" w:rsidRPr="009C22FF" w:rsidRDefault="009C22FF" w:rsidP="009C22FF">
      <w:pPr>
        <w:spacing w:before="120"/>
        <w:rPr>
          <w:rFonts w:eastAsia="Calibri" w:cs="Times New Roman"/>
          <w:sz w:val="24"/>
          <w:lang w:eastAsia="it-IT"/>
        </w:rPr>
      </w:pPr>
      <w:r w:rsidRPr="009C22FF">
        <w:rPr>
          <w:rFonts w:eastAsia="Times New Roman" w:cs="Times New Roman"/>
          <w:sz w:val="24"/>
          <w:szCs w:val="20"/>
          <w:lang w:eastAsia="it-IT"/>
        </w:rPr>
        <w:t>La presente sezione espone in modo sinottico le proposte di modifica confrontando il teso di legge attualmente in vigore (</w:t>
      </w:r>
      <w:r w:rsidRPr="009C22FF">
        <w:rPr>
          <w:rFonts w:eastAsia="Times New Roman" w:cs="Times New Roman"/>
          <w:i/>
          <w:iCs/>
          <w:sz w:val="24"/>
          <w:szCs w:val="20"/>
          <w:lang w:eastAsia="it-IT"/>
        </w:rPr>
        <w:t xml:space="preserve">de </w:t>
      </w:r>
      <w:proofErr w:type="spellStart"/>
      <w:r w:rsidRPr="009C22FF">
        <w:rPr>
          <w:rFonts w:eastAsia="Times New Roman" w:cs="Times New Roman"/>
          <w:i/>
          <w:iCs/>
          <w:sz w:val="24"/>
          <w:szCs w:val="20"/>
          <w:lang w:eastAsia="it-IT"/>
        </w:rPr>
        <w:t>lege</w:t>
      </w:r>
      <w:proofErr w:type="spellEnd"/>
      <w:r w:rsidRPr="009C22FF">
        <w:rPr>
          <w:rFonts w:eastAsia="Times New Roman" w:cs="Times New Roman"/>
          <w:i/>
          <w:iCs/>
          <w:sz w:val="24"/>
          <w:szCs w:val="20"/>
          <w:lang w:eastAsia="it-IT"/>
        </w:rPr>
        <w:t xml:space="preserve"> lata</w:t>
      </w:r>
      <w:r w:rsidRPr="009C22FF">
        <w:rPr>
          <w:rFonts w:eastAsia="Times New Roman" w:cs="Times New Roman"/>
          <w:sz w:val="24"/>
          <w:szCs w:val="20"/>
          <w:lang w:eastAsia="it-IT"/>
        </w:rPr>
        <w:t>) con quello che si propone di porre in essere dal 1° gennaio 2023 (</w:t>
      </w:r>
      <w:r w:rsidRPr="009C22FF">
        <w:rPr>
          <w:rFonts w:eastAsia="Times New Roman" w:cs="Times New Roman"/>
          <w:i/>
          <w:iCs/>
          <w:sz w:val="24"/>
          <w:szCs w:val="20"/>
          <w:lang w:eastAsia="it-IT"/>
        </w:rPr>
        <w:t xml:space="preserve">de </w:t>
      </w:r>
      <w:proofErr w:type="spellStart"/>
      <w:r w:rsidRPr="009C22FF">
        <w:rPr>
          <w:rFonts w:eastAsia="Times New Roman" w:cs="Times New Roman"/>
          <w:i/>
          <w:iCs/>
          <w:sz w:val="24"/>
          <w:szCs w:val="20"/>
          <w:lang w:eastAsia="it-IT"/>
        </w:rPr>
        <w:t>lege</w:t>
      </w:r>
      <w:proofErr w:type="spellEnd"/>
      <w:r w:rsidRPr="009C22FF">
        <w:rPr>
          <w:rFonts w:eastAsia="Times New Roman" w:cs="Times New Roman"/>
          <w:i/>
          <w:iCs/>
          <w:sz w:val="24"/>
          <w:szCs w:val="20"/>
          <w:lang w:eastAsia="it-IT"/>
        </w:rPr>
        <w:t xml:space="preserve"> </w:t>
      </w:r>
      <w:proofErr w:type="spellStart"/>
      <w:r w:rsidRPr="009C22FF">
        <w:rPr>
          <w:rFonts w:eastAsia="Times New Roman" w:cs="Times New Roman"/>
          <w:i/>
          <w:iCs/>
          <w:sz w:val="24"/>
          <w:szCs w:val="20"/>
          <w:lang w:eastAsia="it-IT"/>
        </w:rPr>
        <w:t>ferenda</w:t>
      </w:r>
      <w:proofErr w:type="spellEnd"/>
      <w:r w:rsidRPr="009C22FF">
        <w:rPr>
          <w:rFonts w:eastAsia="Times New Roman" w:cs="Times New Roman"/>
          <w:sz w:val="24"/>
          <w:szCs w:val="20"/>
          <w:lang w:eastAsia="it-IT"/>
        </w:rPr>
        <w:t>).</w:t>
      </w:r>
    </w:p>
    <w:p w:rsidR="009C22FF" w:rsidRPr="009C22FF" w:rsidRDefault="009C22FF" w:rsidP="009C22FF">
      <w:pPr>
        <w:rPr>
          <w:rFonts w:eastAsia="Calibri" w:cs="Times New Roman"/>
          <w:sz w:val="24"/>
          <w:lang w:eastAsia="it-IT"/>
        </w:rPr>
      </w:pPr>
    </w:p>
    <w:tbl>
      <w:tblPr>
        <w:tblStyle w:val="Grigliatabella1"/>
        <w:tblW w:w="0" w:type="auto"/>
        <w:tblLook w:val="04A0" w:firstRow="1" w:lastRow="0" w:firstColumn="1" w:lastColumn="0" w:noHBand="0" w:noVBand="1"/>
      </w:tblPr>
      <w:tblGrid>
        <w:gridCol w:w="4736"/>
        <w:gridCol w:w="4739"/>
      </w:tblGrid>
      <w:tr w:rsidR="009C22FF" w:rsidRPr="009C22FF" w:rsidTr="009C22FF">
        <w:tc>
          <w:tcPr>
            <w:tcW w:w="9628"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t>Art. 19 cpv. 8 LT</w:t>
            </w:r>
          </w:p>
        </w:tc>
      </w:tr>
      <w:tr w:rsidR="009C22FF" w:rsidRPr="009C22FF" w:rsidTr="009C22FF">
        <w:tc>
          <w:tcPr>
            <w:tcW w:w="4814" w:type="dxa"/>
            <w:shd w:val="clear" w:color="auto" w:fill="BDD6EE"/>
          </w:tcPr>
          <w:p w:rsidR="009C22FF" w:rsidRPr="009C22FF" w:rsidRDefault="009C22FF" w:rsidP="009C22FF">
            <w:pPr>
              <w:rPr>
                <w:b/>
                <w:bCs/>
                <w:i/>
                <w:iCs/>
                <w:color w:val="FFFFFF"/>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F627BD">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Nessuna normativa.</w:t>
            </w:r>
          </w:p>
        </w:tc>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Il capoverso 3 si applica agli apporti e all’aggio forniti durante la validità di un margine di variazione del capitale secondo gli articoli 653s e seguenti del Codice delle obbligazioni per quanto eccedano le riserve rimborsate nell’ambito del suddetto margine di variazione del capitale.</w:t>
            </w:r>
          </w:p>
        </w:tc>
      </w:tr>
    </w:tbl>
    <w:p w:rsidR="009C22FF" w:rsidRPr="009C22FF" w:rsidRDefault="009C22FF" w:rsidP="009C22FF">
      <w:pPr>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4737"/>
        <w:gridCol w:w="4738"/>
      </w:tblGrid>
      <w:tr w:rsidR="009C22FF" w:rsidRPr="009C22FF" w:rsidTr="009C22FF">
        <w:tc>
          <w:tcPr>
            <w:tcW w:w="9628"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t xml:space="preserve">Art. 23 </w:t>
            </w:r>
            <w:proofErr w:type="spellStart"/>
            <w:r w:rsidRPr="009C22FF">
              <w:rPr>
                <w:b/>
                <w:bCs/>
                <w:sz w:val="20"/>
                <w:szCs w:val="20"/>
                <w:lang w:eastAsia="it-IT"/>
              </w:rPr>
              <w:t>lett</w:t>
            </w:r>
            <w:proofErr w:type="spellEnd"/>
            <w:r w:rsidRPr="009C22FF">
              <w:rPr>
                <w:b/>
                <w:bCs/>
                <w:sz w:val="20"/>
                <w:szCs w:val="20"/>
                <w:lang w:eastAsia="it-IT"/>
              </w:rPr>
              <w:t>.  n LT</w:t>
            </w:r>
          </w:p>
        </w:tc>
      </w:tr>
      <w:tr w:rsidR="009C22FF" w:rsidRPr="009C22FF" w:rsidTr="009C22FF">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F627BD">
        <w:tc>
          <w:tcPr>
            <w:tcW w:w="4814" w:type="dxa"/>
          </w:tcPr>
          <w:p w:rsidR="009C22FF" w:rsidRPr="009C22FF" w:rsidRDefault="009C22FF" w:rsidP="009C22FF">
            <w:pPr>
              <w:spacing w:after="240"/>
              <w:rPr>
                <w:sz w:val="20"/>
                <w:szCs w:val="20"/>
                <w:lang w:eastAsia="it-IT"/>
              </w:rPr>
            </w:pPr>
            <w:r w:rsidRPr="009C22FF">
              <w:rPr>
                <w:sz w:val="20"/>
                <w:szCs w:val="20"/>
                <w:lang w:eastAsia="it-IT"/>
              </w:rPr>
              <w:t>Nessuna normativa.</w:t>
            </w:r>
          </w:p>
        </w:tc>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i proventi ricevuti in virtù della legge federale sulle prestazioni transitorie per i disoccupati anziani del 19 giugno 2020 (LPTD).</w:t>
            </w:r>
          </w:p>
        </w:tc>
      </w:tr>
    </w:tbl>
    <w:p w:rsidR="009C22FF" w:rsidRPr="009C22FF" w:rsidRDefault="009C22FF" w:rsidP="009C22FF">
      <w:pPr>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4738"/>
        <w:gridCol w:w="4737"/>
      </w:tblGrid>
      <w:tr w:rsidR="009C22FF" w:rsidRPr="009C22FF" w:rsidTr="009C22FF">
        <w:tc>
          <w:tcPr>
            <w:tcW w:w="9628"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t>Art. 27 cpv. 1 LT</w:t>
            </w:r>
          </w:p>
        </w:tc>
      </w:tr>
      <w:tr w:rsidR="009C22FF" w:rsidRPr="009C22FF" w:rsidTr="009C22FF">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F627BD">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Gli ammortamenti sugli attivi, giustificati dall’uso commerciale, sono ammessi nella misura in cui sono stati contabilizzati o, in mancanza di contabilità commerciale, figurano in speciali tabelle di ammortamento.</w:t>
            </w:r>
          </w:p>
        </w:tc>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Gli ammortamenti degli attivi, giustificati dall’uso commerciale, sono ammessi nella misura in cui sono allibrati o, in caso di tenuta di una contabilità semplificata secondo l’articolo 957 capoverso 2 del Codice delle obbligazioni, figurano in speciali tabelle di ammortamento.</w:t>
            </w:r>
          </w:p>
        </w:tc>
      </w:tr>
    </w:tbl>
    <w:p w:rsidR="009C22FF" w:rsidRPr="009C22FF" w:rsidRDefault="009C22FF" w:rsidP="009C22FF">
      <w:pPr>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4738"/>
        <w:gridCol w:w="4737"/>
      </w:tblGrid>
      <w:tr w:rsidR="009C22FF" w:rsidRPr="009C22FF" w:rsidTr="006B1D90">
        <w:tc>
          <w:tcPr>
            <w:tcW w:w="9475"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t>Art. 45 cpv. 2 LT</w:t>
            </w:r>
          </w:p>
        </w:tc>
      </w:tr>
      <w:tr w:rsidR="009C22FF" w:rsidRPr="009C22FF" w:rsidTr="006B1D90">
        <w:tc>
          <w:tcPr>
            <w:tcW w:w="4738"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737"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6B1D90">
        <w:tc>
          <w:tcPr>
            <w:tcW w:w="4738" w:type="dxa"/>
          </w:tcPr>
          <w:p w:rsidR="009C22FF" w:rsidRPr="009C22FF" w:rsidRDefault="009C22FF" w:rsidP="009C22FF">
            <w:pPr>
              <w:spacing w:after="240"/>
              <w:jc w:val="both"/>
              <w:rPr>
                <w:sz w:val="20"/>
                <w:szCs w:val="20"/>
                <w:lang w:eastAsia="it-IT"/>
              </w:rPr>
            </w:pPr>
            <w:r w:rsidRPr="009C22FF">
              <w:rPr>
                <w:sz w:val="20"/>
                <w:szCs w:val="20"/>
                <w:lang w:eastAsia="it-IT"/>
              </w:rPr>
              <w:t>Le azioni, partecipazioni a società cooperative ed altri diritti di partecipazione non regolarmente oggetto di transazione, sono valutati tenendo conto del loro valore di reddito e del loro valore intrinseco.</w:t>
            </w:r>
          </w:p>
        </w:tc>
        <w:tc>
          <w:tcPr>
            <w:tcW w:w="4737" w:type="dxa"/>
          </w:tcPr>
          <w:p w:rsidR="009C22FF" w:rsidRPr="009C22FF" w:rsidRDefault="009C22FF" w:rsidP="009C22FF">
            <w:pPr>
              <w:spacing w:after="240"/>
              <w:jc w:val="both"/>
              <w:rPr>
                <w:sz w:val="20"/>
                <w:szCs w:val="20"/>
                <w:lang w:eastAsia="it-IT"/>
              </w:rPr>
            </w:pPr>
            <w:r w:rsidRPr="009C22FF">
              <w:rPr>
                <w:sz w:val="20"/>
                <w:szCs w:val="20"/>
                <w:lang w:eastAsia="it-IT"/>
              </w:rPr>
              <w:t>Le azioni, partecipazioni a società cooperative ed altri diritti di partecipazione non regolarmente oggetto di transazione, sono valutati tenendo conto del loro valore intrinseco.</w:t>
            </w:r>
          </w:p>
        </w:tc>
      </w:tr>
      <w:tr w:rsidR="009C22FF" w:rsidRPr="009C22FF" w:rsidTr="006B1D90">
        <w:tc>
          <w:tcPr>
            <w:tcW w:w="9475"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lastRenderedPageBreak/>
              <w:t>Art. 59 cpv. 2 LT</w:t>
            </w:r>
          </w:p>
        </w:tc>
      </w:tr>
      <w:tr w:rsidR="009C22FF" w:rsidRPr="009C22FF" w:rsidTr="006B1D90">
        <w:tc>
          <w:tcPr>
            <w:tcW w:w="4738"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737"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6B1D90">
        <w:tc>
          <w:tcPr>
            <w:tcW w:w="4738" w:type="dxa"/>
          </w:tcPr>
          <w:p w:rsidR="009C22FF" w:rsidRPr="009C22FF" w:rsidRDefault="009C22FF" w:rsidP="009C22FF">
            <w:pPr>
              <w:spacing w:after="240"/>
              <w:jc w:val="both"/>
              <w:rPr>
                <w:sz w:val="20"/>
                <w:szCs w:val="20"/>
                <w:lang w:eastAsia="it-IT"/>
              </w:rPr>
            </w:pPr>
            <w:r w:rsidRPr="009C22FF">
              <w:rPr>
                <w:sz w:val="20"/>
                <w:szCs w:val="20"/>
                <w:lang w:eastAsia="it-IT"/>
              </w:rPr>
              <w:t xml:space="preserve">Gli investimenti collettivi di capitale con possesso fondiario diretto ai sensi dell’articolo 58 </w:t>
            </w:r>
            <w:proofErr w:type="spellStart"/>
            <w:r w:rsidRPr="009C22FF">
              <w:rPr>
                <w:sz w:val="20"/>
                <w:szCs w:val="20"/>
                <w:lang w:eastAsia="it-IT"/>
              </w:rPr>
              <w:t>LICol</w:t>
            </w:r>
            <w:proofErr w:type="spellEnd"/>
            <w:r w:rsidRPr="009C22FF">
              <w:rPr>
                <w:sz w:val="20"/>
                <w:szCs w:val="20"/>
                <w:lang w:eastAsia="it-IT"/>
              </w:rPr>
              <w:t xml:space="preserve"> sono assimilati alle altre persone giuridiche. Le società di investimento a capitale fisso ai sensi dell’articolo 110 </w:t>
            </w:r>
            <w:proofErr w:type="spellStart"/>
            <w:r w:rsidRPr="009C22FF">
              <w:rPr>
                <w:sz w:val="20"/>
                <w:szCs w:val="20"/>
                <w:lang w:eastAsia="it-IT"/>
              </w:rPr>
              <w:t>LICol</w:t>
            </w:r>
            <w:proofErr w:type="spellEnd"/>
            <w:r w:rsidRPr="009C22FF">
              <w:rPr>
                <w:sz w:val="20"/>
                <w:szCs w:val="20"/>
                <w:lang w:eastAsia="it-IT"/>
              </w:rPr>
              <w:t xml:space="preserve"> sono tassate come le società di capitali.</w:t>
            </w:r>
          </w:p>
        </w:tc>
        <w:tc>
          <w:tcPr>
            <w:tcW w:w="4737" w:type="dxa"/>
          </w:tcPr>
          <w:p w:rsidR="009C22FF" w:rsidRPr="009C22FF" w:rsidRDefault="009C22FF" w:rsidP="009C22FF">
            <w:pPr>
              <w:spacing w:after="240"/>
              <w:jc w:val="both"/>
              <w:rPr>
                <w:sz w:val="20"/>
                <w:szCs w:val="20"/>
                <w:lang w:eastAsia="it-IT"/>
              </w:rPr>
            </w:pPr>
            <w:r w:rsidRPr="009C22FF">
              <w:rPr>
                <w:sz w:val="20"/>
                <w:szCs w:val="20"/>
                <w:lang w:eastAsia="it-IT"/>
              </w:rPr>
              <w:t xml:space="preserve">Gli investimenti collettivi di capitale con possesso fondiario diretto ai sensi dell’articolo 58 o 118a </w:t>
            </w:r>
            <w:proofErr w:type="spellStart"/>
            <w:r w:rsidRPr="009C22FF">
              <w:rPr>
                <w:sz w:val="20"/>
                <w:szCs w:val="20"/>
                <w:lang w:eastAsia="it-IT"/>
              </w:rPr>
              <w:t>LICol</w:t>
            </w:r>
            <w:proofErr w:type="spellEnd"/>
            <w:r w:rsidRPr="009C22FF">
              <w:rPr>
                <w:sz w:val="20"/>
                <w:szCs w:val="20"/>
                <w:lang w:eastAsia="it-IT"/>
              </w:rPr>
              <w:t xml:space="preserve"> sono assimilati alle altre persone giuridiche. Le società di investimento a capitale fisso ai sensi dell’articolo 110 </w:t>
            </w:r>
            <w:proofErr w:type="spellStart"/>
            <w:r w:rsidRPr="009C22FF">
              <w:rPr>
                <w:sz w:val="20"/>
                <w:szCs w:val="20"/>
                <w:lang w:eastAsia="it-IT"/>
              </w:rPr>
              <w:t>LICol</w:t>
            </w:r>
            <w:proofErr w:type="spellEnd"/>
            <w:r w:rsidRPr="009C22FF">
              <w:rPr>
                <w:sz w:val="20"/>
                <w:szCs w:val="20"/>
                <w:lang w:eastAsia="it-IT"/>
              </w:rPr>
              <w:t xml:space="preserve"> sono tassate come le società di capitali.</w:t>
            </w:r>
          </w:p>
        </w:tc>
      </w:tr>
    </w:tbl>
    <w:p w:rsidR="009C22FF" w:rsidRPr="009C22FF" w:rsidRDefault="009C22FF" w:rsidP="009C22FF">
      <w:pPr>
        <w:jc w:val="left"/>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4737"/>
        <w:gridCol w:w="4738"/>
      </w:tblGrid>
      <w:tr w:rsidR="009C22FF" w:rsidRPr="009C22FF" w:rsidTr="009C22FF">
        <w:tc>
          <w:tcPr>
            <w:tcW w:w="9628"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t>Art. 71 cpv. 1 LT</w:t>
            </w:r>
          </w:p>
        </w:tc>
      </w:tr>
      <w:tr w:rsidR="009C22FF" w:rsidRPr="009C22FF" w:rsidTr="009C22FF">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F627BD">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Gli ammortamenti sugli attivi giustificati dall’uso commerciale sono ammessi nella misura in cui sono stati contabilizzati o, in mancanza di contabilità commerciale, figurano in speciali tabelle di ammortamento</w:t>
            </w:r>
          </w:p>
        </w:tc>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Gli ammortamenti degli attivi, giustificati dall’uso commerciale, sono ammessi nella misura in cui sono allibrati o, in caso di tenuta di una contabilità semplificata secondo l’articolo 957 capoverso 2 del Codice delle obbligazioni, figurano in speciali tabelle di ammortamento.</w:t>
            </w:r>
          </w:p>
        </w:tc>
      </w:tr>
    </w:tbl>
    <w:p w:rsidR="009C22FF" w:rsidRPr="009C22FF" w:rsidRDefault="009C22FF" w:rsidP="009C22FF">
      <w:pPr>
        <w:jc w:val="left"/>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4735"/>
        <w:gridCol w:w="4740"/>
      </w:tblGrid>
      <w:tr w:rsidR="009C22FF" w:rsidRPr="009C22FF" w:rsidTr="009C22FF">
        <w:tc>
          <w:tcPr>
            <w:tcW w:w="9628"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t>Art. 101 cpv. 1bis LT</w:t>
            </w:r>
          </w:p>
        </w:tc>
      </w:tr>
      <w:tr w:rsidR="009C22FF" w:rsidRPr="009C22FF" w:rsidTr="009C22FF">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F627BD">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Nessuna normativa.</w:t>
            </w:r>
          </w:p>
        </w:tc>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Se la chiusura dei conti è redatta in una moneta estera, l’utile netto imponibile va convertito in franchi. È determinante il corso medio delle divise (vendita) durante il periodo fiscale.</w:t>
            </w:r>
          </w:p>
        </w:tc>
      </w:tr>
    </w:tbl>
    <w:p w:rsidR="009C22FF" w:rsidRPr="009C22FF" w:rsidRDefault="009C22FF" w:rsidP="009C22FF">
      <w:pPr>
        <w:jc w:val="left"/>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4735"/>
        <w:gridCol w:w="4740"/>
      </w:tblGrid>
      <w:tr w:rsidR="009C22FF" w:rsidRPr="009C22FF" w:rsidTr="009C22FF">
        <w:tc>
          <w:tcPr>
            <w:tcW w:w="9628"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t>Art. 102 cpv. 1bis LT</w:t>
            </w:r>
          </w:p>
        </w:tc>
      </w:tr>
      <w:tr w:rsidR="009C22FF" w:rsidRPr="009C22FF" w:rsidTr="009C22FF">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F627BD">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Nessuna normativa.</w:t>
            </w:r>
          </w:p>
        </w:tc>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Se la chiusura dei conti è redatta in una moneta estera, il capitale proprio imponibile va convertito in franchi. È determinante il corso delle divise (vendita) alla fine del periodo fiscale.</w:t>
            </w:r>
          </w:p>
        </w:tc>
      </w:tr>
    </w:tbl>
    <w:p w:rsidR="009C22FF" w:rsidRPr="009C22FF" w:rsidRDefault="009C22FF" w:rsidP="009C22FF">
      <w:pPr>
        <w:jc w:val="left"/>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4735"/>
        <w:gridCol w:w="4740"/>
      </w:tblGrid>
      <w:tr w:rsidR="009C22FF" w:rsidRPr="009C22FF" w:rsidTr="009C22FF">
        <w:tc>
          <w:tcPr>
            <w:tcW w:w="9628"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t>Art. 125 cpv. 2 LT</w:t>
            </w:r>
          </w:p>
        </w:tc>
      </w:tr>
      <w:tr w:rsidR="009C22FF" w:rsidRPr="009C22FF" w:rsidTr="009C22FF">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F627BD">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Nessuna normativa.</w:t>
            </w:r>
          </w:p>
        </w:tc>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L’autorità fiscale può chiedere l’iscrizione nel registro fondiario di una menzione indicante l’obbligo per il proprietario del fondo di pagare le imposte sui differimenti pregressi al momento del primo trasferimento imponibile.</w:t>
            </w:r>
          </w:p>
        </w:tc>
      </w:tr>
    </w:tbl>
    <w:p w:rsidR="009C22FF" w:rsidRPr="009C22FF" w:rsidRDefault="009C22FF" w:rsidP="009C22FF">
      <w:pPr>
        <w:jc w:val="left"/>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4746"/>
        <w:gridCol w:w="4729"/>
      </w:tblGrid>
      <w:tr w:rsidR="009C22FF" w:rsidRPr="009C22FF" w:rsidTr="009C22FF">
        <w:tc>
          <w:tcPr>
            <w:tcW w:w="9628"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t>Art. 185a cpv. 2 LT</w:t>
            </w:r>
          </w:p>
        </w:tc>
      </w:tr>
      <w:tr w:rsidR="009C22FF" w:rsidRPr="009C22FF" w:rsidTr="009C22FF">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F627BD">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Per adempiere i loro compiti legali, la Divisione delle contribuzioni e le autorità di cui all’articolo 184 sono autorizzate a utilizzare sistematicamente il numero d’assicurato dell’assicurazione vecchiaia e superstiti conformemente alle disposizioni della legge federale sull’assicurazione per la vecchiaia e per i superstiti del 20 dicembre 1946.</w:t>
            </w:r>
          </w:p>
        </w:tc>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Norma abrogata.</w:t>
            </w:r>
          </w:p>
        </w:tc>
      </w:tr>
    </w:tbl>
    <w:p w:rsidR="006B1D90" w:rsidRDefault="006B1D90" w:rsidP="009C22FF">
      <w:pPr>
        <w:jc w:val="left"/>
        <w:rPr>
          <w:rFonts w:eastAsia="Times New Roman" w:cs="Times New Roman"/>
          <w:sz w:val="20"/>
          <w:szCs w:val="20"/>
          <w:lang w:eastAsia="it-IT"/>
        </w:rPr>
      </w:pPr>
    </w:p>
    <w:p w:rsidR="006B1D90" w:rsidRDefault="006B1D90">
      <w:pPr>
        <w:rPr>
          <w:rFonts w:eastAsia="Times New Roman" w:cs="Times New Roman"/>
          <w:sz w:val="20"/>
          <w:szCs w:val="20"/>
          <w:lang w:eastAsia="it-IT"/>
        </w:rPr>
      </w:pPr>
      <w:r>
        <w:rPr>
          <w:rFonts w:eastAsia="Times New Roman" w:cs="Times New Roman"/>
          <w:sz w:val="20"/>
          <w:szCs w:val="20"/>
          <w:lang w:eastAsia="it-IT"/>
        </w:rPr>
        <w:br w:type="page"/>
      </w:r>
    </w:p>
    <w:tbl>
      <w:tblPr>
        <w:tblStyle w:val="Grigliatabella1"/>
        <w:tblW w:w="0" w:type="auto"/>
        <w:tblLook w:val="04A0" w:firstRow="1" w:lastRow="0" w:firstColumn="1" w:lastColumn="0" w:noHBand="0" w:noVBand="1"/>
      </w:tblPr>
      <w:tblGrid>
        <w:gridCol w:w="4738"/>
        <w:gridCol w:w="4737"/>
      </w:tblGrid>
      <w:tr w:rsidR="009C22FF" w:rsidRPr="009C22FF" w:rsidTr="006B1D90">
        <w:tc>
          <w:tcPr>
            <w:tcW w:w="9475" w:type="dxa"/>
            <w:gridSpan w:val="2"/>
            <w:shd w:val="clear" w:color="auto" w:fill="BDD6EE"/>
          </w:tcPr>
          <w:p w:rsidR="009C22FF" w:rsidRPr="009C22FF" w:rsidRDefault="009C22FF" w:rsidP="009C22FF">
            <w:pPr>
              <w:rPr>
                <w:b/>
                <w:bCs/>
                <w:sz w:val="20"/>
                <w:szCs w:val="20"/>
                <w:lang w:val="en-US" w:eastAsia="it-IT"/>
              </w:rPr>
            </w:pPr>
            <w:r w:rsidRPr="009C22FF">
              <w:rPr>
                <w:b/>
                <w:bCs/>
                <w:sz w:val="20"/>
                <w:szCs w:val="20"/>
                <w:lang w:val="en-US" w:eastAsia="it-IT"/>
              </w:rPr>
              <w:lastRenderedPageBreak/>
              <w:t xml:space="preserve">Art. 199 </w:t>
            </w:r>
            <w:proofErr w:type="spellStart"/>
            <w:r w:rsidRPr="009C22FF">
              <w:rPr>
                <w:b/>
                <w:bCs/>
                <w:sz w:val="20"/>
                <w:szCs w:val="20"/>
                <w:lang w:val="en-US" w:eastAsia="it-IT"/>
              </w:rPr>
              <w:t>cpv</w:t>
            </w:r>
            <w:proofErr w:type="spellEnd"/>
            <w:r w:rsidRPr="009C22FF">
              <w:rPr>
                <w:b/>
                <w:bCs/>
                <w:sz w:val="20"/>
                <w:szCs w:val="20"/>
                <w:lang w:val="en-US" w:eastAsia="it-IT"/>
              </w:rPr>
              <w:t xml:space="preserve">. 2 </w:t>
            </w:r>
            <w:proofErr w:type="spellStart"/>
            <w:r w:rsidRPr="009C22FF">
              <w:rPr>
                <w:b/>
                <w:bCs/>
                <w:sz w:val="20"/>
                <w:szCs w:val="20"/>
                <w:lang w:val="en-US" w:eastAsia="it-IT"/>
              </w:rPr>
              <w:t>lett</w:t>
            </w:r>
            <w:proofErr w:type="spellEnd"/>
            <w:r w:rsidRPr="009C22FF">
              <w:rPr>
                <w:b/>
                <w:bCs/>
                <w:sz w:val="20"/>
                <w:szCs w:val="20"/>
                <w:lang w:val="en-US" w:eastAsia="it-IT"/>
              </w:rPr>
              <w:t>. a LT</w:t>
            </w:r>
          </w:p>
        </w:tc>
      </w:tr>
      <w:tr w:rsidR="009C22FF" w:rsidRPr="009C22FF" w:rsidTr="006B1D90">
        <w:tc>
          <w:tcPr>
            <w:tcW w:w="4738"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737"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6B1D90">
        <w:tc>
          <w:tcPr>
            <w:tcW w:w="4738" w:type="dxa"/>
          </w:tcPr>
          <w:p w:rsidR="009C22FF" w:rsidRPr="009C22FF" w:rsidRDefault="009C22FF" w:rsidP="009C22FF">
            <w:pPr>
              <w:spacing w:after="240"/>
              <w:jc w:val="both"/>
              <w:rPr>
                <w:sz w:val="20"/>
                <w:szCs w:val="20"/>
                <w:lang w:eastAsia="it-IT"/>
              </w:rPr>
            </w:pPr>
            <w:r w:rsidRPr="009C22FF">
              <w:rPr>
                <w:sz w:val="20"/>
                <w:szCs w:val="20"/>
                <w:lang w:eastAsia="it-IT"/>
              </w:rPr>
              <w:t xml:space="preserve">i conti annuali firmati (conto economico, bilancio e allegato) per il periodo fiscale in questione; in mancanza di una contabilità conforme all’uso commerciale, le distinte degli attivi e dei passivi, delle entrate e delle uscite, come anche degli apporti e dei prelevamenti </w:t>
            </w:r>
            <w:proofErr w:type="spellStart"/>
            <w:r w:rsidRPr="009C22FF">
              <w:rPr>
                <w:sz w:val="20"/>
                <w:szCs w:val="20"/>
                <w:lang w:eastAsia="it-IT"/>
              </w:rPr>
              <w:t>privat</w:t>
            </w:r>
            <w:proofErr w:type="spellEnd"/>
          </w:p>
        </w:tc>
        <w:tc>
          <w:tcPr>
            <w:tcW w:w="4737" w:type="dxa"/>
          </w:tcPr>
          <w:p w:rsidR="009C22FF" w:rsidRPr="009C22FF" w:rsidRDefault="009C22FF" w:rsidP="009C22FF">
            <w:pPr>
              <w:spacing w:after="240"/>
              <w:jc w:val="both"/>
              <w:rPr>
                <w:sz w:val="20"/>
                <w:szCs w:val="20"/>
                <w:lang w:eastAsia="it-IT"/>
              </w:rPr>
            </w:pPr>
            <w:r w:rsidRPr="009C22FF">
              <w:rPr>
                <w:sz w:val="20"/>
                <w:szCs w:val="20"/>
                <w:lang w:eastAsia="it-IT"/>
              </w:rPr>
              <w:t>i conti annuali firmati (conto economico, bilancio e allegato) per il periodo fiscale in questione; in caso di tenuta di una contabilità semplificata secondo l’articolo 957 capoverso 2 del Codice delle obbligazioni, le distinte relative alle entrate e alle uscite, alla situazione patrimoniale e ai prelevamenti e apporti privati del periodo fiscale</w:t>
            </w:r>
          </w:p>
        </w:tc>
      </w:tr>
    </w:tbl>
    <w:p w:rsidR="009C22FF" w:rsidRPr="009C22FF" w:rsidRDefault="009C22FF" w:rsidP="009C22FF">
      <w:pPr>
        <w:jc w:val="left"/>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4734"/>
        <w:gridCol w:w="4741"/>
      </w:tblGrid>
      <w:tr w:rsidR="009C22FF" w:rsidRPr="009C22FF" w:rsidTr="009C22FF">
        <w:tc>
          <w:tcPr>
            <w:tcW w:w="9628"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t>Art. 241 cpv. 2bis LT</w:t>
            </w:r>
          </w:p>
        </w:tc>
      </w:tr>
      <w:tr w:rsidR="009C22FF" w:rsidRPr="009C22FF" w:rsidTr="009C22FF">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F627BD">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Nessuna normativa.</w:t>
            </w:r>
          </w:p>
        </w:tc>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L’autorità fiscale ha la facoltà di computare in parti uguali le rate di imposta che si riferiscono all’anno del divorzio, separazione legale o di fatto di coniugi o partner registrati, nonché quelle che si riferiscono agli anni fiscali in cui vigeva il cumulo dei redditi e della sostanza versate dopo la decadenza della responsabilità solidale, salvo istruzioni contrarie congiunte e nei limiti della legge</w:t>
            </w:r>
          </w:p>
        </w:tc>
      </w:tr>
    </w:tbl>
    <w:p w:rsidR="009C22FF" w:rsidRPr="009C22FF" w:rsidRDefault="009C22FF" w:rsidP="009C22FF">
      <w:pPr>
        <w:jc w:val="left"/>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4738"/>
        <w:gridCol w:w="4737"/>
      </w:tblGrid>
      <w:tr w:rsidR="009C22FF" w:rsidRPr="009C22FF" w:rsidTr="009C22FF">
        <w:tc>
          <w:tcPr>
            <w:tcW w:w="9628"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t>Art. 247 cpv. 4 LT</w:t>
            </w:r>
          </w:p>
        </w:tc>
      </w:tr>
      <w:tr w:rsidR="009C22FF" w:rsidRPr="009C22FF" w:rsidTr="009C22FF">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F627BD">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Imposte non dovute, ma già riscosse, sono in ogni caso restituite d’ufficio.</w:t>
            </w:r>
          </w:p>
        </w:tc>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Imposte non dovute, ma già riscosse, sono restituite secondo le modalità di rimborso di cui all’art. 241 cpv. 4bis.</w:t>
            </w:r>
          </w:p>
        </w:tc>
      </w:tr>
    </w:tbl>
    <w:p w:rsidR="009C22FF" w:rsidRPr="009C22FF" w:rsidRDefault="009C22FF" w:rsidP="009C22FF">
      <w:pPr>
        <w:jc w:val="left"/>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4736"/>
        <w:gridCol w:w="4739"/>
      </w:tblGrid>
      <w:tr w:rsidR="009C22FF" w:rsidRPr="009C22FF" w:rsidTr="009C22FF">
        <w:tc>
          <w:tcPr>
            <w:tcW w:w="9628"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t>Art. 247a LT</w:t>
            </w:r>
          </w:p>
        </w:tc>
      </w:tr>
      <w:tr w:rsidR="009C22FF" w:rsidRPr="009C22FF" w:rsidTr="009C22FF">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F627BD">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Nessuna normativa.</w:t>
            </w:r>
          </w:p>
        </w:tc>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In caso di divorzio, separazione legale o di fatto di coniugi o partner registrati, l’autorità fiscale ha la facoltà di restituire in parti uguali ad ogni coniuge o partner registrato, salvo istruzioni contrarie congiunte e nei limiti della legge, le eccedenze di imposta (art. 241) e le imposte non dovute (art. 247), inclusi gli interessi remunerativi fissati dal Consiglio di Stato, che si riferiscono agli anni fiscali in cui vigeva il cumulo dei redditi e della sostanza.</w:t>
            </w:r>
          </w:p>
        </w:tc>
      </w:tr>
    </w:tbl>
    <w:p w:rsidR="009C22FF" w:rsidRPr="009C22FF" w:rsidRDefault="009C22FF" w:rsidP="009C22FF">
      <w:pPr>
        <w:jc w:val="left"/>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4740"/>
        <w:gridCol w:w="4735"/>
      </w:tblGrid>
      <w:tr w:rsidR="009C22FF" w:rsidRPr="009C22FF" w:rsidTr="009C22FF">
        <w:tc>
          <w:tcPr>
            <w:tcW w:w="9628"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t>Art. 252 cpv. 4 LT</w:t>
            </w:r>
          </w:p>
        </w:tc>
      </w:tr>
      <w:tr w:rsidR="009C22FF" w:rsidRPr="009C22FF" w:rsidTr="009C22FF">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F627BD">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L’autorità fiscale rilascia, a richiesta del notaio o di terze persone autorizzate dal debitore dell’imposta, come pure di terze persone portatrici del pegno immobiliare sul fondo oggetto della domanda, attestazioni vincolanti sull’importo del credito garantito da ipoteca legale anche quando la relativa imposta non è ancora scaduta.</w:t>
            </w:r>
          </w:p>
        </w:tc>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Norma abrogata.</w:t>
            </w:r>
          </w:p>
        </w:tc>
      </w:tr>
    </w:tbl>
    <w:p w:rsidR="009C22FF" w:rsidRPr="009C22FF" w:rsidRDefault="009C22FF" w:rsidP="009C22FF">
      <w:pPr>
        <w:jc w:val="left"/>
        <w:rPr>
          <w:rFonts w:eastAsia="Times New Roman" w:cs="Times New Roman"/>
          <w:sz w:val="20"/>
          <w:szCs w:val="20"/>
          <w:lang w:eastAsia="it-IT"/>
        </w:rPr>
      </w:pPr>
    </w:p>
    <w:p w:rsidR="006B1D90" w:rsidRDefault="006B1D90">
      <w:pPr>
        <w:rPr>
          <w:rFonts w:eastAsia="Times New Roman" w:cs="Times New Roman"/>
          <w:sz w:val="20"/>
          <w:szCs w:val="20"/>
          <w:lang w:eastAsia="it-IT"/>
        </w:rPr>
      </w:pPr>
      <w:r>
        <w:rPr>
          <w:rFonts w:eastAsia="Times New Roman" w:cs="Times New Roman"/>
          <w:sz w:val="20"/>
          <w:szCs w:val="20"/>
          <w:lang w:eastAsia="it-IT"/>
        </w:rPr>
        <w:br w:type="page"/>
      </w:r>
    </w:p>
    <w:tbl>
      <w:tblPr>
        <w:tblStyle w:val="Grigliatabella1"/>
        <w:tblW w:w="0" w:type="auto"/>
        <w:tblLook w:val="04A0" w:firstRow="1" w:lastRow="0" w:firstColumn="1" w:lastColumn="0" w:noHBand="0" w:noVBand="1"/>
      </w:tblPr>
      <w:tblGrid>
        <w:gridCol w:w="4742"/>
        <w:gridCol w:w="4733"/>
      </w:tblGrid>
      <w:tr w:rsidR="009C22FF" w:rsidRPr="009C22FF" w:rsidTr="006B1D90">
        <w:tc>
          <w:tcPr>
            <w:tcW w:w="9475"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lastRenderedPageBreak/>
              <w:t>Art. 252 cpv. 5 LT</w:t>
            </w:r>
          </w:p>
        </w:tc>
      </w:tr>
      <w:tr w:rsidR="009C22FF" w:rsidRPr="009C22FF" w:rsidTr="006B1D90">
        <w:tc>
          <w:tcPr>
            <w:tcW w:w="4742"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733"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6B1D90">
        <w:tc>
          <w:tcPr>
            <w:tcW w:w="4742" w:type="dxa"/>
          </w:tcPr>
          <w:p w:rsidR="009C22FF" w:rsidRPr="009C22FF" w:rsidRDefault="009C22FF" w:rsidP="009C22FF">
            <w:pPr>
              <w:spacing w:after="240"/>
              <w:jc w:val="both"/>
              <w:rPr>
                <w:sz w:val="20"/>
                <w:szCs w:val="20"/>
                <w:lang w:eastAsia="it-IT"/>
              </w:rPr>
            </w:pPr>
            <w:r w:rsidRPr="009C22FF">
              <w:rPr>
                <w:rFonts w:cs="Arial"/>
                <w:color w:val="000000"/>
                <w:sz w:val="20"/>
                <w:szCs w:val="20"/>
                <w:shd w:val="clear" w:color="auto" w:fill="FFFFFF"/>
              </w:rPr>
              <w:t>Le attestazioni vincolanti comprendono tutte le ipoteche legali costituite entro il 31 dicembre 2011.</w:t>
            </w:r>
          </w:p>
        </w:tc>
        <w:tc>
          <w:tcPr>
            <w:tcW w:w="4733" w:type="dxa"/>
          </w:tcPr>
          <w:p w:rsidR="009C22FF" w:rsidRPr="009C22FF" w:rsidRDefault="009C22FF" w:rsidP="009C22FF">
            <w:pPr>
              <w:spacing w:after="240"/>
              <w:jc w:val="both"/>
              <w:rPr>
                <w:sz w:val="20"/>
                <w:szCs w:val="20"/>
                <w:lang w:eastAsia="it-IT"/>
              </w:rPr>
            </w:pPr>
            <w:r w:rsidRPr="009C22FF">
              <w:rPr>
                <w:sz w:val="20"/>
                <w:szCs w:val="20"/>
                <w:lang w:eastAsia="it-IT"/>
              </w:rPr>
              <w:t>Norma abrogata.</w:t>
            </w:r>
          </w:p>
        </w:tc>
      </w:tr>
    </w:tbl>
    <w:p w:rsidR="009C22FF" w:rsidRPr="009C22FF" w:rsidRDefault="009C22FF" w:rsidP="009C22FF">
      <w:pPr>
        <w:jc w:val="left"/>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4740"/>
        <w:gridCol w:w="4735"/>
      </w:tblGrid>
      <w:tr w:rsidR="009C22FF" w:rsidRPr="009C22FF" w:rsidTr="009C22FF">
        <w:tc>
          <w:tcPr>
            <w:tcW w:w="9628"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t>Art. 253a cpv. 4 LT</w:t>
            </w:r>
          </w:p>
        </w:tc>
      </w:tr>
      <w:tr w:rsidR="009C22FF" w:rsidRPr="009C22FF" w:rsidTr="009C22FF">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F627BD">
        <w:tc>
          <w:tcPr>
            <w:tcW w:w="4814" w:type="dxa"/>
          </w:tcPr>
          <w:p w:rsidR="009C22FF" w:rsidRPr="009C22FF" w:rsidRDefault="009C22FF" w:rsidP="009C22FF">
            <w:pPr>
              <w:spacing w:after="240"/>
              <w:jc w:val="both"/>
              <w:rPr>
                <w:sz w:val="20"/>
                <w:szCs w:val="20"/>
                <w:lang w:eastAsia="it-IT"/>
              </w:rPr>
            </w:pPr>
            <w:r w:rsidRPr="009C22FF">
              <w:rPr>
                <w:rFonts w:cs="Arial"/>
                <w:color w:val="000000"/>
                <w:sz w:val="20"/>
                <w:szCs w:val="20"/>
                <w:shd w:val="clear" w:color="auto" w:fill="FFFFFF"/>
              </w:rPr>
              <w:t>Il pagamento del deposito o la prestazione di una garanzia sono liberatori per il terzo proprietario del pegno, ma non per il debitore d’imposta, per tutte le ipoteche legali costituite dopo il 1° gennaio 2012 fino alla data del trasferimento, che non erano iscritte nel registro fondiario, comprese quelle che non richiedono l’iscrizione nel registro fondiario.</w:t>
            </w:r>
          </w:p>
        </w:tc>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Il pagamento integrale del deposito o la prestazione di una garanzia sono liberatori per il terzo proprietario del pegno, ma non per il debitore d’imposta, per tutte le ipoteche legali non iscritte a registro fondiario, comprese quelle che non richiedono l’iscrizione nel registro fondiario.</w:t>
            </w:r>
          </w:p>
        </w:tc>
      </w:tr>
    </w:tbl>
    <w:p w:rsidR="009C22FF" w:rsidRPr="009C22FF" w:rsidRDefault="009C22FF" w:rsidP="009C22FF">
      <w:pPr>
        <w:jc w:val="left"/>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4742"/>
        <w:gridCol w:w="4733"/>
      </w:tblGrid>
      <w:tr w:rsidR="009C22FF" w:rsidRPr="009C22FF" w:rsidTr="009C22FF">
        <w:tc>
          <w:tcPr>
            <w:tcW w:w="9628"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t>Art. 254 cpv. 2 LT</w:t>
            </w:r>
          </w:p>
        </w:tc>
      </w:tr>
      <w:tr w:rsidR="009C22FF" w:rsidRPr="009C22FF" w:rsidTr="009C22FF">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F627BD">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Egli rende attente le parti che, fino al 31 dicembre 2021, le ipoteche legali costituite entro il 31 dicembre 2011 sono opponibili senza iscrizione a registro fondiario e comprendono anche le imposte non ancora scadute che hanno una relazione particolare con l’immobile.</w:t>
            </w:r>
          </w:p>
        </w:tc>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Norma abrogata.</w:t>
            </w:r>
          </w:p>
        </w:tc>
      </w:tr>
    </w:tbl>
    <w:p w:rsidR="009C22FF" w:rsidRPr="009C22FF" w:rsidRDefault="009C22FF" w:rsidP="009C22FF">
      <w:pPr>
        <w:jc w:val="left"/>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4738"/>
        <w:gridCol w:w="4737"/>
      </w:tblGrid>
      <w:tr w:rsidR="009C22FF" w:rsidRPr="009C22FF" w:rsidTr="009C22FF">
        <w:tc>
          <w:tcPr>
            <w:tcW w:w="9628"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t>Art. 254 cpv. 2bis LT</w:t>
            </w:r>
          </w:p>
        </w:tc>
      </w:tr>
      <w:tr w:rsidR="009C22FF" w:rsidRPr="009C22FF" w:rsidTr="009C22FF">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F627BD">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Il notaio rogante informa le parti sull’obbligo dell’alienante di versargli il deposito o di consegnare allo Stato una garanzia bancaria irrevocabile di cui all’articolo 253a capoverso 1, a garanzia delle ipoteche legali costituite dopo il 1° gennaio 2012, nonché sugli effetti in caso d’inosservanza.</w:t>
            </w:r>
          </w:p>
        </w:tc>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Il notaio rogante informa le parti sull’obbligo dell’alienante di versargli il deposito o di consegnare allo Stato una garanzia bancaria irrevocabile di cui all’articolo 253a capoverso 1, a garanzia delle ipoteche legali, nonché sugli effetti in caso d’inosservanza.</w:t>
            </w:r>
          </w:p>
        </w:tc>
      </w:tr>
    </w:tbl>
    <w:p w:rsidR="009C22FF" w:rsidRPr="009C22FF" w:rsidRDefault="009C22FF" w:rsidP="009C22FF">
      <w:pPr>
        <w:jc w:val="left"/>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4731"/>
        <w:gridCol w:w="4744"/>
      </w:tblGrid>
      <w:tr w:rsidR="009C22FF" w:rsidRPr="009C22FF" w:rsidTr="009C22FF">
        <w:tc>
          <w:tcPr>
            <w:tcW w:w="9628" w:type="dxa"/>
            <w:gridSpan w:val="2"/>
            <w:shd w:val="clear" w:color="auto" w:fill="BDD6EE"/>
          </w:tcPr>
          <w:p w:rsidR="009C22FF" w:rsidRPr="009C22FF" w:rsidRDefault="009C22FF" w:rsidP="009C22FF">
            <w:pPr>
              <w:rPr>
                <w:b/>
                <w:bCs/>
                <w:sz w:val="20"/>
                <w:szCs w:val="20"/>
                <w:lang w:eastAsia="it-IT"/>
              </w:rPr>
            </w:pPr>
            <w:r w:rsidRPr="009C22FF">
              <w:rPr>
                <w:b/>
                <w:bCs/>
                <w:sz w:val="20"/>
                <w:szCs w:val="20"/>
                <w:lang w:eastAsia="it-IT"/>
              </w:rPr>
              <w:t>Art. 277 cpv. 4 LT</w:t>
            </w:r>
          </w:p>
        </w:tc>
      </w:tr>
      <w:tr w:rsidR="009C22FF" w:rsidRPr="009C22FF" w:rsidTr="009C22FF">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lata</w:t>
            </w:r>
          </w:p>
        </w:tc>
        <w:tc>
          <w:tcPr>
            <w:tcW w:w="4814" w:type="dxa"/>
            <w:shd w:val="clear" w:color="auto" w:fill="BDD6EE"/>
          </w:tcPr>
          <w:p w:rsidR="009C22FF" w:rsidRPr="009C22FF" w:rsidRDefault="009C22FF" w:rsidP="009C22FF">
            <w:pPr>
              <w:rPr>
                <w:b/>
                <w:bCs/>
                <w:i/>
                <w:iCs/>
                <w:sz w:val="20"/>
                <w:szCs w:val="20"/>
                <w:lang w:eastAsia="it-IT"/>
              </w:rPr>
            </w:pPr>
            <w:r w:rsidRPr="009C22FF">
              <w:rPr>
                <w:b/>
                <w:bCs/>
                <w:i/>
                <w:iCs/>
                <w:sz w:val="20"/>
                <w:szCs w:val="20"/>
                <w:lang w:eastAsia="it-IT"/>
              </w:rPr>
              <w:t xml:space="preserve">De </w:t>
            </w:r>
            <w:proofErr w:type="spellStart"/>
            <w:r w:rsidRPr="009C22FF">
              <w:rPr>
                <w:b/>
                <w:bCs/>
                <w:i/>
                <w:iCs/>
                <w:sz w:val="20"/>
                <w:szCs w:val="20"/>
                <w:lang w:eastAsia="it-IT"/>
              </w:rPr>
              <w:t>lege</w:t>
            </w:r>
            <w:proofErr w:type="spellEnd"/>
            <w:r w:rsidRPr="009C22FF">
              <w:rPr>
                <w:b/>
                <w:bCs/>
                <w:i/>
                <w:iCs/>
                <w:sz w:val="20"/>
                <w:szCs w:val="20"/>
                <w:lang w:eastAsia="it-IT"/>
              </w:rPr>
              <w:t xml:space="preserve"> </w:t>
            </w:r>
            <w:proofErr w:type="spellStart"/>
            <w:r w:rsidRPr="009C22FF">
              <w:rPr>
                <w:b/>
                <w:bCs/>
                <w:i/>
                <w:iCs/>
                <w:sz w:val="20"/>
                <w:szCs w:val="20"/>
                <w:lang w:eastAsia="it-IT"/>
              </w:rPr>
              <w:t>ferenda</w:t>
            </w:r>
            <w:proofErr w:type="spellEnd"/>
          </w:p>
        </w:tc>
      </w:tr>
      <w:tr w:rsidR="009C22FF" w:rsidRPr="009C22FF" w:rsidTr="00F627BD">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Per le imposte annue intere degli articoli 36, 37c e 38 sono determinanti il domicilio o la dimora fiscali al momento del conseguimento del provento, rispettivamente al momento dell’investimento nella società di capitali o cooperativa innovativa. L’imposta annua intera dell’articolo 308a capoverso 2 è dovuta nel Comune di situazione degli immobili.</w:t>
            </w:r>
          </w:p>
        </w:tc>
        <w:tc>
          <w:tcPr>
            <w:tcW w:w="4814" w:type="dxa"/>
          </w:tcPr>
          <w:p w:rsidR="009C22FF" w:rsidRPr="009C22FF" w:rsidRDefault="009C22FF" w:rsidP="009C22FF">
            <w:pPr>
              <w:spacing w:after="240"/>
              <w:jc w:val="both"/>
              <w:rPr>
                <w:sz w:val="20"/>
                <w:szCs w:val="20"/>
                <w:lang w:eastAsia="it-IT"/>
              </w:rPr>
            </w:pPr>
            <w:r w:rsidRPr="009C22FF">
              <w:rPr>
                <w:sz w:val="20"/>
                <w:szCs w:val="20"/>
                <w:lang w:eastAsia="it-IT"/>
              </w:rPr>
              <w:t>Per le imposte annue intere degli articoli 36 e 38 sono determinanti il domicilio o la dimora fiscali al momento del conseguimento del provento. L’imposta annua intera dell’articolo 308a capoverso 2 è dovuta nel Comune di situazione degli immobili. L’imposta annua intera dell’art. 37c è dovuta nel Comune di domicilio o dimora fiscali alla fine del periodo fiscale o dell’assoggettamento.</w:t>
            </w:r>
          </w:p>
        </w:tc>
      </w:tr>
    </w:tbl>
    <w:p w:rsidR="009C22FF" w:rsidRPr="009C22FF" w:rsidRDefault="009C22FF" w:rsidP="009C22FF">
      <w:pPr>
        <w:rPr>
          <w:rFonts w:eastAsia="Calibri" w:cs="Times New Roman"/>
          <w:sz w:val="24"/>
          <w:lang w:eastAsia="it-IT"/>
        </w:rPr>
      </w:pPr>
    </w:p>
    <w:p w:rsidR="006B1D90" w:rsidRDefault="006B1D90">
      <w:pPr>
        <w:rPr>
          <w:rFonts w:eastAsia="Calibri" w:cs="Times New Roman"/>
          <w:sz w:val="24"/>
          <w:lang w:eastAsia="it-IT"/>
        </w:rPr>
      </w:pPr>
      <w:r>
        <w:rPr>
          <w:rFonts w:eastAsia="Calibri" w:cs="Times New Roman"/>
          <w:sz w:val="24"/>
          <w:lang w:eastAsia="it-IT"/>
        </w:rPr>
        <w:br w:type="page"/>
      </w:r>
    </w:p>
    <w:p w:rsidR="009C22FF" w:rsidRPr="009C22FF" w:rsidRDefault="009C22FF" w:rsidP="006B1D90">
      <w:pPr>
        <w:pStyle w:val="Titolo1"/>
        <w:tabs>
          <w:tab w:val="left" w:pos="567"/>
        </w:tabs>
        <w:spacing w:before="0"/>
        <w:ind w:left="567" w:hanging="567"/>
        <w:jc w:val="both"/>
        <w:rPr>
          <w:rFonts w:eastAsia="Calibri" w:cs="Times New Roman"/>
          <w:caps/>
          <w:sz w:val="24"/>
          <w:szCs w:val="24"/>
          <w:lang w:val="it-IT" w:eastAsia="it-IT"/>
        </w:rPr>
      </w:pPr>
      <w:r w:rsidRPr="009C22FF">
        <w:rPr>
          <w:rFonts w:eastAsia="Calibri" w:cs="Times New Roman"/>
          <w:caps/>
          <w:sz w:val="24"/>
          <w:szCs w:val="24"/>
          <w:lang w:val="it-IT" w:eastAsia="it-IT"/>
        </w:rPr>
        <w:lastRenderedPageBreak/>
        <w:t>III.</w:t>
      </w:r>
      <w:r w:rsidRPr="009C22FF">
        <w:rPr>
          <w:rFonts w:eastAsia="Calibri" w:cs="Times New Roman"/>
          <w:caps/>
          <w:sz w:val="24"/>
          <w:szCs w:val="24"/>
          <w:lang w:val="it-IT" w:eastAsia="it-IT"/>
        </w:rPr>
        <w:tab/>
        <w:t>CONCLUSIONI</w:t>
      </w:r>
    </w:p>
    <w:p w:rsidR="009C22FF" w:rsidRPr="009C22FF" w:rsidRDefault="009C22FF" w:rsidP="009C22FF">
      <w:pPr>
        <w:keepNext/>
        <w:tabs>
          <w:tab w:val="left" w:pos="709"/>
        </w:tabs>
        <w:spacing w:before="120"/>
        <w:outlineLvl w:val="3"/>
        <w:rPr>
          <w:rFonts w:eastAsia="Times New Roman" w:cs="Arial"/>
          <w:sz w:val="24"/>
          <w:szCs w:val="24"/>
          <w:lang w:eastAsia="it-IT"/>
        </w:rPr>
      </w:pPr>
      <w:r w:rsidRPr="009C22FF">
        <w:rPr>
          <w:rFonts w:eastAsia="Times New Roman" w:cs="Arial"/>
          <w:sz w:val="24"/>
          <w:szCs w:val="24"/>
          <w:lang w:eastAsia="it-IT"/>
        </w:rPr>
        <w:t>Tutto ciò premesso, la Commissione gestione e finanze invita il Gran Consiglio ad approvare il disegno di decreto legislativo annesso al messaggio.</w:t>
      </w:r>
    </w:p>
    <w:p w:rsidR="009C22FF" w:rsidRPr="009C22FF" w:rsidRDefault="009C22FF" w:rsidP="009C22FF">
      <w:pPr>
        <w:rPr>
          <w:rFonts w:eastAsia="Times New Roman" w:cs="Times New Roman"/>
          <w:sz w:val="24"/>
          <w:szCs w:val="20"/>
          <w:lang w:eastAsia="it-IT"/>
        </w:rPr>
      </w:pPr>
    </w:p>
    <w:p w:rsidR="009C22FF" w:rsidRPr="009C22FF" w:rsidRDefault="009C22FF" w:rsidP="009C22FF">
      <w:pPr>
        <w:rPr>
          <w:rFonts w:eastAsia="Times New Roman" w:cs="Times New Roman"/>
          <w:sz w:val="24"/>
          <w:szCs w:val="20"/>
          <w:lang w:eastAsia="it-IT"/>
        </w:rPr>
      </w:pPr>
    </w:p>
    <w:p w:rsidR="009C22FF" w:rsidRPr="009C22FF" w:rsidRDefault="009C22FF" w:rsidP="009C22FF">
      <w:pPr>
        <w:spacing w:after="120"/>
        <w:rPr>
          <w:rFonts w:eastAsia="Calibri" w:cs="Arial"/>
          <w:sz w:val="24"/>
          <w:szCs w:val="24"/>
        </w:rPr>
      </w:pPr>
      <w:r w:rsidRPr="009C22FF">
        <w:rPr>
          <w:rFonts w:eastAsia="Calibri" w:cs="Arial"/>
          <w:sz w:val="24"/>
          <w:szCs w:val="24"/>
        </w:rPr>
        <w:t>Per la Commissione gestione e finanze:</w:t>
      </w:r>
    </w:p>
    <w:p w:rsidR="009C22FF" w:rsidRPr="009C22FF" w:rsidRDefault="009C22FF" w:rsidP="009C22FF">
      <w:pPr>
        <w:rPr>
          <w:rFonts w:eastAsia="Calibri" w:cs="Arial"/>
          <w:sz w:val="24"/>
          <w:szCs w:val="24"/>
        </w:rPr>
      </w:pPr>
      <w:r w:rsidRPr="009C22FF">
        <w:rPr>
          <w:rFonts w:eastAsia="Calibri" w:cs="Arial"/>
          <w:sz w:val="24"/>
          <w:szCs w:val="24"/>
        </w:rPr>
        <w:t>Paolo Pamini, relatore</w:t>
      </w:r>
    </w:p>
    <w:p w:rsidR="00EC2CF7" w:rsidRPr="00EC2CF7" w:rsidRDefault="00EC2CF7" w:rsidP="00EC2CF7">
      <w:pPr>
        <w:rPr>
          <w:rFonts w:eastAsia="Times New Roman" w:cs="Arial"/>
          <w:sz w:val="24"/>
          <w:szCs w:val="20"/>
          <w:lang w:val="it-IT" w:eastAsia="it-IT"/>
        </w:rPr>
      </w:pPr>
      <w:bookmarkStart w:id="1" w:name="OLE_LINK1"/>
      <w:bookmarkStart w:id="2" w:name="OLE_LINK2"/>
      <w:r w:rsidRPr="00EC2CF7">
        <w:rPr>
          <w:rFonts w:eastAsia="Times New Roman" w:cs="Arial"/>
          <w:sz w:val="24"/>
          <w:szCs w:val="20"/>
          <w:lang w:val="it-IT" w:eastAsia="it-IT"/>
        </w:rPr>
        <w:t xml:space="preserve">Agustoni - Balli - Bignasca - Biscossa - </w:t>
      </w:r>
    </w:p>
    <w:p w:rsidR="00EC2CF7" w:rsidRDefault="00EC2CF7" w:rsidP="00EC2CF7">
      <w:pPr>
        <w:rPr>
          <w:rFonts w:eastAsia="Times New Roman" w:cs="Arial"/>
          <w:sz w:val="24"/>
          <w:szCs w:val="20"/>
          <w:lang w:val="it-IT" w:eastAsia="it-IT"/>
        </w:rPr>
      </w:pPr>
      <w:r w:rsidRPr="00EC2CF7">
        <w:rPr>
          <w:rFonts w:eastAsia="Times New Roman" w:cs="Arial"/>
          <w:sz w:val="24"/>
          <w:szCs w:val="20"/>
          <w:lang w:val="it-IT" w:eastAsia="it-IT"/>
        </w:rPr>
        <w:t xml:space="preserve">Bourgoin - Caprara - Dadò - Durisch - Gianella Alessandra </w:t>
      </w:r>
      <w:r>
        <w:rPr>
          <w:rFonts w:eastAsia="Times New Roman" w:cs="Arial"/>
          <w:sz w:val="24"/>
          <w:szCs w:val="20"/>
          <w:lang w:val="it-IT" w:eastAsia="it-IT"/>
        </w:rPr>
        <w:t>-</w:t>
      </w:r>
      <w:r w:rsidRPr="00EC2CF7">
        <w:rPr>
          <w:rFonts w:eastAsia="Times New Roman" w:cs="Arial"/>
          <w:sz w:val="24"/>
          <w:szCs w:val="20"/>
          <w:lang w:val="it-IT" w:eastAsia="it-IT"/>
        </w:rPr>
        <w:t xml:space="preserve"> </w:t>
      </w:r>
    </w:p>
    <w:p w:rsidR="00EC2CF7" w:rsidRPr="00EC2CF7" w:rsidRDefault="00EC2CF7" w:rsidP="00EC2CF7">
      <w:pPr>
        <w:rPr>
          <w:rFonts w:eastAsia="Times New Roman" w:cs="Arial"/>
          <w:sz w:val="24"/>
          <w:szCs w:val="20"/>
          <w:lang w:val="it-IT" w:eastAsia="it-IT"/>
        </w:rPr>
      </w:pPr>
      <w:r w:rsidRPr="00EC2CF7">
        <w:rPr>
          <w:rFonts w:eastAsia="Times New Roman" w:cs="Arial"/>
          <w:sz w:val="24"/>
          <w:szCs w:val="20"/>
          <w:lang w:val="it-IT" w:eastAsia="it-IT"/>
        </w:rPr>
        <w:t xml:space="preserve">Guerra - Jelmini - Pini - Quadranti </w:t>
      </w:r>
      <w:bookmarkEnd w:id="1"/>
      <w:bookmarkEnd w:id="2"/>
      <w:r w:rsidRPr="00EC2CF7">
        <w:rPr>
          <w:rFonts w:eastAsia="Times New Roman" w:cs="Arial"/>
          <w:sz w:val="24"/>
          <w:szCs w:val="20"/>
          <w:lang w:val="it-IT" w:eastAsia="it-IT"/>
        </w:rPr>
        <w:t xml:space="preserve">- Sirica </w:t>
      </w:r>
    </w:p>
    <w:p w:rsidR="009C22FF" w:rsidRPr="009C22FF" w:rsidRDefault="009C22FF" w:rsidP="009C22FF">
      <w:pPr>
        <w:tabs>
          <w:tab w:val="left" w:pos="284"/>
        </w:tabs>
        <w:rPr>
          <w:rFonts w:eastAsia="Calibri" w:cs="Times New Roman"/>
          <w:sz w:val="24"/>
        </w:rPr>
      </w:pPr>
    </w:p>
    <w:p w:rsidR="00D649A8" w:rsidRPr="009C22FF" w:rsidRDefault="00D649A8" w:rsidP="00D33940">
      <w:pPr>
        <w:pStyle w:val="StandardRisoluzionedelConsigliodiStato"/>
        <w:ind w:right="-1"/>
      </w:pPr>
    </w:p>
    <w:p w:rsidR="00D649A8" w:rsidRPr="009C22FF" w:rsidRDefault="00D649A8" w:rsidP="00D33940">
      <w:pPr>
        <w:pStyle w:val="StandardRisoluzionedelConsigliodiStato"/>
        <w:ind w:right="-1"/>
      </w:pPr>
    </w:p>
    <w:sectPr w:rsidR="00D649A8" w:rsidRPr="009C22FF"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FF" w:rsidRDefault="009C22FF" w:rsidP="00F657BF">
      <w:r>
        <w:separator/>
      </w:r>
    </w:p>
  </w:endnote>
  <w:endnote w:type="continuationSeparator" w:id="0">
    <w:p w:rsidR="009C22FF" w:rsidRDefault="009C22F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1B6F6C" w:rsidP="00912E34">
          <w:pPr>
            <w:tabs>
              <w:tab w:val="center" w:pos="2382"/>
            </w:tabs>
          </w:pPr>
        </w:p>
      </w:tc>
      <w:tc>
        <w:tcPr>
          <w:tcW w:w="721" w:type="dxa"/>
        </w:tcPr>
        <w:p w:rsidR="00912E34" w:rsidRPr="003D1008" w:rsidRDefault="001B6F6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1B6F6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1B6F6C"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1B6F6C">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FF" w:rsidRDefault="009C22FF" w:rsidP="00F657BF">
      <w:r>
        <w:separator/>
      </w:r>
    </w:p>
  </w:footnote>
  <w:footnote w:type="continuationSeparator" w:id="0">
    <w:p w:rsidR="009C22FF" w:rsidRDefault="009C22FF"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4F915526-2CA7-4BD8-B947-8A3CECBF2B85}"/>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5C4A5C"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1B6F6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C7B21">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C7B21">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F915526-2CA7-4BD8-B947-8A3CECBF2B85}"/>
          <w:text w:multiLine="1"/>
        </w:sdtPr>
        <w:sdtEndPr/>
        <w:sdtContent>
          <w:tc>
            <w:tcPr>
              <w:tcW w:w="8383" w:type="dxa"/>
              <w:tcBorders>
                <w:left w:val="single" w:sz="4" w:space="0" w:color="auto"/>
              </w:tcBorders>
              <w:tcMar>
                <w:top w:w="0" w:type="dxa"/>
                <w:left w:w="142" w:type="dxa"/>
              </w:tcMar>
            </w:tcPr>
            <w:p w:rsidR="005012EC" w:rsidRPr="009C22FF" w:rsidRDefault="005C4A5C"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8183 R del 4 ottobre 2022</w:t>
              </w:r>
            </w:p>
          </w:tc>
        </w:sdtContent>
      </w:sdt>
      <w:tc>
        <w:tcPr>
          <w:tcW w:w="1710" w:type="dxa"/>
          <w:tcBorders>
            <w:top w:val="single" w:sz="4" w:space="0" w:color="auto"/>
          </w:tcBorders>
        </w:tcPr>
        <w:p w:rsidR="005012EC" w:rsidRPr="009C22FF" w:rsidRDefault="001B6F6C" w:rsidP="00662409">
          <w:pPr>
            <w:pStyle w:val="InvisibleLine"/>
            <w:rPr>
              <w:lang w:val="it-CH"/>
            </w:rPr>
          </w:pPr>
        </w:p>
      </w:tc>
    </w:tr>
  </w:tbl>
  <w:p w:rsidR="00F657BF" w:rsidRPr="00980362" w:rsidRDefault="001B6F6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F915526-2CA7-4BD8-B947-8A3CECBF2B85}"/>
                            <w:text w:multiLine="1"/>
                          </w:sdtPr>
                          <w:sdtEndPr/>
                          <w:sdtContent>
                            <w:p w:rsidR="008065E8" w:rsidRPr="00411371" w:rsidRDefault="001B6F6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F915526-2CA7-4BD8-B947-8A3CECBF2B85}"/>
                      <w:text w:multiLine="1"/>
                    </w:sdtPr>
                    <w:sdtEndPr/>
                    <w:sdtContent>
                      <w:p w:rsidR="008065E8" w:rsidRPr="00411371" w:rsidRDefault="001B6F6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1B6F6C" w:rsidP="00D07D6E">
          <w:pPr>
            <w:pStyle w:val="InvisibleLine"/>
            <w:ind w:left="150"/>
            <w:rPr>
              <w:sz w:val="16"/>
            </w:rPr>
          </w:pPr>
        </w:p>
      </w:tc>
      <w:tc>
        <w:tcPr>
          <w:tcW w:w="373" w:type="pct"/>
          <w:tcBorders>
            <w:top w:val="nil"/>
            <w:bottom w:val="single" w:sz="4" w:space="0" w:color="auto"/>
          </w:tcBorders>
          <w:vAlign w:val="bottom"/>
        </w:tcPr>
        <w:p w:rsidR="00662409" w:rsidRPr="003108C0" w:rsidRDefault="001B6F6C" w:rsidP="00D07D6E">
          <w:pPr>
            <w:pStyle w:val="Level"/>
            <w:ind w:left="150"/>
            <w:rPr>
              <w:sz w:val="16"/>
            </w:rPr>
          </w:pPr>
        </w:p>
      </w:tc>
      <w:tc>
        <w:tcPr>
          <w:tcW w:w="209" w:type="pct"/>
          <w:tcBorders>
            <w:top w:val="nil"/>
            <w:bottom w:val="single" w:sz="4" w:space="0" w:color="auto"/>
          </w:tcBorders>
        </w:tcPr>
        <w:p w:rsidR="00662409" w:rsidRDefault="001B6F6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95554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9C22FF" w:rsidRDefault="001B6F6C" w:rsidP="00D07D6E">
          <w:pPr>
            <w:pStyle w:val="HeaderDecisione"/>
            <w:spacing w:after="60"/>
            <w:ind w:left="150"/>
            <w:jc w:val="right"/>
            <w:rPr>
              <w:rFonts w:ascii="Calibri" w:hAnsi="Calibri" w:cs="Calibri"/>
              <w:sz w:val="24"/>
            </w:rPr>
          </w:pPr>
          <w:r w:rsidRPr="009C22FF">
            <w:rPr>
              <w:rFonts w:ascii="Calibri" w:hAnsi="Calibri" w:cs="Calibri"/>
              <w:sz w:val="24"/>
            </w:rPr>
            <w:fldChar w:fldCharType="begin"/>
          </w:r>
          <w:r w:rsidRPr="009C22FF">
            <w:rPr>
              <w:rFonts w:ascii="Calibri" w:hAnsi="Calibri" w:cs="Calibri"/>
              <w:sz w:val="24"/>
            </w:rPr>
            <w:instrText xml:space="preserve"> PAGE   \* MERGEFORMAT </w:instrText>
          </w:r>
          <w:r w:rsidRPr="009C22FF">
            <w:rPr>
              <w:rFonts w:ascii="Calibri" w:hAnsi="Calibri" w:cs="Calibri"/>
              <w:sz w:val="24"/>
            </w:rPr>
            <w:fldChar w:fldCharType="separate"/>
          </w:r>
          <w:r w:rsidR="00DE1037">
            <w:rPr>
              <w:rFonts w:ascii="Calibri" w:hAnsi="Calibri" w:cs="Calibri"/>
              <w:noProof/>
              <w:sz w:val="24"/>
            </w:rPr>
            <w:t>1</w:t>
          </w:r>
          <w:r w:rsidRPr="009C22FF">
            <w:rPr>
              <w:rFonts w:ascii="Calibri" w:hAnsi="Calibri" w:cs="Calibri"/>
              <w:sz w:val="24"/>
            </w:rPr>
            <w:fldChar w:fldCharType="end"/>
          </w:r>
          <w:r w:rsidRPr="009C22FF">
            <w:rPr>
              <w:rFonts w:ascii="Calibri" w:hAnsi="Calibri" w:cs="Calibri"/>
              <w:sz w:val="24"/>
            </w:rPr>
            <w:t xml:space="preserve"> di </w:t>
          </w:r>
          <w:r w:rsidRPr="009C22FF">
            <w:rPr>
              <w:rFonts w:ascii="Calibri" w:hAnsi="Calibri" w:cs="Calibri"/>
              <w:sz w:val="24"/>
            </w:rPr>
            <w:fldChar w:fldCharType="begin"/>
          </w:r>
          <w:r w:rsidRPr="009C22FF">
            <w:rPr>
              <w:rFonts w:ascii="Calibri" w:hAnsi="Calibri" w:cs="Calibri"/>
              <w:sz w:val="24"/>
            </w:rPr>
            <w:instrText xml:space="preserve"> NUMPAGES   \* MERGEFORMAT </w:instrText>
          </w:r>
          <w:r w:rsidRPr="009C22FF">
            <w:rPr>
              <w:rFonts w:ascii="Calibri" w:hAnsi="Calibri" w:cs="Calibri"/>
              <w:sz w:val="24"/>
            </w:rPr>
            <w:fldChar w:fldCharType="separate"/>
          </w:r>
          <w:r w:rsidR="00DE1037">
            <w:rPr>
              <w:rFonts w:ascii="Calibri" w:hAnsi="Calibri" w:cs="Calibri"/>
              <w:noProof/>
              <w:sz w:val="24"/>
            </w:rPr>
            <w:t>6</w:t>
          </w:r>
          <w:r w:rsidRPr="009C22FF">
            <w:rPr>
              <w:rFonts w:ascii="Calibri" w:hAnsi="Calibri" w:cs="Calibr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F915526-2CA7-4BD8-B947-8A3CECBF2B85}"/>
          <w:text w:multiLine="1"/>
        </w:sdtPr>
        <w:sdtEndPr/>
        <w:sdtContent>
          <w:tc>
            <w:tcPr>
              <w:tcW w:w="5000" w:type="pct"/>
              <w:gridSpan w:val="6"/>
              <w:tcBorders>
                <w:left w:val="nil"/>
                <w:right w:val="nil"/>
              </w:tcBorders>
              <w:noWrap/>
              <w:tcMar>
                <w:top w:w="0" w:type="dxa"/>
              </w:tcMar>
              <w:vAlign w:val="bottom"/>
            </w:tcPr>
            <w:p w:rsidR="00662409" w:rsidRPr="008C03B5" w:rsidRDefault="005C4A5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1B6F6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1B6F6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1B6F6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1B6F6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1B6F6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1B6F6C"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9C22FF" w:rsidRDefault="001B6F6C" w:rsidP="00A532F6">
          <w:pPr>
            <w:pStyle w:val="InvisibleLine"/>
            <w:spacing w:line="280" w:lineRule="exact"/>
            <w:rPr>
              <w:rFonts w:cs="Calibri"/>
              <w:b/>
              <w:sz w:val="28"/>
              <w:szCs w:val="28"/>
            </w:rPr>
          </w:pPr>
          <w:sdt>
            <w:sdtPr>
              <w:rPr>
                <w:rFonts w:cs="Calibri"/>
                <w:b/>
                <w:sz w:val="24"/>
                <w:szCs w:val="24"/>
              </w:rPr>
              <w:alias w:val="DocParam.Number"/>
              <w:id w:val="614175640"/>
              <w:dataBinding w:xpath="//Text[@id='DocParam.Number']" w:storeItemID="{4F915526-2CA7-4BD8-B947-8A3CECBF2B85}"/>
              <w:text w:multiLine="1"/>
            </w:sdtPr>
            <w:sdtEndPr>
              <w:rPr>
                <w:rFonts w:cstheme="minorBidi"/>
              </w:rPr>
            </w:sdtEndPr>
            <w:sdtContent>
              <w:r w:rsidR="005C4A5C" w:rsidRPr="009C22FF">
                <w:rPr>
                  <w:b/>
                  <w:sz w:val="24"/>
                  <w:szCs w:val="24"/>
                </w:rPr>
                <w:t>8183 R</w:t>
              </w:r>
            </w:sdtContent>
          </w:sdt>
        </w:p>
      </w:tc>
      <w:sdt>
        <w:sdtPr>
          <w:rPr>
            <w:sz w:val="24"/>
          </w:rPr>
          <w:alias w:val="DocParam.Date"/>
          <w:id w:val="-464426178"/>
          <w:dataBinding w:xpath="//DateTime[@id='DocParam.Date']" w:storeItemID="{4F915526-2CA7-4BD8-B947-8A3CECBF2B85}"/>
          <w:date w:fullDate="2022-10-04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5C4A5C" w:rsidP="00A532F6">
              <w:pPr>
                <w:pStyle w:val="Data"/>
              </w:pPr>
              <w:r>
                <w:rPr>
                  <w:sz w:val="24"/>
                </w:rPr>
                <w:t>4 ottobre 2022</w:t>
              </w:r>
            </w:p>
          </w:tc>
        </w:sdtContent>
      </w:sdt>
      <w:tc>
        <w:tcPr>
          <w:tcW w:w="3218" w:type="pct"/>
          <w:gridSpan w:val="4"/>
          <w:tcBorders>
            <w:top w:val="nil"/>
            <w:left w:val="nil"/>
            <w:bottom w:val="nil"/>
            <w:right w:val="nil"/>
          </w:tcBorders>
        </w:tcPr>
        <w:p w:rsidR="008C03B5" w:rsidRPr="009C22FF" w:rsidRDefault="001B6F6C"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4F915526-2CA7-4BD8-B947-8A3CECBF2B85}"/>
              <w:text w:multiLine="1"/>
            </w:sdtPr>
            <w:sdtEndPr/>
            <w:sdtContent>
              <w:r w:rsidR="005C4A5C">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1B6F6C" w:rsidP="00D07D6E">
          <w:pPr>
            <w:pStyle w:val="Level"/>
            <w:ind w:left="150"/>
            <w:rPr>
              <w:rFonts w:ascii="Gill Alt One MT Light" w:hAnsi="Gill Alt One MT Light"/>
              <w:sz w:val="16"/>
              <w:szCs w:val="16"/>
            </w:rPr>
          </w:pPr>
        </w:p>
      </w:tc>
    </w:tr>
  </w:tbl>
  <w:p w:rsidR="00F657BF" w:rsidRPr="00DA2879" w:rsidRDefault="001B6F6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242449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F915526-2CA7-4BD8-B947-8A3CECBF2B85}"/>
                            <w:text w:multiLine="1"/>
                          </w:sdtPr>
                          <w:sdtEndPr/>
                          <w:sdtContent>
                            <w:p w:rsidR="00E93620" w:rsidRPr="00411371" w:rsidRDefault="001B6F6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F915526-2CA7-4BD8-B947-8A3CECBF2B85}"/>
                      <w:text w:multiLine="1"/>
                    </w:sdtPr>
                    <w:sdtEndPr/>
                    <w:sdtContent>
                      <w:p w:rsidR="00E93620" w:rsidRPr="00411371" w:rsidRDefault="001B6F6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9D61573"/>
    <w:multiLevelType w:val="hybridMultilevel"/>
    <w:tmpl w:val="9E26971C"/>
    <w:lvl w:ilvl="0" w:tplc="AC640FF8">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FF"/>
    <w:rsid w:val="00010749"/>
    <w:rsid w:val="00120E92"/>
    <w:rsid w:val="00173889"/>
    <w:rsid w:val="001B6F6C"/>
    <w:rsid w:val="00236219"/>
    <w:rsid w:val="002B5D9F"/>
    <w:rsid w:val="00351F03"/>
    <w:rsid w:val="003B756D"/>
    <w:rsid w:val="00403ADB"/>
    <w:rsid w:val="00521441"/>
    <w:rsid w:val="00572FD3"/>
    <w:rsid w:val="005C4A5C"/>
    <w:rsid w:val="005C6852"/>
    <w:rsid w:val="00650B07"/>
    <w:rsid w:val="006B1D90"/>
    <w:rsid w:val="00702489"/>
    <w:rsid w:val="00783404"/>
    <w:rsid w:val="00853B2A"/>
    <w:rsid w:val="008720C4"/>
    <w:rsid w:val="008B7C8F"/>
    <w:rsid w:val="008E3181"/>
    <w:rsid w:val="008F52AF"/>
    <w:rsid w:val="009C22FF"/>
    <w:rsid w:val="009C5E5A"/>
    <w:rsid w:val="00AF0268"/>
    <w:rsid w:val="00B15EF1"/>
    <w:rsid w:val="00B5015F"/>
    <w:rsid w:val="00B51E19"/>
    <w:rsid w:val="00BA5457"/>
    <w:rsid w:val="00BF0A1F"/>
    <w:rsid w:val="00D33940"/>
    <w:rsid w:val="00D600FD"/>
    <w:rsid w:val="00D649A8"/>
    <w:rsid w:val="00DE1037"/>
    <w:rsid w:val="00EB088A"/>
    <w:rsid w:val="00EC2CF7"/>
    <w:rsid w:val="00EC7B21"/>
    <w:rsid w:val="00EF7B1E"/>
    <w:rsid w:val="00F657BF"/>
    <w:rsid w:val="00F7439A"/>
    <w:rsid w:val="00FE50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16AB4"/>
  <w15:docId w15:val="{1A880014-0020-4021-9887-9BF07C1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Stile1">
    <w:name w:val="Stile1"/>
    <w:uiPriority w:val="99"/>
    <w:rsid w:val="009C22FF"/>
    <w:pPr>
      <w:numPr>
        <w:numId w:val="18"/>
      </w:numPr>
    </w:pPr>
  </w:style>
  <w:style w:type="table" w:customStyle="1" w:styleId="Grigliatabella1">
    <w:name w:val="Griglia tabella1"/>
    <w:basedOn w:val="Tabellanormale"/>
    <w:next w:val="Grigliatabella"/>
    <w:uiPriority w:val="59"/>
    <w:rsid w:val="009C22FF"/>
    <w:pPr>
      <w:jc w:val="left"/>
    </w:pPr>
    <w:rPr>
      <w:rFonts w:ascii="Calibri" w:eastAsia="Calibri" w:hAnsi="Calibri" w:cs="Times New Roman"/>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9C2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E10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1037"/>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591399767">
      <w:bodyDiv w:val="1"/>
      <w:marLeft w:val="0"/>
      <w:marRight w:val="0"/>
      <w:marTop w:val="0"/>
      <w:marBottom w:val="0"/>
      <w:divBdr>
        <w:top w:val="none" w:sz="0" w:space="0" w:color="auto"/>
        <w:left w:val="none" w:sz="0" w:space="0" w:color="auto"/>
        <w:bottom w:val="none" w:sz="0" w:space="0" w:color="auto"/>
        <w:right w:val="none" w:sz="0" w:space="0" w:color="auto"/>
      </w:divBdr>
    </w:div>
    <w:div w:id="9353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3041c6bf-11f3-4087-a5eb-4a004001d75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955543348</Id>
      <Width>0</Width>
      <Height>0</Height>
      <XPath>//Image[@id='Profile.Org.WappenSW']</XPath>
      <ImageHash>02f1c0cdac6aeac316213b2e7cb733a0</ImageHash>
    </ImageSizeDefinition>
    <ImageSizeDefinition>
      <Id>1242449165</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d b c e f b 5 d - a 7 e f - 4 2 9 c - 8 7 0 6 - 4 e 6 7 4 f a e 7 9 8 9 "   t I d = " a 3 6 2 a 5 d 4 - 9 5 8 9 - 4 1 b f - a 4 e 6 - 4 f 8 7 c 4 e 4 1 2 3 9 "   i n t e r n a l T I d = " 9 0 6 4 c c 7 f - 3 1 6 d - 4 6 b 1 - a 4 a c - 7 4 8 6 0 c 3 f 8 a 5 b "   m t I d = " 2 7 5 a f 3 2 e - b c 4 0 - 4 5 c 2 - 8 5 b 7 - a f b 1 c 0 3 8 2 6 5 3 "   r e v i s i o n = " 0 "   c r e a t e d m a j o r v e r s i o n = " 0 "   c r e a t e d m i n o r v e r s i o n = " 0 "   c r e a t e d = " 2 0 2 2 - 1 0 - 0 4 T 1 2 : 0 6 : 3 9 . 9 0 3 3 5 8 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 2 0 2 2 - 1 0 - 0 4 T 0 0 : 0 0 : 0 0 Z < / D a t e T i m e >  
                 < T e x t   i d = " D o c P a r a m . N u m b e r " > < ! [ C D A T A [ 8 1 8 3 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n .   8 1 8 3   R   d e l   0 4   o t t o b r e   2 0 2 2 ] ] > < / 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1 8 3   R   d e l   4   o t t o 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F5B97B52-C446-4670-A5B7-2395DF65DA8E}">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4F915526-2CA7-4BD8-B947-8A3CECBF2B85}">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3041c6bf-11f3-4087-a5eb-4a004001d756.dotx</Template>
  <TotalTime>23</TotalTime>
  <Pages>6</Pages>
  <Words>1913</Words>
  <Characters>10793</Characters>
  <Application>Microsoft Office Word</Application>
  <DocSecurity>0</DocSecurity>
  <Lines>186</Lines>
  <Paragraphs>44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26</cp:revision>
  <cp:lastPrinted>2022-10-04T12:21:00Z</cp:lastPrinted>
  <dcterms:created xsi:type="dcterms:W3CDTF">2022-10-04T12:06:00Z</dcterms:created>
  <dcterms:modified xsi:type="dcterms:W3CDTF">2022-10-04T12:30:00Z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