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5F" w:rsidRDefault="003F635F" w:rsidP="003F635F">
      <w:pPr>
        <w:spacing w:after="0" w:line="240" w:lineRule="auto"/>
        <w:jc w:val="both"/>
        <w:rPr>
          <w:rFonts w:ascii="Arial" w:eastAsia="Calibri" w:hAnsi="Arial" w:cs="Arial"/>
          <w:b/>
          <w:sz w:val="28"/>
          <w:szCs w:val="28"/>
        </w:rPr>
      </w:pPr>
      <w:bookmarkStart w:id="0" w:name="_GoBack"/>
      <w:bookmarkEnd w:id="0"/>
      <w:r w:rsidRPr="00980CD2">
        <w:rPr>
          <w:rFonts w:ascii="Arial" w:eastAsia="Calibri" w:hAnsi="Arial" w:cs="Arial"/>
          <w:b/>
          <w:sz w:val="28"/>
          <w:szCs w:val="28"/>
        </w:rPr>
        <w:t xml:space="preserve">della Commissione Costituzione e leggi </w:t>
      </w:r>
    </w:p>
    <w:p w:rsidR="003F635F" w:rsidRPr="00980CD2" w:rsidRDefault="003F635F" w:rsidP="003F635F">
      <w:pPr>
        <w:spacing w:after="0" w:line="240" w:lineRule="auto"/>
        <w:jc w:val="both"/>
        <w:rPr>
          <w:rFonts w:ascii="Arial" w:eastAsia="Calibri" w:hAnsi="Arial" w:cs="Arial"/>
          <w:b/>
          <w:sz w:val="28"/>
          <w:szCs w:val="28"/>
        </w:rPr>
      </w:pPr>
      <w:r w:rsidRPr="00980CD2">
        <w:rPr>
          <w:rFonts w:ascii="Arial" w:eastAsia="Calibri" w:hAnsi="Arial" w:cs="Arial"/>
          <w:b/>
          <w:sz w:val="28"/>
          <w:szCs w:val="28"/>
        </w:rPr>
        <w:t xml:space="preserve">sulla mozione </w:t>
      </w:r>
      <w:r>
        <w:rPr>
          <w:rFonts w:ascii="Arial" w:eastAsia="Calibri" w:hAnsi="Arial" w:cs="Arial"/>
          <w:b/>
          <w:sz w:val="28"/>
          <w:szCs w:val="28"/>
        </w:rPr>
        <w:t>24 gennaio 2022 presentata da Fabrizio Garbani Nerini e cofirmatari “</w:t>
      </w:r>
      <w:r w:rsidRPr="00980CD2">
        <w:rPr>
          <w:rFonts w:ascii="Arial" w:eastAsia="Calibri" w:hAnsi="Arial" w:cs="Arial"/>
          <w:b/>
          <w:sz w:val="28"/>
          <w:szCs w:val="28"/>
        </w:rPr>
        <w:t xml:space="preserve">Dar fiducia ai Municipi, si aumentino i limiti massimi per </w:t>
      </w:r>
      <w:r>
        <w:rPr>
          <w:rFonts w:ascii="Arial" w:eastAsia="Calibri" w:hAnsi="Arial" w:cs="Arial"/>
          <w:b/>
          <w:sz w:val="28"/>
          <w:szCs w:val="28"/>
        </w:rPr>
        <w:t>spese correnti non preventivate”</w:t>
      </w:r>
    </w:p>
    <w:p w:rsidR="003F635F" w:rsidRPr="003F635F" w:rsidRDefault="003F635F" w:rsidP="003F635F">
      <w:pPr>
        <w:spacing w:before="100" w:after="0" w:line="240" w:lineRule="auto"/>
        <w:rPr>
          <w:rFonts w:ascii="Arial" w:eastAsia="Calibri" w:hAnsi="Arial" w:cs="Arial"/>
          <w:b/>
          <w:bCs/>
          <w:color w:val="000000"/>
          <w:sz w:val="26"/>
          <w:szCs w:val="26"/>
          <w:lang w:val="it-IT" w:eastAsia="it-IT"/>
        </w:rPr>
      </w:pPr>
      <w:r w:rsidRPr="003F635F">
        <w:rPr>
          <w:rFonts w:ascii="Arial" w:eastAsia="Calibri" w:hAnsi="Arial" w:cs="Arial"/>
          <w:b/>
          <w:bCs/>
          <w:color w:val="000000"/>
          <w:sz w:val="26"/>
          <w:szCs w:val="26"/>
          <w:lang w:val="it-IT" w:eastAsia="it-IT"/>
        </w:rPr>
        <w:t>(v. messaggio 27 aprile 2022 n. 8148)</w:t>
      </w:r>
    </w:p>
    <w:p w:rsidR="003F635F" w:rsidRPr="00980CD2" w:rsidRDefault="003F635F" w:rsidP="003F635F">
      <w:pPr>
        <w:spacing w:after="0" w:line="240" w:lineRule="auto"/>
        <w:jc w:val="both"/>
        <w:rPr>
          <w:rFonts w:ascii="Arial" w:hAnsi="Arial" w:cs="Arial"/>
          <w:bCs/>
          <w:sz w:val="28"/>
          <w:szCs w:val="28"/>
        </w:rPr>
      </w:pPr>
    </w:p>
    <w:p w:rsidR="003F635F" w:rsidRPr="00CD58C3" w:rsidRDefault="003F635F" w:rsidP="003F635F">
      <w:pPr>
        <w:spacing w:after="0" w:line="240" w:lineRule="auto"/>
        <w:jc w:val="both"/>
        <w:rPr>
          <w:rFonts w:ascii="Arial" w:hAnsi="Arial" w:cs="Arial"/>
          <w:bCs/>
          <w:sz w:val="24"/>
          <w:szCs w:val="24"/>
        </w:rPr>
      </w:pPr>
    </w:p>
    <w:p w:rsidR="003F635F" w:rsidRPr="003F635F" w:rsidRDefault="003F635F" w:rsidP="003F635F">
      <w:pPr>
        <w:pStyle w:val="Titolo1"/>
        <w:tabs>
          <w:tab w:val="left" w:pos="567"/>
        </w:tabs>
        <w:spacing w:before="0" w:line="240" w:lineRule="auto"/>
        <w:ind w:left="567" w:hanging="567"/>
        <w:jc w:val="both"/>
        <w:rPr>
          <w:rFonts w:ascii="Arial" w:eastAsia="Calibri" w:hAnsi="Arial" w:cs="Times New Roman"/>
          <w:caps/>
          <w:sz w:val="24"/>
          <w:szCs w:val="24"/>
          <w:lang w:val="it-IT" w:eastAsia="it-IT"/>
        </w:rPr>
      </w:pPr>
      <w:r w:rsidRPr="003F635F">
        <w:rPr>
          <w:rFonts w:ascii="Arial" w:eastAsia="Calibri" w:hAnsi="Arial" w:cs="Times New Roman"/>
          <w:caps/>
          <w:sz w:val="24"/>
          <w:szCs w:val="24"/>
          <w:lang w:val="it-IT" w:eastAsia="it-IT"/>
        </w:rPr>
        <w:t>1.</w:t>
      </w:r>
      <w:r w:rsidRPr="003F635F">
        <w:rPr>
          <w:rFonts w:ascii="Arial" w:eastAsia="Calibri" w:hAnsi="Arial" w:cs="Times New Roman"/>
          <w:caps/>
          <w:sz w:val="24"/>
          <w:szCs w:val="24"/>
          <w:lang w:val="it-IT" w:eastAsia="it-IT"/>
        </w:rPr>
        <w:tab/>
        <w:t>mozione</w:t>
      </w:r>
    </w:p>
    <w:p w:rsidR="003F635F" w:rsidRDefault="003F635F" w:rsidP="003F635F">
      <w:pPr>
        <w:spacing w:after="0" w:line="240" w:lineRule="auto"/>
        <w:jc w:val="both"/>
        <w:rPr>
          <w:rFonts w:ascii="Arial" w:hAnsi="Arial" w:cs="Arial"/>
          <w:sz w:val="24"/>
          <w:szCs w:val="24"/>
        </w:rPr>
      </w:pPr>
      <w:r w:rsidRPr="00CD58C3">
        <w:rPr>
          <w:rFonts w:ascii="Arial" w:hAnsi="Arial" w:cs="Arial"/>
          <w:sz w:val="24"/>
          <w:szCs w:val="24"/>
        </w:rPr>
        <w:t>La mozione è stata inoltrata dal deputato Fabrizio Garbani Nerini e dai colleghi Balli, Berardi e Gaffuri.</w:t>
      </w:r>
    </w:p>
    <w:p w:rsidR="003F635F" w:rsidRPr="00CD58C3" w:rsidRDefault="003F635F" w:rsidP="003F635F">
      <w:pPr>
        <w:spacing w:after="0" w:line="240" w:lineRule="auto"/>
        <w:jc w:val="both"/>
        <w:rPr>
          <w:rFonts w:ascii="Arial" w:hAnsi="Arial" w:cs="Arial"/>
          <w:sz w:val="24"/>
          <w:szCs w:val="24"/>
        </w:rPr>
      </w:pPr>
    </w:p>
    <w:p w:rsidR="003F635F" w:rsidRPr="00CD58C3" w:rsidRDefault="003F635F" w:rsidP="003F635F">
      <w:pPr>
        <w:spacing w:after="0" w:line="240" w:lineRule="auto"/>
        <w:jc w:val="both"/>
        <w:rPr>
          <w:rFonts w:ascii="Arial" w:hAnsi="Arial" w:cs="Arial"/>
          <w:sz w:val="24"/>
          <w:szCs w:val="24"/>
        </w:rPr>
      </w:pPr>
      <w:r w:rsidRPr="00CD58C3">
        <w:rPr>
          <w:rFonts w:ascii="Arial" w:hAnsi="Arial" w:cs="Arial"/>
          <w:sz w:val="24"/>
          <w:szCs w:val="24"/>
        </w:rPr>
        <w:t>La mozione chiede di aumentare i limiti di spesa di 2 volte per le prime due categorie di comuni e di 2,5 volte per le altre categorie. Gli importi proposti sono gli stessi dei limiti previsti oggi dal cpv. 1 dell’art. 5a RALOC relative le spese di investimento e in generale le competenze delegabili dell’art. 13 cpv. 1 e, g, h, l LOC.</w:t>
      </w:r>
    </w:p>
    <w:p w:rsidR="003F635F" w:rsidRPr="00CD58C3" w:rsidRDefault="003F635F" w:rsidP="003F635F">
      <w:pPr>
        <w:spacing w:after="0" w:line="240" w:lineRule="auto"/>
        <w:jc w:val="both"/>
        <w:rPr>
          <w:rFonts w:ascii="Arial" w:hAnsi="Arial" w:cs="Arial"/>
          <w:sz w:val="24"/>
          <w:szCs w:val="24"/>
        </w:rPr>
      </w:pPr>
    </w:p>
    <w:p w:rsidR="003F635F" w:rsidRPr="00CD58C3" w:rsidRDefault="003F635F" w:rsidP="003F635F">
      <w:pPr>
        <w:pStyle w:val="Default"/>
        <w:jc w:val="both"/>
      </w:pPr>
      <w:r w:rsidRPr="00CD58C3">
        <w:t xml:space="preserve">La delega per spese correnti non preventivate fu introdotta la prima volta con la revisione della LOC (1.1.2000). L’allora art. 115 LOC (oggi art. 170 cpv. 3 LOC) fissava come importo massimo fr. 50'000.--, mentre nel commento alla legge furono indicate le linee guida che la Sezione degli enti locali avrebbe adottato per le ratifiche dei regolamenti comunali: </w:t>
      </w:r>
    </w:p>
    <w:p w:rsidR="003F635F" w:rsidRPr="00CD58C3" w:rsidRDefault="003F635F" w:rsidP="003F635F">
      <w:pPr>
        <w:pStyle w:val="Default"/>
        <w:jc w:val="both"/>
      </w:pPr>
    </w:p>
    <w:p w:rsidR="003F635F" w:rsidRPr="00CD58C3" w:rsidRDefault="003F635F" w:rsidP="003F635F">
      <w:pPr>
        <w:pStyle w:val="Default"/>
        <w:jc w:val="both"/>
      </w:pPr>
      <w:r w:rsidRPr="00CD58C3">
        <w:t xml:space="preserve">Abitanti del comune Importo massimo complessivo </w:t>
      </w:r>
    </w:p>
    <w:p w:rsidR="003F635F" w:rsidRPr="00CD58C3" w:rsidRDefault="003F635F" w:rsidP="003F635F">
      <w:pPr>
        <w:pStyle w:val="Default"/>
        <w:jc w:val="both"/>
      </w:pPr>
      <w:r w:rsidRPr="00CD58C3">
        <w:t xml:space="preserve">fino a 1'000: </w:t>
      </w:r>
      <w:r w:rsidRPr="00CD58C3">
        <w:tab/>
      </w:r>
      <w:r w:rsidRPr="00CD58C3">
        <w:tab/>
      </w:r>
      <w:r w:rsidRPr="00CD58C3">
        <w:tab/>
        <w:t xml:space="preserve">fr. 10'000.-- </w:t>
      </w:r>
    </w:p>
    <w:p w:rsidR="003F635F" w:rsidRPr="00CD58C3" w:rsidRDefault="003F635F" w:rsidP="003F635F">
      <w:pPr>
        <w:pStyle w:val="Default"/>
        <w:jc w:val="both"/>
      </w:pPr>
      <w:r w:rsidRPr="00CD58C3">
        <w:t xml:space="preserve">da 1'000 a 5'000 </w:t>
      </w:r>
      <w:r w:rsidRPr="00CD58C3">
        <w:tab/>
      </w:r>
      <w:r w:rsidRPr="00CD58C3">
        <w:tab/>
        <w:t xml:space="preserve">fr. 20'000.-- </w:t>
      </w:r>
    </w:p>
    <w:p w:rsidR="003F635F" w:rsidRPr="00CD58C3" w:rsidRDefault="003F635F" w:rsidP="003F635F">
      <w:pPr>
        <w:pStyle w:val="Default"/>
        <w:jc w:val="both"/>
      </w:pPr>
      <w:r w:rsidRPr="00CD58C3">
        <w:t xml:space="preserve">da 5'000 a 10'000 </w:t>
      </w:r>
      <w:r w:rsidRPr="00CD58C3">
        <w:tab/>
      </w:r>
      <w:r w:rsidRPr="00CD58C3">
        <w:tab/>
        <w:t xml:space="preserve">fr. 30'000.-- </w:t>
      </w:r>
    </w:p>
    <w:p w:rsidR="003F635F" w:rsidRPr="00CD58C3" w:rsidRDefault="003F635F" w:rsidP="003F635F">
      <w:pPr>
        <w:pStyle w:val="Default"/>
        <w:jc w:val="both"/>
      </w:pPr>
      <w:r w:rsidRPr="00CD58C3">
        <w:t xml:space="preserve">oltre 10'000 </w:t>
      </w:r>
      <w:r w:rsidRPr="00CD58C3">
        <w:tab/>
      </w:r>
      <w:r w:rsidRPr="00CD58C3">
        <w:tab/>
      </w:r>
      <w:r w:rsidRPr="00CD58C3">
        <w:tab/>
        <w:t>fr. 50'000.—</w:t>
      </w:r>
    </w:p>
    <w:p w:rsidR="003F635F" w:rsidRPr="00CD58C3" w:rsidRDefault="003F635F" w:rsidP="003F635F">
      <w:pPr>
        <w:pStyle w:val="Default"/>
        <w:jc w:val="both"/>
      </w:pPr>
    </w:p>
    <w:p w:rsidR="003F635F" w:rsidRPr="00CD58C3" w:rsidRDefault="003F635F" w:rsidP="003F635F">
      <w:pPr>
        <w:pStyle w:val="Default"/>
        <w:jc w:val="both"/>
      </w:pPr>
      <w:r w:rsidRPr="00CD58C3">
        <w:t xml:space="preserve">In una nuova revisione della LOC, che entrò in vigore l’1.1.2009, gli importi massimi furono inseriti nel RALOC e aumentati agli </w:t>
      </w:r>
      <w:r w:rsidRPr="00CD58C3">
        <w:rPr>
          <w:b/>
          <w:bCs/>
        </w:rPr>
        <w:t xml:space="preserve">importi attualmente in vigore </w:t>
      </w:r>
      <w:r w:rsidRPr="00CD58C3">
        <w:t xml:space="preserve">(e riportati nella mozione), e meglio: </w:t>
      </w:r>
    </w:p>
    <w:p w:rsidR="003F635F" w:rsidRPr="00CD58C3" w:rsidRDefault="003F635F" w:rsidP="003F635F">
      <w:pPr>
        <w:pStyle w:val="Default"/>
        <w:jc w:val="both"/>
      </w:pPr>
    </w:p>
    <w:p w:rsidR="003F635F" w:rsidRPr="00CD58C3" w:rsidRDefault="003F635F" w:rsidP="003F635F">
      <w:pPr>
        <w:pStyle w:val="Default"/>
        <w:jc w:val="both"/>
      </w:pPr>
      <w:r w:rsidRPr="00CD58C3">
        <w:t xml:space="preserve">Abitanti del comune Importo massimo complessivo </w:t>
      </w:r>
    </w:p>
    <w:p w:rsidR="003F635F" w:rsidRPr="00CD58C3" w:rsidRDefault="003F635F" w:rsidP="003F635F">
      <w:pPr>
        <w:pStyle w:val="Default"/>
        <w:jc w:val="both"/>
      </w:pPr>
      <w:r w:rsidRPr="00CD58C3">
        <w:t xml:space="preserve">fino a 1'000: </w:t>
      </w:r>
      <w:r w:rsidRPr="00CD58C3">
        <w:tab/>
      </w:r>
      <w:r w:rsidRPr="00CD58C3">
        <w:tab/>
      </w:r>
      <w:r w:rsidRPr="00CD58C3">
        <w:tab/>
        <w:t xml:space="preserve">fr. 15'000.-- </w:t>
      </w:r>
    </w:p>
    <w:p w:rsidR="003F635F" w:rsidRPr="00CD58C3" w:rsidRDefault="003F635F" w:rsidP="003F635F">
      <w:pPr>
        <w:pStyle w:val="Default"/>
        <w:jc w:val="both"/>
      </w:pPr>
      <w:r w:rsidRPr="00CD58C3">
        <w:t xml:space="preserve">da 1'000 a 5'000 </w:t>
      </w:r>
      <w:r w:rsidRPr="00CD58C3">
        <w:tab/>
      </w:r>
      <w:r w:rsidRPr="00CD58C3">
        <w:tab/>
        <w:t xml:space="preserve">fr. 30'000.-- </w:t>
      </w:r>
    </w:p>
    <w:p w:rsidR="003F635F" w:rsidRPr="00CD58C3" w:rsidRDefault="003F635F" w:rsidP="003F635F">
      <w:pPr>
        <w:pStyle w:val="Default"/>
        <w:jc w:val="both"/>
      </w:pPr>
      <w:r w:rsidRPr="00CD58C3">
        <w:t xml:space="preserve">da 5'000 a 10'000 </w:t>
      </w:r>
      <w:r w:rsidRPr="00CD58C3">
        <w:tab/>
      </w:r>
      <w:r w:rsidRPr="00CD58C3">
        <w:tab/>
        <w:t xml:space="preserve">fr. 40'000.-- </w:t>
      </w:r>
    </w:p>
    <w:p w:rsidR="003F635F" w:rsidRPr="00CD58C3" w:rsidRDefault="003F635F" w:rsidP="003F635F">
      <w:pPr>
        <w:pStyle w:val="Default"/>
        <w:jc w:val="both"/>
      </w:pPr>
      <w:r w:rsidRPr="00CD58C3">
        <w:t xml:space="preserve">da 10'000 a 20’000 </w:t>
      </w:r>
      <w:r w:rsidRPr="00CD58C3">
        <w:tab/>
      </w:r>
      <w:r w:rsidRPr="00CD58C3">
        <w:tab/>
        <w:t xml:space="preserve">fr. 60'000.-- </w:t>
      </w:r>
    </w:p>
    <w:p w:rsidR="003F635F" w:rsidRPr="00CD58C3" w:rsidRDefault="003F635F" w:rsidP="003F635F">
      <w:pPr>
        <w:pStyle w:val="Default"/>
        <w:jc w:val="both"/>
      </w:pPr>
      <w:r w:rsidRPr="00CD58C3">
        <w:t xml:space="preserve">da 20'000 a 50’000 </w:t>
      </w:r>
      <w:r w:rsidRPr="00CD58C3">
        <w:tab/>
      </w:r>
      <w:r w:rsidRPr="00CD58C3">
        <w:tab/>
        <w:t xml:space="preserve">fr. 80'000.-- </w:t>
      </w:r>
    </w:p>
    <w:p w:rsidR="003F635F" w:rsidRPr="00CD58C3" w:rsidRDefault="003F635F" w:rsidP="003F635F">
      <w:pPr>
        <w:pStyle w:val="Default"/>
        <w:jc w:val="both"/>
      </w:pPr>
      <w:r w:rsidRPr="00CD58C3">
        <w:t>oltre 50'000</w:t>
      </w:r>
      <w:r w:rsidRPr="00CD58C3">
        <w:tab/>
      </w:r>
      <w:r w:rsidRPr="00CD58C3">
        <w:tab/>
      </w:r>
      <w:r w:rsidRPr="00CD58C3">
        <w:tab/>
        <w:t>fr. 100'000.—</w:t>
      </w:r>
    </w:p>
    <w:p w:rsidR="003F635F" w:rsidRPr="00CD58C3" w:rsidRDefault="003F635F" w:rsidP="003F635F">
      <w:pPr>
        <w:pStyle w:val="Default"/>
        <w:jc w:val="both"/>
      </w:pPr>
    </w:p>
    <w:p w:rsidR="003F635F" w:rsidRPr="00CD58C3" w:rsidRDefault="003F635F" w:rsidP="003F635F">
      <w:pPr>
        <w:pStyle w:val="Default"/>
        <w:jc w:val="both"/>
      </w:pPr>
      <w:r w:rsidRPr="00CD58C3">
        <w:t>Dal 2009 in poi, il totale delle spese correnti dei comuni è aumentato di ca. il 30%.</w:t>
      </w:r>
    </w:p>
    <w:p w:rsidR="003F635F" w:rsidRPr="00CD58C3" w:rsidRDefault="003F635F" w:rsidP="003F635F">
      <w:pPr>
        <w:pStyle w:val="Default"/>
        <w:jc w:val="both"/>
        <w:rPr>
          <w:color w:val="auto"/>
        </w:rPr>
      </w:pPr>
      <w:r w:rsidRPr="00CD58C3">
        <w:rPr>
          <w:color w:val="auto"/>
        </w:rPr>
        <w:lastRenderedPageBreak/>
        <w:t xml:space="preserve">Questa delega, si ricorda, è da utilizzare per spese correnti non iscritte nel conto economico del preventivo e serve in definitiva per dare al Municipio la possibilità di poter procedere a spese nuove, che non erano state previste ma che l’Esecutivo ritiene opportune. </w:t>
      </w:r>
    </w:p>
    <w:p w:rsidR="003F635F" w:rsidRPr="00CD58C3" w:rsidRDefault="003F635F" w:rsidP="003F635F">
      <w:pPr>
        <w:pStyle w:val="Default"/>
        <w:jc w:val="both"/>
        <w:rPr>
          <w:color w:val="auto"/>
        </w:rPr>
      </w:pPr>
    </w:p>
    <w:p w:rsidR="003F635F" w:rsidRPr="00CD58C3" w:rsidRDefault="003F635F" w:rsidP="003F635F">
      <w:pPr>
        <w:pStyle w:val="Default"/>
        <w:jc w:val="both"/>
        <w:rPr>
          <w:color w:val="auto"/>
        </w:rPr>
      </w:pPr>
      <w:r w:rsidRPr="00CD58C3">
        <w:rPr>
          <w:color w:val="auto"/>
        </w:rPr>
        <w:t>Queste spese non possono per contro essere attivate per coprire sorpassi in conti già iscritti nel preventivo.</w:t>
      </w:r>
    </w:p>
    <w:p w:rsidR="003F635F" w:rsidRPr="00CD58C3" w:rsidRDefault="003F635F" w:rsidP="003F635F">
      <w:pPr>
        <w:pStyle w:val="Default"/>
        <w:jc w:val="both"/>
      </w:pPr>
    </w:p>
    <w:p w:rsidR="003F635F" w:rsidRPr="00CD58C3" w:rsidRDefault="003F635F" w:rsidP="003F635F">
      <w:pPr>
        <w:spacing w:after="0" w:line="240" w:lineRule="auto"/>
        <w:jc w:val="both"/>
        <w:rPr>
          <w:rFonts w:ascii="Arial" w:hAnsi="Arial" w:cs="Arial"/>
          <w:sz w:val="24"/>
          <w:szCs w:val="24"/>
        </w:rPr>
      </w:pPr>
      <w:r w:rsidRPr="00CD58C3">
        <w:rPr>
          <w:rFonts w:ascii="Arial" w:hAnsi="Arial" w:cs="Arial"/>
          <w:sz w:val="24"/>
          <w:szCs w:val="24"/>
        </w:rPr>
        <w:t>I mozionanti ritengono che, nella realtà odierna, nella quale da parte degli Esecutivi comunali bisogna potere far fronte con tempismo ad una moltitudine di esigenze e di impegni, non sempre preventivabili, gli importi massimi previsti per spese non iscritte nel preventivo siano troppo limitati (oltretutto molti Comuni non hanno la possibilità di indire ogniqualvolta un consiglio comunale come può succedere nelle grandi città). Ciò può portare gli Esecutivi a rinunciare ad agire in casi in cui avrebbe invece senso farlo. La richiesta di aggiornamenti di preventivo formulata all’attenzione dei Legislativi comunali sarebbe anche una strada percorribile, ma i tempi istituzionali di una tale ipotesi non sono sempre compatibili con la necessità di agire in tempi brevi. Soprattutto nei Comuni medio-piccoli, dove le sedute annuali di Legislativo sono solitamente molto poche.</w:t>
      </w:r>
    </w:p>
    <w:p w:rsidR="003F635F" w:rsidRPr="00CD58C3" w:rsidRDefault="003F635F" w:rsidP="003F635F">
      <w:pPr>
        <w:spacing w:after="0" w:line="240" w:lineRule="auto"/>
        <w:jc w:val="both"/>
        <w:rPr>
          <w:rFonts w:ascii="Arial" w:hAnsi="Arial" w:cs="Arial"/>
          <w:bCs/>
          <w:sz w:val="24"/>
          <w:szCs w:val="24"/>
        </w:rPr>
      </w:pPr>
    </w:p>
    <w:p w:rsidR="003F635F" w:rsidRPr="00CD58C3" w:rsidRDefault="003F635F" w:rsidP="003F635F">
      <w:pPr>
        <w:pStyle w:val="Default"/>
        <w:jc w:val="both"/>
      </w:pPr>
      <w:r w:rsidRPr="00CD58C3">
        <w:t xml:space="preserve">I mozionanti chiedono al Consiglio di Stato che l’art. 5A RALOC venga modificato nel seguente modo: </w:t>
      </w:r>
    </w:p>
    <w:p w:rsidR="003F635F" w:rsidRPr="00CD58C3" w:rsidRDefault="003F635F" w:rsidP="003F635F">
      <w:pPr>
        <w:pStyle w:val="Default"/>
        <w:spacing w:before="120" w:after="120"/>
        <w:ind w:left="284"/>
        <w:jc w:val="both"/>
      </w:pPr>
      <w:r w:rsidRPr="00CD58C3">
        <w:rPr>
          <w:b/>
          <w:bCs/>
        </w:rPr>
        <w:t xml:space="preserve">cpv. 2 (modifica) </w:t>
      </w:r>
    </w:p>
    <w:p w:rsidR="003F635F" w:rsidRPr="00CD58C3" w:rsidRDefault="003F635F" w:rsidP="003F635F">
      <w:pPr>
        <w:pStyle w:val="Default"/>
        <w:ind w:left="284"/>
        <w:jc w:val="both"/>
      </w:pPr>
      <w:r w:rsidRPr="003F635F">
        <w:rPr>
          <w:b/>
          <w:bCs/>
          <w:position w:val="8"/>
          <w:vertAlign w:val="superscript"/>
        </w:rPr>
        <w:t>2</w:t>
      </w:r>
      <w:r>
        <w:rPr>
          <w:b/>
          <w:bCs/>
          <w:position w:val="8"/>
          <w:vertAlign w:val="superscript"/>
        </w:rPr>
        <w:t xml:space="preserve"> </w:t>
      </w:r>
      <w:r w:rsidRPr="00CD58C3">
        <w:rPr>
          <w:b/>
          <w:bCs/>
        </w:rPr>
        <w:t xml:space="preserve">Il municipio può effettuare nuove spese correnti non iscritte nel preventivo fino ad un importo annuo complessivo stabilito dal regolamento comunale, avuto riguardo dei seguenti criteri: </w:t>
      </w:r>
    </w:p>
    <w:p w:rsidR="003F635F" w:rsidRPr="00CD58C3" w:rsidRDefault="003F635F" w:rsidP="003F635F">
      <w:pPr>
        <w:pStyle w:val="Default"/>
        <w:tabs>
          <w:tab w:val="left" w:pos="3969"/>
        </w:tabs>
        <w:ind w:left="284"/>
        <w:jc w:val="both"/>
      </w:pPr>
      <w:r w:rsidRPr="00CD58C3">
        <w:rPr>
          <w:b/>
          <w:bCs/>
        </w:rPr>
        <w:t xml:space="preserve">Abitanti del Comune Importo massimo in fr. </w:t>
      </w:r>
    </w:p>
    <w:p w:rsidR="003F635F" w:rsidRPr="00CD58C3" w:rsidRDefault="003F635F" w:rsidP="003F635F">
      <w:pPr>
        <w:pStyle w:val="Default"/>
        <w:tabs>
          <w:tab w:val="left" w:pos="3686"/>
          <w:tab w:val="left" w:pos="3969"/>
        </w:tabs>
        <w:ind w:left="284"/>
        <w:jc w:val="both"/>
      </w:pPr>
      <w:r w:rsidRPr="00CD58C3">
        <w:rPr>
          <w:b/>
          <w:bCs/>
        </w:rPr>
        <w:t xml:space="preserve">Fino a 1’000 </w:t>
      </w:r>
      <w:r w:rsidRPr="00CD58C3">
        <w:rPr>
          <w:b/>
          <w:bCs/>
        </w:rPr>
        <w:tab/>
      </w:r>
      <w:r w:rsidRPr="00CD58C3">
        <w:rPr>
          <w:b/>
          <w:bCs/>
        </w:rPr>
        <w:tab/>
        <w:t xml:space="preserve">30’000.- </w:t>
      </w:r>
    </w:p>
    <w:p w:rsidR="003F635F" w:rsidRPr="00CD58C3" w:rsidRDefault="003F635F" w:rsidP="003F635F">
      <w:pPr>
        <w:pStyle w:val="Default"/>
        <w:tabs>
          <w:tab w:val="left" w:pos="3969"/>
        </w:tabs>
        <w:ind w:left="284"/>
        <w:jc w:val="both"/>
      </w:pPr>
      <w:r w:rsidRPr="00CD58C3">
        <w:rPr>
          <w:b/>
          <w:bCs/>
        </w:rPr>
        <w:t xml:space="preserve">Da 1’000 a 5'000 </w:t>
      </w:r>
      <w:r w:rsidRPr="00CD58C3">
        <w:rPr>
          <w:b/>
          <w:bCs/>
        </w:rPr>
        <w:tab/>
        <w:t xml:space="preserve">60’000.- </w:t>
      </w:r>
    </w:p>
    <w:p w:rsidR="003F635F" w:rsidRPr="00CD58C3" w:rsidRDefault="003F635F" w:rsidP="003F635F">
      <w:pPr>
        <w:pStyle w:val="Default"/>
        <w:tabs>
          <w:tab w:val="left" w:pos="3969"/>
        </w:tabs>
        <w:ind w:left="284"/>
        <w:jc w:val="both"/>
      </w:pPr>
      <w:r w:rsidRPr="00CD58C3">
        <w:rPr>
          <w:b/>
          <w:bCs/>
        </w:rPr>
        <w:t xml:space="preserve">Da 5’000 a 10’000 </w:t>
      </w:r>
      <w:r w:rsidRPr="00CD58C3">
        <w:rPr>
          <w:b/>
          <w:bCs/>
        </w:rPr>
        <w:tab/>
        <w:t xml:space="preserve">100’000.- </w:t>
      </w:r>
    </w:p>
    <w:p w:rsidR="003F635F" w:rsidRPr="00CD58C3" w:rsidRDefault="003F635F" w:rsidP="003F635F">
      <w:pPr>
        <w:pStyle w:val="Default"/>
        <w:tabs>
          <w:tab w:val="left" w:pos="3969"/>
        </w:tabs>
        <w:ind w:left="284"/>
        <w:jc w:val="both"/>
      </w:pPr>
      <w:r w:rsidRPr="00CD58C3">
        <w:rPr>
          <w:b/>
          <w:bCs/>
        </w:rPr>
        <w:t xml:space="preserve">Da 10’000 a 20’000 </w:t>
      </w:r>
      <w:r w:rsidRPr="00CD58C3">
        <w:rPr>
          <w:b/>
          <w:bCs/>
        </w:rPr>
        <w:tab/>
        <w:t xml:space="preserve">150’000.- </w:t>
      </w:r>
    </w:p>
    <w:p w:rsidR="003F635F" w:rsidRPr="00CD58C3" w:rsidRDefault="003F635F" w:rsidP="003F635F">
      <w:pPr>
        <w:pStyle w:val="Default"/>
        <w:tabs>
          <w:tab w:val="left" w:pos="3969"/>
        </w:tabs>
        <w:ind w:left="284"/>
        <w:jc w:val="both"/>
      </w:pPr>
      <w:r w:rsidRPr="00CD58C3">
        <w:rPr>
          <w:b/>
          <w:bCs/>
        </w:rPr>
        <w:t xml:space="preserve">Da 20’000 a 50’000 </w:t>
      </w:r>
      <w:r w:rsidRPr="00CD58C3">
        <w:rPr>
          <w:b/>
          <w:bCs/>
        </w:rPr>
        <w:tab/>
        <w:t xml:space="preserve">200’000.- </w:t>
      </w:r>
    </w:p>
    <w:p w:rsidR="003F635F" w:rsidRPr="00CD58C3" w:rsidRDefault="003F635F" w:rsidP="003F635F">
      <w:pPr>
        <w:pStyle w:val="Default"/>
        <w:tabs>
          <w:tab w:val="left" w:pos="3969"/>
        </w:tabs>
        <w:ind w:left="284"/>
        <w:jc w:val="both"/>
      </w:pPr>
      <w:r w:rsidRPr="00CD58C3">
        <w:rPr>
          <w:b/>
          <w:bCs/>
        </w:rPr>
        <w:t xml:space="preserve">Oltre 50’000 </w:t>
      </w:r>
      <w:r w:rsidRPr="00CD58C3">
        <w:rPr>
          <w:b/>
          <w:bCs/>
        </w:rPr>
        <w:tab/>
        <w:t xml:space="preserve">250’000.- </w:t>
      </w:r>
    </w:p>
    <w:p w:rsidR="003F635F" w:rsidRPr="00CD58C3" w:rsidRDefault="003F635F" w:rsidP="003F635F">
      <w:pPr>
        <w:pStyle w:val="Default"/>
        <w:spacing w:before="120" w:after="120"/>
        <w:ind w:left="284"/>
        <w:jc w:val="both"/>
      </w:pPr>
      <w:r w:rsidRPr="00CD58C3">
        <w:rPr>
          <w:b/>
          <w:bCs/>
        </w:rPr>
        <w:t xml:space="preserve">cpv 3 (nuovo) </w:t>
      </w:r>
    </w:p>
    <w:p w:rsidR="003F635F" w:rsidRPr="00CD58C3" w:rsidRDefault="003F635F" w:rsidP="003F635F">
      <w:pPr>
        <w:spacing w:after="0" w:line="240" w:lineRule="auto"/>
        <w:ind w:left="284"/>
        <w:jc w:val="both"/>
        <w:rPr>
          <w:rFonts w:ascii="Arial" w:hAnsi="Arial" w:cs="Arial"/>
          <w:bCs/>
          <w:sz w:val="24"/>
          <w:szCs w:val="24"/>
        </w:rPr>
      </w:pPr>
      <w:r w:rsidRPr="00CD58C3">
        <w:rPr>
          <w:rFonts w:ascii="Arial" w:hAnsi="Arial" w:cs="Arial"/>
          <w:b/>
          <w:bCs/>
          <w:position w:val="8"/>
          <w:sz w:val="24"/>
          <w:szCs w:val="24"/>
          <w:vertAlign w:val="superscript"/>
        </w:rPr>
        <w:t>3</w:t>
      </w:r>
      <w:r>
        <w:rPr>
          <w:rFonts w:ascii="Arial" w:hAnsi="Arial" w:cs="Arial"/>
          <w:b/>
          <w:bCs/>
          <w:position w:val="8"/>
          <w:sz w:val="24"/>
          <w:szCs w:val="24"/>
          <w:vertAlign w:val="superscript"/>
        </w:rPr>
        <w:t xml:space="preserve"> </w:t>
      </w:r>
      <w:r w:rsidRPr="00CD58C3">
        <w:rPr>
          <w:rFonts w:ascii="Arial" w:hAnsi="Arial" w:cs="Arial"/>
          <w:b/>
          <w:bCs/>
          <w:sz w:val="24"/>
          <w:szCs w:val="24"/>
        </w:rPr>
        <w:t>Le spese di cui al cpv 2 vanno messe in evidenza nel messaggio municipale sui conti consuntivi dell’esercizio in cui sono state fatte, e motivate con una descrizione dettagliata.</w:t>
      </w:r>
    </w:p>
    <w:p w:rsidR="003F635F" w:rsidRPr="00CD58C3" w:rsidRDefault="003F635F" w:rsidP="003F635F">
      <w:pPr>
        <w:spacing w:after="0" w:line="240" w:lineRule="auto"/>
        <w:jc w:val="both"/>
        <w:rPr>
          <w:rFonts w:ascii="Arial" w:hAnsi="Arial" w:cs="Arial"/>
          <w:bCs/>
          <w:sz w:val="24"/>
          <w:szCs w:val="24"/>
        </w:rPr>
      </w:pPr>
    </w:p>
    <w:p w:rsidR="003F635F" w:rsidRPr="00CD58C3" w:rsidRDefault="003F635F" w:rsidP="003F635F">
      <w:pPr>
        <w:spacing w:after="0" w:line="240" w:lineRule="auto"/>
        <w:jc w:val="both"/>
        <w:rPr>
          <w:rFonts w:ascii="Arial" w:hAnsi="Arial" w:cs="Arial"/>
          <w:bCs/>
          <w:sz w:val="24"/>
          <w:szCs w:val="24"/>
        </w:rPr>
      </w:pPr>
    </w:p>
    <w:p w:rsidR="003F635F" w:rsidRPr="003F635F" w:rsidRDefault="003F635F" w:rsidP="003F635F">
      <w:pPr>
        <w:pStyle w:val="Titolo1"/>
        <w:tabs>
          <w:tab w:val="left" w:pos="567"/>
        </w:tabs>
        <w:spacing w:before="0" w:line="240" w:lineRule="auto"/>
        <w:ind w:left="567" w:hanging="567"/>
        <w:jc w:val="both"/>
        <w:rPr>
          <w:rFonts w:ascii="Arial" w:eastAsia="Calibri" w:hAnsi="Arial" w:cs="Times New Roman"/>
          <w:caps/>
          <w:sz w:val="24"/>
          <w:szCs w:val="24"/>
          <w:lang w:val="it-IT" w:eastAsia="it-IT"/>
        </w:rPr>
      </w:pPr>
      <w:r w:rsidRPr="003F635F">
        <w:rPr>
          <w:rFonts w:ascii="Arial" w:eastAsia="Calibri" w:hAnsi="Arial" w:cs="Times New Roman"/>
          <w:caps/>
          <w:sz w:val="24"/>
          <w:szCs w:val="24"/>
          <w:lang w:val="it-IT" w:eastAsia="it-IT"/>
        </w:rPr>
        <w:t xml:space="preserve">2. </w:t>
      </w:r>
      <w:r w:rsidRPr="003F635F">
        <w:rPr>
          <w:rFonts w:ascii="Arial" w:eastAsia="Calibri" w:hAnsi="Arial" w:cs="Times New Roman"/>
          <w:caps/>
          <w:sz w:val="24"/>
          <w:szCs w:val="24"/>
          <w:lang w:val="it-IT" w:eastAsia="it-IT"/>
        </w:rPr>
        <w:tab/>
        <w:t>LE RIFLESSIONI DELLA COMMISSIONE</w:t>
      </w:r>
    </w:p>
    <w:p w:rsidR="003F635F" w:rsidRDefault="003F635F" w:rsidP="003F635F">
      <w:pPr>
        <w:spacing w:after="0" w:line="240" w:lineRule="auto"/>
        <w:jc w:val="both"/>
        <w:rPr>
          <w:rFonts w:ascii="Arial" w:hAnsi="Arial" w:cs="Arial"/>
          <w:sz w:val="24"/>
          <w:szCs w:val="24"/>
          <w:lang w:val="it-IT" w:eastAsia="it-IT"/>
        </w:rPr>
      </w:pPr>
      <w:r w:rsidRPr="00CD58C3">
        <w:rPr>
          <w:rFonts w:ascii="Arial" w:hAnsi="Arial" w:cs="Arial"/>
          <w:sz w:val="24"/>
          <w:szCs w:val="24"/>
          <w:lang w:val="it-IT" w:eastAsia="it-IT"/>
        </w:rPr>
        <w:t>La gestione della cosa pubblica da parte dell’Esecutivo comunale è notevolmente cambiata nel corso del ‘900 per subire un’ulteriore accelerata durante i primi due decenni del XXI secolo. Sono infatti lontani ricordi i tempi in cui il Municipio aveva un grande margine di manovra all’interno del proprio confine giurisdizionale sia in termini operativi che finanziari.</w:t>
      </w:r>
    </w:p>
    <w:p w:rsidR="003F635F" w:rsidRPr="00CD58C3" w:rsidRDefault="003F635F" w:rsidP="003F635F">
      <w:pPr>
        <w:spacing w:after="0" w:line="240" w:lineRule="auto"/>
        <w:jc w:val="both"/>
        <w:rPr>
          <w:rFonts w:ascii="Arial" w:hAnsi="Arial" w:cs="Arial"/>
          <w:sz w:val="24"/>
          <w:szCs w:val="24"/>
          <w:lang w:val="it-IT" w:eastAsia="it-IT"/>
        </w:rPr>
      </w:pPr>
    </w:p>
    <w:p w:rsidR="003F635F" w:rsidRDefault="003F635F" w:rsidP="003F635F">
      <w:pPr>
        <w:spacing w:after="0" w:line="240" w:lineRule="auto"/>
        <w:jc w:val="both"/>
        <w:rPr>
          <w:rFonts w:ascii="Arial" w:hAnsi="Arial" w:cs="Arial"/>
          <w:sz w:val="24"/>
          <w:szCs w:val="24"/>
          <w:lang w:val="it-IT" w:eastAsia="it-IT"/>
        </w:rPr>
      </w:pPr>
      <w:r w:rsidRPr="00CD58C3">
        <w:rPr>
          <w:rFonts w:ascii="Arial" w:hAnsi="Arial" w:cs="Arial"/>
          <w:sz w:val="24"/>
          <w:szCs w:val="24"/>
          <w:lang w:val="it-IT" w:eastAsia="it-IT"/>
        </w:rPr>
        <w:lastRenderedPageBreak/>
        <w:t xml:space="preserve">Oggigiorno, per molte realtà comunali le risorse fiscali e le entrate riscosse tramite tasse causali vengono in gran parte consumate da obblighi legali verso il Cantone, i Consorzi ed Enti vari limitando notevolmente il potere decisionale del Municipio e la sua dinamicità operativa. </w:t>
      </w:r>
    </w:p>
    <w:p w:rsidR="003F635F" w:rsidRPr="00CD58C3" w:rsidRDefault="003F635F" w:rsidP="003F635F">
      <w:pPr>
        <w:spacing w:after="0" w:line="240" w:lineRule="auto"/>
        <w:jc w:val="both"/>
        <w:rPr>
          <w:rFonts w:ascii="Arial" w:hAnsi="Arial" w:cs="Arial"/>
          <w:sz w:val="24"/>
          <w:szCs w:val="24"/>
          <w:lang w:val="it-IT" w:eastAsia="it-IT"/>
        </w:rPr>
      </w:pPr>
    </w:p>
    <w:p w:rsidR="003F635F" w:rsidRDefault="003F635F" w:rsidP="003F635F">
      <w:pPr>
        <w:spacing w:after="0" w:line="240" w:lineRule="auto"/>
        <w:jc w:val="both"/>
        <w:rPr>
          <w:rFonts w:ascii="Arial" w:hAnsi="Arial" w:cs="Arial"/>
          <w:sz w:val="24"/>
          <w:szCs w:val="24"/>
          <w:lang w:val="it-IT" w:eastAsia="it-IT"/>
        </w:rPr>
      </w:pPr>
      <w:r w:rsidRPr="00CD58C3">
        <w:rPr>
          <w:rFonts w:ascii="Arial" w:hAnsi="Arial" w:cs="Arial"/>
          <w:sz w:val="24"/>
          <w:szCs w:val="24"/>
          <w:lang w:val="it-IT" w:eastAsia="it-IT"/>
        </w:rPr>
        <w:t>La disaffezione alla cosa pubblica è purtroppo cosa nota; ad ogni tornata elettorale sono sempre di più quei Comuni che faticano a comporre le liste elettorali, soprattutto per il Municipio. Le ragioni di questo allontanamento dalla politica comunale sono sicuramente molteplici, ma tra di essi vi è sicuramente il vedere il Municipio tra l’incudine (gli obblighi legali e di spesa da rispettare) e il martello (i sempre maggiori compiti da assumere e le richieste dei cittadini).</w:t>
      </w:r>
    </w:p>
    <w:p w:rsidR="003F635F" w:rsidRPr="00CD58C3" w:rsidRDefault="003F635F" w:rsidP="003F635F">
      <w:pPr>
        <w:spacing w:after="0" w:line="240" w:lineRule="auto"/>
        <w:jc w:val="both"/>
        <w:rPr>
          <w:rFonts w:ascii="Arial" w:hAnsi="Arial" w:cs="Arial"/>
          <w:sz w:val="24"/>
          <w:szCs w:val="24"/>
          <w:lang w:val="it-IT" w:eastAsia="it-IT"/>
        </w:rPr>
      </w:pPr>
    </w:p>
    <w:p w:rsidR="003F635F" w:rsidRPr="00CD58C3" w:rsidRDefault="003F635F" w:rsidP="003F635F">
      <w:pPr>
        <w:spacing w:after="0" w:line="240" w:lineRule="auto"/>
        <w:jc w:val="both"/>
        <w:rPr>
          <w:rFonts w:ascii="Arial" w:hAnsi="Arial" w:cs="Arial"/>
          <w:sz w:val="24"/>
          <w:szCs w:val="24"/>
          <w:lang w:val="it-IT" w:eastAsia="it-IT"/>
        </w:rPr>
      </w:pPr>
      <w:r w:rsidRPr="00CD58C3">
        <w:rPr>
          <w:rFonts w:ascii="Arial" w:hAnsi="Arial" w:cs="Arial"/>
          <w:sz w:val="24"/>
          <w:szCs w:val="24"/>
          <w:lang w:val="it-IT" w:eastAsia="it-IT"/>
        </w:rPr>
        <w:t>Da tempo ci si interroga su come invertire questa preoccupante tendenza che mina alle fondamenta la nostra democrazia di milizia, che conserva tanti pregi rispetto ad altre realtà, anche a noi vicine, in cui il politico locale diventa un professionista con tante, troppe, implicazioni nella gestione della cosa pubblica.</w:t>
      </w:r>
    </w:p>
    <w:p w:rsidR="003F635F" w:rsidRPr="00CD58C3" w:rsidRDefault="003F635F" w:rsidP="003F635F">
      <w:pPr>
        <w:spacing w:after="120" w:line="240" w:lineRule="auto"/>
        <w:jc w:val="both"/>
        <w:rPr>
          <w:rFonts w:ascii="Arial" w:hAnsi="Arial" w:cs="Arial"/>
          <w:sz w:val="24"/>
          <w:szCs w:val="24"/>
          <w:lang w:val="it-IT" w:eastAsia="it-IT"/>
        </w:rPr>
      </w:pPr>
      <w:r w:rsidRPr="00CD58C3">
        <w:rPr>
          <w:rFonts w:ascii="Arial" w:hAnsi="Arial" w:cs="Arial"/>
          <w:sz w:val="24"/>
          <w:szCs w:val="24"/>
          <w:lang w:val="it-IT" w:eastAsia="it-IT"/>
        </w:rPr>
        <w:t>Il Dipartimento delle istituzioni ha lanciato in questi ultimi anni degli interessanti e validi progetti che mirano a riavvicinare il cittadino all’Ente pubblico e stimolare la sua partecipazione attiva. Si ricordano in particolare due progetti:</w:t>
      </w:r>
    </w:p>
    <w:p w:rsidR="003F635F" w:rsidRPr="00CD58C3" w:rsidRDefault="00060D54" w:rsidP="003F635F">
      <w:pPr>
        <w:pStyle w:val="Paragrafoelenco"/>
        <w:numPr>
          <w:ilvl w:val="0"/>
          <w:numId w:val="20"/>
        </w:numPr>
        <w:spacing w:before="80" w:after="0" w:line="240" w:lineRule="auto"/>
        <w:ind w:left="284" w:hanging="284"/>
        <w:contextualSpacing w:val="0"/>
        <w:jc w:val="both"/>
        <w:rPr>
          <w:rFonts w:ascii="Arial" w:hAnsi="Arial" w:cs="Arial"/>
          <w:sz w:val="24"/>
          <w:szCs w:val="24"/>
          <w:lang w:val="it-IT" w:eastAsia="it-IT"/>
        </w:rPr>
      </w:pPr>
      <w:hyperlink r:id="rId11" w:history="1">
        <w:r w:rsidR="003F635F" w:rsidRPr="00CD58C3">
          <w:rPr>
            <w:rStyle w:val="Collegamentoipertestuale"/>
            <w:rFonts w:ascii="Arial" w:hAnsi="Arial" w:cs="Arial"/>
            <w:i/>
            <w:sz w:val="24"/>
            <w:szCs w:val="24"/>
            <w:lang w:val="it-IT" w:eastAsia="it-IT"/>
          </w:rPr>
          <w:t>Il Buon governo dei Comuni</w:t>
        </w:r>
      </w:hyperlink>
    </w:p>
    <w:p w:rsidR="003F635F" w:rsidRPr="003F635F" w:rsidRDefault="00060D54" w:rsidP="003F635F">
      <w:pPr>
        <w:pStyle w:val="Paragrafoelenco"/>
        <w:numPr>
          <w:ilvl w:val="0"/>
          <w:numId w:val="20"/>
        </w:numPr>
        <w:spacing w:before="80" w:after="0" w:line="240" w:lineRule="auto"/>
        <w:ind w:left="284" w:hanging="284"/>
        <w:contextualSpacing w:val="0"/>
        <w:jc w:val="both"/>
        <w:rPr>
          <w:rStyle w:val="Collegamentoipertestuale"/>
          <w:rFonts w:ascii="Arial" w:hAnsi="Arial" w:cs="Arial"/>
          <w:i/>
          <w:color w:val="auto"/>
          <w:sz w:val="24"/>
          <w:szCs w:val="24"/>
          <w:u w:val="none"/>
          <w:lang w:val="it-IT" w:eastAsia="it-IT"/>
        </w:rPr>
      </w:pPr>
      <w:hyperlink r:id="rId12" w:history="1">
        <w:r w:rsidR="003F635F" w:rsidRPr="00CD58C3">
          <w:rPr>
            <w:rStyle w:val="Collegamentoipertestuale"/>
            <w:rFonts w:ascii="Arial" w:hAnsi="Arial" w:cs="Arial"/>
            <w:i/>
            <w:sz w:val="24"/>
            <w:szCs w:val="24"/>
            <w:lang w:val="it-IT" w:eastAsia="it-IT"/>
          </w:rPr>
          <w:t>Democrazia viva</w:t>
        </w:r>
      </w:hyperlink>
    </w:p>
    <w:p w:rsidR="003F635F" w:rsidRPr="00CD58C3" w:rsidRDefault="003F635F" w:rsidP="003F635F">
      <w:pPr>
        <w:pStyle w:val="Paragrafoelenco"/>
        <w:spacing w:after="0" w:line="240" w:lineRule="auto"/>
        <w:ind w:left="714"/>
        <w:contextualSpacing w:val="0"/>
        <w:jc w:val="both"/>
        <w:rPr>
          <w:rFonts w:ascii="Arial" w:hAnsi="Arial" w:cs="Arial"/>
          <w:i/>
          <w:sz w:val="24"/>
          <w:szCs w:val="24"/>
          <w:lang w:val="it-IT" w:eastAsia="it-IT"/>
        </w:rPr>
      </w:pPr>
    </w:p>
    <w:p w:rsidR="003F635F" w:rsidRDefault="003F635F" w:rsidP="003F635F">
      <w:pPr>
        <w:spacing w:after="0" w:line="240" w:lineRule="auto"/>
        <w:jc w:val="both"/>
        <w:rPr>
          <w:rFonts w:ascii="Arial" w:hAnsi="Arial" w:cs="Arial"/>
          <w:sz w:val="24"/>
          <w:szCs w:val="24"/>
          <w:lang w:val="it-IT" w:eastAsia="it-IT"/>
        </w:rPr>
      </w:pPr>
      <w:r w:rsidRPr="00CD58C3">
        <w:rPr>
          <w:rFonts w:ascii="Arial" w:hAnsi="Arial" w:cs="Arial"/>
          <w:sz w:val="24"/>
          <w:szCs w:val="24"/>
          <w:lang w:val="it-IT" w:eastAsia="it-IT"/>
        </w:rPr>
        <w:t>Queste due lodevoli iniziative devono tuttavia essere accompagnate anche da un quadro legislativo che possa veramente ridare forza al Comune e al suo Municipio rendendolo nuovamente attrattivo per i cittadini che desiderano mettere a disposizione della collettività tempo, competenze, entusiasmo e progettualità. La mozione 1638 è, dal nostro punto di vista, un tassello nella giusta direzione che si inserisce in un contesto più ampio di valorizzazione dell’Esecutivo locale e del suo operato.</w:t>
      </w:r>
    </w:p>
    <w:p w:rsidR="001C7EF2" w:rsidRPr="00CD58C3" w:rsidRDefault="001C7EF2" w:rsidP="003F635F">
      <w:pPr>
        <w:spacing w:after="0" w:line="240" w:lineRule="auto"/>
        <w:jc w:val="both"/>
        <w:rPr>
          <w:rFonts w:ascii="Arial" w:hAnsi="Arial" w:cs="Arial"/>
          <w:sz w:val="24"/>
          <w:szCs w:val="24"/>
          <w:lang w:val="it-IT" w:eastAsia="it-IT"/>
        </w:rPr>
      </w:pPr>
    </w:p>
    <w:p w:rsidR="003F635F" w:rsidRDefault="003F635F" w:rsidP="003F635F">
      <w:pPr>
        <w:spacing w:after="0" w:line="240" w:lineRule="auto"/>
        <w:jc w:val="both"/>
        <w:rPr>
          <w:rFonts w:ascii="Arial" w:hAnsi="Arial" w:cs="Arial"/>
          <w:sz w:val="24"/>
          <w:szCs w:val="24"/>
          <w:lang w:val="it-IT" w:eastAsia="it-IT"/>
        </w:rPr>
      </w:pPr>
      <w:r w:rsidRPr="00CD58C3">
        <w:rPr>
          <w:rFonts w:ascii="Arial" w:hAnsi="Arial" w:cs="Arial"/>
          <w:sz w:val="24"/>
          <w:szCs w:val="24"/>
          <w:lang w:val="it-IT" w:eastAsia="it-IT"/>
        </w:rPr>
        <w:t>Le cifre oggi previste dall’articolo 5 del RALOC sono, soprattutto per le piccole realtà, quasi insignificanti per non dire imbarazzanti di fronte agli oneri di spesa che i Municipi devono sostenere durante l’attività annuale e che potrebbero non essere state previste a preventivo.</w:t>
      </w:r>
    </w:p>
    <w:p w:rsidR="001C7EF2" w:rsidRPr="00CD58C3" w:rsidRDefault="001C7EF2" w:rsidP="003F635F">
      <w:pPr>
        <w:spacing w:after="0" w:line="240" w:lineRule="auto"/>
        <w:jc w:val="both"/>
        <w:rPr>
          <w:rFonts w:ascii="Arial" w:hAnsi="Arial" w:cs="Arial"/>
          <w:sz w:val="24"/>
          <w:szCs w:val="24"/>
          <w:lang w:val="it-IT" w:eastAsia="it-IT"/>
        </w:rPr>
      </w:pPr>
    </w:p>
    <w:p w:rsidR="003F635F" w:rsidRPr="00CD58C3" w:rsidRDefault="003F635F" w:rsidP="003F635F">
      <w:pPr>
        <w:spacing w:after="0" w:line="240" w:lineRule="auto"/>
        <w:jc w:val="both"/>
        <w:rPr>
          <w:rFonts w:ascii="Arial" w:hAnsi="Arial" w:cs="Arial"/>
          <w:sz w:val="24"/>
          <w:szCs w:val="24"/>
          <w:lang w:val="it-IT" w:eastAsia="it-IT"/>
        </w:rPr>
      </w:pPr>
      <w:r w:rsidRPr="00CD58C3">
        <w:rPr>
          <w:rFonts w:ascii="Arial" w:hAnsi="Arial" w:cs="Arial"/>
          <w:sz w:val="24"/>
          <w:szCs w:val="24"/>
          <w:lang w:val="it-IT" w:eastAsia="it-IT"/>
        </w:rPr>
        <w:t xml:space="preserve">Prendiamo ad esempio i Comuni con meno di 1'000 abitanti: la soglia di 15'000 CHF è oggigiorno troppo limitata per permettere di affrontare le spese di gestione corrente non preventivate. Sarebbe altresì impensabile convocare il Consiglio comunale per tutti questi sorpassi, sia per una questione pratica che di rispetto dell’istituzione stessa se pensiamo agli oggetti che sarebbero tenuti a trattare (con tanto di rapporti commissionali). La lista degli esempi potrebbe essere assai lunga; pensiamo solo che una semplice analisi con telecamera di una canalizzazione, una consulenza esterna di un ufficio specialistico o la sostituzione di alcune caditoie stradali rischiano agevolmente di superare la soglia limite prevista di 15'000 CHF se non addirittura la soglia dei 30'000 CHF nella gestione corrente. Sono tutte spese che devono poter essere registrate nella gestione corrente per questioni di praticità e anche di trasparenza verso il Consiglio comunale; in caso contrario esse potrebbero, per bypassare il limite di spesa, essere considerate degli investimenti gonfiando il conto degli investimenti di innumerevoli cespiti, sicuramente meno trasparenti e visibili per i consiglieri comunali.  </w:t>
      </w:r>
    </w:p>
    <w:p w:rsidR="003F635F" w:rsidRDefault="003F635F" w:rsidP="003F635F">
      <w:pPr>
        <w:spacing w:after="0" w:line="240" w:lineRule="auto"/>
        <w:jc w:val="both"/>
        <w:rPr>
          <w:rFonts w:ascii="Arial" w:hAnsi="Arial" w:cs="Arial"/>
          <w:sz w:val="24"/>
          <w:szCs w:val="24"/>
          <w:lang w:val="it-IT" w:eastAsia="it-IT"/>
        </w:rPr>
      </w:pPr>
      <w:r w:rsidRPr="00CD58C3">
        <w:rPr>
          <w:rFonts w:ascii="Arial" w:hAnsi="Arial" w:cs="Arial"/>
          <w:sz w:val="24"/>
          <w:szCs w:val="24"/>
          <w:lang w:val="it-IT" w:eastAsia="it-IT"/>
        </w:rPr>
        <w:lastRenderedPageBreak/>
        <w:t>Più il Comune è grande più si amplia la lista delle spese impreviste e anche qui la soglia appare limitata al confronto del costo da sostenere.  Con il presente rapporto non si intende tediare il Gran Consiglio con lunghe liste di esempi raccolti presso le Cancellerie comunali, ma si fa riferimento all’esperienza che tanti Gran Consiglieri hanno, o hanno avuto, negli Esecutivi o Legislativi comunali.</w:t>
      </w:r>
    </w:p>
    <w:p w:rsidR="001C7EF2" w:rsidRPr="00CD58C3" w:rsidRDefault="001C7EF2" w:rsidP="003F635F">
      <w:pPr>
        <w:spacing w:after="0" w:line="240" w:lineRule="auto"/>
        <w:jc w:val="both"/>
        <w:rPr>
          <w:rFonts w:ascii="Arial" w:hAnsi="Arial" w:cs="Arial"/>
          <w:sz w:val="24"/>
          <w:szCs w:val="24"/>
          <w:lang w:val="it-IT" w:eastAsia="it-IT"/>
        </w:rPr>
      </w:pPr>
    </w:p>
    <w:p w:rsidR="003F635F" w:rsidRDefault="003F635F" w:rsidP="003F635F">
      <w:pPr>
        <w:spacing w:after="0" w:line="240" w:lineRule="auto"/>
        <w:jc w:val="both"/>
        <w:rPr>
          <w:rFonts w:ascii="Arial" w:hAnsi="Arial" w:cs="Arial"/>
          <w:sz w:val="24"/>
          <w:szCs w:val="24"/>
          <w:lang w:val="it-IT" w:eastAsia="it-IT"/>
        </w:rPr>
      </w:pPr>
      <w:r w:rsidRPr="00CD58C3">
        <w:rPr>
          <w:rFonts w:ascii="Arial" w:hAnsi="Arial" w:cs="Arial"/>
          <w:sz w:val="24"/>
          <w:szCs w:val="24"/>
          <w:lang w:val="it-IT" w:eastAsia="it-IT"/>
        </w:rPr>
        <w:t>La mozione intende equiparare il limite straordinario (senza approvazione del CC) di spesa della gestione corrente a quello degli investimenti, una scelta che appare più che opportuna essendo identico l’organo decisionale, Municipio, che derime sulle due genesi di spesa.</w:t>
      </w:r>
    </w:p>
    <w:p w:rsidR="001C7EF2" w:rsidRPr="00CD58C3" w:rsidRDefault="001C7EF2" w:rsidP="003F635F">
      <w:pPr>
        <w:spacing w:after="0" w:line="240" w:lineRule="auto"/>
        <w:jc w:val="both"/>
        <w:rPr>
          <w:rFonts w:ascii="Arial" w:hAnsi="Arial" w:cs="Arial"/>
          <w:sz w:val="24"/>
          <w:szCs w:val="24"/>
          <w:lang w:val="it-IT" w:eastAsia="it-IT"/>
        </w:rPr>
      </w:pPr>
    </w:p>
    <w:p w:rsidR="003F635F" w:rsidRDefault="003F635F" w:rsidP="003F635F">
      <w:pPr>
        <w:spacing w:after="0" w:line="240" w:lineRule="auto"/>
        <w:jc w:val="both"/>
        <w:rPr>
          <w:rFonts w:ascii="Arial" w:hAnsi="Arial" w:cs="Arial"/>
          <w:sz w:val="24"/>
          <w:szCs w:val="24"/>
          <w:lang w:val="it-IT" w:eastAsia="it-IT"/>
        </w:rPr>
      </w:pPr>
      <w:r w:rsidRPr="00CD58C3">
        <w:rPr>
          <w:rFonts w:ascii="Arial" w:hAnsi="Arial" w:cs="Arial"/>
          <w:sz w:val="24"/>
          <w:szCs w:val="24"/>
          <w:lang w:val="it-IT" w:eastAsia="it-IT"/>
        </w:rPr>
        <w:t xml:space="preserve">L’attuale sistema di controllo e approvazione dei conti comunali fuga il timore che l’ampliamento di codesta delega di spesa sia un sistema per limitare la competenza del Legislativo in materia. </w:t>
      </w:r>
    </w:p>
    <w:p w:rsidR="001C7EF2" w:rsidRPr="00CD58C3" w:rsidRDefault="001C7EF2" w:rsidP="003F635F">
      <w:pPr>
        <w:spacing w:after="0" w:line="240" w:lineRule="auto"/>
        <w:jc w:val="both"/>
        <w:rPr>
          <w:rFonts w:ascii="Arial" w:hAnsi="Arial" w:cs="Arial"/>
          <w:sz w:val="24"/>
          <w:szCs w:val="24"/>
          <w:lang w:val="it-IT" w:eastAsia="it-IT"/>
        </w:rPr>
      </w:pPr>
    </w:p>
    <w:p w:rsidR="003F635F" w:rsidRDefault="003F635F" w:rsidP="003F635F">
      <w:pPr>
        <w:spacing w:after="0" w:line="240" w:lineRule="auto"/>
        <w:jc w:val="both"/>
        <w:rPr>
          <w:rFonts w:ascii="Arial" w:hAnsi="Arial" w:cs="Arial"/>
          <w:sz w:val="24"/>
          <w:szCs w:val="24"/>
          <w:lang w:val="it-IT" w:eastAsia="it-IT"/>
        </w:rPr>
      </w:pPr>
      <w:r w:rsidRPr="00CD58C3">
        <w:rPr>
          <w:rFonts w:ascii="Arial" w:hAnsi="Arial" w:cs="Arial"/>
          <w:sz w:val="24"/>
          <w:szCs w:val="24"/>
          <w:lang w:val="it-IT" w:eastAsia="it-IT"/>
        </w:rPr>
        <w:t>La chiara presentazione dei conti consuntivi annuali, ormai uniformata con MCA2, permette anche al consigliere comunale “più distratto” di chinarsi criticamente sugli scostamenti tra preventivo e consuntivo in tutti i centri di costi della contabilità annuale (in verità meglio che nel conto investimenti). Di riflesso, il Municipio è in obbligo di motivare in modo dettagliato nei messaggi municipali questi sorpassi che, visti i limiti di spesa proporzionali alla grandezza del Comune, non sono certamente responsabili di stravolgimenti nella politica gestionale del Comune.</w:t>
      </w:r>
    </w:p>
    <w:p w:rsidR="001C7EF2" w:rsidRPr="00CD58C3" w:rsidRDefault="001C7EF2" w:rsidP="003F635F">
      <w:pPr>
        <w:spacing w:after="0" w:line="240" w:lineRule="auto"/>
        <w:jc w:val="both"/>
        <w:rPr>
          <w:rFonts w:ascii="Arial" w:hAnsi="Arial" w:cs="Arial"/>
          <w:sz w:val="24"/>
          <w:szCs w:val="24"/>
          <w:lang w:val="it-IT" w:eastAsia="it-IT"/>
        </w:rPr>
      </w:pPr>
    </w:p>
    <w:p w:rsidR="003F635F" w:rsidRDefault="003F635F" w:rsidP="003F635F">
      <w:pPr>
        <w:spacing w:after="0" w:line="240" w:lineRule="auto"/>
        <w:jc w:val="both"/>
        <w:rPr>
          <w:rFonts w:ascii="Arial" w:hAnsi="Arial" w:cs="Arial"/>
          <w:sz w:val="24"/>
          <w:szCs w:val="24"/>
          <w:lang w:val="it-IT" w:eastAsia="it-IT"/>
        </w:rPr>
      </w:pPr>
      <w:r w:rsidRPr="00CD58C3">
        <w:rPr>
          <w:rFonts w:ascii="Arial" w:hAnsi="Arial" w:cs="Arial"/>
          <w:sz w:val="24"/>
          <w:szCs w:val="24"/>
          <w:lang w:val="it-IT" w:eastAsia="it-IT"/>
        </w:rPr>
        <w:t>Il Consiglio comunale detiene quindi in tutti i casi il potere di approvazione finale della spesa effettuata e può far valere il suo diritto di non ratifica di quanto fatto in sede di consuntivo aprendo di fatto una “crisi istituzionale” che in primis il Municipio ha tutte le ragioni di evitare.</w:t>
      </w:r>
    </w:p>
    <w:p w:rsidR="001C7EF2" w:rsidRDefault="001C7EF2" w:rsidP="003F635F">
      <w:pPr>
        <w:spacing w:after="0" w:line="240" w:lineRule="auto"/>
        <w:jc w:val="both"/>
        <w:rPr>
          <w:rFonts w:ascii="Arial" w:hAnsi="Arial" w:cs="Arial"/>
          <w:sz w:val="24"/>
          <w:szCs w:val="24"/>
          <w:lang w:val="it-IT" w:eastAsia="it-IT"/>
        </w:rPr>
      </w:pPr>
    </w:p>
    <w:p w:rsidR="001C7EF2" w:rsidRPr="00CD58C3" w:rsidRDefault="001C7EF2" w:rsidP="003F635F">
      <w:pPr>
        <w:spacing w:after="0" w:line="240" w:lineRule="auto"/>
        <w:jc w:val="both"/>
        <w:rPr>
          <w:rFonts w:ascii="Arial" w:hAnsi="Arial" w:cs="Arial"/>
          <w:sz w:val="24"/>
          <w:szCs w:val="24"/>
          <w:lang w:val="it-IT" w:eastAsia="it-IT"/>
        </w:rPr>
      </w:pPr>
    </w:p>
    <w:p w:rsidR="003F635F" w:rsidRPr="001C7EF2" w:rsidRDefault="003F635F" w:rsidP="001C7EF2">
      <w:pPr>
        <w:pStyle w:val="Titolo1"/>
        <w:tabs>
          <w:tab w:val="left" w:pos="567"/>
        </w:tabs>
        <w:spacing w:before="0" w:line="240" w:lineRule="auto"/>
        <w:ind w:left="567" w:hanging="567"/>
        <w:jc w:val="both"/>
        <w:rPr>
          <w:rFonts w:ascii="Arial" w:eastAsia="Calibri" w:hAnsi="Arial" w:cs="Times New Roman"/>
          <w:caps/>
          <w:sz w:val="24"/>
          <w:szCs w:val="24"/>
          <w:lang w:val="it-IT" w:eastAsia="it-IT"/>
        </w:rPr>
      </w:pPr>
      <w:r w:rsidRPr="001C7EF2">
        <w:rPr>
          <w:rFonts w:ascii="Arial" w:eastAsia="Calibri" w:hAnsi="Arial" w:cs="Times New Roman"/>
          <w:caps/>
          <w:sz w:val="24"/>
          <w:szCs w:val="24"/>
          <w:lang w:val="it-IT" w:eastAsia="it-IT"/>
        </w:rPr>
        <w:t>3.</w:t>
      </w:r>
      <w:r w:rsidRPr="001C7EF2">
        <w:rPr>
          <w:rFonts w:ascii="Arial" w:eastAsia="Calibri" w:hAnsi="Arial" w:cs="Times New Roman"/>
          <w:caps/>
          <w:sz w:val="24"/>
          <w:szCs w:val="24"/>
          <w:lang w:val="it-IT" w:eastAsia="it-IT"/>
        </w:rPr>
        <w:tab/>
        <w:t>POSIZIONE DELLA COMMISSIONE E CONCLUSIONI</w:t>
      </w:r>
    </w:p>
    <w:p w:rsidR="003F635F" w:rsidRPr="00CD58C3" w:rsidRDefault="003F635F" w:rsidP="003F635F">
      <w:pPr>
        <w:spacing w:after="0" w:line="240" w:lineRule="auto"/>
        <w:jc w:val="both"/>
        <w:rPr>
          <w:rFonts w:ascii="Arial" w:hAnsi="Arial" w:cs="Arial"/>
          <w:sz w:val="24"/>
          <w:szCs w:val="24"/>
        </w:rPr>
      </w:pPr>
      <w:r w:rsidRPr="00CD58C3">
        <w:rPr>
          <w:rFonts w:ascii="Arial" w:hAnsi="Arial" w:cs="Arial"/>
          <w:sz w:val="24"/>
          <w:szCs w:val="24"/>
        </w:rPr>
        <w:t>Alla luce di quanto sopraesposto, la Commissione Costituzione e leggi invita il Gran Consiglio ad approvare la mozione.</w:t>
      </w:r>
    </w:p>
    <w:p w:rsidR="003F635F" w:rsidRPr="00CD58C3" w:rsidRDefault="003F635F" w:rsidP="003F635F">
      <w:pPr>
        <w:suppressAutoHyphens/>
        <w:spacing w:after="0" w:line="240" w:lineRule="auto"/>
        <w:jc w:val="both"/>
        <w:rPr>
          <w:rFonts w:ascii="Arial" w:eastAsia="Arial" w:hAnsi="Arial" w:cs="Arial"/>
          <w:sz w:val="24"/>
          <w:szCs w:val="24"/>
        </w:rPr>
      </w:pPr>
    </w:p>
    <w:p w:rsidR="003F635F" w:rsidRPr="00CD58C3" w:rsidRDefault="003F635F" w:rsidP="003F635F">
      <w:pPr>
        <w:suppressAutoHyphens/>
        <w:spacing w:after="0" w:line="240" w:lineRule="auto"/>
        <w:jc w:val="both"/>
        <w:rPr>
          <w:rFonts w:ascii="Arial" w:eastAsia="Arial" w:hAnsi="Arial" w:cs="Arial"/>
          <w:sz w:val="24"/>
          <w:szCs w:val="24"/>
        </w:rPr>
      </w:pPr>
    </w:p>
    <w:p w:rsidR="003F635F" w:rsidRPr="00CD58C3" w:rsidRDefault="003F635F" w:rsidP="001C7EF2">
      <w:pPr>
        <w:suppressAutoHyphens/>
        <w:spacing w:after="120" w:line="240" w:lineRule="auto"/>
        <w:jc w:val="both"/>
        <w:rPr>
          <w:rFonts w:ascii="Arial" w:eastAsia="Arial" w:hAnsi="Arial" w:cs="Arial"/>
          <w:sz w:val="24"/>
          <w:szCs w:val="24"/>
        </w:rPr>
      </w:pPr>
      <w:r w:rsidRPr="00CD58C3">
        <w:rPr>
          <w:rFonts w:ascii="Arial" w:eastAsia="Arial" w:hAnsi="Arial" w:cs="Arial"/>
          <w:sz w:val="24"/>
          <w:szCs w:val="24"/>
        </w:rPr>
        <w:t>Per la Commissione Costituzione e leggi:</w:t>
      </w:r>
    </w:p>
    <w:p w:rsidR="003F635F" w:rsidRPr="00CD58C3" w:rsidRDefault="003F635F" w:rsidP="003F635F">
      <w:pPr>
        <w:suppressAutoHyphens/>
        <w:spacing w:after="0" w:line="240" w:lineRule="auto"/>
        <w:jc w:val="both"/>
        <w:rPr>
          <w:rFonts w:ascii="Arial" w:eastAsia="Arial" w:hAnsi="Arial" w:cs="Arial"/>
          <w:sz w:val="24"/>
          <w:szCs w:val="24"/>
        </w:rPr>
      </w:pPr>
      <w:r w:rsidRPr="00CD58C3">
        <w:rPr>
          <w:rFonts w:ascii="Arial" w:eastAsia="Arial" w:hAnsi="Arial" w:cs="Arial"/>
          <w:sz w:val="24"/>
          <w:szCs w:val="24"/>
        </w:rPr>
        <w:t>Sara Imelli, relatrice</w:t>
      </w:r>
    </w:p>
    <w:p w:rsidR="001C7EF2" w:rsidRDefault="003F635F" w:rsidP="003F635F">
      <w:pPr>
        <w:suppressAutoHyphens/>
        <w:spacing w:after="0" w:line="240" w:lineRule="auto"/>
        <w:jc w:val="both"/>
        <w:rPr>
          <w:rFonts w:ascii="Arial" w:eastAsia="Arial" w:hAnsi="Arial" w:cs="Arial"/>
          <w:sz w:val="24"/>
          <w:szCs w:val="24"/>
        </w:rPr>
      </w:pPr>
      <w:r w:rsidRPr="00CD58C3">
        <w:rPr>
          <w:rFonts w:ascii="Arial" w:eastAsia="Arial" w:hAnsi="Arial" w:cs="Arial"/>
          <w:sz w:val="24"/>
          <w:szCs w:val="24"/>
        </w:rPr>
        <w:t xml:space="preserve">Aldi - Buzzini - Censi - Corti - Gendotti </w:t>
      </w:r>
      <w:r w:rsidR="001C7EF2">
        <w:rPr>
          <w:rFonts w:ascii="Arial" w:eastAsia="Arial" w:hAnsi="Arial" w:cs="Arial"/>
          <w:sz w:val="24"/>
          <w:szCs w:val="24"/>
        </w:rPr>
        <w:t>-</w:t>
      </w:r>
      <w:r w:rsidRPr="00CD58C3">
        <w:rPr>
          <w:rFonts w:ascii="Arial" w:eastAsia="Arial" w:hAnsi="Arial" w:cs="Arial"/>
          <w:sz w:val="24"/>
          <w:szCs w:val="24"/>
        </w:rPr>
        <w:t xml:space="preserve"> </w:t>
      </w:r>
    </w:p>
    <w:p w:rsidR="00F91D05" w:rsidRDefault="003F635F" w:rsidP="003F635F">
      <w:pPr>
        <w:suppressAutoHyphens/>
        <w:spacing w:after="0" w:line="240" w:lineRule="auto"/>
        <w:jc w:val="both"/>
        <w:rPr>
          <w:rFonts w:ascii="Arial" w:eastAsia="Arial" w:hAnsi="Arial" w:cs="Arial"/>
          <w:sz w:val="24"/>
          <w:szCs w:val="24"/>
        </w:rPr>
      </w:pPr>
      <w:r w:rsidRPr="00CD58C3">
        <w:rPr>
          <w:rFonts w:ascii="Arial" w:eastAsia="Arial" w:hAnsi="Arial" w:cs="Arial"/>
          <w:sz w:val="24"/>
          <w:szCs w:val="24"/>
        </w:rPr>
        <w:t xml:space="preserve">Genini </w:t>
      </w:r>
      <w:r w:rsidR="00F91D05">
        <w:rPr>
          <w:rFonts w:ascii="Arial" w:eastAsia="Arial" w:hAnsi="Arial" w:cs="Arial"/>
          <w:sz w:val="24"/>
          <w:szCs w:val="24"/>
        </w:rPr>
        <w:t>-</w:t>
      </w:r>
      <w:r w:rsidRPr="00CD58C3">
        <w:rPr>
          <w:rFonts w:ascii="Arial" w:eastAsia="Arial" w:hAnsi="Arial" w:cs="Arial"/>
          <w:sz w:val="24"/>
          <w:szCs w:val="24"/>
        </w:rPr>
        <w:t xml:space="preserve"> </w:t>
      </w:r>
      <w:r w:rsidR="00F91D05" w:rsidRPr="00C504C8">
        <w:rPr>
          <w:rFonts w:ascii="Arial" w:eastAsia="Arial" w:hAnsi="Arial" w:cs="Arial"/>
          <w:sz w:val="24"/>
          <w:szCs w:val="24"/>
        </w:rPr>
        <w:t>Ghisolfi</w:t>
      </w:r>
      <w:r w:rsidR="00F91D05">
        <w:rPr>
          <w:rFonts w:ascii="Arial" w:eastAsia="Arial" w:hAnsi="Arial" w:cs="Arial"/>
          <w:sz w:val="24"/>
          <w:szCs w:val="24"/>
        </w:rPr>
        <w:t xml:space="preserve"> - </w:t>
      </w:r>
      <w:r w:rsidRPr="00CD58C3">
        <w:rPr>
          <w:rFonts w:ascii="Arial" w:eastAsia="Arial" w:hAnsi="Arial" w:cs="Arial"/>
          <w:sz w:val="24"/>
          <w:szCs w:val="24"/>
        </w:rPr>
        <w:t xml:space="preserve">Käppeli - Lepori C. </w:t>
      </w:r>
      <w:r w:rsidR="00F91D05">
        <w:rPr>
          <w:rFonts w:ascii="Arial" w:eastAsia="Arial" w:hAnsi="Arial" w:cs="Arial"/>
          <w:sz w:val="24"/>
          <w:szCs w:val="24"/>
        </w:rPr>
        <w:t>-</w:t>
      </w:r>
      <w:r w:rsidRPr="00CD58C3">
        <w:rPr>
          <w:rFonts w:ascii="Arial" w:eastAsia="Arial" w:hAnsi="Arial" w:cs="Arial"/>
          <w:sz w:val="24"/>
          <w:szCs w:val="24"/>
        </w:rPr>
        <w:t xml:space="preserve"> </w:t>
      </w:r>
    </w:p>
    <w:p w:rsidR="003F635F" w:rsidRPr="00CD58C3" w:rsidRDefault="003F635F" w:rsidP="003F635F">
      <w:pPr>
        <w:suppressAutoHyphens/>
        <w:spacing w:after="0" w:line="240" w:lineRule="auto"/>
        <w:jc w:val="both"/>
        <w:rPr>
          <w:rFonts w:ascii="Arial" w:eastAsia="Arial" w:hAnsi="Arial" w:cs="Arial"/>
          <w:sz w:val="24"/>
          <w:szCs w:val="24"/>
        </w:rPr>
      </w:pPr>
      <w:r w:rsidRPr="00CD58C3">
        <w:rPr>
          <w:rFonts w:ascii="Arial" w:eastAsia="Arial" w:hAnsi="Arial" w:cs="Arial"/>
          <w:sz w:val="24"/>
          <w:szCs w:val="24"/>
        </w:rPr>
        <w:t xml:space="preserve">Lepori D. </w:t>
      </w:r>
      <w:r w:rsidR="001C7EF2">
        <w:rPr>
          <w:rFonts w:ascii="Arial" w:eastAsia="Arial" w:hAnsi="Arial" w:cs="Arial"/>
          <w:sz w:val="24"/>
          <w:szCs w:val="24"/>
        </w:rPr>
        <w:t>-</w:t>
      </w:r>
      <w:r w:rsidRPr="00CD58C3">
        <w:rPr>
          <w:rFonts w:ascii="Arial" w:eastAsia="Arial" w:hAnsi="Arial" w:cs="Arial"/>
          <w:sz w:val="24"/>
          <w:szCs w:val="24"/>
        </w:rPr>
        <w:t xml:space="preserve"> Passardi - Ris - Stephani - Terraneo</w:t>
      </w:r>
    </w:p>
    <w:p w:rsidR="003F635F" w:rsidRPr="00CD58C3" w:rsidRDefault="003F635F" w:rsidP="003F635F">
      <w:pPr>
        <w:suppressAutoHyphens/>
        <w:spacing w:after="0" w:line="240" w:lineRule="auto"/>
        <w:jc w:val="both"/>
        <w:rPr>
          <w:rFonts w:ascii="Arial" w:eastAsia="Arial" w:hAnsi="Arial" w:cs="Arial"/>
          <w:sz w:val="24"/>
          <w:szCs w:val="24"/>
        </w:rPr>
      </w:pPr>
    </w:p>
    <w:p w:rsidR="00D649A8" w:rsidRPr="003F635F" w:rsidRDefault="00D649A8" w:rsidP="00D33940">
      <w:pPr>
        <w:pStyle w:val="StandardRisoluzionedelConsigliodiStato"/>
        <w:ind w:right="-1"/>
      </w:pPr>
    </w:p>
    <w:p w:rsidR="00D649A8" w:rsidRPr="003F635F" w:rsidRDefault="00D649A8" w:rsidP="00D33940">
      <w:pPr>
        <w:pStyle w:val="StandardRisoluzionedelConsigliodiStato"/>
        <w:ind w:right="-1"/>
      </w:pPr>
    </w:p>
    <w:sectPr w:rsidR="00D649A8" w:rsidRPr="003F635F" w:rsidSect="00375115">
      <w:headerReference w:type="even" r:id="rId13"/>
      <w:headerReference w:type="default" r:id="rId14"/>
      <w:footerReference w:type="even" r:id="rId15"/>
      <w:footerReference w:type="default" r:id="rId16"/>
      <w:headerReference w:type="first" r:id="rId17"/>
      <w:footerReference w:type="first" r:id="rId18"/>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35F" w:rsidRDefault="003F635F" w:rsidP="00F657BF">
      <w:r>
        <w:separator/>
      </w:r>
    </w:p>
  </w:endnote>
  <w:endnote w:type="continuationSeparator" w:id="0">
    <w:p w:rsidR="003F635F" w:rsidRDefault="003F635F"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altName w:val="Gill Sans M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5F" w:rsidRDefault="003F63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060D54" w:rsidP="00912E34">
          <w:pPr>
            <w:tabs>
              <w:tab w:val="center" w:pos="2382"/>
            </w:tabs>
          </w:pPr>
        </w:p>
      </w:tc>
      <w:tc>
        <w:tcPr>
          <w:tcW w:w="721" w:type="dxa"/>
        </w:tcPr>
        <w:p w:rsidR="00912E34" w:rsidRPr="003D1008" w:rsidRDefault="003F0942"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3F0942"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060D54"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060D54">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35F" w:rsidRDefault="003F635F" w:rsidP="00F657BF">
      <w:r>
        <w:separator/>
      </w:r>
    </w:p>
  </w:footnote>
  <w:footnote w:type="continuationSeparator" w:id="0">
    <w:p w:rsidR="003F635F" w:rsidRDefault="003F635F"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5F" w:rsidRDefault="003F6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8AC74B7D-C393-4485-AFA4-E6DE82854501}"/>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3F635F" w:rsidP="00A532F6">
              <w:pPr>
                <w:pStyle w:val="Page"/>
                <w:rPr>
                  <w:rFonts w:ascii="Gill Alt One MT Light" w:hAnsi="Gill Alt One MT Light"/>
                  <w:sz w:val="16"/>
                  <w:szCs w:val="16"/>
                </w:rPr>
              </w:pPr>
              <w:r>
                <w:rPr>
                  <w:rFonts w:ascii="Gill Alt One MT Light" w:hAnsi="Gill Alt One MT Light"/>
                  <w:sz w:val="16"/>
                  <w:szCs w:val="16"/>
                </w:rPr>
                <w:t>Dipartimento delle istituzioni</w:t>
              </w:r>
            </w:p>
          </w:tc>
        </w:sdtContent>
      </w:sdt>
      <w:tc>
        <w:tcPr>
          <w:tcW w:w="1710" w:type="dxa"/>
          <w:tcBorders>
            <w:bottom w:val="single" w:sz="4" w:space="0" w:color="auto"/>
          </w:tcBorders>
          <w:vAlign w:val="bottom"/>
        </w:tcPr>
        <w:p w:rsidR="005012EC" w:rsidRPr="004204CB" w:rsidRDefault="003F0942"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060D54">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060D54">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8AC74B7D-C393-4485-AFA4-E6DE82854501}"/>
          <w:text w:multiLine="1"/>
        </w:sdtPr>
        <w:sdtEndPr/>
        <w:sdtContent>
          <w:tc>
            <w:tcPr>
              <w:tcW w:w="8383" w:type="dxa"/>
              <w:tcBorders>
                <w:left w:val="single" w:sz="4" w:space="0" w:color="auto"/>
              </w:tcBorders>
              <w:tcMar>
                <w:top w:w="0" w:type="dxa"/>
                <w:left w:w="142" w:type="dxa"/>
              </w:tcMar>
            </w:tcPr>
            <w:p w:rsidR="005012EC" w:rsidRPr="003F635F" w:rsidRDefault="003F635F"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8148 R del 11 ottobre 2022</w:t>
              </w:r>
            </w:p>
          </w:tc>
        </w:sdtContent>
      </w:sdt>
      <w:tc>
        <w:tcPr>
          <w:tcW w:w="1710" w:type="dxa"/>
          <w:tcBorders>
            <w:top w:val="single" w:sz="4" w:space="0" w:color="auto"/>
          </w:tcBorders>
        </w:tcPr>
        <w:p w:rsidR="005012EC" w:rsidRPr="003F635F" w:rsidRDefault="00060D54" w:rsidP="00662409">
          <w:pPr>
            <w:pStyle w:val="InvisibleLine"/>
            <w:rPr>
              <w:lang w:val="it-CH"/>
            </w:rPr>
          </w:pPr>
        </w:p>
      </w:tc>
    </w:tr>
  </w:tbl>
  <w:p w:rsidR="00F657BF" w:rsidRPr="00980362" w:rsidRDefault="003F0942"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8AC74B7D-C393-4485-AFA4-E6DE82854501}"/>
                            <w:text w:multiLine="1"/>
                          </w:sdtPr>
                          <w:sdtEndPr/>
                          <w:sdtContent>
                            <w:p w:rsidR="008065E8" w:rsidRPr="00411371" w:rsidRDefault="003F0942"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98FFB68F-4380-457B-B9CC-FA86F4E8EB3B}"/>
                      <w:text w:multiLine="1"/>
                    </w:sdtPr>
                    <w:sdtEndPr/>
                    <w:sdtContent>
                      <w:p w:rsidR="008065E8" w:rsidRPr="00411371" w:rsidRDefault="003F0942"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060D54" w:rsidP="00D07D6E">
          <w:pPr>
            <w:pStyle w:val="InvisibleLine"/>
            <w:ind w:left="150"/>
            <w:rPr>
              <w:sz w:val="16"/>
            </w:rPr>
          </w:pPr>
        </w:p>
      </w:tc>
      <w:tc>
        <w:tcPr>
          <w:tcW w:w="373" w:type="pct"/>
          <w:tcBorders>
            <w:top w:val="nil"/>
            <w:bottom w:val="single" w:sz="4" w:space="0" w:color="auto"/>
          </w:tcBorders>
          <w:vAlign w:val="bottom"/>
        </w:tcPr>
        <w:p w:rsidR="00662409" w:rsidRPr="003108C0" w:rsidRDefault="00060D54" w:rsidP="00D07D6E">
          <w:pPr>
            <w:pStyle w:val="Level"/>
            <w:ind w:left="150"/>
            <w:rPr>
              <w:sz w:val="16"/>
            </w:rPr>
          </w:pPr>
        </w:p>
      </w:tc>
      <w:tc>
        <w:tcPr>
          <w:tcW w:w="209" w:type="pct"/>
          <w:tcBorders>
            <w:top w:val="nil"/>
            <w:bottom w:val="single" w:sz="4" w:space="0" w:color="auto"/>
          </w:tcBorders>
        </w:tcPr>
        <w:p w:rsidR="00662409" w:rsidRDefault="003F0942"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64427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3F0942"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060D54">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060D54">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8AC74B7D-C393-4485-AFA4-E6DE82854501}"/>
          <w:text w:multiLine="1"/>
        </w:sdtPr>
        <w:sdtEndPr/>
        <w:sdtContent>
          <w:tc>
            <w:tcPr>
              <w:tcW w:w="5000" w:type="pct"/>
              <w:gridSpan w:val="6"/>
              <w:tcBorders>
                <w:left w:val="nil"/>
                <w:right w:val="nil"/>
              </w:tcBorders>
              <w:noWrap/>
              <w:tcMar>
                <w:top w:w="0" w:type="dxa"/>
              </w:tcMar>
              <w:vAlign w:val="bottom"/>
            </w:tcPr>
            <w:p w:rsidR="00662409" w:rsidRPr="008C03B5" w:rsidRDefault="0059579A" w:rsidP="00DB7CD8">
              <w:pPr>
                <w:pStyle w:val="HeaderDecisione"/>
                <w:tabs>
                  <w:tab w:val="left" w:pos="1459"/>
                </w:tabs>
                <w:spacing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3F0942"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060D54"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3F0942"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060D54"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3F0942"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060D54"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060D54"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8AC74B7D-C393-4485-AFA4-E6DE82854501}"/>
              <w:text w:multiLine="1"/>
            </w:sdtPr>
            <w:sdtEndPr/>
            <w:sdtContent>
              <w:r w:rsidR="003F635F">
                <w:rPr>
                  <w:rFonts w:cstheme="minorHAnsi"/>
                  <w:b/>
                  <w:sz w:val="24"/>
                  <w:szCs w:val="24"/>
                </w:rPr>
                <w:t>8148 R</w:t>
              </w:r>
            </w:sdtContent>
          </w:sdt>
        </w:p>
      </w:tc>
      <w:sdt>
        <w:sdtPr>
          <w:rPr>
            <w:sz w:val="24"/>
          </w:rPr>
          <w:alias w:val="DocParam.Date"/>
          <w:id w:val="-464426178"/>
          <w:dataBinding w:xpath="//DateTime[@id='DocParam.Date']" w:storeItemID="{8AC74B7D-C393-4485-AFA4-E6DE82854501}"/>
          <w:date w:fullDate="2022-10-11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3F635F" w:rsidP="00A532F6">
              <w:pPr>
                <w:pStyle w:val="Data"/>
              </w:pPr>
              <w:r>
                <w:rPr>
                  <w:sz w:val="24"/>
                </w:rPr>
                <w:t>11 ottobre 2022</w:t>
              </w:r>
            </w:p>
          </w:tc>
        </w:sdtContent>
      </w:sdt>
      <w:tc>
        <w:tcPr>
          <w:tcW w:w="3218" w:type="pct"/>
          <w:gridSpan w:val="4"/>
          <w:tcBorders>
            <w:top w:val="nil"/>
            <w:left w:val="nil"/>
            <w:bottom w:val="nil"/>
            <w:right w:val="nil"/>
          </w:tcBorders>
        </w:tcPr>
        <w:p w:rsidR="008C03B5" w:rsidRPr="00BE22A2" w:rsidRDefault="00060D54" w:rsidP="00A532F6">
          <w:pPr>
            <w:pStyle w:val="Data"/>
            <w:rPr>
              <w:rFonts w:cstheme="minorHAnsi"/>
              <w:sz w:val="23"/>
              <w:szCs w:val="23"/>
            </w:rPr>
          </w:pPr>
          <w:sdt>
            <w:sdtPr>
              <w:rPr>
                <w:smallCaps/>
                <w:sz w:val="23"/>
                <w:szCs w:val="23"/>
              </w:rPr>
              <w:alias w:val="CustomElements.Fields.Dipartimenti"/>
              <w:id w:val="-1138097914"/>
              <w:dataBinding w:xpath="//Text[@id='CustomElements.Fields.Dipartimenti']" w:storeItemID="{8AC74B7D-C393-4485-AFA4-E6DE82854501}"/>
              <w:text w:multiLine="1"/>
            </w:sdtPr>
            <w:sdtEndPr/>
            <w:sdtContent>
              <w:r w:rsidR="003F635F">
                <w:rPr>
                  <w:smallCaps/>
                  <w:sz w:val="23"/>
                  <w:szCs w:val="23"/>
                </w:rP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060D54" w:rsidP="00D07D6E">
          <w:pPr>
            <w:pStyle w:val="Level"/>
            <w:ind w:left="150"/>
            <w:rPr>
              <w:rFonts w:ascii="Gill Alt One MT Light" w:hAnsi="Gill Alt One MT Light"/>
              <w:sz w:val="16"/>
              <w:szCs w:val="16"/>
            </w:rPr>
          </w:pPr>
        </w:p>
      </w:tc>
    </w:tr>
  </w:tbl>
  <w:p w:rsidR="00F657BF" w:rsidRPr="00DA2879" w:rsidRDefault="003F0942"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06766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8AC74B7D-C393-4485-AFA4-E6DE82854501}"/>
                            <w:text w:multiLine="1"/>
                          </w:sdtPr>
                          <w:sdtEndPr/>
                          <w:sdtContent>
                            <w:p w:rsidR="00E93620" w:rsidRPr="00411371" w:rsidRDefault="003F0942"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98FFB68F-4380-457B-B9CC-FA86F4E8EB3B}"/>
                      <w:text w:multiLine="1"/>
                    </w:sdtPr>
                    <w:sdtEndPr/>
                    <w:sdtContent>
                      <w:p w:rsidR="00E93620" w:rsidRPr="00411371" w:rsidRDefault="003F0942"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72A74"/>
    <w:multiLevelType w:val="hybridMultilevel"/>
    <w:tmpl w:val="C27CADC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7D86DCE"/>
    <w:multiLevelType w:val="hybridMultilevel"/>
    <w:tmpl w:val="8ED05C06"/>
    <w:lvl w:ilvl="0" w:tplc="0810000F">
      <w:start w:val="1"/>
      <w:numFmt w:val="decimal"/>
      <w:lvlText w:val="%1."/>
      <w:lvlJc w:val="left"/>
      <w:pPr>
        <w:ind w:left="720" w:hanging="360"/>
      </w:pPr>
      <w:rPr>
        <w:rFonts w:hint="default"/>
      </w:rPr>
    </w:lvl>
    <w:lvl w:ilvl="1" w:tplc="0D2CD5C6">
      <w:start w:val="1"/>
      <w:numFmt w:val="decimal"/>
      <w:lvlText w:val="2.%2."/>
      <w:lvlJc w:val="left"/>
      <w:pPr>
        <w:ind w:left="1440" w:hanging="360"/>
      </w:pPr>
      <w:rPr>
        <w:rFonts w:hint="default"/>
      </w:r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3"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73576D8"/>
    <w:multiLevelType w:val="hybridMultilevel"/>
    <w:tmpl w:val="53DEEF6C"/>
    <w:lvl w:ilvl="0" w:tplc="278A1BAE">
      <w:start w:val="1"/>
      <w:numFmt w:val="lowerRoman"/>
      <w:lvlText w:val="(%1)"/>
      <w:lvlJc w:val="left"/>
      <w:pPr>
        <w:ind w:left="1425" w:hanging="720"/>
      </w:pPr>
      <w:rPr>
        <w:rFonts w:hint="default"/>
      </w:rPr>
    </w:lvl>
    <w:lvl w:ilvl="1" w:tplc="08100019" w:tentative="1">
      <w:start w:val="1"/>
      <w:numFmt w:val="lowerLetter"/>
      <w:lvlText w:val="%2."/>
      <w:lvlJc w:val="left"/>
      <w:pPr>
        <w:ind w:left="1785" w:hanging="360"/>
      </w:pPr>
    </w:lvl>
    <w:lvl w:ilvl="2" w:tplc="0810001B" w:tentative="1">
      <w:start w:val="1"/>
      <w:numFmt w:val="lowerRoman"/>
      <w:lvlText w:val="%3."/>
      <w:lvlJc w:val="right"/>
      <w:pPr>
        <w:ind w:left="2505" w:hanging="180"/>
      </w:pPr>
    </w:lvl>
    <w:lvl w:ilvl="3" w:tplc="0810000F" w:tentative="1">
      <w:start w:val="1"/>
      <w:numFmt w:val="decimal"/>
      <w:lvlText w:val="%4."/>
      <w:lvlJc w:val="left"/>
      <w:pPr>
        <w:ind w:left="3225" w:hanging="360"/>
      </w:pPr>
    </w:lvl>
    <w:lvl w:ilvl="4" w:tplc="08100019" w:tentative="1">
      <w:start w:val="1"/>
      <w:numFmt w:val="lowerLetter"/>
      <w:lvlText w:val="%5."/>
      <w:lvlJc w:val="left"/>
      <w:pPr>
        <w:ind w:left="3945" w:hanging="360"/>
      </w:pPr>
    </w:lvl>
    <w:lvl w:ilvl="5" w:tplc="0810001B" w:tentative="1">
      <w:start w:val="1"/>
      <w:numFmt w:val="lowerRoman"/>
      <w:lvlText w:val="%6."/>
      <w:lvlJc w:val="right"/>
      <w:pPr>
        <w:ind w:left="4665" w:hanging="180"/>
      </w:pPr>
    </w:lvl>
    <w:lvl w:ilvl="6" w:tplc="0810000F" w:tentative="1">
      <w:start w:val="1"/>
      <w:numFmt w:val="decimal"/>
      <w:lvlText w:val="%7."/>
      <w:lvlJc w:val="left"/>
      <w:pPr>
        <w:ind w:left="5385" w:hanging="360"/>
      </w:pPr>
    </w:lvl>
    <w:lvl w:ilvl="7" w:tplc="08100019" w:tentative="1">
      <w:start w:val="1"/>
      <w:numFmt w:val="lowerLetter"/>
      <w:lvlText w:val="%8."/>
      <w:lvlJc w:val="left"/>
      <w:pPr>
        <w:ind w:left="6105" w:hanging="360"/>
      </w:pPr>
    </w:lvl>
    <w:lvl w:ilvl="8" w:tplc="0810001B" w:tentative="1">
      <w:start w:val="1"/>
      <w:numFmt w:val="lowerRoman"/>
      <w:lvlText w:val="%9."/>
      <w:lvlJc w:val="right"/>
      <w:pPr>
        <w:ind w:left="6825" w:hanging="180"/>
      </w:p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num w:numId="1">
    <w:abstractNumId w:val="13"/>
  </w:num>
  <w:num w:numId="2">
    <w:abstractNumId w:val="19"/>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8"/>
  </w:num>
  <w:num w:numId="5">
    <w:abstractNumId w:val="16"/>
  </w:num>
  <w:num w:numId="6">
    <w:abstractNumId w:val="14"/>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 w:numId="19">
    <w:abstractNumId w:val="12"/>
  </w:num>
  <w:num w:numId="2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5F"/>
    <w:rsid w:val="00060D54"/>
    <w:rsid w:val="000B7992"/>
    <w:rsid w:val="00185278"/>
    <w:rsid w:val="001C7EF2"/>
    <w:rsid w:val="001F5B75"/>
    <w:rsid w:val="002727C1"/>
    <w:rsid w:val="002B5D9F"/>
    <w:rsid w:val="002C081C"/>
    <w:rsid w:val="003B756D"/>
    <w:rsid w:val="003F0942"/>
    <w:rsid w:val="003F635F"/>
    <w:rsid w:val="00403ADB"/>
    <w:rsid w:val="004F0B22"/>
    <w:rsid w:val="00530270"/>
    <w:rsid w:val="00572FD3"/>
    <w:rsid w:val="0059579A"/>
    <w:rsid w:val="008720C4"/>
    <w:rsid w:val="008C50C6"/>
    <w:rsid w:val="008F52AF"/>
    <w:rsid w:val="00941004"/>
    <w:rsid w:val="009B39A7"/>
    <w:rsid w:val="009C5E5A"/>
    <w:rsid w:val="009E7789"/>
    <w:rsid w:val="009F660A"/>
    <w:rsid w:val="00A35F0F"/>
    <w:rsid w:val="00AF0268"/>
    <w:rsid w:val="00B81E6D"/>
    <w:rsid w:val="00BF0A1F"/>
    <w:rsid w:val="00C504C8"/>
    <w:rsid w:val="00C5597E"/>
    <w:rsid w:val="00D33940"/>
    <w:rsid w:val="00D42D07"/>
    <w:rsid w:val="00D600FD"/>
    <w:rsid w:val="00D639B1"/>
    <w:rsid w:val="00D649A8"/>
    <w:rsid w:val="00D66469"/>
    <w:rsid w:val="00E05B67"/>
    <w:rsid w:val="00E13514"/>
    <w:rsid w:val="00EB088A"/>
    <w:rsid w:val="00ED0062"/>
    <w:rsid w:val="00F47EA4"/>
    <w:rsid w:val="00F657BF"/>
    <w:rsid w:val="00F85D8B"/>
    <w:rsid w:val="00F91D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F749196-A323-48B1-9489-FB1764BF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635F"/>
    <w:pPr>
      <w:spacing w:after="160" w:line="259" w:lineRule="auto"/>
      <w:jc w:val="left"/>
    </w:pPr>
    <w:rPr>
      <w:lang w:val="it-CH"/>
    </w:rPr>
  </w:style>
  <w:style w:type="paragraph" w:styleId="Titolo1">
    <w:name w:val="heading 1"/>
    <w:basedOn w:val="Normale"/>
    <w:next w:val="Normale"/>
    <w:link w:val="Titolo1Carattere"/>
    <w:qFormat/>
    <w:rsid w:val="006F0D42"/>
    <w:pPr>
      <w:keepNext/>
      <w:spacing w:before="240" w:after="120"/>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26"/>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Corpo">
    <w:name w:val="Corpo"/>
    <w:rsid w:val="003F635F"/>
    <w:pPr>
      <w:pBdr>
        <w:top w:val="nil"/>
        <w:left w:val="nil"/>
        <w:bottom w:val="nil"/>
        <w:right w:val="nil"/>
        <w:between w:val="nil"/>
        <w:bar w:val="nil"/>
      </w:pBdr>
      <w:jc w:val="left"/>
    </w:pPr>
    <w:rPr>
      <w:rFonts w:ascii="Helvetica Neue" w:eastAsia="Arial Unicode MS" w:hAnsi="Helvetica Neue" w:cs="Arial Unicode MS"/>
      <w:color w:val="000000"/>
      <w:bdr w:val="nil"/>
      <w:lang w:val="en-US"/>
    </w:rPr>
  </w:style>
  <w:style w:type="paragraph" w:customStyle="1" w:styleId="Default">
    <w:name w:val="Default"/>
    <w:rsid w:val="003F635F"/>
    <w:pPr>
      <w:autoSpaceDE w:val="0"/>
      <w:autoSpaceDN w:val="0"/>
      <w:adjustRightInd w:val="0"/>
      <w:jc w:val="left"/>
    </w:pPr>
    <w:rPr>
      <w:rFonts w:ascii="Arial" w:hAnsi="Arial" w:cs="Arial"/>
      <w:color w:val="000000"/>
      <w:sz w:val="24"/>
      <w:szCs w:val="24"/>
      <w:lang w:val="it-CH"/>
    </w:rPr>
  </w:style>
  <w:style w:type="character" w:styleId="Collegamentoipertestuale">
    <w:name w:val="Hyperlink"/>
    <w:basedOn w:val="Carpredefinitoparagrafo"/>
    <w:uiPriority w:val="99"/>
    <w:unhideWhenUsed/>
    <w:rsid w:val="003F635F"/>
    <w:rPr>
      <w:color w:val="0000FF" w:themeColor="hyperlink"/>
      <w:u w:val="single"/>
    </w:rPr>
  </w:style>
  <w:style w:type="paragraph" w:styleId="Testofumetto">
    <w:name w:val="Balloon Text"/>
    <w:basedOn w:val="Normale"/>
    <w:link w:val="TestofumettoCarattere"/>
    <w:uiPriority w:val="99"/>
    <w:semiHidden/>
    <w:unhideWhenUsed/>
    <w:rsid w:val="00E135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3514"/>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4.ti.ch/area-media/comunicati/dettaglio-comunicato/?NEWS_ID=210770&amp;cHash=90b429549c8941a2adff179a9338bbd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4.ti.ch/di/sel/eventi/ultima-edizion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8612035c-174f-4981-abcb-c03f037807d4.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264427053</Id>
      <Width>0</Width>
      <Height>0</Height>
      <XPath>//Image[@id='Profile.Org.WappenSW']</XPath>
      <ImageHash>02f1c0cdac6aeac316213b2e7cb733a0</ImageHash>
    </ImageSizeDefinition>
    <ImageSizeDefinition>
      <Id>1067667412</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f 0 4 d 1 c 9 3 - 1 4 2 b - 4 3 e 9 - b 4 0 c - c 4 7 5 e c 6 1 3 3 d d "   t I d = " a 3 6 2 a 5 d 4 - 9 5 8 9 - 4 1 b f - a 4 e 6 - 4 f 8 7 c 4 e 4 1 2 3 9 "   i n t e r n a l T I d = " 9 0 6 4 c c 7 f - 3 1 6 d - 4 6 b 1 - a 4 a c - 7 4 8 6 0 c 3 f 8 a 5 b "   m t I d = " 2 7 5 a f 3 2 e - b c 4 0 - 4 5 c 2 - 8 5 b 7 - a f b 1 c 0 3 8 2 6 5 3 "   r e v i s i o n = " 0 "   c r e a t e d m a j o r v e r s i o n = " 0 "   c r e a t e d m i n o r v e r s i o n = " 0 "   c r e a t e d = " 2 0 2 2 - 1 0 - 1 3 T 0 7 : 0 4 : 0 1 . 1 3 4 9 8 7 4 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D i p a r t i m e n t o   d e l l e   i s t i t u z i o n i ] ] > < / T e x t >  
                 < T e x t   i d = " C u s t o m E l e m e n t s . S u b T e m p l a t e . L a n d s c a p e . H e a d e r . T i t o l o "   l a b e l = " C u s t o m E l e m e n t s . S u b T e m p l a t e . L a n d s c a p e . H e a d e r . T i t o l o " > < ! [ C D A T A [ R a p p o r t o   n .   8 1 4 8   R   d e l   1 1   o t t o b r e   2 0 2 2 ] ] > < / 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T e x t >  
                 < T e x t   i d = " C u s t o m E l e m e n t s . F i e l d s . T i t o l o 2 "   l a b e l = " C u s t o m E l e m e n t s . F i e l d s . T i t o l o 2 " > < ! [ C D A T A [ R a p p o r t o   n .   8 1 4 8   R   d e l   1 1   o t t o b r e   2 0 2 2 ] ] > < / 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 2 0 2 2 - 1 0 - 1 1 T 0 0 : 0 0 : 0 0 Z < / D a t e T i m e >  
                 < T e x t   i d = " D o c P a r a m . N u m b e r " > < ! [ C D A T A [ 8 1 4 8   R ] ] > < / T e x t >  
                 < T e x t   i d = " D o c P a r a m . D o c u m e n t o " > < ! [ C D A T A [ R a p p o r t o ] ] > < / T e x t >  
                 < T e x t   i d = " D o c P a r a m . A g g i u n t a D o c "   t o o l t i p = " ( e s .   b i s ,   a g g i u n t i v o ,   a g g i u n t i v o   b i s ,   1 ,   2   e c c . ) " > < ! [ C D A T A [   ] ] > < / T e x t >  
                 < T e x t   i d = " D o c P a r a m . D i p a r t i m e n t i " > < ! [ C D A T A [ D i p a r t i m e n t o   d e l l e   i s t i t u z i o n i ] ] > < / 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33DA5CCE-8C33-47D5-B971-0BDDCC740BBF}">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8AC74B7D-C393-4485-AFA4-E6DE82854501}">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8612035c-174f-4981-abcb-c03f037807d4.dotx</Template>
  <TotalTime>28</TotalTime>
  <Pages>4</Pages>
  <Words>1473</Words>
  <Characters>8400</Characters>
  <Application>Microsoft Office Word</Application>
  <DocSecurity>0</DocSecurity>
  <Lines>70</Lines>
  <Paragraphs>19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 Luca / T128124</dc:creator>
  <cp:lastModifiedBy>Venturi Luca</cp:lastModifiedBy>
  <cp:revision>28</cp:revision>
  <cp:lastPrinted>2022-10-24T14:11:00Z</cp:lastPrinted>
  <dcterms:created xsi:type="dcterms:W3CDTF">2022-10-13T07:04:00Z</dcterms:created>
  <dcterms:modified xsi:type="dcterms:W3CDTF">2022-10-24T14:12:00Z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