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8A2" w:rsidRPr="00AA6D48" w:rsidRDefault="00FE48A2" w:rsidP="00FE48A2">
      <w:pPr>
        <w:rPr>
          <w:rFonts w:cs="Arial"/>
          <w:b/>
          <w:sz w:val="28"/>
          <w:szCs w:val="28"/>
        </w:rPr>
      </w:pPr>
      <w:r w:rsidRPr="00AA6D48">
        <w:rPr>
          <w:rFonts w:cs="Arial"/>
          <w:b/>
          <w:sz w:val="28"/>
          <w:szCs w:val="28"/>
        </w:rPr>
        <w:t xml:space="preserve">della </w:t>
      </w:r>
      <w:r>
        <w:rPr>
          <w:rFonts w:cs="Arial"/>
          <w:b/>
          <w:sz w:val="28"/>
          <w:szCs w:val="28"/>
        </w:rPr>
        <w:t>Commissione ambiente, territorio ed energia</w:t>
      </w:r>
    </w:p>
    <w:p w:rsidR="00FE48A2" w:rsidRDefault="00FE48A2" w:rsidP="00FE48A2">
      <w:pPr>
        <w:autoSpaceDE w:val="0"/>
        <w:autoSpaceDN w:val="0"/>
        <w:adjustRightInd w:val="0"/>
        <w:rPr>
          <w:rFonts w:cs="Arial"/>
          <w:b/>
          <w:sz w:val="28"/>
          <w:szCs w:val="28"/>
        </w:rPr>
      </w:pPr>
      <w:r w:rsidRPr="00FD4036">
        <w:rPr>
          <w:rFonts w:cs="Arial"/>
          <w:b/>
          <w:sz w:val="28"/>
          <w:szCs w:val="28"/>
        </w:rPr>
        <w:t xml:space="preserve">sulla mozione 19 ottobre 2020 presentata da Paolo Ortelli e cofirmatari </w:t>
      </w:r>
      <w:r w:rsidR="0055673C">
        <w:rPr>
          <w:rFonts w:cs="Arial"/>
          <w:b/>
          <w:sz w:val="28"/>
          <w:szCs w:val="28"/>
        </w:rPr>
        <w:t>“</w:t>
      </w:r>
      <w:r w:rsidRPr="00FD4036">
        <w:rPr>
          <w:rFonts w:cs="Arial"/>
          <w:b/>
          <w:sz w:val="28"/>
          <w:szCs w:val="28"/>
        </w:rPr>
        <w:t>Per un Ticino con un parco immobili CO2</w:t>
      </w:r>
      <w:r>
        <w:rPr>
          <w:rFonts w:cs="Arial"/>
          <w:b/>
          <w:sz w:val="28"/>
          <w:szCs w:val="28"/>
        </w:rPr>
        <w:t xml:space="preserve"> neutrale </w:t>
      </w:r>
      <w:r w:rsidR="0055673C">
        <w:rPr>
          <w:rFonts w:cs="Arial"/>
          <w:b/>
          <w:sz w:val="28"/>
          <w:szCs w:val="28"/>
        </w:rPr>
        <w:t>entro il 2040”</w:t>
      </w:r>
    </w:p>
    <w:p w:rsidR="00FE48A2" w:rsidRPr="000B6695" w:rsidRDefault="00FE48A2" w:rsidP="00FE48A2">
      <w:pPr>
        <w:autoSpaceDE w:val="0"/>
        <w:autoSpaceDN w:val="0"/>
        <w:adjustRightInd w:val="0"/>
        <w:spacing w:before="60"/>
        <w:rPr>
          <w:rFonts w:cs="Arial"/>
          <w:sz w:val="26"/>
          <w:szCs w:val="26"/>
        </w:rPr>
      </w:pPr>
      <w:r w:rsidRPr="000B6695">
        <w:rPr>
          <w:rFonts w:cs="Arial"/>
          <w:b/>
          <w:sz w:val="26"/>
          <w:szCs w:val="26"/>
        </w:rPr>
        <w:t>(messaggio n. 8001 del 26 maggio 2021)</w:t>
      </w:r>
    </w:p>
    <w:p w:rsidR="00FE48A2" w:rsidRDefault="00FE48A2" w:rsidP="00FE48A2">
      <w:pPr>
        <w:rPr>
          <w:rFonts w:cs="Arial"/>
        </w:rPr>
      </w:pPr>
    </w:p>
    <w:p w:rsidR="00FE48A2" w:rsidRPr="00C75C1B" w:rsidRDefault="00FE48A2" w:rsidP="00FE48A2">
      <w:pPr>
        <w:rPr>
          <w:rFonts w:cs="Arial"/>
          <w:sz w:val="24"/>
          <w:szCs w:val="24"/>
        </w:rPr>
      </w:pPr>
    </w:p>
    <w:p w:rsidR="00FE48A2" w:rsidRPr="00C75C1B" w:rsidRDefault="00FE48A2" w:rsidP="00FE48A2">
      <w:pPr>
        <w:rPr>
          <w:rFonts w:cs="Arial"/>
          <w:b/>
          <w:sz w:val="24"/>
          <w:szCs w:val="24"/>
        </w:rPr>
      </w:pPr>
      <w:r w:rsidRPr="00C75C1B">
        <w:rPr>
          <w:rFonts w:cs="Arial"/>
          <w:b/>
          <w:sz w:val="24"/>
          <w:szCs w:val="24"/>
        </w:rPr>
        <w:t>INDICE</w:t>
      </w:r>
    </w:p>
    <w:p w:rsidR="00FE48A2" w:rsidRPr="00C75C1B" w:rsidRDefault="00FE48A2" w:rsidP="00FE48A2">
      <w:pPr>
        <w:rPr>
          <w:rFonts w:cs="Arial"/>
          <w:sz w:val="24"/>
          <w:szCs w:val="24"/>
        </w:rPr>
      </w:pPr>
    </w:p>
    <w:sdt>
      <w:sdtPr>
        <w:rPr>
          <w:b w:val="0"/>
          <w:bCs/>
          <w:sz w:val="24"/>
          <w:szCs w:val="24"/>
        </w:rPr>
        <w:id w:val="1852368109"/>
        <w:docPartObj>
          <w:docPartGallery w:val="Table of Contents"/>
          <w:docPartUnique/>
        </w:docPartObj>
      </w:sdtPr>
      <w:sdtEndPr>
        <w:rPr>
          <w:bCs w:val="0"/>
        </w:rPr>
      </w:sdtEndPr>
      <w:sdtContent>
        <w:p w:rsidR="00FE48A2" w:rsidRPr="0055673C" w:rsidRDefault="00FE48A2" w:rsidP="00FE48A2">
          <w:pPr>
            <w:pStyle w:val="Sommario1"/>
            <w:rPr>
              <w:rFonts w:asciiTheme="minorHAnsi" w:eastAsiaTheme="minorEastAsia" w:hAnsiTheme="minorHAnsi"/>
              <w:b w:val="0"/>
              <w:bCs/>
              <w:sz w:val="24"/>
              <w:szCs w:val="24"/>
              <w:lang w:eastAsia="it-CH"/>
            </w:rPr>
          </w:pPr>
          <w:r w:rsidRPr="00C75C1B">
            <w:rPr>
              <w:noProof/>
              <w:sz w:val="24"/>
              <w:szCs w:val="24"/>
            </w:rPr>
            <w:fldChar w:fldCharType="begin"/>
          </w:r>
          <w:r w:rsidRPr="00C75C1B">
            <w:rPr>
              <w:sz w:val="24"/>
              <w:szCs w:val="24"/>
            </w:rPr>
            <w:instrText xml:space="preserve"> TOC \o "1-3" \h \z \u </w:instrText>
          </w:r>
          <w:r w:rsidRPr="00C75C1B">
            <w:rPr>
              <w:noProof/>
              <w:sz w:val="24"/>
              <w:szCs w:val="24"/>
            </w:rPr>
            <w:fldChar w:fldCharType="separate"/>
          </w:r>
          <w:hyperlink w:anchor="_Toc115094115" w:history="1">
            <w:r w:rsidRPr="0055673C">
              <w:rPr>
                <w:rStyle w:val="Collegamentoipertestuale"/>
                <w:b w:val="0"/>
                <w:sz w:val="24"/>
                <w:szCs w:val="24"/>
              </w:rPr>
              <w:t>1.</w:t>
            </w:r>
            <w:r w:rsidRPr="0055673C">
              <w:rPr>
                <w:rFonts w:asciiTheme="minorHAnsi" w:eastAsiaTheme="minorEastAsia" w:hAnsiTheme="minorHAnsi"/>
                <w:b w:val="0"/>
                <w:sz w:val="24"/>
                <w:szCs w:val="24"/>
                <w:lang w:eastAsia="it-CH"/>
              </w:rPr>
              <w:tab/>
            </w:r>
            <w:r w:rsidRPr="0055673C">
              <w:rPr>
                <w:rStyle w:val="Collegamentoipertestuale"/>
                <w:b w:val="0"/>
                <w:sz w:val="24"/>
                <w:szCs w:val="24"/>
              </w:rPr>
              <w:t>LA MOZIONE MO1555</w:t>
            </w:r>
            <w:r w:rsidRPr="0055673C">
              <w:rPr>
                <w:b w:val="0"/>
                <w:webHidden/>
                <w:sz w:val="24"/>
                <w:szCs w:val="24"/>
              </w:rPr>
              <w:tab/>
            </w:r>
            <w:r w:rsidRPr="0055673C">
              <w:rPr>
                <w:b w:val="0"/>
                <w:webHidden/>
                <w:sz w:val="24"/>
                <w:szCs w:val="24"/>
              </w:rPr>
              <w:fldChar w:fldCharType="begin"/>
            </w:r>
            <w:r w:rsidRPr="0055673C">
              <w:rPr>
                <w:b w:val="0"/>
                <w:webHidden/>
                <w:sz w:val="24"/>
                <w:szCs w:val="24"/>
              </w:rPr>
              <w:instrText xml:space="preserve"> PAGEREF _Toc115094115 \h </w:instrText>
            </w:r>
            <w:r w:rsidRPr="0055673C">
              <w:rPr>
                <w:b w:val="0"/>
                <w:webHidden/>
                <w:sz w:val="24"/>
                <w:szCs w:val="24"/>
              </w:rPr>
            </w:r>
            <w:r w:rsidRPr="0055673C">
              <w:rPr>
                <w:b w:val="0"/>
                <w:webHidden/>
                <w:sz w:val="24"/>
                <w:szCs w:val="24"/>
              </w:rPr>
              <w:fldChar w:fldCharType="separate"/>
            </w:r>
            <w:r w:rsidR="005D1E7E">
              <w:rPr>
                <w:b w:val="0"/>
                <w:noProof/>
                <w:webHidden/>
                <w:sz w:val="24"/>
                <w:szCs w:val="24"/>
              </w:rPr>
              <w:t>1</w:t>
            </w:r>
            <w:r w:rsidRPr="0055673C">
              <w:rPr>
                <w:b w:val="0"/>
                <w:webHidden/>
                <w:sz w:val="24"/>
                <w:szCs w:val="24"/>
              </w:rPr>
              <w:fldChar w:fldCharType="end"/>
            </w:r>
          </w:hyperlink>
        </w:p>
        <w:p w:rsidR="00FE48A2" w:rsidRPr="0055673C" w:rsidRDefault="002D0EA5" w:rsidP="00FE48A2">
          <w:pPr>
            <w:pStyle w:val="Sommario1"/>
            <w:rPr>
              <w:rFonts w:asciiTheme="minorHAnsi" w:eastAsiaTheme="minorEastAsia" w:hAnsiTheme="minorHAnsi"/>
              <w:b w:val="0"/>
              <w:bCs/>
              <w:sz w:val="24"/>
              <w:szCs w:val="24"/>
              <w:lang w:eastAsia="it-CH"/>
            </w:rPr>
          </w:pPr>
          <w:hyperlink w:anchor="_Toc115094116" w:history="1">
            <w:r w:rsidR="00FE48A2" w:rsidRPr="0055673C">
              <w:rPr>
                <w:rStyle w:val="Collegamentoipertestuale"/>
                <w:b w:val="0"/>
                <w:sz w:val="24"/>
                <w:szCs w:val="24"/>
              </w:rPr>
              <w:t>2.</w:t>
            </w:r>
            <w:r w:rsidR="00FE48A2" w:rsidRPr="0055673C">
              <w:rPr>
                <w:rFonts w:asciiTheme="minorHAnsi" w:eastAsiaTheme="minorEastAsia" w:hAnsiTheme="minorHAnsi"/>
                <w:b w:val="0"/>
                <w:sz w:val="24"/>
                <w:szCs w:val="24"/>
                <w:lang w:eastAsia="it-CH"/>
              </w:rPr>
              <w:tab/>
            </w:r>
            <w:r w:rsidR="00FE48A2" w:rsidRPr="0055673C">
              <w:rPr>
                <w:rStyle w:val="Collegamentoipertestuale"/>
                <w:b w:val="0"/>
                <w:sz w:val="24"/>
                <w:szCs w:val="24"/>
              </w:rPr>
              <w:t>IL RAPPORTO DEL CONSIGLIO DI STATO M8001</w:t>
            </w:r>
            <w:r w:rsidR="00FE48A2" w:rsidRPr="0055673C">
              <w:rPr>
                <w:b w:val="0"/>
                <w:webHidden/>
                <w:sz w:val="24"/>
                <w:szCs w:val="24"/>
              </w:rPr>
              <w:tab/>
            </w:r>
            <w:r w:rsidR="00FE48A2" w:rsidRPr="0055673C">
              <w:rPr>
                <w:b w:val="0"/>
                <w:webHidden/>
                <w:sz w:val="24"/>
                <w:szCs w:val="24"/>
              </w:rPr>
              <w:fldChar w:fldCharType="begin"/>
            </w:r>
            <w:r w:rsidR="00FE48A2" w:rsidRPr="0055673C">
              <w:rPr>
                <w:b w:val="0"/>
                <w:webHidden/>
                <w:sz w:val="24"/>
                <w:szCs w:val="24"/>
              </w:rPr>
              <w:instrText xml:space="preserve"> PAGEREF _Toc115094116 \h </w:instrText>
            </w:r>
            <w:r w:rsidR="00FE48A2" w:rsidRPr="0055673C">
              <w:rPr>
                <w:b w:val="0"/>
                <w:webHidden/>
                <w:sz w:val="24"/>
                <w:szCs w:val="24"/>
              </w:rPr>
            </w:r>
            <w:r w:rsidR="00FE48A2" w:rsidRPr="0055673C">
              <w:rPr>
                <w:b w:val="0"/>
                <w:webHidden/>
                <w:sz w:val="24"/>
                <w:szCs w:val="24"/>
              </w:rPr>
              <w:fldChar w:fldCharType="separate"/>
            </w:r>
            <w:r w:rsidR="005D1E7E">
              <w:rPr>
                <w:b w:val="0"/>
                <w:noProof/>
                <w:webHidden/>
                <w:sz w:val="24"/>
                <w:szCs w:val="24"/>
              </w:rPr>
              <w:t>1</w:t>
            </w:r>
            <w:r w:rsidR="00FE48A2" w:rsidRPr="0055673C">
              <w:rPr>
                <w:b w:val="0"/>
                <w:webHidden/>
                <w:sz w:val="24"/>
                <w:szCs w:val="24"/>
              </w:rPr>
              <w:fldChar w:fldCharType="end"/>
            </w:r>
          </w:hyperlink>
        </w:p>
        <w:p w:rsidR="00FE48A2" w:rsidRPr="0055673C" w:rsidRDefault="002D0EA5" w:rsidP="00FE48A2">
          <w:pPr>
            <w:pStyle w:val="Sommario1"/>
            <w:rPr>
              <w:rFonts w:asciiTheme="minorHAnsi" w:eastAsiaTheme="minorEastAsia" w:hAnsiTheme="minorHAnsi"/>
              <w:b w:val="0"/>
              <w:bCs/>
              <w:sz w:val="24"/>
              <w:szCs w:val="24"/>
              <w:lang w:eastAsia="it-CH"/>
            </w:rPr>
          </w:pPr>
          <w:hyperlink w:anchor="_Toc115094117" w:history="1">
            <w:r w:rsidR="00FE48A2" w:rsidRPr="0055673C">
              <w:rPr>
                <w:rStyle w:val="Collegamentoipertestuale"/>
                <w:b w:val="0"/>
                <w:sz w:val="24"/>
                <w:szCs w:val="24"/>
              </w:rPr>
              <w:t>3.</w:t>
            </w:r>
            <w:r w:rsidR="00FE48A2" w:rsidRPr="0055673C">
              <w:rPr>
                <w:rFonts w:asciiTheme="minorHAnsi" w:eastAsiaTheme="minorEastAsia" w:hAnsiTheme="minorHAnsi"/>
                <w:b w:val="0"/>
                <w:sz w:val="24"/>
                <w:szCs w:val="24"/>
                <w:lang w:eastAsia="it-CH"/>
              </w:rPr>
              <w:tab/>
            </w:r>
            <w:r w:rsidR="00FE48A2" w:rsidRPr="0055673C">
              <w:rPr>
                <w:rStyle w:val="Collegamentoipertestuale"/>
                <w:b w:val="0"/>
                <w:sz w:val="24"/>
                <w:szCs w:val="24"/>
              </w:rPr>
              <w:t>LAVORI COMMISSIONALI E AUDIZIONE</w:t>
            </w:r>
            <w:r w:rsidR="00FE48A2" w:rsidRPr="0055673C">
              <w:rPr>
                <w:b w:val="0"/>
                <w:webHidden/>
                <w:sz w:val="24"/>
                <w:szCs w:val="24"/>
              </w:rPr>
              <w:tab/>
            </w:r>
            <w:r w:rsidR="00FE48A2" w:rsidRPr="0055673C">
              <w:rPr>
                <w:b w:val="0"/>
                <w:webHidden/>
                <w:sz w:val="24"/>
                <w:szCs w:val="24"/>
              </w:rPr>
              <w:fldChar w:fldCharType="begin"/>
            </w:r>
            <w:r w:rsidR="00FE48A2" w:rsidRPr="0055673C">
              <w:rPr>
                <w:b w:val="0"/>
                <w:webHidden/>
                <w:sz w:val="24"/>
                <w:szCs w:val="24"/>
              </w:rPr>
              <w:instrText xml:space="preserve"> PAGEREF _Toc115094117 \h </w:instrText>
            </w:r>
            <w:r w:rsidR="00FE48A2" w:rsidRPr="0055673C">
              <w:rPr>
                <w:b w:val="0"/>
                <w:webHidden/>
                <w:sz w:val="24"/>
                <w:szCs w:val="24"/>
              </w:rPr>
            </w:r>
            <w:r w:rsidR="00FE48A2" w:rsidRPr="0055673C">
              <w:rPr>
                <w:b w:val="0"/>
                <w:webHidden/>
                <w:sz w:val="24"/>
                <w:szCs w:val="24"/>
              </w:rPr>
              <w:fldChar w:fldCharType="separate"/>
            </w:r>
            <w:r w:rsidR="005D1E7E">
              <w:rPr>
                <w:b w:val="0"/>
                <w:noProof/>
                <w:webHidden/>
                <w:sz w:val="24"/>
                <w:szCs w:val="24"/>
              </w:rPr>
              <w:t>2</w:t>
            </w:r>
            <w:r w:rsidR="00FE48A2" w:rsidRPr="0055673C">
              <w:rPr>
                <w:b w:val="0"/>
                <w:webHidden/>
                <w:sz w:val="24"/>
                <w:szCs w:val="24"/>
              </w:rPr>
              <w:fldChar w:fldCharType="end"/>
            </w:r>
          </w:hyperlink>
        </w:p>
        <w:p w:rsidR="00FE48A2" w:rsidRPr="0055673C" w:rsidRDefault="002D0EA5" w:rsidP="00FE48A2">
          <w:pPr>
            <w:pStyle w:val="Sommario1"/>
            <w:rPr>
              <w:rFonts w:asciiTheme="minorHAnsi" w:eastAsiaTheme="minorEastAsia" w:hAnsiTheme="minorHAnsi"/>
              <w:b w:val="0"/>
              <w:bCs/>
              <w:sz w:val="24"/>
              <w:szCs w:val="24"/>
              <w:lang w:eastAsia="it-CH"/>
            </w:rPr>
          </w:pPr>
          <w:hyperlink w:anchor="_Toc115094118" w:history="1">
            <w:r w:rsidR="00FE48A2" w:rsidRPr="0055673C">
              <w:rPr>
                <w:rStyle w:val="Collegamentoipertestuale"/>
                <w:b w:val="0"/>
                <w:sz w:val="24"/>
                <w:szCs w:val="24"/>
              </w:rPr>
              <w:t>4.</w:t>
            </w:r>
            <w:r w:rsidR="00FE48A2" w:rsidRPr="0055673C">
              <w:rPr>
                <w:rFonts w:asciiTheme="minorHAnsi" w:eastAsiaTheme="minorEastAsia" w:hAnsiTheme="minorHAnsi"/>
                <w:b w:val="0"/>
                <w:sz w:val="24"/>
                <w:szCs w:val="24"/>
                <w:lang w:eastAsia="it-CH"/>
              </w:rPr>
              <w:tab/>
            </w:r>
            <w:r w:rsidR="00FE48A2" w:rsidRPr="0055673C">
              <w:rPr>
                <w:rStyle w:val="Collegamentoipertestuale"/>
                <w:b w:val="0"/>
                <w:sz w:val="24"/>
                <w:szCs w:val="24"/>
              </w:rPr>
              <w:t>CONSIDERAZIONI DELLA COMMISSIONE</w:t>
            </w:r>
            <w:r w:rsidR="00FE48A2" w:rsidRPr="0055673C">
              <w:rPr>
                <w:b w:val="0"/>
                <w:webHidden/>
                <w:sz w:val="24"/>
                <w:szCs w:val="24"/>
              </w:rPr>
              <w:tab/>
            </w:r>
            <w:r w:rsidR="00FE48A2" w:rsidRPr="0055673C">
              <w:rPr>
                <w:b w:val="0"/>
                <w:webHidden/>
                <w:sz w:val="24"/>
                <w:szCs w:val="24"/>
              </w:rPr>
              <w:fldChar w:fldCharType="begin"/>
            </w:r>
            <w:r w:rsidR="00FE48A2" w:rsidRPr="0055673C">
              <w:rPr>
                <w:b w:val="0"/>
                <w:webHidden/>
                <w:sz w:val="24"/>
                <w:szCs w:val="24"/>
              </w:rPr>
              <w:instrText xml:space="preserve"> PAGEREF _Toc115094118 \h </w:instrText>
            </w:r>
            <w:r w:rsidR="00FE48A2" w:rsidRPr="0055673C">
              <w:rPr>
                <w:b w:val="0"/>
                <w:webHidden/>
                <w:sz w:val="24"/>
                <w:szCs w:val="24"/>
              </w:rPr>
            </w:r>
            <w:r w:rsidR="00FE48A2" w:rsidRPr="0055673C">
              <w:rPr>
                <w:b w:val="0"/>
                <w:webHidden/>
                <w:sz w:val="24"/>
                <w:szCs w:val="24"/>
              </w:rPr>
              <w:fldChar w:fldCharType="separate"/>
            </w:r>
            <w:r w:rsidR="005D1E7E">
              <w:rPr>
                <w:b w:val="0"/>
                <w:noProof/>
                <w:webHidden/>
                <w:sz w:val="24"/>
                <w:szCs w:val="24"/>
              </w:rPr>
              <w:t>4</w:t>
            </w:r>
            <w:r w:rsidR="00FE48A2" w:rsidRPr="0055673C">
              <w:rPr>
                <w:b w:val="0"/>
                <w:webHidden/>
                <w:sz w:val="24"/>
                <w:szCs w:val="24"/>
              </w:rPr>
              <w:fldChar w:fldCharType="end"/>
            </w:r>
          </w:hyperlink>
        </w:p>
        <w:p w:rsidR="00FE48A2" w:rsidRPr="00C75C1B" w:rsidRDefault="002D0EA5" w:rsidP="00FE48A2">
          <w:pPr>
            <w:pStyle w:val="Sommario1"/>
            <w:rPr>
              <w:rFonts w:asciiTheme="minorHAnsi" w:eastAsiaTheme="minorEastAsia" w:hAnsiTheme="minorHAnsi"/>
              <w:bCs/>
              <w:sz w:val="24"/>
              <w:szCs w:val="24"/>
              <w:lang w:eastAsia="it-CH"/>
            </w:rPr>
          </w:pPr>
          <w:hyperlink w:anchor="_Toc115094119" w:history="1">
            <w:r w:rsidR="00FE48A2" w:rsidRPr="0055673C">
              <w:rPr>
                <w:rStyle w:val="Collegamentoipertestuale"/>
                <w:b w:val="0"/>
                <w:sz w:val="24"/>
                <w:szCs w:val="24"/>
              </w:rPr>
              <w:t>5.</w:t>
            </w:r>
            <w:r w:rsidR="00FE48A2" w:rsidRPr="0055673C">
              <w:rPr>
                <w:rFonts w:asciiTheme="minorHAnsi" w:eastAsiaTheme="minorEastAsia" w:hAnsiTheme="minorHAnsi"/>
                <w:b w:val="0"/>
                <w:sz w:val="24"/>
                <w:szCs w:val="24"/>
                <w:lang w:eastAsia="it-CH"/>
              </w:rPr>
              <w:tab/>
            </w:r>
            <w:r w:rsidR="00FE48A2" w:rsidRPr="0055673C">
              <w:rPr>
                <w:rStyle w:val="Collegamentoipertestuale"/>
                <w:b w:val="0"/>
                <w:sz w:val="24"/>
                <w:szCs w:val="24"/>
              </w:rPr>
              <w:t>CONCLUSIONI</w:t>
            </w:r>
            <w:r w:rsidR="00FE48A2" w:rsidRPr="0055673C">
              <w:rPr>
                <w:b w:val="0"/>
                <w:webHidden/>
                <w:sz w:val="24"/>
                <w:szCs w:val="24"/>
              </w:rPr>
              <w:tab/>
            </w:r>
            <w:r w:rsidR="00FE48A2" w:rsidRPr="0055673C">
              <w:rPr>
                <w:b w:val="0"/>
                <w:webHidden/>
                <w:sz w:val="24"/>
                <w:szCs w:val="24"/>
              </w:rPr>
              <w:fldChar w:fldCharType="begin"/>
            </w:r>
            <w:r w:rsidR="00FE48A2" w:rsidRPr="0055673C">
              <w:rPr>
                <w:b w:val="0"/>
                <w:webHidden/>
                <w:sz w:val="24"/>
                <w:szCs w:val="24"/>
              </w:rPr>
              <w:instrText xml:space="preserve"> PAGEREF _Toc115094119 \h </w:instrText>
            </w:r>
            <w:r w:rsidR="00FE48A2" w:rsidRPr="0055673C">
              <w:rPr>
                <w:b w:val="0"/>
                <w:webHidden/>
                <w:sz w:val="24"/>
                <w:szCs w:val="24"/>
              </w:rPr>
            </w:r>
            <w:r w:rsidR="00FE48A2" w:rsidRPr="0055673C">
              <w:rPr>
                <w:b w:val="0"/>
                <w:webHidden/>
                <w:sz w:val="24"/>
                <w:szCs w:val="24"/>
              </w:rPr>
              <w:fldChar w:fldCharType="separate"/>
            </w:r>
            <w:r w:rsidR="005D1E7E">
              <w:rPr>
                <w:b w:val="0"/>
                <w:noProof/>
                <w:webHidden/>
                <w:sz w:val="24"/>
                <w:szCs w:val="24"/>
              </w:rPr>
              <w:t>5</w:t>
            </w:r>
            <w:r w:rsidR="00FE48A2" w:rsidRPr="0055673C">
              <w:rPr>
                <w:b w:val="0"/>
                <w:webHidden/>
                <w:sz w:val="24"/>
                <w:szCs w:val="24"/>
              </w:rPr>
              <w:fldChar w:fldCharType="end"/>
            </w:r>
          </w:hyperlink>
        </w:p>
        <w:p w:rsidR="00FE48A2" w:rsidRPr="00C75C1B" w:rsidRDefault="00FE48A2" w:rsidP="00FE48A2">
          <w:pPr>
            <w:rPr>
              <w:rFonts w:cs="Arial"/>
              <w:sz w:val="24"/>
              <w:szCs w:val="24"/>
            </w:rPr>
          </w:pPr>
          <w:r w:rsidRPr="00C75C1B">
            <w:rPr>
              <w:rFonts w:cs="Arial"/>
              <w:bCs/>
              <w:sz w:val="24"/>
              <w:szCs w:val="24"/>
            </w:rPr>
            <w:fldChar w:fldCharType="end"/>
          </w:r>
        </w:p>
      </w:sdtContent>
    </w:sdt>
    <w:p w:rsidR="00FE48A2" w:rsidRPr="00C75C1B" w:rsidRDefault="00FE48A2" w:rsidP="00FE48A2">
      <w:pPr>
        <w:rPr>
          <w:rFonts w:eastAsia="Times New Roman" w:cs="Times New Roman"/>
          <w:sz w:val="24"/>
          <w:szCs w:val="24"/>
        </w:rPr>
      </w:pPr>
    </w:p>
    <w:p w:rsidR="00FE48A2" w:rsidRPr="00C75C1B" w:rsidRDefault="00FE48A2" w:rsidP="00FE48A2">
      <w:pPr>
        <w:rPr>
          <w:rFonts w:eastAsia="Times New Roman" w:cs="Times New Roman"/>
          <w:sz w:val="24"/>
          <w:szCs w:val="24"/>
        </w:rPr>
      </w:pPr>
    </w:p>
    <w:p w:rsidR="00FE48A2" w:rsidRPr="008269C7" w:rsidRDefault="00FE48A2" w:rsidP="008269C7">
      <w:pPr>
        <w:pStyle w:val="Titolo1"/>
        <w:numPr>
          <w:ilvl w:val="0"/>
          <w:numId w:val="18"/>
        </w:numPr>
        <w:tabs>
          <w:tab w:val="left" w:pos="567"/>
        </w:tabs>
        <w:suppressAutoHyphens w:val="0"/>
        <w:spacing w:before="0"/>
        <w:ind w:left="567" w:hanging="567"/>
        <w:jc w:val="both"/>
        <w:rPr>
          <w:rFonts w:eastAsia="Calibri" w:cs="Times New Roman"/>
          <w:caps/>
          <w:sz w:val="24"/>
          <w:szCs w:val="24"/>
          <w:lang w:val="it-IT" w:eastAsia="it-IT"/>
        </w:rPr>
      </w:pPr>
      <w:bookmarkStart w:id="0" w:name="_Toc115094115"/>
      <w:r w:rsidRPr="008269C7">
        <w:rPr>
          <w:rFonts w:eastAsia="Calibri" w:cs="Times New Roman"/>
          <w:caps/>
          <w:sz w:val="24"/>
          <w:szCs w:val="24"/>
          <w:lang w:val="it-IT" w:eastAsia="it-IT"/>
        </w:rPr>
        <w:t>LA MOZIONE N. 1555</w:t>
      </w:r>
      <w:bookmarkEnd w:id="0"/>
    </w:p>
    <w:p w:rsidR="00FE48A2" w:rsidRPr="0028737E" w:rsidRDefault="00FE48A2" w:rsidP="00FE48A2">
      <w:pPr>
        <w:suppressAutoHyphens w:val="0"/>
        <w:autoSpaceDE w:val="0"/>
        <w:autoSpaceDN w:val="0"/>
        <w:adjustRightInd w:val="0"/>
        <w:rPr>
          <w:sz w:val="24"/>
          <w:szCs w:val="24"/>
        </w:rPr>
      </w:pPr>
      <w:r>
        <w:rPr>
          <w:rFonts w:cs="Arial"/>
          <w:sz w:val="24"/>
          <w:szCs w:val="24"/>
        </w:rPr>
        <w:t>L</w:t>
      </w:r>
      <w:r w:rsidRPr="0028737E">
        <w:rPr>
          <w:rFonts w:cs="Arial"/>
          <w:sz w:val="24"/>
          <w:szCs w:val="24"/>
        </w:rPr>
        <w:t>a mozione in oggetto chiede che entro il 2040 sia raggiunta la neutralità dal profilo del CO2 per quanto concerne le emissioni di tutti gli stabili pubblici del Cantone, scuole comprese, e che a tal fine sia presentato entro un anno dall’eventuale accoglimento della mozione un piano che presenti delle tappe intermedie che indicativamente saranno suddivise secondo la diminuzione media delle emissioni (anno di riferimento il primo del piano) del 25% entro il 2028, 50% entro il 2032, 75% entro il 2036, 100% entro il 2040; contemporaneamente il piano dovrà contenere le linee direttrici di intervento, in particolare indicare l’entità amministrativa incaricata della sua attuazione, con l’obbligo per il Consiglio di Stato di sottoporre al Parlamento un credito quadro a cadenza quadriennale per l’attuazione del piano, che contempli anche una valutazione e un consuntivo di quanto fatto nei periodo precedenti.</w:t>
      </w:r>
    </w:p>
    <w:p w:rsidR="00FE48A2" w:rsidRPr="0028737E" w:rsidRDefault="00FE48A2" w:rsidP="00FE48A2">
      <w:pPr>
        <w:rPr>
          <w:sz w:val="24"/>
          <w:szCs w:val="24"/>
        </w:rPr>
      </w:pPr>
    </w:p>
    <w:p w:rsidR="00FE48A2" w:rsidRPr="0028737E" w:rsidRDefault="00FE48A2" w:rsidP="00FE48A2">
      <w:pPr>
        <w:rPr>
          <w:sz w:val="24"/>
          <w:szCs w:val="24"/>
        </w:rPr>
      </w:pPr>
    </w:p>
    <w:p w:rsidR="00FE48A2" w:rsidRPr="008269C7" w:rsidRDefault="00FE48A2" w:rsidP="008269C7">
      <w:pPr>
        <w:pStyle w:val="Titolo1"/>
        <w:numPr>
          <w:ilvl w:val="0"/>
          <w:numId w:val="18"/>
        </w:numPr>
        <w:tabs>
          <w:tab w:val="left" w:pos="567"/>
        </w:tabs>
        <w:suppressAutoHyphens w:val="0"/>
        <w:spacing w:before="0"/>
        <w:ind w:left="567" w:hanging="567"/>
        <w:jc w:val="both"/>
        <w:rPr>
          <w:rFonts w:eastAsia="Calibri" w:cs="Times New Roman"/>
          <w:caps/>
          <w:sz w:val="24"/>
          <w:szCs w:val="24"/>
          <w:lang w:val="it-IT" w:eastAsia="it-IT"/>
        </w:rPr>
      </w:pPr>
      <w:bookmarkStart w:id="1" w:name="_Toc115094116"/>
      <w:r w:rsidRPr="008269C7">
        <w:rPr>
          <w:rFonts w:eastAsia="Calibri" w:cs="Times New Roman"/>
          <w:caps/>
          <w:sz w:val="24"/>
          <w:szCs w:val="24"/>
          <w:lang w:val="it-IT" w:eastAsia="it-IT"/>
        </w:rPr>
        <w:t>IL RAPPORTO DEL CONSIGLIO DI STATO M</w:t>
      </w:r>
      <w:r w:rsidR="008269C7">
        <w:rPr>
          <w:rFonts w:eastAsia="Calibri" w:cs="Times New Roman"/>
          <w:caps/>
          <w:sz w:val="24"/>
          <w:szCs w:val="24"/>
          <w:lang w:val="it-IT" w:eastAsia="it-IT"/>
        </w:rPr>
        <w:t xml:space="preserve"> </w:t>
      </w:r>
      <w:r w:rsidRPr="008269C7">
        <w:rPr>
          <w:rFonts w:eastAsia="Calibri" w:cs="Times New Roman"/>
          <w:caps/>
          <w:sz w:val="24"/>
          <w:szCs w:val="24"/>
          <w:lang w:val="it-IT" w:eastAsia="it-IT"/>
        </w:rPr>
        <w:t>8001</w:t>
      </w:r>
      <w:bookmarkEnd w:id="1"/>
    </w:p>
    <w:p w:rsidR="00FE48A2" w:rsidRPr="0028737E" w:rsidRDefault="00FE48A2" w:rsidP="00FE48A2">
      <w:pPr>
        <w:rPr>
          <w:sz w:val="24"/>
          <w:szCs w:val="24"/>
        </w:rPr>
      </w:pPr>
      <w:r w:rsidRPr="0028737E">
        <w:rPr>
          <w:sz w:val="24"/>
          <w:szCs w:val="24"/>
        </w:rPr>
        <w:t>Il Consiglio di Stato richiama le condizioni quadro di riferimento, come la strategia energetica 2050 approvata dal popolo svizzero nel 2017, che ha implicato la revisione totale della Legge federale sull’energia (</w:t>
      </w:r>
      <w:proofErr w:type="spellStart"/>
      <w:r w:rsidRPr="0028737E">
        <w:rPr>
          <w:sz w:val="24"/>
          <w:szCs w:val="24"/>
        </w:rPr>
        <w:t>LEne</w:t>
      </w:r>
      <w:proofErr w:type="spellEnd"/>
      <w:r w:rsidRPr="0028737E">
        <w:rPr>
          <w:sz w:val="24"/>
          <w:szCs w:val="24"/>
        </w:rPr>
        <w:t>) nonché la revisione della Legge federale sulla riduzione delle emissioni di CO2 (Legge sul CO2), definendo per quanto riguarda le emissioni l’obiettivo di un saldo netto pari a zero entro il 2050 (neutralità del</w:t>
      </w:r>
      <w:r>
        <w:rPr>
          <w:sz w:val="24"/>
          <w:szCs w:val="24"/>
        </w:rPr>
        <w:t>la</w:t>
      </w:r>
      <w:r w:rsidRPr="0028737E">
        <w:rPr>
          <w:sz w:val="24"/>
          <w:szCs w:val="24"/>
        </w:rPr>
        <w:t xml:space="preserve"> C</w:t>
      </w:r>
      <w:r>
        <w:rPr>
          <w:sz w:val="24"/>
          <w:szCs w:val="24"/>
        </w:rPr>
        <w:t>O</w:t>
      </w:r>
      <w:r w:rsidRPr="0028737E">
        <w:rPr>
          <w:sz w:val="24"/>
          <w:szCs w:val="24"/>
        </w:rPr>
        <w:t>2), intervenendo principalmente nei settori degli edifici, dei trasporti e dell’industria.</w:t>
      </w:r>
    </w:p>
    <w:p w:rsidR="00FE48A2" w:rsidRDefault="00FE48A2" w:rsidP="00FE48A2">
      <w:pPr>
        <w:rPr>
          <w:sz w:val="24"/>
          <w:szCs w:val="24"/>
        </w:rPr>
      </w:pPr>
      <w:r w:rsidRPr="000B6695">
        <w:rPr>
          <w:sz w:val="24"/>
          <w:szCs w:val="24"/>
        </w:rPr>
        <w:lastRenderedPageBreak/>
        <w:t>Il Cantone ha recepito la strategia federale definendo la propria politica energetica e</w:t>
      </w:r>
      <w:r w:rsidRPr="0028737E">
        <w:rPr>
          <w:sz w:val="24"/>
          <w:szCs w:val="24"/>
        </w:rPr>
        <w:t xml:space="preserve"> climatica grazie alla Legge cantonale sull’energia (</w:t>
      </w:r>
      <w:proofErr w:type="spellStart"/>
      <w:r w:rsidRPr="0028737E">
        <w:rPr>
          <w:sz w:val="24"/>
          <w:szCs w:val="24"/>
        </w:rPr>
        <w:t>Len</w:t>
      </w:r>
      <w:proofErr w:type="spellEnd"/>
      <w:r w:rsidRPr="0028737E">
        <w:rPr>
          <w:sz w:val="24"/>
          <w:szCs w:val="24"/>
        </w:rPr>
        <w:t>), approvata dal Gran Consiglio il 4 maggio u.s. (cfr. messaggio n. 7896 del 1° ottobre 2020). L'obiettivo della modifica risiede anche nell’adeguamento delle basi legali finalizzate all’aggiornamento del Piano Energetico Cantonale (PEC) conferendogli anche una connotazione climatica, affinché esso diventi lo strumento principale per l’adozione e la messa in opera della strategia energetica e climatica cantonale.</w:t>
      </w:r>
    </w:p>
    <w:p w:rsidR="008269C7" w:rsidRPr="0028737E" w:rsidRDefault="008269C7" w:rsidP="00FE48A2">
      <w:pPr>
        <w:rPr>
          <w:sz w:val="24"/>
          <w:szCs w:val="24"/>
        </w:rPr>
      </w:pPr>
    </w:p>
    <w:p w:rsidR="00FE48A2" w:rsidRDefault="00FE48A2" w:rsidP="00FE48A2">
      <w:pPr>
        <w:rPr>
          <w:sz w:val="24"/>
          <w:szCs w:val="24"/>
        </w:rPr>
      </w:pPr>
      <w:r>
        <w:rPr>
          <w:sz w:val="24"/>
          <w:szCs w:val="24"/>
        </w:rPr>
        <w:t>P</w:t>
      </w:r>
      <w:r w:rsidRPr="0028737E">
        <w:rPr>
          <w:sz w:val="24"/>
          <w:szCs w:val="24"/>
        </w:rPr>
        <w:t xml:space="preserve">er quanto attiene al patrimonio immobiliare cantonale, la Sezione della logistica del DFE, in collaborazione con la Sezione protezione aria acqua e suolo del DT, ha elaborato una strategia per la messa in atto dei provvedimenti di efficienza energetica negli edifici ai sensi del quadro legale e normativo di riferimento e del Piano di azione del PEC attualmente in vigore, ciò allo scopo di sviluppare ed assicurare le opportune sinergie nell’attuazione di una politica energetica efficiente e coordinata. Il rapporto è stato approvato dal Consiglio di Stato in data 12 maggio 2021 e costituirà la base per la definizione di una successiva Road </w:t>
      </w:r>
      <w:proofErr w:type="spellStart"/>
      <w:r w:rsidRPr="0028737E">
        <w:rPr>
          <w:sz w:val="24"/>
          <w:szCs w:val="24"/>
        </w:rPr>
        <w:t>Map</w:t>
      </w:r>
      <w:proofErr w:type="spellEnd"/>
      <w:r w:rsidRPr="0028737E">
        <w:rPr>
          <w:sz w:val="24"/>
          <w:szCs w:val="24"/>
        </w:rPr>
        <w:t xml:space="preserve"> programmatica.</w:t>
      </w:r>
    </w:p>
    <w:p w:rsidR="008269C7" w:rsidRPr="0028737E" w:rsidRDefault="008269C7" w:rsidP="00FE48A2">
      <w:pPr>
        <w:rPr>
          <w:sz w:val="24"/>
          <w:szCs w:val="24"/>
        </w:rPr>
      </w:pPr>
    </w:p>
    <w:p w:rsidR="00FE48A2" w:rsidRDefault="00FE48A2" w:rsidP="00FE48A2">
      <w:pPr>
        <w:rPr>
          <w:sz w:val="24"/>
          <w:szCs w:val="24"/>
        </w:rPr>
      </w:pPr>
      <w:r w:rsidRPr="0028737E">
        <w:rPr>
          <w:sz w:val="24"/>
          <w:szCs w:val="24"/>
        </w:rPr>
        <w:t xml:space="preserve">Il rapporto in oggetto definisce il piano di </w:t>
      </w:r>
      <w:proofErr w:type="spellStart"/>
      <w:r w:rsidRPr="0028737E">
        <w:rPr>
          <w:sz w:val="24"/>
          <w:szCs w:val="24"/>
        </w:rPr>
        <w:t>efficientamento</w:t>
      </w:r>
      <w:proofErr w:type="spellEnd"/>
      <w:r w:rsidRPr="0028737E">
        <w:rPr>
          <w:sz w:val="24"/>
          <w:szCs w:val="24"/>
        </w:rPr>
        <w:t xml:space="preserve"> energetico del patrimonio immobiliare dello Stato ed in particolare i progetti strategici attraverso i quali raggiungere l’obiettivo della riduzione dei consumi e di produzione di energia rinnovabile previsti nel PEC, applicando fattivamente la politica energetica cantonale ed attuando la progressiva dismissione della produzione di calore per il riscaldamento e l'acqua calda sanitaria tramite combustibili fossili degli stabili di proprietà dello Stato. Particolare attenzione è conferita al tema del risanamento degli edifici, all’impiego parsimonioso e razionale dell’energia ed all’utilizzo di energia rinnovabile, come prescritto </w:t>
      </w:r>
      <w:r>
        <w:rPr>
          <w:sz w:val="24"/>
          <w:szCs w:val="24"/>
        </w:rPr>
        <w:t>d</w:t>
      </w:r>
      <w:r w:rsidRPr="0028737E">
        <w:rPr>
          <w:sz w:val="24"/>
          <w:szCs w:val="24"/>
        </w:rPr>
        <w:t>al Modello di prescrizioni energetiche dei cantoni (</w:t>
      </w:r>
      <w:proofErr w:type="spellStart"/>
      <w:r w:rsidRPr="0028737E">
        <w:rPr>
          <w:sz w:val="24"/>
          <w:szCs w:val="24"/>
        </w:rPr>
        <w:t>MoPEC</w:t>
      </w:r>
      <w:proofErr w:type="spellEnd"/>
      <w:r w:rsidRPr="0028737E">
        <w:rPr>
          <w:sz w:val="24"/>
          <w:szCs w:val="24"/>
        </w:rPr>
        <w:t>) già introdotto nel quadro normativo cantonale tramite il Regolamento sull'utilizzazione dell'energia (</w:t>
      </w:r>
      <w:proofErr w:type="spellStart"/>
      <w:r w:rsidRPr="0028737E">
        <w:rPr>
          <w:sz w:val="24"/>
          <w:szCs w:val="24"/>
        </w:rPr>
        <w:t>RUEn</w:t>
      </w:r>
      <w:proofErr w:type="spellEnd"/>
      <w:r w:rsidRPr="0028737E">
        <w:rPr>
          <w:sz w:val="24"/>
          <w:szCs w:val="24"/>
        </w:rPr>
        <w:t>) e attualmente oggetto di aggiornamento a seguito della sua più recente versione (</w:t>
      </w:r>
      <w:proofErr w:type="spellStart"/>
      <w:r w:rsidRPr="0028737E">
        <w:rPr>
          <w:sz w:val="24"/>
          <w:szCs w:val="24"/>
        </w:rPr>
        <w:t>MoPEC</w:t>
      </w:r>
      <w:proofErr w:type="spellEnd"/>
      <w:r w:rsidRPr="0028737E">
        <w:rPr>
          <w:sz w:val="24"/>
          <w:szCs w:val="24"/>
        </w:rPr>
        <w:t xml:space="preserve"> 2014) tramite le modifiche alla </w:t>
      </w:r>
      <w:proofErr w:type="spellStart"/>
      <w:r w:rsidRPr="0028737E">
        <w:rPr>
          <w:sz w:val="24"/>
          <w:szCs w:val="24"/>
        </w:rPr>
        <w:t>Len</w:t>
      </w:r>
      <w:proofErr w:type="spellEnd"/>
      <w:r w:rsidRPr="0028737E">
        <w:rPr>
          <w:sz w:val="24"/>
          <w:szCs w:val="24"/>
        </w:rPr>
        <w:t xml:space="preserve"> di cui al messaggio n. 7896 già approvato dal Gran Consiglio.</w:t>
      </w:r>
    </w:p>
    <w:p w:rsidR="008269C7" w:rsidRPr="0028737E" w:rsidRDefault="008269C7" w:rsidP="00FE48A2">
      <w:pPr>
        <w:rPr>
          <w:sz w:val="24"/>
          <w:szCs w:val="24"/>
        </w:rPr>
      </w:pPr>
    </w:p>
    <w:p w:rsidR="00FE48A2" w:rsidRPr="0028737E" w:rsidRDefault="00FE48A2" w:rsidP="00FE48A2">
      <w:pPr>
        <w:rPr>
          <w:sz w:val="24"/>
          <w:szCs w:val="24"/>
        </w:rPr>
      </w:pPr>
      <w:r w:rsidRPr="0028737E">
        <w:rPr>
          <w:sz w:val="24"/>
          <w:szCs w:val="24"/>
        </w:rPr>
        <w:t xml:space="preserve">Il Consiglio di Stato condivide gli obiettivi della mozione, ma sui tempi d’attuazione ritiene che l’orizzonte 2050 sia più realistico che non il 2040 indicato nell’atto parlamentare, pur precisando che ogni sforzo andrà compiuto per raggiungere gli obiettivi </w:t>
      </w:r>
      <w:proofErr w:type="gramStart"/>
      <w:r w:rsidRPr="0028737E">
        <w:rPr>
          <w:sz w:val="24"/>
          <w:szCs w:val="24"/>
        </w:rPr>
        <w:t>il prima</w:t>
      </w:r>
      <w:proofErr w:type="gramEnd"/>
      <w:r w:rsidRPr="0028737E">
        <w:rPr>
          <w:sz w:val="24"/>
          <w:szCs w:val="24"/>
        </w:rPr>
        <w:t xml:space="preserve"> possibile.</w:t>
      </w:r>
    </w:p>
    <w:p w:rsidR="00FE48A2" w:rsidRPr="0028737E" w:rsidRDefault="00FE48A2" w:rsidP="00FE48A2">
      <w:pPr>
        <w:rPr>
          <w:sz w:val="24"/>
          <w:szCs w:val="24"/>
        </w:rPr>
      </w:pPr>
    </w:p>
    <w:p w:rsidR="00FE48A2" w:rsidRPr="0028737E" w:rsidRDefault="00FE48A2" w:rsidP="00FE48A2">
      <w:pPr>
        <w:rPr>
          <w:sz w:val="24"/>
          <w:szCs w:val="24"/>
        </w:rPr>
      </w:pPr>
    </w:p>
    <w:p w:rsidR="00FE48A2" w:rsidRPr="008269C7" w:rsidRDefault="00FE48A2" w:rsidP="008269C7">
      <w:pPr>
        <w:pStyle w:val="Titolo1"/>
        <w:numPr>
          <w:ilvl w:val="0"/>
          <w:numId w:val="18"/>
        </w:numPr>
        <w:tabs>
          <w:tab w:val="left" w:pos="567"/>
        </w:tabs>
        <w:suppressAutoHyphens w:val="0"/>
        <w:spacing w:before="0"/>
        <w:ind w:left="567" w:hanging="567"/>
        <w:jc w:val="both"/>
        <w:rPr>
          <w:rFonts w:eastAsia="Calibri" w:cs="Times New Roman"/>
          <w:caps/>
          <w:sz w:val="24"/>
          <w:szCs w:val="24"/>
          <w:lang w:val="it-IT" w:eastAsia="it-IT"/>
        </w:rPr>
      </w:pPr>
      <w:bookmarkStart w:id="2" w:name="_Toc115094117"/>
      <w:r w:rsidRPr="008269C7">
        <w:rPr>
          <w:rFonts w:eastAsia="Calibri" w:cs="Times New Roman"/>
          <w:caps/>
          <w:sz w:val="24"/>
          <w:szCs w:val="24"/>
          <w:lang w:val="it-IT" w:eastAsia="it-IT"/>
        </w:rPr>
        <w:t>LAVORI COMMISSIONALI E AUDIZIONE</w:t>
      </w:r>
      <w:bookmarkEnd w:id="2"/>
    </w:p>
    <w:p w:rsidR="00FE48A2" w:rsidRPr="0028737E" w:rsidRDefault="00FE48A2" w:rsidP="00FE48A2">
      <w:pPr>
        <w:rPr>
          <w:sz w:val="24"/>
          <w:szCs w:val="24"/>
        </w:rPr>
      </w:pPr>
      <w:r w:rsidRPr="0028737E">
        <w:rPr>
          <w:sz w:val="24"/>
          <w:szCs w:val="24"/>
        </w:rPr>
        <w:t xml:space="preserve">La </w:t>
      </w:r>
      <w:r>
        <w:rPr>
          <w:sz w:val="24"/>
          <w:szCs w:val="24"/>
        </w:rPr>
        <w:t>C</w:t>
      </w:r>
      <w:r w:rsidRPr="0028737E">
        <w:rPr>
          <w:sz w:val="24"/>
          <w:szCs w:val="24"/>
        </w:rPr>
        <w:t xml:space="preserve">ommissione ha </w:t>
      </w:r>
      <w:r>
        <w:rPr>
          <w:sz w:val="24"/>
          <w:szCs w:val="24"/>
        </w:rPr>
        <w:t xml:space="preserve">dapprima </w:t>
      </w:r>
      <w:r w:rsidRPr="0028737E">
        <w:rPr>
          <w:sz w:val="24"/>
          <w:szCs w:val="24"/>
        </w:rPr>
        <w:t xml:space="preserve">ricordato </w:t>
      </w:r>
      <w:r>
        <w:rPr>
          <w:sz w:val="24"/>
          <w:szCs w:val="24"/>
        </w:rPr>
        <w:t xml:space="preserve">il recente credito quadro per il </w:t>
      </w:r>
      <w:r w:rsidRPr="0028737E">
        <w:rPr>
          <w:sz w:val="24"/>
          <w:szCs w:val="24"/>
        </w:rPr>
        <w:t>periodo 2020-2027 (M7821 del 03.06.2020</w:t>
      </w:r>
      <w:r>
        <w:rPr>
          <w:sz w:val="24"/>
          <w:szCs w:val="24"/>
        </w:rPr>
        <w:t xml:space="preserve"> </w:t>
      </w:r>
      <w:r w:rsidRPr="0028737E">
        <w:rPr>
          <w:sz w:val="24"/>
          <w:szCs w:val="24"/>
        </w:rPr>
        <w:t>relativo alla</w:t>
      </w:r>
      <w:r>
        <w:rPr>
          <w:sz w:val="24"/>
          <w:szCs w:val="24"/>
        </w:rPr>
        <w:t xml:space="preserve"> </w:t>
      </w:r>
      <w:r w:rsidRPr="0028737E">
        <w:rPr>
          <w:sz w:val="24"/>
          <w:szCs w:val="24"/>
        </w:rPr>
        <w:t>“Concessione di un credito quadro 100 milioni destinato a interventi di manutenzione programmata finalizzati al</w:t>
      </w:r>
      <w:r>
        <w:rPr>
          <w:sz w:val="24"/>
          <w:szCs w:val="24"/>
        </w:rPr>
        <w:t xml:space="preserve"> </w:t>
      </w:r>
      <w:r w:rsidRPr="0028737E">
        <w:rPr>
          <w:sz w:val="24"/>
          <w:szCs w:val="24"/>
        </w:rPr>
        <w:t>risanamento energetico, all’adeguamento alle normative vigenti e alla conservazione di diversi edifici di proprietà</w:t>
      </w:r>
    </w:p>
    <w:p w:rsidR="00FE48A2" w:rsidRPr="0028737E" w:rsidRDefault="00FE48A2" w:rsidP="00FE48A2">
      <w:pPr>
        <w:rPr>
          <w:sz w:val="24"/>
          <w:szCs w:val="24"/>
        </w:rPr>
      </w:pPr>
      <w:r w:rsidRPr="0028737E">
        <w:rPr>
          <w:sz w:val="24"/>
          <w:szCs w:val="24"/>
        </w:rPr>
        <w:t xml:space="preserve">dello </w:t>
      </w:r>
      <w:proofErr w:type="gramStart"/>
      <w:r w:rsidRPr="0028737E">
        <w:rPr>
          <w:sz w:val="24"/>
          <w:szCs w:val="24"/>
        </w:rPr>
        <w:t>Stato“</w:t>
      </w:r>
      <w:proofErr w:type="gramEnd"/>
      <w:r>
        <w:rPr>
          <w:sz w:val="24"/>
          <w:szCs w:val="24"/>
        </w:rPr>
        <w:t>) che dimostra come già ora si proceda per tappe pluriennali nel risanare gli edifici, come auspicato dalla mozione.</w:t>
      </w:r>
    </w:p>
    <w:p w:rsidR="00FE48A2" w:rsidRDefault="00FE48A2" w:rsidP="00FE48A2">
      <w:pPr>
        <w:rPr>
          <w:sz w:val="24"/>
          <w:szCs w:val="24"/>
        </w:rPr>
      </w:pPr>
    </w:p>
    <w:p w:rsidR="00FE48A2" w:rsidRDefault="00FE48A2" w:rsidP="00FE48A2">
      <w:pPr>
        <w:rPr>
          <w:sz w:val="24"/>
          <w:szCs w:val="24"/>
        </w:rPr>
      </w:pPr>
      <w:r>
        <w:rPr>
          <w:sz w:val="24"/>
          <w:szCs w:val="24"/>
        </w:rPr>
        <w:t xml:space="preserve">In data 13 gennaio 2022 la CATE ha </w:t>
      </w:r>
      <w:proofErr w:type="spellStart"/>
      <w:r>
        <w:rPr>
          <w:sz w:val="24"/>
          <w:szCs w:val="24"/>
        </w:rPr>
        <w:t>audizionato</w:t>
      </w:r>
      <w:proofErr w:type="spellEnd"/>
      <w:r>
        <w:rPr>
          <w:sz w:val="24"/>
          <w:szCs w:val="24"/>
        </w:rPr>
        <w:t xml:space="preserve"> la Sez. della logistica, in particolare </w:t>
      </w:r>
      <w:r w:rsidRPr="00EF5758">
        <w:rPr>
          <w:sz w:val="24"/>
          <w:szCs w:val="24"/>
        </w:rPr>
        <w:t xml:space="preserve">Giovanni </w:t>
      </w:r>
      <w:proofErr w:type="spellStart"/>
      <w:r w:rsidRPr="00EF5758">
        <w:rPr>
          <w:sz w:val="24"/>
          <w:szCs w:val="24"/>
        </w:rPr>
        <w:t>Realini</w:t>
      </w:r>
      <w:proofErr w:type="spellEnd"/>
      <w:r w:rsidRPr="00EF5758">
        <w:rPr>
          <w:sz w:val="24"/>
          <w:szCs w:val="24"/>
        </w:rPr>
        <w:t xml:space="preserve">, Capo </w:t>
      </w:r>
      <w:r>
        <w:rPr>
          <w:sz w:val="24"/>
          <w:szCs w:val="24"/>
        </w:rPr>
        <w:t>Se</w:t>
      </w:r>
      <w:r w:rsidRPr="00EF5758">
        <w:rPr>
          <w:sz w:val="24"/>
          <w:szCs w:val="24"/>
        </w:rPr>
        <w:t>zione</w:t>
      </w:r>
      <w:r>
        <w:rPr>
          <w:sz w:val="24"/>
          <w:szCs w:val="24"/>
        </w:rPr>
        <w:t xml:space="preserve">, </w:t>
      </w:r>
      <w:r w:rsidRPr="00EF5758">
        <w:rPr>
          <w:sz w:val="24"/>
          <w:szCs w:val="24"/>
        </w:rPr>
        <w:t>e Timothy Delcò, pianificatore dell’area del Portfolio immobiliare</w:t>
      </w:r>
      <w:r>
        <w:rPr>
          <w:sz w:val="24"/>
          <w:szCs w:val="24"/>
        </w:rPr>
        <w:t xml:space="preserve">. </w:t>
      </w:r>
    </w:p>
    <w:p w:rsidR="008269C7" w:rsidRDefault="008269C7" w:rsidP="00FE48A2">
      <w:pPr>
        <w:rPr>
          <w:sz w:val="24"/>
          <w:szCs w:val="24"/>
        </w:rPr>
      </w:pPr>
    </w:p>
    <w:p w:rsidR="008269C7" w:rsidRDefault="008269C7" w:rsidP="00FE48A2">
      <w:pPr>
        <w:rPr>
          <w:sz w:val="24"/>
          <w:szCs w:val="24"/>
        </w:rPr>
      </w:pPr>
    </w:p>
    <w:p w:rsidR="00FE48A2" w:rsidRDefault="00FE48A2" w:rsidP="00FE48A2">
      <w:pPr>
        <w:rPr>
          <w:sz w:val="24"/>
          <w:szCs w:val="24"/>
        </w:rPr>
      </w:pPr>
      <w:r>
        <w:rPr>
          <w:sz w:val="24"/>
          <w:szCs w:val="24"/>
        </w:rPr>
        <w:lastRenderedPageBreak/>
        <w:t xml:space="preserve">La presentazione ha richiamato basi legali e obiettivi generali, soffermandosi poi sui </w:t>
      </w:r>
      <w:r w:rsidRPr="00B156E9">
        <w:rPr>
          <w:sz w:val="24"/>
          <w:szCs w:val="24"/>
        </w:rPr>
        <w:t>4 macro progetti</w:t>
      </w:r>
      <w:r>
        <w:rPr>
          <w:sz w:val="24"/>
          <w:szCs w:val="24"/>
        </w:rPr>
        <w:t xml:space="preserve"> del p</w:t>
      </w:r>
      <w:r w:rsidRPr="00B156E9">
        <w:rPr>
          <w:sz w:val="24"/>
          <w:szCs w:val="24"/>
        </w:rPr>
        <w:t>iano</w:t>
      </w:r>
      <w:r>
        <w:rPr>
          <w:sz w:val="24"/>
          <w:szCs w:val="24"/>
        </w:rPr>
        <w:t xml:space="preserve"> </w:t>
      </w:r>
      <w:r w:rsidRPr="00B156E9">
        <w:rPr>
          <w:sz w:val="24"/>
          <w:szCs w:val="24"/>
        </w:rPr>
        <w:t xml:space="preserve">di </w:t>
      </w:r>
      <w:proofErr w:type="spellStart"/>
      <w:r w:rsidRPr="00B156E9">
        <w:rPr>
          <w:sz w:val="24"/>
          <w:szCs w:val="24"/>
        </w:rPr>
        <w:t>efficientamento</w:t>
      </w:r>
      <w:proofErr w:type="spellEnd"/>
      <w:r w:rsidRPr="00B156E9">
        <w:rPr>
          <w:sz w:val="24"/>
          <w:szCs w:val="24"/>
        </w:rPr>
        <w:t xml:space="preserve"> energetico</w:t>
      </w:r>
      <w:r>
        <w:rPr>
          <w:sz w:val="24"/>
          <w:szCs w:val="24"/>
        </w:rPr>
        <w:t xml:space="preserve">: </w:t>
      </w:r>
    </w:p>
    <w:p w:rsidR="00FE48A2" w:rsidRPr="008269C7" w:rsidRDefault="00FE48A2" w:rsidP="008269C7">
      <w:pPr>
        <w:pStyle w:val="Paragrafoelenco"/>
        <w:numPr>
          <w:ilvl w:val="0"/>
          <w:numId w:val="19"/>
        </w:numPr>
        <w:spacing w:before="120"/>
        <w:ind w:left="425" w:hanging="425"/>
        <w:contextualSpacing w:val="0"/>
        <w:rPr>
          <w:sz w:val="24"/>
          <w:szCs w:val="24"/>
        </w:rPr>
      </w:pPr>
      <w:r w:rsidRPr="00B156E9">
        <w:rPr>
          <w:sz w:val="24"/>
          <w:szCs w:val="24"/>
        </w:rPr>
        <w:t xml:space="preserve">Realizzazione </w:t>
      </w:r>
      <w:r>
        <w:rPr>
          <w:sz w:val="24"/>
          <w:szCs w:val="24"/>
        </w:rPr>
        <w:t>(</w:t>
      </w:r>
      <w:r w:rsidRPr="00B156E9">
        <w:rPr>
          <w:sz w:val="24"/>
          <w:szCs w:val="24"/>
        </w:rPr>
        <w:t>e/o conversione</w:t>
      </w:r>
      <w:r>
        <w:rPr>
          <w:sz w:val="24"/>
          <w:szCs w:val="24"/>
        </w:rPr>
        <w:t>)</w:t>
      </w:r>
      <w:r w:rsidRPr="00B156E9">
        <w:rPr>
          <w:sz w:val="24"/>
          <w:szCs w:val="24"/>
        </w:rPr>
        <w:t xml:space="preserve"> di edifici ad alta efficienza energetica</w:t>
      </w:r>
      <w:r>
        <w:rPr>
          <w:sz w:val="24"/>
          <w:szCs w:val="24"/>
        </w:rPr>
        <w:t>:</w:t>
      </w:r>
      <w:r w:rsidRPr="00B156E9">
        <w:rPr>
          <w:sz w:val="24"/>
          <w:szCs w:val="24"/>
        </w:rPr>
        <w:t xml:space="preserve"> il dispositivo legislativo attuale impone già criteri prescrittivi, in particolare relativi ad un sempre minore fabbisogno in energia, alla produzione autonoma di energia elettrica, all’impiego esclusivo di energie rinnovabili, alla minimizzazione dei costi di esercizio lungo il ciclo di vita utile, alla costante riduzione di emissioni nocive nell’ambiente</w:t>
      </w:r>
    </w:p>
    <w:p w:rsidR="00FE48A2" w:rsidRPr="008269C7" w:rsidRDefault="00FE48A2" w:rsidP="008269C7">
      <w:pPr>
        <w:pStyle w:val="Paragrafoelenco"/>
        <w:numPr>
          <w:ilvl w:val="0"/>
          <w:numId w:val="19"/>
        </w:numPr>
        <w:spacing w:before="120"/>
        <w:ind w:left="425" w:hanging="425"/>
        <w:contextualSpacing w:val="0"/>
        <w:rPr>
          <w:sz w:val="24"/>
          <w:szCs w:val="24"/>
        </w:rPr>
      </w:pPr>
      <w:r w:rsidRPr="00B156E9">
        <w:rPr>
          <w:sz w:val="24"/>
          <w:szCs w:val="24"/>
        </w:rPr>
        <w:t>Risanamento degli edifici: l’attuale strategia immobiliare persegue già lo scopo principale di ridurre l’apporto energetico negli edifici attraverso interventi di risanamento e messa in conformità degli stessi</w:t>
      </w:r>
    </w:p>
    <w:p w:rsidR="00FE48A2" w:rsidRPr="008269C7" w:rsidRDefault="00FE48A2" w:rsidP="008269C7">
      <w:pPr>
        <w:pStyle w:val="Paragrafoelenco"/>
        <w:numPr>
          <w:ilvl w:val="0"/>
          <w:numId w:val="19"/>
        </w:numPr>
        <w:spacing w:before="120"/>
        <w:ind w:left="425" w:hanging="425"/>
        <w:contextualSpacing w:val="0"/>
        <w:rPr>
          <w:sz w:val="24"/>
          <w:szCs w:val="24"/>
        </w:rPr>
      </w:pPr>
      <w:r w:rsidRPr="00B156E9">
        <w:rPr>
          <w:sz w:val="24"/>
          <w:szCs w:val="24"/>
        </w:rPr>
        <w:t xml:space="preserve">Ottimizzazione tecnica degli edifici: monitoraggio dei consumi, analisi dell’uso e spreco eventuale delle risorse e azioni di ottimizzazione In questo contesto si inserisce il piano di </w:t>
      </w:r>
      <w:proofErr w:type="spellStart"/>
      <w:r w:rsidRPr="00B156E9">
        <w:rPr>
          <w:sz w:val="24"/>
          <w:szCs w:val="24"/>
        </w:rPr>
        <w:t>efficientamento</w:t>
      </w:r>
      <w:proofErr w:type="spellEnd"/>
      <w:r w:rsidRPr="00B156E9">
        <w:rPr>
          <w:sz w:val="24"/>
          <w:szCs w:val="24"/>
        </w:rPr>
        <w:t xml:space="preserve"> energetico attraverso l’ottimizzazione tecnica degli edifici</w:t>
      </w:r>
    </w:p>
    <w:p w:rsidR="00FE48A2" w:rsidRPr="00C64052" w:rsidRDefault="00FE48A2" w:rsidP="008269C7">
      <w:pPr>
        <w:pStyle w:val="Paragrafoelenco"/>
        <w:numPr>
          <w:ilvl w:val="0"/>
          <w:numId w:val="19"/>
        </w:numPr>
        <w:spacing w:before="120"/>
        <w:ind w:left="425" w:hanging="425"/>
        <w:contextualSpacing w:val="0"/>
        <w:rPr>
          <w:sz w:val="24"/>
          <w:szCs w:val="24"/>
        </w:rPr>
      </w:pPr>
      <w:r w:rsidRPr="00C64052">
        <w:rPr>
          <w:sz w:val="24"/>
          <w:szCs w:val="24"/>
        </w:rPr>
        <w:t>Allacciamento di edifici a reti di teleriscaldamento in presenza di alta densità di consumo di energia, si valuti l’allacciamento di edifici di proprietà cantonale a reti di teleriscaldamento</w:t>
      </w:r>
    </w:p>
    <w:p w:rsidR="00FE48A2" w:rsidRPr="0028737E" w:rsidRDefault="00FE48A2" w:rsidP="00FE48A2">
      <w:pPr>
        <w:rPr>
          <w:sz w:val="24"/>
          <w:szCs w:val="24"/>
        </w:rPr>
      </w:pPr>
    </w:p>
    <w:p w:rsidR="00FE48A2" w:rsidRPr="0028737E" w:rsidRDefault="00FE48A2" w:rsidP="00FE48A2">
      <w:pPr>
        <w:rPr>
          <w:sz w:val="24"/>
          <w:szCs w:val="24"/>
        </w:rPr>
      </w:pPr>
      <w:r>
        <w:rPr>
          <w:sz w:val="24"/>
          <w:szCs w:val="24"/>
        </w:rPr>
        <w:t xml:space="preserve">E sulle </w:t>
      </w:r>
      <w:r w:rsidRPr="00C64052">
        <w:rPr>
          <w:sz w:val="24"/>
          <w:szCs w:val="24"/>
        </w:rPr>
        <w:t xml:space="preserve">misure </w:t>
      </w:r>
      <w:r>
        <w:rPr>
          <w:sz w:val="24"/>
          <w:szCs w:val="24"/>
        </w:rPr>
        <w:t xml:space="preserve">concrete </w:t>
      </w:r>
      <w:r w:rsidRPr="00C64052">
        <w:rPr>
          <w:sz w:val="24"/>
          <w:szCs w:val="24"/>
        </w:rPr>
        <w:t xml:space="preserve">di </w:t>
      </w:r>
      <w:proofErr w:type="spellStart"/>
      <w:r w:rsidRPr="00C64052">
        <w:rPr>
          <w:sz w:val="24"/>
          <w:szCs w:val="24"/>
        </w:rPr>
        <w:t>efficientamento</w:t>
      </w:r>
      <w:proofErr w:type="spellEnd"/>
      <w:r w:rsidRPr="00C64052">
        <w:rPr>
          <w:sz w:val="24"/>
          <w:szCs w:val="24"/>
        </w:rPr>
        <w:t xml:space="preserve"> (</w:t>
      </w:r>
      <w:r>
        <w:rPr>
          <w:sz w:val="24"/>
          <w:szCs w:val="24"/>
        </w:rPr>
        <w:t xml:space="preserve">che hanno </w:t>
      </w:r>
      <w:r w:rsidRPr="00C64052">
        <w:rPr>
          <w:sz w:val="24"/>
          <w:szCs w:val="24"/>
        </w:rPr>
        <w:t xml:space="preserve">impatto </w:t>
      </w:r>
      <w:r>
        <w:rPr>
          <w:sz w:val="24"/>
          <w:szCs w:val="24"/>
        </w:rPr>
        <w:t xml:space="preserve">concreto </w:t>
      </w:r>
      <w:r w:rsidRPr="00C64052">
        <w:rPr>
          <w:sz w:val="24"/>
          <w:szCs w:val="24"/>
        </w:rPr>
        <w:t>su riduzione consumi e</w:t>
      </w:r>
      <w:r>
        <w:rPr>
          <w:sz w:val="24"/>
          <w:szCs w:val="24"/>
        </w:rPr>
        <w:t>d</w:t>
      </w:r>
      <w:r w:rsidRPr="00C64052">
        <w:rPr>
          <w:sz w:val="24"/>
          <w:szCs w:val="24"/>
        </w:rPr>
        <w:t xml:space="preserve"> emissioni CO2</w:t>
      </w:r>
      <w:r>
        <w:rPr>
          <w:sz w:val="24"/>
          <w:szCs w:val="24"/>
        </w:rPr>
        <w:t>).</w:t>
      </w:r>
    </w:p>
    <w:p w:rsidR="00FE48A2" w:rsidRDefault="00FE48A2" w:rsidP="00FE48A2">
      <w:pPr>
        <w:rPr>
          <w:sz w:val="24"/>
          <w:szCs w:val="24"/>
        </w:rPr>
      </w:pPr>
    </w:p>
    <w:p w:rsidR="00FE48A2" w:rsidRDefault="00FE48A2" w:rsidP="00FE48A2">
      <w:pPr>
        <w:rPr>
          <w:sz w:val="24"/>
          <w:szCs w:val="24"/>
        </w:rPr>
      </w:pPr>
      <w:r>
        <w:rPr>
          <w:sz w:val="24"/>
          <w:szCs w:val="24"/>
        </w:rPr>
        <w:t>Molto interessante è stata la parte di presentazione dedicata al tema dell’e</w:t>
      </w:r>
      <w:r w:rsidRPr="00C64052">
        <w:rPr>
          <w:sz w:val="24"/>
          <w:szCs w:val="24"/>
        </w:rPr>
        <w:t xml:space="preserve">conomia circolare e </w:t>
      </w:r>
      <w:r>
        <w:rPr>
          <w:sz w:val="24"/>
          <w:szCs w:val="24"/>
        </w:rPr>
        <w:t>dell’</w:t>
      </w:r>
      <w:r w:rsidRPr="00C64052">
        <w:rPr>
          <w:sz w:val="24"/>
          <w:szCs w:val="24"/>
        </w:rPr>
        <w:t>energia grigia</w:t>
      </w:r>
      <w:r>
        <w:rPr>
          <w:sz w:val="24"/>
          <w:szCs w:val="24"/>
        </w:rPr>
        <w:t xml:space="preserve"> in relazione agli edifici, così riassunto:</w:t>
      </w:r>
    </w:p>
    <w:p w:rsidR="00FE48A2" w:rsidRDefault="00FE48A2" w:rsidP="00FE48A2">
      <w:pPr>
        <w:rPr>
          <w:sz w:val="24"/>
          <w:szCs w:val="24"/>
        </w:rPr>
      </w:pPr>
    </w:p>
    <w:p w:rsidR="00FE48A2" w:rsidRPr="00C64052" w:rsidRDefault="00FE48A2" w:rsidP="00FE48A2">
      <w:pPr>
        <w:rPr>
          <w:sz w:val="24"/>
          <w:szCs w:val="24"/>
        </w:rPr>
      </w:pPr>
      <w:r w:rsidRPr="00C64052">
        <w:rPr>
          <w:sz w:val="24"/>
          <w:szCs w:val="24"/>
        </w:rPr>
        <w:t>Finora in campo energetico l’attenzione è stata</w:t>
      </w:r>
      <w:r>
        <w:rPr>
          <w:sz w:val="24"/>
          <w:szCs w:val="24"/>
        </w:rPr>
        <w:t xml:space="preserve"> </w:t>
      </w:r>
      <w:r w:rsidRPr="00C64052">
        <w:rPr>
          <w:sz w:val="24"/>
          <w:szCs w:val="24"/>
        </w:rPr>
        <w:t>principalmente rivolta all’energia d’esercizio La messa</w:t>
      </w:r>
      <w:r>
        <w:rPr>
          <w:sz w:val="24"/>
          <w:szCs w:val="24"/>
        </w:rPr>
        <w:t xml:space="preserve"> </w:t>
      </w:r>
      <w:r w:rsidRPr="00C64052">
        <w:rPr>
          <w:sz w:val="24"/>
          <w:szCs w:val="24"/>
        </w:rPr>
        <w:t>in opera delle misure presentate permettono la</w:t>
      </w:r>
      <w:r>
        <w:rPr>
          <w:sz w:val="24"/>
          <w:szCs w:val="24"/>
        </w:rPr>
        <w:t xml:space="preserve"> </w:t>
      </w:r>
      <w:r w:rsidRPr="00C64052">
        <w:rPr>
          <w:sz w:val="24"/>
          <w:szCs w:val="24"/>
        </w:rPr>
        <w:t>riduzione di energia termica</w:t>
      </w:r>
      <w:r>
        <w:rPr>
          <w:sz w:val="24"/>
          <w:szCs w:val="24"/>
        </w:rPr>
        <w:t>;</w:t>
      </w:r>
    </w:p>
    <w:p w:rsidR="00FE48A2" w:rsidRPr="00C64052" w:rsidRDefault="00FE48A2" w:rsidP="00FE48A2">
      <w:pPr>
        <w:rPr>
          <w:sz w:val="24"/>
          <w:szCs w:val="24"/>
        </w:rPr>
      </w:pPr>
    </w:p>
    <w:p w:rsidR="00FE48A2" w:rsidRPr="00C64052" w:rsidRDefault="00FE48A2" w:rsidP="00FE48A2">
      <w:pPr>
        <w:rPr>
          <w:sz w:val="24"/>
          <w:szCs w:val="24"/>
        </w:rPr>
      </w:pPr>
      <w:r w:rsidRPr="00C64052">
        <w:rPr>
          <w:sz w:val="24"/>
          <w:szCs w:val="24"/>
        </w:rPr>
        <w:t>Avendo risolto il nodo del fabbisogno termico in primo</w:t>
      </w:r>
      <w:r>
        <w:rPr>
          <w:sz w:val="24"/>
          <w:szCs w:val="24"/>
        </w:rPr>
        <w:t xml:space="preserve"> </w:t>
      </w:r>
      <w:r w:rsidRPr="00C64052">
        <w:rPr>
          <w:sz w:val="24"/>
          <w:szCs w:val="24"/>
        </w:rPr>
        <w:t>piano vi s</w:t>
      </w:r>
      <w:r>
        <w:rPr>
          <w:sz w:val="24"/>
          <w:szCs w:val="24"/>
        </w:rPr>
        <w:t xml:space="preserve">aranno in futuro </w:t>
      </w:r>
      <w:r w:rsidRPr="00C64052">
        <w:rPr>
          <w:sz w:val="24"/>
          <w:szCs w:val="24"/>
        </w:rPr>
        <w:t>altri ambiti del fabbisogno</w:t>
      </w:r>
      <w:r>
        <w:rPr>
          <w:sz w:val="24"/>
          <w:szCs w:val="24"/>
        </w:rPr>
        <w:t xml:space="preserve"> </w:t>
      </w:r>
      <w:r w:rsidRPr="00C64052">
        <w:rPr>
          <w:sz w:val="24"/>
          <w:szCs w:val="24"/>
        </w:rPr>
        <w:t>energetico</w:t>
      </w:r>
      <w:r>
        <w:rPr>
          <w:sz w:val="24"/>
          <w:szCs w:val="24"/>
        </w:rPr>
        <w:t>,</w:t>
      </w:r>
      <w:r w:rsidRPr="00C64052">
        <w:rPr>
          <w:sz w:val="24"/>
          <w:szCs w:val="24"/>
        </w:rPr>
        <w:t xml:space="preserve"> il focus si sposta dall</w:t>
      </w:r>
      <w:r>
        <w:rPr>
          <w:sz w:val="24"/>
          <w:szCs w:val="24"/>
        </w:rPr>
        <w:t xml:space="preserve">a sola </w:t>
      </w:r>
      <w:r w:rsidRPr="00C64052">
        <w:rPr>
          <w:sz w:val="24"/>
          <w:szCs w:val="24"/>
        </w:rPr>
        <w:t>energia termica</w:t>
      </w:r>
      <w:r>
        <w:rPr>
          <w:sz w:val="24"/>
          <w:szCs w:val="24"/>
        </w:rPr>
        <w:t xml:space="preserve"> </w:t>
      </w:r>
      <w:r w:rsidRPr="00C64052">
        <w:rPr>
          <w:sz w:val="24"/>
          <w:szCs w:val="24"/>
        </w:rPr>
        <w:t>verso l’energia globale</w:t>
      </w:r>
      <w:r>
        <w:rPr>
          <w:sz w:val="24"/>
          <w:szCs w:val="24"/>
        </w:rPr>
        <w:t xml:space="preserve">; </w:t>
      </w:r>
    </w:p>
    <w:p w:rsidR="00FE48A2" w:rsidRPr="00C64052" w:rsidRDefault="00FE48A2" w:rsidP="00FE48A2">
      <w:pPr>
        <w:rPr>
          <w:sz w:val="24"/>
          <w:szCs w:val="24"/>
        </w:rPr>
      </w:pPr>
    </w:p>
    <w:p w:rsidR="00FE48A2" w:rsidRDefault="00FE48A2" w:rsidP="00FE48A2">
      <w:pPr>
        <w:rPr>
          <w:sz w:val="24"/>
          <w:szCs w:val="24"/>
        </w:rPr>
      </w:pPr>
      <w:r>
        <w:rPr>
          <w:sz w:val="24"/>
          <w:szCs w:val="24"/>
        </w:rPr>
        <w:t xml:space="preserve">Occorre essere coscienti che buona </w:t>
      </w:r>
      <w:r w:rsidRPr="00C64052">
        <w:rPr>
          <w:sz w:val="24"/>
          <w:szCs w:val="24"/>
        </w:rPr>
        <w:t>parte del fabbisogno globale di energia è da</w:t>
      </w:r>
      <w:r>
        <w:rPr>
          <w:sz w:val="24"/>
          <w:szCs w:val="24"/>
        </w:rPr>
        <w:t xml:space="preserve"> </w:t>
      </w:r>
      <w:r w:rsidRPr="00C64052">
        <w:rPr>
          <w:sz w:val="24"/>
          <w:szCs w:val="24"/>
        </w:rPr>
        <w:t>ricondurre all’energia grigia necessaria per la</w:t>
      </w:r>
      <w:r>
        <w:rPr>
          <w:sz w:val="24"/>
          <w:szCs w:val="24"/>
        </w:rPr>
        <w:t xml:space="preserve"> </w:t>
      </w:r>
      <w:r w:rsidRPr="00C64052">
        <w:rPr>
          <w:sz w:val="24"/>
          <w:szCs w:val="24"/>
        </w:rPr>
        <w:t>costruzione e lo smantellamento degli edifici</w:t>
      </w:r>
      <w:r>
        <w:rPr>
          <w:sz w:val="24"/>
          <w:szCs w:val="24"/>
        </w:rPr>
        <w:t xml:space="preserve"> (n</w:t>
      </w:r>
      <w:r w:rsidRPr="00C64052">
        <w:rPr>
          <w:sz w:val="24"/>
          <w:szCs w:val="24"/>
        </w:rPr>
        <w:t>ei moderni edifici l’energia grigia costituisce fino a un</w:t>
      </w:r>
      <w:r>
        <w:rPr>
          <w:sz w:val="24"/>
          <w:szCs w:val="24"/>
        </w:rPr>
        <w:t xml:space="preserve"> </w:t>
      </w:r>
      <w:r w:rsidRPr="00C64052">
        <w:rPr>
          <w:sz w:val="24"/>
          <w:szCs w:val="24"/>
        </w:rPr>
        <w:t>quarto dell’energia primaria complessiva necessaria</w:t>
      </w:r>
      <w:r>
        <w:rPr>
          <w:sz w:val="24"/>
          <w:szCs w:val="24"/>
        </w:rPr>
        <w:t xml:space="preserve"> </w:t>
      </w:r>
      <w:r w:rsidRPr="00C64052">
        <w:rPr>
          <w:sz w:val="24"/>
          <w:szCs w:val="24"/>
        </w:rPr>
        <w:t>per la costruzione, l’esercizio e la mobilità</w:t>
      </w:r>
      <w:r>
        <w:rPr>
          <w:sz w:val="24"/>
          <w:szCs w:val="24"/>
        </w:rPr>
        <w:t>).</w:t>
      </w:r>
    </w:p>
    <w:p w:rsidR="00FE48A2" w:rsidRDefault="00FE48A2" w:rsidP="00FE48A2">
      <w:pPr>
        <w:rPr>
          <w:sz w:val="24"/>
          <w:szCs w:val="24"/>
        </w:rPr>
      </w:pPr>
    </w:p>
    <w:p w:rsidR="00FE48A2" w:rsidRDefault="00FE48A2" w:rsidP="00FE48A2">
      <w:pPr>
        <w:rPr>
          <w:sz w:val="24"/>
          <w:szCs w:val="24"/>
        </w:rPr>
      </w:pPr>
      <w:r>
        <w:rPr>
          <w:sz w:val="24"/>
          <w:szCs w:val="24"/>
        </w:rPr>
        <w:t xml:space="preserve">Occorre insomma considerare l’intero </w:t>
      </w:r>
      <w:r w:rsidRPr="001D0391">
        <w:rPr>
          <w:sz w:val="24"/>
          <w:szCs w:val="24"/>
        </w:rPr>
        <w:t>ciclo di vita</w:t>
      </w:r>
      <w:r>
        <w:rPr>
          <w:sz w:val="24"/>
          <w:szCs w:val="24"/>
        </w:rPr>
        <w:t>, in particolare:</w:t>
      </w:r>
    </w:p>
    <w:p w:rsidR="00FE48A2" w:rsidRPr="008269C7" w:rsidRDefault="00FE48A2" w:rsidP="008269C7">
      <w:pPr>
        <w:pStyle w:val="Paragrafoelenco"/>
        <w:numPr>
          <w:ilvl w:val="0"/>
          <w:numId w:val="20"/>
        </w:numPr>
        <w:spacing w:before="120"/>
        <w:ind w:left="284" w:hanging="284"/>
        <w:contextualSpacing w:val="0"/>
        <w:rPr>
          <w:sz w:val="24"/>
          <w:szCs w:val="24"/>
        </w:rPr>
      </w:pPr>
      <w:r w:rsidRPr="00001446">
        <w:rPr>
          <w:sz w:val="24"/>
          <w:szCs w:val="24"/>
        </w:rPr>
        <w:t>pensare già in fase di pianificazione allo smantellamento o alla possibilità di separare e riciclare i materiali da costruzione; utilizzare materie prime primarie facilmente disponibili (nonché riutilizzare materiali e</w:t>
      </w:r>
      <w:r>
        <w:rPr>
          <w:sz w:val="24"/>
          <w:szCs w:val="24"/>
        </w:rPr>
        <w:t xml:space="preserve"> elementi costruttivi esistenti</w:t>
      </w:r>
    </w:p>
    <w:p w:rsidR="00FE48A2" w:rsidRPr="008269C7" w:rsidRDefault="00FE48A2" w:rsidP="008269C7">
      <w:pPr>
        <w:pStyle w:val="Paragrafoelenco"/>
        <w:numPr>
          <w:ilvl w:val="0"/>
          <w:numId w:val="20"/>
        </w:numPr>
        <w:spacing w:before="120"/>
        <w:ind w:left="284" w:hanging="284"/>
        <w:contextualSpacing w:val="0"/>
        <w:rPr>
          <w:sz w:val="24"/>
          <w:szCs w:val="24"/>
        </w:rPr>
      </w:pPr>
      <w:r w:rsidRPr="00001446">
        <w:rPr>
          <w:sz w:val="24"/>
          <w:szCs w:val="24"/>
        </w:rPr>
        <w:t>prevedere un’elevata flessibilità dell’edificio, delle costruzioni e delle installazioni per facilitare l’esecuzione di eventuali modifiche e salvaguardare le risorse in caso di nuove esigenze</w:t>
      </w:r>
    </w:p>
    <w:p w:rsidR="00FE48A2" w:rsidRPr="008269C7" w:rsidRDefault="00FE48A2" w:rsidP="008269C7">
      <w:pPr>
        <w:pStyle w:val="Paragrafoelenco"/>
        <w:numPr>
          <w:ilvl w:val="0"/>
          <w:numId w:val="20"/>
        </w:numPr>
        <w:spacing w:before="120"/>
        <w:ind w:left="284" w:hanging="284"/>
        <w:contextualSpacing w:val="0"/>
        <w:rPr>
          <w:sz w:val="24"/>
          <w:szCs w:val="24"/>
        </w:rPr>
      </w:pPr>
      <w:r>
        <w:rPr>
          <w:sz w:val="24"/>
          <w:szCs w:val="24"/>
        </w:rPr>
        <w:t>r</w:t>
      </w:r>
      <w:r w:rsidRPr="00001446">
        <w:rPr>
          <w:sz w:val="24"/>
          <w:szCs w:val="24"/>
        </w:rPr>
        <w:t>ealizzare costruzioni compatte e ottimizzate (per ridurre al minimo il consumo di materiali e ottimizzare le strutture) e Scegliere al meglio i materiali (considerare l’uso di materie prime primarie locali, tecnologie e emissioni negative)</w:t>
      </w:r>
    </w:p>
    <w:p w:rsidR="00FE48A2" w:rsidRPr="008269C7" w:rsidRDefault="00FE48A2" w:rsidP="008269C7">
      <w:pPr>
        <w:pStyle w:val="Paragrafoelenco"/>
        <w:numPr>
          <w:ilvl w:val="0"/>
          <w:numId w:val="20"/>
        </w:numPr>
        <w:spacing w:before="120"/>
        <w:ind w:left="284" w:hanging="284"/>
        <w:contextualSpacing w:val="0"/>
        <w:rPr>
          <w:sz w:val="24"/>
          <w:szCs w:val="24"/>
        </w:rPr>
      </w:pPr>
      <w:r>
        <w:rPr>
          <w:sz w:val="24"/>
          <w:szCs w:val="24"/>
        </w:rPr>
        <w:lastRenderedPageBreak/>
        <w:t>c</w:t>
      </w:r>
      <w:r w:rsidRPr="00001446">
        <w:rPr>
          <w:sz w:val="24"/>
          <w:szCs w:val="24"/>
        </w:rPr>
        <w:t>onsiderare lo smaltimento futuro degli elementi costruttivi (separazione e smontaggio semplici, ecc</w:t>
      </w:r>
      <w:r>
        <w:rPr>
          <w:sz w:val="24"/>
          <w:szCs w:val="24"/>
        </w:rPr>
        <w:t>.</w:t>
      </w:r>
    </w:p>
    <w:p w:rsidR="00FE48A2" w:rsidRPr="00001446" w:rsidRDefault="00FE48A2" w:rsidP="008269C7">
      <w:pPr>
        <w:pStyle w:val="Paragrafoelenco"/>
        <w:numPr>
          <w:ilvl w:val="0"/>
          <w:numId w:val="20"/>
        </w:numPr>
        <w:spacing w:before="120"/>
        <w:ind w:left="284" w:hanging="284"/>
        <w:contextualSpacing w:val="0"/>
        <w:rPr>
          <w:sz w:val="24"/>
          <w:szCs w:val="24"/>
        </w:rPr>
      </w:pPr>
      <w:r>
        <w:rPr>
          <w:sz w:val="24"/>
          <w:szCs w:val="24"/>
        </w:rPr>
        <w:t>c</w:t>
      </w:r>
      <w:r w:rsidRPr="00001446">
        <w:rPr>
          <w:sz w:val="24"/>
          <w:szCs w:val="24"/>
        </w:rPr>
        <w:t>onsiderare l’energia grigia necessaria per la produzione dei materiali e per il trasporto</w:t>
      </w:r>
    </w:p>
    <w:p w:rsidR="00FE48A2" w:rsidRPr="001D0391" w:rsidRDefault="00FE48A2" w:rsidP="00FE48A2">
      <w:pPr>
        <w:rPr>
          <w:sz w:val="24"/>
          <w:szCs w:val="24"/>
        </w:rPr>
      </w:pPr>
    </w:p>
    <w:p w:rsidR="00FE48A2" w:rsidRDefault="00FE48A2" w:rsidP="00FE48A2">
      <w:pPr>
        <w:rPr>
          <w:sz w:val="24"/>
          <w:szCs w:val="24"/>
        </w:rPr>
      </w:pPr>
      <w:r w:rsidRPr="001D0391">
        <w:rPr>
          <w:sz w:val="24"/>
          <w:szCs w:val="24"/>
        </w:rPr>
        <w:t>Aumentare il ciclo di vita (realizzabile anche grazie ai risanamenti)</w:t>
      </w:r>
      <w:r>
        <w:rPr>
          <w:sz w:val="24"/>
          <w:szCs w:val="24"/>
        </w:rPr>
        <w:t xml:space="preserve"> degli edifici comporta una </w:t>
      </w:r>
      <w:r w:rsidRPr="001D0391">
        <w:rPr>
          <w:sz w:val="24"/>
          <w:szCs w:val="24"/>
        </w:rPr>
        <w:t>significativa riduzione dell’energia grigia (</w:t>
      </w:r>
      <w:proofErr w:type="gramStart"/>
      <w:r>
        <w:rPr>
          <w:sz w:val="24"/>
          <w:szCs w:val="24"/>
        </w:rPr>
        <w:t>ed</w:t>
      </w:r>
      <w:proofErr w:type="gramEnd"/>
      <w:r>
        <w:rPr>
          <w:sz w:val="24"/>
          <w:szCs w:val="24"/>
        </w:rPr>
        <w:t xml:space="preserve">, in buona sostanza, </w:t>
      </w:r>
      <w:r w:rsidRPr="001D0391">
        <w:rPr>
          <w:sz w:val="24"/>
          <w:szCs w:val="24"/>
        </w:rPr>
        <w:t>minori emissioni di CO 2</w:t>
      </w:r>
      <w:r>
        <w:rPr>
          <w:sz w:val="24"/>
          <w:szCs w:val="24"/>
        </w:rPr>
        <w:t>).</w:t>
      </w:r>
    </w:p>
    <w:p w:rsidR="00FE48A2" w:rsidRDefault="00FE48A2" w:rsidP="00FE48A2">
      <w:pPr>
        <w:rPr>
          <w:sz w:val="24"/>
          <w:szCs w:val="24"/>
        </w:rPr>
      </w:pPr>
    </w:p>
    <w:p w:rsidR="00FE48A2" w:rsidRDefault="00FE48A2" w:rsidP="00FE48A2">
      <w:pPr>
        <w:rPr>
          <w:sz w:val="24"/>
          <w:szCs w:val="24"/>
        </w:rPr>
      </w:pPr>
      <w:r>
        <w:rPr>
          <w:sz w:val="24"/>
          <w:szCs w:val="24"/>
        </w:rPr>
        <w:t>Al termine dell’audizione, la Commissione ha chiesto alcune informazioni supplementari, alle quali il consiglio di Stato ha dato seguito con RG 3212 del 28.6.2022.</w:t>
      </w:r>
    </w:p>
    <w:p w:rsidR="00FE48A2" w:rsidRDefault="00FE48A2" w:rsidP="00FE48A2">
      <w:pPr>
        <w:rPr>
          <w:sz w:val="24"/>
          <w:szCs w:val="24"/>
        </w:rPr>
      </w:pPr>
      <w:r>
        <w:rPr>
          <w:sz w:val="24"/>
          <w:szCs w:val="24"/>
        </w:rPr>
        <w:t>Si trattava in particolare di ottenere una lista più concreta di progetti già pianificati o realizzati tenendo conto della strategia complessiva fin qui illustrata.</w:t>
      </w:r>
    </w:p>
    <w:p w:rsidR="00FE48A2" w:rsidRDefault="00FE48A2" w:rsidP="00FE48A2">
      <w:pPr>
        <w:rPr>
          <w:sz w:val="24"/>
          <w:szCs w:val="24"/>
        </w:rPr>
      </w:pPr>
    </w:p>
    <w:p w:rsidR="00FE48A2" w:rsidRDefault="00FE48A2" w:rsidP="00FE48A2">
      <w:pPr>
        <w:rPr>
          <w:sz w:val="24"/>
          <w:szCs w:val="24"/>
        </w:rPr>
      </w:pPr>
      <w:r>
        <w:rPr>
          <w:sz w:val="24"/>
          <w:szCs w:val="24"/>
        </w:rPr>
        <w:t xml:space="preserve">Nel frattempo il Consiglio di Stato ha anche portato avanti il </w:t>
      </w:r>
      <w:r w:rsidRPr="006B52CF">
        <w:rPr>
          <w:sz w:val="24"/>
          <w:szCs w:val="24"/>
        </w:rPr>
        <w:t>Piano per lo sviluppo della produzione</w:t>
      </w:r>
      <w:r>
        <w:rPr>
          <w:sz w:val="24"/>
          <w:szCs w:val="24"/>
        </w:rPr>
        <w:t xml:space="preserve"> </w:t>
      </w:r>
      <w:r w:rsidRPr="006B52CF">
        <w:rPr>
          <w:sz w:val="24"/>
          <w:szCs w:val="24"/>
        </w:rPr>
        <w:t>fotovoltaica sugli stabili del Cantone</w:t>
      </w:r>
      <w:r>
        <w:rPr>
          <w:sz w:val="24"/>
          <w:szCs w:val="24"/>
        </w:rPr>
        <w:t xml:space="preserve"> in collaborazione con AET, presentato lo scorso 13 giugno e che mira ad </w:t>
      </w:r>
      <w:r w:rsidRPr="006B52CF">
        <w:rPr>
          <w:sz w:val="24"/>
          <w:szCs w:val="24"/>
        </w:rPr>
        <w:t xml:space="preserve">un potenziale sfruttabile pari a una produzione annua di 20 </w:t>
      </w:r>
      <w:proofErr w:type="spellStart"/>
      <w:r w:rsidRPr="006B52CF">
        <w:rPr>
          <w:sz w:val="24"/>
          <w:szCs w:val="24"/>
        </w:rPr>
        <w:t>GWh</w:t>
      </w:r>
      <w:proofErr w:type="spellEnd"/>
      <w:r w:rsidRPr="006B52CF">
        <w:rPr>
          <w:sz w:val="24"/>
          <w:szCs w:val="24"/>
        </w:rPr>
        <w:t>.</w:t>
      </w:r>
      <w:r>
        <w:rPr>
          <w:sz w:val="24"/>
          <w:szCs w:val="24"/>
        </w:rPr>
        <w:t xml:space="preserve"> A titolo di paragone i</w:t>
      </w:r>
      <w:r w:rsidRPr="006B52CF">
        <w:rPr>
          <w:sz w:val="24"/>
          <w:szCs w:val="24"/>
        </w:rPr>
        <w:t xml:space="preserve">l consumo proprio degli stabili cantonali ammonta a circa 22 </w:t>
      </w:r>
      <w:proofErr w:type="spellStart"/>
      <w:r w:rsidRPr="006B52CF">
        <w:rPr>
          <w:sz w:val="24"/>
          <w:szCs w:val="24"/>
        </w:rPr>
        <w:t>GWh</w:t>
      </w:r>
      <w:proofErr w:type="spellEnd"/>
      <w:r w:rsidRPr="006B52CF">
        <w:rPr>
          <w:sz w:val="24"/>
          <w:szCs w:val="24"/>
        </w:rPr>
        <w:t>/anno.</w:t>
      </w:r>
      <w:r>
        <w:rPr>
          <w:sz w:val="24"/>
          <w:szCs w:val="24"/>
        </w:rPr>
        <w:t xml:space="preserve"> </w:t>
      </w:r>
      <w:r w:rsidRPr="006B52CF">
        <w:rPr>
          <w:sz w:val="24"/>
          <w:szCs w:val="24"/>
        </w:rPr>
        <w:t xml:space="preserve">Installando gli impianti fotovoltaici previsti si stima di fornire almeno 10 </w:t>
      </w:r>
      <w:proofErr w:type="spellStart"/>
      <w:r w:rsidRPr="006B52CF">
        <w:rPr>
          <w:sz w:val="24"/>
          <w:szCs w:val="24"/>
        </w:rPr>
        <w:t>GWh</w:t>
      </w:r>
      <w:proofErr w:type="spellEnd"/>
      <w:r w:rsidRPr="006B52CF">
        <w:rPr>
          <w:sz w:val="24"/>
          <w:szCs w:val="24"/>
        </w:rPr>
        <w:t xml:space="preserve"> in autoconsumo,</w:t>
      </w:r>
      <w:r>
        <w:rPr>
          <w:sz w:val="24"/>
          <w:szCs w:val="24"/>
        </w:rPr>
        <w:t xml:space="preserve"> </w:t>
      </w:r>
      <w:r w:rsidRPr="006B52CF">
        <w:rPr>
          <w:sz w:val="24"/>
          <w:szCs w:val="24"/>
        </w:rPr>
        <w:t>considerando il maggior consumo diurno nelle scuole e negli uffici.</w:t>
      </w:r>
      <w:r>
        <w:rPr>
          <w:sz w:val="24"/>
          <w:szCs w:val="24"/>
        </w:rPr>
        <w:t xml:space="preserve"> L’i</w:t>
      </w:r>
      <w:r w:rsidRPr="006B52CF">
        <w:rPr>
          <w:sz w:val="24"/>
          <w:szCs w:val="24"/>
        </w:rPr>
        <w:t>nvestimento previsto</w:t>
      </w:r>
      <w:r>
        <w:rPr>
          <w:sz w:val="24"/>
          <w:szCs w:val="24"/>
        </w:rPr>
        <w:t xml:space="preserve"> da parte di AET è di </w:t>
      </w:r>
      <w:proofErr w:type="spellStart"/>
      <w:r w:rsidRPr="006B52CF">
        <w:rPr>
          <w:sz w:val="24"/>
          <w:szCs w:val="24"/>
        </w:rPr>
        <w:t>ca</w:t>
      </w:r>
      <w:proofErr w:type="spellEnd"/>
      <w:r w:rsidRPr="006B52CF">
        <w:rPr>
          <w:sz w:val="24"/>
          <w:szCs w:val="24"/>
        </w:rPr>
        <w:t>. 40 Mio CHF</w:t>
      </w:r>
      <w:r>
        <w:rPr>
          <w:sz w:val="24"/>
          <w:szCs w:val="24"/>
        </w:rPr>
        <w:t>. Si sono già identificati oltre 20 progetti prioritari per il periodo fino al 2025.</w:t>
      </w:r>
    </w:p>
    <w:p w:rsidR="00FE48A2" w:rsidRPr="006B52CF" w:rsidRDefault="00FE48A2" w:rsidP="00FE48A2">
      <w:pPr>
        <w:rPr>
          <w:sz w:val="24"/>
          <w:szCs w:val="24"/>
        </w:rPr>
      </w:pPr>
    </w:p>
    <w:p w:rsidR="00FE48A2" w:rsidRPr="0028737E" w:rsidRDefault="00FE48A2" w:rsidP="00FE48A2">
      <w:pPr>
        <w:rPr>
          <w:sz w:val="24"/>
          <w:szCs w:val="24"/>
        </w:rPr>
      </w:pPr>
    </w:p>
    <w:p w:rsidR="00FE48A2" w:rsidRPr="008269C7" w:rsidRDefault="00FE48A2" w:rsidP="008269C7">
      <w:pPr>
        <w:pStyle w:val="Titolo1"/>
        <w:numPr>
          <w:ilvl w:val="0"/>
          <w:numId w:val="18"/>
        </w:numPr>
        <w:tabs>
          <w:tab w:val="left" w:pos="567"/>
        </w:tabs>
        <w:suppressAutoHyphens w:val="0"/>
        <w:spacing w:before="0"/>
        <w:ind w:left="567" w:hanging="567"/>
        <w:jc w:val="both"/>
        <w:rPr>
          <w:rFonts w:eastAsia="Calibri" w:cs="Times New Roman"/>
          <w:caps/>
          <w:sz w:val="24"/>
          <w:szCs w:val="24"/>
          <w:lang w:val="it-IT" w:eastAsia="it-IT"/>
        </w:rPr>
      </w:pPr>
      <w:bookmarkStart w:id="3" w:name="_Toc115094118"/>
      <w:r w:rsidRPr="008269C7">
        <w:rPr>
          <w:rFonts w:eastAsia="Calibri" w:cs="Times New Roman"/>
          <w:caps/>
          <w:sz w:val="24"/>
          <w:szCs w:val="24"/>
          <w:lang w:val="it-IT" w:eastAsia="it-IT"/>
        </w:rPr>
        <w:t>CONSIDERAZIONI DELLA COMMISSIONE</w:t>
      </w:r>
      <w:bookmarkEnd w:id="3"/>
    </w:p>
    <w:p w:rsidR="00FE48A2" w:rsidRDefault="00FE48A2" w:rsidP="00FE48A2">
      <w:pPr>
        <w:rPr>
          <w:sz w:val="24"/>
          <w:szCs w:val="24"/>
        </w:rPr>
      </w:pPr>
      <w:r>
        <w:rPr>
          <w:sz w:val="24"/>
          <w:szCs w:val="24"/>
        </w:rPr>
        <w:t xml:space="preserve">La Commissione ritiene che il Cantone abbia preso sul serio la necessità di migliorare gli standard energetici del patrimonio immobiliare cantonale. </w:t>
      </w:r>
    </w:p>
    <w:p w:rsidR="008269C7" w:rsidRDefault="008269C7" w:rsidP="00FE48A2">
      <w:pPr>
        <w:rPr>
          <w:sz w:val="24"/>
          <w:szCs w:val="24"/>
        </w:rPr>
      </w:pPr>
    </w:p>
    <w:p w:rsidR="00FE48A2" w:rsidRDefault="00FE48A2" w:rsidP="00FE48A2">
      <w:pPr>
        <w:rPr>
          <w:sz w:val="24"/>
          <w:szCs w:val="24"/>
        </w:rPr>
      </w:pPr>
      <w:r>
        <w:rPr>
          <w:sz w:val="24"/>
          <w:szCs w:val="24"/>
        </w:rPr>
        <w:t>L’azione concreta sugli edifici volta a miglioramenti tecnici, di approvvigionamento, di smaltimento, alla riduzione dei consumi, al miglioramento dell’</w:t>
      </w:r>
      <w:proofErr w:type="spellStart"/>
      <w:r>
        <w:rPr>
          <w:sz w:val="24"/>
          <w:szCs w:val="24"/>
        </w:rPr>
        <w:t>isolazione</w:t>
      </w:r>
      <w:proofErr w:type="spellEnd"/>
      <w:r>
        <w:rPr>
          <w:sz w:val="24"/>
          <w:szCs w:val="24"/>
        </w:rPr>
        <w:t xml:space="preserve"> è quanto di meglio si possa fare per ottenere risultati tangibili, ha un riscontro certamente più immediato e misurabile che non – ad esempio – certi </w:t>
      </w:r>
      <w:proofErr w:type="spellStart"/>
      <w:r>
        <w:rPr>
          <w:sz w:val="24"/>
          <w:szCs w:val="24"/>
        </w:rPr>
        <w:t>label</w:t>
      </w:r>
      <w:proofErr w:type="spellEnd"/>
      <w:r>
        <w:rPr>
          <w:sz w:val="24"/>
          <w:szCs w:val="24"/>
        </w:rPr>
        <w:t xml:space="preserve"> e certificazioni, o i concetti ESG dei prodotti finanziari, che sono maggiormente a rischio di un mero </w:t>
      </w:r>
      <w:proofErr w:type="spellStart"/>
      <w:r w:rsidRPr="00142530">
        <w:rPr>
          <w:i/>
          <w:iCs/>
          <w:sz w:val="24"/>
          <w:szCs w:val="24"/>
        </w:rPr>
        <w:t>greenwashing</w:t>
      </w:r>
      <w:proofErr w:type="spellEnd"/>
      <w:r>
        <w:rPr>
          <w:sz w:val="24"/>
          <w:szCs w:val="24"/>
        </w:rPr>
        <w:t xml:space="preserve"> rispetto agli interventi concreti.</w:t>
      </w:r>
    </w:p>
    <w:p w:rsidR="00FE48A2" w:rsidRDefault="00FE48A2" w:rsidP="00FE48A2">
      <w:pPr>
        <w:rPr>
          <w:sz w:val="24"/>
          <w:szCs w:val="24"/>
        </w:rPr>
      </w:pPr>
    </w:p>
    <w:p w:rsidR="00FE48A2" w:rsidRDefault="00FE48A2" w:rsidP="00FE48A2">
      <w:pPr>
        <w:rPr>
          <w:sz w:val="24"/>
          <w:szCs w:val="24"/>
        </w:rPr>
      </w:pPr>
      <w:r>
        <w:rPr>
          <w:sz w:val="24"/>
          <w:szCs w:val="24"/>
        </w:rPr>
        <w:t xml:space="preserve">Si è comunque coscienti che un’accelerazione di tutti gli investimenti fine a </w:t>
      </w:r>
      <w:proofErr w:type="gramStart"/>
      <w:r>
        <w:rPr>
          <w:sz w:val="24"/>
          <w:szCs w:val="24"/>
        </w:rPr>
        <w:t>se</w:t>
      </w:r>
      <w:proofErr w:type="gramEnd"/>
      <w:r>
        <w:rPr>
          <w:sz w:val="24"/>
          <w:szCs w:val="24"/>
        </w:rPr>
        <w:t xml:space="preserve"> stessa non comporterebbe soltanto aspetti positivi, in particolare perché:</w:t>
      </w:r>
    </w:p>
    <w:p w:rsidR="00FE48A2" w:rsidRPr="008269C7" w:rsidRDefault="00FE48A2" w:rsidP="008269C7">
      <w:pPr>
        <w:pStyle w:val="Paragrafoelenco"/>
        <w:numPr>
          <w:ilvl w:val="0"/>
          <w:numId w:val="20"/>
        </w:numPr>
        <w:spacing w:before="120"/>
        <w:ind w:left="425" w:hanging="425"/>
        <w:contextualSpacing w:val="0"/>
        <w:rPr>
          <w:sz w:val="24"/>
          <w:szCs w:val="24"/>
        </w:rPr>
      </w:pPr>
      <w:r w:rsidRPr="005C6A74">
        <w:rPr>
          <w:sz w:val="24"/>
          <w:szCs w:val="24"/>
        </w:rPr>
        <w:t>da un punto di vista di durabilità e qualità degli edifici non ha senso intervenire a tappeto con grande anticipo su edifici la cui qualità energetica e costruttiva è già buona (sta pensando a edifici degli anni Ottanta e Novanta). Si creerebbe un debito occulto enorme dato dall’anticipo di investimenti non ancora necessari. Non è ragionevole né dal punto di vista economico-finanziario né da quello energetico</w:t>
      </w:r>
      <w:r>
        <w:rPr>
          <w:sz w:val="24"/>
          <w:szCs w:val="24"/>
        </w:rPr>
        <w:t xml:space="preserve"> (tenendo conto dell’energia grigia complessiva </w:t>
      </w:r>
      <w:proofErr w:type="spellStart"/>
      <w:r>
        <w:rPr>
          <w:sz w:val="24"/>
          <w:szCs w:val="24"/>
        </w:rPr>
        <w:t>realtiva</w:t>
      </w:r>
      <w:proofErr w:type="spellEnd"/>
      <w:r>
        <w:rPr>
          <w:sz w:val="24"/>
          <w:szCs w:val="24"/>
        </w:rPr>
        <w:t xml:space="preserve"> all’intero ciclo di vita di un edificio);</w:t>
      </w:r>
    </w:p>
    <w:p w:rsidR="00FE48A2" w:rsidRDefault="00FE48A2" w:rsidP="008269C7">
      <w:pPr>
        <w:pStyle w:val="Paragrafoelenco"/>
        <w:numPr>
          <w:ilvl w:val="0"/>
          <w:numId w:val="20"/>
        </w:numPr>
        <w:spacing w:before="120"/>
        <w:ind w:left="425" w:hanging="425"/>
        <w:contextualSpacing w:val="0"/>
        <w:rPr>
          <w:sz w:val="24"/>
          <w:szCs w:val="24"/>
        </w:rPr>
      </w:pPr>
      <w:r w:rsidRPr="005C6A74">
        <w:rPr>
          <w:sz w:val="24"/>
          <w:szCs w:val="24"/>
        </w:rPr>
        <w:t xml:space="preserve">Anche da un punto di vista logistico </w:t>
      </w:r>
      <w:r>
        <w:rPr>
          <w:sz w:val="24"/>
          <w:szCs w:val="24"/>
        </w:rPr>
        <w:t xml:space="preserve">potrebbe </w:t>
      </w:r>
      <w:r w:rsidRPr="005C6A74">
        <w:rPr>
          <w:sz w:val="24"/>
          <w:szCs w:val="24"/>
        </w:rPr>
        <w:t>av</w:t>
      </w:r>
      <w:r>
        <w:rPr>
          <w:sz w:val="24"/>
          <w:szCs w:val="24"/>
        </w:rPr>
        <w:t xml:space="preserve">ere </w:t>
      </w:r>
      <w:r w:rsidRPr="005C6A74">
        <w:rPr>
          <w:sz w:val="24"/>
          <w:szCs w:val="24"/>
        </w:rPr>
        <w:t xml:space="preserve">poco senso anticipare </w:t>
      </w:r>
      <w:r>
        <w:rPr>
          <w:sz w:val="24"/>
          <w:szCs w:val="24"/>
        </w:rPr>
        <w:t xml:space="preserve">tutti </w:t>
      </w:r>
      <w:r w:rsidRPr="005C6A74">
        <w:rPr>
          <w:sz w:val="24"/>
          <w:szCs w:val="24"/>
        </w:rPr>
        <w:t xml:space="preserve">gli interventi, perché richiederebbe probabilmente di svuotare </w:t>
      </w:r>
      <w:r>
        <w:rPr>
          <w:sz w:val="24"/>
          <w:szCs w:val="24"/>
        </w:rPr>
        <w:t xml:space="preserve">più </w:t>
      </w:r>
      <w:r w:rsidRPr="005C6A74">
        <w:rPr>
          <w:sz w:val="24"/>
          <w:szCs w:val="24"/>
        </w:rPr>
        <w:t xml:space="preserve">edifici e di trovare alternative temporanee, causando un onere finanziario e </w:t>
      </w:r>
      <w:r>
        <w:rPr>
          <w:sz w:val="24"/>
          <w:szCs w:val="24"/>
        </w:rPr>
        <w:t xml:space="preserve">verosimilmente anche </w:t>
      </w:r>
      <w:r w:rsidRPr="005C6A74">
        <w:rPr>
          <w:sz w:val="24"/>
          <w:szCs w:val="24"/>
        </w:rPr>
        <w:t>ambientale non indifferente</w:t>
      </w:r>
      <w:r>
        <w:rPr>
          <w:sz w:val="24"/>
          <w:szCs w:val="24"/>
        </w:rPr>
        <w:t>;</w:t>
      </w:r>
    </w:p>
    <w:p w:rsidR="00FE48A2" w:rsidRPr="005C6A74" w:rsidRDefault="00FE48A2" w:rsidP="008269C7">
      <w:pPr>
        <w:pStyle w:val="Paragrafoelenco"/>
        <w:numPr>
          <w:ilvl w:val="0"/>
          <w:numId w:val="20"/>
        </w:numPr>
        <w:spacing w:before="120"/>
        <w:ind w:left="425" w:hanging="425"/>
        <w:contextualSpacing w:val="0"/>
        <w:rPr>
          <w:sz w:val="24"/>
          <w:szCs w:val="24"/>
        </w:rPr>
      </w:pPr>
      <w:r>
        <w:rPr>
          <w:sz w:val="24"/>
          <w:szCs w:val="24"/>
        </w:rPr>
        <w:lastRenderedPageBreak/>
        <w:t xml:space="preserve">Bisogna sempre </w:t>
      </w:r>
      <w:r w:rsidRPr="00050692">
        <w:rPr>
          <w:sz w:val="24"/>
          <w:szCs w:val="24"/>
        </w:rPr>
        <w:t xml:space="preserve">valutare quanto un risanamento energetico ha impatto sull’edificio. Si può immaginare cosa significhi sostituire gli impianti, gli infissi, il tetto, ecc. Visto che l’intervento è </w:t>
      </w:r>
      <w:r>
        <w:rPr>
          <w:sz w:val="24"/>
          <w:szCs w:val="24"/>
        </w:rPr>
        <w:t xml:space="preserve">inevitabilmente </w:t>
      </w:r>
      <w:r w:rsidRPr="00050692">
        <w:rPr>
          <w:sz w:val="24"/>
          <w:szCs w:val="24"/>
        </w:rPr>
        <w:t xml:space="preserve">imponente, si cerca di correlarlo ad altre misure di ordine logistico, come ampliamenti o riconversione degli spazi. La pianificazione degli interventi è basata su un grado di priorità legato al degrado e alla conformità d’uso. </w:t>
      </w:r>
      <w:r>
        <w:rPr>
          <w:sz w:val="24"/>
          <w:szCs w:val="24"/>
        </w:rPr>
        <w:t xml:space="preserve">È di buon senso </w:t>
      </w:r>
      <w:r w:rsidRPr="00050692">
        <w:rPr>
          <w:sz w:val="24"/>
          <w:szCs w:val="24"/>
        </w:rPr>
        <w:t>conciliare l’esigenza di intervento logistica e l’opportunità in quel momento di risanare l’edificio</w:t>
      </w:r>
      <w:r>
        <w:rPr>
          <w:sz w:val="24"/>
          <w:szCs w:val="24"/>
        </w:rPr>
        <w:t>.</w:t>
      </w:r>
    </w:p>
    <w:p w:rsidR="00FE48A2" w:rsidRDefault="00FE48A2" w:rsidP="00FE48A2">
      <w:pPr>
        <w:rPr>
          <w:sz w:val="24"/>
          <w:szCs w:val="24"/>
        </w:rPr>
      </w:pPr>
    </w:p>
    <w:p w:rsidR="00FE48A2" w:rsidRDefault="00FE48A2" w:rsidP="00FE48A2">
      <w:pPr>
        <w:rPr>
          <w:sz w:val="24"/>
          <w:szCs w:val="24"/>
        </w:rPr>
      </w:pPr>
      <w:r>
        <w:rPr>
          <w:sz w:val="24"/>
          <w:szCs w:val="24"/>
        </w:rPr>
        <w:t xml:space="preserve">La mozione ha comunque il merito di tenere alta la guardia grazie ad una certa pressione temporale e sugli obiettivi da raggiungere. Può risultare politicamente preferibile un programma ambizioso per il quale si dovranno giustificare eventuali ritardi di alcuni anni, piuttosto che un programma blando che riduce gli stimoli ad essere virtuosi. </w:t>
      </w:r>
    </w:p>
    <w:p w:rsidR="00FE48A2" w:rsidRDefault="00FE48A2" w:rsidP="00FE48A2">
      <w:pPr>
        <w:rPr>
          <w:sz w:val="24"/>
          <w:szCs w:val="24"/>
        </w:rPr>
      </w:pPr>
      <w:r>
        <w:rPr>
          <w:sz w:val="24"/>
          <w:szCs w:val="24"/>
        </w:rPr>
        <w:t xml:space="preserve">Alcuni recenti atti parlamentari riguardanti il </w:t>
      </w:r>
      <w:r w:rsidRPr="00C367D6">
        <w:rPr>
          <w:sz w:val="24"/>
          <w:szCs w:val="24"/>
        </w:rPr>
        <w:t>Centro professionale del verde</w:t>
      </w:r>
      <w:r>
        <w:rPr>
          <w:sz w:val="24"/>
          <w:szCs w:val="24"/>
        </w:rPr>
        <w:t xml:space="preserve"> a Mezzana o l’aeroporto di Locarno indicano che tenere alta la guardia non fa certamente male.</w:t>
      </w:r>
    </w:p>
    <w:p w:rsidR="00FE48A2" w:rsidRDefault="00FE48A2" w:rsidP="00FE48A2">
      <w:pPr>
        <w:rPr>
          <w:sz w:val="24"/>
          <w:szCs w:val="24"/>
        </w:rPr>
      </w:pPr>
    </w:p>
    <w:p w:rsidR="00FE48A2" w:rsidRDefault="00FE48A2" w:rsidP="00FE48A2">
      <w:pPr>
        <w:rPr>
          <w:sz w:val="24"/>
          <w:szCs w:val="24"/>
        </w:rPr>
      </w:pPr>
      <w:r>
        <w:rPr>
          <w:sz w:val="24"/>
          <w:szCs w:val="24"/>
        </w:rPr>
        <w:t>Idealmente la programmazione dovrebbe prevedere che tra il 2040 ed il 2050 vengano risanati gli edifici per i quali le condizioni quadro appena descritte rendono poco ragionevole un intervento nei prossimi 20 anni, mentre tutti gli altri edifici andrebbero effettivamente risanati entro il 2040 come auspicato dalla mozione.</w:t>
      </w:r>
    </w:p>
    <w:p w:rsidR="00FE48A2" w:rsidRPr="005C6A74" w:rsidRDefault="00FE48A2" w:rsidP="00FE48A2">
      <w:pPr>
        <w:rPr>
          <w:sz w:val="24"/>
          <w:szCs w:val="24"/>
        </w:rPr>
      </w:pPr>
    </w:p>
    <w:p w:rsidR="00FE48A2" w:rsidRPr="0028737E" w:rsidRDefault="00FE48A2" w:rsidP="00FE48A2">
      <w:pPr>
        <w:rPr>
          <w:sz w:val="24"/>
          <w:szCs w:val="24"/>
        </w:rPr>
      </w:pPr>
    </w:p>
    <w:p w:rsidR="00FE48A2" w:rsidRPr="008269C7" w:rsidRDefault="00FE48A2" w:rsidP="008269C7">
      <w:pPr>
        <w:pStyle w:val="Titolo1"/>
        <w:numPr>
          <w:ilvl w:val="0"/>
          <w:numId w:val="18"/>
        </w:numPr>
        <w:tabs>
          <w:tab w:val="left" w:pos="567"/>
        </w:tabs>
        <w:suppressAutoHyphens w:val="0"/>
        <w:spacing w:before="0"/>
        <w:ind w:left="567" w:hanging="567"/>
        <w:jc w:val="both"/>
        <w:rPr>
          <w:rFonts w:eastAsia="Calibri" w:cs="Times New Roman"/>
          <w:caps/>
          <w:sz w:val="24"/>
          <w:szCs w:val="24"/>
          <w:lang w:val="it-IT" w:eastAsia="it-IT"/>
        </w:rPr>
      </w:pPr>
      <w:bookmarkStart w:id="4" w:name="_Toc115094119"/>
      <w:r w:rsidRPr="008269C7">
        <w:rPr>
          <w:rFonts w:eastAsia="Calibri" w:cs="Times New Roman"/>
          <w:caps/>
          <w:sz w:val="24"/>
          <w:szCs w:val="24"/>
          <w:lang w:val="it-IT" w:eastAsia="it-IT"/>
        </w:rPr>
        <w:t>CONCL</w:t>
      </w:r>
      <w:bookmarkStart w:id="5" w:name="_GoBack"/>
      <w:bookmarkEnd w:id="5"/>
      <w:r w:rsidRPr="008269C7">
        <w:rPr>
          <w:rFonts w:eastAsia="Calibri" w:cs="Times New Roman"/>
          <w:caps/>
          <w:sz w:val="24"/>
          <w:szCs w:val="24"/>
          <w:lang w:val="it-IT" w:eastAsia="it-IT"/>
        </w:rPr>
        <w:t>USIONI</w:t>
      </w:r>
      <w:bookmarkEnd w:id="4"/>
    </w:p>
    <w:p w:rsidR="00FE48A2" w:rsidRPr="0028737E" w:rsidRDefault="00FE48A2" w:rsidP="00FE48A2">
      <w:pPr>
        <w:rPr>
          <w:sz w:val="24"/>
          <w:szCs w:val="24"/>
        </w:rPr>
      </w:pPr>
      <w:r>
        <w:rPr>
          <w:sz w:val="24"/>
          <w:szCs w:val="24"/>
        </w:rPr>
        <w:t>La Commissione raccomanda pertanto al Parlamento di accogliere la mozione, nei limiti però delle riserve espresse negli ultimi paragrafi del capitolo precedente.</w:t>
      </w:r>
    </w:p>
    <w:p w:rsidR="00FE48A2" w:rsidRDefault="00FE48A2" w:rsidP="00FE48A2">
      <w:pPr>
        <w:rPr>
          <w:sz w:val="24"/>
          <w:szCs w:val="24"/>
        </w:rPr>
      </w:pPr>
    </w:p>
    <w:p w:rsidR="00FE48A2" w:rsidRDefault="00FE48A2" w:rsidP="00FE48A2">
      <w:pPr>
        <w:rPr>
          <w:sz w:val="24"/>
          <w:szCs w:val="24"/>
        </w:rPr>
      </w:pPr>
    </w:p>
    <w:p w:rsidR="00FE48A2" w:rsidRDefault="00FE48A2" w:rsidP="00FE48A2">
      <w:pPr>
        <w:widowControl w:val="0"/>
        <w:autoSpaceDE w:val="0"/>
        <w:autoSpaceDN w:val="0"/>
        <w:adjustRightInd w:val="0"/>
        <w:rPr>
          <w:rFonts w:eastAsiaTheme="minorEastAsia" w:cs="Arial"/>
          <w:color w:val="000000" w:themeColor="text1"/>
          <w:sz w:val="24"/>
          <w:szCs w:val="24"/>
          <w:lang w:val="it-IT" w:eastAsia="it-IT"/>
        </w:rPr>
      </w:pPr>
      <w:r>
        <w:rPr>
          <w:rFonts w:eastAsiaTheme="minorEastAsia" w:cs="Arial"/>
          <w:color w:val="000000" w:themeColor="text1"/>
          <w:sz w:val="24"/>
          <w:szCs w:val="24"/>
          <w:lang w:val="it-IT" w:eastAsia="it-IT"/>
        </w:rPr>
        <w:t>Per la Commissione ambiente, territorio ed energia:</w:t>
      </w:r>
    </w:p>
    <w:p w:rsidR="00FE48A2" w:rsidRDefault="008269C7" w:rsidP="00FE48A2">
      <w:pPr>
        <w:widowControl w:val="0"/>
        <w:autoSpaceDE w:val="0"/>
        <w:autoSpaceDN w:val="0"/>
        <w:adjustRightInd w:val="0"/>
        <w:spacing w:before="60"/>
        <w:rPr>
          <w:rFonts w:eastAsiaTheme="minorEastAsia" w:cs="Arial"/>
          <w:color w:val="000000" w:themeColor="text1"/>
          <w:sz w:val="24"/>
          <w:szCs w:val="24"/>
          <w:lang w:val="it-IT" w:eastAsia="it-IT"/>
        </w:rPr>
      </w:pPr>
      <w:r>
        <w:rPr>
          <w:rFonts w:eastAsiaTheme="minorEastAsia" w:cs="Arial"/>
          <w:color w:val="000000" w:themeColor="text1"/>
          <w:sz w:val="24"/>
          <w:szCs w:val="24"/>
          <w:lang w:val="it-IT" w:eastAsia="it-IT"/>
        </w:rPr>
        <w:t>Fabrizio Garbani Nerini, r</w:t>
      </w:r>
      <w:r w:rsidR="00FE48A2">
        <w:rPr>
          <w:rFonts w:eastAsiaTheme="minorEastAsia" w:cs="Arial"/>
          <w:color w:val="000000" w:themeColor="text1"/>
          <w:sz w:val="24"/>
          <w:szCs w:val="24"/>
          <w:lang w:val="it-IT" w:eastAsia="it-IT"/>
        </w:rPr>
        <w:t>elatore</w:t>
      </w:r>
    </w:p>
    <w:p w:rsidR="005C7903" w:rsidRPr="005C7903" w:rsidRDefault="005C7903" w:rsidP="005C7903">
      <w:pPr>
        <w:suppressAutoHyphens w:val="0"/>
        <w:rPr>
          <w:rFonts w:eastAsia="Times New Roman" w:cs="Times New Roman"/>
          <w:sz w:val="24"/>
          <w:szCs w:val="20"/>
          <w:lang w:val="it-IT" w:eastAsia="it-IT"/>
        </w:rPr>
      </w:pPr>
      <w:r w:rsidRPr="005C7903">
        <w:rPr>
          <w:rFonts w:eastAsia="Times New Roman" w:cs="Times New Roman"/>
          <w:sz w:val="24"/>
          <w:szCs w:val="20"/>
          <w:lang w:val="it-IT" w:eastAsia="it-IT"/>
        </w:rPr>
        <w:t xml:space="preserve">Alberti - Battaglioni - Berardi - </w:t>
      </w:r>
      <w:r w:rsidRPr="00252645">
        <w:rPr>
          <w:rFonts w:eastAsia="Times New Roman" w:cs="Times New Roman"/>
          <w:sz w:val="24"/>
          <w:szCs w:val="20"/>
          <w:lang w:val="it-IT" w:eastAsia="it-IT"/>
        </w:rPr>
        <w:t xml:space="preserve">Bignasca </w:t>
      </w:r>
      <w:r w:rsidR="009E4E08" w:rsidRPr="00252645">
        <w:rPr>
          <w:rFonts w:eastAsia="Times New Roman" w:cs="Times New Roman"/>
          <w:sz w:val="24"/>
          <w:szCs w:val="20"/>
          <w:lang w:val="it-IT" w:eastAsia="it-IT"/>
        </w:rPr>
        <w:t>-</w:t>
      </w:r>
      <w:r w:rsidRPr="00252645">
        <w:rPr>
          <w:rFonts w:eastAsia="Times New Roman" w:cs="Times New Roman"/>
          <w:sz w:val="24"/>
          <w:szCs w:val="20"/>
          <w:lang w:val="it-IT" w:eastAsia="it-IT"/>
        </w:rPr>
        <w:t xml:space="preserve"> </w:t>
      </w:r>
      <w:r w:rsidR="009E4E08" w:rsidRPr="00252645">
        <w:rPr>
          <w:rFonts w:eastAsia="Times New Roman" w:cs="Times New Roman"/>
          <w:sz w:val="24"/>
          <w:szCs w:val="20"/>
          <w:lang w:val="it-IT" w:eastAsia="it-IT"/>
        </w:rPr>
        <w:t>Buri -</w:t>
      </w:r>
      <w:r w:rsidR="009E4E08">
        <w:rPr>
          <w:rFonts w:eastAsia="Times New Roman" w:cs="Times New Roman"/>
          <w:sz w:val="24"/>
          <w:szCs w:val="20"/>
          <w:lang w:val="it-IT" w:eastAsia="it-IT"/>
        </w:rPr>
        <w:t xml:space="preserve"> </w:t>
      </w:r>
    </w:p>
    <w:p w:rsidR="005C7903" w:rsidRDefault="005C7903" w:rsidP="005C7903">
      <w:pPr>
        <w:suppressAutoHyphens w:val="0"/>
        <w:rPr>
          <w:rFonts w:eastAsia="Times New Roman" w:cs="Times New Roman"/>
          <w:sz w:val="24"/>
          <w:szCs w:val="20"/>
          <w:lang w:val="it-IT" w:eastAsia="it-IT"/>
        </w:rPr>
      </w:pPr>
      <w:r w:rsidRPr="005C7903">
        <w:rPr>
          <w:rFonts w:eastAsia="Times New Roman" w:cs="Times New Roman"/>
          <w:sz w:val="24"/>
          <w:szCs w:val="20"/>
          <w:lang w:val="it-IT" w:eastAsia="it-IT"/>
        </w:rPr>
        <w:t>Buzzi -</w:t>
      </w:r>
      <w:r w:rsidR="009E4E08">
        <w:rPr>
          <w:rFonts w:eastAsia="Times New Roman" w:cs="Times New Roman"/>
          <w:sz w:val="24"/>
          <w:szCs w:val="20"/>
          <w:lang w:val="it-IT" w:eastAsia="it-IT"/>
        </w:rPr>
        <w:t xml:space="preserve"> </w:t>
      </w:r>
      <w:r w:rsidRPr="005C7903">
        <w:rPr>
          <w:rFonts w:eastAsia="Times New Roman" w:cs="Times New Roman"/>
          <w:sz w:val="24"/>
          <w:szCs w:val="20"/>
          <w:lang w:val="it-IT" w:eastAsia="it-IT"/>
        </w:rPr>
        <w:t xml:space="preserve">Caroni - Cedraschi </w:t>
      </w:r>
      <w:r w:rsidR="009E4E08" w:rsidRPr="000C1BA7">
        <w:rPr>
          <w:rFonts w:eastAsia="Times New Roman" w:cs="Times New Roman"/>
          <w:sz w:val="24"/>
          <w:szCs w:val="20"/>
          <w:lang w:val="it-IT" w:eastAsia="it-IT"/>
        </w:rPr>
        <w:t>-</w:t>
      </w:r>
      <w:r w:rsidRPr="000C1BA7">
        <w:rPr>
          <w:rFonts w:eastAsia="Times New Roman" w:cs="Times New Roman"/>
          <w:sz w:val="24"/>
          <w:szCs w:val="20"/>
          <w:lang w:val="it-IT" w:eastAsia="it-IT"/>
        </w:rPr>
        <w:t xml:space="preserve"> </w:t>
      </w:r>
      <w:r w:rsidR="009E4E08" w:rsidRPr="000C1BA7">
        <w:rPr>
          <w:rFonts w:eastAsia="Times New Roman" w:cs="Times New Roman"/>
          <w:sz w:val="24"/>
          <w:szCs w:val="20"/>
          <w:lang w:val="it-IT" w:eastAsia="it-IT"/>
        </w:rPr>
        <w:t>Gaffuri -</w:t>
      </w:r>
      <w:r w:rsidR="009E4E08">
        <w:rPr>
          <w:rFonts w:eastAsia="Times New Roman" w:cs="Times New Roman"/>
          <w:sz w:val="24"/>
          <w:szCs w:val="20"/>
          <w:lang w:val="it-IT" w:eastAsia="it-IT"/>
        </w:rPr>
        <w:t xml:space="preserve"> </w:t>
      </w:r>
      <w:r w:rsidRPr="005C7903">
        <w:rPr>
          <w:rFonts w:eastAsia="Times New Roman" w:cs="Times New Roman"/>
          <w:sz w:val="24"/>
          <w:szCs w:val="20"/>
          <w:lang w:val="it-IT" w:eastAsia="it-IT"/>
        </w:rPr>
        <w:t xml:space="preserve">Garzoli - Genini </w:t>
      </w:r>
      <w:r>
        <w:rPr>
          <w:rFonts w:eastAsia="Times New Roman" w:cs="Times New Roman"/>
          <w:sz w:val="24"/>
          <w:szCs w:val="20"/>
          <w:lang w:val="it-IT" w:eastAsia="it-IT"/>
        </w:rPr>
        <w:t>-</w:t>
      </w:r>
      <w:r w:rsidRPr="005C7903">
        <w:rPr>
          <w:rFonts w:eastAsia="Times New Roman" w:cs="Times New Roman"/>
          <w:sz w:val="24"/>
          <w:szCs w:val="20"/>
          <w:lang w:val="it-IT" w:eastAsia="it-IT"/>
        </w:rPr>
        <w:t xml:space="preserve"> </w:t>
      </w:r>
    </w:p>
    <w:p w:rsidR="005C7903" w:rsidRPr="005C7903" w:rsidRDefault="005C7903" w:rsidP="005C7903">
      <w:pPr>
        <w:suppressAutoHyphens w:val="0"/>
        <w:rPr>
          <w:rFonts w:eastAsia="Times New Roman" w:cs="Times New Roman"/>
          <w:sz w:val="24"/>
          <w:szCs w:val="20"/>
          <w:lang w:val="it-IT" w:eastAsia="it-IT"/>
        </w:rPr>
      </w:pPr>
      <w:r w:rsidRPr="005C7903">
        <w:rPr>
          <w:rFonts w:eastAsia="Times New Roman" w:cs="Times New Roman"/>
          <w:sz w:val="24"/>
          <w:szCs w:val="20"/>
          <w:lang w:val="it-IT" w:eastAsia="it-IT"/>
        </w:rPr>
        <w:t>Lepori D. - Pinoja - Schnellmann - Terraneo - Tonini</w:t>
      </w:r>
    </w:p>
    <w:p w:rsidR="005A10BB" w:rsidRDefault="005A10BB" w:rsidP="00FE48A2">
      <w:pPr>
        <w:widowControl w:val="0"/>
        <w:autoSpaceDE w:val="0"/>
        <w:autoSpaceDN w:val="0"/>
        <w:adjustRightInd w:val="0"/>
        <w:spacing w:before="60"/>
        <w:rPr>
          <w:rFonts w:eastAsiaTheme="minorEastAsia" w:cs="Arial"/>
          <w:color w:val="000000" w:themeColor="text1"/>
          <w:sz w:val="24"/>
          <w:szCs w:val="24"/>
          <w:lang w:val="it-IT" w:eastAsia="it-IT"/>
        </w:rPr>
      </w:pPr>
    </w:p>
    <w:p w:rsidR="00FE48A2" w:rsidRPr="0028737E" w:rsidRDefault="00FE48A2" w:rsidP="00FE48A2">
      <w:pPr>
        <w:widowControl w:val="0"/>
        <w:autoSpaceDE w:val="0"/>
        <w:autoSpaceDN w:val="0"/>
        <w:adjustRightInd w:val="0"/>
        <w:rPr>
          <w:rFonts w:eastAsiaTheme="minorEastAsia" w:cs="Arial"/>
          <w:color w:val="000000" w:themeColor="text1"/>
          <w:sz w:val="24"/>
          <w:szCs w:val="24"/>
          <w:lang w:val="it-IT" w:eastAsia="it-IT"/>
        </w:rPr>
      </w:pPr>
    </w:p>
    <w:p w:rsidR="008F52AF" w:rsidRPr="00FE48A2" w:rsidRDefault="008F52AF" w:rsidP="00D33940">
      <w:pPr>
        <w:pStyle w:val="StandardRisoluzionedelConsigliodiStato"/>
        <w:ind w:right="-1"/>
      </w:pPr>
    </w:p>
    <w:p w:rsidR="00D649A8" w:rsidRPr="00FE48A2" w:rsidRDefault="00D649A8" w:rsidP="00D33940">
      <w:pPr>
        <w:pStyle w:val="StandardRisoluzionedelConsigliodiStato"/>
        <w:ind w:right="-1"/>
      </w:pPr>
    </w:p>
    <w:p w:rsidR="00D649A8" w:rsidRPr="00FE48A2" w:rsidRDefault="00D649A8" w:rsidP="00D33940">
      <w:pPr>
        <w:pStyle w:val="StandardRisoluzionedelConsigliodiStato"/>
        <w:ind w:right="-1"/>
      </w:pPr>
    </w:p>
    <w:sectPr w:rsidR="00D649A8" w:rsidRPr="00FE48A2"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8A2" w:rsidRDefault="00FE48A2" w:rsidP="00F657BF">
      <w:r>
        <w:separator/>
      </w:r>
    </w:p>
  </w:endnote>
  <w:endnote w:type="continuationSeparator" w:id="0">
    <w:p w:rsidR="00FE48A2" w:rsidRDefault="00FE48A2"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altName w:val="Gill Sans M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2D0E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2D0EA5" w:rsidP="00912E34">
          <w:pPr>
            <w:tabs>
              <w:tab w:val="center" w:pos="2382"/>
            </w:tabs>
          </w:pPr>
        </w:p>
      </w:tc>
      <w:tc>
        <w:tcPr>
          <w:tcW w:w="721" w:type="dxa"/>
        </w:tcPr>
        <w:p w:rsidR="00912E34" w:rsidRPr="003D1008" w:rsidRDefault="009C4121"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9C4121"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2D0EA5"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2D0EA5">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8A2" w:rsidRDefault="00FE48A2" w:rsidP="00F657BF">
      <w:r>
        <w:separator/>
      </w:r>
    </w:p>
  </w:footnote>
  <w:footnote w:type="continuationSeparator" w:id="0">
    <w:p w:rsidR="00FE48A2" w:rsidRDefault="00FE48A2"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2D0E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913EE32C-4F67-453E-A625-A03FF97497D0}"/>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3D1B08"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9C4121"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5D1E7E">
            <w:rPr>
              <w:noProof/>
              <w:sz w:val="24"/>
            </w:rPr>
            <w:t>5</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5D1E7E">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913EE32C-4F67-453E-A625-A03FF97497D0}"/>
          <w:text w:multiLine="1"/>
        </w:sdtPr>
        <w:sdtEndPr/>
        <w:sdtContent>
          <w:tc>
            <w:tcPr>
              <w:tcW w:w="8383" w:type="dxa"/>
              <w:tcBorders>
                <w:left w:val="single" w:sz="4" w:space="0" w:color="auto"/>
              </w:tcBorders>
              <w:tcMar>
                <w:top w:w="0" w:type="dxa"/>
                <w:left w:w="142" w:type="dxa"/>
              </w:tcMar>
            </w:tcPr>
            <w:p w:rsidR="005012EC" w:rsidRPr="0055673C" w:rsidRDefault="003D1B08"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8001 R del 6 ottobre 2022</w:t>
              </w:r>
            </w:p>
          </w:tc>
        </w:sdtContent>
      </w:sdt>
      <w:tc>
        <w:tcPr>
          <w:tcW w:w="1710" w:type="dxa"/>
          <w:tcBorders>
            <w:top w:val="single" w:sz="4" w:space="0" w:color="auto"/>
          </w:tcBorders>
        </w:tcPr>
        <w:p w:rsidR="005012EC" w:rsidRPr="0055673C" w:rsidRDefault="002D0EA5" w:rsidP="00662409">
          <w:pPr>
            <w:pStyle w:val="InvisibleLine"/>
            <w:rPr>
              <w:lang w:val="it-CH"/>
            </w:rPr>
          </w:pPr>
        </w:p>
      </w:tc>
    </w:tr>
  </w:tbl>
  <w:p w:rsidR="00F657BF" w:rsidRPr="00980362" w:rsidRDefault="009C4121"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913EE32C-4F67-453E-A625-A03FF97497D0}"/>
                            <w:text w:multiLine="1"/>
                          </w:sdtPr>
                          <w:sdtEndPr/>
                          <w:sdtContent>
                            <w:p w:rsidR="008065E8" w:rsidRPr="00411371" w:rsidRDefault="009C4121"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909EC047-66A1-4F8B-9941-CEE770EDC5F3}"/>
                      <w:text w:multiLine="1"/>
                    </w:sdtPr>
                    <w:sdtEndPr/>
                    <w:sdtContent>
                      <w:p w:rsidR="008065E8" w:rsidRPr="00411371" w:rsidRDefault="009C4121"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2D0EA5" w:rsidP="00D07D6E">
          <w:pPr>
            <w:pStyle w:val="InvisibleLine"/>
            <w:ind w:left="150"/>
            <w:rPr>
              <w:sz w:val="16"/>
            </w:rPr>
          </w:pPr>
        </w:p>
      </w:tc>
      <w:tc>
        <w:tcPr>
          <w:tcW w:w="373" w:type="pct"/>
          <w:tcBorders>
            <w:top w:val="nil"/>
            <w:bottom w:val="single" w:sz="4" w:space="0" w:color="auto"/>
          </w:tcBorders>
          <w:vAlign w:val="bottom"/>
        </w:tcPr>
        <w:p w:rsidR="00662409" w:rsidRPr="003108C0" w:rsidRDefault="002D0EA5" w:rsidP="00D07D6E">
          <w:pPr>
            <w:pStyle w:val="Level"/>
            <w:ind w:left="150"/>
            <w:rPr>
              <w:sz w:val="16"/>
            </w:rPr>
          </w:pPr>
        </w:p>
      </w:tc>
      <w:tc>
        <w:tcPr>
          <w:tcW w:w="209" w:type="pct"/>
          <w:tcBorders>
            <w:top w:val="nil"/>
            <w:bottom w:val="single" w:sz="4" w:space="0" w:color="auto"/>
          </w:tcBorders>
        </w:tcPr>
        <w:p w:rsidR="00662409" w:rsidRDefault="009C4121"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085688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9C4121"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5D1E7E">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5D1E7E">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913EE32C-4F67-453E-A625-A03FF97497D0}"/>
          <w:text w:multiLine="1"/>
        </w:sdtPr>
        <w:sdtEndPr/>
        <w:sdtContent>
          <w:tc>
            <w:tcPr>
              <w:tcW w:w="5000" w:type="pct"/>
              <w:gridSpan w:val="6"/>
              <w:tcBorders>
                <w:left w:val="nil"/>
                <w:right w:val="nil"/>
              </w:tcBorders>
              <w:noWrap/>
              <w:tcMar>
                <w:top w:w="0" w:type="dxa"/>
              </w:tcMar>
              <w:vAlign w:val="bottom"/>
            </w:tcPr>
            <w:p w:rsidR="00662409" w:rsidRPr="008C03B5" w:rsidRDefault="003D1B08"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9C4121"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2D0EA5"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9C4121"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2D0EA5"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9C4121"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2D0EA5"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2D0EA5"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913EE32C-4F67-453E-A625-A03FF97497D0}"/>
              <w:text w:multiLine="1"/>
            </w:sdtPr>
            <w:sdtEndPr/>
            <w:sdtContent>
              <w:r w:rsidR="003D1B08">
                <w:rPr>
                  <w:rFonts w:cstheme="minorHAnsi"/>
                  <w:b/>
                  <w:sz w:val="24"/>
                  <w:szCs w:val="24"/>
                </w:rPr>
                <w:t>8001 R</w:t>
              </w:r>
            </w:sdtContent>
          </w:sdt>
        </w:p>
      </w:tc>
      <w:sdt>
        <w:sdtPr>
          <w:rPr>
            <w:sz w:val="24"/>
          </w:rPr>
          <w:alias w:val="DocParam.Date"/>
          <w:id w:val="-464426178"/>
          <w:dataBinding w:xpath="//DateTime[@id='DocParam.Date']" w:storeItemID="{913EE32C-4F67-453E-A625-A03FF97497D0}"/>
          <w:date w:fullDate="2022-10-06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3D1B08" w:rsidP="00A532F6">
              <w:pPr>
                <w:pStyle w:val="Data"/>
              </w:pPr>
              <w:r>
                <w:rPr>
                  <w:sz w:val="24"/>
                </w:rPr>
                <w:t>6 ottobre 2022</w:t>
              </w:r>
            </w:p>
          </w:tc>
        </w:sdtContent>
      </w:sdt>
      <w:tc>
        <w:tcPr>
          <w:tcW w:w="3218" w:type="pct"/>
          <w:gridSpan w:val="4"/>
          <w:tcBorders>
            <w:top w:val="nil"/>
            <w:left w:val="nil"/>
            <w:bottom w:val="nil"/>
            <w:right w:val="nil"/>
          </w:tcBorders>
        </w:tcPr>
        <w:p w:rsidR="008C03B5" w:rsidRPr="00BE22A2" w:rsidRDefault="002D0EA5"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913EE32C-4F67-453E-A625-A03FF97497D0}"/>
              <w:text w:multiLine="1"/>
            </w:sdtPr>
            <w:sdtEndPr/>
            <w:sdtContent>
              <w:r w:rsidR="003D1B08">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2D0EA5" w:rsidP="00D07D6E">
          <w:pPr>
            <w:pStyle w:val="Level"/>
            <w:ind w:left="150"/>
            <w:rPr>
              <w:rFonts w:ascii="Gill Alt One MT Light" w:hAnsi="Gill Alt One MT Light"/>
              <w:sz w:val="16"/>
              <w:szCs w:val="16"/>
            </w:rPr>
          </w:pPr>
        </w:p>
      </w:tc>
    </w:tr>
  </w:tbl>
  <w:p w:rsidR="00F657BF" w:rsidRPr="00DA2879" w:rsidRDefault="009C4121"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838350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913EE32C-4F67-453E-A625-A03FF97497D0}"/>
                            <w:text w:multiLine="1"/>
                          </w:sdtPr>
                          <w:sdtEndPr/>
                          <w:sdtContent>
                            <w:p w:rsidR="00E93620" w:rsidRPr="00411371" w:rsidRDefault="009C4121"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909EC047-66A1-4F8B-9941-CEE770EDC5F3}"/>
                      <w:text w:multiLine="1"/>
                    </w:sdtPr>
                    <w:sdtEndPr/>
                    <w:sdtContent>
                      <w:p w:rsidR="00E93620" w:rsidRPr="00411371" w:rsidRDefault="009C4121"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B3406"/>
    <w:multiLevelType w:val="hybridMultilevel"/>
    <w:tmpl w:val="B310190A"/>
    <w:lvl w:ilvl="0" w:tplc="0810000F">
      <w:start w:val="1"/>
      <w:numFmt w:val="decimal"/>
      <w:lvlText w:val="%1."/>
      <w:lvlJc w:val="left"/>
      <w:pPr>
        <w:ind w:left="928"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C46058A"/>
    <w:multiLevelType w:val="hybridMultilevel"/>
    <w:tmpl w:val="65B89E52"/>
    <w:lvl w:ilvl="0" w:tplc="FE7ECCEE">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3F7767EF"/>
    <w:multiLevelType w:val="hybridMultilevel"/>
    <w:tmpl w:val="99C23DEC"/>
    <w:lvl w:ilvl="0" w:tplc="09901C14">
      <w:start w:val="4"/>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num w:numId="1">
    <w:abstractNumId w:val="12"/>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8"/>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16"/>
  </w:num>
  <w:num w:numId="2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A2"/>
    <w:rsid w:val="0000295A"/>
    <w:rsid w:val="00026D08"/>
    <w:rsid w:val="000A4506"/>
    <w:rsid w:val="000C1BA7"/>
    <w:rsid w:val="000D177A"/>
    <w:rsid w:val="00167E06"/>
    <w:rsid w:val="0017193B"/>
    <w:rsid w:val="00175A63"/>
    <w:rsid w:val="001B6C96"/>
    <w:rsid w:val="00252645"/>
    <w:rsid w:val="00254966"/>
    <w:rsid w:val="002B5D9F"/>
    <w:rsid w:val="002D0EA5"/>
    <w:rsid w:val="002D4D70"/>
    <w:rsid w:val="003A1EB5"/>
    <w:rsid w:val="003A68B3"/>
    <w:rsid w:val="003B756D"/>
    <w:rsid w:val="003D1B08"/>
    <w:rsid w:val="00403ADB"/>
    <w:rsid w:val="0055673C"/>
    <w:rsid w:val="00572FD3"/>
    <w:rsid w:val="005A10BB"/>
    <w:rsid w:val="005C7903"/>
    <w:rsid w:val="005D1E7E"/>
    <w:rsid w:val="007A23AA"/>
    <w:rsid w:val="007E3B4D"/>
    <w:rsid w:val="008269C7"/>
    <w:rsid w:val="00841FDD"/>
    <w:rsid w:val="008720C4"/>
    <w:rsid w:val="008E27D6"/>
    <w:rsid w:val="008F52AF"/>
    <w:rsid w:val="009C4121"/>
    <w:rsid w:val="009C5E5A"/>
    <w:rsid w:val="009E4E08"/>
    <w:rsid w:val="00A11126"/>
    <w:rsid w:val="00A27652"/>
    <w:rsid w:val="00AF0268"/>
    <w:rsid w:val="00B5435E"/>
    <w:rsid w:val="00BF0A1F"/>
    <w:rsid w:val="00C0703F"/>
    <w:rsid w:val="00C2484B"/>
    <w:rsid w:val="00CC7C8B"/>
    <w:rsid w:val="00D33940"/>
    <w:rsid w:val="00D600FD"/>
    <w:rsid w:val="00D649A8"/>
    <w:rsid w:val="00D93DD5"/>
    <w:rsid w:val="00DA0148"/>
    <w:rsid w:val="00E045B2"/>
    <w:rsid w:val="00EB088A"/>
    <w:rsid w:val="00EE2F41"/>
    <w:rsid w:val="00F657BF"/>
    <w:rsid w:val="00FC5FF9"/>
    <w:rsid w:val="00FE48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4D808E8-DCF1-457D-B9AB-4984DC54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48A2"/>
    <w:pPr>
      <w:suppressAutoHyphens/>
    </w:pPr>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FE48A2"/>
    <w:rPr>
      <w:color w:val="0000FF" w:themeColor="hyperlink"/>
      <w:u w:val="single"/>
    </w:rPr>
  </w:style>
  <w:style w:type="paragraph" w:styleId="Testofumetto">
    <w:name w:val="Balloon Text"/>
    <w:basedOn w:val="Normale"/>
    <w:link w:val="TestofumettoCarattere"/>
    <w:uiPriority w:val="99"/>
    <w:semiHidden/>
    <w:unhideWhenUsed/>
    <w:rsid w:val="00A2765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7652"/>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9d3314c0-f1ba-4517-b5b7-13520a7b0338.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1085688454</Id>
      <Width>0</Width>
      <Height>0</Height>
      <XPath>//Image[@id='Profile.Org.WappenSW']</XPath>
      <ImageHash>02f1c0cdac6aeac316213b2e7cb733a0</ImageHash>
    </ImageSizeDefinition>
    <ImageSizeDefinition>
      <Id>1838350350</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f 4 3 3 7 d a 8 - 3 9 5 4 - 4 c 5 a - 9 5 4 4 - a d a 5 3 c 4 1 f a 8 7 "   t I d = " a 3 6 2 a 5 d 4 - 9 5 8 9 - 4 1 b f - a 4 e 6 - 4 f 8 7 c 4 e 4 1 2 3 9 "   i n t e r n a l T I d = " 9 0 6 4 c c 7 f - 3 1 6 d - 4 6 b 1 - a 4 a c - 7 4 8 6 0 c 3 f 8 a 5 b "   m t I d = " 2 7 5 a f 3 2 e - b c 4 0 - 4 5 c 2 - 8 5 b 7 - a f b 1 c 0 3 8 2 6 5 3 "   r e v i s i o n = " 0 "   c r e a t e d m a j o r v e r s i o n = " 0 "   c r e a t e d m i n o r v e r s i o n = " 0 "   c r e a t e d = " 2 0 2 2 - 1 0 - 0 6 T 1 5 : 4 8 : 4 0 . 7 2 9 1 2 9 2 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 2 0 2 2 - 1 0 - 0 6 T 0 0 : 0 0 : 0 0 Z < / D a t e T i m e >  
                 < T e x t   i d = " D o c P a r a m . N u m b e r " > < ! [ C D A T A [ 8 0 0 1 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    < S c r i p t i n g >  
                 < T e x t   i d = " C u s t o m E l e m e n t s . S u b T e m p l a t e . L a n d s c a p e . H e a d e r . O r g I n f o s "   l a b e l = " C u s t o m E l e m e n t s . S u b T e m p l a t e . L a n d s c a p e . H e a d e r . O r g I n f o s " > < ! [ C D A T A [ D i p a r t i m e n t o   d e l   t e r r i t o r i o ] ] > < / T e x t >  
                 < T e x t   i d = " C u s t o m E l e m e n t s . S u b T e m p l a t e . L a n d s c a p e . H e a d e r . T i t o l o "   l a b e l = " C u s t o m E l e m e n t s . S u b T e m p l a t e . L a n d s c a p e . H e a d e r . T i t o l o " > < ! [ C D A T A [ R a p p o r t o   n .   8 0 0 1   R   d e l   0 6   o t t o b r e   2 0 2 2 ] ] > < / 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0 0 1   R   d e l   6   o t t o 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DB231E34-0A9A-4C0A-98FD-42398CD8A439}">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913EE32C-4F67-453E-A625-A03FF97497D0}">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9d3314c0-f1ba-4517-b5b7-13520a7b0338.dotx</Template>
  <TotalTime>19</TotalTime>
  <Pages>5</Pages>
  <Words>1989</Words>
  <Characters>11340</Characters>
  <Application>Microsoft Office Word</Application>
  <DocSecurity>0</DocSecurity>
  <Lines>94</Lines>
  <Paragraphs>26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38</cp:revision>
  <cp:lastPrinted>2022-10-24T08:02:00Z</cp:lastPrinted>
  <dcterms:created xsi:type="dcterms:W3CDTF">2022-10-06T15:48:00Z</dcterms:created>
  <dcterms:modified xsi:type="dcterms:W3CDTF">2022-10-24T08:05:00Z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