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0F" w:rsidRPr="008B4137" w:rsidRDefault="00CB3E0F" w:rsidP="00CB3E0F">
      <w:pPr>
        <w:rPr>
          <w:rFonts w:cs="Arial"/>
          <w:b/>
          <w:sz w:val="28"/>
          <w:szCs w:val="28"/>
        </w:rPr>
      </w:pPr>
      <w:r w:rsidRPr="008B4137">
        <w:rPr>
          <w:rFonts w:cs="Arial"/>
          <w:b/>
          <w:sz w:val="28"/>
          <w:szCs w:val="28"/>
        </w:rPr>
        <w:t xml:space="preserve">della Commissione </w:t>
      </w:r>
      <w:r>
        <w:rPr>
          <w:rFonts w:cs="Arial"/>
          <w:b/>
          <w:sz w:val="28"/>
          <w:szCs w:val="28"/>
        </w:rPr>
        <w:t>formazione e cultura</w:t>
      </w:r>
      <w:bookmarkStart w:id="0" w:name="_GoBack"/>
      <w:bookmarkEnd w:id="0"/>
    </w:p>
    <w:p w:rsidR="00CB3E0F" w:rsidRPr="00320877" w:rsidRDefault="00CB3E0F" w:rsidP="00CB3E0F">
      <w:pPr>
        <w:pStyle w:val="NORMALE0"/>
      </w:pPr>
      <w:r w:rsidRPr="000D6BD0">
        <w:rPr>
          <w:rFonts w:cs="Arial"/>
          <w:b/>
          <w:sz w:val="28"/>
          <w:szCs w:val="28"/>
        </w:rPr>
        <w:t>sul</w:t>
      </w:r>
      <w:r>
        <w:rPr>
          <w:rFonts w:cs="Arial"/>
          <w:b/>
          <w:sz w:val="28"/>
          <w:szCs w:val="28"/>
        </w:rPr>
        <w:t xml:space="preserve"> messaggio</w:t>
      </w:r>
      <w:r>
        <w:rPr>
          <w:rFonts w:cs="Arial"/>
          <w:b/>
          <w:sz w:val="26"/>
          <w:szCs w:val="26"/>
        </w:rPr>
        <w:t xml:space="preserve"> </w:t>
      </w:r>
      <w:r w:rsidRPr="00727D81">
        <w:rPr>
          <w:rFonts w:cs="Arial"/>
          <w:b/>
          <w:sz w:val="28"/>
          <w:szCs w:val="28"/>
        </w:rPr>
        <w:t>12 ottobre 2022</w:t>
      </w:r>
      <w:r>
        <w:rPr>
          <w:rFonts w:cs="Arial"/>
          <w:b/>
          <w:sz w:val="26"/>
          <w:szCs w:val="26"/>
        </w:rPr>
        <w:t xml:space="preserve"> </w:t>
      </w:r>
      <w:r w:rsidRPr="00974697">
        <w:rPr>
          <w:rFonts w:cs="Arial"/>
          <w:b/>
          <w:sz w:val="28"/>
          <w:szCs w:val="28"/>
        </w:rPr>
        <w:t xml:space="preserve">concernente </w:t>
      </w:r>
      <w:r>
        <w:rPr>
          <w:rFonts w:cs="Arial"/>
          <w:b/>
          <w:sz w:val="28"/>
          <w:szCs w:val="28"/>
        </w:rPr>
        <w:t xml:space="preserve">il </w:t>
      </w:r>
      <w:r>
        <w:rPr>
          <w:b/>
          <w:sz w:val="28"/>
        </w:rPr>
        <w:t>rinnovo del s</w:t>
      </w:r>
      <w:r w:rsidRPr="00320877">
        <w:rPr>
          <w:b/>
          <w:sz w:val="28"/>
        </w:rPr>
        <w:t xml:space="preserve">ostegno alla gestione della Fondazione Ticino Film </w:t>
      </w:r>
      <w:proofErr w:type="spellStart"/>
      <w:r w:rsidRPr="00320877">
        <w:rPr>
          <w:b/>
          <w:sz w:val="28"/>
        </w:rPr>
        <w:t>Commission</w:t>
      </w:r>
      <w:proofErr w:type="spellEnd"/>
    </w:p>
    <w:p w:rsidR="00942132" w:rsidRDefault="00942132" w:rsidP="00CB3E0F">
      <w:pPr>
        <w:rPr>
          <w:rFonts w:cs="Arial"/>
          <w:szCs w:val="24"/>
        </w:rPr>
      </w:pPr>
    </w:p>
    <w:p w:rsidR="00942132" w:rsidRDefault="00942132" w:rsidP="00CB3E0F">
      <w:pPr>
        <w:rPr>
          <w:rFonts w:cs="Arial"/>
          <w:szCs w:val="24"/>
        </w:rPr>
      </w:pPr>
    </w:p>
    <w:p w:rsidR="00CB3E0F" w:rsidRPr="00942132" w:rsidRDefault="00CB3E0F" w:rsidP="00CB3E0F">
      <w:pPr>
        <w:pStyle w:val="Titolo1"/>
        <w:numPr>
          <w:ilvl w:val="0"/>
          <w:numId w:val="19"/>
        </w:numPr>
        <w:tabs>
          <w:tab w:val="left" w:pos="567"/>
        </w:tabs>
        <w:spacing w:before="0"/>
        <w:ind w:left="567" w:hanging="567"/>
        <w:jc w:val="both"/>
        <w:rPr>
          <w:rFonts w:eastAsia="Calibri" w:cs="Times New Roman"/>
          <w:caps/>
          <w:szCs w:val="24"/>
          <w:lang w:val="it-IT" w:eastAsia="it-IT"/>
        </w:rPr>
      </w:pPr>
      <w:r w:rsidRPr="00942132">
        <w:rPr>
          <w:rFonts w:eastAsia="Calibri" w:cs="Times New Roman"/>
          <w:caps/>
          <w:szCs w:val="24"/>
          <w:lang w:val="it-IT" w:eastAsia="it-IT"/>
        </w:rPr>
        <w:t>Richiesta e motivazione del messaggio governativo</w:t>
      </w:r>
    </w:p>
    <w:p w:rsidR="00CB3E0F" w:rsidRPr="00320877" w:rsidRDefault="00CB3E0F" w:rsidP="00CB3E0F">
      <w:pPr>
        <w:pStyle w:val="NORMALE0"/>
      </w:pPr>
      <w:r w:rsidRPr="0082381D">
        <w:t xml:space="preserve">Con il messaggio in oggetto, il Consiglio di Stato </w:t>
      </w:r>
      <w:r>
        <w:t xml:space="preserve">– considerati gli ottimi risultati raggiunti e la continua crescita, così come le potenzialità future del settore – </w:t>
      </w:r>
      <w:r w:rsidRPr="0082381D">
        <w:t xml:space="preserve">propone </w:t>
      </w:r>
      <w:r w:rsidRPr="00320877">
        <w:t xml:space="preserve">di riconoscere gli sforzi profusi </w:t>
      </w:r>
      <w:r>
        <w:t xml:space="preserve">e gli obiettivi raggiunti </w:t>
      </w:r>
      <w:r w:rsidRPr="00320877">
        <w:t>dalla</w:t>
      </w:r>
      <w:r>
        <w:t xml:space="preserve"> </w:t>
      </w:r>
      <w:r w:rsidRPr="00602938">
        <w:rPr>
          <w:color w:val="000000" w:themeColor="text1"/>
        </w:rPr>
        <w:t>Fondazione</w:t>
      </w:r>
      <w:r w:rsidRPr="000930A2">
        <w:rPr>
          <w:color w:val="FF0000"/>
        </w:rPr>
        <w:t xml:space="preserve"> </w:t>
      </w:r>
      <w:r w:rsidRPr="00320877">
        <w:t>T</w:t>
      </w:r>
      <w:r>
        <w:t xml:space="preserve">icino Film </w:t>
      </w:r>
      <w:proofErr w:type="spellStart"/>
      <w:r>
        <w:t>Commission</w:t>
      </w:r>
      <w:proofErr w:type="spellEnd"/>
      <w:r w:rsidRPr="00320877">
        <w:t xml:space="preserve"> a favore della filiera audiovisiva cantonale e al territorio, garantendone un </w:t>
      </w:r>
      <w:r w:rsidRPr="00602938">
        <w:rPr>
          <w:color w:val="000000" w:themeColor="text1"/>
        </w:rPr>
        <w:t>finanziamento</w:t>
      </w:r>
      <w:r w:rsidRPr="00320877">
        <w:t xml:space="preserve"> stabile a medio-lungo termine attraverso la creazione di una specifica base legale, consapevoli che quanto investito dall’ente pubblico </w:t>
      </w:r>
      <w:r w:rsidRPr="00602938">
        <w:rPr>
          <w:color w:val="000000" w:themeColor="text1"/>
        </w:rPr>
        <w:t>continuerà a generare</w:t>
      </w:r>
      <w:r w:rsidRPr="00320877">
        <w:t xml:space="preserve">, attraverso un importante effetto leva, delle importanti ricadute </w:t>
      </w:r>
      <w:r>
        <w:t xml:space="preserve">culturali, sociali ed economiche </w:t>
      </w:r>
      <w:r w:rsidRPr="00320877">
        <w:t>sul territorio ticinese</w:t>
      </w:r>
      <w:r>
        <w:t>,</w:t>
      </w:r>
      <w:r w:rsidRPr="00320877">
        <w:t xml:space="preserve"> increment</w:t>
      </w:r>
      <w:r>
        <w:t>ando al contempo</w:t>
      </w:r>
      <w:r w:rsidRPr="00320877">
        <w:t xml:space="preserve"> il ritorno d’immagine del Ticino</w:t>
      </w:r>
      <w:r>
        <w:t>, anche a livello turistico</w:t>
      </w:r>
      <w:r w:rsidRPr="00320877">
        <w:t>.</w:t>
      </w:r>
      <w:r>
        <w:t xml:space="preserve"> Il tutto con un contributo cantonale inferiore di oltre il 30% a quanto garantito sino ad ora, per un importo di CHF 350'000 l’anno (a fronte di un ritorno di spese</w:t>
      </w:r>
      <w:r w:rsidRPr="00602938">
        <w:rPr>
          <w:color w:val="000000" w:themeColor="text1"/>
        </w:rPr>
        <w:t xml:space="preserve"> dirette </w:t>
      </w:r>
      <w:r>
        <w:t xml:space="preserve">sul territorio quantificate a quasi CHF 5'000'000 per il solo 2021). </w:t>
      </w:r>
    </w:p>
    <w:p w:rsidR="00CB3E0F" w:rsidRDefault="00CB3E0F" w:rsidP="00CB3E0F"/>
    <w:p w:rsidR="00942132" w:rsidRPr="0082381D" w:rsidRDefault="00942132" w:rsidP="00CB3E0F"/>
    <w:p w:rsidR="00CB3E0F" w:rsidRDefault="00CB3E0F" w:rsidP="00CB3E0F">
      <w:pPr>
        <w:pStyle w:val="Titolo1"/>
        <w:numPr>
          <w:ilvl w:val="0"/>
          <w:numId w:val="19"/>
        </w:numPr>
        <w:tabs>
          <w:tab w:val="left" w:pos="567"/>
        </w:tabs>
        <w:spacing w:before="0"/>
        <w:ind w:left="567" w:hanging="567"/>
        <w:jc w:val="both"/>
      </w:pPr>
      <w:r w:rsidRPr="00942132">
        <w:rPr>
          <w:rFonts w:eastAsia="Calibri" w:cs="Times New Roman"/>
          <w:caps/>
          <w:szCs w:val="24"/>
          <w:lang w:val="it-IT" w:eastAsia="it-IT"/>
        </w:rPr>
        <w:t>L’attività della Ticino Film Commission (TFC)</w:t>
      </w:r>
    </w:p>
    <w:p w:rsidR="00CB3E0F" w:rsidRPr="00942132" w:rsidRDefault="00CB3E0F" w:rsidP="00942132">
      <w:pPr>
        <w:pStyle w:val="Titolo2"/>
        <w:tabs>
          <w:tab w:val="left" w:pos="567"/>
        </w:tabs>
        <w:spacing w:before="0" w:after="120"/>
        <w:jc w:val="both"/>
        <w:rPr>
          <w:rFonts w:eastAsia="Calibri" w:cs="Times New Roman"/>
          <w:lang w:val="it-IT" w:eastAsia="it-IT"/>
        </w:rPr>
      </w:pPr>
      <w:r w:rsidRPr="00942132">
        <w:rPr>
          <w:rFonts w:eastAsia="Calibri" w:cs="Times New Roman"/>
          <w:lang w:val="it-IT" w:eastAsia="it-IT"/>
        </w:rPr>
        <w:t>2.1</w:t>
      </w:r>
      <w:r w:rsidRPr="00942132">
        <w:rPr>
          <w:rFonts w:eastAsia="Calibri" w:cs="Times New Roman"/>
          <w:lang w:val="it-IT" w:eastAsia="it-IT"/>
        </w:rPr>
        <w:tab/>
        <w:t>Obiettivi</w:t>
      </w:r>
    </w:p>
    <w:p w:rsidR="00CB3E0F" w:rsidRDefault="00CB3E0F" w:rsidP="00CB3E0F">
      <w:pPr>
        <w:pStyle w:val="NORMALE0"/>
        <w:rPr>
          <w:rFonts w:cs="Arial"/>
          <w:color w:val="000000" w:themeColor="text1"/>
        </w:rPr>
      </w:pPr>
      <w:r w:rsidRPr="00507901">
        <w:rPr>
          <w:rFonts w:cs="Arial"/>
          <w:color w:val="000000" w:themeColor="text1"/>
        </w:rPr>
        <w:t xml:space="preserve">La </w:t>
      </w:r>
      <w:r w:rsidRPr="00BD25D3">
        <w:rPr>
          <w:rFonts w:cs="Arial"/>
          <w:b/>
          <w:bCs/>
          <w:color w:val="000000" w:themeColor="text1"/>
        </w:rPr>
        <w:t xml:space="preserve">Ticino Film </w:t>
      </w:r>
      <w:proofErr w:type="spellStart"/>
      <w:r w:rsidRPr="00BD25D3">
        <w:rPr>
          <w:rFonts w:cs="Arial"/>
          <w:b/>
          <w:bCs/>
          <w:color w:val="000000" w:themeColor="text1"/>
        </w:rPr>
        <w:t>Commission</w:t>
      </w:r>
      <w:proofErr w:type="spellEnd"/>
      <w:r w:rsidRPr="00507901">
        <w:rPr>
          <w:rFonts w:cs="Arial"/>
          <w:color w:val="000000" w:themeColor="text1"/>
        </w:rPr>
        <w:t xml:space="preserve"> è nata nel 2014 grazie a quattro soci fondatori: il Festival del film di Locarno, Ticino Turismo, l’Associazione Film Audiovisivi Ticino e il Gruppo registi e sceneggiatori indipendenti della Svizzera italiana. Il progetto – il primo di questa natura in Svizzera – è stato giudicato esemplare dalla Confederazione.</w:t>
      </w:r>
      <w:r>
        <w:rPr>
          <w:rFonts w:cs="Arial"/>
          <w:color w:val="000000" w:themeColor="text1"/>
        </w:rPr>
        <w:t xml:space="preserve"> </w:t>
      </w:r>
    </w:p>
    <w:p w:rsidR="00942132" w:rsidRDefault="00942132" w:rsidP="00CB3E0F">
      <w:pPr>
        <w:pStyle w:val="NORMALE0"/>
        <w:rPr>
          <w:rFonts w:cs="Arial"/>
          <w:color w:val="000000" w:themeColor="text1"/>
        </w:rPr>
      </w:pPr>
    </w:p>
    <w:p w:rsidR="00CB3E0F" w:rsidRPr="00A87CDA" w:rsidRDefault="00CB3E0F" w:rsidP="00CB3E0F">
      <w:pPr>
        <w:pStyle w:val="NORMALE0"/>
      </w:pPr>
      <w:r w:rsidRPr="00612BAC">
        <w:rPr>
          <w:b/>
          <w:bCs/>
        </w:rPr>
        <w:t>Se nel 2014 la TFC era l’unica in Svizzera e rappresentava una novità assoluta, oggi molte regioni hanno seguito il suo esempio</w:t>
      </w:r>
      <w:r w:rsidRPr="00320877">
        <w:t>. Oltre a realtà già esistenti (Svizzera centrale</w:t>
      </w:r>
      <w:r>
        <w:t xml:space="preserve"> e</w:t>
      </w:r>
      <w:r w:rsidRPr="00320877">
        <w:t xml:space="preserve"> Zurigo), di recente il Vallese ha avviato la creazione di una sua film </w:t>
      </w:r>
      <w:proofErr w:type="spellStart"/>
      <w:r w:rsidRPr="00320877">
        <w:t>commission</w:t>
      </w:r>
      <w:proofErr w:type="spellEnd"/>
      <w:r>
        <w:t>,</w:t>
      </w:r>
      <w:r w:rsidRPr="00320877">
        <w:t xml:space="preserve"> che </w:t>
      </w:r>
      <w:r w:rsidRPr="00602938">
        <w:rPr>
          <w:color w:val="000000" w:themeColor="text1"/>
        </w:rPr>
        <w:t xml:space="preserve">è </w:t>
      </w:r>
      <w:r w:rsidRPr="00320877">
        <w:t>operativa dall’autunno 2022.</w:t>
      </w:r>
      <w:r>
        <w:t xml:space="preserve"> </w:t>
      </w:r>
      <w:r w:rsidRPr="00320877">
        <w:t xml:space="preserve">Nel mentre anche Ginevra, Basilea, Montreux e Giura hanno avviato gli approfondimenti necessari atti a valutare l’istituzione di loro film </w:t>
      </w:r>
      <w:proofErr w:type="spellStart"/>
      <w:r w:rsidRPr="00320877">
        <w:t>commission</w:t>
      </w:r>
      <w:proofErr w:type="spellEnd"/>
    </w:p>
    <w:p w:rsidR="00CB3E0F" w:rsidRPr="00507901" w:rsidRDefault="00CB3E0F" w:rsidP="00CB3E0F">
      <w:pPr>
        <w:autoSpaceDE w:val="0"/>
        <w:autoSpaceDN w:val="0"/>
        <w:adjustRightInd w:val="0"/>
        <w:rPr>
          <w:rFonts w:cs="Arial"/>
          <w:color w:val="000000" w:themeColor="text1"/>
          <w:szCs w:val="24"/>
        </w:rPr>
      </w:pPr>
    </w:p>
    <w:p w:rsidR="00CB3E0F" w:rsidRDefault="00CB3E0F" w:rsidP="00CB3E0F">
      <w:pPr>
        <w:autoSpaceDE w:val="0"/>
        <w:autoSpaceDN w:val="0"/>
        <w:adjustRightInd w:val="0"/>
        <w:rPr>
          <w:rFonts w:cs="Arial"/>
          <w:b/>
          <w:bCs/>
          <w:color w:val="000000" w:themeColor="text1"/>
          <w:szCs w:val="24"/>
        </w:rPr>
      </w:pPr>
      <w:r w:rsidRPr="00507901">
        <w:rPr>
          <w:rFonts w:cs="Arial"/>
          <w:color w:val="000000" w:themeColor="text1"/>
          <w:szCs w:val="24"/>
        </w:rPr>
        <w:t xml:space="preserve">Gli </w:t>
      </w:r>
      <w:r w:rsidRPr="00507901">
        <w:rPr>
          <w:rFonts w:cs="Arial"/>
          <w:b/>
          <w:color w:val="000000" w:themeColor="text1"/>
          <w:szCs w:val="24"/>
        </w:rPr>
        <w:t>obiettivi</w:t>
      </w:r>
      <w:r w:rsidRPr="00507901">
        <w:rPr>
          <w:rFonts w:cs="Arial"/>
          <w:color w:val="000000" w:themeColor="text1"/>
          <w:szCs w:val="24"/>
        </w:rPr>
        <w:t xml:space="preserve"> della </w:t>
      </w:r>
      <w:r>
        <w:rPr>
          <w:rFonts w:cs="Arial"/>
          <w:color w:val="000000" w:themeColor="text1"/>
          <w:szCs w:val="24"/>
        </w:rPr>
        <w:t xml:space="preserve">Ticino </w:t>
      </w:r>
      <w:r w:rsidRPr="00507901">
        <w:rPr>
          <w:rFonts w:cs="Arial"/>
          <w:color w:val="000000" w:themeColor="text1"/>
          <w:szCs w:val="24"/>
        </w:rPr>
        <w:t xml:space="preserve">Film </w:t>
      </w:r>
      <w:proofErr w:type="spellStart"/>
      <w:r w:rsidRPr="00507901">
        <w:rPr>
          <w:rFonts w:cs="Arial"/>
          <w:color w:val="000000" w:themeColor="text1"/>
          <w:szCs w:val="24"/>
        </w:rPr>
        <w:t>Commission</w:t>
      </w:r>
      <w:proofErr w:type="spellEnd"/>
      <w:r w:rsidRPr="00507901">
        <w:rPr>
          <w:rFonts w:cs="Arial"/>
          <w:color w:val="000000" w:themeColor="text1"/>
          <w:szCs w:val="24"/>
        </w:rPr>
        <w:t xml:space="preserve"> sono principalmente due: da un lato consolidare, favorire, </w:t>
      </w:r>
      <w:r w:rsidRPr="00507901">
        <w:rPr>
          <w:rFonts w:cs="Arial"/>
          <w:b/>
          <w:bCs/>
          <w:color w:val="000000" w:themeColor="text1"/>
          <w:szCs w:val="24"/>
        </w:rPr>
        <w:t>stimolare e mettere in rete il fare cinema cantonale</w:t>
      </w:r>
      <w:r w:rsidRPr="00507901">
        <w:rPr>
          <w:rFonts w:cs="Arial"/>
          <w:color w:val="000000" w:themeColor="text1"/>
          <w:szCs w:val="24"/>
        </w:rPr>
        <w:t xml:space="preserve"> (in particolare sviluppando l’attività e la competitività delle imprese del settore e organizzando momenti formativi o informativi) e dall’altro </w:t>
      </w:r>
      <w:r w:rsidRPr="00507901">
        <w:rPr>
          <w:rFonts w:cs="Arial"/>
          <w:b/>
          <w:color w:val="000000" w:themeColor="text1"/>
          <w:szCs w:val="24"/>
        </w:rPr>
        <w:t>attirare</w:t>
      </w:r>
      <w:r w:rsidRPr="00507901">
        <w:rPr>
          <w:rFonts w:cs="Arial"/>
          <w:color w:val="000000" w:themeColor="text1"/>
          <w:szCs w:val="24"/>
        </w:rPr>
        <w:t xml:space="preserve"> </w:t>
      </w:r>
      <w:r w:rsidRPr="00507901">
        <w:rPr>
          <w:rFonts w:cs="Arial"/>
          <w:b/>
          <w:bCs/>
          <w:color w:val="000000" w:themeColor="text1"/>
          <w:szCs w:val="24"/>
        </w:rPr>
        <w:t>produzione audiovisiva</w:t>
      </w:r>
      <w:r w:rsidR="004356CC">
        <w:rPr>
          <w:rFonts w:cs="Arial"/>
          <w:b/>
          <w:bCs/>
          <w:color w:val="000000" w:themeColor="text1"/>
          <w:szCs w:val="24"/>
        </w:rPr>
        <w:t xml:space="preserve"> di qualità</w:t>
      </w:r>
      <w:r w:rsidRPr="00507901">
        <w:rPr>
          <w:rFonts w:cs="Arial"/>
          <w:color w:val="000000" w:themeColor="text1"/>
          <w:szCs w:val="24"/>
        </w:rPr>
        <w:t xml:space="preserve"> </w:t>
      </w:r>
      <w:r w:rsidRPr="00507901">
        <w:rPr>
          <w:rFonts w:cs="Arial"/>
          <w:b/>
          <w:bCs/>
          <w:color w:val="000000" w:themeColor="text1"/>
          <w:szCs w:val="24"/>
        </w:rPr>
        <w:t xml:space="preserve">(film, serie televisive, documentari, video musicali e pubblicità) nazionale e internazionale in Ticino per portare lavoro, indotto economico e visibilità turistica al nostro territorio. </w:t>
      </w:r>
    </w:p>
    <w:p w:rsidR="00CB3E0F" w:rsidRPr="00602938" w:rsidRDefault="00CB3E0F" w:rsidP="00CB3E0F">
      <w:pPr>
        <w:autoSpaceDE w:val="0"/>
        <w:autoSpaceDN w:val="0"/>
        <w:adjustRightInd w:val="0"/>
        <w:rPr>
          <w:rFonts w:cs="Arial"/>
          <w:color w:val="000000" w:themeColor="text1"/>
          <w:szCs w:val="24"/>
        </w:rPr>
      </w:pPr>
      <w:r>
        <w:t>Come specificato nel messaggio governativo, i</w:t>
      </w:r>
      <w:r w:rsidRPr="00320877">
        <w:t xml:space="preserve">l fine principale di questo tipo di organizzazione consiste </w:t>
      </w:r>
      <w:r>
        <w:t xml:space="preserve">dunque </w:t>
      </w:r>
      <w:r w:rsidRPr="00320877">
        <w:t xml:space="preserve">nel generare ricadute economiche di vario tipo, per </w:t>
      </w:r>
      <w:r w:rsidRPr="00320877">
        <w:lastRenderedPageBreak/>
        <w:t>esempio incrementando l’attività delle imprese locali, creando occupazione, portando spese dirette sul territorio e generando importanti effetti a livello di immagine turistica. Questo permette a numerose realtà di ottenere benefici là dove la produzione audiovisiva si svolge, siano essi alberghi o ristoranti occupati per il periodo delle riprese, servizi di ogni tipo (sicurezza, costruzioni, elettrici, noleggio auto, attività commerciali, eccetera) o l’assunzione di collaboratori artistici, tecnici</w:t>
      </w:r>
      <w:r>
        <w:t xml:space="preserve">, </w:t>
      </w:r>
      <w:r w:rsidRPr="00602938">
        <w:rPr>
          <w:color w:val="000000" w:themeColor="text1"/>
        </w:rPr>
        <w:t xml:space="preserve">attori </w:t>
      </w:r>
      <w:r w:rsidRPr="00320877">
        <w:t>o comparse. Ciò stimola inoltre l’evoluzione dell’industria audiovisiva locale e incoraggia la nascita di figure professionali specializzate che, a loro volta, aumentano l’attrattiva territoriale per gli addetti ai lavori, innescando così un potenziale circolo virtuoso.</w:t>
      </w:r>
      <w:r>
        <w:t xml:space="preserve"> </w:t>
      </w:r>
      <w:r w:rsidRPr="00602938">
        <w:rPr>
          <w:color w:val="000000" w:themeColor="text1"/>
        </w:rPr>
        <w:t>Infine, contrasta efficacemente la partenza di numerosi giovani di questi ambiti lavorativi dal Ticino verso altri luoghi in cerca di maggiori opportunità lavorative.</w:t>
      </w:r>
    </w:p>
    <w:p w:rsidR="00CB3E0F" w:rsidRPr="00B51951" w:rsidRDefault="00CB3E0F" w:rsidP="00CB3E0F">
      <w:pPr>
        <w:rPr>
          <w:rFonts w:cs="Arial"/>
          <w:color w:val="00B0F0"/>
        </w:rPr>
      </w:pPr>
    </w:p>
    <w:p w:rsidR="00CB3E0F" w:rsidRPr="00942132" w:rsidRDefault="00CB3E0F" w:rsidP="00942132">
      <w:pPr>
        <w:pStyle w:val="Titolo2"/>
        <w:tabs>
          <w:tab w:val="left" w:pos="567"/>
        </w:tabs>
        <w:spacing w:before="0" w:after="120"/>
        <w:jc w:val="both"/>
        <w:rPr>
          <w:rFonts w:eastAsia="Calibri" w:cs="Times New Roman"/>
          <w:lang w:val="it-IT" w:eastAsia="it-IT"/>
        </w:rPr>
      </w:pPr>
      <w:r w:rsidRPr="00942132">
        <w:rPr>
          <w:rFonts w:eastAsia="Calibri" w:cs="Times New Roman"/>
          <w:lang w:val="it-IT" w:eastAsia="it-IT"/>
        </w:rPr>
        <w:t>2.2</w:t>
      </w:r>
      <w:r w:rsidRPr="00942132">
        <w:rPr>
          <w:rFonts w:eastAsia="Calibri" w:cs="Times New Roman"/>
          <w:lang w:val="it-IT" w:eastAsia="it-IT"/>
        </w:rPr>
        <w:tab/>
        <w:t xml:space="preserve">Bilancio attività positivo e in crescita </w:t>
      </w:r>
    </w:p>
    <w:p w:rsidR="00CB3E0F" w:rsidRPr="00F35FD6" w:rsidRDefault="00CB3E0F" w:rsidP="00CB3E0F">
      <w:pPr>
        <w:pStyle w:val="NORMALE0"/>
        <w:rPr>
          <w:b/>
          <w:bCs/>
          <w:color w:val="000000" w:themeColor="text1"/>
        </w:rPr>
      </w:pPr>
      <w:r w:rsidRPr="00F35FD6">
        <w:rPr>
          <w:color w:val="000000" w:themeColor="text1"/>
        </w:rPr>
        <w:t xml:space="preserve">I risultati della Ticino Film </w:t>
      </w:r>
      <w:proofErr w:type="spellStart"/>
      <w:r w:rsidRPr="00F35FD6">
        <w:rPr>
          <w:color w:val="000000" w:themeColor="text1"/>
        </w:rPr>
        <w:t>Commission</w:t>
      </w:r>
      <w:proofErr w:type="spellEnd"/>
      <w:r w:rsidRPr="00F35FD6">
        <w:rPr>
          <w:color w:val="000000" w:themeColor="text1"/>
        </w:rPr>
        <w:t xml:space="preserve">, nonostante gli oneri legati alle operazioni di avvio dell’attività, permettevano già a fine primo quadriennio (2014-2017) d’intuire i primi impatti positivi dell’attività svolta. Il secondo periodo (2018-2021), prevalentemente incentrato al consolidamento e alla crescita della TFC, ha invece permesso di </w:t>
      </w:r>
      <w:r>
        <w:rPr>
          <w:color w:val="000000" w:themeColor="text1"/>
        </w:rPr>
        <w:t xml:space="preserve">confermare e </w:t>
      </w:r>
      <w:r w:rsidRPr="00F35FD6">
        <w:rPr>
          <w:color w:val="000000" w:themeColor="text1"/>
        </w:rPr>
        <w:t xml:space="preserve">sviluppare ulteriormente il potenziale di questo progetto e il suo indotto a favore del territorio: </w:t>
      </w:r>
      <w:r w:rsidRPr="00F35FD6">
        <w:rPr>
          <w:b/>
          <w:bCs/>
          <w:color w:val="000000" w:themeColor="text1"/>
        </w:rPr>
        <w:t>sull’arco dei quattro anni, i dati riferiscono infatti di un indotto diretto a favore del territorio di 13.5 milioni (+193% rispetto al quadriennio precedente).</w:t>
      </w:r>
    </w:p>
    <w:p w:rsidR="00CB3E0F" w:rsidRPr="00F35FD6" w:rsidRDefault="00CB3E0F" w:rsidP="00CB3E0F">
      <w:pPr>
        <w:pStyle w:val="NORMALE0"/>
        <w:rPr>
          <w:color w:val="000000" w:themeColor="text1"/>
        </w:rPr>
      </w:pPr>
    </w:p>
    <w:p w:rsidR="00CB3E0F" w:rsidRPr="00F35FD6" w:rsidRDefault="00CB3E0F" w:rsidP="00CB3E0F">
      <w:pPr>
        <w:pStyle w:val="NORMALE0"/>
        <w:jc w:val="center"/>
        <w:rPr>
          <w:color w:val="000000" w:themeColor="text1"/>
        </w:rPr>
      </w:pPr>
      <w:r w:rsidRPr="00F35FD6">
        <w:rPr>
          <w:noProof/>
          <w:color w:val="000000" w:themeColor="text1"/>
          <w:lang w:val="it-CH" w:eastAsia="it-CH"/>
        </w:rPr>
        <w:drawing>
          <wp:inline distT="0" distB="0" distL="0" distR="0" wp14:anchorId="207356ED" wp14:editId="03DA878F">
            <wp:extent cx="4393907" cy="3291840"/>
            <wp:effectExtent l="19050" t="19050" r="26035" b="2286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16622" cy="3308858"/>
                    </a:xfrm>
                    <a:prstGeom prst="rect">
                      <a:avLst/>
                    </a:prstGeom>
                    <a:ln>
                      <a:solidFill>
                        <a:schemeClr val="tx1"/>
                      </a:solidFill>
                    </a:ln>
                  </pic:spPr>
                </pic:pic>
              </a:graphicData>
            </a:graphic>
          </wp:inline>
        </w:drawing>
      </w:r>
    </w:p>
    <w:p w:rsidR="00CB3E0F" w:rsidRPr="00F35FD6" w:rsidRDefault="00CB3E0F" w:rsidP="00CB3E0F">
      <w:pPr>
        <w:pStyle w:val="Fonti"/>
        <w:ind w:left="567" w:firstLine="709"/>
      </w:pPr>
      <w:r w:rsidRPr="00F35FD6">
        <w:t xml:space="preserve">Fonte: Rendiconto attività 2018-2021, Ticino Film </w:t>
      </w:r>
      <w:proofErr w:type="spellStart"/>
      <w:r w:rsidRPr="00F35FD6">
        <w:t>Commission</w:t>
      </w:r>
      <w:proofErr w:type="spellEnd"/>
      <w:r w:rsidRPr="00F35FD6">
        <w:t xml:space="preserve"> (2022).</w:t>
      </w:r>
    </w:p>
    <w:p w:rsidR="00CB3E0F" w:rsidRPr="00F35FD6" w:rsidRDefault="00CB3E0F" w:rsidP="00CB3E0F">
      <w:pPr>
        <w:pStyle w:val="NORMALE0"/>
        <w:rPr>
          <w:color w:val="000000" w:themeColor="text1"/>
        </w:rPr>
      </w:pPr>
    </w:p>
    <w:p w:rsidR="00CB3E0F" w:rsidRDefault="00CB3E0F" w:rsidP="00CB3E0F">
      <w:pPr>
        <w:pStyle w:val="NORMALE0"/>
        <w:rPr>
          <w:color w:val="000000" w:themeColor="text1"/>
        </w:rPr>
      </w:pPr>
      <w:r w:rsidRPr="00F35FD6">
        <w:rPr>
          <w:color w:val="000000" w:themeColor="text1"/>
        </w:rPr>
        <w:t xml:space="preserve">Va segnalato come, al di là delle cifre consolidate, vi è una </w:t>
      </w:r>
      <w:r w:rsidRPr="00F35FD6">
        <w:rPr>
          <w:b/>
          <w:bCs/>
          <w:color w:val="000000" w:themeColor="text1"/>
        </w:rPr>
        <w:t>tendenza alla crescita dell’attività e del ritorno economico</w:t>
      </w:r>
      <w:r w:rsidRPr="00F35FD6">
        <w:rPr>
          <w:color w:val="000000" w:themeColor="text1"/>
        </w:rPr>
        <w:t>. Il messaggio governativo riporta infatti una tab</w:t>
      </w:r>
      <w:r>
        <w:rPr>
          <w:color w:val="000000" w:themeColor="text1"/>
        </w:rPr>
        <w:t>e</w:t>
      </w:r>
      <w:r w:rsidRPr="00F35FD6">
        <w:rPr>
          <w:color w:val="000000" w:themeColor="text1"/>
        </w:rPr>
        <w:t>lla che ben sintetizza l’evoluzione positiva dei risultati e dell’evoluzione annuale dell’indotto generato dalle attività della TFC a favore del territorio:</w:t>
      </w:r>
    </w:p>
    <w:p w:rsidR="00942132" w:rsidRDefault="00942132" w:rsidP="00CB3E0F">
      <w:pPr>
        <w:pStyle w:val="NORMALE0"/>
        <w:rPr>
          <w:color w:val="000000" w:themeColor="text1"/>
        </w:rPr>
      </w:pPr>
    </w:p>
    <w:p w:rsidR="00942132" w:rsidRPr="00F35FD6" w:rsidRDefault="00942132" w:rsidP="00CB3E0F">
      <w:pPr>
        <w:pStyle w:val="NORMALE0"/>
        <w:rPr>
          <w:color w:val="000000" w:themeColor="text1"/>
        </w:rPr>
      </w:pPr>
    </w:p>
    <w:p w:rsidR="00CB3E0F" w:rsidRPr="00F35FD6" w:rsidRDefault="00CB3E0F" w:rsidP="00CB3E0F">
      <w:pPr>
        <w:pStyle w:val="NORMALE0"/>
        <w:spacing w:line="200" w:lineRule="exact"/>
        <w:rPr>
          <w:color w:val="000000" w:themeColor="text1"/>
        </w:rPr>
      </w:pPr>
    </w:p>
    <w:tbl>
      <w:tblPr>
        <w:tblStyle w:val="Grigliatabella"/>
        <w:tblW w:w="5000" w:type="pct"/>
        <w:tblLook w:val="04A0" w:firstRow="1" w:lastRow="0" w:firstColumn="1" w:lastColumn="0" w:noHBand="0" w:noVBand="1"/>
      </w:tblPr>
      <w:tblGrid>
        <w:gridCol w:w="1569"/>
        <w:gridCol w:w="1116"/>
        <w:gridCol w:w="1117"/>
        <w:gridCol w:w="1079"/>
        <w:gridCol w:w="1170"/>
        <w:gridCol w:w="1117"/>
        <w:gridCol w:w="1117"/>
        <w:gridCol w:w="1195"/>
      </w:tblGrid>
      <w:tr w:rsidR="00CB3E0F" w:rsidRPr="00F35FD6" w:rsidTr="009E0FCE">
        <w:tc>
          <w:tcPr>
            <w:tcW w:w="828" w:type="pct"/>
            <w:tcBorders>
              <w:top w:val="nil"/>
              <w:left w:val="nil"/>
            </w:tcBorders>
          </w:tcPr>
          <w:p w:rsidR="00CB3E0F" w:rsidRPr="00F35FD6" w:rsidRDefault="00CB3E0F" w:rsidP="009E0FCE">
            <w:pPr>
              <w:pStyle w:val="NORMALE0"/>
              <w:jc w:val="center"/>
              <w:rPr>
                <w:b/>
                <w:color w:val="000000" w:themeColor="text1"/>
                <w:sz w:val="28"/>
              </w:rPr>
            </w:pPr>
          </w:p>
        </w:tc>
        <w:tc>
          <w:tcPr>
            <w:tcW w:w="1747" w:type="pct"/>
            <w:gridSpan w:val="3"/>
          </w:tcPr>
          <w:p w:rsidR="00CB3E0F" w:rsidRPr="00F35FD6" w:rsidRDefault="00CB3E0F" w:rsidP="009E0FCE">
            <w:pPr>
              <w:pStyle w:val="NORMALE0"/>
              <w:jc w:val="center"/>
              <w:rPr>
                <w:b/>
                <w:color w:val="000000" w:themeColor="text1"/>
                <w:sz w:val="28"/>
              </w:rPr>
            </w:pPr>
            <w:r w:rsidRPr="00F35FD6">
              <w:rPr>
                <w:b/>
                <w:color w:val="000000" w:themeColor="text1"/>
                <w:sz w:val="28"/>
              </w:rPr>
              <w:t xml:space="preserve">1° Periodo </w:t>
            </w:r>
          </w:p>
          <w:p w:rsidR="00CB3E0F" w:rsidRPr="00F35FD6" w:rsidRDefault="00CB3E0F" w:rsidP="009E0FCE">
            <w:pPr>
              <w:pStyle w:val="NORMALE0"/>
              <w:jc w:val="center"/>
              <w:rPr>
                <w:b/>
                <w:color w:val="000000" w:themeColor="text1"/>
                <w:sz w:val="28"/>
              </w:rPr>
            </w:pPr>
            <w:r w:rsidRPr="00F35FD6">
              <w:rPr>
                <w:b/>
                <w:color w:val="000000" w:themeColor="text1"/>
                <w:sz w:val="28"/>
              </w:rPr>
              <w:t>“Avviamento”</w:t>
            </w:r>
          </w:p>
        </w:tc>
        <w:tc>
          <w:tcPr>
            <w:tcW w:w="2426" w:type="pct"/>
            <w:gridSpan w:val="4"/>
          </w:tcPr>
          <w:p w:rsidR="00CB3E0F" w:rsidRPr="00F35FD6" w:rsidRDefault="00CB3E0F" w:rsidP="009E0FCE">
            <w:pPr>
              <w:pStyle w:val="NORMALE0"/>
              <w:jc w:val="center"/>
              <w:rPr>
                <w:b/>
                <w:color w:val="000000" w:themeColor="text1"/>
                <w:sz w:val="28"/>
              </w:rPr>
            </w:pPr>
            <w:r w:rsidRPr="00F35FD6">
              <w:rPr>
                <w:b/>
                <w:color w:val="000000" w:themeColor="text1"/>
                <w:sz w:val="28"/>
              </w:rPr>
              <w:t>2° Periodo</w:t>
            </w:r>
          </w:p>
          <w:p w:rsidR="00CB3E0F" w:rsidRPr="00F35FD6" w:rsidRDefault="00CB3E0F" w:rsidP="009E0FCE">
            <w:pPr>
              <w:pStyle w:val="NORMALE0"/>
              <w:jc w:val="center"/>
              <w:rPr>
                <w:b/>
                <w:color w:val="000000" w:themeColor="text1"/>
                <w:sz w:val="28"/>
              </w:rPr>
            </w:pPr>
            <w:r w:rsidRPr="00F35FD6">
              <w:rPr>
                <w:b/>
                <w:color w:val="000000" w:themeColor="text1"/>
                <w:sz w:val="28"/>
              </w:rPr>
              <w:t>“Consolidamento”</w:t>
            </w:r>
          </w:p>
        </w:tc>
      </w:tr>
      <w:tr w:rsidR="00CB3E0F" w:rsidRPr="00F35FD6" w:rsidTr="009E0FCE">
        <w:trPr>
          <w:trHeight w:val="645"/>
        </w:trPr>
        <w:tc>
          <w:tcPr>
            <w:tcW w:w="828" w:type="pct"/>
            <w:vAlign w:val="center"/>
          </w:tcPr>
          <w:p w:rsidR="00CB3E0F" w:rsidRPr="00F35FD6" w:rsidRDefault="00CB3E0F" w:rsidP="009E0FCE">
            <w:pPr>
              <w:pStyle w:val="NORMALE0"/>
              <w:rPr>
                <w:b/>
                <w:color w:val="000000" w:themeColor="text1"/>
                <w:sz w:val="19"/>
                <w:szCs w:val="19"/>
              </w:rPr>
            </w:pPr>
            <w:r w:rsidRPr="00F35FD6">
              <w:rPr>
                <w:b/>
                <w:color w:val="000000" w:themeColor="text1"/>
                <w:szCs w:val="19"/>
              </w:rPr>
              <w:t>Anno</w:t>
            </w:r>
          </w:p>
        </w:tc>
        <w:tc>
          <w:tcPr>
            <w:tcW w:w="589" w:type="pct"/>
            <w:vAlign w:val="center"/>
          </w:tcPr>
          <w:p w:rsidR="00CB3E0F" w:rsidRPr="00F35FD6" w:rsidRDefault="00CB3E0F" w:rsidP="009E0FCE">
            <w:pPr>
              <w:pStyle w:val="NORMALE0"/>
              <w:jc w:val="center"/>
              <w:rPr>
                <w:b/>
                <w:color w:val="000000" w:themeColor="text1"/>
                <w:sz w:val="20"/>
              </w:rPr>
            </w:pPr>
            <w:r w:rsidRPr="00F35FD6">
              <w:rPr>
                <w:b/>
                <w:color w:val="000000" w:themeColor="text1"/>
                <w:sz w:val="20"/>
              </w:rPr>
              <w:t>2014/15</w:t>
            </w:r>
          </w:p>
        </w:tc>
        <w:tc>
          <w:tcPr>
            <w:tcW w:w="589" w:type="pct"/>
            <w:vAlign w:val="center"/>
          </w:tcPr>
          <w:p w:rsidR="00CB3E0F" w:rsidRPr="00F35FD6" w:rsidRDefault="00CB3E0F" w:rsidP="009E0FCE">
            <w:pPr>
              <w:pStyle w:val="NORMALE0"/>
              <w:jc w:val="center"/>
              <w:rPr>
                <w:b/>
                <w:color w:val="000000" w:themeColor="text1"/>
                <w:sz w:val="20"/>
              </w:rPr>
            </w:pPr>
            <w:r w:rsidRPr="00F35FD6">
              <w:rPr>
                <w:b/>
                <w:color w:val="000000" w:themeColor="text1"/>
                <w:sz w:val="20"/>
              </w:rPr>
              <w:t>2016</w:t>
            </w:r>
          </w:p>
        </w:tc>
        <w:tc>
          <w:tcPr>
            <w:tcW w:w="569" w:type="pct"/>
            <w:vAlign w:val="center"/>
          </w:tcPr>
          <w:p w:rsidR="00CB3E0F" w:rsidRPr="00F35FD6" w:rsidRDefault="00CB3E0F" w:rsidP="009E0FCE">
            <w:pPr>
              <w:pStyle w:val="NORMALE0"/>
              <w:jc w:val="center"/>
              <w:rPr>
                <w:b/>
                <w:color w:val="000000" w:themeColor="text1"/>
                <w:sz w:val="20"/>
              </w:rPr>
            </w:pPr>
            <w:r w:rsidRPr="00F35FD6">
              <w:rPr>
                <w:b/>
                <w:color w:val="000000" w:themeColor="text1"/>
                <w:sz w:val="20"/>
              </w:rPr>
              <w:t>2017</w:t>
            </w:r>
          </w:p>
        </w:tc>
        <w:tc>
          <w:tcPr>
            <w:tcW w:w="617" w:type="pct"/>
            <w:vAlign w:val="center"/>
          </w:tcPr>
          <w:p w:rsidR="00CB3E0F" w:rsidRPr="00F35FD6" w:rsidRDefault="00CB3E0F" w:rsidP="009E0FCE">
            <w:pPr>
              <w:pStyle w:val="NORMALE0"/>
              <w:jc w:val="center"/>
              <w:rPr>
                <w:b/>
                <w:color w:val="000000" w:themeColor="text1"/>
                <w:sz w:val="20"/>
              </w:rPr>
            </w:pPr>
            <w:r w:rsidRPr="00F35FD6">
              <w:rPr>
                <w:b/>
                <w:color w:val="000000" w:themeColor="text1"/>
                <w:sz w:val="20"/>
              </w:rPr>
              <w:t>2018</w:t>
            </w:r>
          </w:p>
        </w:tc>
        <w:tc>
          <w:tcPr>
            <w:tcW w:w="589" w:type="pct"/>
            <w:vAlign w:val="center"/>
          </w:tcPr>
          <w:p w:rsidR="00CB3E0F" w:rsidRPr="00F35FD6" w:rsidRDefault="00CB3E0F" w:rsidP="009E0FCE">
            <w:pPr>
              <w:pStyle w:val="NORMALE0"/>
              <w:jc w:val="center"/>
              <w:rPr>
                <w:b/>
                <w:color w:val="000000" w:themeColor="text1"/>
                <w:sz w:val="20"/>
              </w:rPr>
            </w:pPr>
            <w:r w:rsidRPr="00F35FD6">
              <w:rPr>
                <w:b/>
                <w:color w:val="000000" w:themeColor="text1"/>
                <w:sz w:val="20"/>
              </w:rPr>
              <w:t>2019</w:t>
            </w:r>
          </w:p>
        </w:tc>
        <w:tc>
          <w:tcPr>
            <w:tcW w:w="589" w:type="pct"/>
            <w:vAlign w:val="center"/>
          </w:tcPr>
          <w:p w:rsidR="00CB3E0F" w:rsidRPr="00F35FD6" w:rsidRDefault="00CB3E0F" w:rsidP="009E0FCE">
            <w:pPr>
              <w:pStyle w:val="NORMALE0"/>
              <w:jc w:val="center"/>
              <w:rPr>
                <w:b/>
                <w:color w:val="000000" w:themeColor="text1"/>
                <w:sz w:val="20"/>
              </w:rPr>
            </w:pPr>
            <w:r w:rsidRPr="00F35FD6">
              <w:rPr>
                <w:b/>
                <w:color w:val="000000" w:themeColor="text1"/>
                <w:sz w:val="20"/>
              </w:rPr>
              <w:t>2020*</w:t>
            </w:r>
          </w:p>
        </w:tc>
        <w:tc>
          <w:tcPr>
            <w:tcW w:w="630" w:type="pct"/>
            <w:vAlign w:val="center"/>
          </w:tcPr>
          <w:p w:rsidR="00CB3E0F" w:rsidRPr="00F35FD6" w:rsidRDefault="00CB3E0F" w:rsidP="009E0FCE">
            <w:pPr>
              <w:pStyle w:val="NORMALE0"/>
              <w:jc w:val="center"/>
              <w:rPr>
                <w:b/>
                <w:color w:val="000000" w:themeColor="text1"/>
                <w:sz w:val="20"/>
              </w:rPr>
            </w:pPr>
            <w:r w:rsidRPr="00F35FD6">
              <w:rPr>
                <w:b/>
                <w:color w:val="000000" w:themeColor="text1"/>
                <w:sz w:val="20"/>
              </w:rPr>
              <w:t>2021*</w:t>
            </w:r>
          </w:p>
        </w:tc>
      </w:tr>
      <w:tr w:rsidR="00CB3E0F" w:rsidRPr="00F35FD6" w:rsidTr="009E0FCE">
        <w:trPr>
          <w:trHeight w:val="567"/>
        </w:trPr>
        <w:tc>
          <w:tcPr>
            <w:tcW w:w="828" w:type="pct"/>
            <w:vAlign w:val="center"/>
          </w:tcPr>
          <w:p w:rsidR="00CB3E0F" w:rsidRPr="00F35FD6" w:rsidRDefault="00CB3E0F" w:rsidP="009E0FCE">
            <w:pPr>
              <w:pStyle w:val="NORMALE0"/>
              <w:rPr>
                <w:color w:val="000000" w:themeColor="text1"/>
                <w:sz w:val="22"/>
                <w:szCs w:val="19"/>
              </w:rPr>
            </w:pPr>
            <w:r w:rsidRPr="00F35FD6">
              <w:rPr>
                <w:color w:val="000000" w:themeColor="text1"/>
                <w:sz w:val="22"/>
                <w:szCs w:val="19"/>
              </w:rPr>
              <w:t xml:space="preserve">Indotto </w:t>
            </w:r>
          </w:p>
          <w:p w:rsidR="00CB3E0F" w:rsidRPr="00F35FD6" w:rsidRDefault="00CB3E0F" w:rsidP="009E0FCE">
            <w:pPr>
              <w:pStyle w:val="NORMALE0"/>
              <w:rPr>
                <w:color w:val="000000" w:themeColor="text1"/>
                <w:sz w:val="22"/>
                <w:szCs w:val="19"/>
              </w:rPr>
            </w:pPr>
            <w:r w:rsidRPr="00F35FD6">
              <w:rPr>
                <w:color w:val="000000" w:themeColor="text1"/>
                <w:sz w:val="22"/>
                <w:szCs w:val="19"/>
              </w:rPr>
              <w:t xml:space="preserve">diretto </w:t>
            </w:r>
          </w:p>
        </w:tc>
        <w:tc>
          <w:tcPr>
            <w:tcW w:w="589" w:type="pct"/>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802’494</w:t>
            </w:r>
          </w:p>
        </w:tc>
        <w:tc>
          <w:tcPr>
            <w:tcW w:w="589" w:type="pct"/>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1'594’595</w:t>
            </w:r>
          </w:p>
        </w:tc>
        <w:tc>
          <w:tcPr>
            <w:tcW w:w="569" w:type="pct"/>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2'218’458</w:t>
            </w:r>
          </w:p>
        </w:tc>
        <w:tc>
          <w:tcPr>
            <w:tcW w:w="617" w:type="pct"/>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2'703’023</w:t>
            </w:r>
          </w:p>
        </w:tc>
        <w:tc>
          <w:tcPr>
            <w:tcW w:w="589" w:type="pct"/>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2'939’739</w:t>
            </w:r>
          </w:p>
        </w:tc>
        <w:tc>
          <w:tcPr>
            <w:tcW w:w="589" w:type="pct"/>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3’008’174</w:t>
            </w:r>
          </w:p>
        </w:tc>
        <w:tc>
          <w:tcPr>
            <w:tcW w:w="630" w:type="pct"/>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4’931’704</w:t>
            </w:r>
          </w:p>
        </w:tc>
      </w:tr>
      <w:tr w:rsidR="00CB3E0F" w:rsidRPr="00F35FD6" w:rsidTr="009E0FCE">
        <w:trPr>
          <w:trHeight w:val="567"/>
        </w:trPr>
        <w:tc>
          <w:tcPr>
            <w:tcW w:w="828" w:type="pct"/>
            <w:vAlign w:val="center"/>
          </w:tcPr>
          <w:p w:rsidR="00CB3E0F" w:rsidRPr="00F35FD6" w:rsidRDefault="00CB3E0F" w:rsidP="009E0FCE">
            <w:pPr>
              <w:pStyle w:val="NORMALE0"/>
              <w:rPr>
                <w:color w:val="000000" w:themeColor="text1"/>
                <w:sz w:val="22"/>
                <w:szCs w:val="19"/>
              </w:rPr>
            </w:pPr>
            <w:r w:rsidRPr="00F35FD6">
              <w:rPr>
                <w:color w:val="000000" w:themeColor="text1"/>
                <w:sz w:val="22"/>
                <w:szCs w:val="19"/>
              </w:rPr>
              <w:t xml:space="preserve">+/- sull’anno </w:t>
            </w:r>
          </w:p>
          <w:p w:rsidR="00CB3E0F" w:rsidRPr="00F35FD6" w:rsidRDefault="00CB3E0F" w:rsidP="009E0FCE">
            <w:pPr>
              <w:pStyle w:val="NORMALE0"/>
              <w:rPr>
                <w:color w:val="000000" w:themeColor="text1"/>
                <w:sz w:val="22"/>
                <w:szCs w:val="19"/>
              </w:rPr>
            </w:pPr>
            <w:r w:rsidRPr="00F35FD6">
              <w:rPr>
                <w:color w:val="000000" w:themeColor="text1"/>
                <w:sz w:val="22"/>
                <w:szCs w:val="19"/>
              </w:rPr>
              <w:t>precedente</w:t>
            </w:r>
          </w:p>
        </w:tc>
        <w:tc>
          <w:tcPr>
            <w:tcW w:w="589" w:type="pct"/>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w:t>
            </w:r>
          </w:p>
        </w:tc>
        <w:tc>
          <w:tcPr>
            <w:tcW w:w="589" w:type="pct"/>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+792’101</w:t>
            </w:r>
          </w:p>
        </w:tc>
        <w:tc>
          <w:tcPr>
            <w:tcW w:w="569" w:type="pct"/>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+623’863</w:t>
            </w:r>
          </w:p>
        </w:tc>
        <w:tc>
          <w:tcPr>
            <w:tcW w:w="617" w:type="pct"/>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+484’565</w:t>
            </w:r>
          </w:p>
        </w:tc>
        <w:tc>
          <w:tcPr>
            <w:tcW w:w="589" w:type="pct"/>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+236’716</w:t>
            </w:r>
          </w:p>
        </w:tc>
        <w:tc>
          <w:tcPr>
            <w:tcW w:w="589" w:type="pct"/>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+68’435</w:t>
            </w:r>
          </w:p>
        </w:tc>
        <w:tc>
          <w:tcPr>
            <w:tcW w:w="630" w:type="pct"/>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+1'923’530</w:t>
            </w:r>
          </w:p>
        </w:tc>
      </w:tr>
      <w:tr w:rsidR="00CB3E0F" w:rsidRPr="00F35FD6" w:rsidTr="009E0FCE">
        <w:trPr>
          <w:trHeight w:val="567"/>
        </w:trPr>
        <w:tc>
          <w:tcPr>
            <w:tcW w:w="828" w:type="pct"/>
            <w:tcBorders>
              <w:bottom w:val="single" w:sz="4" w:space="0" w:color="auto"/>
            </w:tcBorders>
            <w:vAlign w:val="center"/>
          </w:tcPr>
          <w:p w:rsidR="00CB3E0F" w:rsidRPr="00F35FD6" w:rsidRDefault="00CB3E0F" w:rsidP="009E0FCE">
            <w:pPr>
              <w:pStyle w:val="NORMALE0"/>
              <w:rPr>
                <w:color w:val="000000" w:themeColor="text1"/>
                <w:sz w:val="22"/>
                <w:szCs w:val="19"/>
              </w:rPr>
            </w:pPr>
            <w:r w:rsidRPr="00F35FD6">
              <w:rPr>
                <w:color w:val="000000" w:themeColor="text1"/>
                <w:sz w:val="22"/>
                <w:szCs w:val="19"/>
              </w:rPr>
              <w:t>% sull’anno precedente</w:t>
            </w:r>
          </w:p>
        </w:tc>
        <w:tc>
          <w:tcPr>
            <w:tcW w:w="589" w:type="pct"/>
            <w:tcBorders>
              <w:bottom w:val="single" w:sz="4" w:space="0" w:color="auto"/>
            </w:tcBorders>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w:t>
            </w:r>
          </w:p>
        </w:tc>
        <w:tc>
          <w:tcPr>
            <w:tcW w:w="589" w:type="pct"/>
            <w:tcBorders>
              <w:bottom w:val="single" w:sz="4" w:space="0" w:color="auto"/>
            </w:tcBorders>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+98.7%</w:t>
            </w:r>
          </w:p>
        </w:tc>
        <w:tc>
          <w:tcPr>
            <w:tcW w:w="569" w:type="pct"/>
            <w:tcBorders>
              <w:bottom w:val="single" w:sz="4" w:space="0" w:color="auto"/>
            </w:tcBorders>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+39.1%</w:t>
            </w:r>
          </w:p>
        </w:tc>
        <w:tc>
          <w:tcPr>
            <w:tcW w:w="617" w:type="pct"/>
            <w:tcBorders>
              <w:bottom w:val="single" w:sz="4" w:space="0" w:color="auto"/>
            </w:tcBorders>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+21.8%</w:t>
            </w:r>
          </w:p>
        </w:tc>
        <w:tc>
          <w:tcPr>
            <w:tcW w:w="589" w:type="pct"/>
            <w:tcBorders>
              <w:bottom w:val="single" w:sz="4" w:space="0" w:color="auto"/>
            </w:tcBorders>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+8.8%</w:t>
            </w:r>
          </w:p>
        </w:tc>
        <w:tc>
          <w:tcPr>
            <w:tcW w:w="589" w:type="pct"/>
            <w:tcBorders>
              <w:bottom w:val="single" w:sz="4" w:space="0" w:color="auto"/>
            </w:tcBorders>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+2.3%</w:t>
            </w:r>
          </w:p>
        </w:tc>
        <w:tc>
          <w:tcPr>
            <w:tcW w:w="630" w:type="pct"/>
            <w:tcBorders>
              <w:bottom w:val="single" w:sz="4" w:space="0" w:color="auto"/>
            </w:tcBorders>
            <w:vAlign w:val="center"/>
          </w:tcPr>
          <w:p w:rsidR="00CB3E0F" w:rsidRPr="00F35FD6" w:rsidRDefault="00CB3E0F" w:rsidP="009E0FCE">
            <w:pPr>
              <w:pStyle w:val="NORMALE0"/>
              <w:jc w:val="right"/>
              <w:rPr>
                <w:color w:val="000000" w:themeColor="text1"/>
                <w:sz w:val="20"/>
                <w:szCs w:val="15"/>
              </w:rPr>
            </w:pPr>
            <w:r w:rsidRPr="00F35FD6">
              <w:rPr>
                <w:color w:val="000000" w:themeColor="text1"/>
                <w:sz w:val="20"/>
                <w:szCs w:val="15"/>
              </w:rPr>
              <w:t>+63.9%</w:t>
            </w:r>
          </w:p>
        </w:tc>
      </w:tr>
      <w:tr w:rsidR="00CB3E0F" w:rsidRPr="00F35FD6" w:rsidTr="009E0FCE">
        <w:trPr>
          <w:trHeight w:val="20"/>
        </w:trPr>
        <w:tc>
          <w:tcPr>
            <w:tcW w:w="5000" w:type="pct"/>
            <w:gridSpan w:val="8"/>
            <w:tcBorders>
              <w:bottom w:val="single" w:sz="4" w:space="0" w:color="auto"/>
            </w:tcBorders>
            <w:shd w:val="clear" w:color="auto" w:fill="7F7F7F" w:themeFill="text1" w:themeFillTint="80"/>
            <w:vAlign w:val="center"/>
          </w:tcPr>
          <w:p w:rsidR="00CB3E0F" w:rsidRPr="00F35FD6" w:rsidRDefault="00CB3E0F" w:rsidP="009E0FCE">
            <w:pPr>
              <w:pStyle w:val="NORMALE0"/>
              <w:jc w:val="right"/>
              <w:rPr>
                <w:color w:val="000000" w:themeColor="text1"/>
                <w:sz w:val="22"/>
                <w:szCs w:val="15"/>
              </w:rPr>
            </w:pPr>
          </w:p>
        </w:tc>
      </w:tr>
      <w:tr w:rsidR="00CB3E0F" w:rsidRPr="00F35FD6" w:rsidTr="009E0FCE">
        <w:trPr>
          <w:trHeight w:val="567"/>
        </w:trPr>
        <w:tc>
          <w:tcPr>
            <w:tcW w:w="828" w:type="pct"/>
            <w:vAlign w:val="center"/>
          </w:tcPr>
          <w:p w:rsidR="00CB3E0F" w:rsidRPr="00F35FD6" w:rsidRDefault="00CB3E0F" w:rsidP="009E0FCE">
            <w:pPr>
              <w:pStyle w:val="NORMALE0"/>
              <w:rPr>
                <w:color w:val="000000" w:themeColor="text1"/>
                <w:sz w:val="22"/>
                <w:szCs w:val="19"/>
              </w:rPr>
            </w:pPr>
            <w:r w:rsidRPr="00F35FD6">
              <w:rPr>
                <w:color w:val="000000" w:themeColor="text1"/>
                <w:sz w:val="22"/>
                <w:szCs w:val="19"/>
              </w:rPr>
              <w:t xml:space="preserve">Indotto </w:t>
            </w:r>
          </w:p>
          <w:p w:rsidR="00CB3E0F" w:rsidRPr="00F35FD6" w:rsidRDefault="00CB3E0F" w:rsidP="009E0FCE">
            <w:pPr>
              <w:pStyle w:val="NORMALE0"/>
              <w:rPr>
                <w:color w:val="000000" w:themeColor="text1"/>
                <w:sz w:val="22"/>
                <w:szCs w:val="19"/>
              </w:rPr>
            </w:pPr>
            <w:r w:rsidRPr="00F35FD6">
              <w:rPr>
                <w:color w:val="000000" w:themeColor="text1"/>
                <w:sz w:val="22"/>
                <w:szCs w:val="19"/>
              </w:rPr>
              <w:t>diretto</w:t>
            </w:r>
          </w:p>
        </w:tc>
        <w:tc>
          <w:tcPr>
            <w:tcW w:w="1747" w:type="pct"/>
            <w:gridSpan w:val="3"/>
            <w:vAlign w:val="center"/>
          </w:tcPr>
          <w:p w:rsidR="00CB3E0F" w:rsidRPr="00F35FD6" w:rsidRDefault="00CB3E0F" w:rsidP="009E0FCE">
            <w:pPr>
              <w:pStyle w:val="NORMALE0"/>
              <w:jc w:val="center"/>
              <w:rPr>
                <w:color w:val="000000" w:themeColor="text1"/>
                <w:szCs w:val="20"/>
              </w:rPr>
            </w:pPr>
            <w:r w:rsidRPr="00F35FD6">
              <w:rPr>
                <w:color w:val="000000" w:themeColor="text1"/>
                <w:szCs w:val="20"/>
              </w:rPr>
              <w:t>4'615’547</w:t>
            </w:r>
          </w:p>
        </w:tc>
        <w:tc>
          <w:tcPr>
            <w:tcW w:w="2426" w:type="pct"/>
            <w:gridSpan w:val="4"/>
            <w:vAlign w:val="center"/>
          </w:tcPr>
          <w:p w:rsidR="00CB3E0F" w:rsidRPr="00F35FD6" w:rsidRDefault="00CB3E0F" w:rsidP="009E0FCE">
            <w:pPr>
              <w:pStyle w:val="NORMALE0"/>
              <w:jc w:val="center"/>
              <w:rPr>
                <w:color w:val="000000" w:themeColor="text1"/>
                <w:szCs w:val="20"/>
              </w:rPr>
            </w:pPr>
            <w:r w:rsidRPr="00F35FD6">
              <w:rPr>
                <w:color w:val="000000" w:themeColor="text1"/>
                <w:szCs w:val="20"/>
              </w:rPr>
              <w:t>13'582’640</w:t>
            </w:r>
          </w:p>
        </w:tc>
      </w:tr>
      <w:tr w:rsidR="00CB3E0F" w:rsidRPr="00F35FD6" w:rsidTr="009E0FCE">
        <w:trPr>
          <w:trHeight w:val="567"/>
        </w:trPr>
        <w:tc>
          <w:tcPr>
            <w:tcW w:w="828" w:type="pct"/>
            <w:vAlign w:val="center"/>
          </w:tcPr>
          <w:p w:rsidR="00CB3E0F" w:rsidRPr="00F35FD6" w:rsidRDefault="00CB3E0F" w:rsidP="009E0FCE">
            <w:pPr>
              <w:pStyle w:val="NORMALE0"/>
              <w:rPr>
                <w:color w:val="000000" w:themeColor="text1"/>
                <w:sz w:val="22"/>
                <w:szCs w:val="19"/>
              </w:rPr>
            </w:pPr>
            <w:r w:rsidRPr="00F35FD6">
              <w:rPr>
                <w:color w:val="000000" w:themeColor="text1"/>
                <w:sz w:val="22"/>
                <w:szCs w:val="19"/>
              </w:rPr>
              <w:t>+/- periodo precedente</w:t>
            </w:r>
          </w:p>
        </w:tc>
        <w:tc>
          <w:tcPr>
            <w:tcW w:w="1747" w:type="pct"/>
            <w:gridSpan w:val="3"/>
            <w:vAlign w:val="center"/>
          </w:tcPr>
          <w:p w:rsidR="00CB3E0F" w:rsidRPr="00F35FD6" w:rsidRDefault="00CB3E0F" w:rsidP="009E0FCE">
            <w:pPr>
              <w:pStyle w:val="NORMALE0"/>
              <w:jc w:val="center"/>
              <w:rPr>
                <w:color w:val="000000" w:themeColor="text1"/>
                <w:szCs w:val="20"/>
              </w:rPr>
            </w:pPr>
            <w:r w:rsidRPr="00F35FD6">
              <w:rPr>
                <w:color w:val="000000" w:themeColor="text1"/>
                <w:szCs w:val="20"/>
              </w:rPr>
              <w:t>-</w:t>
            </w:r>
          </w:p>
        </w:tc>
        <w:tc>
          <w:tcPr>
            <w:tcW w:w="2426" w:type="pct"/>
            <w:gridSpan w:val="4"/>
            <w:vAlign w:val="center"/>
          </w:tcPr>
          <w:p w:rsidR="00CB3E0F" w:rsidRPr="00F35FD6" w:rsidRDefault="00CB3E0F" w:rsidP="009E0FCE">
            <w:pPr>
              <w:pStyle w:val="NORMALE0"/>
              <w:jc w:val="center"/>
              <w:rPr>
                <w:color w:val="000000" w:themeColor="text1"/>
                <w:szCs w:val="20"/>
              </w:rPr>
            </w:pPr>
            <w:r w:rsidRPr="00F35FD6">
              <w:rPr>
                <w:color w:val="000000" w:themeColor="text1"/>
                <w:szCs w:val="20"/>
              </w:rPr>
              <w:t>+8'967’093</w:t>
            </w:r>
          </w:p>
        </w:tc>
      </w:tr>
      <w:tr w:rsidR="00CB3E0F" w:rsidRPr="00F35FD6" w:rsidTr="009E0FCE">
        <w:trPr>
          <w:trHeight w:val="567"/>
        </w:trPr>
        <w:tc>
          <w:tcPr>
            <w:tcW w:w="828" w:type="pct"/>
            <w:vAlign w:val="center"/>
          </w:tcPr>
          <w:p w:rsidR="00CB3E0F" w:rsidRPr="00F35FD6" w:rsidRDefault="00CB3E0F" w:rsidP="009E0FCE">
            <w:pPr>
              <w:pStyle w:val="NORMALE0"/>
              <w:rPr>
                <w:color w:val="000000" w:themeColor="text1"/>
                <w:sz w:val="22"/>
                <w:szCs w:val="19"/>
              </w:rPr>
            </w:pPr>
            <w:r w:rsidRPr="00F35FD6">
              <w:rPr>
                <w:color w:val="000000" w:themeColor="text1"/>
                <w:sz w:val="22"/>
                <w:szCs w:val="19"/>
              </w:rPr>
              <w:t>% periodo precedente</w:t>
            </w:r>
          </w:p>
        </w:tc>
        <w:tc>
          <w:tcPr>
            <w:tcW w:w="1747" w:type="pct"/>
            <w:gridSpan w:val="3"/>
            <w:vAlign w:val="center"/>
          </w:tcPr>
          <w:p w:rsidR="00CB3E0F" w:rsidRPr="00F35FD6" w:rsidRDefault="00CB3E0F" w:rsidP="009E0FCE">
            <w:pPr>
              <w:pStyle w:val="NORMALE0"/>
              <w:jc w:val="center"/>
              <w:rPr>
                <w:color w:val="000000" w:themeColor="text1"/>
                <w:szCs w:val="20"/>
              </w:rPr>
            </w:pPr>
            <w:r w:rsidRPr="00F35FD6">
              <w:rPr>
                <w:color w:val="000000" w:themeColor="text1"/>
                <w:szCs w:val="20"/>
              </w:rPr>
              <w:t>-</w:t>
            </w:r>
          </w:p>
        </w:tc>
        <w:tc>
          <w:tcPr>
            <w:tcW w:w="2426" w:type="pct"/>
            <w:gridSpan w:val="4"/>
            <w:vAlign w:val="center"/>
          </w:tcPr>
          <w:p w:rsidR="00CB3E0F" w:rsidRPr="00F35FD6" w:rsidRDefault="00CB3E0F" w:rsidP="009E0FCE">
            <w:pPr>
              <w:pStyle w:val="NORMALE0"/>
              <w:jc w:val="center"/>
              <w:rPr>
                <w:color w:val="000000" w:themeColor="text1"/>
                <w:szCs w:val="20"/>
              </w:rPr>
            </w:pPr>
            <w:r w:rsidRPr="00F35FD6">
              <w:rPr>
                <w:color w:val="000000" w:themeColor="text1"/>
                <w:szCs w:val="20"/>
              </w:rPr>
              <w:t>+194%</w:t>
            </w:r>
          </w:p>
        </w:tc>
      </w:tr>
      <w:tr w:rsidR="00CB3E0F" w:rsidRPr="00F35FD6" w:rsidTr="009E0FCE">
        <w:trPr>
          <w:trHeight w:val="567"/>
        </w:trPr>
        <w:tc>
          <w:tcPr>
            <w:tcW w:w="828" w:type="pct"/>
            <w:vAlign w:val="center"/>
          </w:tcPr>
          <w:p w:rsidR="00CB3E0F" w:rsidRPr="00F35FD6" w:rsidRDefault="00CB3E0F" w:rsidP="009E0FCE">
            <w:pPr>
              <w:pStyle w:val="NORMALE0"/>
              <w:rPr>
                <w:color w:val="000000" w:themeColor="text1"/>
                <w:sz w:val="22"/>
                <w:szCs w:val="19"/>
              </w:rPr>
            </w:pPr>
            <w:r w:rsidRPr="00F35FD6">
              <w:rPr>
                <w:color w:val="000000" w:themeColor="text1"/>
                <w:sz w:val="22"/>
                <w:szCs w:val="19"/>
              </w:rPr>
              <w:t>Incentivi</w:t>
            </w:r>
          </w:p>
          <w:p w:rsidR="00CB3E0F" w:rsidRPr="00F35FD6" w:rsidRDefault="00CB3E0F" w:rsidP="009E0FCE">
            <w:pPr>
              <w:pStyle w:val="NORMALE0"/>
              <w:rPr>
                <w:color w:val="000000" w:themeColor="text1"/>
                <w:sz w:val="22"/>
                <w:szCs w:val="19"/>
              </w:rPr>
            </w:pPr>
            <w:r w:rsidRPr="00F35FD6">
              <w:rPr>
                <w:color w:val="000000" w:themeColor="text1"/>
                <w:sz w:val="22"/>
                <w:szCs w:val="19"/>
              </w:rPr>
              <w:t>erogati</w:t>
            </w:r>
          </w:p>
        </w:tc>
        <w:tc>
          <w:tcPr>
            <w:tcW w:w="1747" w:type="pct"/>
            <w:gridSpan w:val="3"/>
            <w:vAlign w:val="center"/>
          </w:tcPr>
          <w:p w:rsidR="00CB3E0F" w:rsidRPr="00F35FD6" w:rsidRDefault="00CB3E0F" w:rsidP="009E0FCE">
            <w:pPr>
              <w:pStyle w:val="NORMALE0"/>
              <w:jc w:val="center"/>
              <w:rPr>
                <w:color w:val="000000" w:themeColor="text1"/>
                <w:szCs w:val="20"/>
              </w:rPr>
            </w:pPr>
            <w:r w:rsidRPr="00F35FD6">
              <w:rPr>
                <w:color w:val="000000" w:themeColor="text1"/>
                <w:szCs w:val="20"/>
              </w:rPr>
              <w:t>132'626</w:t>
            </w:r>
          </w:p>
        </w:tc>
        <w:tc>
          <w:tcPr>
            <w:tcW w:w="2426" w:type="pct"/>
            <w:gridSpan w:val="4"/>
            <w:vAlign w:val="center"/>
          </w:tcPr>
          <w:p w:rsidR="00CB3E0F" w:rsidRPr="00F35FD6" w:rsidRDefault="00CB3E0F" w:rsidP="009E0FCE">
            <w:pPr>
              <w:pStyle w:val="NORMALE0"/>
              <w:jc w:val="center"/>
              <w:rPr>
                <w:color w:val="000000" w:themeColor="text1"/>
                <w:szCs w:val="20"/>
              </w:rPr>
            </w:pPr>
            <w:r w:rsidRPr="00F35FD6">
              <w:rPr>
                <w:color w:val="000000" w:themeColor="text1"/>
                <w:szCs w:val="20"/>
              </w:rPr>
              <w:t>353'779</w:t>
            </w:r>
          </w:p>
        </w:tc>
      </w:tr>
    </w:tbl>
    <w:p w:rsidR="00942132" w:rsidRDefault="00942132" w:rsidP="00CB3E0F">
      <w:pPr>
        <w:pStyle w:val="Fonti"/>
        <w:ind w:left="567" w:hanging="567"/>
      </w:pPr>
    </w:p>
    <w:p w:rsidR="00CB3E0F" w:rsidRPr="00F35FD6" w:rsidRDefault="00CB3E0F" w:rsidP="00CB3E0F">
      <w:pPr>
        <w:pStyle w:val="Fonti"/>
        <w:ind w:left="567" w:hanging="567"/>
      </w:pPr>
      <w:r w:rsidRPr="00F35FD6">
        <w:t xml:space="preserve">Fonte: Rendiconto attività 2018-2021, Ticino Film </w:t>
      </w:r>
      <w:proofErr w:type="spellStart"/>
      <w:r w:rsidRPr="00F35FD6">
        <w:t>Commission</w:t>
      </w:r>
      <w:proofErr w:type="spellEnd"/>
      <w:r w:rsidRPr="00F35FD6">
        <w:t xml:space="preserve"> (2022).</w:t>
      </w:r>
    </w:p>
    <w:p w:rsidR="00CB3E0F" w:rsidRPr="00F35FD6" w:rsidRDefault="00CB3E0F" w:rsidP="00CB3E0F">
      <w:pPr>
        <w:pStyle w:val="NORMALE0"/>
        <w:rPr>
          <w:i/>
          <w:color w:val="000000" w:themeColor="text1"/>
          <w:sz w:val="18"/>
        </w:rPr>
      </w:pPr>
      <w:r w:rsidRPr="00F35FD6">
        <w:rPr>
          <w:i/>
          <w:color w:val="000000" w:themeColor="text1"/>
          <w:sz w:val="18"/>
        </w:rPr>
        <w:t>*Periodo pandemico COVID-19.</w:t>
      </w:r>
    </w:p>
    <w:p w:rsidR="00CB3E0F" w:rsidRPr="00F35FD6" w:rsidRDefault="00CB3E0F" w:rsidP="00CB3E0F">
      <w:pPr>
        <w:pStyle w:val="NORMALE0"/>
        <w:rPr>
          <w:color w:val="000000" w:themeColor="text1"/>
        </w:rPr>
      </w:pPr>
    </w:p>
    <w:p w:rsidR="00CB3E0F" w:rsidRPr="00F35FD6" w:rsidRDefault="00CB3E0F" w:rsidP="00CB3E0F">
      <w:pPr>
        <w:pStyle w:val="NORMALE0"/>
        <w:rPr>
          <w:color w:val="000000" w:themeColor="text1"/>
        </w:rPr>
      </w:pPr>
      <w:r w:rsidRPr="00F35FD6">
        <w:rPr>
          <w:color w:val="000000" w:themeColor="text1"/>
        </w:rPr>
        <w:t xml:space="preserve">In breve, dalla sua costituzione, la Ticino Film </w:t>
      </w:r>
      <w:proofErr w:type="spellStart"/>
      <w:r w:rsidRPr="00F35FD6">
        <w:rPr>
          <w:color w:val="000000" w:themeColor="text1"/>
        </w:rPr>
        <w:t>Commission</w:t>
      </w:r>
      <w:proofErr w:type="spellEnd"/>
      <w:r w:rsidRPr="00F35FD6">
        <w:rPr>
          <w:color w:val="000000" w:themeColor="text1"/>
        </w:rPr>
        <w:t xml:space="preserve"> ha costantemente migliorato l’indotto e l’impatto a favore del territorio cantonale. Considerata l’importante diversificazione di location che la TFC può offrire, l’indotto generato raggiunge tutto il territorio cantonale</w:t>
      </w:r>
      <w:r>
        <w:rPr>
          <w:color w:val="000000" w:themeColor="text1"/>
        </w:rPr>
        <w:t xml:space="preserve">, non solo Città ma </w:t>
      </w:r>
      <w:r w:rsidRPr="00F35FD6">
        <w:rPr>
          <w:color w:val="000000" w:themeColor="text1"/>
        </w:rPr>
        <w:t xml:space="preserve">anche le regioni periferiche che offrono un contesto d’attività di grande pregio e valore per gli operatori del settore (si pensi ad esempio ai film girati in </w:t>
      </w:r>
      <w:proofErr w:type="spellStart"/>
      <w:r w:rsidRPr="00F35FD6">
        <w:rPr>
          <w:color w:val="000000" w:themeColor="text1"/>
        </w:rPr>
        <w:t>Vallemaggia</w:t>
      </w:r>
      <w:proofErr w:type="spellEnd"/>
      <w:r w:rsidRPr="00F35FD6">
        <w:rPr>
          <w:color w:val="000000" w:themeColor="text1"/>
        </w:rPr>
        <w:t xml:space="preserve"> e </w:t>
      </w:r>
      <w:r>
        <w:rPr>
          <w:color w:val="000000" w:themeColor="text1"/>
        </w:rPr>
        <w:t xml:space="preserve">in Valle di </w:t>
      </w:r>
      <w:proofErr w:type="spellStart"/>
      <w:r>
        <w:rPr>
          <w:color w:val="000000" w:themeColor="text1"/>
        </w:rPr>
        <w:t>Blenio</w:t>
      </w:r>
      <w:proofErr w:type="spellEnd"/>
      <w:r w:rsidRPr="00F35FD6">
        <w:rPr>
          <w:color w:val="000000" w:themeColor="text1"/>
        </w:rPr>
        <w:t xml:space="preserve">).  </w:t>
      </w:r>
    </w:p>
    <w:p w:rsidR="00CB3E0F" w:rsidRPr="00F35FD6" w:rsidRDefault="00CB3E0F" w:rsidP="00CB3E0F">
      <w:pPr>
        <w:pStyle w:val="NORMALE0"/>
        <w:rPr>
          <w:color w:val="000000" w:themeColor="text1"/>
        </w:rPr>
      </w:pPr>
    </w:p>
    <w:p w:rsidR="00CB3E0F" w:rsidRPr="00F35FD6" w:rsidRDefault="00CB3E0F" w:rsidP="00CB3E0F">
      <w:pPr>
        <w:pStyle w:val="NORMALE0"/>
        <w:rPr>
          <w:color w:val="000000" w:themeColor="text1"/>
        </w:rPr>
      </w:pPr>
      <w:r w:rsidRPr="00F35FD6">
        <w:rPr>
          <w:color w:val="000000" w:themeColor="text1"/>
        </w:rPr>
        <w:t xml:space="preserve">Oltre all’indotto diretto, non va dimenticato che attraverso la diffusione delle immagini del proprio territorio, il Ticino può beneficiare di </w:t>
      </w:r>
      <w:r>
        <w:rPr>
          <w:color w:val="000000" w:themeColor="text1"/>
        </w:rPr>
        <w:t xml:space="preserve">pubblicità e </w:t>
      </w:r>
      <w:r w:rsidRPr="00F35FD6">
        <w:rPr>
          <w:color w:val="000000" w:themeColor="text1"/>
        </w:rPr>
        <w:t>importanti ritorni indiretti sul medio-lungo termine prevalentemente legati al settore turistico. Proprio quest’ultimo elemento, la cui quantificazione risulta chiaramente difficile, è sicuramente un ulteriore valore aggiunto che le attività della TFC garantiscono anche in termini turistici</w:t>
      </w:r>
      <w:r>
        <w:rPr>
          <w:color w:val="000000" w:themeColor="text1"/>
        </w:rPr>
        <w:t>.</w:t>
      </w:r>
    </w:p>
    <w:p w:rsidR="00CB3E0F" w:rsidRPr="00B51951" w:rsidRDefault="00CB3E0F" w:rsidP="00CB3E0F">
      <w:pPr>
        <w:rPr>
          <w:color w:val="00B0F0"/>
        </w:rPr>
      </w:pPr>
    </w:p>
    <w:p w:rsidR="00CB3E0F" w:rsidRPr="00942132" w:rsidRDefault="00CB3E0F" w:rsidP="00942132">
      <w:pPr>
        <w:pStyle w:val="Titolo2"/>
        <w:tabs>
          <w:tab w:val="left" w:pos="567"/>
        </w:tabs>
        <w:spacing w:before="0" w:after="120"/>
        <w:jc w:val="both"/>
        <w:rPr>
          <w:rFonts w:eastAsia="Calibri" w:cs="Times New Roman"/>
          <w:lang w:val="it-IT" w:eastAsia="it-IT"/>
        </w:rPr>
      </w:pPr>
      <w:r w:rsidRPr="00942132">
        <w:rPr>
          <w:rFonts w:eastAsia="Calibri" w:cs="Times New Roman"/>
          <w:lang w:val="it-IT" w:eastAsia="it-IT"/>
        </w:rPr>
        <w:t>2.3</w:t>
      </w:r>
      <w:r w:rsidRPr="00942132">
        <w:rPr>
          <w:rFonts w:eastAsia="Calibri" w:cs="Times New Roman"/>
          <w:lang w:val="it-IT" w:eastAsia="it-IT"/>
        </w:rPr>
        <w:tab/>
        <w:t>Prospettive future</w:t>
      </w:r>
    </w:p>
    <w:p w:rsidR="00CB3E0F" w:rsidRPr="00602938" w:rsidRDefault="00CB3E0F" w:rsidP="00CB3E0F">
      <w:pPr>
        <w:pStyle w:val="NORMALE0"/>
        <w:rPr>
          <w:color w:val="000000" w:themeColor="text1"/>
        </w:rPr>
      </w:pPr>
      <w:r w:rsidRPr="00A87CDA">
        <w:rPr>
          <w:color w:val="000000" w:themeColor="text1"/>
        </w:rPr>
        <w:t xml:space="preserve">Nel messaggio il Consiglio di Stato specifica come in futuro l’attività della Ticino Film </w:t>
      </w:r>
      <w:proofErr w:type="spellStart"/>
      <w:r w:rsidRPr="00A87CDA">
        <w:rPr>
          <w:color w:val="000000" w:themeColor="text1"/>
        </w:rPr>
        <w:t>Commission</w:t>
      </w:r>
      <w:proofErr w:type="spellEnd"/>
      <w:r w:rsidRPr="00A87CDA">
        <w:rPr>
          <w:color w:val="000000" w:themeColor="text1"/>
        </w:rPr>
        <w:t xml:space="preserve"> possa </w:t>
      </w:r>
      <w:r w:rsidRPr="00AC3B29">
        <w:rPr>
          <w:b/>
          <w:bCs/>
          <w:color w:val="000000" w:themeColor="text1"/>
        </w:rPr>
        <w:t>stabilizzarsi se non crescere ulteriormente</w:t>
      </w:r>
      <w:r w:rsidRPr="00A87CDA">
        <w:rPr>
          <w:color w:val="000000" w:themeColor="text1"/>
        </w:rPr>
        <w:t xml:space="preserve"> alla luce degli sviluppi previsti in questo settore anche grazie all’introduzione della </w:t>
      </w:r>
      <w:r w:rsidRPr="00AC3B29">
        <w:rPr>
          <w:b/>
          <w:bCs/>
          <w:color w:val="000000" w:themeColor="text1"/>
        </w:rPr>
        <w:t>“</w:t>
      </w:r>
      <w:proofErr w:type="spellStart"/>
      <w:r w:rsidRPr="00AC3B29">
        <w:rPr>
          <w:b/>
          <w:bCs/>
          <w:color w:val="000000" w:themeColor="text1"/>
        </w:rPr>
        <w:t>Lex</w:t>
      </w:r>
      <w:proofErr w:type="spellEnd"/>
      <w:r w:rsidRPr="00AC3B29">
        <w:rPr>
          <w:b/>
          <w:bCs/>
          <w:color w:val="000000" w:themeColor="text1"/>
        </w:rPr>
        <w:t xml:space="preserve"> </w:t>
      </w:r>
      <w:proofErr w:type="spellStart"/>
      <w:r w:rsidRPr="00AC3B29">
        <w:rPr>
          <w:b/>
          <w:bCs/>
          <w:color w:val="000000" w:themeColor="text1"/>
        </w:rPr>
        <w:t>Netflix</w:t>
      </w:r>
      <w:proofErr w:type="spellEnd"/>
      <w:r w:rsidRPr="00A87CDA">
        <w:rPr>
          <w:color w:val="000000" w:themeColor="text1"/>
        </w:rPr>
        <w:t>”</w:t>
      </w:r>
      <w:r>
        <w:rPr>
          <w:color w:val="000000" w:themeColor="text1"/>
        </w:rPr>
        <w:t>.</w:t>
      </w:r>
      <w:r w:rsidRPr="00A03645">
        <w:rPr>
          <w:color w:val="FF0000"/>
        </w:rPr>
        <w:t xml:space="preserve"> </w:t>
      </w:r>
      <w:r w:rsidRPr="00602938">
        <w:rPr>
          <w:color w:val="000000" w:themeColor="text1"/>
        </w:rPr>
        <w:t>A medio termine infatti i portali streaming (</w:t>
      </w:r>
      <w:proofErr w:type="spellStart"/>
      <w:r w:rsidRPr="00602938">
        <w:rPr>
          <w:color w:val="000000" w:themeColor="text1"/>
        </w:rPr>
        <w:t>Netflix</w:t>
      </w:r>
      <w:proofErr w:type="spellEnd"/>
      <w:r w:rsidRPr="00602938">
        <w:rPr>
          <w:color w:val="000000" w:themeColor="text1"/>
        </w:rPr>
        <w:t>, Amazon, eccetera) inizieranno a produrre e co-produrre film in Svizzera; con</w:t>
      </w:r>
      <w:r w:rsidRPr="00487E99">
        <w:rPr>
          <w:color w:val="FF0000"/>
        </w:rPr>
        <w:t xml:space="preserve"> </w:t>
      </w:r>
      <w:r w:rsidRPr="00320877">
        <w:t>l’entrata in vigore della legge, dal 2024 la Svizzera sarà maggiormente interconnessa con la produzione europea, non solo per il cinema indipendente ma anche per la creazione di serie tv, film per le piattaforme streaming e per il cinema di genere</w:t>
      </w:r>
      <w:r>
        <w:t xml:space="preserve"> </w:t>
      </w:r>
      <w:r w:rsidRPr="00602938">
        <w:rPr>
          <w:color w:val="000000" w:themeColor="text1"/>
        </w:rPr>
        <w:t>e la TFC potrà inserirsi in questo nuovo settore produttivo audiovisivo accanto ai grandi poli produttivi in Svizzera (principalmente Zurigo e Ginevra) grazie all’esperienza, la struttura e la credibilità costruita in questi anni.</w:t>
      </w:r>
    </w:p>
    <w:p w:rsidR="00CB3E0F" w:rsidRDefault="00CB3E0F" w:rsidP="00CB3E0F">
      <w:pPr>
        <w:pStyle w:val="NORMALE0"/>
        <w:rPr>
          <w:color w:val="000000" w:themeColor="text1"/>
        </w:rPr>
      </w:pPr>
      <w:r w:rsidRPr="00A87CDA">
        <w:rPr>
          <w:color w:val="000000" w:themeColor="text1"/>
        </w:rPr>
        <w:lastRenderedPageBreak/>
        <w:t xml:space="preserve">L’obiettivo in questo senso della TFC è quella di poter aumentare il proprio operato e permettere che </w:t>
      </w:r>
      <w:r w:rsidRPr="00602938">
        <w:rPr>
          <w:color w:val="000000" w:themeColor="text1"/>
        </w:rPr>
        <w:t xml:space="preserve">questi investimenti da parte delle società di produzione audiovisive </w:t>
      </w:r>
      <w:r w:rsidRPr="00A87CDA">
        <w:rPr>
          <w:color w:val="000000" w:themeColor="text1"/>
        </w:rPr>
        <w:t>si traducano in importanti ritorni a favore del territorio cantonale sia in termini economici</w:t>
      </w:r>
      <w:r>
        <w:rPr>
          <w:color w:val="000000" w:themeColor="text1"/>
        </w:rPr>
        <w:t xml:space="preserve"> </w:t>
      </w:r>
      <w:r w:rsidRPr="00612BAC">
        <w:rPr>
          <w:color w:val="FF0000"/>
        </w:rPr>
        <w:t>e</w:t>
      </w:r>
      <w:r w:rsidRPr="00A87CDA">
        <w:rPr>
          <w:color w:val="000000" w:themeColor="text1"/>
        </w:rPr>
        <w:t xml:space="preserve"> turistici, ma anche sociali, culturali e di occupazione, e questo grazie ai contatti e alle conoscenze maturati nei primi anni di vita. Questa prospettata crescita permetterà alla TFC di ulteriormente consolidare il proprio ruolo, la propria immagine e l’offerta dei propri servizi grazie anche alla credibilità di cui già oggi dispone e che le ha permesso di entrare di diritto nella rete nazionale ed europea delle istituzioni legate alla produzione cinematografica. </w:t>
      </w:r>
    </w:p>
    <w:p w:rsidR="00CB3E0F" w:rsidRDefault="00CB3E0F" w:rsidP="00CB3E0F">
      <w:pPr>
        <w:pStyle w:val="NORMALE0"/>
        <w:rPr>
          <w:color w:val="000000" w:themeColor="text1"/>
        </w:rPr>
      </w:pPr>
    </w:p>
    <w:p w:rsidR="00CB3E0F" w:rsidRPr="00402010" w:rsidRDefault="00CB3E0F" w:rsidP="00CB3E0F">
      <w:pPr>
        <w:rPr>
          <w:b/>
          <w:szCs w:val="24"/>
          <w:lang w:val="it-IT" w:eastAsia="it-IT"/>
        </w:rPr>
      </w:pPr>
    </w:p>
    <w:p w:rsidR="00CB3E0F" w:rsidRPr="00942132" w:rsidRDefault="00CB3E0F" w:rsidP="00CB3E0F">
      <w:pPr>
        <w:pStyle w:val="Titolo1"/>
        <w:numPr>
          <w:ilvl w:val="0"/>
          <w:numId w:val="19"/>
        </w:numPr>
        <w:tabs>
          <w:tab w:val="left" w:pos="567"/>
        </w:tabs>
        <w:spacing w:before="0"/>
        <w:ind w:left="567" w:hanging="567"/>
        <w:jc w:val="both"/>
        <w:rPr>
          <w:rFonts w:eastAsia="Calibri" w:cs="Times New Roman"/>
          <w:caps/>
          <w:szCs w:val="24"/>
          <w:lang w:val="it-IT" w:eastAsia="it-IT"/>
        </w:rPr>
      </w:pPr>
      <w:r w:rsidRPr="00942132">
        <w:rPr>
          <w:rFonts w:eastAsia="Calibri" w:cs="Times New Roman"/>
          <w:caps/>
          <w:szCs w:val="24"/>
          <w:lang w:val="it-IT" w:eastAsia="it-IT"/>
        </w:rPr>
        <w:t>Aspetti finanziari</w:t>
      </w:r>
    </w:p>
    <w:p w:rsidR="00CB3E0F" w:rsidRPr="00942132" w:rsidRDefault="00CB3E0F" w:rsidP="00942132">
      <w:pPr>
        <w:pStyle w:val="Titolo2"/>
        <w:tabs>
          <w:tab w:val="left" w:pos="567"/>
        </w:tabs>
        <w:spacing w:before="0" w:after="120"/>
        <w:jc w:val="both"/>
        <w:rPr>
          <w:rFonts w:eastAsia="Calibri" w:cs="Times New Roman"/>
          <w:lang w:val="it-IT" w:eastAsia="it-IT"/>
        </w:rPr>
      </w:pPr>
      <w:r w:rsidRPr="00942132">
        <w:rPr>
          <w:rFonts w:eastAsia="Calibri" w:cs="Times New Roman"/>
          <w:lang w:val="it-IT" w:eastAsia="it-IT"/>
        </w:rPr>
        <w:t>3.1</w:t>
      </w:r>
      <w:r w:rsidRPr="00942132">
        <w:rPr>
          <w:rFonts w:eastAsia="Calibri" w:cs="Times New Roman"/>
          <w:lang w:val="it-IT" w:eastAsia="it-IT"/>
        </w:rPr>
        <w:tab/>
        <w:t>Finanziamento pubblico</w:t>
      </w:r>
    </w:p>
    <w:p w:rsidR="00CB3E0F" w:rsidRPr="00B05CC4" w:rsidRDefault="00CB3E0F" w:rsidP="00942132">
      <w:pPr>
        <w:pStyle w:val="NORMALE0"/>
        <w:spacing w:after="120"/>
        <w:rPr>
          <w:color w:val="000000" w:themeColor="text1"/>
        </w:rPr>
      </w:pPr>
      <w:r w:rsidRPr="00B05CC4">
        <w:rPr>
          <w:color w:val="000000" w:themeColor="text1"/>
        </w:rPr>
        <w:t xml:space="preserve">Sebbene in Svizzera </w:t>
      </w:r>
      <w:proofErr w:type="gramStart"/>
      <w:r w:rsidRPr="00B05CC4">
        <w:rPr>
          <w:color w:val="000000" w:themeColor="text1"/>
        </w:rPr>
        <w:t>le film</w:t>
      </w:r>
      <w:proofErr w:type="gramEnd"/>
      <w:r w:rsidRPr="00B05CC4">
        <w:rPr>
          <w:color w:val="000000" w:themeColor="text1"/>
        </w:rPr>
        <w:t xml:space="preserve"> </w:t>
      </w:r>
      <w:proofErr w:type="spellStart"/>
      <w:r w:rsidRPr="00B05CC4">
        <w:rPr>
          <w:color w:val="000000" w:themeColor="text1"/>
        </w:rPr>
        <w:t>commission</w:t>
      </w:r>
      <w:proofErr w:type="spellEnd"/>
      <w:r w:rsidRPr="00B05CC4">
        <w:rPr>
          <w:color w:val="000000" w:themeColor="text1"/>
        </w:rPr>
        <w:t xml:space="preserve"> costituiscano una certa novità, con quella ticinese a fare da apripista a livello nazionale nel 2014, tali realtà sono ormai consolidate in altre parti del mondo. Di norma, </w:t>
      </w:r>
      <w:proofErr w:type="gramStart"/>
      <w:r w:rsidRPr="00B05CC4">
        <w:rPr>
          <w:color w:val="000000" w:themeColor="text1"/>
        </w:rPr>
        <w:t>le film</w:t>
      </w:r>
      <w:proofErr w:type="gramEnd"/>
      <w:r w:rsidRPr="00B05CC4">
        <w:rPr>
          <w:color w:val="000000" w:themeColor="text1"/>
        </w:rPr>
        <w:t xml:space="preserve"> </w:t>
      </w:r>
      <w:proofErr w:type="spellStart"/>
      <w:r w:rsidRPr="00B05CC4">
        <w:rPr>
          <w:color w:val="000000" w:themeColor="text1"/>
        </w:rPr>
        <w:t>commission</w:t>
      </w:r>
      <w:proofErr w:type="spellEnd"/>
      <w:r w:rsidRPr="00B05CC4">
        <w:rPr>
          <w:color w:val="000000" w:themeColor="text1"/>
        </w:rPr>
        <w:t xml:space="preserve"> sono soggetti pubblici (fondazioni senza scopo di lucro) che operano su mandato delle istituzioni locali che si occupano di sviluppo economico, turistico e culturale. </w:t>
      </w:r>
      <w:r w:rsidRPr="00B05CC4">
        <w:rPr>
          <w:b/>
          <w:bCs/>
          <w:color w:val="000000" w:themeColor="text1"/>
        </w:rPr>
        <w:t xml:space="preserve">Essendo l’obiettivo quello di generare delle ricadute economiche sul territorio superiori a quanto investito per il loro funzionamento, </w:t>
      </w:r>
      <w:proofErr w:type="gramStart"/>
      <w:r w:rsidRPr="00B05CC4">
        <w:rPr>
          <w:b/>
          <w:bCs/>
          <w:color w:val="000000" w:themeColor="text1"/>
        </w:rPr>
        <w:t>le film</w:t>
      </w:r>
      <w:proofErr w:type="gramEnd"/>
      <w:r w:rsidRPr="00B05CC4">
        <w:rPr>
          <w:b/>
          <w:bCs/>
          <w:color w:val="000000" w:themeColor="text1"/>
        </w:rPr>
        <w:t xml:space="preserve"> </w:t>
      </w:r>
      <w:proofErr w:type="spellStart"/>
      <w:r w:rsidRPr="00B05CC4">
        <w:rPr>
          <w:b/>
          <w:bCs/>
          <w:color w:val="000000" w:themeColor="text1"/>
        </w:rPr>
        <w:t>commission</w:t>
      </w:r>
      <w:proofErr w:type="spellEnd"/>
      <w:r w:rsidRPr="00B05CC4">
        <w:rPr>
          <w:b/>
          <w:bCs/>
          <w:color w:val="000000" w:themeColor="text1"/>
        </w:rPr>
        <w:t xml:space="preserve"> sono generalmente finanziate con soldi pubblici, e questo anche negli Stati Uniti</w:t>
      </w:r>
      <w:r w:rsidRPr="00B05CC4">
        <w:rPr>
          <w:color w:val="000000" w:themeColor="text1"/>
        </w:rPr>
        <w:t xml:space="preserve">, dove ad esempio la Los Angeles Film </w:t>
      </w:r>
      <w:proofErr w:type="spellStart"/>
      <w:r w:rsidRPr="00B05CC4">
        <w:rPr>
          <w:color w:val="000000" w:themeColor="text1"/>
        </w:rPr>
        <w:t>Commission</w:t>
      </w:r>
      <w:proofErr w:type="spellEnd"/>
      <w:r w:rsidRPr="00B05CC4">
        <w:rPr>
          <w:color w:val="000000" w:themeColor="text1"/>
        </w:rPr>
        <w:t xml:space="preserve"> è stata istituita e finanziata dello stesso Stato della California. Si veda in questo senso lo studio accademico citato dal rapporto della Commissione della gestione e delle finanze (n. 7556R del 2 ottobre 2018) sul finanziamento del periodo 2018-2022:</w:t>
      </w:r>
    </w:p>
    <w:p w:rsidR="00CB3E0F" w:rsidRPr="00942132" w:rsidRDefault="00CB3E0F" w:rsidP="00942132">
      <w:pPr>
        <w:pStyle w:val="NORMALE0"/>
        <w:rPr>
          <w:color w:val="000000" w:themeColor="text1"/>
          <w:sz w:val="23"/>
          <w:szCs w:val="23"/>
        </w:rPr>
      </w:pPr>
      <w:r w:rsidRPr="00942132">
        <w:rPr>
          <w:color w:val="000000" w:themeColor="text1"/>
          <w:sz w:val="23"/>
          <w:szCs w:val="23"/>
        </w:rPr>
        <w:t>“</w:t>
      </w:r>
      <w:r w:rsidRPr="00942132">
        <w:rPr>
          <w:i/>
          <w:color w:val="000000" w:themeColor="text1"/>
          <w:sz w:val="23"/>
          <w:szCs w:val="23"/>
        </w:rPr>
        <w:t xml:space="preserve">A conferma di ciò, nel saggio di Marco Cucco e Giuseppe </w:t>
      </w:r>
      <w:proofErr w:type="spellStart"/>
      <w:r w:rsidRPr="00942132">
        <w:rPr>
          <w:i/>
          <w:color w:val="000000" w:themeColor="text1"/>
          <w:sz w:val="23"/>
          <w:szCs w:val="23"/>
        </w:rPr>
        <w:t>Richeri</w:t>
      </w:r>
      <w:proofErr w:type="spellEnd"/>
      <w:r w:rsidRPr="00942132">
        <w:rPr>
          <w:i/>
          <w:color w:val="000000" w:themeColor="text1"/>
          <w:sz w:val="23"/>
          <w:szCs w:val="23"/>
        </w:rPr>
        <w:t xml:space="preserve"> “</w:t>
      </w:r>
      <w:r w:rsidRPr="00942132">
        <w:rPr>
          <w:b/>
          <w:i/>
          <w:color w:val="000000" w:themeColor="text1"/>
          <w:sz w:val="23"/>
          <w:szCs w:val="23"/>
        </w:rPr>
        <w:t xml:space="preserve">Il mercato delle location cinematografiche” </w:t>
      </w:r>
      <w:r w:rsidRPr="00942132">
        <w:rPr>
          <w:i/>
          <w:color w:val="000000" w:themeColor="text1"/>
          <w:sz w:val="23"/>
          <w:szCs w:val="23"/>
        </w:rPr>
        <w:t xml:space="preserve">(ed. saggi Marsilio, 2013), viene illustrato che «(…) di norma </w:t>
      </w:r>
      <w:proofErr w:type="gramStart"/>
      <w:r w:rsidRPr="00942132">
        <w:rPr>
          <w:i/>
          <w:color w:val="000000" w:themeColor="text1"/>
          <w:sz w:val="23"/>
          <w:szCs w:val="23"/>
        </w:rPr>
        <w:t>le film</w:t>
      </w:r>
      <w:proofErr w:type="gramEnd"/>
      <w:r w:rsidRPr="00942132">
        <w:rPr>
          <w:i/>
          <w:color w:val="000000" w:themeColor="text1"/>
          <w:sz w:val="23"/>
          <w:szCs w:val="23"/>
        </w:rPr>
        <w:t xml:space="preserve"> </w:t>
      </w:r>
      <w:proofErr w:type="spellStart"/>
      <w:r w:rsidRPr="00942132">
        <w:rPr>
          <w:i/>
          <w:color w:val="000000" w:themeColor="text1"/>
          <w:sz w:val="23"/>
          <w:szCs w:val="23"/>
        </w:rPr>
        <w:t>commission</w:t>
      </w:r>
      <w:proofErr w:type="spellEnd"/>
      <w:r w:rsidRPr="00942132">
        <w:rPr>
          <w:i/>
          <w:color w:val="000000" w:themeColor="text1"/>
          <w:sz w:val="23"/>
          <w:szCs w:val="23"/>
        </w:rPr>
        <w:t xml:space="preserve"> sono dei soggetti pubblici che operano su mandato delle istituzioni locali. Le forme giuridiche prescelte sono eterogenee, sebbene le più ricorrenti siano solitamente due: associazione e la fondazione senza scopi di lucro (…). </w:t>
      </w:r>
      <w:proofErr w:type="gramStart"/>
      <w:r w:rsidRPr="00942132">
        <w:rPr>
          <w:i/>
          <w:color w:val="000000" w:themeColor="text1"/>
          <w:sz w:val="23"/>
          <w:szCs w:val="23"/>
        </w:rPr>
        <w:t>Le film</w:t>
      </w:r>
      <w:proofErr w:type="gramEnd"/>
      <w:r w:rsidRPr="00942132">
        <w:rPr>
          <w:i/>
          <w:color w:val="000000" w:themeColor="text1"/>
          <w:sz w:val="23"/>
          <w:szCs w:val="23"/>
        </w:rPr>
        <w:t xml:space="preserve"> </w:t>
      </w:r>
      <w:proofErr w:type="spellStart"/>
      <w:r w:rsidRPr="00942132">
        <w:rPr>
          <w:i/>
          <w:color w:val="000000" w:themeColor="text1"/>
          <w:sz w:val="23"/>
          <w:szCs w:val="23"/>
        </w:rPr>
        <w:t>commission</w:t>
      </w:r>
      <w:proofErr w:type="spellEnd"/>
      <w:r w:rsidRPr="00942132">
        <w:rPr>
          <w:i/>
          <w:color w:val="000000" w:themeColor="text1"/>
          <w:sz w:val="23"/>
          <w:szCs w:val="23"/>
        </w:rPr>
        <w:t xml:space="preserve"> nascono in seno agli organismi di governo territoriale che si occupano delle attività di sviluppo economico e industriale, delle attività culturali o del settore turistico.» Nella stessa pubblicazione viene inoltre illustrato anche il caso della creazione della Film L.A. (Los Angeles Film </w:t>
      </w:r>
      <w:proofErr w:type="spellStart"/>
      <w:r w:rsidRPr="00942132">
        <w:rPr>
          <w:i/>
          <w:color w:val="000000" w:themeColor="text1"/>
          <w:sz w:val="23"/>
          <w:szCs w:val="23"/>
        </w:rPr>
        <w:t>Commission</w:t>
      </w:r>
      <w:proofErr w:type="spellEnd"/>
      <w:r w:rsidRPr="00942132">
        <w:rPr>
          <w:i/>
          <w:color w:val="000000" w:themeColor="text1"/>
          <w:sz w:val="23"/>
          <w:szCs w:val="23"/>
        </w:rPr>
        <w:t xml:space="preserve">) istituita e finanziata dallo stesso Stato della California: nella città del cinema per antonomasia, Hollywood, e nella nazione in cui il cinema è il “business” di imprenditori privati, dal 1996 lo Stato della California finanzia l’esistenza della Film L.A, proprio perché le film </w:t>
      </w:r>
      <w:proofErr w:type="spellStart"/>
      <w:r w:rsidRPr="00942132">
        <w:rPr>
          <w:i/>
          <w:color w:val="000000" w:themeColor="text1"/>
          <w:sz w:val="23"/>
          <w:szCs w:val="23"/>
        </w:rPr>
        <w:t>commission</w:t>
      </w:r>
      <w:proofErr w:type="spellEnd"/>
      <w:r w:rsidRPr="00942132">
        <w:rPr>
          <w:i/>
          <w:color w:val="000000" w:themeColor="text1"/>
          <w:sz w:val="23"/>
          <w:szCs w:val="23"/>
        </w:rPr>
        <w:t xml:space="preserve"> sono per loro stessa definizione e missione istituzioni, senza alcuno scopo di lucro, che operano su mandato di istituzioni pubbliche locali con «l’obiettivo di generare delle ricadute economiche sul territorio che siano superiori alla spesa da loro sostenuta per mantenere in attività la film </w:t>
      </w:r>
      <w:proofErr w:type="spellStart"/>
      <w:r w:rsidRPr="00942132">
        <w:rPr>
          <w:i/>
          <w:color w:val="000000" w:themeColor="text1"/>
          <w:sz w:val="23"/>
          <w:szCs w:val="23"/>
        </w:rPr>
        <w:t>commission</w:t>
      </w:r>
      <w:proofErr w:type="spellEnd"/>
      <w:r w:rsidRPr="00942132">
        <w:rPr>
          <w:i/>
          <w:color w:val="000000" w:themeColor="text1"/>
          <w:sz w:val="23"/>
          <w:szCs w:val="23"/>
        </w:rPr>
        <w:t>».</w:t>
      </w:r>
      <w:r w:rsidRPr="00942132">
        <w:rPr>
          <w:color w:val="000000" w:themeColor="text1"/>
          <w:sz w:val="23"/>
          <w:szCs w:val="23"/>
        </w:rPr>
        <w:t>”</w:t>
      </w:r>
    </w:p>
    <w:p w:rsidR="00CB3E0F" w:rsidRPr="00B05CC4" w:rsidRDefault="00CB3E0F" w:rsidP="00CB3E0F">
      <w:pPr>
        <w:pStyle w:val="NORMALE0"/>
        <w:rPr>
          <w:color w:val="000000" w:themeColor="text1"/>
        </w:rPr>
      </w:pPr>
    </w:p>
    <w:p w:rsidR="00CB3E0F" w:rsidRPr="00B05CC4" w:rsidRDefault="00CB3E0F" w:rsidP="00CB3E0F">
      <w:pPr>
        <w:pStyle w:val="NORMALE0"/>
        <w:rPr>
          <w:color w:val="000000" w:themeColor="text1"/>
        </w:rPr>
      </w:pPr>
      <w:r w:rsidRPr="00B05CC4">
        <w:rPr>
          <w:color w:val="000000" w:themeColor="text1"/>
        </w:rPr>
        <w:t xml:space="preserve">In Europa gli esempi più importanti sono quelli portati avanti da anni da due regioni nel Nord Italia: da un lato la </w:t>
      </w:r>
      <w:r w:rsidRPr="00B05CC4">
        <w:rPr>
          <w:b/>
          <w:bCs/>
          <w:color w:val="000000" w:themeColor="text1"/>
        </w:rPr>
        <w:t xml:space="preserve">Film </w:t>
      </w:r>
      <w:proofErr w:type="spellStart"/>
      <w:r w:rsidRPr="00B05CC4">
        <w:rPr>
          <w:b/>
          <w:bCs/>
          <w:color w:val="000000" w:themeColor="text1"/>
        </w:rPr>
        <w:t>Commission</w:t>
      </w:r>
      <w:proofErr w:type="spellEnd"/>
      <w:r w:rsidRPr="00B05CC4">
        <w:rPr>
          <w:b/>
          <w:bCs/>
          <w:color w:val="000000" w:themeColor="text1"/>
        </w:rPr>
        <w:t xml:space="preserve"> Torino Piemonte</w:t>
      </w:r>
      <w:r w:rsidRPr="00B05CC4">
        <w:rPr>
          <w:color w:val="000000" w:themeColor="text1"/>
        </w:rPr>
        <w:t xml:space="preserve"> – finanziata integralmente dalla Regione Piemonte e dalla Città di Torino – è dotata di un budget di 2.5 milioni di euro annui, dall’altro la </w:t>
      </w:r>
      <w:r w:rsidRPr="00B05CC4">
        <w:rPr>
          <w:b/>
          <w:bCs/>
          <w:color w:val="000000" w:themeColor="text1"/>
        </w:rPr>
        <w:t xml:space="preserve">IDM Film </w:t>
      </w:r>
      <w:proofErr w:type="spellStart"/>
      <w:r w:rsidRPr="00B05CC4">
        <w:rPr>
          <w:b/>
          <w:bCs/>
          <w:color w:val="000000" w:themeColor="text1"/>
        </w:rPr>
        <w:t>Commission</w:t>
      </w:r>
      <w:proofErr w:type="spellEnd"/>
      <w:r w:rsidRPr="00B05CC4">
        <w:rPr>
          <w:b/>
          <w:bCs/>
          <w:color w:val="000000" w:themeColor="text1"/>
        </w:rPr>
        <w:t xml:space="preserve"> Südtirol</w:t>
      </w:r>
      <w:r w:rsidRPr="00B05CC4">
        <w:rPr>
          <w:color w:val="000000" w:themeColor="text1"/>
        </w:rPr>
        <w:t xml:space="preserve"> – finanziata dalla regione autonoma del Sud Tirolo/Alto Adige – che ha un budget di 5 milioni di euro annui, di cui 4 milioni sono riservati agli incentivi finanziari alle produzioni che intendono girare in Alto Adige. </w:t>
      </w:r>
    </w:p>
    <w:p w:rsidR="00CB3E0F" w:rsidRPr="00B05CC4" w:rsidRDefault="00CB3E0F" w:rsidP="00CB3E0F">
      <w:pPr>
        <w:pStyle w:val="NORMALE0"/>
        <w:rPr>
          <w:color w:val="000000" w:themeColor="text1"/>
        </w:rPr>
      </w:pPr>
    </w:p>
    <w:p w:rsidR="00CB3E0F" w:rsidRPr="00B05CC4" w:rsidRDefault="00CB3E0F" w:rsidP="00CB3E0F">
      <w:pPr>
        <w:pStyle w:val="NORMALE0"/>
        <w:rPr>
          <w:color w:val="000000" w:themeColor="text1"/>
        </w:rPr>
      </w:pPr>
      <w:r w:rsidRPr="00B05CC4">
        <w:rPr>
          <w:color w:val="000000" w:themeColor="text1"/>
        </w:rPr>
        <w:t xml:space="preserve">In Svizzera la prima Film </w:t>
      </w:r>
      <w:proofErr w:type="spellStart"/>
      <w:r w:rsidRPr="00B05CC4">
        <w:rPr>
          <w:color w:val="000000" w:themeColor="text1"/>
        </w:rPr>
        <w:t>Commission</w:t>
      </w:r>
      <w:proofErr w:type="spellEnd"/>
      <w:r w:rsidRPr="00B05CC4">
        <w:rPr>
          <w:color w:val="000000" w:themeColor="text1"/>
        </w:rPr>
        <w:t xml:space="preserve"> a diventare operativa è stata proprio la TFC, che con la sua esperienza e i risultati prodotti ha stimolato altre realtà a muoversi. La più recente è la </w:t>
      </w:r>
      <w:proofErr w:type="spellStart"/>
      <w:r w:rsidRPr="00B05CC4">
        <w:rPr>
          <w:b/>
          <w:bCs/>
          <w:color w:val="000000" w:themeColor="text1"/>
        </w:rPr>
        <w:t>Valais</w:t>
      </w:r>
      <w:proofErr w:type="spellEnd"/>
      <w:r w:rsidRPr="00B05CC4">
        <w:rPr>
          <w:b/>
          <w:bCs/>
          <w:color w:val="000000" w:themeColor="text1"/>
        </w:rPr>
        <w:t xml:space="preserve"> Film </w:t>
      </w:r>
      <w:proofErr w:type="spellStart"/>
      <w:r w:rsidRPr="00B05CC4">
        <w:rPr>
          <w:b/>
          <w:bCs/>
          <w:color w:val="000000" w:themeColor="text1"/>
        </w:rPr>
        <w:t>Commission</w:t>
      </w:r>
      <w:proofErr w:type="spellEnd"/>
      <w:r w:rsidRPr="00B05CC4">
        <w:rPr>
          <w:color w:val="000000" w:themeColor="text1"/>
        </w:rPr>
        <w:t xml:space="preserve">, che ha avviato le sue attività nel corso del 2022 ed </w:t>
      </w:r>
      <w:r w:rsidRPr="00B05CC4">
        <w:rPr>
          <w:color w:val="000000" w:themeColor="text1"/>
        </w:rPr>
        <w:lastRenderedPageBreak/>
        <w:t xml:space="preserve">è dotata di un budget annuo di 620'000 franchi. La </w:t>
      </w:r>
      <w:r w:rsidRPr="00B05CC4">
        <w:rPr>
          <w:b/>
          <w:bCs/>
          <w:color w:val="000000" w:themeColor="text1"/>
        </w:rPr>
        <w:t xml:space="preserve">Film </w:t>
      </w:r>
      <w:proofErr w:type="spellStart"/>
      <w:r w:rsidRPr="00B05CC4">
        <w:rPr>
          <w:b/>
          <w:bCs/>
          <w:color w:val="000000" w:themeColor="text1"/>
        </w:rPr>
        <w:t>Commission</w:t>
      </w:r>
      <w:proofErr w:type="spellEnd"/>
      <w:r w:rsidRPr="00B05CC4">
        <w:rPr>
          <w:b/>
          <w:bCs/>
          <w:color w:val="000000" w:themeColor="text1"/>
        </w:rPr>
        <w:t xml:space="preserve"> Luzern und Central </w:t>
      </w:r>
      <w:proofErr w:type="spellStart"/>
      <w:r w:rsidRPr="00B05CC4">
        <w:rPr>
          <w:b/>
          <w:bCs/>
          <w:color w:val="000000" w:themeColor="text1"/>
        </w:rPr>
        <w:t>Schweiz</w:t>
      </w:r>
      <w:proofErr w:type="spellEnd"/>
      <w:r w:rsidRPr="00B05CC4">
        <w:rPr>
          <w:color w:val="000000" w:themeColor="text1"/>
        </w:rPr>
        <w:t xml:space="preserve">, che comprende i cantoni di Lucerna, Svitto, </w:t>
      </w:r>
      <w:proofErr w:type="spellStart"/>
      <w:r w:rsidRPr="00B05CC4">
        <w:rPr>
          <w:color w:val="000000" w:themeColor="text1"/>
        </w:rPr>
        <w:t>Nidvaldo</w:t>
      </w:r>
      <w:proofErr w:type="spellEnd"/>
      <w:r w:rsidRPr="00B05CC4">
        <w:rPr>
          <w:color w:val="000000" w:themeColor="text1"/>
        </w:rPr>
        <w:t xml:space="preserve">, </w:t>
      </w:r>
      <w:proofErr w:type="spellStart"/>
      <w:r w:rsidRPr="00B05CC4">
        <w:rPr>
          <w:color w:val="000000" w:themeColor="text1"/>
        </w:rPr>
        <w:t>Obvaldo</w:t>
      </w:r>
      <w:proofErr w:type="spellEnd"/>
      <w:r w:rsidRPr="00B05CC4">
        <w:rPr>
          <w:color w:val="000000" w:themeColor="text1"/>
        </w:rPr>
        <w:t xml:space="preserve"> e Uri, si pone l’obiettivo di portare produzioni nella regione turistica della Svizzera centrale (300'000 franchi annui, il doppio rispetto alla prima fase). La </w:t>
      </w:r>
      <w:r w:rsidRPr="00B05CC4">
        <w:rPr>
          <w:b/>
          <w:bCs/>
          <w:color w:val="000000" w:themeColor="text1"/>
        </w:rPr>
        <w:t xml:space="preserve">Film </w:t>
      </w:r>
      <w:proofErr w:type="spellStart"/>
      <w:r w:rsidRPr="00B05CC4">
        <w:rPr>
          <w:b/>
          <w:bCs/>
          <w:color w:val="000000" w:themeColor="text1"/>
        </w:rPr>
        <w:t>Commission</w:t>
      </w:r>
      <w:proofErr w:type="spellEnd"/>
      <w:r w:rsidRPr="00B05CC4">
        <w:rPr>
          <w:b/>
          <w:bCs/>
          <w:color w:val="000000" w:themeColor="text1"/>
        </w:rPr>
        <w:t xml:space="preserve"> </w:t>
      </w:r>
      <w:proofErr w:type="spellStart"/>
      <w:r w:rsidRPr="00B05CC4">
        <w:rPr>
          <w:b/>
          <w:bCs/>
          <w:color w:val="000000" w:themeColor="text1"/>
        </w:rPr>
        <w:t>Zürich</w:t>
      </w:r>
      <w:proofErr w:type="spellEnd"/>
      <w:r w:rsidRPr="00B05CC4">
        <w:rPr>
          <w:color w:val="000000" w:themeColor="text1"/>
        </w:rPr>
        <w:t xml:space="preserve"> è nata nel 2017 (Città, dal Cantone di Zurigo, da Zurigo Turismo e dalla Zürcher </w:t>
      </w:r>
      <w:proofErr w:type="spellStart"/>
      <w:r w:rsidRPr="00B05CC4">
        <w:rPr>
          <w:color w:val="000000" w:themeColor="text1"/>
        </w:rPr>
        <w:t>Filmstiftung</w:t>
      </w:r>
      <w:proofErr w:type="spellEnd"/>
      <w:r w:rsidRPr="00B05CC4">
        <w:rPr>
          <w:color w:val="000000" w:themeColor="text1"/>
        </w:rPr>
        <w:t xml:space="preserve">), ha un budget di 200'000 CHF annui </w:t>
      </w:r>
      <w:r w:rsidRPr="00602938">
        <w:rPr>
          <w:color w:val="000000" w:themeColor="text1"/>
        </w:rPr>
        <w:t xml:space="preserve">per la parte operativa ma che </w:t>
      </w:r>
      <w:r w:rsidRPr="00B05CC4">
        <w:rPr>
          <w:color w:val="000000" w:themeColor="text1"/>
        </w:rPr>
        <w:t xml:space="preserve">può contare sulla Zürcher </w:t>
      </w:r>
      <w:proofErr w:type="spellStart"/>
      <w:r w:rsidRPr="00B05CC4">
        <w:rPr>
          <w:color w:val="000000" w:themeColor="text1"/>
        </w:rPr>
        <w:t>Filmstiftung</w:t>
      </w:r>
      <w:proofErr w:type="spellEnd"/>
      <w:r w:rsidRPr="00B05CC4">
        <w:rPr>
          <w:color w:val="000000" w:themeColor="text1"/>
        </w:rPr>
        <w:t xml:space="preserve"> che mette a disposizione delle produzioni locali e delle co-produzioni 13 milioni annui. Si sottolinea infine che negli ultimi mesi, anche complice l’adozione della riforma della legge sul cinema </w:t>
      </w:r>
      <w:proofErr w:type="spellStart"/>
      <w:r w:rsidRPr="00B05CC4">
        <w:rPr>
          <w:color w:val="000000" w:themeColor="text1"/>
        </w:rPr>
        <w:t>LexNetflix</w:t>
      </w:r>
      <w:proofErr w:type="spellEnd"/>
      <w:r w:rsidRPr="00B05CC4">
        <w:rPr>
          <w:color w:val="000000" w:themeColor="text1"/>
        </w:rPr>
        <w:t xml:space="preserve">, numerose regioni svizzere hanno avvicinato la Ticino Film </w:t>
      </w:r>
      <w:proofErr w:type="spellStart"/>
      <w:r w:rsidRPr="00B05CC4">
        <w:rPr>
          <w:color w:val="000000" w:themeColor="text1"/>
        </w:rPr>
        <w:t>Commission</w:t>
      </w:r>
      <w:proofErr w:type="spellEnd"/>
      <w:r w:rsidRPr="00B05CC4">
        <w:rPr>
          <w:color w:val="000000" w:themeColor="text1"/>
        </w:rPr>
        <w:t xml:space="preserve"> con l’interesse di comprenderne meglio i meccanismi per creare in futuro la loro propria film </w:t>
      </w:r>
      <w:proofErr w:type="spellStart"/>
      <w:r w:rsidRPr="00B05CC4">
        <w:rPr>
          <w:color w:val="000000" w:themeColor="text1"/>
        </w:rPr>
        <w:t>commission</w:t>
      </w:r>
      <w:proofErr w:type="spellEnd"/>
      <w:r w:rsidRPr="00B05CC4">
        <w:rPr>
          <w:color w:val="000000" w:themeColor="text1"/>
        </w:rPr>
        <w:t xml:space="preserve"> (i cantoni </w:t>
      </w:r>
      <w:proofErr w:type="spellStart"/>
      <w:r w:rsidRPr="00B05CC4">
        <w:rPr>
          <w:color w:val="000000" w:themeColor="text1"/>
        </w:rPr>
        <w:t>Vaud</w:t>
      </w:r>
      <w:proofErr w:type="spellEnd"/>
      <w:r w:rsidRPr="00B05CC4">
        <w:rPr>
          <w:color w:val="000000" w:themeColor="text1"/>
        </w:rPr>
        <w:t xml:space="preserve">, Basilea, Giura così come la regione Montreux-Riviera, con i rispettivi dipartimenti dell’economia, hanno aperto dei tavoli di lavoro per la creazione a loro volta di </w:t>
      </w:r>
      <w:proofErr w:type="gramStart"/>
      <w:r w:rsidRPr="00B05CC4">
        <w:rPr>
          <w:color w:val="000000" w:themeColor="text1"/>
        </w:rPr>
        <w:t>una film</w:t>
      </w:r>
      <w:proofErr w:type="gramEnd"/>
      <w:r w:rsidRPr="00B05CC4">
        <w:rPr>
          <w:color w:val="000000" w:themeColor="text1"/>
        </w:rPr>
        <w:t xml:space="preserve"> </w:t>
      </w:r>
      <w:proofErr w:type="spellStart"/>
      <w:r w:rsidRPr="00B05CC4">
        <w:rPr>
          <w:color w:val="000000" w:themeColor="text1"/>
        </w:rPr>
        <w:t>commission</w:t>
      </w:r>
      <w:proofErr w:type="spellEnd"/>
      <w:r w:rsidRPr="00B05CC4">
        <w:rPr>
          <w:color w:val="000000" w:themeColor="text1"/>
        </w:rPr>
        <w:t xml:space="preserve">). </w:t>
      </w:r>
    </w:p>
    <w:p w:rsidR="00CB3E0F" w:rsidRPr="00B05CC4" w:rsidRDefault="00CB3E0F" w:rsidP="00CB3E0F">
      <w:pPr>
        <w:pStyle w:val="NORMALE0"/>
        <w:rPr>
          <w:color w:val="000000" w:themeColor="text1"/>
        </w:rPr>
      </w:pPr>
    </w:p>
    <w:p w:rsidR="00CB3E0F" w:rsidRPr="00B05CC4" w:rsidRDefault="00CB3E0F" w:rsidP="00942132">
      <w:pPr>
        <w:pStyle w:val="NORMALE0"/>
        <w:spacing w:after="120"/>
        <w:rPr>
          <w:color w:val="000000" w:themeColor="text1"/>
        </w:rPr>
      </w:pPr>
      <w:r w:rsidRPr="00B05CC4">
        <w:rPr>
          <w:color w:val="000000" w:themeColor="text1"/>
        </w:rPr>
        <w:t xml:space="preserve">Tale sguardo fuori dal Ticino riconferma ciò che nella teoria era già emerso, ovvero che </w:t>
      </w:r>
      <w:r w:rsidRPr="00B05CC4">
        <w:rPr>
          <w:b/>
          <w:bCs/>
          <w:color w:val="000000" w:themeColor="text1"/>
        </w:rPr>
        <w:t>per sua natura – la promozione</w:t>
      </w:r>
      <w:r w:rsidRPr="00602938">
        <w:rPr>
          <w:b/>
          <w:bCs/>
          <w:color w:val="000000" w:themeColor="text1"/>
        </w:rPr>
        <w:t xml:space="preserve"> di un territorio e della sua economia </w:t>
      </w:r>
      <w:r w:rsidRPr="00B05CC4">
        <w:rPr>
          <w:b/>
          <w:bCs/>
          <w:color w:val="000000" w:themeColor="text1"/>
        </w:rPr>
        <w:t xml:space="preserve">– </w:t>
      </w:r>
      <w:proofErr w:type="gramStart"/>
      <w:r w:rsidRPr="00B05CC4">
        <w:rPr>
          <w:b/>
          <w:bCs/>
          <w:color w:val="000000" w:themeColor="text1"/>
        </w:rPr>
        <w:t>una film</w:t>
      </w:r>
      <w:proofErr w:type="gramEnd"/>
      <w:r w:rsidRPr="00B05CC4">
        <w:rPr>
          <w:b/>
          <w:bCs/>
          <w:color w:val="000000" w:themeColor="text1"/>
        </w:rPr>
        <w:t xml:space="preserve"> </w:t>
      </w:r>
      <w:proofErr w:type="spellStart"/>
      <w:r w:rsidRPr="00B05CC4">
        <w:rPr>
          <w:b/>
          <w:bCs/>
          <w:color w:val="000000" w:themeColor="text1"/>
        </w:rPr>
        <w:t>commission</w:t>
      </w:r>
      <w:proofErr w:type="spellEnd"/>
      <w:r w:rsidRPr="00B05CC4">
        <w:rPr>
          <w:b/>
          <w:bCs/>
          <w:color w:val="000000" w:themeColor="text1"/>
        </w:rPr>
        <w:t xml:space="preserve"> non risulta attraente per dei finanziamenti privati e pertanto resta ancorata alla necessità di un suo finanziamento attraverso fondi pubblici</w:t>
      </w:r>
      <w:r w:rsidRPr="00B05CC4">
        <w:rPr>
          <w:color w:val="000000" w:themeColor="text1"/>
        </w:rPr>
        <w:t>. Consapevole di questa complessità, già il già citato rapporto della Commissione della gestione e delle finanze (n. 7556R del 2 ottobre 2018) sul finanziamento del periodo 2018-2022 indicava:</w:t>
      </w:r>
    </w:p>
    <w:p w:rsidR="00CB3E0F" w:rsidRPr="00942132" w:rsidRDefault="00CB3E0F" w:rsidP="00942132">
      <w:pPr>
        <w:pStyle w:val="NORMALE0"/>
        <w:rPr>
          <w:color w:val="000000" w:themeColor="text1"/>
          <w:sz w:val="23"/>
          <w:szCs w:val="23"/>
        </w:rPr>
      </w:pPr>
      <w:r w:rsidRPr="00942132">
        <w:rPr>
          <w:color w:val="000000" w:themeColor="text1"/>
          <w:sz w:val="23"/>
          <w:szCs w:val="23"/>
        </w:rPr>
        <w:t>“</w:t>
      </w:r>
      <w:r w:rsidRPr="00942132">
        <w:rPr>
          <w:i/>
          <w:color w:val="000000" w:themeColor="text1"/>
          <w:sz w:val="23"/>
          <w:szCs w:val="23"/>
        </w:rPr>
        <w:t xml:space="preserve">Considerate le esperienze di altri organismi simili a livello nazionale e internazionale è possibile affermare però già sin d’ora che </w:t>
      </w:r>
      <w:proofErr w:type="gramStart"/>
      <w:r w:rsidRPr="00942132">
        <w:rPr>
          <w:i/>
          <w:color w:val="000000" w:themeColor="text1"/>
          <w:sz w:val="23"/>
          <w:szCs w:val="23"/>
        </w:rPr>
        <w:t>una film</w:t>
      </w:r>
      <w:proofErr w:type="gramEnd"/>
      <w:r w:rsidRPr="00942132">
        <w:rPr>
          <w:i/>
          <w:color w:val="000000" w:themeColor="text1"/>
          <w:sz w:val="23"/>
          <w:szCs w:val="23"/>
        </w:rPr>
        <w:t xml:space="preserve"> </w:t>
      </w:r>
      <w:proofErr w:type="spellStart"/>
      <w:r w:rsidRPr="00942132">
        <w:rPr>
          <w:i/>
          <w:color w:val="000000" w:themeColor="text1"/>
          <w:sz w:val="23"/>
          <w:szCs w:val="23"/>
        </w:rPr>
        <w:t>commission</w:t>
      </w:r>
      <w:proofErr w:type="spellEnd"/>
      <w:r w:rsidRPr="00942132">
        <w:rPr>
          <w:i/>
          <w:color w:val="000000" w:themeColor="text1"/>
          <w:sz w:val="23"/>
          <w:szCs w:val="23"/>
        </w:rPr>
        <w:t xml:space="preserve"> ben difficilmente è in grado di auto sostenersi. Gli importanti benefici generati sul territorio dalla propria presenza difficilmente si riflettono sull’organizzazione stessa impedendogli così di autofinanziarsi per operare in modo autonomo</w:t>
      </w:r>
      <w:r w:rsidRPr="00942132">
        <w:rPr>
          <w:color w:val="000000" w:themeColor="text1"/>
          <w:sz w:val="23"/>
          <w:szCs w:val="23"/>
        </w:rPr>
        <w:t>”.</w:t>
      </w:r>
    </w:p>
    <w:p w:rsidR="00CB3E0F" w:rsidRPr="00B05CC4" w:rsidRDefault="00CB3E0F" w:rsidP="00CB3E0F">
      <w:pPr>
        <w:pStyle w:val="NORMALE0"/>
        <w:rPr>
          <w:color w:val="000000" w:themeColor="text1"/>
        </w:rPr>
      </w:pPr>
    </w:p>
    <w:p w:rsidR="00CB3E0F" w:rsidRPr="00B05CC4" w:rsidRDefault="00CB3E0F" w:rsidP="00CB3E0F">
      <w:pPr>
        <w:pStyle w:val="NORMALE0"/>
        <w:rPr>
          <w:color w:val="000000" w:themeColor="text1"/>
        </w:rPr>
      </w:pPr>
      <w:r w:rsidRPr="00B05CC4">
        <w:rPr>
          <w:color w:val="000000" w:themeColor="text1"/>
        </w:rPr>
        <w:t xml:space="preserve">Commissione che aveva comunque richiesto con </w:t>
      </w:r>
      <w:r>
        <w:rPr>
          <w:color w:val="000000" w:themeColor="text1"/>
        </w:rPr>
        <w:t xml:space="preserve">un </w:t>
      </w:r>
      <w:r w:rsidRPr="00B05CC4">
        <w:rPr>
          <w:color w:val="000000" w:themeColor="text1"/>
        </w:rPr>
        <w:t xml:space="preserve">emendamento di identificare nuove opzioni di finanziamento a complemento di quello cantonale, cosa che la Ticino Film </w:t>
      </w:r>
      <w:proofErr w:type="spellStart"/>
      <w:r w:rsidRPr="00B05CC4">
        <w:rPr>
          <w:color w:val="000000" w:themeColor="text1"/>
        </w:rPr>
        <w:t>Commission</w:t>
      </w:r>
      <w:proofErr w:type="spellEnd"/>
      <w:r w:rsidRPr="00B05CC4">
        <w:rPr>
          <w:color w:val="000000" w:themeColor="text1"/>
        </w:rPr>
        <w:t xml:space="preserve"> ha svolto, coinvolgendo altri attori nel suo finanziamento. </w:t>
      </w:r>
    </w:p>
    <w:p w:rsidR="00CB3E0F" w:rsidRDefault="00CB3E0F" w:rsidP="00942132"/>
    <w:p w:rsidR="00942132" w:rsidRPr="00FC2395" w:rsidRDefault="00942132" w:rsidP="00942132"/>
    <w:p w:rsidR="00CB3E0F" w:rsidRPr="00942132" w:rsidRDefault="00CB3E0F" w:rsidP="00942132">
      <w:pPr>
        <w:pStyle w:val="Titolo2"/>
        <w:tabs>
          <w:tab w:val="left" w:pos="567"/>
        </w:tabs>
        <w:spacing w:before="0" w:after="120"/>
        <w:jc w:val="both"/>
        <w:rPr>
          <w:rFonts w:eastAsia="Calibri" w:cs="Times New Roman"/>
          <w:lang w:val="it-IT" w:eastAsia="it-IT"/>
        </w:rPr>
      </w:pPr>
      <w:r w:rsidRPr="00942132">
        <w:rPr>
          <w:rFonts w:eastAsia="Calibri" w:cs="Times New Roman"/>
          <w:lang w:val="it-IT" w:eastAsia="it-IT"/>
        </w:rPr>
        <w:t>3.2</w:t>
      </w:r>
      <w:r w:rsidRPr="00942132">
        <w:rPr>
          <w:rFonts w:eastAsia="Calibri" w:cs="Times New Roman"/>
          <w:lang w:val="it-IT" w:eastAsia="it-IT"/>
        </w:rPr>
        <w:tab/>
        <w:t>Finanziamento dell’attività e degli incentivi</w:t>
      </w:r>
    </w:p>
    <w:p w:rsidR="00CB3E0F" w:rsidRPr="00AC3B29" w:rsidRDefault="00CB3E0F" w:rsidP="00CB3E0F">
      <w:pPr>
        <w:pStyle w:val="NORMALE0"/>
        <w:rPr>
          <w:color w:val="000000" w:themeColor="text1"/>
        </w:rPr>
      </w:pPr>
      <w:r w:rsidRPr="00AC3B29">
        <w:rPr>
          <w:color w:val="000000" w:themeColor="text1"/>
        </w:rPr>
        <w:t xml:space="preserve">Per quanto concerne il futuro, da un punto di vista finanziario, la Ticino Film </w:t>
      </w:r>
      <w:proofErr w:type="spellStart"/>
      <w:r w:rsidRPr="00AC3B29">
        <w:rPr>
          <w:color w:val="000000" w:themeColor="text1"/>
        </w:rPr>
        <w:t>Commission</w:t>
      </w:r>
      <w:proofErr w:type="spellEnd"/>
      <w:r w:rsidRPr="00AC3B29">
        <w:rPr>
          <w:color w:val="000000" w:themeColor="text1"/>
        </w:rPr>
        <w:t xml:space="preserve"> ha elaborato una previsione finanziaria per il periodo 2023-2026, dalla quale si evince che, con il prospettato contributo cantonale di </w:t>
      </w:r>
      <w:r w:rsidRPr="00AC3B29">
        <w:rPr>
          <w:b/>
          <w:bCs/>
          <w:color w:val="000000" w:themeColor="text1"/>
        </w:rPr>
        <w:t>350'000 franchi annui</w:t>
      </w:r>
      <w:r w:rsidRPr="00AC3B29">
        <w:rPr>
          <w:color w:val="000000" w:themeColor="text1"/>
        </w:rPr>
        <w:t xml:space="preserve">, sia possibile coprire gran parte dei costi di gestione corrente della TFC. Rispetto ai quadrienni precedenti è stato corretto al ribasso il finanziamento cantonale e questo per perseguire l’obiettivo che ci si è dati che la Ticino Film </w:t>
      </w:r>
      <w:proofErr w:type="spellStart"/>
      <w:r w:rsidRPr="00AC3B29">
        <w:rPr>
          <w:color w:val="000000" w:themeColor="text1"/>
        </w:rPr>
        <w:t>Commission</w:t>
      </w:r>
      <w:proofErr w:type="spellEnd"/>
      <w:r w:rsidRPr="00AC3B29">
        <w:rPr>
          <w:color w:val="000000" w:themeColor="text1"/>
        </w:rPr>
        <w:t xml:space="preserve"> ricerchi una diversificazione del proprio finanziamento. Se nei primi due periodi di finanziamento, il contributo annuo medio a favore della gestione della TFC era di </w:t>
      </w:r>
      <w:proofErr w:type="spellStart"/>
      <w:r w:rsidRPr="00AC3B29">
        <w:rPr>
          <w:color w:val="000000" w:themeColor="text1"/>
        </w:rPr>
        <w:t>ca</w:t>
      </w:r>
      <w:proofErr w:type="spellEnd"/>
      <w:r w:rsidRPr="00AC3B29">
        <w:rPr>
          <w:color w:val="000000" w:themeColor="text1"/>
        </w:rPr>
        <w:t xml:space="preserve">. 500'000 franchi, per il suo finanziamento futuro, la Fondazione </w:t>
      </w:r>
      <w:r w:rsidRPr="007D0A0A">
        <w:rPr>
          <w:color w:val="000000" w:themeColor="text1"/>
        </w:rPr>
        <w:t xml:space="preserve">beneficerà di </w:t>
      </w:r>
      <w:r w:rsidRPr="00AC3B29">
        <w:rPr>
          <w:color w:val="000000" w:themeColor="text1"/>
        </w:rPr>
        <w:t xml:space="preserve">un contributo cantonale annuo pari a 350'000 franchi: si tratta quindi di </w:t>
      </w:r>
      <w:r w:rsidRPr="00AC3B29">
        <w:rPr>
          <w:b/>
          <w:bCs/>
          <w:color w:val="000000" w:themeColor="text1"/>
        </w:rPr>
        <w:t>una riduzione del 30% rispetto a quanto versato in precedenza</w:t>
      </w:r>
      <w:r w:rsidRPr="00AC3B29">
        <w:rPr>
          <w:color w:val="000000" w:themeColor="text1"/>
        </w:rPr>
        <w:t>. Questo importo (CHF 350'000), sommato a quanto garantito da altri finanziatori, è considerato dal Consiglio di Stato quale minimo indispensabile per poter garantire la necessaria operatività.</w:t>
      </w:r>
      <w:r>
        <w:rPr>
          <w:color w:val="000000" w:themeColor="text1"/>
        </w:rPr>
        <w:t xml:space="preserve"> </w:t>
      </w:r>
    </w:p>
    <w:p w:rsidR="00CB3E0F" w:rsidRPr="00AC3B29" w:rsidRDefault="00CB3E0F" w:rsidP="00CB3E0F">
      <w:pPr>
        <w:pStyle w:val="NORMALE0"/>
        <w:rPr>
          <w:color w:val="000000" w:themeColor="text1"/>
        </w:rPr>
      </w:pPr>
    </w:p>
    <w:p w:rsidR="00CB3E0F" w:rsidRDefault="00CB3E0F" w:rsidP="00CB3E0F">
      <w:pPr>
        <w:pStyle w:val="NORMALE0"/>
      </w:pPr>
      <w:r w:rsidRPr="008C1D86">
        <w:t xml:space="preserve">Nell’ambito della ricerca di nuove fonti di finanziamento, in considerazione del potenziale di ritorno turistico dalle proprie attività, la Ticino Film </w:t>
      </w:r>
      <w:proofErr w:type="spellStart"/>
      <w:r w:rsidRPr="008C1D86">
        <w:t>Commission</w:t>
      </w:r>
      <w:proofErr w:type="spellEnd"/>
      <w:r w:rsidRPr="008C1D86">
        <w:t xml:space="preserve"> </w:t>
      </w:r>
      <w:r>
        <w:t xml:space="preserve">ha concluso </w:t>
      </w:r>
      <w:r w:rsidRPr="008C1D86">
        <w:t xml:space="preserve">un accordo con </w:t>
      </w:r>
      <w:r w:rsidRPr="00AC3B29">
        <w:rPr>
          <w:b/>
          <w:bCs/>
        </w:rPr>
        <w:t>l’Agenzia turistica ticinese e le Organizzazioni turistiche regionali</w:t>
      </w:r>
      <w:r w:rsidRPr="008C1D86">
        <w:t xml:space="preserve"> per un aumento </w:t>
      </w:r>
      <w:r w:rsidRPr="008C1D86">
        <w:lastRenderedPageBreak/>
        <w:t xml:space="preserve">del finanziamento da 40'000 a </w:t>
      </w:r>
      <w:r w:rsidRPr="00AC3B29">
        <w:rPr>
          <w:b/>
          <w:bCs/>
        </w:rPr>
        <w:t>80'000 franchi annui</w:t>
      </w:r>
      <w:r w:rsidRPr="008C1D86">
        <w:t xml:space="preserve"> per i prossimi 2 anni. Ha inoltre definito una collaborazione con </w:t>
      </w:r>
      <w:r w:rsidRPr="00AC3B29">
        <w:rPr>
          <w:b/>
          <w:bCs/>
        </w:rPr>
        <w:t>Banca Stato</w:t>
      </w:r>
      <w:r w:rsidRPr="008C1D86">
        <w:t xml:space="preserve"> che garantisce un finanziamento di </w:t>
      </w:r>
      <w:r w:rsidRPr="00AC3B29">
        <w:rPr>
          <w:b/>
          <w:bCs/>
        </w:rPr>
        <w:t>50'000 franchi</w:t>
      </w:r>
      <w:r w:rsidRPr="008C1D86">
        <w:t xml:space="preserve"> </w:t>
      </w:r>
      <w:r>
        <w:t>al</w:t>
      </w:r>
      <w:r w:rsidRPr="008C1D86">
        <w:t>l’anno per</w:t>
      </w:r>
      <w:r>
        <w:t xml:space="preserve"> i prossimi</w:t>
      </w:r>
      <w:r w:rsidRPr="008C1D86">
        <w:t xml:space="preserve"> 3 anni. </w:t>
      </w:r>
    </w:p>
    <w:p w:rsidR="00CB3E0F" w:rsidRPr="008C1D86" w:rsidRDefault="00CB3E0F" w:rsidP="00CB3E0F">
      <w:pPr>
        <w:pStyle w:val="NORMALE0"/>
      </w:pPr>
    </w:p>
    <w:p w:rsidR="00CB3E0F" w:rsidRDefault="00CB3E0F" w:rsidP="00CB3E0F">
      <w:pPr>
        <w:pStyle w:val="NORMALE0"/>
        <w:rPr>
          <w:color w:val="000000" w:themeColor="text1"/>
        </w:rPr>
      </w:pPr>
      <w:r w:rsidRPr="008C1D86">
        <w:t>Inoltre, sono stati creati grazie</w:t>
      </w:r>
      <w:r w:rsidRPr="00320877">
        <w:t xml:space="preserve"> a finanziamenti esterni altri fondi di incentivi, sia per la produzione sul proprio territorio comunale (</w:t>
      </w:r>
      <w:r w:rsidRPr="00AC3B29">
        <w:rPr>
          <w:b/>
          <w:bCs/>
        </w:rPr>
        <w:t xml:space="preserve">Airolo Film </w:t>
      </w:r>
      <w:proofErr w:type="spellStart"/>
      <w:r w:rsidRPr="00AC3B29">
        <w:rPr>
          <w:b/>
          <w:bCs/>
        </w:rPr>
        <w:t>Found</w:t>
      </w:r>
      <w:proofErr w:type="spellEnd"/>
      <w:r w:rsidRPr="00320877">
        <w:t xml:space="preserve"> e </w:t>
      </w:r>
      <w:r w:rsidRPr="00AC3B29">
        <w:rPr>
          <w:b/>
          <w:bCs/>
        </w:rPr>
        <w:t xml:space="preserve">Mendrisio Film </w:t>
      </w:r>
      <w:proofErr w:type="spellStart"/>
      <w:r w:rsidRPr="00AC3B29">
        <w:rPr>
          <w:b/>
          <w:bCs/>
        </w:rPr>
        <w:t>Found</w:t>
      </w:r>
      <w:proofErr w:type="spellEnd"/>
      <w:r w:rsidRPr="00320877">
        <w:t xml:space="preserve">), finanziati dai Comuni stessi, sia per la promozione della lingua italiana nel cinema (e indirettamente del Ticino) con il finanziamento di </w:t>
      </w:r>
      <w:r w:rsidRPr="00320877">
        <w:rPr>
          <w:bCs/>
        </w:rPr>
        <w:t xml:space="preserve">società svizzere di gestione dei diritti d’autore SSA e SUISSIMAGE e di SRG SSR. Finanziamenti, questi, evidentemente circoscritti a ben precisi progetti o destinati a </w:t>
      </w:r>
      <w:r w:rsidRPr="00AC3B29">
        <w:rPr>
          <w:bCs/>
          <w:color w:val="000000" w:themeColor="text1"/>
        </w:rPr>
        <w:t xml:space="preserve">promuovere </w:t>
      </w:r>
      <w:r w:rsidRPr="00602938">
        <w:rPr>
          <w:bCs/>
          <w:color w:val="000000" w:themeColor="text1"/>
        </w:rPr>
        <w:t xml:space="preserve">i rispettivi territori comunali. </w:t>
      </w:r>
      <w:r w:rsidRPr="00AC3B29">
        <w:rPr>
          <w:color w:val="000000" w:themeColor="text1"/>
        </w:rPr>
        <w:t xml:space="preserve">L’istituzione di questi fondi da parte di Enti locali conferma comunque l’interesse e la bontà dei servizi offerti dalla Ticino Film </w:t>
      </w:r>
      <w:proofErr w:type="spellStart"/>
      <w:r w:rsidRPr="00AC3B29">
        <w:rPr>
          <w:color w:val="000000" w:themeColor="text1"/>
        </w:rPr>
        <w:t>Commission</w:t>
      </w:r>
      <w:proofErr w:type="spellEnd"/>
      <w:r w:rsidRPr="00AC3B29">
        <w:rPr>
          <w:color w:val="000000" w:themeColor="text1"/>
        </w:rPr>
        <w:t xml:space="preserve"> a favore del </w:t>
      </w:r>
      <w:r w:rsidR="004356CC">
        <w:rPr>
          <w:color w:val="000000" w:themeColor="text1"/>
        </w:rPr>
        <w:t>marketing territoriale</w:t>
      </w:r>
      <w:r w:rsidRPr="00AC3B29">
        <w:rPr>
          <w:color w:val="000000" w:themeColor="text1"/>
        </w:rPr>
        <w:t>.</w:t>
      </w:r>
    </w:p>
    <w:p w:rsidR="00CB3E0F" w:rsidRDefault="00CB3E0F" w:rsidP="00CB3E0F">
      <w:pPr>
        <w:pStyle w:val="NORMALE0"/>
      </w:pPr>
    </w:p>
    <w:p w:rsidR="00CB3E0F" w:rsidRPr="00F35FD6" w:rsidRDefault="00CB3E0F" w:rsidP="00CB3E0F">
      <w:pPr>
        <w:pStyle w:val="NORMALE0"/>
        <w:rPr>
          <w:color w:val="00B0F0"/>
        </w:rPr>
      </w:pPr>
    </w:p>
    <w:p w:rsidR="00CB3E0F" w:rsidRDefault="00CB3E0F" w:rsidP="00CB3E0F">
      <w:pPr>
        <w:pStyle w:val="Titolo1"/>
        <w:numPr>
          <w:ilvl w:val="0"/>
          <w:numId w:val="19"/>
        </w:numPr>
        <w:tabs>
          <w:tab w:val="left" w:pos="567"/>
        </w:tabs>
        <w:spacing w:before="0"/>
        <w:ind w:left="567" w:hanging="567"/>
        <w:jc w:val="both"/>
      </w:pPr>
      <w:r>
        <w:t>CONSIDERAZIONI COMMISSIONALI</w:t>
      </w:r>
    </w:p>
    <w:p w:rsidR="00CB3E0F" w:rsidRDefault="00CB3E0F" w:rsidP="00CB3E0F">
      <w:pPr>
        <w:rPr>
          <w:szCs w:val="24"/>
          <w:lang w:val="it-IT"/>
        </w:rPr>
      </w:pPr>
      <w:r>
        <w:t>La Commissione formazione e cultura ha fortemente voluto analizzare e rapportare questo messaggio governativo, che per i quadrienni precedenti – anche vist</w:t>
      </w:r>
      <w:r w:rsidRPr="0018113E">
        <w:rPr>
          <w:color w:val="000000" w:themeColor="text1"/>
        </w:rPr>
        <w:t>o</w:t>
      </w:r>
      <w:r>
        <w:t xml:space="preserve"> l’inserimento dei </w:t>
      </w:r>
      <w:r w:rsidRPr="00602938">
        <w:rPr>
          <w:color w:val="000000" w:themeColor="text1"/>
        </w:rPr>
        <w:t>precedenti</w:t>
      </w:r>
      <w:r>
        <w:rPr>
          <w:color w:val="FF0000"/>
        </w:rPr>
        <w:t xml:space="preserve"> </w:t>
      </w:r>
      <w:r>
        <w:t>crediti nell’ambito della politica economica regionale – era stato trattato dalla Commissione gestione e finanze. Questo perché – come peraltro mostra il recente studio “</w:t>
      </w:r>
      <w:r w:rsidRPr="003565BE">
        <w:rPr>
          <w:szCs w:val="24"/>
          <w:lang w:val="it-IT"/>
        </w:rPr>
        <w:t>L’impatto economico della cultura nel Canton Ticino”</w:t>
      </w:r>
      <w:r>
        <w:rPr>
          <w:szCs w:val="24"/>
          <w:lang w:val="it-IT"/>
        </w:rPr>
        <w:t xml:space="preserve">, commissionato congiuntamente da </w:t>
      </w:r>
      <w:r w:rsidRPr="003565BE">
        <w:rPr>
          <w:szCs w:val="24"/>
          <w:lang w:val="it-IT"/>
        </w:rPr>
        <w:t>DFE</w:t>
      </w:r>
      <w:r>
        <w:rPr>
          <w:szCs w:val="24"/>
          <w:lang w:val="it-IT"/>
        </w:rPr>
        <w:t xml:space="preserve"> e </w:t>
      </w:r>
      <w:r w:rsidRPr="003565BE">
        <w:rPr>
          <w:szCs w:val="24"/>
          <w:lang w:val="it-IT"/>
        </w:rPr>
        <w:t>DECS</w:t>
      </w:r>
      <w:r>
        <w:rPr>
          <w:szCs w:val="24"/>
          <w:lang w:val="it-IT"/>
        </w:rPr>
        <w:t>, secondo il quale o</w:t>
      </w:r>
      <w:r w:rsidRPr="003565BE">
        <w:rPr>
          <w:szCs w:val="24"/>
          <w:lang w:val="it-IT"/>
        </w:rPr>
        <w:t>gni franco di sussidio pubblico genera infatti 2.58 CHF di valore aggiunto nel Cantone Ticino</w:t>
      </w:r>
      <w:r>
        <w:rPr>
          <w:szCs w:val="24"/>
          <w:lang w:val="it-IT"/>
        </w:rPr>
        <w:t xml:space="preserve"> – l’aspetto economico è proprio di ogni attività culturale. </w:t>
      </w:r>
      <w:r w:rsidRPr="00602938">
        <w:rPr>
          <w:color w:val="000000" w:themeColor="text1"/>
          <w:szCs w:val="24"/>
          <w:lang w:val="it-IT"/>
        </w:rPr>
        <w:t>Tale studio non prende in considerazione la produzione audiovisiva, ma attraverso un’analisi dei dati resi noti dalla</w:t>
      </w:r>
      <w:r w:rsidRPr="00602938">
        <w:rPr>
          <w:color w:val="000000" w:themeColor="text1"/>
          <w:szCs w:val="24"/>
        </w:rPr>
        <w:t xml:space="preserve"> TFC si evince che in ambito di produzione cinematografica le ricadute sono ben maggiori di 2.58 </w:t>
      </w:r>
      <w:proofErr w:type="spellStart"/>
      <w:r w:rsidRPr="00602938">
        <w:rPr>
          <w:color w:val="000000" w:themeColor="text1"/>
          <w:szCs w:val="24"/>
        </w:rPr>
        <w:t>chf</w:t>
      </w:r>
      <w:proofErr w:type="spellEnd"/>
      <w:r w:rsidRPr="00602938">
        <w:rPr>
          <w:color w:val="000000" w:themeColor="text1"/>
          <w:szCs w:val="24"/>
        </w:rPr>
        <w:t xml:space="preserve"> per ogni franco investito. Un settore </w:t>
      </w:r>
      <w:proofErr w:type="spellStart"/>
      <w:r w:rsidRPr="00602938">
        <w:rPr>
          <w:color w:val="000000" w:themeColor="text1"/>
          <w:szCs w:val="24"/>
        </w:rPr>
        <w:t>imporante</w:t>
      </w:r>
      <w:proofErr w:type="spellEnd"/>
      <w:r w:rsidRPr="00602938">
        <w:rPr>
          <w:color w:val="000000" w:themeColor="text1"/>
          <w:szCs w:val="24"/>
        </w:rPr>
        <w:t xml:space="preserve"> che affianca quello della formazione e quello della fruizione culturale, che da sempre vengono sostenuti. </w:t>
      </w:r>
      <w:r>
        <w:rPr>
          <w:szCs w:val="24"/>
          <w:lang w:val="it-IT"/>
        </w:rPr>
        <w:t xml:space="preserve">Si pensi in questo senso – oltre alla TFC – al sostegno sempre garantito al Festival del Film di Locarno, ma anche alla realizzazione del </w:t>
      </w:r>
      <w:proofErr w:type="spellStart"/>
      <w:r>
        <w:rPr>
          <w:szCs w:val="24"/>
          <w:lang w:val="it-IT"/>
        </w:rPr>
        <w:t>Palacinema</w:t>
      </w:r>
      <w:proofErr w:type="spellEnd"/>
      <w:r>
        <w:rPr>
          <w:szCs w:val="24"/>
          <w:lang w:val="it-IT"/>
        </w:rPr>
        <w:t xml:space="preserve">, lo sviluppo del CISA e la creazione di una cattedra congiunta USI-Festival.   </w:t>
      </w:r>
    </w:p>
    <w:p w:rsidR="00CB3E0F" w:rsidRDefault="00CB3E0F" w:rsidP="00CB3E0F">
      <w:pPr>
        <w:rPr>
          <w:szCs w:val="24"/>
          <w:lang w:val="it-IT"/>
        </w:rPr>
      </w:pPr>
    </w:p>
    <w:p w:rsidR="00CB3E0F" w:rsidRPr="00884FFE" w:rsidRDefault="00CB3E0F" w:rsidP="00CB3E0F">
      <w:pPr>
        <w:rPr>
          <w:color w:val="FF0000"/>
        </w:rPr>
      </w:pPr>
      <w:r>
        <w:rPr>
          <w:szCs w:val="24"/>
          <w:lang w:val="it-IT"/>
        </w:rPr>
        <w:t xml:space="preserve">La Commissione saluta </w:t>
      </w:r>
      <w:r w:rsidRPr="00602938">
        <w:rPr>
          <w:color w:val="000000" w:themeColor="text1"/>
          <w:szCs w:val="24"/>
          <w:lang w:val="it-IT"/>
        </w:rPr>
        <w:t>dunque</w:t>
      </w:r>
      <w:r>
        <w:rPr>
          <w:color w:val="FF0000"/>
          <w:szCs w:val="24"/>
          <w:lang w:val="it-IT"/>
        </w:rPr>
        <w:t xml:space="preserve"> </w:t>
      </w:r>
      <w:r>
        <w:rPr>
          <w:szCs w:val="24"/>
          <w:lang w:val="it-IT"/>
        </w:rPr>
        <w:t>positivamente i risultati raggiunt</w:t>
      </w:r>
      <w:r w:rsidR="00942132">
        <w:rPr>
          <w:szCs w:val="24"/>
          <w:lang w:val="it-IT"/>
        </w:rPr>
        <w:t xml:space="preserve">i dalla Ticino Film </w:t>
      </w:r>
      <w:proofErr w:type="spellStart"/>
      <w:r w:rsidR="00942132">
        <w:rPr>
          <w:szCs w:val="24"/>
          <w:lang w:val="it-IT"/>
        </w:rPr>
        <w:t>Commission</w:t>
      </w:r>
      <w:proofErr w:type="spellEnd"/>
      <w:r w:rsidR="00942132">
        <w:rPr>
          <w:szCs w:val="24"/>
          <w:lang w:val="it-IT"/>
        </w:rPr>
        <w:t xml:space="preserve"> -</w:t>
      </w:r>
      <w:r>
        <w:rPr>
          <w:szCs w:val="24"/>
          <w:lang w:val="it-IT"/>
        </w:rPr>
        <w:t xml:space="preserve"> sia in termini di progetti accompagnati (128 nel quadriennio, +124%) che di ritorno e</w:t>
      </w:r>
      <w:r w:rsidR="00942132">
        <w:rPr>
          <w:szCs w:val="24"/>
          <w:lang w:val="it-IT"/>
        </w:rPr>
        <w:t>conomico (13.5 milioni, +193%) -</w:t>
      </w:r>
      <w:r>
        <w:rPr>
          <w:szCs w:val="24"/>
          <w:lang w:val="it-IT"/>
        </w:rPr>
        <w:t xml:space="preserve"> e lo sviluppo in Ticino del settore dell’audiovisivo</w:t>
      </w:r>
      <w:r>
        <w:rPr>
          <w:color w:val="FF0000"/>
          <w:szCs w:val="24"/>
          <w:lang w:val="it-IT"/>
        </w:rPr>
        <w:t xml:space="preserve">, </w:t>
      </w:r>
      <w:r w:rsidRPr="00602938">
        <w:rPr>
          <w:color w:val="000000" w:themeColor="text1"/>
          <w:szCs w:val="24"/>
          <w:lang w:val="it-IT"/>
        </w:rPr>
        <w:t xml:space="preserve">condividendone attività, finalità e finanziamento. </w:t>
      </w:r>
    </w:p>
    <w:p w:rsidR="00CB3E0F" w:rsidRDefault="00CB3E0F" w:rsidP="00CB3E0F"/>
    <w:p w:rsidR="00942132" w:rsidRDefault="00942132" w:rsidP="00CB3E0F"/>
    <w:p w:rsidR="00CB3E0F" w:rsidRPr="00942132" w:rsidRDefault="00CB3E0F" w:rsidP="00CB3E0F">
      <w:pPr>
        <w:pStyle w:val="Titolo1"/>
        <w:numPr>
          <w:ilvl w:val="0"/>
          <w:numId w:val="19"/>
        </w:numPr>
        <w:tabs>
          <w:tab w:val="left" w:pos="567"/>
        </w:tabs>
        <w:spacing w:before="0"/>
        <w:ind w:left="567" w:hanging="567"/>
        <w:jc w:val="both"/>
        <w:rPr>
          <w:rFonts w:eastAsia="Calibri" w:cs="Times New Roman"/>
          <w:caps/>
          <w:szCs w:val="24"/>
          <w:lang w:val="it-IT" w:eastAsia="it-IT"/>
        </w:rPr>
      </w:pPr>
      <w:r w:rsidRPr="00942132">
        <w:rPr>
          <w:rFonts w:eastAsia="Calibri" w:cs="Times New Roman"/>
          <w:caps/>
          <w:szCs w:val="24"/>
          <w:lang w:val="it-IT" w:eastAsia="it-IT"/>
        </w:rPr>
        <w:t>Conclusioni</w:t>
      </w:r>
    </w:p>
    <w:p w:rsidR="00CB3E0F" w:rsidRPr="00196839" w:rsidRDefault="00CB3E0F" w:rsidP="00CB3E0F">
      <w:pPr>
        <w:rPr>
          <w:sz w:val="20"/>
          <w:szCs w:val="20"/>
        </w:rPr>
      </w:pPr>
      <w:r w:rsidRPr="002135A7">
        <w:t>Sulla base delle considerazioni fin qui espresse,</w:t>
      </w:r>
      <w:r>
        <w:t xml:space="preserve"> in particolare gli ottimi risultati raggiunti e in continua crescita, le potenzialità future del settore e non da ultimo la diminuzione del finanziamento cantonale, </w:t>
      </w:r>
      <w:r w:rsidRPr="002135A7">
        <w:t xml:space="preserve">la Commissione </w:t>
      </w:r>
      <w:r>
        <w:t xml:space="preserve">formazione e cultura </w:t>
      </w:r>
      <w:r w:rsidRPr="002135A7">
        <w:t xml:space="preserve">invita il Gran Consiglio ad accogliere il decreto legislativo allegato </w:t>
      </w:r>
      <w:r>
        <w:t xml:space="preserve">al messaggio governativo. </w:t>
      </w:r>
    </w:p>
    <w:p w:rsidR="00CB3E0F" w:rsidRPr="00196839" w:rsidRDefault="00CB3E0F" w:rsidP="00CB3E0F">
      <w:pPr>
        <w:rPr>
          <w:sz w:val="20"/>
          <w:szCs w:val="20"/>
        </w:rPr>
      </w:pPr>
    </w:p>
    <w:p w:rsidR="00CB3E0F" w:rsidRPr="00196839" w:rsidRDefault="00CB3E0F" w:rsidP="00CB3E0F">
      <w:pPr>
        <w:rPr>
          <w:rFonts w:cs="Arial"/>
          <w:sz w:val="20"/>
          <w:szCs w:val="20"/>
        </w:rPr>
      </w:pPr>
    </w:p>
    <w:p w:rsidR="00CB3E0F" w:rsidRPr="00076E70" w:rsidRDefault="00CB3E0F" w:rsidP="00CB3E0F">
      <w:pPr>
        <w:spacing w:after="120"/>
        <w:rPr>
          <w:rFonts w:cs="Arial"/>
          <w:szCs w:val="24"/>
        </w:rPr>
      </w:pPr>
      <w:r w:rsidRPr="00076E70">
        <w:rPr>
          <w:rFonts w:cs="Arial"/>
          <w:szCs w:val="24"/>
        </w:rPr>
        <w:t xml:space="preserve">Per la Commissione </w:t>
      </w:r>
      <w:r>
        <w:rPr>
          <w:rFonts w:cs="Arial"/>
          <w:szCs w:val="24"/>
        </w:rPr>
        <w:t>formazione e cultura</w:t>
      </w:r>
      <w:r w:rsidRPr="00076E70">
        <w:rPr>
          <w:rFonts w:cs="Arial"/>
          <w:szCs w:val="24"/>
        </w:rPr>
        <w:t>:</w:t>
      </w:r>
    </w:p>
    <w:p w:rsidR="00CB3E0F" w:rsidRDefault="00CB3E0F" w:rsidP="00CB3E0F">
      <w:pPr>
        <w:rPr>
          <w:rFonts w:cs="Arial"/>
          <w:szCs w:val="24"/>
        </w:rPr>
      </w:pPr>
      <w:r>
        <w:rPr>
          <w:rFonts w:cs="Arial"/>
          <w:szCs w:val="24"/>
        </w:rPr>
        <w:t>Claudio Franscella, relatore</w:t>
      </w:r>
    </w:p>
    <w:p w:rsidR="00CB3E0F" w:rsidRDefault="00942132" w:rsidP="00CB3E0F">
      <w:pPr>
        <w:rPr>
          <w:rFonts w:cs="Arial"/>
          <w:szCs w:val="24"/>
        </w:rPr>
      </w:pPr>
      <w:r>
        <w:rPr>
          <w:rFonts w:cs="Arial"/>
          <w:szCs w:val="24"/>
        </w:rPr>
        <w:t>Biscossa - Ermotti-Lepori -</w:t>
      </w:r>
      <w:r w:rsidR="00CB3E0F">
        <w:rPr>
          <w:rFonts w:cs="Arial"/>
          <w:szCs w:val="24"/>
        </w:rPr>
        <w:t xml:space="preserve"> Ghisla</w:t>
      </w:r>
    </w:p>
    <w:p w:rsidR="00942132" w:rsidRDefault="00942132" w:rsidP="00CB3E0F">
      <w:pPr>
        <w:rPr>
          <w:rFonts w:cs="Arial"/>
          <w:szCs w:val="24"/>
        </w:rPr>
      </w:pPr>
      <w:r>
        <w:rPr>
          <w:rFonts w:cs="Arial"/>
          <w:szCs w:val="24"/>
        </w:rPr>
        <w:t xml:space="preserve">Ghisletta - Ortelli P. - </w:t>
      </w:r>
      <w:r w:rsidR="00CB3E0F">
        <w:rPr>
          <w:rFonts w:cs="Arial"/>
          <w:szCs w:val="24"/>
        </w:rPr>
        <w:t>Piezzi</w:t>
      </w:r>
      <w:r>
        <w:rPr>
          <w:rFonts w:cs="Arial"/>
          <w:szCs w:val="24"/>
        </w:rPr>
        <w:t xml:space="preserve"> - Polli -</w:t>
      </w:r>
    </w:p>
    <w:p w:rsidR="00D649A8" w:rsidRPr="00942132" w:rsidRDefault="00942132" w:rsidP="00942132">
      <w:pPr>
        <w:rPr>
          <w:rFonts w:cs="Arial"/>
          <w:szCs w:val="24"/>
        </w:rPr>
      </w:pPr>
      <w:r>
        <w:rPr>
          <w:rFonts w:cs="Arial"/>
          <w:szCs w:val="24"/>
        </w:rPr>
        <w:t>Pugno-Ghirlanda -</w:t>
      </w:r>
      <w:r w:rsidR="00CB3E0F">
        <w:rPr>
          <w:rFonts w:cs="Arial"/>
          <w:szCs w:val="24"/>
        </w:rPr>
        <w:t xml:space="preserve"> Seitz</w:t>
      </w:r>
      <w:r>
        <w:rPr>
          <w:rFonts w:cs="Arial"/>
          <w:szCs w:val="24"/>
        </w:rPr>
        <w:t xml:space="preserve"> - Speziali -</w:t>
      </w:r>
      <w:r w:rsidR="00CB3E0F">
        <w:rPr>
          <w:rFonts w:cs="Arial"/>
          <w:szCs w:val="24"/>
        </w:rPr>
        <w:t xml:space="preserve"> Tenconi</w:t>
      </w:r>
    </w:p>
    <w:sectPr w:rsidR="00D649A8" w:rsidRPr="00942132"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E0F" w:rsidRDefault="00CB3E0F" w:rsidP="00F657BF">
      <w:r>
        <w:separator/>
      </w:r>
    </w:p>
  </w:endnote>
  <w:endnote w:type="continuationSeparator" w:id="0">
    <w:p w:rsidR="00CB3E0F" w:rsidRDefault="00CB3E0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132" w:rsidRDefault="0094213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8F645E" w:rsidP="00912E34">
          <w:pPr>
            <w:tabs>
              <w:tab w:val="center" w:pos="2382"/>
            </w:tabs>
          </w:pPr>
        </w:p>
      </w:tc>
      <w:tc>
        <w:tcPr>
          <w:tcW w:w="721" w:type="dxa"/>
        </w:tcPr>
        <w:p w:rsidR="00912E34" w:rsidRPr="003D1008" w:rsidRDefault="00CE4001"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CE4001"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8F645E"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8F645E">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E0F" w:rsidRDefault="00CB3E0F" w:rsidP="00F657BF">
      <w:r>
        <w:separator/>
      </w:r>
    </w:p>
  </w:footnote>
  <w:footnote w:type="continuationSeparator" w:id="0">
    <w:p w:rsidR="00CB3E0F" w:rsidRDefault="00CB3E0F"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132" w:rsidRDefault="0094213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C703DBC-E51E-4E2F-A7FF-02BA76AB6256}"/>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C92AF8"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CE4001" w:rsidP="00662409">
          <w:pPr>
            <w:pStyle w:val="Page"/>
            <w:jc w:val="right"/>
          </w:pPr>
          <w:r w:rsidRPr="004204CB">
            <w:fldChar w:fldCharType="begin"/>
          </w:r>
          <w:r w:rsidRPr="004204CB">
            <w:instrText xml:space="preserve"> PAGE   \* MERGEFORMAT </w:instrText>
          </w:r>
          <w:r w:rsidRPr="004204CB">
            <w:fldChar w:fldCharType="separate"/>
          </w:r>
          <w:r w:rsidR="00772F06">
            <w:rPr>
              <w:noProof/>
            </w:rPr>
            <w:t>4</w:t>
          </w:r>
          <w:r w:rsidRPr="004204CB">
            <w:fldChar w:fldCharType="end"/>
          </w:r>
          <w:r w:rsidRPr="004204CB">
            <w:t xml:space="preserve"> di </w:t>
          </w:r>
          <w:fldSimple w:instr=" NUMPAGES   \* MERGEFORMAT ">
            <w:r w:rsidR="00772F06">
              <w:rPr>
                <w:noProof/>
              </w:rPr>
              <w:t>6</w:t>
            </w:r>
          </w:fldSimple>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C703DBC-E51E-4E2F-A7FF-02BA76AB6256}"/>
          <w:text w:multiLine="1"/>
        </w:sdtPr>
        <w:sdtEndPr/>
        <w:sdtContent>
          <w:tc>
            <w:tcPr>
              <w:tcW w:w="8383" w:type="dxa"/>
              <w:tcBorders>
                <w:left w:val="single" w:sz="4" w:space="0" w:color="auto"/>
              </w:tcBorders>
              <w:tcMar>
                <w:top w:w="0" w:type="dxa"/>
                <w:left w:w="142" w:type="dxa"/>
              </w:tcMar>
            </w:tcPr>
            <w:p w:rsidR="005012EC" w:rsidRPr="00942132" w:rsidRDefault="00942132"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8198 R del 28 novembre 2022</w:t>
              </w:r>
            </w:p>
          </w:tc>
        </w:sdtContent>
      </w:sdt>
      <w:tc>
        <w:tcPr>
          <w:tcW w:w="1710" w:type="dxa"/>
          <w:tcBorders>
            <w:top w:val="single" w:sz="4" w:space="0" w:color="auto"/>
          </w:tcBorders>
        </w:tcPr>
        <w:p w:rsidR="005012EC" w:rsidRPr="00942132" w:rsidRDefault="008F645E" w:rsidP="00662409">
          <w:pPr>
            <w:pStyle w:val="InvisibleLine"/>
            <w:rPr>
              <w:lang w:val="it-CH"/>
            </w:rPr>
          </w:pPr>
        </w:p>
      </w:tc>
    </w:tr>
  </w:tbl>
  <w:p w:rsidR="00F657BF" w:rsidRPr="00980362" w:rsidRDefault="00CE4001"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C703DBC-E51E-4E2F-A7FF-02BA76AB6256}"/>
                            <w:text w:multiLine="1"/>
                          </w:sdtPr>
                          <w:sdtEndPr/>
                          <w:sdtContent>
                            <w:p w:rsidR="008065E8" w:rsidRPr="00411371" w:rsidRDefault="00CE4001"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9F21639-A457-4A58-89F2-308AE1184651}"/>
                      <w:text w:multiLine="1"/>
                    </w:sdtPr>
                    <w:sdtEndPr/>
                    <w:sdtContent>
                      <w:p w:rsidR="008065E8" w:rsidRPr="00411371" w:rsidRDefault="00CE4001"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8F645E" w:rsidP="00D07D6E">
          <w:pPr>
            <w:pStyle w:val="InvisibleLine"/>
            <w:ind w:left="150"/>
            <w:rPr>
              <w:sz w:val="16"/>
            </w:rPr>
          </w:pPr>
        </w:p>
      </w:tc>
      <w:tc>
        <w:tcPr>
          <w:tcW w:w="373" w:type="pct"/>
          <w:tcBorders>
            <w:top w:val="nil"/>
            <w:bottom w:val="single" w:sz="4" w:space="0" w:color="auto"/>
          </w:tcBorders>
          <w:vAlign w:val="bottom"/>
        </w:tcPr>
        <w:p w:rsidR="00662409" w:rsidRPr="003108C0" w:rsidRDefault="008F645E" w:rsidP="00D07D6E">
          <w:pPr>
            <w:pStyle w:val="Level"/>
            <w:ind w:left="150"/>
            <w:rPr>
              <w:sz w:val="16"/>
            </w:rPr>
          </w:pPr>
        </w:p>
      </w:tc>
      <w:tc>
        <w:tcPr>
          <w:tcW w:w="209" w:type="pct"/>
          <w:tcBorders>
            <w:top w:val="nil"/>
            <w:bottom w:val="single" w:sz="4" w:space="0" w:color="auto"/>
          </w:tcBorders>
        </w:tcPr>
        <w:p w:rsidR="00662409" w:rsidRDefault="00CE4001"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309515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CE4001"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2C77B8">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2C77B8">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C703DBC-E51E-4E2F-A7FF-02BA76AB6256}"/>
          <w:text w:multiLine="1"/>
        </w:sdtPr>
        <w:sdtEndPr/>
        <w:sdtContent>
          <w:tc>
            <w:tcPr>
              <w:tcW w:w="5000" w:type="pct"/>
              <w:gridSpan w:val="6"/>
              <w:tcBorders>
                <w:left w:val="nil"/>
                <w:right w:val="nil"/>
              </w:tcBorders>
              <w:noWrap/>
              <w:tcMar>
                <w:top w:w="0" w:type="dxa"/>
              </w:tcMar>
              <w:vAlign w:val="bottom"/>
            </w:tcPr>
            <w:p w:rsidR="00662409" w:rsidRPr="008C03B5" w:rsidRDefault="005B1E62"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CE4001"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8F645E"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CE4001"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8F645E"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CE4001"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8F645E"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8F645E"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C703DBC-E51E-4E2F-A7FF-02BA76AB6256}"/>
              <w:text w:multiLine="1"/>
            </w:sdtPr>
            <w:sdtEndPr/>
            <w:sdtContent>
              <w:r w:rsidR="00942132">
                <w:rPr>
                  <w:rFonts w:cstheme="minorHAnsi"/>
                  <w:b/>
                  <w:sz w:val="24"/>
                  <w:szCs w:val="24"/>
                </w:rPr>
                <w:t>8198 R</w:t>
              </w:r>
            </w:sdtContent>
          </w:sdt>
        </w:p>
      </w:tc>
      <w:sdt>
        <w:sdtPr>
          <w:alias w:val="DocParam.Date"/>
          <w:id w:val="-464426178"/>
          <w:dataBinding w:xpath="//DateTime[@id='DocParam.Date']" w:storeItemID="{5C703DBC-E51E-4E2F-A7FF-02BA76AB6256}"/>
          <w:date w:fullDate="2022-11-28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5B1E62" w:rsidP="00A532F6">
              <w:pPr>
                <w:pStyle w:val="Data"/>
              </w:pPr>
              <w:r>
                <w:t>28 novembre 2022</w:t>
              </w:r>
            </w:p>
          </w:tc>
        </w:sdtContent>
      </w:sdt>
      <w:tc>
        <w:tcPr>
          <w:tcW w:w="3218" w:type="pct"/>
          <w:gridSpan w:val="4"/>
          <w:tcBorders>
            <w:top w:val="nil"/>
            <w:left w:val="nil"/>
            <w:bottom w:val="nil"/>
            <w:right w:val="nil"/>
          </w:tcBorders>
        </w:tcPr>
        <w:p w:rsidR="008C03B5" w:rsidRPr="00BE22A2" w:rsidRDefault="008F645E"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C703DBC-E51E-4E2F-A7FF-02BA76AB6256}"/>
              <w:text w:multiLine="1"/>
            </w:sdtPr>
            <w:sdtEndPr/>
            <w:sdtContent>
              <w:r w:rsidR="00C92AF8">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8F645E" w:rsidP="00D07D6E">
          <w:pPr>
            <w:pStyle w:val="Level"/>
            <w:ind w:left="150"/>
            <w:rPr>
              <w:rFonts w:ascii="Gill Alt One MT Light" w:hAnsi="Gill Alt One MT Light"/>
              <w:sz w:val="16"/>
              <w:szCs w:val="16"/>
            </w:rPr>
          </w:pPr>
        </w:p>
      </w:tc>
    </w:tr>
  </w:tbl>
  <w:p w:rsidR="00F657BF" w:rsidRPr="00DA2879" w:rsidRDefault="00CE4001"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884572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C703DBC-E51E-4E2F-A7FF-02BA76AB6256}"/>
                            <w:text w:multiLine="1"/>
                          </w:sdtPr>
                          <w:sdtEndPr/>
                          <w:sdtContent>
                            <w:p w:rsidR="00E93620" w:rsidRPr="00411371" w:rsidRDefault="00CE4001"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9F21639-A457-4A58-89F2-308AE1184651}"/>
                      <w:text w:multiLine="1"/>
                    </w:sdtPr>
                    <w:sdtEndPr/>
                    <w:sdtContent>
                      <w:p w:rsidR="00E93620" w:rsidRPr="00411371" w:rsidRDefault="00CE4001"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55C0C"/>
    <w:multiLevelType w:val="hybridMultilevel"/>
    <w:tmpl w:val="E3F01FDE"/>
    <w:lvl w:ilvl="0" w:tplc="D75A19FE">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0F"/>
    <w:rsid w:val="0002755D"/>
    <w:rsid w:val="00061263"/>
    <w:rsid w:val="000635ED"/>
    <w:rsid w:val="00092629"/>
    <w:rsid w:val="001721EC"/>
    <w:rsid w:val="00187F71"/>
    <w:rsid w:val="002B5D9F"/>
    <w:rsid w:val="002C77B8"/>
    <w:rsid w:val="003B756D"/>
    <w:rsid w:val="00403ADB"/>
    <w:rsid w:val="0042136D"/>
    <w:rsid w:val="004356CC"/>
    <w:rsid w:val="004E1A8A"/>
    <w:rsid w:val="00572FD3"/>
    <w:rsid w:val="00594BD6"/>
    <w:rsid w:val="005B1E62"/>
    <w:rsid w:val="00661DD7"/>
    <w:rsid w:val="006764B9"/>
    <w:rsid w:val="006A5EBF"/>
    <w:rsid w:val="00727D81"/>
    <w:rsid w:val="00772F06"/>
    <w:rsid w:val="007E6195"/>
    <w:rsid w:val="008720C4"/>
    <w:rsid w:val="008C78CB"/>
    <w:rsid w:val="008F52AF"/>
    <w:rsid w:val="008F645E"/>
    <w:rsid w:val="00942132"/>
    <w:rsid w:val="009C5E5A"/>
    <w:rsid w:val="00AE1093"/>
    <w:rsid w:val="00AF0268"/>
    <w:rsid w:val="00B2444B"/>
    <w:rsid w:val="00B51827"/>
    <w:rsid w:val="00BE78A9"/>
    <w:rsid w:val="00BF0A1F"/>
    <w:rsid w:val="00C92AF8"/>
    <w:rsid w:val="00CB3E0F"/>
    <w:rsid w:val="00CC4499"/>
    <w:rsid w:val="00CE4001"/>
    <w:rsid w:val="00D23DD8"/>
    <w:rsid w:val="00D33940"/>
    <w:rsid w:val="00D600FD"/>
    <w:rsid w:val="00D649A8"/>
    <w:rsid w:val="00E645C4"/>
    <w:rsid w:val="00E65860"/>
    <w:rsid w:val="00EB088A"/>
    <w:rsid w:val="00EC5498"/>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BC92DD9-134F-489F-839C-773A0917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3E0F"/>
    <w:rPr>
      <w:rFonts w:ascii="Arial" w:hAnsi="Arial"/>
      <w:sz w:val="24"/>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Stile1">
    <w:name w:val="Stile1"/>
    <w:uiPriority w:val="99"/>
    <w:rsid w:val="00CB3E0F"/>
    <w:pPr>
      <w:numPr>
        <w:numId w:val="18"/>
      </w:numPr>
    </w:pPr>
  </w:style>
  <w:style w:type="table" w:styleId="Grigliatabella">
    <w:name w:val="Table Grid"/>
    <w:basedOn w:val="Tabellanormale"/>
    <w:uiPriority w:val="59"/>
    <w:rsid w:val="00CB3E0F"/>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0">
    <w:name w:val="NORMALE"/>
    <w:basedOn w:val="Normale"/>
    <w:link w:val="NORMALECarattere"/>
    <w:qFormat/>
    <w:rsid w:val="00CB3E0F"/>
    <w:rPr>
      <w:szCs w:val="24"/>
      <w:lang w:val="it-IT" w:eastAsia="it-IT"/>
    </w:rPr>
  </w:style>
  <w:style w:type="character" w:customStyle="1" w:styleId="NORMALECarattere">
    <w:name w:val="NORMALE Carattere"/>
    <w:basedOn w:val="Titolo1Carattere"/>
    <w:link w:val="NORMALE0"/>
    <w:rsid w:val="00CB3E0F"/>
    <w:rPr>
      <w:rFonts w:ascii="Arial" w:hAnsi="Arial"/>
      <w:b w:val="0"/>
      <w:sz w:val="24"/>
      <w:szCs w:val="24"/>
      <w:lang w:val="it-IT" w:eastAsia="it-IT"/>
    </w:rPr>
  </w:style>
  <w:style w:type="paragraph" w:customStyle="1" w:styleId="Fonti">
    <w:name w:val="Fonti"/>
    <w:basedOn w:val="NORMALE0"/>
    <w:link w:val="FontiCarattere"/>
    <w:qFormat/>
    <w:rsid w:val="00CB3E0F"/>
    <w:rPr>
      <w:i/>
      <w:color w:val="000000" w:themeColor="text1"/>
      <w:sz w:val="18"/>
    </w:rPr>
  </w:style>
  <w:style w:type="character" w:customStyle="1" w:styleId="FontiCarattere">
    <w:name w:val="Fonti Carattere"/>
    <w:basedOn w:val="NORMALECarattere"/>
    <w:link w:val="Fonti"/>
    <w:rsid w:val="00CB3E0F"/>
    <w:rPr>
      <w:rFonts w:ascii="Arial" w:hAnsi="Arial"/>
      <w:b w:val="0"/>
      <w:i/>
      <w:color w:val="000000" w:themeColor="text1"/>
      <w:sz w:val="18"/>
      <w:szCs w:val="24"/>
      <w:lang w:val="it-IT" w:eastAsia="it-IT"/>
    </w:rPr>
  </w:style>
  <w:style w:type="paragraph" w:styleId="Testofumetto">
    <w:name w:val="Balloon Text"/>
    <w:basedOn w:val="Normale"/>
    <w:link w:val="TestofumettoCarattere"/>
    <w:uiPriority w:val="99"/>
    <w:semiHidden/>
    <w:unhideWhenUsed/>
    <w:rsid w:val="0094213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2132"/>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38596\AppData\Local\Temp\OneOffixx\generated\7bb53e43-b897-46a8-98fb-6dc91813bf1a.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309515492</Id>
      <Width>0</Width>
      <Height>0</Height>
      <XPath>//Image[@id='Profile.Org.WappenSW']</XPath>
      <ImageHash>02f1c0cdac6aeac316213b2e7cb733a0</ImageHash>
    </ImageSizeDefinition>
    <ImageSizeDefinition>
      <Id>884572258</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1 c 6 8 0 a c 4 - 6 5 d 7 - 4 a a 8 - a d 7 2 - e 1 4 5 c 5 a 0 6 8 0 8 "   t I d = " a 3 6 2 a 5 d 4 - 9 5 8 9 - 4 1 b f - a 4 e 6 - 4 f 8 7 c 4 e 4 1 2 3 9 "   i n t e r n a l T I d = " 9 0 6 4 c c 7 f - 3 1 6 d - 4 6 b 1 - a 4 a c - 7 4 8 6 0 c 3 f 8 a 5 b "   m t I d = " 2 7 5 a f 3 2 e - b c 4 0 - 4 5 c 2 - 8 5 b 7 - a f b 1 c 0 3 8 2 6 5 3 "   r e v i s i o n = " 0 "   c r e a t e d m a j o r v e r s i o n = " 0 "   c r e a t e d m i n o r v e r s i o n = " 0 "   c r e a t e d = " 2 0 2 2 - 1 1 - 2 9 T 1 2 : 3 9 : 5 2 . 1 5 5 6 7 4 4 Z "   m o d i f i e d m a j o r v e r s i o n = " 0 "   m o d i f i e d m i n o r v e r s i o n = " 0 "   m o d i f i e d = " 0 0 0 1 - 0 1 - 0 1 T 0 0 : 0 0 : 0 0 "   p r o f i l e = " a 6 9 4 f 4 0 2 - 2 f 9 7 - 4 5 a 3 - a 1 a 1 - 6 0 0 2 0 7 f 4 8 d e 0 "   m o d e = " S a v e d D o c u m e n t "   c o l o r m o d e = " C o l o r "   l c i d = " 2 0 6 4 "   x m l n s = " h t t p : / / s c h e m a . o n e o f f i x x . c o m / O n e O f f i x x D o c u m e n t P a r t / 1 " >  
     < C o n t e n t >  
         < D a t a M o d e l   x m l n s = " " >  
             < P r o f i l e >  
                 < T e x t   i d = " P r o f i l e . I d "   l a b e l = " P r o f i l e . I d " > < ! [ C D A T A [ a 6 9 4 f 4 0 2 - 2 f 9 7 - 4 5 a 3 - a 1 a 1 - 6 0 0 2 0 7 f 4 8 d e 0 ] ] > < / 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s t e f a n o . b e t t e l i n i @ t i . c h ] ] > < / T e x t >  
                 < T e x t   i d = " P r o f i l e . U s e r . F i r s t N a m e "   l a b e l = " P r o f i l e . U s e r . F i r s t N a m e " > < ! [ C D A T A [ S t e f a n o ] ] > < / T e x t >  
                 < T e x t   i d = " P r o f i l e . U s e r . F u n c t i o n "   l a b e l = " P r o f i l e . U s e r . F u n c t i o n " > < ! [ C D A T A [ S G C ] ] > < / T e x t >  
                 < T e x t   i d = " P r o f i l e . U s e r . L a s t N a m e "   l a b e l = " P r o f i l e . U s e r . L a s t N a m e " > < ! [ C D A T A [ B e t t e l i n i ] ] > < / T e x t >  
                 < T e x t   i d = " P r o f i l e . U s e r . M o b i l e "   l a b e l = " P r o f i l e . U s e r . M o b i l e " > < ! [ C D A T A [   ] ] > < / T e x t >  
                 < T e x t   i d = " P r o f i l e . U s e r . P h o n e "   l a b e l = " P r o f i l e . U s e r . P h o n e " > < ! [ C D A T A [ + 4 1 9 1 8 1 4 4 3 1 3 ] ] > < / 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s t e f a n o . b e t t e l i n i @ t i . c h ] ] > < / T e x t >  
                 < T e x t   i d = " A u t h o r . U s e r . F i r s t N a m e "   l a b e l = " A u t h o r . U s e r . F i r s t N a m e " > < ! [ C D A T A [ S t e f a n o ] ] > < / T e x t >  
                 < T e x t   i d = " A u t h o r . U s e r . F u n c t i o n "   l a b e l = " A u t h o r . U s e r . F u n c t i o n " > < ! [ C D A T A [ S G C ] ] > < / T e x t >  
                 < T e x t   i d = " A u t h o r . U s e r . L a s t N a m e "   l a b e l = " A u t h o r . U s e r . L a s t N a m e " > < ! [ C D A T A [ B e t t e l i n i ] ] > < / T e x t >  
                 < T e x t   i d = " A u t h o r . U s e r . M o b i l e "   l a b e l = " A u t h o r . U s e r . M o b i l e " > < ! [ C D A T A [   ] ] > < / T e x t >  
                 < T e x t   i d = " A u t h o r . U s e r . P h o n e "   l a b e l = " A u t h o r . U s e r . P h o n e " > < ! [ C D A T A [ + 4 1 9 1 8 1 4 4 3 1 3 ] ] > < / 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n .   8 1 9 8   R   d e l   2 8   n o v e m b r e   2 0 2 2 ] ] > < / 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1 9 8   R   d e l   2 8   n o v e m b r e   2 0 2 2 ] ] > < / 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 2 0 2 2 - 1 1 - 2 8 T 0 0 : 0 0 : 0 0 Z < / D a t e T i m e >  
                 < T e x t   i d = " D o c P a r a m . N u m b e r " > < ! [ C D A T A [ 8 1 9 8 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776AB5D8-057A-45B1-81CC-39076612C9E7}">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5C703DBC-E51E-4E2F-A7FF-02BA76AB6256}">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7bb53e43-b897-46a8-98fb-6dc91813bf1a.dotx</Template>
  <TotalTime>12</TotalTime>
  <Pages>6</Pages>
  <Words>2597</Words>
  <Characters>15199</Characters>
  <Application>Microsoft Office Word</Application>
  <DocSecurity>0</DocSecurity>
  <Lines>310</Lines>
  <Paragraphs>112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Bettelini Stefano / T138596</dc:creator>
  <cp:lastModifiedBy>Venturi Luca</cp:lastModifiedBy>
  <cp:revision>27</cp:revision>
  <cp:lastPrinted>2022-11-30T09:29:00Z</cp:lastPrinted>
  <dcterms:created xsi:type="dcterms:W3CDTF">2022-11-29T14:41:00Z</dcterms:created>
  <dcterms:modified xsi:type="dcterms:W3CDTF">2022-11-30T09:30:00Z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