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24" w:rsidRPr="003F1B6C" w:rsidRDefault="009D3324" w:rsidP="009D3324">
      <w:pPr>
        <w:ind w:right="-1"/>
        <w:rPr>
          <w:b/>
          <w:snapToGrid w:val="0"/>
          <w:sz w:val="28"/>
          <w:szCs w:val="28"/>
        </w:rPr>
      </w:pPr>
      <w:r w:rsidRPr="003F1B6C">
        <w:rPr>
          <w:b/>
          <w:snapToGrid w:val="0"/>
          <w:sz w:val="28"/>
          <w:szCs w:val="28"/>
        </w:rPr>
        <w:t xml:space="preserve">della Commissione </w:t>
      </w:r>
      <w:r>
        <w:rPr>
          <w:b/>
          <w:snapToGrid w:val="0"/>
          <w:sz w:val="28"/>
          <w:szCs w:val="28"/>
        </w:rPr>
        <w:t>giustizia e diritti</w:t>
      </w:r>
    </w:p>
    <w:p w:rsidR="009D3324" w:rsidRPr="00911828" w:rsidRDefault="009D3324" w:rsidP="009D3324">
      <w:pPr>
        <w:spacing w:after="120"/>
        <w:ind w:right="-1"/>
        <w:jc w:val="both"/>
        <w:rPr>
          <w:b/>
          <w:i/>
          <w:sz w:val="28"/>
          <w:szCs w:val="28"/>
        </w:rPr>
      </w:pPr>
      <w:bookmarkStart w:id="0" w:name="_Toc151192545"/>
      <w:bookmarkStart w:id="1" w:name="_Toc151192911"/>
      <w:r w:rsidRPr="003B08FC">
        <w:rPr>
          <w:b/>
          <w:sz w:val="28"/>
          <w:szCs w:val="28"/>
        </w:rPr>
        <w:t>su</w:t>
      </w:r>
      <w:r>
        <w:rPr>
          <w:b/>
          <w:sz w:val="28"/>
          <w:szCs w:val="28"/>
        </w:rPr>
        <w:t>ll'</w:t>
      </w:r>
      <w:r w:rsidRPr="00D25263">
        <w:rPr>
          <w:b/>
          <w:sz w:val="28"/>
          <w:szCs w:val="28"/>
        </w:rPr>
        <w:t xml:space="preserve">iniziativa parlamentare </w:t>
      </w:r>
      <w:r>
        <w:rPr>
          <w:b/>
          <w:sz w:val="28"/>
          <w:szCs w:val="28"/>
        </w:rPr>
        <w:t xml:space="preserve">24 gennaio 2022 </w:t>
      </w:r>
      <w:r w:rsidRPr="00D25263">
        <w:rPr>
          <w:b/>
          <w:sz w:val="28"/>
          <w:szCs w:val="28"/>
        </w:rPr>
        <w:t>presentata nella forma elaborata da Matteo Pronzini e cofirmatari per l</w:t>
      </w:r>
      <w:r>
        <w:rPr>
          <w:b/>
          <w:sz w:val="28"/>
          <w:szCs w:val="28"/>
        </w:rPr>
        <w:t>'</w:t>
      </w:r>
      <w:r w:rsidRPr="00D25263">
        <w:rPr>
          <w:b/>
          <w:sz w:val="28"/>
          <w:szCs w:val="28"/>
        </w:rPr>
        <w:t>aggiunta dell</w:t>
      </w:r>
      <w:r>
        <w:rPr>
          <w:b/>
          <w:sz w:val="28"/>
          <w:szCs w:val="28"/>
        </w:rPr>
        <w:t>'art. 91</w:t>
      </w:r>
      <w:r w:rsidRPr="00D25263">
        <w:rPr>
          <w:b/>
          <w:sz w:val="28"/>
          <w:szCs w:val="28"/>
        </w:rPr>
        <w:t>a (nuovo) della Legge sull</w:t>
      </w:r>
      <w:r>
        <w:rPr>
          <w:b/>
          <w:sz w:val="28"/>
          <w:szCs w:val="28"/>
        </w:rPr>
        <w:t>'</w:t>
      </w:r>
      <w:r w:rsidRPr="00D25263">
        <w:rPr>
          <w:b/>
          <w:sz w:val="28"/>
          <w:szCs w:val="28"/>
        </w:rPr>
        <w:t>organizzazione giudiziaria</w:t>
      </w:r>
    </w:p>
    <w:bookmarkEnd w:id="0"/>
    <w:bookmarkEnd w:id="1"/>
    <w:p w:rsidR="009D3324" w:rsidRDefault="009D3324" w:rsidP="00D107FF">
      <w:pPr>
        <w:tabs>
          <w:tab w:val="left" w:pos="1985"/>
          <w:tab w:val="left" w:pos="4933"/>
        </w:tabs>
        <w:jc w:val="both"/>
        <w:rPr>
          <w:rFonts w:cs="Arial"/>
        </w:rPr>
      </w:pPr>
    </w:p>
    <w:p w:rsidR="002E1F94" w:rsidRPr="002C2DC9" w:rsidRDefault="002E1F94" w:rsidP="009D3324">
      <w:pPr>
        <w:tabs>
          <w:tab w:val="left" w:pos="1985"/>
          <w:tab w:val="left" w:pos="4933"/>
        </w:tabs>
        <w:ind w:right="-1"/>
        <w:jc w:val="both"/>
        <w:rPr>
          <w:rFonts w:cs="Arial"/>
        </w:rPr>
      </w:pPr>
    </w:p>
    <w:p w:rsidR="009D3324" w:rsidRPr="002E1F94" w:rsidRDefault="009D3324" w:rsidP="002E1F94">
      <w:pPr>
        <w:pStyle w:val="Titolo1"/>
        <w:tabs>
          <w:tab w:val="left" w:pos="567"/>
        </w:tabs>
        <w:spacing w:before="0"/>
        <w:ind w:left="567" w:hanging="567"/>
        <w:jc w:val="both"/>
        <w:rPr>
          <w:rFonts w:eastAsia="Calibri" w:cs="Times New Roman"/>
          <w:caps/>
          <w:sz w:val="24"/>
          <w:szCs w:val="24"/>
          <w:lang w:val="it-IT" w:eastAsia="it-IT"/>
        </w:rPr>
      </w:pPr>
      <w:r w:rsidRPr="002E1F94">
        <w:rPr>
          <w:rFonts w:eastAsia="Calibri" w:cs="Times New Roman"/>
          <w:caps/>
          <w:sz w:val="24"/>
          <w:szCs w:val="24"/>
          <w:lang w:val="it-IT" w:eastAsia="it-IT"/>
        </w:rPr>
        <w:t>I.</w:t>
      </w:r>
      <w:r w:rsidRPr="002E1F94">
        <w:rPr>
          <w:rFonts w:eastAsia="Calibri" w:cs="Times New Roman"/>
          <w:caps/>
          <w:sz w:val="24"/>
          <w:szCs w:val="24"/>
          <w:lang w:val="it-IT" w:eastAsia="it-IT"/>
        </w:rPr>
        <w:tab/>
        <w:t>l'atto parlamentare</w:t>
      </w:r>
    </w:p>
    <w:p w:rsidR="009D3324" w:rsidRDefault="009D3324" w:rsidP="009D3324">
      <w:pPr>
        <w:tabs>
          <w:tab w:val="left" w:pos="1985"/>
          <w:tab w:val="left" w:pos="4933"/>
        </w:tabs>
        <w:ind w:right="-1"/>
        <w:jc w:val="both"/>
        <w:rPr>
          <w:rFonts w:cs="Arial"/>
        </w:rPr>
      </w:pPr>
      <w:r>
        <w:rPr>
          <w:rFonts w:cs="Arial"/>
        </w:rPr>
        <w:t>L'iniziativa</w:t>
      </w:r>
      <w:r w:rsidRPr="00D25263">
        <w:rPr>
          <w:rFonts w:cs="Arial"/>
        </w:rPr>
        <w:t xml:space="preserve"> parlamentare</w:t>
      </w:r>
      <w:r>
        <w:rPr>
          <w:rFonts w:cs="Arial"/>
        </w:rPr>
        <w:t xml:space="preserve"> elaborata</w:t>
      </w:r>
      <w:r w:rsidRPr="00D25263">
        <w:rPr>
          <w:rFonts w:cs="Arial"/>
        </w:rPr>
        <w:t xml:space="preserve"> propone di </w:t>
      </w:r>
      <w:r>
        <w:rPr>
          <w:rFonts w:cs="Arial"/>
        </w:rPr>
        <w:t>inserire</w:t>
      </w:r>
      <w:r w:rsidRPr="00D25263">
        <w:rPr>
          <w:rFonts w:cs="Arial"/>
        </w:rPr>
        <w:t xml:space="preserve"> un nuovo articolo </w:t>
      </w:r>
      <w:r>
        <w:rPr>
          <w:rFonts w:cs="Arial"/>
        </w:rPr>
        <w:t>n</w:t>
      </w:r>
      <w:r w:rsidRPr="00D25263">
        <w:rPr>
          <w:rFonts w:cs="Arial"/>
        </w:rPr>
        <w:t>ella Legge sull</w:t>
      </w:r>
      <w:r>
        <w:rPr>
          <w:rFonts w:cs="Arial"/>
        </w:rPr>
        <w:t>'</w:t>
      </w:r>
      <w:r w:rsidRPr="00D25263">
        <w:rPr>
          <w:rFonts w:cs="Arial"/>
        </w:rPr>
        <w:t>organizzazione giudiziaria (LOG),</w:t>
      </w:r>
      <w:r>
        <w:rPr>
          <w:rFonts w:cs="Arial"/>
        </w:rPr>
        <w:t xml:space="preserve"> con</w:t>
      </w:r>
      <w:r w:rsidRPr="00D25263">
        <w:rPr>
          <w:rFonts w:cs="Arial"/>
        </w:rPr>
        <w:t xml:space="preserve"> il quale </w:t>
      </w:r>
      <w:r>
        <w:rPr>
          <w:rFonts w:cs="Arial"/>
        </w:rPr>
        <w:t xml:space="preserve">si </w:t>
      </w:r>
      <w:r w:rsidRPr="00D25263">
        <w:rPr>
          <w:rFonts w:cs="Arial"/>
        </w:rPr>
        <w:t xml:space="preserve">chiede di anticipare la scadenza del mandato degli attuali membri del Consiglio della </w:t>
      </w:r>
      <w:r>
        <w:rPr>
          <w:rFonts w:cs="Arial"/>
        </w:rPr>
        <w:t>M</w:t>
      </w:r>
      <w:r w:rsidRPr="00D25263">
        <w:rPr>
          <w:rFonts w:cs="Arial"/>
        </w:rPr>
        <w:t>agistratura alla fine dello scorso me</w:t>
      </w:r>
      <w:r>
        <w:rPr>
          <w:rFonts w:cs="Arial"/>
        </w:rPr>
        <w:t>s</w:t>
      </w:r>
      <w:r w:rsidRPr="00D25263">
        <w:rPr>
          <w:rFonts w:cs="Arial"/>
        </w:rPr>
        <w:t>e di marzo e</w:t>
      </w:r>
      <w:r>
        <w:rPr>
          <w:rFonts w:cs="Arial"/>
        </w:rPr>
        <w:t>,</w:t>
      </w:r>
      <w:r w:rsidRPr="00D25263">
        <w:rPr>
          <w:rFonts w:cs="Arial"/>
        </w:rPr>
        <w:t xml:space="preserve"> contestualmente, di procedere a designare un Consiglio della </w:t>
      </w:r>
      <w:r>
        <w:rPr>
          <w:rFonts w:cs="Arial"/>
        </w:rPr>
        <w:t>M</w:t>
      </w:r>
      <w:r w:rsidRPr="00D25263">
        <w:rPr>
          <w:rFonts w:cs="Arial"/>
        </w:rPr>
        <w:t xml:space="preserve">agistratura transitorio in carica sino a fine 2022. Entro tale data, a mente degli </w:t>
      </w:r>
      <w:proofErr w:type="spellStart"/>
      <w:r w:rsidRPr="00D25263">
        <w:rPr>
          <w:rFonts w:cs="Arial"/>
        </w:rPr>
        <w:t>iniziativisti</w:t>
      </w:r>
      <w:proofErr w:type="spellEnd"/>
      <w:r w:rsidRPr="00D25263">
        <w:rPr>
          <w:rFonts w:cs="Arial"/>
        </w:rPr>
        <w:t xml:space="preserve">, occorre anche </w:t>
      </w:r>
      <w:r w:rsidRPr="00D25263">
        <w:rPr>
          <w:rFonts w:cs="Arial"/>
          <w:i/>
        </w:rPr>
        <w:t xml:space="preserve">«procedere a definire delle nuove norme legislative che permettano di sottrarre il Consiglio della </w:t>
      </w:r>
      <w:r>
        <w:rPr>
          <w:rFonts w:cs="Arial"/>
          <w:i/>
        </w:rPr>
        <w:t>M</w:t>
      </w:r>
      <w:r w:rsidRPr="00D25263">
        <w:rPr>
          <w:rFonts w:cs="Arial"/>
          <w:i/>
        </w:rPr>
        <w:t>agistratura al controllo del sistema dei partiti»</w:t>
      </w:r>
      <w:r w:rsidRPr="00D25263">
        <w:rPr>
          <w:rFonts w:cs="Arial"/>
        </w:rPr>
        <w:t>.</w:t>
      </w:r>
    </w:p>
    <w:p w:rsidR="009D3324" w:rsidRPr="00D25263" w:rsidRDefault="009D3324" w:rsidP="009D3324">
      <w:pPr>
        <w:tabs>
          <w:tab w:val="left" w:pos="1985"/>
          <w:tab w:val="left" w:pos="4933"/>
        </w:tabs>
        <w:ind w:right="-1"/>
        <w:jc w:val="both"/>
        <w:rPr>
          <w:rFonts w:cs="Arial"/>
        </w:rPr>
      </w:pPr>
    </w:p>
    <w:p w:rsidR="009D3324" w:rsidRDefault="009D3324" w:rsidP="009D3324">
      <w:r>
        <w:t>Il nuovo art. 91a LOG proposto dall'iniziativa recita quanto segue:</w:t>
      </w:r>
    </w:p>
    <w:p w:rsidR="009D3324" w:rsidRDefault="009D3324" w:rsidP="009D3324">
      <w:pPr>
        <w:pStyle w:val="Default"/>
      </w:pPr>
    </w:p>
    <w:p w:rsidR="009D3324" w:rsidRPr="00D25263" w:rsidRDefault="009D3324" w:rsidP="009D3324">
      <w:pPr>
        <w:pStyle w:val="Default"/>
        <w:spacing w:after="120"/>
        <w:ind w:left="567" w:right="560"/>
        <w:jc w:val="both"/>
        <w:rPr>
          <w:b/>
        </w:rPr>
      </w:pPr>
      <w:r w:rsidRPr="00D25263">
        <w:rPr>
          <w:b/>
        </w:rPr>
        <w:t>Art. 91a (nuovo)</w:t>
      </w:r>
    </w:p>
    <w:p w:rsidR="009D3324" w:rsidRPr="00D25263" w:rsidRDefault="009D3324" w:rsidP="009D3324">
      <w:pPr>
        <w:pStyle w:val="Default"/>
        <w:spacing w:after="120"/>
        <w:ind w:left="567" w:right="560"/>
        <w:jc w:val="both"/>
      </w:pPr>
      <w:r w:rsidRPr="00D25263">
        <w:rPr>
          <w:vertAlign w:val="superscript"/>
        </w:rPr>
        <w:t>1</w:t>
      </w:r>
      <w:r w:rsidRPr="00D25263">
        <w:t>In deroga all</w:t>
      </w:r>
      <w:r>
        <w:t>'</w:t>
      </w:r>
      <w:r w:rsidRPr="00D25263">
        <w:t>articolo 75 cpv. 2 il mandato assegnato agli attuali membri del Consiglio della Magistratura termina il 31 marzo 2022. Gli attuali membri del Consiglio della Magistra</w:t>
      </w:r>
      <w:r>
        <w:t>tura non sono rieleggibili.</w:t>
      </w:r>
    </w:p>
    <w:p w:rsidR="009D3324" w:rsidRDefault="009D3324" w:rsidP="009D3324">
      <w:pPr>
        <w:pStyle w:val="Default"/>
        <w:spacing w:after="120"/>
        <w:ind w:left="567" w:right="560"/>
        <w:jc w:val="both"/>
      </w:pPr>
      <w:r w:rsidRPr="00D25263">
        <w:rPr>
          <w:vertAlign w:val="superscript"/>
        </w:rPr>
        <w:t>2</w:t>
      </w:r>
      <w:r>
        <w:t>Il Gran Consiglio e l'</w:t>
      </w:r>
      <w:r w:rsidRPr="00D25263">
        <w:t>assemblea dei magistrati procede a una nomina di un Consiglio della Magistratura transitorio che rimarrà in carica fino al 31.12.2022. Entro tale data si dovrà procedere a definire delle nuove norme legislative che permettano di sottrarre il Consiglio della Magistratura al controllo del sistema dei partiti.</w:t>
      </w:r>
    </w:p>
    <w:p w:rsidR="009D3324" w:rsidRPr="002C2DC9" w:rsidRDefault="009D3324" w:rsidP="009D3324">
      <w:pPr>
        <w:tabs>
          <w:tab w:val="left" w:pos="1985"/>
          <w:tab w:val="left" w:pos="4933"/>
        </w:tabs>
        <w:ind w:right="-1"/>
        <w:jc w:val="both"/>
        <w:rPr>
          <w:rFonts w:cs="Arial"/>
        </w:rPr>
      </w:pPr>
    </w:p>
    <w:p w:rsidR="009D3324" w:rsidRDefault="009D3324" w:rsidP="009D3324">
      <w:pPr>
        <w:tabs>
          <w:tab w:val="left" w:pos="1985"/>
          <w:tab w:val="left" w:pos="4933"/>
        </w:tabs>
        <w:ind w:right="-1"/>
        <w:jc w:val="both"/>
        <w:rPr>
          <w:rFonts w:cs="Arial"/>
        </w:rPr>
      </w:pPr>
    </w:p>
    <w:p w:rsidR="009D3324" w:rsidRPr="002E1F94" w:rsidRDefault="009D3324" w:rsidP="002E1F94">
      <w:pPr>
        <w:pStyle w:val="Titolo1"/>
        <w:tabs>
          <w:tab w:val="left" w:pos="567"/>
        </w:tabs>
        <w:spacing w:before="0"/>
        <w:ind w:left="567" w:hanging="567"/>
        <w:jc w:val="both"/>
        <w:rPr>
          <w:rFonts w:eastAsia="Calibri" w:cs="Times New Roman"/>
          <w:caps/>
          <w:sz w:val="24"/>
          <w:szCs w:val="24"/>
          <w:lang w:val="it-IT" w:eastAsia="it-IT"/>
        </w:rPr>
      </w:pPr>
      <w:r w:rsidRPr="002E1F94">
        <w:rPr>
          <w:rFonts w:eastAsia="Calibri" w:cs="Times New Roman"/>
          <w:caps/>
          <w:sz w:val="24"/>
          <w:szCs w:val="24"/>
          <w:lang w:val="it-IT" w:eastAsia="it-IT"/>
        </w:rPr>
        <w:t>II.</w:t>
      </w:r>
      <w:r w:rsidRPr="002E1F94">
        <w:rPr>
          <w:rFonts w:eastAsia="Calibri" w:cs="Times New Roman"/>
          <w:caps/>
          <w:sz w:val="24"/>
          <w:szCs w:val="24"/>
          <w:lang w:val="it-IT" w:eastAsia="it-IT"/>
        </w:rPr>
        <w:tab/>
        <w:t>la posizione del consiglio di stato</w:t>
      </w:r>
    </w:p>
    <w:p w:rsidR="009D3324" w:rsidRDefault="009D3324" w:rsidP="009D3324">
      <w:pPr>
        <w:jc w:val="both"/>
      </w:pPr>
      <w:r>
        <w:t xml:space="preserve">Nella sua comunicazione trasmessa alla Commissione giustizia e diritti il 21 settembre 2022, il Governo afferma che </w:t>
      </w:r>
      <w:r w:rsidRPr="00D25263">
        <w:rPr>
          <w:i/>
        </w:rPr>
        <w:t xml:space="preserve">«non intende esprimersi sulla richiesta degli </w:t>
      </w:r>
      <w:proofErr w:type="spellStart"/>
      <w:r w:rsidRPr="00D25263">
        <w:rPr>
          <w:i/>
        </w:rPr>
        <w:t>iniziativisti</w:t>
      </w:r>
      <w:proofErr w:type="spellEnd"/>
      <w:r w:rsidRPr="00D25263">
        <w:rPr>
          <w:i/>
        </w:rPr>
        <w:t>, ma tiene qui a precisare l</w:t>
      </w:r>
      <w:r>
        <w:rPr>
          <w:i/>
        </w:rPr>
        <w:t>'</w:t>
      </w:r>
      <w:r w:rsidRPr="00D25263">
        <w:rPr>
          <w:i/>
        </w:rPr>
        <w:t>importanza e il valore del Consiglio della magistratura, nell</w:t>
      </w:r>
      <w:r>
        <w:rPr>
          <w:i/>
        </w:rPr>
        <w:t>'</w:t>
      </w:r>
      <w:r w:rsidRPr="00D25263">
        <w:rPr>
          <w:i/>
        </w:rPr>
        <w:t>ottica del buon funzionamento della Magistratura cantonale nonché dell</w:t>
      </w:r>
      <w:r>
        <w:rPr>
          <w:i/>
        </w:rPr>
        <w:t>'</w:t>
      </w:r>
      <w:r w:rsidRPr="00D25263">
        <w:rPr>
          <w:i/>
        </w:rPr>
        <w:t xml:space="preserve">indipendenza del potere giudiziario per rapporto agli altri poteri dello Stato. La legge riserva a questi </w:t>
      </w:r>
      <w:proofErr w:type="spellStart"/>
      <w:r w:rsidRPr="00D25263">
        <w:rPr>
          <w:i/>
        </w:rPr>
        <w:t>gremio</w:t>
      </w:r>
      <w:proofErr w:type="spellEnd"/>
      <w:r w:rsidRPr="00D25263">
        <w:rPr>
          <w:i/>
        </w:rPr>
        <w:t xml:space="preserve"> il potere disciplinare e di sorveglianza sui magistrati e sulle persone che svolgono le funzioni giudiziarie. Tra i suoi compiti vi sono anche l</w:t>
      </w:r>
      <w:r>
        <w:rPr>
          <w:i/>
        </w:rPr>
        <w:t>'</w:t>
      </w:r>
      <w:r w:rsidRPr="00D25263">
        <w:rPr>
          <w:i/>
        </w:rPr>
        <w:t>esame del funzionamento della giustizia cantonale oltre che la segnalazione di eventuali problemi di natura organizzativa. Negli ultimi anni, il Consiglio della magistratura ha dipoi assunto ulteriori incombenze che non sono previste direttamente dalla legge, ma che, a mente dello scrivente Consiglio, si rivelano essenziali nell</w:t>
      </w:r>
      <w:r>
        <w:rPr>
          <w:i/>
        </w:rPr>
        <w:t>'</w:t>
      </w:r>
      <w:r w:rsidRPr="00D25263">
        <w:rPr>
          <w:i/>
        </w:rPr>
        <w:t xml:space="preserve">ottica del buon funzionamento della giustizia cantonale: si pensi ai </w:t>
      </w:r>
      <w:r w:rsidRPr="00D25263">
        <w:rPr>
          <w:i/>
        </w:rPr>
        <w:lastRenderedPageBreak/>
        <w:t>preavvisi legati alla designazione da parte del Consiglio di Stato di giudici supplenti ex 24 LOG, come pure a quelli inerenti le richieste di potenziamento formulate da alcune Magistrature permanenti</w:t>
      </w:r>
      <w:r>
        <w:rPr>
          <w:i/>
        </w:rPr>
        <w:t>»</w:t>
      </w:r>
      <w:r>
        <w:t>.</w:t>
      </w:r>
    </w:p>
    <w:p w:rsidR="009D3324" w:rsidRDefault="009D3324" w:rsidP="009D3324">
      <w:pPr>
        <w:jc w:val="both"/>
      </w:pPr>
    </w:p>
    <w:p w:rsidR="009D3324" w:rsidRDefault="009D3324" w:rsidP="009D3324">
      <w:pPr>
        <w:jc w:val="both"/>
      </w:pPr>
      <w:r>
        <w:t xml:space="preserve">Il Governo </w:t>
      </w:r>
      <w:r w:rsidRPr="00D25263">
        <w:t xml:space="preserve">afferma </w:t>
      </w:r>
      <w:r>
        <w:t>i</w:t>
      </w:r>
      <w:r w:rsidRPr="00D25263">
        <w:t xml:space="preserve">noltre che </w:t>
      </w:r>
      <w:r>
        <w:rPr>
          <w:i/>
        </w:rPr>
        <w:t>«a</w:t>
      </w:r>
      <w:r w:rsidRPr="00D25263">
        <w:rPr>
          <w:i/>
        </w:rPr>
        <w:t>lla luce dell</w:t>
      </w:r>
      <w:r>
        <w:rPr>
          <w:i/>
        </w:rPr>
        <w:t>'</w:t>
      </w:r>
      <w:r w:rsidRPr="00D25263">
        <w:rPr>
          <w:i/>
        </w:rPr>
        <w:t>organizzazione giudiziaria cantonale, che fa capo amministrativamente al Dipartimento delle istituzioni quindi all</w:t>
      </w:r>
      <w:r>
        <w:rPr>
          <w:i/>
        </w:rPr>
        <w:t>'</w:t>
      </w:r>
      <w:r w:rsidRPr="00D25263">
        <w:rPr>
          <w:i/>
        </w:rPr>
        <w:t>Esecutivo, ci si potrebbe chiedere se non occorra ampliare le competenze del Consiglio della Magistratura o quantomeno rivederne alcuni meccanismi come pure i requisiti dei suoi componenti. A titolo di esempio: nell</w:t>
      </w:r>
      <w:r>
        <w:rPr>
          <w:i/>
        </w:rPr>
        <w:t>'</w:t>
      </w:r>
      <w:r w:rsidRPr="00D25263">
        <w:rPr>
          <w:i/>
        </w:rPr>
        <w:t>ottica dell</w:t>
      </w:r>
      <w:r>
        <w:rPr>
          <w:i/>
        </w:rPr>
        <w:t>'</w:t>
      </w:r>
      <w:r w:rsidRPr="00D25263">
        <w:rPr>
          <w:i/>
        </w:rPr>
        <w:t xml:space="preserve">efficacia ed efficienza del sistema giudiziario cantonale, questo </w:t>
      </w:r>
      <w:proofErr w:type="spellStart"/>
      <w:r w:rsidRPr="00D25263">
        <w:rPr>
          <w:i/>
        </w:rPr>
        <w:t>gremio</w:t>
      </w:r>
      <w:proofErr w:type="spellEnd"/>
      <w:r w:rsidRPr="00D25263">
        <w:rPr>
          <w:i/>
        </w:rPr>
        <w:t xml:space="preserve"> potrebbe svolgere una funzione di controllo (in tema di produttività, organizzazione, uso delle risorse, ecc.) e di allocazione del personale operante (collaboratori amministrativi e giuridici del Potere giudiziario in particolare), oggi non possibile per l</w:t>
      </w:r>
      <w:r>
        <w:rPr>
          <w:i/>
        </w:rPr>
        <w:t>'</w:t>
      </w:r>
      <w:r w:rsidRPr="00D25263">
        <w:rPr>
          <w:i/>
        </w:rPr>
        <w:t>Esecutivo in ragione del principio della separazione dei poteri. Un tema importante che lo scrivente Consiglio, per il tramite del Dipartimento delle istituzioni, Divisione della giustizia, intende tematizzare con i rappresentanti delle Magistrature permanenti in occasione del prossimo incontro previsto nel corso del gennaio prossimo e in seguito anche con la Lodevole Commissione»</w:t>
      </w:r>
      <w:r w:rsidRPr="00D25263">
        <w:rPr>
          <w:szCs w:val="23"/>
        </w:rPr>
        <w:t xml:space="preserve"> (RG 4531 del 21 settembre 2022).</w:t>
      </w:r>
    </w:p>
    <w:p w:rsidR="009D3324" w:rsidRDefault="009D3324" w:rsidP="009D3324"/>
    <w:p w:rsidR="009D3324" w:rsidRDefault="009D3324" w:rsidP="009D3324"/>
    <w:p w:rsidR="009D3324" w:rsidRPr="002E1F94" w:rsidRDefault="009D3324" w:rsidP="002E1F94">
      <w:pPr>
        <w:pStyle w:val="Titolo1"/>
        <w:tabs>
          <w:tab w:val="left" w:pos="567"/>
        </w:tabs>
        <w:spacing w:before="0"/>
        <w:ind w:left="567" w:hanging="567"/>
        <w:jc w:val="both"/>
        <w:rPr>
          <w:rFonts w:eastAsia="Calibri" w:cs="Times New Roman"/>
          <w:caps/>
          <w:sz w:val="24"/>
          <w:szCs w:val="24"/>
          <w:lang w:val="it-IT" w:eastAsia="it-IT"/>
        </w:rPr>
      </w:pPr>
      <w:r w:rsidRPr="002E1F94">
        <w:rPr>
          <w:rFonts w:eastAsia="Calibri" w:cs="Times New Roman"/>
          <w:caps/>
          <w:sz w:val="24"/>
          <w:szCs w:val="24"/>
          <w:lang w:val="it-IT" w:eastAsia="it-IT"/>
        </w:rPr>
        <w:t>Iii.</w:t>
      </w:r>
      <w:r w:rsidRPr="002E1F94">
        <w:rPr>
          <w:rFonts w:eastAsia="Calibri" w:cs="Times New Roman"/>
          <w:caps/>
          <w:sz w:val="24"/>
          <w:szCs w:val="24"/>
          <w:lang w:val="it-IT" w:eastAsia="it-IT"/>
        </w:rPr>
        <w:tab/>
        <w:t>considerazioni commissionali</w:t>
      </w:r>
    </w:p>
    <w:p w:rsidR="009D3324" w:rsidRDefault="009D3324" w:rsidP="009D3324">
      <w:pPr>
        <w:jc w:val="both"/>
      </w:pPr>
      <w:r>
        <w:t>La Commissione giustizia e diritti ha sentito in audizione, il 5 settembre 2022, il collega Matteo Pronzini, il quale ha confermato con convinzione la volontà di mantenere la proposta tesa a modificare la Legge sull'organizzazione giudiziaria.</w:t>
      </w:r>
    </w:p>
    <w:p w:rsidR="009D3324" w:rsidRDefault="009D3324" w:rsidP="009D3324">
      <w:pPr>
        <w:jc w:val="both"/>
      </w:pPr>
    </w:p>
    <w:p w:rsidR="009D3324" w:rsidRDefault="009D3324" w:rsidP="009D3324">
      <w:pPr>
        <w:jc w:val="both"/>
      </w:pPr>
      <w:r>
        <w:t>La</w:t>
      </w:r>
      <w:r>
        <w:rPr>
          <w:rFonts w:cs="Arial"/>
        </w:rPr>
        <w:t xml:space="preserve"> </w:t>
      </w:r>
      <w:r>
        <w:t>commissione ritiene che il capoverso 1 del nuovo art. 91a, così come proposto, sia superato dagli eventi perché indica come termine il 31 marzo 2022.</w:t>
      </w:r>
    </w:p>
    <w:p w:rsidR="009D3324" w:rsidRDefault="009D3324" w:rsidP="009D3324">
      <w:pPr>
        <w:jc w:val="both"/>
      </w:pPr>
    </w:p>
    <w:p w:rsidR="009D3324" w:rsidRDefault="009D3324" w:rsidP="009D3324">
      <w:pPr>
        <w:jc w:val="both"/>
      </w:pPr>
      <w:r>
        <w:t>Per quanto riguarda il secondo capoverso, la scadenza del mandato del Consiglio della Magistratura è stata fissata al 31 dicembre 2022.</w:t>
      </w:r>
    </w:p>
    <w:p w:rsidR="009D3324" w:rsidRDefault="009D3324" w:rsidP="009D3324">
      <w:pPr>
        <w:jc w:val="both"/>
      </w:pPr>
    </w:p>
    <w:p w:rsidR="009D3324" w:rsidRDefault="009D3324" w:rsidP="009D3324">
      <w:pPr>
        <w:jc w:val="both"/>
      </w:pPr>
      <w:r>
        <w:t>Una lettera inviata il 23 giugno 29022 all'Assemblea dei Magistrati (e in copia all'Ufficio presidenziale del Gran Consiglio) informava che due membri del Consiglio della Magistratura rinunciavano a domandare il rinnovo della carica, così come cinque membri supplenti. Il presidente e il vicepresidente hanno raggiunto il limite massimo della carica (art. 75 cpv. 2 LOG).</w:t>
      </w:r>
    </w:p>
    <w:p w:rsidR="009D3324" w:rsidRDefault="009D3324" w:rsidP="009D3324">
      <w:pPr>
        <w:jc w:val="both"/>
        <w:rPr>
          <w:rFonts w:cs="Arial"/>
          <w:color w:val="000000" w:themeColor="text1"/>
        </w:rPr>
      </w:pPr>
    </w:p>
    <w:p w:rsidR="009D3324" w:rsidRDefault="009D3324" w:rsidP="009D3324">
      <w:pPr>
        <w:jc w:val="both"/>
        <w:rPr>
          <w:rFonts w:cs="Arial"/>
          <w:color w:val="000000" w:themeColor="text1"/>
        </w:rPr>
      </w:pPr>
      <w:r>
        <w:rPr>
          <w:rFonts w:cs="Arial"/>
          <w:color w:val="000000" w:themeColor="text1"/>
        </w:rPr>
        <w:t xml:space="preserve">In data 14 ottobre 2022 l'Assemblea dei Magistrati ha eletto i suoi rappresentanti: il giudice d'appello Damiano Stefani in qualità di presidente, la pretora Claudia Canonica </w:t>
      </w:r>
      <w:proofErr w:type="spellStart"/>
      <w:r>
        <w:rPr>
          <w:rFonts w:cs="Arial"/>
          <w:color w:val="000000" w:themeColor="text1"/>
        </w:rPr>
        <w:t>Minesso</w:t>
      </w:r>
      <w:proofErr w:type="spellEnd"/>
      <w:r>
        <w:rPr>
          <w:rFonts w:cs="Arial"/>
          <w:color w:val="000000" w:themeColor="text1"/>
        </w:rPr>
        <w:t xml:space="preserve"> quale vice presidente, il Procuratore pubblico Andrea Maria Balerna in qualità di membro e i due membri supplenti Sonia </w:t>
      </w:r>
      <w:proofErr w:type="spellStart"/>
      <w:r>
        <w:rPr>
          <w:rFonts w:cs="Arial"/>
          <w:color w:val="000000" w:themeColor="text1"/>
        </w:rPr>
        <w:t>Giamboni</w:t>
      </w:r>
      <w:proofErr w:type="spellEnd"/>
      <w:r>
        <w:rPr>
          <w:rFonts w:cs="Arial"/>
          <w:color w:val="000000" w:themeColor="text1"/>
        </w:rPr>
        <w:t xml:space="preserve"> e Angelo </w:t>
      </w:r>
      <w:proofErr w:type="spellStart"/>
      <w:r>
        <w:rPr>
          <w:rFonts w:cs="Arial"/>
          <w:color w:val="000000" w:themeColor="text1"/>
        </w:rPr>
        <w:t>Olgiati</w:t>
      </w:r>
      <w:proofErr w:type="spellEnd"/>
      <w:r>
        <w:rPr>
          <w:rFonts w:cs="Arial"/>
          <w:color w:val="000000" w:themeColor="text1"/>
        </w:rPr>
        <w:t>, entrambi giudici del Tribunale d'appello.</w:t>
      </w:r>
    </w:p>
    <w:p w:rsidR="009D3324" w:rsidRDefault="009D3324" w:rsidP="009D3324">
      <w:pPr>
        <w:jc w:val="both"/>
        <w:rPr>
          <w:rFonts w:cs="Arial"/>
          <w:color w:val="000000" w:themeColor="text1"/>
        </w:rPr>
      </w:pPr>
    </w:p>
    <w:p w:rsidR="009D3324" w:rsidRDefault="009D3324" w:rsidP="009D3324">
      <w:pPr>
        <w:jc w:val="both"/>
        <w:rPr>
          <w:rFonts w:cs="Arial"/>
          <w:color w:val="000000" w:themeColor="text1"/>
        </w:rPr>
      </w:pPr>
      <w:r>
        <w:rPr>
          <w:rFonts w:cs="Arial"/>
          <w:color w:val="000000" w:themeColor="text1"/>
        </w:rPr>
        <w:t xml:space="preserve">In data 7 novembre 2022 il Gran Consiglio ha rinnovato il Consiglio della Magistratura eleggendo le seguenti persone: Beatrice Fasana (unico membro uscente), Silvia Torricelli e Simonetta </w:t>
      </w:r>
      <w:proofErr w:type="spellStart"/>
      <w:r>
        <w:rPr>
          <w:rFonts w:cs="Arial"/>
          <w:color w:val="000000" w:themeColor="text1"/>
        </w:rPr>
        <w:t>Perucchi</w:t>
      </w:r>
      <w:proofErr w:type="spellEnd"/>
      <w:r>
        <w:rPr>
          <w:rFonts w:cs="Arial"/>
          <w:color w:val="000000" w:themeColor="text1"/>
        </w:rPr>
        <w:t xml:space="preserve"> Borsa, Riccardo Crivelli; Gianluca Generali, </w:t>
      </w:r>
      <w:proofErr w:type="spellStart"/>
      <w:r>
        <w:rPr>
          <w:rFonts w:cs="Arial"/>
          <w:color w:val="000000" w:themeColor="text1"/>
        </w:rPr>
        <w:t>Piergiuseppe</w:t>
      </w:r>
      <w:proofErr w:type="spellEnd"/>
      <w:r>
        <w:rPr>
          <w:rFonts w:cs="Arial"/>
          <w:color w:val="000000" w:themeColor="text1"/>
        </w:rPr>
        <w:t xml:space="preserve"> Vescovi e Pietro </w:t>
      </w:r>
      <w:proofErr w:type="spellStart"/>
      <w:r>
        <w:rPr>
          <w:rFonts w:cs="Arial"/>
          <w:color w:val="000000" w:themeColor="text1"/>
        </w:rPr>
        <w:t>Quanchi</w:t>
      </w:r>
      <w:proofErr w:type="spellEnd"/>
      <w:r>
        <w:rPr>
          <w:rFonts w:cs="Arial"/>
          <w:color w:val="000000" w:themeColor="text1"/>
        </w:rPr>
        <w:t xml:space="preserve"> quali supplenti.</w:t>
      </w:r>
    </w:p>
    <w:p w:rsidR="009D3324" w:rsidRDefault="009D3324" w:rsidP="009D3324">
      <w:pPr>
        <w:jc w:val="both"/>
        <w:rPr>
          <w:rFonts w:cs="Arial"/>
          <w:color w:val="000000" w:themeColor="text1"/>
        </w:rPr>
      </w:pPr>
    </w:p>
    <w:p w:rsidR="009D3324" w:rsidRDefault="009D3324" w:rsidP="009D3324">
      <w:pPr>
        <w:jc w:val="both"/>
        <w:rPr>
          <w:rFonts w:cs="Arial"/>
          <w:color w:val="000000" w:themeColor="text1"/>
        </w:rPr>
      </w:pPr>
      <w:r>
        <w:rPr>
          <w:rFonts w:cs="Arial"/>
          <w:color w:val="000000" w:themeColor="text1"/>
        </w:rPr>
        <w:t>La nuova composizione del Consiglio della Magistratura diventerà effettiva a partire dal 1° gennaio 2023.</w:t>
      </w:r>
    </w:p>
    <w:p w:rsidR="009D3324" w:rsidRPr="002E1F94" w:rsidRDefault="009D3324" w:rsidP="002E1F94">
      <w:pPr>
        <w:pStyle w:val="Titolo1"/>
        <w:tabs>
          <w:tab w:val="left" w:pos="567"/>
        </w:tabs>
        <w:spacing w:before="0"/>
        <w:ind w:left="567" w:hanging="567"/>
        <w:jc w:val="both"/>
        <w:rPr>
          <w:rFonts w:eastAsia="Calibri" w:cs="Times New Roman"/>
          <w:caps/>
          <w:sz w:val="24"/>
          <w:szCs w:val="24"/>
          <w:lang w:val="it-IT" w:eastAsia="it-IT"/>
        </w:rPr>
      </w:pPr>
      <w:r w:rsidRPr="002E1F94">
        <w:rPr>
          <w:rFonts w:eastAsia="Calibri" w:cs="Times New Roman"/>
          <w:caps/>
          <w:sz w:val="24"/>
          <w:szCs w:val="24"/>
          <w:lang w:val="it-IT" w:eastAsia="it-IT"/>
        </w:rPr>
        <w:lastRenderedPageBreak/>
        <w:t>iV.</w:t>
      </w:r>
      <w:r w:rsidRPr="002E1F94">
        <w:rPr>
          <w:rFonts w:eastAsia="Calibri" w:cs="Times New Roman"/>
          <w:caps/>
          <w:sz w:val="24"/>
          <w:szCs w:val="24"/>
          <w:lang w:val="it-IT" w:eastAsia="it-IT"/>
        </w:rPr>
        <w:tab/>
        <w:t>Conclusioni</w:t>
      </w:r>
    </w:p>
    <w:p w:rsidR="009D3324" w:rsidRDefault="009D3324" w:rsidP="009D3324">
      <w:pPr>
        <w:ind w:firstLine="1"/>
        <w:jc w:val="both"/>
        <w:rPr>
          <w:rFonts w:cs="Arial"/>
        </w:rPr>
      </w:pPr>
      <w:r>
        <w:t>Per i motivi suesposti, la</w:t>
      </w:r>
      <w:r>
        <w:rPr>
          <w:rFonts w:cs="Arial"/>
        </w:rPr>
        <w:t xml:space="preserve"> </w:t>
      </w:r>
      <w:r>
        <w:t>Commissione giustizia e diritti ritiene l'iniziativa parlamentare in oggetto superata dagli eventi e invita il Gran Consiglio a respingerla.</w:t>
      </w:r>
    </w:p>
    <w:p w:rsidR="009D3324" w:rsidRDefault="009D3324" w:rsidP="009D3324">
      <w:pPr>
        <w:ind w:firstLine="1"/>
        <w:jc w:val="both"/>
        <w:rPr>
          <w:rFonts w:cs="Arial"/>
        </w:rPr>
      </w:pPr>
    </w:p>
    <w:p w:rsidR="009D3324" w:rsidRDefault="009D3324" w:rsidP="009D3324">
      <w:pPr>
        <w:jc w:val="both"/>
        <w:rPr>
          <w:rFonts w:cs="Arial"/>
          <w:color w:val="000000" w:themeColor="text1"/>
        </w:rPr>
      </w:pPr>
    </w:p>
    <w:p w:rsidR="009D3324" w:rsidRPr="00A612B5" w:rsidRDefault="009D3324" w:rsidP="009D3324">
      <w:pPr>
        <w:pStyle w:val="Corpotesto"/>
        <w:tabs>
          <w:tab w:val="clear" w:pos="284"/>
          <w:tab w:val="clear" w:pos="426"/>
          <w:tab w:val="clear" w:pos="4962"/>
        </w:tabs>
        <w:spacing w:after="120"/>
        <w:ind w:right="-1"/>
        <w:rPr>
          <w:rFonts w:cs="Arial"/>
          <w:lang w:val="it-CH"/>
        </w:rPr>
      </w:pPr>
      <w:r w:rsidRPr="00A612B5">
        <w:rPr>
          <w:rFonts w:cs="Arial"/>
          <w:lang w:val="it-CH"/>
        </w:rPr>
        <w:t>Per la Commissione</w:t>
      </w:r>
      <w:r>
        <w:rPr>
          <w:rFonts w:cs="Arial"/>
        </w:rPr>
        <w:t xml:space="preserve"> giustizia e diritti</w:t>
      </w:r>
      <w:r w:rsidR="00D107FF">
        <w:rPr>
          <w:rFonts w:cs="Arial"/>
        </w:rPr>
        <w:t>:</w:t>
      </w:r>
    </w:p>
    <w:p w:rsidR="009D3324" w:rsidRDefault="009D3324" w:rsidP="009D3324">
      <w:pPr>
        <w:autoSpaceDE w:val="0"/>
        <w:autoSpaceDN w:val="0"/>
        <w:adjustRightInd w:val="0"/>
        <w:rPr>
          <w:rFonts w:eastAsia="Cambria" w:cs="Arial"/>
          <w:lang w:eastAsia="en-US"/>
        </w:rPr>
      </w:pPr>
      <w:r>
        <w:rPr>
          <w:rFonts w:eastAsia="Cambria" w:cs="Arial"/>
          <w:lang w:eastAsia="en-US"/>
        </w:rPr>
        <w:t>Giorgio Galusero</w:t>
      </w:r>
      <w:r w:rsidRPr="00A612B5">
        <w:rPr>
          <w:rFonts w:eastAsia="Cambria" w:cs="Arial"/>
          <w:lang w:eastAsia="en-US"/>
        </w:rPr>
        <w:t>, relatore</w:t>
      </w:r>
    </w:p>
    <w:p w:rsidR="00DF5C33" w:rsidRDefault="00DF5C33" w:rsidP="00DF5C33">
      <w:pPr>
        <w:jc w:val="both"/>
        <w:rPr>
          <w:rFonts w:eastAsia="Times New Roman" w:cs="Arial"/>
          <w:szCs w:val="20"/>
          <w:lang w:val="it-IT"/>
        </w:rPr>
      </w:pPr>
      <w:r w:rsidRPr="00DF5C33">
        <w:rPr>
          <w:rFonts w:eastAsia="Times New Roman" w:cs="Arial"/>
          <w:szCs w:val="20"/>
          <w:lang w:val="it-IT"/>
        </w:rPr>
        <w:t xml:space="preserve">Aldi - Bertoli - Corti - Dadò </w:t>
      </w:r>
      <w:r>
        <w:rPr>
          <w:rFonts w:eastAsia="Times New Roman" w:cs="Arial"/>
          <w:szCs w:val="20"/>
          <w:lang w:val="it-IT"/>
        </w:rPr>
        <w:t>-</w:t>
      </w:r>
      <w:r w:rsidRPr="00DF5C33">
        <w:rPr>
          <w:rFonts w:eastAsia="Times New Roman" w:cs="Arial"/>
          <w:szCs w:val="20"/>
          <w:lang w:val="it-IT"/>
        </w:rPr>
        <w:t xml:space="preserve"> Durisch </w:t>
      </w:r>
      <w:r>
        <w:rPr>
          <w:rFonts w:eastAsia="Times New Roman" w:cs="Arial"/>
          <w:szCs w:val="20"/>
          <w:lang w:val="it-IT"/>
        </w:rPr>
        <w:t>-</w:t>
      </w:r>
      <w:r w:rsidRPr="00DF5C33">
        <w:rPr>
          <w:rFonts w:eastAsia="Times New Roman" w:cs="Arial"/>
          <w:szCs w:val="20"/>
          <w:lang w:val="it-IT"/>
        </w:rPr>
        <w:t xml:space="preserve"> </w:t>
      </w:r>
    </w:p>
    <w:p w:rsidR="00343EA2" w:rsidRDefault="00DF5C33" w:rsidP="00DF5C33">
      <w:pPr>
        <w:jc w:val="both"/>
        <w:rPr>
          <w:rFonts w:eastAsia="Times New Roman" w:cs="Arial"/>
          <w:szCs w:val="20"/>
          <w:lang w:val="it-IT"/>
        </w:rPr>
      </w:pPr>
      <w:r w:rsidRPr="00DF5C33">
        <w:rPr>
          <w:rFonts w:eastAsia="Times New Roman" w:cs="Arial"/>
          <w:szCs w:val="20"/>
          <w:lang w:val="it-IT"/>
        </w:rPr>
        <w:t xml:space="preserve">Gaffuri - Gendotti - Guscio - Lepori C.- </w:t>
      </w:r>
    </w:p>
    <w:p w:rsidR="00DF5C33" w:rsidRPr="00DF5C33" w:rsidRDefault="00DF5C33" w:rsidP="00DF5C33">
      <w:pPr>
        <w:jc w:val="both"/>
        <w:rPr>
          <w:rFonts w:eastAsia="Times New Roman" w:cs="Arial"/>
          <w:szCs w:val="20"/>
          <w:lang w:val="it-IT"/>
        </w:rPr>
      </w:pPr>
      <w:r w:rsidRPr="00DF5C33">
        <w:rPr>
          <w:rFonts w:eastAsia="Times New Roman" w:cs="Arial"/>
          <w:szCs w:val="20"/>
          <w:lang w:val="it-IT"/>
        </w:rPr>
        <w:t xml:space="preserve">Maderni </w:t>
      </w:r>
      <w:r w:rsidR="005E163E">
        <w:rPr>
          <w:rFonts w:eastAsia="Times New Roman" w:cs="Arial"/>
          <w:szCs w:val="20"/>
          <w:lang w:val="it-IT"/>
        </w:rPr>
        <w:t>-</w:t>
      </w:r>
      <w:r w:rsidRPr="00DF5C33">
        <w:rPr>
          <w:rFonts w:eastAsia="Times New Roman" w:cs="Arial"/>
          <w:szCs w:val="20"/>
          <w:lang w:val="it-IT"/>
        </w:rPr>
        <w:t xml:space="preserve"> </w:t>
      </w:r>
      <w:bookmarkStart w:id="2" w:name="_GoBack"/>
      <w:bookmarkEnd w:id="2"/>
      <w:r w:rsidRPr="00DF5C33">
        <w:rPr>
          <w:rFonts w:eastAsia="Times New Roman" w:cs="Arial"/>
          <w:szCs w:val="20"/>
          <w:lang w:val="it-IT"/>
        </w:rPr>
        <w:t>Minotti - Noi - Pagani - Soldati - Viscardi</w:t>
      </w:r>
    </w:p>
    <w:p w:rsidR="008F52AF" w:rsidRPr="009D3324" w:rsidRDefault="008F52AF" w:rsidP="00D33940">
      <w:pPr>
        <w:pStyle w:val="StandardRisoluzionedelConsigliodiStato"/>
        <w:ind w:right="-1"/>
      </w:pPr>
    </w:p>
    <w:p w:rsidR="00D649A8" w:rsidRPr="009D3324" w:rsidRDefault="00D649A8" w:rsidP="00D33940">
      <w:pPr>
        <w:pStyle w:val="StandardRisoluzionedelConsigliodiStato"/>
        <w:ind w:right="-1"/>
      </w:pPr>
    </w:p>
    <w:p w:rsidR="00D649A8" w:rsidRPr="009D3324" w:rsidRDefault="00D649A8" w:rsidP="00D33940">
      <w:pPr>
        <w:pStyle w:val="StandardRisoluzionedelConsigliodiStato"/>
        <w:ind w:right="-1"/>
      </w:pPr>
    </w:p>
    <w:sectPr w:rsidR="00D649A8" w:rsidRPr="009D332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24" w:rsidRDefault="009D3324" w:rsidP="00F657BF">
      <w:r>
        <w:separator/>
      </w:r>
    </w:p>
  </w:endnote>
  <w:endnote w:type="continuationSeparator" w:id="0">
    <w:p w:rsidR="009D3324" w:rsidRDefault="009D332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415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4156B" w:rsidP="00912E34">
          <w:pPr>
            <w:tabs>
              <w:tab w:val="center" w:pos="2382"/>
            </w:tabs>
          </w:pPr>
        </w:p>
      </w:tc>
      <w:tc>
        <w:tcPr>
          <w:tcW w:w="721" w:type="dxa"/>
        </w:tcPr>
        <w:p w:rsidR="00912E34" w:rsidRPr="003D1008" w:rsidRDefault="00B30DF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30DF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4156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4156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24" w:rsidRDefault="009D3324" w:rsidP="00F657BF">
      <w:r>
        <w:separator/>
      </w:r>
    </w:p>
  </w:footnote>
  <w:footnote w:type="continuationSeparator" w:id="0">
    <w:p w:rsidR="009D3324" w:rsidRDefault="009D332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415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0EDCFDD-B5F3-4F03-97D6-27EB9EFDC35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E5A9A"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B30DF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43EA2" w:rsidRPr="00343EA2">
            <w:rPr>
              <w:noProof/>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43EA2" w:rsidRPr="00343EA2">
            <w:rPr>
              <w:noProof/>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0EDCFDD-B5F3-4F03-97D6-27EB9EFDC35A}"/>
          <w:text w:multiLine="1"/>
        </w:sdtPr>
        <w:sdtEndPr/>
        <w:sdtContent>
          <w:tc>
            <w:tcPr>
              <w:tcW w:w="8383" w:type="dxa"/>
              <w:tcBorders>
                <w:left w:val="single" w:sz="4" w:space="0" w:color="auto"/>
              </w:tcBorders>
              <w:tcMar>
                <w:top w:w="0" w:type="dxa"/>
                <w:left w:w="142" w:type="dxa"/>
              </w:tcMar>
            </w:tcPr>
            <w:p w:rsidR="005012EC" w:rsidRPr="00E8185F" w:rsidRDefault="007E5A9A"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28 novembre 2022</w:t>
              </w:r>
            </w:p>
          </w:tc>
        </w:sdtContent>
      </w:sdt>
      <w:tc>
        <w:tcPr>
          <w:tcW w:w="1710" w:type="dxa"/>
          <w:tcBorders>
            <w:top w:val="single" w:sz="4" w:space="0" w:color="auto"/>
          </w:tcBorders>
        </w:tcPr>
        <w:p w:rsidR="005012EC" w:rsidRPr="00E043A3" w:rsidRDefault="0034156B" w:rsidP="00662409">
          <w:pPr>
            <w:pStyle w:val="InvisibleLine"/>
            <w:rPr>
              <w:lang w:val="de-DE"/>
            </w:rPr>
          </w:pPr>
        </w:p>
      </w:tc>
    </w:tr>
  </w:tbl>
  <w:p w:rsidR="00F657BF" w:rsidRPr="00980362" w:rsidRDefault="00B30DF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0EDCFDD-B5F3-4F03-97D6-27EB9EFDC35A}"/>
                            <w:text w:multiLine="1"/>
                          </w:sdtPr>
                          <w:sdtEndPr/>
                          <w:sdtContent>
                            <w:p w:rsidR="008065E8" w:rsidRPr="00411371" w:rsidRDefault="00B30DF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4ACE7C-D09A-47DC-914F-C31A66920AE6}"/>
                      <w:text w:multiLine="1"/>
                    </w:sdtPr>
                    <w:sdtEndPr/>
                    <w:sdtContent>
                      <w:p w:rsidR="008065E8" w:rsidRPr="00411371" w:rsidRDefault="00B30DF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4156B" w:rsidP="00D07D6E">
          <w:pPr>
            <w:pStyle w:val="InvisibleLine"/>
            <w:ind w:left="150"/>
            <w:rPr>
              <w:sz w:val="16"/>
            </w:rPr>
          </w:pPr>
        </w:p>
      </w:tc>
      <w:tc>
        <w:tcPr>
          <w:tcW w:w="373" w:type="pct"/>
          <w:tcBorders>
            <w:top w:val="nil"/>
            <w:bottom w:val="single" w:sz="4" w:space="0" w:color="auto"/>
          </w:tcBorders>
          <w:vAlign w:val="bottom"/>
        </w:tcPr>
        <w:p w:rsidR="00662409" w:rsidRPr="003108C0" w:rsidRDefault="0034156B" w:rsidP="00D07D6E">
          <w:pPr>
            <w:pStyle w:val="Level"/>
            <w:ind w:left="150"/>
            <w:rPr>
              <w:sz w:val="16"/>
            </w:rPr>
          </w:pPr>
        </w:p>
      </w:tc>
      <w:tc>
        <w:tcPr>
          <w:tcW w:w="209" w:type="pct"/>
          <w:tcBorders>
            <w:top w:val="nil"/>
            <w:bottom w:val="single" w:sz="4" w:space="0" w:color="auto"/>
          </w:tcBorders>
        </w:tcPr>
        <w:p w:rsidR="00662409" w:rsidRDefault="00B30DF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8069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30DF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43EA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43EA2">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0EDCFDD-B5F3-4F03-97D6-27EB9EFDC35A}"/>
          <w:text w:multiLine="1"/>
        </w:sdtPr>
        <w:sdtEndPr/>
        <w:sdtContent>
          <w:tc>
            <w:tcPr>
              <w:tcW w:w="5000" w:type="pct"/>
              <w:gridSpan w:val="6"/>
              <w:tcBorders>
                <w:left w:val="nil"/>
                <w:right w:val="nil"/>
              </w:tcBorders>
              <w:noWrap/>
              <w:tcMar>
                <w:top w:w="0" w:type="dxa"/>
              </w:tcMar>
              <w:vAlign w:val="bottom"/>
            </w:tcPr>
            <w:p w:rsidR="00662409" w:rsidRPr="008C03B5" w:rsidRDefault="007E5A9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30DF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4156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30DF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4156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30DF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4156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4156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0EDCFDD-B5F3-4F03-97D6-27EB9EFDC35A}"/>
              <w:text w:multiLine="1"/>
            </w:sdtPr>
            <w:sdtEndPr/>
            <w:sdtContent>
              <w:r w:rsidR="00B30DFC" w:rsidRPr="00BE22A2">
                <w:rPr>
                  <w:rFonts w:cstheme="minorHAnsi"/>
                  <w:b/>
                  <w:sz w:val="24"/>
                  <w:szCs w:val="24"/>
                </w:rPr>
                <w:t xml:space="preserve"> </w:t>
              </w:r>
            </w:sdtContent>
          </w:sdt>
        </w:p>
      </w:tc>
      <w:sdt>
        <w:sdtPr>
          <w:rPr>
            <w:sz w:val="24"/>
          </w:rPr>
          <w:alias w:val="DocParam.Date"/>
          <w:id w:val="-464426178"/>
          <w:dataBinding w:xpath="//DateTime[@id='DocParam.Date']" w:storeItemID="{A0EDCFDD-B5F3-4F03-97D6-27EB9EFDC35A}"/>
          <w:date w:fullDate="2022-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E5A9A" w:rsidP="00A532F6">
              <w:pPr>
                <w:pStyle w:val="Data"/>
              </w:pPr>
              <w:r>
                <w:rPr>
                  <w:sz w:val="24"/>
                </w:rPr>
                <w:t>28 novembre 2022</w:t>
              </w:r>
            </w:p>
          </w:tc>
        </w:sdtContent>
      </w:sdt>
      <w:tc>
        <w:tcPr>
          <w:tcW w:w="3218" w:type="pct"/>
          <w:gridSpan w:val="4"/>
          <w:tcBorders>
            <w:top w:val="nil"/>
            <w:left w:val="nil"/>
            <w:bottom w:val="nil"/>
            <w:right w:val="nil"/>
          </w:tcBorders>
        </w:tcPr>
        <w:p w:rsidR="008C03B5" w:rsidRPr="00BE22A2" w:rsidRDefault="0034156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0EDCFDD-B5F3-4F03-97D6-27EB9EFDC35A}"/>
              <w:text w:multiLine="1"/>
            </w:sdtPr>
            <w:sdtEndPr/>
            <w:sdtContent>
              <w:r w:rsidR="007E5A9A">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4156B" w:rsidP="00D07D6E">
          <w:pPr>
            <w:pStyle w:val="Level"/>
            <w:ind w:left="150"/>
            <w:rPr>
              <w:rFonts w:ascii="Gill Alt One MT Light" w:hAnsi="Gill Alt One MT Light"/>
              <w:sz w:val="16"/>
              <w:szCs w:val="16"/>
            </w:rPr>
          </w:pPr>
        </w:p>
      </w:tc>
    </w:tr>
  </w:tbl>
  <w:p w:rsidR="00F657BF" w:rsidRPr="00DA2879" w:rsidRDefault="00B30DF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0857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0EDCFDD-B5F3-4F03-97D6-27EB9EFDC35A}"/>
                            <w:text w:multiLine="1"/>
                          </w:sdtPr>
                          <w:sdtEndPr/>
                          <w:sdtContent>
                            <w:p w:rsidR="00E93620" w:rsidRPr="00411371" w:rsidRDefault="00B30DF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4ACE7C-D09A-47DC-914F-C31A66920AE6}"/>
                      <w:text w:multiLine="1"/>
                    </w:sdtPr>
                    <w:sdtEndPr/>
                    <w:sdtContent>
                      <w:p w:rsidR="00E93620" w:rsidRPr="00411371" w:rsidRDefault="00B30DF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4"/>
    <w:rsid w:val="000D0F0F"/>
    <w:rsid w:val="00173411"/>
    <w:rsid w:val="00240F55"/>
    <w:rsid w:val="002B2C3E"/>
    <w:rsid w:val="002B5D9F"/>
    <w:rsid w:val="002B6CDA"/>
    <w:rsid w:val="002E1F94"/>
    <w:rsid w:val="0034156B"/>
    <w:rsid w:val="00343EA2"/>
    <w:rsid w:val="003B756D"/>
    <w:rsid w:val="00403ADB"/>
    <w:rsid w:val="00507A2E"/>
    <w:rsid w:val="00572FD3"/>
    <w:rsid w:val="005A2AD5"/>
    <w:rsid w:val="005A3B3A"/>
    <w:rsid w:val="005C5EC9"/>
    <w:rsid w:val="005E163E"/>
    <w:rsid w:val="00683866"/>
    <w:rsid w:val="006B0102"/>
    <w:rsid w:val="00790705"/>
    <w:rsid w:val="007A52EA"/>
    <w:rsid w:val="007E5A9A"/>
    <w:rsid w:val="008720C4"/>
    <w:rsid w:val="008F52AF"/>
    <w:rsid w:val="008F7C6A"/>
    <w:rsid w:val="009C5E5A"/>
    <w:rsid w:val="009D3324"/>
    <w:rsid w:val="00AF0268"/>
    <w:rsid w:val="00B30DFC"/>
    <w:rsid w:val="00BF0A1F"/>
    <w:rsid w:val="00D107FF"/>
    <w:rsid w:val="00D33940"/>
    <w:rsid w:val="00D600FD"/>
    <w:rsid w:val="00D649A8"/>
    <w:rsid w:val="00DD2AE1"/>
    <w:rsid w:val="00DE4F59"/>
    <w:rsid w:val="00DF5C33"/>
    <w:rsid w:val="00EB088A"/>
    <w:rsid w:val="00F03659"/>
    <w:rsid w:val="00F51FF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E031B"/>
  <w15:docId w15:val="{AE417069-947A-42A3-A2EF-CABA98C0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3324"/>
    <w:pPr>
      <w:jc w:val="left"/>
    </w:pPr>
    <w:rPr>
      <w:rFonts w:ascii="Arial" w:eastAsiaTheme="minorEastAsia" w:hAnsi="Arial"/>
      <w:sz w:val="24"/>
      <w:szCs w:val="24"/>
      <w:lang w:val="it-CH" w:eastAsia="it-IT"/>
    </w:rPr>
  </w:style>
  <w:style w:type="paragraph" w:styleId="Titolo1">
    <w:name w:val="heading 1"/>
    <w:basedOn w:val="Normale"/>
    <w:next w:val="Normale"/>
    <w:link w:val="Titolo1Carattere"/>
    <w:qFormat/>
    <w:rsid w:val="006F0D42"/>
    <w:pPr>
      <w:keepNext/>
      <w:spacing w:before="240" w:after="120"/>
      <w:outlineLvl w:val="0"/>
    </w:pPr>
    <w:rPr>
      <w:rFonts w:eastAsiaTheme="minorHAnsi"/>
      <w:b/>
      <w:sz w:val="22"/>
      <w:szCs w:val="22"/>
      <w:lang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jc w:val="both"/>
      <w:outlineLvl w:val="4"/>
    </w:pPr>
    <w:rPr>
      <w:rFonts w:eastAsiaTheme="majorEastAsia" w:cstheme="majorBidi"/>
      <w:b/>
      <w:color w:val="365F91"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6F0D42"/>
    <w:pPr>
      <w:keepNext/>
      <w:keepLines/>
      <w:spacing w:before="40"/>
      <w:jc w:val="both"/>
      <w:outlineLvl w:val="5"/>
    </w:pPr>
    <w:rPr>
      <w:rFonts w:eastAsiaTheme="majorEastAsia" w:cstheme="majorBidi"/>
      <w:b/>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6F0D42"/>
    <w:pPr>
      <w:keepNext/>
      <w:keepLines/>
      <w:spacing w:before="40"/>
      <w:jc w:val="both"/>
      <w:outlineLvl w:val="6"/>
    </w:pPr>
    <w:rPr>
      <w:rFonts w:eastAsiaTheme="majorEastAsia" w:cstheme="majorBidi"/>
      <w:b/>
      <w:i/>
      <w:iCs/>
      <w:color w:val="243F60"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6F0D42"/>
    <w:pPr>
      <w:keepNext/>
      <w:keepLines/>
      <w:spacing w:before="40"/>
      <w:jc w:val="both"/>
      <w:outlineLvl w:val="7"/>
    </w:pPr>
    <w:rPr>
      <w:rFonts w:eastAsiaTheme="majorEastAsia" w:cstheme="majorBidi"/>
      <w:color w:val="272727" w:themeColor="text1" w:themeTint="D8"/>
      <w:sz w:val="22"/>
      <w:szCs w:val="21"/>
      <w:lang w:eastAsia="en-US"/>
    </w:rPr>
  </w:style>
  <w:style w:type="paragraph" w:styleId="Titolo9">
    <w:name w:val="heading 9"/>
    <w:basedOn w:val="Normale"/>
    <w:next w:val="Normale"/>
    <w:link w:val="Titolo9Carattere"/>
    <w:uiPriority w:val="9"/>
    <w:semiHidden/>
    <w:unhideWhenUsed/>
    <w:qFormat/>
    <w:rsid w:val="006F0D42"/>
    <w:pPr>
      <w:keepNext/>
      <w:keepLines/>
      <w:spacing w:before="40"/>
      <w:jc w:val="both"/>
      <w:outlineLvl w:val="8"/>
    </w:pPr>
    <w:rPr>
      <w:rFonts w:eastAsiaTheme="majorEastAsia" w:cstheme="majorBidi"/>
      <w:i/>
      <w:iCs/>
      <w:color w:val="272727" w:themeColor="text1" w:themeTint="D8"/>
      <w:sz w:val="22"/>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jc w:val="both"/>
    </w:pPr>
    <w:rPr>
      <w:rFonts w:eastAsiaTheme="minorHAnsi"/>
      <w:b/>
      <w:sz w:val="22"/>
      <w:szCs w:val="22"/>
      <w:lang w:eastAsia="en-US"/>
    </w:rPr>
  </w:style>
  <w:style w:type="paragraph" w:styleId="Titolo">
    <w:name w:val="Title"/>
    <w:aliases w:val="NotYetCustomized2178"/>
    <w:basedOn w:val="Normale"/>
    <w:next w:val="Normale"/>
    <w:link w:val="TitoloCarattere"/>
    <w:uiPriority w:val="10"/>
    <w:qFormat/>
    <w:rsid w:val="00BC7BF9"/>
    <w:rPr>
      <w:rFonts w:asciiTheme="majorHAnsi" w:eastAsiaTheme="minorHAnsi" w:hAnsiTheme="majorHAnsi"/>
      <w:b/>
      <w:sz w:val="32"/>
      <w:szCs w:val="22"/>
      <w:lang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eastAsiaTheme="minorHAnsi" w:hAnsiTheme="majorHAnsi"/>
      <w:b/>
      <w:sz w:val="22"/>
      <w:szCs w:val="22"/>
      <w:lang w:eastAsia="en-US"/>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jc w:val="both"/>
    </w:pPr>
    <w:rPr>
      <w:rFonts w:eastAsiaTheme="minorHAnsi"/>
      <w:sz w:val="22"/>
      <w:szCs w:val="22"/>
      <w:lang w:eastAsia="en-US"/>
    </w:rPr>
  </w:style>
  <w:style w:type="paragraph" w:styleId="Paragrafoelenco">
    <w:name w:val="List Paragraph"/>
    <w:basedOn w:val="Normale"/>
    <w:uiPriority w:val="34"/>
    <w:rsid w:val="004D7849"/>
    <w:pPr>
      <w:ind w:left="720"/>
      <w:contextualSpacing/>
      <w:jc w:val="both"/>
    </w:pPr>
    <w:rPr>
      <w:rFonts w:eastAsiaTheme="minorHAnsi"/>
      <w:sz w:val="22"/>
      <w:szCs w:val="22"/>
      <w:lang w:eastAsia="en-US"/>
    </w:rPr>
  </w:style>
  <w:style w:type="paragraph" w:customStyle="1" w:styleId="ListNumeric">
    <w:name w:val="ListNumeric"/>
    <w:basedOn w:val="Normale"/>
    <w:rsid w:val="008C0661"/>
    <w:pPr>
      <w:numPr>
        <w:numId w:val="7"/>
      </w:numPr>
      <w:contextualSpacing/>
      <w:jc w:val="both"/>
    </w:pPr>
    <w:rPr>
      <w:rFonts w:eastAsiaTheme="minorHAnsi"/>
      <w:sz w:val="22"/>
      <w:szCs w:val="22"/>
      <w:lang w:eastAsia="en-US"/>
    </w:rPr>
  </w:style>
  <w:style w:type="paragraph" w:customStyle="1" w:styleId="ListLine">
    <w:name w:val="ListLine"/>
    <w:basedOn w:val="Normale"/>
    <w:rsid w:val="008C0661"/>
    <w:pPr>
      <w:numPr>
        <w:numId w:val="6"/>
      </w:numPr>
      <w:contextualSpacing/>
      <w:jc w:val="both"/>
    </w:pPr>
    <w:rPr>
      <w:rFonts w:eastAsiaTheme="minorHAnsi"/>
      <w:sz w:val="22"/>
      <w:szCs w:val="22"/>
      <w:lang w:eastAsia="en-US"/>
    </w:rPr>
  </w:style>
  <w:style w:type="paragraph" w:customStyle="1" w:styleId="ListBullet">
    <w:name w:val="ListBullet"/>
    <w:basedOn w:val="Normale"/>
    <w:rsid w:val="008C0661"/>
    <w:pPr>
      <w:numPr>
        <w:numId w:val="5"/>
      </w:numPr>
      <w:contextualSpacing/>
      <w:jc w:val="both"/>
    </w:pPr>
    <w:rPr>
      <w:rFonts w:eastAsiaTheme="minorHAnsi"/>
      <w:sz w:val="22"/>
      <w:szCs w:val="22"/>
      <w:lang w:eastAsia="en-US"/>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rFonts w:eastAsiaTheme="minorHAnsi"/>
      <w:b/>
      <w:sz w:val="22"/>
      <w:szCs w:val="22"/>
      <w:lang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rPr>
      <w:rFonts w:eastAsiaTheme="minorHAnsi"/>
      <w:sz w:val="22"/>
      <w:szCs w:val="22"/>
      <w:lang w:eastAsia="en-US"/>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rPr>
      <w:rFonts w:eastAsiaTheme="minorHAnsi"/>
      <w:sz w:val="22"/>
      <w:szCs w:val="22"/>
      <w:lang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jc w:val="both"/>
    </w:pPr>
    <w:rPr>
      <w:rFonts w:eastAsiaTheme="minorHAnsi"/>
      <w:sz w:val="22"/>
      <w:szCs w:val="22"/>
      <w:lang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jc w:val="both"/>
    </w:pPr>
    <w:rPr>
      <w:rFonts w:eastAsiaTheme="minorHAnsi"/>
      <w:sz w:val="22"/>
      <w:szCs w:val="22"/>
      <w:lang w:eastAsia="en-US"/>
    </w:rPr>
  </w:style>
  <w:style w:type="paragraph" w:customStyle="1" w:styleId="Sender">
    <w:name w:val="Sender"/>
    <w:basedOn w:val="Normale"/>
    <w:rsid w:val="00B33B5E"/>
    <w:pPr>
      <w:spacing w:line="204" w:lineRule="auto"/>
      <w:jc w:val="right"/>
    </w:pPr>
    <w:rPr>
      <w:rFonts w:ascii="Gill Alt One MT Light" w:eastAsiaTheme="minorHAnsi" w:hAnsi="Gill Alt One MT Light"/>
      <w:sz w:val="16"/>
      <w:szCs w:val="22"/>
      <w:lang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rPr>
      <w:rFonts w:eastAsiaTheme="minorHAnsi"/>
      <w:sz w:val="22"/>
      <w:szCs w:val="22"/>
      <w:lang w:eastAsia="en-US"/>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rPr>
      <w:rFonts w:eastAsiaTheme="minorHAnsi"/>
      <w:sz w:val="22"/>
      <w:szCs w:val="22"/>
      <w:lang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eastAsiaTheme="minorHAnsi" w:hAnsi="Gill Sans MT Pro Light"/>
      <w:sz w:val="16"/>
      <w:szCs w:val="22"/>
      <w:lang w:eastAsia="en-US"/>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eastAsiaTheme="minorHAnsi" w:hAnsi="Gill Sans Display MT Pro BdCn"/>
      <w:sz w:val="22"/>
      <w:szCs w:val="22"/>
      <w:lang w:eastAsia="en-US"/>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rPr>
      <w:rFonts w:eastAsiaTheme="minorHAnsi"/>
      <w:sz w:val="22"/>
      <w:szCs w:val="22"/>
      <w:lang w:eastAsia="en-US"/>
    </w:rPr>
  </w:style>
  <w:style w:type="paragraph" w:customStyle="1" w:styleId="StandardRisoluzionedelConsigliodiStato">
    <w:name w:val="StandardRisoluzionedelConsigliodiStato"/>
    <w:basedOn w:val="Normale"/>
    <w:qFormat/>
    <w:rsid w:val="00FA1872"/>
    <w:pPr>
      <w:jc w:val="both"/>
    </w:pPr>
    <w:rPr>
      <w:rFonts w:eastAsiaTheme="minorHAnsi"/>
      <w:szCs w:val="22"/>
      <w:lang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Corpotesto">
    <w:name w:val="Body Text"/>
    <w:basedOn w:val="Normale"/>
    <w:link w:val="CorpotestoCarattere"/>
    <w:rsid w:val="009D3324"/>
    <w:pPr>
      <w:tabs>
        <w:tab w:val="left" w:pos="284"/>
        <w:tab w:val="left" w:pos="426"/>
        <w:tab w:val="left" w:pos="4962"/>
      </w:tabs>
      <w:jc w:val="both"/>
    </w:pPr>
    <w:rPr>
      <w:rFonts w:eastAsia="Times New Roman" w:cs="Times New Roman"/>
      <w:szCs w:val="20"/>
      <w:lang w:val="it-IT"/>
    </w:rPr>
  </w:style>
  <w:style w:type="character" w:customStyle="1" w:styleId="CorpotestoCarattere">
    <w:name w:val="Corpo testo Carattere"/>
    <w:basedOn w:val="Carpredefinitoparagrafo"/>
    <w:link w:val="Corpotesto"/>
    <w:rsid w:val="009D3324"/>
    <w:rPr>
      <w:rFonts w:ascii="Arial" w:eastAsia="Times New Roman" w:hAnsi="Arial" w:cs="Times New Roman"/>
      <w:sz w:val="24"/>
      <w:szCs w:val="20"/>
      <w:lang w:val="it-IT" w:eastAsia="it-IT"/>
    </w:rPr>
  </w:style>
  <w:style w:type="paragraph" w:customStyle="1" w:styleId="Default">
    <w:name w:val="Default"/>
    <w:rsid w:val="009D3324"/>
    <w:pPr>
      <w:autoSpaceDE w:val="0"/>
      <w:autoSpaceDN w:val="0"/>
      <w:adjustRightInd w:val="0"/>
      <w:jc w:val="left"/>
    </w:pPr>
    <w:rPr>
      <w:rFonts w:ascii="Arial" w:hAnsi="Arial" w:cs="Arial"/>
      <w:color w:val="000000"/>
      <w:sz w:val="24"/>
      <w:szCs w:val="24"/>
      <w:lang w:val="it-CH"/>
    </w:rPr>
  </w:style>
  <w:style w:type="paragraph" w:styleId="Testofumetto">
    <w:name w:val="Balloon Text"/>
    <w:basedOn w:val="Normale"/>
    <w:link w:val="TestofumettoCarattere"/>
    <w:uiPriority w:val="99"/>
    <w:semiHidden/>
    <w:unhideWhenUsed/>
    <w:rsid w:val="002B6C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CDA"/>
    <w:rPr>
      <w:rFonts w:ascii="Segoe UI" w:eastAsiaTheme="minorEastAsia"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d82c20b-f2aa-4bf9-ae3d-a1d2188289f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1880697369</Id>
      <Width>0</Width>
      <Height>0</Height>
      <XPath>//Image[@id='Profile.Org.WappenSW']</XPath>
      <ImageHash>02f1c0cdac6aeac316213b2e7cb733a0</ImageHash>
    </ImageSizeDefinition>
    <ImageSizeDefinition>
      <Id>2108579376</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1 f d c 7 5 8 - a 2 7 c - 4 2 a 1 - 9 5 8 a - a c 7 7 b b 0 3 7 4 d 7 "   t I d = " a 3 6 2 a 5 d 4 - 9 5 8 9 - 4 1 b f - a 4 e 6 - 4 f 8 7 c 4 e 4 1 2 3 9 "   i n t e r n a l T I d = " 9 0 6 4 c c 7 f - 3 1 6 d - 4 6 b 1 - a 4 a c - 7 4 8 6 0 c 3 f 8 a 5 b "   m t I d = " 2 7 5 a f 3 2 e - b c 4 0 - 4 5 c 2 - 8 5 b 7 - a f b 1 c 0 3 8 2 6 5 3 "   r e v i s i o n = " 0 "   c r e a t e d m a j o r v e r s i o n = " 0 "   c r e a t e d m i n o r v e r s i o n = " 0 "   c r e a t e d = " 2 0 2 2 - 1 1 - 2 8 T 1 3 : 5 3 : 1 8 . 9 0 5 3 3 2 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 2 0 2 2 - 1 1 - 2 8 T 0 0 : 0 0 : 0 0 Z < / D a t e T i m e >  
                 < T e x t   i d = " D o c P a r a m . N u m b e r " > < ! [ C D A T A [   ] ] > < / 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e l   2 8   n o v e m b r e 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d e l   2 8 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3771E6A-C750-4D32-A204-E9F87C4DC16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0EDCFDD-B5F3-4F03-97D6-27EB9EFDC35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7d82c20b-f2aa-4bf9-ae3d-a1d2188289ff.dotx</Template>
  <TotalTime>29</TotalTime>
  <Pages>3</Pages>
  <Words>883</Words>
  <Characters>5101</Characters>
  <Application>Microsoft Office Word</Application>
  <DocSecurity>0</DocSecurity>
  <Lines>221</Lines>
  <Paragraphs>127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2022-11-29T15:19:00Z</cp:lastPrinted>
  <dcterms:created xsi:type="dcterms:W3CDTF">2022-11-28T13:53:00Z</dcterms:created>
  <dcterms:modified xsi:type="dcterms:W3CDTF">2022-11-29T15:19:00Z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