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2C1" w:rsidRDefault="00CF32C1" w:rsidP="00CF32C1">
      <w:pPr>
        <w:suppressAutoHyphens/>
        <w:rPr>
          <w:rFonts w:cs="Arial"/>
          <w:b/>
          <w:sz w:val="28"/>
          <w:szCs w:val="28"/>
        </w:rPr>
      </w:pPr>
      <w:r w:rsidRPr="00CF32C1">
        <w:rPr>
          <w:rFonts w:cs="Arial"/>
          <w:b/>
          <w:sz w:val="28"/>
          <w:szCs w:val="28"/>
        </w:rPr>
        <w:t xml:space="preserve">della </w:t>
      </w:r>
      <w:r>
        <w:rPr>
          <w:rFonts w:cs="Arial"/>
          <w:b/>
          <w:sz w:val="28"/>
          <w:szCs w:val="28"/>
        </w:rPr>
        <w:t>Commissione ambiente, territorio ed energia</w:t>
      </w:r>
    </w:p>
    <w:p w:rsidR="00CF32C1" w:rsidRPr="00CF32C1" w:rsidRDefault="00CF32C1" w:rsidP="00CF32C1">
      <w:pPr>
        <w:suppressAutoHyphens/>
        <w:rPr>
          <w:rFonts w:cs="Arial"/>
          <w:b/>
          <w:sz w:val="28"/>
          <w:szCs w:val="28"/>
        </w:rPr>
      </w:pPr>
      <w:r w:rsidRPr="00CF32C1">
        <w:rPr>
          <w:rFonts w:cs="Arial"/>
          <w:b/>
          <w:sz w:val="28"/>
          <w:szCs w:val="28"/>
        </w:rPr>
        <w:t xml:space="preserve">sul messaggio 12 ottobre 2022 </w:t>
      </w:r>
      <w:r>
        <w:rPr>
          <w:rFonts w:cs="Arial"/>
          <w:b/>
          <w:sz w:val="28"/>
          <w:szCs w:val="28"/>
        </w:rPr>
        <w:t>concernente l’a</w:t>
      </w:r>
      <w:r w:rsidRPr="00CF32C1">
        <w:rPr>
          <w:rFonts w:cs="Arial"/>
          <w:b/>
          <w:sz w:val="28"/>
          <w:szCs w:val="28"/>
        </w:rPr>
        <w:t xml:space="preserve">pprovazione del progetto integrale per gli interventi </w:t>
      </w:r>
      <w:proofErr w:type="spellStart"/>
      <w:r w:rsidRPr="00CF32C1">
        <w:rPr>
          <w:rFonts w:cs="Arial"/>
          <w:b/>
          <w:sz w:val="28"/>
          <w:szCs w:val="28"/>
        </w:rPr>
        <w:t>selvicolturali</w:t>
      </w:r>
      <w:proofErr w:type="spellEnd"/>
      <w:r w:rsidRPr="00CF32C1">
        <w:rPr>
          <w:rFonts w:cs="Arial"/>
          <w:b/>
          <w:sz w:val="28"/>
          <w:szCs w:val="28"/>
        </w:rPr>
        <w:t xml:space="preserve"> nel bosco di protezione nella parte alta del bacino del Rial Grande di Avegno e per la costruzione di un piazzale di esbosco a valle di </w:t>
      </w:r>
      <w:proofErr w:type="spellStart"/>
      <w:r w:rsidRPr="00CF32C1">
        <w:rPr>
          <w:rFonts w:cs="Arial"/>
          <w:b/>
          <w:sz w:val="28"/>
          <w:szCs w:val="28"/>
        </w:rPr>
        <w:t>Vegnasca</w:t>
      </w:r>
      <w:proofErr w:type="spellEnd"/>
      <w:r w:rsidRPr="00CF32C1">
        <w:rPr>
          <w:rFonts w:cs="Arial"/>
          <w:b/>
          <w:sz w:val="28"/>
          <w:szCs w:val="28"/>
        </w:rPr>
        <w:t xml:space="preserve">, nel Comune di Avegno </w:t>
      </w:r>
      <w:proofErr w:type="spellStart"/>
      <w:r w:rsidRPr="00CF32C1">
        <w:rPr>
          <w:rFonts w:cs="Arial"/>
          <w:b/>
          <w:sz w:val="28"/>
          <w:szCs w:val="28"/>
        </w:rPr>
        <w:t>Gordevio</w:t>
      </w:r>
      <w:proofErr w:type="spellEnd"/>
      <w:r w:rsidRPr="00CF32C1">
        <w:rPr>
          <w:rFonts w:cs="Arial"/>
          <w:b/>
          <w:sz w:val="28"/>
          <w:szCs w:val="28"/>
        </w:rPr>
        <w:t>, e lo stanziamento di un credito di 983'050 franchi quale sussidio cantonale, rispettivamente l’autorizzazione alla spesa di 1'424'000 franchi quale sussidio complessivo cantonale e federale”</w:t>
      </w:r>
    </w:p>
    <w:p w:rsidR="00CF32C1" w:rsidRDefault="00CF32C1" w:rsidP="00CF32C1">
      <w:pPr>
        <w:suppressAutoHyphens/>
        <w:autoSpaceDE w:val="0"/>
        <w:autoSpaceDN w:val="0"/>
        <w:adjustRightInd w:val="0"/>
        <w:rPr>
          <w:rFonts w:cs="Arial"/>
          <w:sz w:val="24"/>
          <w:szCs w:val="24"/>
        </w:rPr>
      </w:pPr>
    </w:p>
    <w:p w:rsidR="00F131B9" w:rsidRPr="00CF32C1" w:rsidRDefault="00F131B9" w:rsidP="00CF32C1">
      <w:pPr>
        <w:suppressAutoHyphens/>
        <w:autoSpaceDE w:val="0"/>
        <w:autoSpaceDN w:val="0"/>
        <w:adjustRightInd w:val="0"/>
        <w:rPr>
          <w:rFonts w:cs="Arial"/>
          <w:sz w:val="24"/>
          <w:szCs w:val="24"/>
        </w:rPr>
      </w:pPr>
    </w:p>
    <w:p w:rsidR="00CF32C1" w:rsidRPr="00CF32C1" w:rsidRDefault="00CF32C1" w:rsidP="00CF32C1">
      <w:pPr>
        <w:suppressAutoHyphens/>
        <w:autoSpaceDE w:val="0"/>
        <w:autoSpaceDN w:val="0"/>
        <w:adjustRightInd w:val="0"/>
        <w:rPr>
          <w:rFonts w:cs="Arial"/>
          <w:sz w:val="24"/>
          <w:szCs w:val="24"/>
        </w:rPr>
      </w:pPr>
    </w:p>
    <w:p w:rsidR="00CF32C1" w:rsidRPr="00CF32C1" w:rsidRDefault="00CF32C1" w:rsidP="00F131B9">
      <w:pPr>
        <w:pStyle w:val="Titolo1"/>
        <w:numPr>
          <w:ilvl w:val="0"/>
          <w:numId w:val="18"/>
        </w:numPr>
        <w:tabs>
          <w:tab w:val="left" w:pos="567"/>
        </w:tabs>
        <w:spacing w:before="0"/>
        <w:ind w:left="567" w:hanging="567"/>
        <w:jc w:val="both"/>
        <w:rPr>
          <w:rFonts w:eastAsia="Calibri" w:cs="Times New Roman"/>
          <w:caps/>
          <w:sz w:val="24"/>
          <w:szCs w:val="24"/>
          <w:lang w:val="it-IT" w:eastAsia="it-IT"/>
        </w:rPr>
      </w:pPr>
      <w:bookmarkStart w:id="0" w:name="_Toc103153903"/>
      <w:r w:rsidRPr="00CF32C1">
        <w:rPr>
          <w:rFonts w:eastAsia="Calibri" w:cs="Times New Roman"/>
          <w:caps/>
          <w:sz w:val="24"/>
          <w:szCs w:val="24"/>
          <w:lang w:val="it-IT" w:eastAsia="it-IT"/>
        </w:rPr>
        <w:t xml:space="preserve">IL MESSAGGIO </w:t>
      </w:r>
      <w:r w:rsidR="00F131B9">
        <w:rPr>
          <w:rFonts w:eastAsia="Calibri" w:cs="Times New Roman"/>
          <w:caps/>
          <w:sz w:val="24"/>
          <w:szCs w:val="24"/>
          <w:lang w:val="it-IT" w:eastAsia="it-IT"/>
        </w:rPr>
        <w:t xml:space="preserve">N. </w:t>
      </w:r>
      <w:r w:rsidRPr="00CF32C1">
        <w:rPr>
          <w:rFonts w:eastAsia="Calibri" w:cs="Times New Roman"/>
          <w:caps/>
          <w:sz w:val="24"/>
          <w:szCs w:val="24"/>
          <w:lang w:val="it-IT" w:eastAsia="it-IT"/>
        </w:rPr>
        <w:t>8200</w:t>
      </w:r>
      <w:bookmarkEnd w:id="0"/>
    </w:p>
    <w:p w:rsidR="00CF32C1" w:rsidRDefault="00F131B9" w:rsidP="00F131B9">
      <w:pPr>
        <w:suppressAutoHyphens/>
        <w:rPr>
          <w:sz w:val="24"/>
          <w:szCs w:val="24"/>
        </w:rPr>
      </w:pPr>
      <w:r>
        <w:rPr>
          <w:sz w:val="24"/>
          <w:szCs w:val="24"/>
        </w:rPr>
        <w:t>Il m</w:t>
      </w:r>
      <w:r w:rsidR="00CF32C1" w:rsidRPr="00CF32C1">
        <w:rPr>
          <w:sz w:val="24"/>
          <w:szCs w:val="24"/>
        </w:rPr>
        <w:t xml:space="preserve">essaggio riguarda il Decreto legislativo concernente il finanziamento di un importante progetto integrale per interventi </w:t>
      </w:r>
      <w:proofErr w:type="spellStart"/>
      <w:r w:rsidR="00CF32C1" w:rsidRPr="00CF32C1">
        <w:rPr>
          <w:sz w:val="24"/>
          <w:szCs w:val="24"/>
        </w:rPr>
        <w:t>selvicolturali</w:t>
      </w:r>
      <w:proofErr w:type="spellEnd"/>
      <w:r w:rsidR="00CF32C1" w:rsidRPr="00CF32C1">
        <w:rPr>
          <w:sz w:val="24"/>
          <w:szCs w:val="24"/>
        </w:rPr>
        <w:t xml:space="preserve"> nel bosco di protezione nella parte alta del bacino del Rial Grande di Avegno e per la costruzione di un piazzale di esbosco a valle di </w:t>
      </w:r>
      <w:proofErr w:type="spellStart"/>
      <w:r w:rsidR="00CF32C1" w:rsidRPr="00CF32C1">
        <w:rPr>
          <w:sz w:val="24"/>
          <w:szCs w:val="24"/>
        </w:rPr>
        <w:t>Vegnasca</w:t>
      </w:r>
      <w:proofErr w:type="spellEnd"/>
      <w:r w:rsidR="00CF32C1" w:rsidRPr="00CF32C1">
        <w:rPr>
          <w:sz w:val="24"/>
          <w:szCs w:val="24"/>
        </w:rPr>
        <w:t xml:space="preserve">, nel Comune di Avegno </w:t>
      </w:r>
      <w:proofErr w:type="spellStart"/>
      <w:r w:rsidR="00CF32C1" w:rsidRPr="00CF32C1">
        <w:rPr>
          <w:sz w:val="24"/>
          <w:szCs w:val="24"/>
        </w:rPr>
        <w:t>Gordevio</w:t>
      </w:r>
      <w:proofErr w:type="spellEnd"/>
      <w:r w:rsidR="00CF32C1" w:rsidRPr="00CF32C1">
        <w:rPr>
          <w:sz w:val="24"/>
          <w:szCs w:val="24"/>
        </w:rPr>
        <w:t>.</w:t>
      </w:r>
    </w:p>
    <w:p w:rsidR="00F131B9" w:rsidRPr="00CF32C1" w:rsidRDefault="00F131B9" w:rsidP="00F131B9">
      <w:pPr>
        <w:suppressAutoHyphens/>
        <w:rPr>
          <w:sz w:val="24"/>
          <w:szCs w:val="24"/>
        </w:rPr>
      </w:pPr>
    </w:p>
    <w:p w:rsidR="00CF32C1" w:rsidRPr="00CF32C1" w:rsidRDefault="00CF32C1" w:rsidP="00CF32C1">
      <w:pPr>
        <w:suppressAutoHyphens/>
        <w:rPr>
          <w:sz w:val="24"/>
          <w:szCs w:val="24"/>
        </w:rPr>
      </w:pPr>
      <w:r w:rsidRPr="00CF32C1">
        <w:rPr>
          <w:sz w:val="24"/>
          <w:szCs w:val="24"/>
        </w:rPr>
        <w:t>Si tratta di un importante progetto integrale di selvicoltura e di miglioramento dell’infrastruttura forestale che prevede la cura di 78.59 ettari (ha) di bosco di protezione, composto prevalentemente da popolamenti di faggio. Lo scopo del progetto è di migliorare la sicurezza del territorio in caso di fenomeni pericolosi quali scoscendimenti, valanghe e alluvioni. Il bosco riveste un ruolo di protezione diretta su:</w:t>
      </w:r>
    </w:p>
    <w:p w:rsidR="00CF32C1" w:rsidRPr="00CF32C1" w:rsidRDefault="00CF32C1" w:rsidP="00F131B9">
      <w:pPr>
        <w:numPr>
          <w:ilvl w:val="0"/>
          <w:numId w:val="20"/>
        </w:numPr>
        <w:suppressAutoHyphens/>
        <w:spacing w:before="60" w:after="60"/>
        <w:ind w:left="357" w:hanging="357"/>
        <w:rPr>
          <w:rFonts w:eastAsia="Times New Roman" w:cs="Arial"/>
          <w:sz w:val="24"/>
          <w:szCs w:val="20"/>
          <w:lang w:val="it-IT" w:eastAsia="it-IT"/>
        </w:rPr>
      </w:pPr>
      <w:r w:rsidRPr="00CF32C1">
        <w:rPr>
          <w:rFonts w:eastAsia="Times New Roman" w:cs="Arial"/>
          <w:sz w:val="24"/>
          <w:szCs w:val="20"/>
          <w:lang w:val="it-IT" w:eastAsia="it-IT"/>
        </w:rPr>
        <w:t xml:space="preserve">l’abitato di Avegno </w:t>
      </w:r>
    </w:p>
    <w:p w:rsidR="00CF32C1" w:rsidRPr="00CF32C1" w:rsidRDefault="00CF32C1" w:rsidP="00F131B9">
      <w:pPr>
        <w:numPr>
          <w:ilvl w:val="0"/>
          <w:numId w:val="20"/>
        </w:numPr>
        <w:suppressAutoHyphens/>
        <w:spacing w:before="60" w:after="60"/>
        <w:rPr>
          <w:rFonts w:eastAsia="Times New Roman" w:cs="Arial"/>
          <w:sz w:val="24"/>
          <w:szCs w:val="20"/>
          <w:lang w:val="it-IT" w:eastAsia="it-IT"/>
        </w:rPr>
      </w:pPr>
      <w:r w:rsidRPr="00CF32C1">
        <w:rPr>
          <w:rFonts w:eastAsia="Times New Roman" w:cs="Arial"/>
          <w:sz w:val="24"/>
          <w:szCs w:val="20"/>
          <w:lang w:val="it-IT" w:eastAsia="it-IT"/>
        </w:rPr>
        <w:t>le infrastrutture artigianali e commerciali</w:t>
      </w:r>
    </w:p>
    <w:p w:rsidR="00CF32C1" w:rsidRPr="00CF32C1" w:rsidRDefault="00CF32C1" w:rsidP="00F131B9">
      <w:pPr>
        <w:numPr>
          <w:ilvl w:val="0"/>
          <w:numId w:val="20"/>
        </w:numPr>
        <w:suppressAutoHyphens/>
        <w:spacing w:before="60" w:after="60"/>
        <w:rPr>
          <w:rFonts w:eastAsia="Times New Roman" w:cs="Arial"/>
          <w:sz w:val="24"/>
          <w:szCs w:val="20"/>
          <w:lang w:val="it-IT" w:eastAsia="it-IT"/>
        </w:rPr>
      </w:pPr>
      <w:r w:rsidRPr="00CF32C1">
        <w:rPr>
          <w:rFonts w:eastAsia="Times New Roman" w:cs="Arial"/>
          <w:sz w:val="24"/>
          <w:szCs w:val="20"/>
          <w:lang w:val="it-IT" w:eastAsia="it-IT"/>
        </w:rPr>
        <w:t xml:space="preserve">la strada cantonale della </w:t>
      </w:r>
      <w:proofErr w:type="spellStart"/>
      <w:r w:rsidRPr="00CF32C1">
        <w:rPr>
          <w:rFonts w:eastAsia="Times New Roman" w:cs="Arial"/>
          <w:sz w:val="24"/>
          <w:szCs w:val="20"/>
          <w:lang w:val="it-IT" w:eastAsia="it-IT"/>
        </w:rPr>
        <w:t>Vallemaggia</w:t>
      </w:r>
      <w:proofErr w:type="spellEnd"/>
    </w:p>
    <w:p w:rsidR="00CF32C1" w:rsidRPr="00CF32C1" w:rsidRDefault="00CF32C1" w:rsidP="00F131B9">
      <w:pPr>
        <w:numPr>
          <w:ilvl w:val="0"/>
          <w:numId w:val="20"/>
        </w:numPr>
        <w:suppressAutoHyphens/>
        <w:spacing w:before="60" w:after="60"/>
        <w:rPr>
          <w:rFonts w:eastAsia="Times New Roman" w:cs="Arial"/>
          <w:sz w:val="24"/>
          <w:szCs w:val="20"/>
          <w:lang w:val="it-IT" w:eastAsia="it-IT"/>
        </w:rPr>
      </w:pPr>
      <w:r w:rsidRPr="00CF32C1">
        <w:rPr>
          <w:rFonts w:eastAsia="Times New Roman" w:cs="Arial"/>
          <w:sz w:val="24"/>
          <w:szCs w:val="20"/>
          <w:lang w:val="it-IT" w:eastAsia="it-IT"/>
        </w:rPr>
        <w:t>le strade comunali</w:t>
      </w:r>
    </w:p>
    <w:p w:rsidR="00CF32C1" w:rsidRDefault="00CF32C1" w:rsidP="00F131B9">
      <w:pPr>
        <w:numPr>
          <w:ilvl w:val="0"/>
          <w:numId w:val="20"/>
        </w:numPr>
        <w:suppressAutoHyphens/>
        <w:spacing w:before="60"/>
        <w:ind w:left="357" w:hanging="357"/>
        <w:rPr>
          <w:rFonts w:eastAsia="Times New Roman" w:cs="Arial"/>
          <w:sz w:val="24"/>
          <w:szCs w:val="20"/>
          <w:lang w:val="it-IT" w:eastAsia="it-IT"/>
        </w:rPr>
      </w:pPr>
      <w:r w:rsidRPr="00CF32C1">
        <w:rPr>
          <w:rFonts w:eastAsia="Times New Roman" w:cs="Arial"/>
          <w:sz w:val="24"/>
          <w:szCs w:val="20"/>
          <w:lang w:val="it-IT" w:eastAsia="it-IT"/>
        </w:rPr>
        <w:t xml:space="preserve">le infrastrutture presenti all’Alpe </w:t>
      </w:r>
      <w:proofErr w:type="spellStart"/>
      <w:r w:rsidRPr="00CF32C1">
        <w:rPr>
          <w:rFonts w:eastAsia="Times New Roman" w:cs="Arial"/>
          <w:sz w:val="24"/>
          <w:szCs w:val="20"/>
          <w:lang w:val="it-IT" w:eastAsia="it-IT"/>
        </w:rPr>
        <w:t>Vegnasca</w:t>
      </w:r>
      <w:proofErr w:type="spellEnd"/>
    </w:p>
    <w:p w:rsidR="00F131B9" w:rsidRPr="00CF32C1" w:rsidRDefault="00F131B9" w:rsidP="00F131B9">
      <w:pPr>
        <w:suppressAutoHyphens/>
        <w:spacing w:before="60"/>
        <w:ind w:left="357"/>
        <w:rPr>
          <w:rFonts w:eastAsia="Times New Roman" w:cs="Arial"/>
          <w:sz w:val="24"/>
          <w:szCs w:val="20"/>
          <w:lang w:val="it-IT" w:eastAsia="it-IT"/>
        </w:rPr>
      </w:pPr>
    </w:p>
    <w:p w:rsidR="00CF32C1" w:rsidRPr="00CF32C1" w:rsidRDefault="00CF32C1" w:rsidP="00CF32C1">
      <w:pPr>
        <w:suppressAutoHyphens/>
        <w:rPr>
          <w:sz w:val="24"/>
          <w:szCs w:val="24"/>
        </w:rPr>
      </w:pPr>
      <w:r w:rsidRPr="00CF32C1">
        <w:rPr>
          <w:sz w:val="24"/>
          <w:szCs w:val="24"/>
        </w:rPr>
        <w:t xml:space="preserve">Si intende inoltre migliorare le infrastrutture di allacciamento (costruzione di un piazzale di esbosco a valle di </w:t>
      </w:r>
      <w:proofErr w:type="spellStart"/>
      <w:r w:rsidRPr="00CF32C1">
        <w:rPr>
          <w:sz w:val="24"/>
          <w:szCs w:val="24"/>
        </w:rPr>
        <w:t>Vegnasca</w:t>
      </w:r>
      <w:proofErr w:type="spellEnd"/>
      <w:r w:rsidRPr="00CF32C1">
        <w:rPr>
          <w:sz w:val="24"/>
          <w:szCs w:val="24"/>
        </w:rPr>
        <w:t>) in modo da permettere l’esbosco del legname con l’ausilio della teleferica forestale, metodo operativo che, grazie alla morfologia del terreno e alla struttura dei popolamenti presenti, risulta essere particolarmente idoneo e più ecologico rispetto all’elicottero.</w:t>
      </w:r>
    </w:p>
    <w:p w:rsidR="00CF32C1" w:rsidRPr="00CF32C1" w:rsidRDefault="00CF32C1" w:rsidP="00CF32C1">
      <w:pPr>
        <w:suppressAutoHyphens/>
        <w:rPr>
          <w:sz w:val="24"/>
          <w:szCs w:val="24"/>
        </w:rPr>
      </w:pPr>
    </w:p>
    <w:p w:rsidR="00CF32C1" w:rsidRPr="00CF32C1" w:rsidRDefault="00CF32C1" w:rsidP="00CF32C1">
      <w:pPr>
        <w:suppressAutoHyphens/>
        <w:rPr>
          <w:sz w:val="24"/>
          <w:szCs w:val="24"/>
        </w:rPr>
      </w:pPr>
      <w:r w:rsidRPr="00CF32C1">
        <w:rPr>
          <w:sz w:val="24"/>
          <w:szCs w:val="24"/>
        </w:rPr>
        <w:t xml:space="preserve">Il progetto si svilupperà sull’arco di 10 anni (2023-2032), con un investimento totale di 1'795'000 franchi. </w:t>
      </w:r>
    </w:p>
    <w:p w:rsidR="00CF32C1" w:rsidRPr="00CF32C1" w:rsidRDefault="00CF32C1" w:rsidP="00CF32C1">
      <w:pPr>
        <w:suppressAutoHyphens/>
        <w:rPr>
          <w:sz w:val="24"/>
          <w:szCs w:val="24"/>
        </w:rPr>
      </w:pPr>
    </w:p>
    <w:p w:rsidR="00CF32C1" w:rsidRPr="00CF32C1" w:rsidRDefault="00CF32C1" w:rsidP="00CF32C1">
      <w:pPr>
        <w:suppressAutoHyphens/>
        <w:rPr>
          <w:sz w:val="24"/>
          <w:szCs w:val="24"/>
        </w:rPr>
      </w:pPr>
      <w:r w:rsidRPr="00CF32C1">
        <w:rPr>
          <w:sz w:val="24"/>
          <w:szCs w:val="24"/>
        </w:rPr>
        <w:t xml:space="preserve">I lavori, promossi dal Patriziato di Avegno in stretta collaborazione con la Sezione forestale, saranno finanziati da Cantone e Confederazione nella misura dell’80% per i lavori </w:t>
      </w:r>
      <w:proofErr w:type="spellStart"/>
      <w:r w:rsidRPr="00CF32C1">
        <w:rPr>
          <w:sz w:val="24"/>
          <w:szCs w:val="24"/>
        </w:rPr>
        <w:t>selvicolturali</w:t>
      </w:r>
      <w:proofErr w:type="spellEnd"/>
      <w:r w:rsidRPr="00CF32C1">
        <w:rPr>
          <w:sz w:val="24"/>
          <w:szCs w:val="24"/>
        </w:rPr>
        <w:t xml:space="preserve"> e del 70% per la costruzione del piazzale di esbosco.</w:t>
      </w:r>
    </w:p>
    <w:p w:rsidR="00CF32C1" w:rsidRPr="00CF32C1" w:rsidRDefault="00CF32C1" w:rsidP="00CF32C1">
      <w:pPr>
        <w:suppressAutoHyphens/>
        <w:rPr>
          <w:sz w:val="24"/>
          <w:szCs w:val="24"/>
        </w:rPr>
      </w:pPr>
    </w:p>
    <w:p w:rsidR="00CF32C1" w:rsidRPr="00CF32C1" w:rsidRDefault="00CF32C1" w:rsidP="00CF32C1">
      <w:pPr>
        <w:suppressAutoHyphens/>
        <w:rPr>
          <w:sz w:val="24"/>
          <w:szCs w:val="24"/>
        </w:rPr>
      </w:pPr>
      <w:r w:rsidRPr="00CF32C1">
        <w:rPr>
          <w:sz w:val="24"/>
          <w:szCs w:val="24"/>
        </w:rPr>
        <w:t xml:space="preserve">La costruzione del nuovo piazzale d’esbosco a </w:t>
      </w:r>
      <w:proofErr w:type="spellStart"/>
      <w:r w:rsidRPr="00CF32C1">
        <w:rPr>
          <w:sz w:val="24"/>
          <w:szCs w:val="24"/>
        </w:rPr>
        <w:t>Vegnasca</w:t>
      </w:r>
      <w:proofErr w:type="spellEnd"/>
      <w:r w:rsidRPr="00CF32C1">
        <w:rPr>
          <w:sz w:val="24"/>
          <w:szCs w:val="24"/>
        </w:rPr>
        <w:t xml:space="preserve"> è stata approvata dal Municipio di Avegno </w:t>
      </w:r>
      <w:proofErr w:type="spellStart"/>
      <w:r w:rsidRPr="00CF32C1">
        <w:rPr>
          <w:sz w:val="24"/>
          <w:szCs w:val="24"/>
        </w:rPr>
        <w:t>Gordevio</w:t>
      </w:r>
      <w:proofErr w:type="spellEnd"/>
      <w:r w:rsidRPr="00CF32C1">
        <w:rPr>
          <w:sz w:val="24"/>
          <w:szCs w:val="24"/>
        </w:rPr>
        <w:t xml:space="preserve"> mediante Risoluzione n° 439/21 del 24 agosto 2021 contro la quale non è stato inoltrato ricorso al Consiglio di Stato (si richiama l’avviso cantonale n° 119050 del 16 agosto 2021). La stessa è stata pubblicata in base alla legge sulle strade del 23 marzo 1983 (</w:t>
      </w:r>
      <w:proofErr w:type="spellStart"/>
      <w:r w:rsidRPr="00CF32C1">
        <w:rPr>
          <w:sz w:val="24"/>
          <w:szCs w:val="24"/>
        </w:rPr>
        <w:t>Lstr</w:t>
      </w:r>
      <w:proofErr w:type="spellEnd"/>
      <w:r w:rsidRPr="00CF32C1">
        <w:rPr>
          <w:sz w:val="24"/>
          <w:szCs w:val="24"/>
        </w:rPr>
        <w:t>) e vale come licenza edilizia.</w:t>
      </w:r>
    </w:p>
    <w:p w:rsidR="00CF32C1" w:rsidRPr="00CF32C1" w:rsidRDefault="00CF32C1" w:rsidP="00CF32C1">
      <w:pPr>
        <w:suppressAutoHyphens/>
        <w:rPr>
          <w:sz w:val="24"/>
          <w:szCs w:val="24"/>
        </w:rPr>
      </w:pPr>
    </w:p>
    <w:p w:rsidR="00CF32C1" w:rsidRPr="00CF32C1" w:rsidRDefault="00CF32C1" w:rsidP="00CF32C1">
      <w:pPr>
        <w:suppressAutoHyphens/>
        <w:rPr>
          <w:sz w:val="24"/>
          <w:szCs w:val="24"/>
        </w:rPr>
      </w:pPr>
      <w:r w:rsidRPr="00CF32C1">
        <w:rPr>
          <w:sz w:val="24"/>
          <w:szCs w:val="24"/>
        </w:rPr>
        <w:t>Complessivamente si prevede l’abbattimento di 5’160 m</w:t>
      </w:r>
      <w:r w:rsidRPr="00CF32C1">
        <w:rPr>
          <w:sz w:val="24"/>
          <w:szCs w:val="24"/>
          <w:vertAlign w:val="superscript"/>
        </w:rPr>
        <w:t>3</w:t>
      </w:r>
      <w:r w:rsidRPr="00CF32C1">
        <w:rPr>
          <w:sz w:val="24"/>
          <w:szCs w:val="24"/>
        </w:rPr>
        <w:t xml:space="preserve"> di legname (volume tondo) in 10 anni. Questo quantitativo corrisponde ad un prelievo medio di circa 65.7 m</w:t>
      </w:r>
      <w:r w:rsidRPr="00CF32C1">
        <w:rPr>
          <w:sz w:val="24"/>
          <w:szCs w:val="24"/>
          <w:vertAlign w:val="superscript"/>
        </w:rPr>
        <w:t>3</w:t>
      </w:r>
      <w:r w:rsidRPr="00CF32C1">
        <w:rPr>
          <w:sz w:val="24"/>
          <w:szCs w:val="24"/>
        </w:rPr>
        <w:t>/ha, una percentuale minima rispetto alla densità di alberi presente.</w:t>
      </w:r>
    </w:p>
    <w:p w:rsidR="00CF32C1" w:rsidRPr="00CF32C1" w:rsidRDefault="00CF32C1" w:rsidP="00CF32C1">
      <w:pPr>
        <w:suppressAutoHyphens/>
        <w:rPr>
          <w:sz w:val="24"/>
          <w:szCs w:val="24"/>
        </w:rPr>
      </w:pPr>
    </w:p>
    <w:p w:rsidR="00CF32C1" w:rsidRPr="00CF32C1" w:rsidRDefault="00CF32C1" w:rsidP="00CF32C1">
      <w:pPr>
        <w:suppressAutoHyphens/>
        <w:rPr>
          <w:sz w:val="24"/>
          <w:szCs w:val="24"/>
        </w:rPr>
      </w:pPr>
    </w:p>
    <w:p w:rsidR="00CF32C1" w:rsidRPr="00F131B9" w:rsidRDefault="00CF32C1" w:rsidP="00F131B9">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CF32C1">
        <w:rPr>
          <w:rFonts w:eastAsia="Calibri" w:cs="Times New Roman"/>
          <w:caps/>
          <w:sz w:val="24"/>
          <w:szCs w:val="24"/>
          <w:lang w:val="it-IT" w:eastAsia="it-IT"/>
        </w:rPr>
        <w:t>LAVORI COMMISSIONALI E SOPRALLUOGO</w:t>
      </w:r>
    </w:p>
    <w:p w:rsidR="00CF32C1" w:rsidRPr="00CF32C1" w:rsidRDefault="00CF32C1" w:rsidP="00CF32C1">
      <w:pPr>
        <w:suppressAutoHyphens/>
        <w:rPr>
          <w:sz w:val="24"/>
          <w:szCs w:val="24"/>
        </w:rPr>
      </w:pPr>
      <w:r w:rsidRPr="00CF32C1">
        <w:rPr>
          <w:sz w:val="24"/>
          <w:szCs w:val="24"/>
        </w:rPr>
        <w:t xml:space="preserve">In data 2 dicembre 2022 il relatore ha svolto un sopralluogo sul posto accompagnato dal capo dell’ufficio forestale di zona Ing. Thomas </w:t>
      </w:r>
      <w:proofErr w:type="spellStart"/>
      <w:r w:rsidRPr="00CF32C1">
        <w:rPr>
          <w:sz w:val="24"/>
          <w:szCs w:val="24"/>
        </w:rPr>
        <w:t>Schiesser</w:t>
      </w:r>
      <w:proofErr w:type="spellEnd"/>
      <w:r w:rsidRPr="00CF32C1">
        <w:rPr>
          <w:sz w:val="24"/>
          <w:szCs w:val="24"/>
        </w:rPr>
        <w:t xml:space="preserve">, che ringraziamo per la disponibilità e per le precise informazioni fornite. Il luogo è raggiungibile tramite la strada carrozzabile </w:t>
      </w:r>
      <w:proofErr w:type="spellStart"/>
      <w:r w:rsidR="00F131B9">
        <w:rPr>
          <w:sz w:val="24"/>
          <w:szCs w:val="24"/>
        </w:rPr>
        <w:t>Orselina</w:t>
      </w:r>
      <w:proofErr w:type="spellEnd"/>
      <w:r w:rsidR="00F131B9">
        <w:rPr>
          <w:sz w:val="24"/>
          <w:szCs w:val="24"/>
        </w:rPr>
        <w:t xml:space="preserve"> - Monte </w:t>
      </w:r>
      <w:proofErr w:type="spellStart"/>
      <w:r w:rsidR="00F131B9">
        <w:rPr>
          <w:sz w:val="24"/>
          <w:szCs w:val="24"/>
        </w:rPr>
        <w:t>Bre</w:t>
      </w:r>
      <w:proofErr w:type="spellEnd"/>
      <w:r w:rsidR="00F131B9">
        <w:rPr>
          <w:sz w:val="24"/>
          <w:szCs w:val="24"/>
        </w:rPr>
        <w:t xml:space="preserve"> - Miranda -</w:t>
      </w:r>
      <w:r w:rsidRPr="00CF32C1">
        <w:rPr>
          <w:sz w:val="24"/>
          <w:szCs w:val="24"/>
        </w:rPr>
        <w:t xml:space="preserve"> Alpe </w:t>
      </w:r>
      <w:proofErr w:type="spellStart"/>
      <w:r w:rsidRPr="00CF32C1">
        <w:rPr>
          <w:sz w:val="24"/>
          <w:szCs w:val="24"/>
        </w:rPr>
        <w:t>Vegnasca</w:t>
      </w:r>
      <w:proofErr w:type="spellEnd"/>
      <w:r w:rsidRPr="00CF32C1">
        <w:rPr>
          <w:sz w:val="24"/>
          <w:szCs w:val="24"/>
        </w:rPr>
        <w:t>, aperta solo al traffico autorizzato nel suo ultimo tratto.</w:t>
      </w:r>
    </w:p>
    <w:p w:rsidR="00CF32C1" w:rsidRPr="00CF32C1" w:rsidRDefault="00CF32C1" w:rsidP="00CF32C1">
      <w:pPr>
        <w:suppressAutoHyphens/>
        <w:rPr>
          <w:sz w:val="24"/>
          <w:szCs w:val="24"/>
        </w:rPr>
      </w:pPr>
    </w:p>
    <w:p w:rsidR="00CF32C1" w:rsidRDefault="00CF32C1" w:rsidP="00CF32C1">
      <w:pPr>
        <w:suppressAutoHyphens/>
        <w:rPr>
          <w:sz w:val="24"/>
          <w:szCs w:val="24"/>
        </w:rPr>
      </w:pPr>
      <w:r w:rsidRPr="00CF32C1">
        <w:rPr>
          <w:sz w:val="24"/>
          <w:szCs w:val="24"/>
        </w:rPr>
        <w:t>I boschi sono costituiti in gran parte da faggio, il quale è presente in popolamenti puri o in formazioni pioniere con la betulla. Nella parte alta il faggio cede il posto al larice e a nord-ovest del comprensorio troviamo un piccolo popolamento di abete bianco.</w:t>
      </w:r>
    </w:p>
    <w:p w:rsidR="00F131B9" w:rsidRPr="00CF32C1" w:rsidRDefault="00F131B9" w:rsidP="00CF32C1">
      <w:pPr>
        <w:suppressAutoHyphens/>
        <w:rPr>
          <w:sz w:val="24"/>
          <w:szCs w:val="24"/>
        </w:rPr>
      </w:pPr>
    </w:p>
    <w:p w:rsidR="00CF32C1" w:rsidRPr="00CF32C1" w:rsidRDefault="00CF32C1" w:rsidP="00CF32C1">
      <w:pPr>
        <w:suppressAutoHyphens/>
        <w:rPr>
          <w:sz w:val="24"/>
          <w:szCs w:val="24"/>
        </w:rPr>
      </w:pPr>
      <w:r w:rsidRPr="00CF32C1">
        <w:rPr>
          <w:sz w:val="24"/>
          <w:szCs w:val="24"/>
        </w:rPr>
        <w:t>La maggior parte di questi boschi si trovano nello stadio di fustaia adulta (diametro 40-50 cm) e la loro forma deriva dai tagli di ceduazione eseguiti in passato, quando il bosco in questione veniva utilizzato in modo intensivo. Si nota un’elevata necessità d’intervento, visto che i popolamenti risultano essere omogenei e densi. Il continuo sviluppo delle ceppaie di faggio provoca l’aumento dello squilibrio tra la parte aerea e l’apparato radicale, incrementando l’instabilità del bosco. La rinnovazione naturale è presente solo nelle aperture create durante gli interventi passati e, in assenza di provvedimenti, è destinata a deperire a causa della mancanza di luce. Il popolamento è dunque poco strutturato e composto da un’unica classe di diametro con problemi di stabilità e di conseguenza la funzione di protezione a lungo termine potrebbe essere compromessa.</w:t>
      </w:r>
    </w:p>
    <w:p w:rsidR="00CF32C1" w:rsidRPr="00CF32C1" w:rsidRDefault="00CF32C1" w:rsidP="00CF32C1">
      <w:pPr>
        <w:suppressAutoHyphens/>
        <w:rPr>
          <w:sz w:val="24"/>
          <w:szCs w:val="24"/>
        </w:rPr>
      </w:pPr>
    </w:p>
    <w:p w:rsidR="00CF32C1" w:rsidRPr="00CF32C1" w:rsidRDefault="00CF32C1" w:rsidP="00CF32C1">
      <w:pPr>
        <w:suppressAutoHyphens/>
        <w:rPr>
          <w:sz w:val="24"/>
          <w:szCs w:val="24"/>
        </w:rPr>
      </w:pPr>
      <w:r w:rsidRPr="00CF32C1">
        <w:rPr>
          <w:sz w:val="24"/>
          <w:szCs w:val="24"/>
        </w:rPr>
        <w:t>Il futuro piazzale d’esbosco verrà ricavato da uno spiazzo di fatto già esistente, con riporti di materiale presente sul posto; non implica pertanto un disboscamento di vaste dimensioni o interventi costruttivi molto invasivi.</w:t>
      </w:r>
    </w:p>
    <w:p w:rsidR="00CF32C1" w:rsidRPr="00CF32C1" w:rsidRDefault="00CF32C1" w:rsidP="00CF32C1">
      <w:pPr>
        <w:suppressAutoHyphens/>
        <w:rPr>
          <w:sz w:val="24"/>
          <w:szCs w:val="24"/>
        </w:rPr>
      </w:pPr>
    </w:p>
    <w:p w:rsidR="00CF32C1" w:rsidRPr="00CF32C1" w:rsidRDefault="00CF32C1" w:rsidP="00CF32C1">
      <w:pPr>
        <w:suppressAutoHyphens/>
        <w:rPr>
          <w:sz w:val="24"/>
          <w:szCs w:val="24"/>
        </w:rPr>
      </w:pPr>
      <w:r w:rsidRPr="00CF32C1">
        <w:rPr>
          <w:sz w:val="24"/>
          <w:szCs w:val="24"/>
        </w:rPr>
        <w:t xml:space="preserve">Si è potuto discutere anche il tema dell’uso di teleferiche provvisorie per l’esbosco del legname tagliato: verranno realizzate alcune linee poste a raggio in partenza dal piazzale. Questo sistema permette di limitare i voli con elicotteri e consente già di conseguire una parte degli obiettivi d’intervento (diradamento). L’aspetto temporaneamente negativo è che, per un periodo di una decina d’anni, le linee tracciate – di una larghezza di </w:t>
      </w:r>
      <w:proofErr w:type="spellStart"/>
      <w:r w:rsidRPr="00CF32C1">
        <w:rPr>
          <w:sz w:val="24"/>
          <w:szCs w:val="24"/>
        </w:rPr>
        <w:t>ca</w:t>
      </w:r>
      <w:proofErr w:type="spellEnd"/>
      <w:r w:rsidRPr="00CF32C1">
        <w:rPr>
          <w:sz w:val="24"/>
          <w:szCs w:val="24"/>
        </w:rPr>
        <w:t xml:space="preserve"> 10-15 metri – resteranno visibili, prima che la nuova vegetazione sia sufficientemente cresciuta eliminandone le tracce.</w:t>
      </w:r>
    </w:p>
    <w:p w:rsidR="00CF32C1" w:rsidRPr="00CF32C1" w:rsidRDefault="00CF32C1" w:rsidP="00CF32C1">
      <w:pPr>
        <w:suppressAutoHyphens/>
        <w:rPr>
          <w:sz w:val="24"/>
          <w:szCs w:val="24"/>
        </w:rPr>
      </w:pPr>
    </w:p>
    <w:p w:rsidR="00CF32C1" w:rsidRPr="00CF32C1" w:rsidRDefault="00CF32C1" w:rsidP="00CF32C1">
      <w:pPr>
        <w:suppressAutoHyphens/>
        <w:rPr>
          <w:sz w:val="24"/>
          <w:szCs w:val="24"/>
        </w:rPr>
      </w:pPr>
      <w:r w:rsidRPr="00CF32C1">
        <w:rPr>
          <w:sz w:val="24"/>
          <w:szCs w:val="24"/>
        </w:rPr>
        <w:t xml:space="preserve">Si è pure esaminato il piccolo stabile esistente a </w:t>
      </w:r>
      <w:proofErr w:type="spellStart"/>
      <w:r w:rsidRPr="00CF32C1">
        <w:rPr>
          <w:sz w:val="24"/>
          <w:szCs w:val="24"/>
        </w:rPr>
        <w:t>Vegnasca</w:t>
      </w:r>
      <w:proofErr w:type="spellEnd"/>
      <w:r w:rsidRPr="00CF32C1">
        <w:rPr>
          <w:sz w:val="24"/>
          <w:szCs w:val="24"/>
        </w:rPr>
        <w:t xml:space="preserve"> di proprietà del Patriziato di Avegno, che verrà adeguatamente sistemato, al fine anche di potere adibire l’attuale struttura a rifugio per gli operai, in modo da rendere possibile il soggiorno di operai sul </w:t>
      </w:r>
      <w:r w:rsidRPr="00CF32C1">
        <w:rPr>
          <w:sz w:val="24"/>
          <w:szCs w:val="24"/>
        </w:rPr>
        <w:lastRenderedPageBreak/>
        <w:t>posto durante l’esecuzione dei lavori evitando così lunghe trasferte quotidiane per raggiungere il fondovalle.</w:t>
      </w:r>
    </w:p>
    <w:p w:rsidR="00CF32C1" w:rsidRPr="00CF32C1" w:rsidRDefault="00CF32C1" w:rsidP="00CF32C1">
      <w:pPr>
        <w:suppressAutoHyphens/>
        <w:rPr>
          <w:sz w:val="24"/>
          <w:szCs w:val="24"/>
        </w:rPr>
      </w:pPr>
    </w:p>
    <w:p w:rsidR="00CF32C1" w:rsidRPr="00CF32C1" w:rsidRDefault="00CF32C1" w:rsidP="00CF32C1">
      <w:pPr>
        <w:rPr>
          <w:rFonts w:eastAsia="Times New Roman" w:cs="Arial"/>
          <w:sz w:val="24"/>
          <w:szCs w:val="20"/>
          <w:lang w:val="it-IT" w:eastAsia="it-IT"/>
        </w:rPr>
      </w:pPr>
      <w:r w:rsidRPr="00CF32C1">
        <w:rPr>
          <w:rFonts w:eastAsia="Times New Roman" w:cs="Arial"/>
          <w:sz w:val="24"/>
          <w:szCs w:val="20"/>
          <w:lang w:val="it-IT" w:eastAsia="it-IT"/>
        </w:rPr>
        <w:t>Infine si è discusso dei pericoli naturali più diffusi, che sono lo stacco di valanghe e le frane, nonché il pericolo di colate detritiche e di alluvionamento lungo i corsi d’acqua, ricordando ad esempio l’importante valanga degli anni scorsi che aveva irrimediabilmente danneggiato la sciovia allora esistente e intasato con importanti volumi di legname il Rial Grande, che ha dovuto essere completamente sgomberato.</w:t>
      </w:r>
    </w:p>
    <w:p w:rsidR="00CF32C1" w:rsidRPr="00CF32C1" w:rsidRDefault="00CF32C1" w:rsidP="00CF32C1">
      <w:pPr>
        <w:suppressAutoHyphens/>
        <w:rPr>
          <w:sz w:val="24"/>
          <w:szCs w:val="24"/>
        </w:rPr>
      </w:pPr>
    </w:p>
    <w:p w:rsidR="00CF32C1" w:rsidRPr="00CF32C1" w:rsidRDefault="00CF32C1" w:rsidP="00CF32C1">
      <w:pPr>
        <w:suppressAutoHyphens/>
        <w:rPr>
          <w:sz w:val="24"/>
          <w:szCs w:val="24"/>
        </w:rPr>
      </w:pPr>
    </w:p>
    <w:p w:rsidR="00CF32C1" w:rsidRPr="00F131B9" w:rsidRDefault="00CF32C1" w:rsidP="00F131B9">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CF32C1">
        <w:rPr>
          <w:rFonts w:eastAsia="Calibri" w:cs="Times New Roman"/>
          <w:caps/>
          <w:sz w:val="24"/>
          <w:szCs w:val="24"/>
          <w:lang w:val="it-IT" w:eastAsia="it-IT"/>
        </w:rPr>
        <w:t>CONSIDERAZIONI DELLA COMMISSIONE</w:t>
      </w:r>
    </w:p>
    <w:p w:rsidR="00CF32C1" w:rsidRPr="00CF32C1" w:rsidRDefault="00CF32C1" w:rsidP="00CF32C1">
      <w:pPr>
        <w:suppressAutoHyphens/>
        <w:rPr>
          <w:sz w:val="24"/>
          <w:szCs w:val="24"/>
        </w:rPr>
      </w:pPr>
      <w:r w:rsidRPr="00CF32C1">
        <w:rPr>
          <w:sz w:val="24"/>
          <w:szCs w:val="24"/>
        </w:rPr>
        <w:t>Il progetto integrale proposto è molto ben strutturato, perché cerca di affrontare e risolvere una serie di temi diversi:</w:t>
      </w:r>
    </w:p>
    <w:p w:rsidR="00CF32C1" w:rsidRPr="00CF32C1" w:rsidRDefault="00CF32C1" w:rsidP="00776A41">
      <w:pPr>
        <w:numPr>
          <w:ilvl w:val="0"/>
          <w:numId w:val="19"/>
        </w:numPr>
        <w:suppressAutoHyphens/>
        <w:spacing w:before="120" w:after="120"/>
        <w:ind w:left="284" w:hanging="284"/>
        <w:rPr>
          <w:sz w:val="24"/>
          <w:szCs w:val="24"/>
        </w:rPr>
      </w:pPr>
      <w:r w:rsidRPr="00CF32C1">
        <w:rPr>
          <w:sz w:val="24"/>
          <w:szCs w:val="24"/>
        </w:rPr>
        <w:t>Il piazzale d’esbosco per facilitare la gestione del legname, per la cui costruzione l’apporto di materiali esterni sarà minimo e molto curato (evitare di introdurre organismi alloctoni invasivi a causa dei lavori)</w:t>
      </w:r>
    </w:p>
    <w:p w:rsidR="00CF32C1" w:rsidRPr="00CF32C1" w:rsidRDefault="00CF32C1" w:rsidP="00776A41">
      <w:pPr>
        <w:numPr>
          <w:ilvl w:val="0"/>
          <w:numId w:val="19"/>
        </w:numPr>
        <w:suppressAutoHyphens/>
        <w:spacing w:before="120" w:after="120"/>
        <w:ind w:left="284" w:hanging="284"/>
        <w:rPr>
          <w:sz w:val="24"/>
          <w:szCs w:val="24"/>
        </w:rPr>
      </w:pPr>
      <w:r w:rsidRPr="00CF32C1">
        <w:rPr>
          <w:sz w:val="24"/>
          <w:szCs w:val="24"/>
        </w:rPr>
        <w:t>La sistemazione del semplice manufatto che potrà fungere da luogo per l’accoglienza della manodopera</w:t>
      </w:r>
    </w:p>
    <w:p w:rsidR="00CF32C1" w:rsidRPr="00CF32C1" w:rsidRDefault="00CF32C1" w:rsidP="00776A41">
      <w:pPr>
        <w:numPr>
          <w:ilvl w:val="0"/>
          <w:numId w:val="19"/>
        </w:numPr>
        <w:suppressAutoHyphens/>
        <w:spacing w:before="120" w:after="120"/>
        <w:ind w:left="284" w:hanging="284"/>
        <w:rPr>
          <w:sz w:val="24"/>
          <w:szCs w:val="24"/>
        </w:rPr>
      </w:pPr>
      <w:r w:rsidRPr="00CF32C1">
        <w:rPr>
          <w:sz w:val="24"/>
          <w:szCs w:val="24"/>
        </w:rPr>
        <w:t>La lunga durata del progetto, con la suddivisione dei lavori in due gradi di priorità, in modo di potere gestire al meglio le fasi esecutive (che saranno oggetto di appalti separati per l’esecuzione)</w:t>
      </w:r>
    </w:p>
    <w:p w:rsidR="00CF32C1" w:rsidRPr="00CF32C1" w:rsidRDefault="00CF32C1" w:rsidP="00776A41">
      <w:pPr>
        <w:numPr>
          <w:ilvl w:val="0"/>
          <w:numId w:val="19"/>
        </w:numPr>
        <w:suppressAutoHyphens/>
        <w:spacing w:before="120" w:after="120"/>
        <w:ind w:left="284" w:hanging="284"/>
        <w:rPr>
          <w:sz w:val="24"/>
          <w:szCs w:val="24"/>
        </w:rPr>
      </w:pPr>
      <w:r w:rsidRPr="00CF32C1">
        <w:rPr>
          <w:sz w:val="24"/>
          <w:szCs w:val="24"/>
        </w:rPr>
        <w:t>La delicatezza d’intervento, che cercherà di evitare ingiustificati abbattimenti su larga scala preferendo interventi mirati a macchia di leopardo. Si tratterà di interventi definiti “di cure minime”, tipici di quando si interviene nei boschi a funzione di protezione diretta; in particolare avranno luogo tagli di rinnovazione e di stabilità</w:t>
      </w:r>
    </w:p>
    <w:p w:rsidR="00CF32C1" w:rsidRPr="00CF32C1" w:rsidRDefault="00CF32C1" w:rsidP="00776A41">
      <w:pPr>
        <w:numPr>
          <w:ilvl w:val="0"/>
          <w:numId w:val="19"/>
        </w:numPr>
        <w:suppressAutoHyphens/>
        <w:spacing w:before="120" w:after="120"/>
        <w:ind w:left="284" w:hanging="284"/>
        <w:rPr>
          <w:sz w:val="24"/>
          <w:szCs w:val="24"/>
        </w:rPr>
      </w:pPr>
      <w:r w:rsidRPr="00CF32C1">
        <w:rPr>
          <w:sz w:val="24"/>
          <w:szCs w:val="24"/>
        </w:rPr>
        <w:t>La possibilità del proprietario del sedime (Patriziato di Avegno) di essere parte attiva, sia come promotore, sia in quanto proprietario di un’azienda forestale</w:t>
      </w:r>
    </w:p>
    <w:p w:rsidR="00CF32C1" w:rsidRPr="00CF32C1" w:rsidRDefault="00CF32C1" w:rsidP="00776A41">
      <w:pPr>
        <w:numPr>
          <w:ilvl w:val="0"/>
          <w:numId w:val="19"/>
        </w:numPr>
        <w:suppressAutoHyphens/>
        <w:spacing w:before="120" w:after="120"/>
        <w:ind w:left="284" w:hanging="284"/>
        <w:rPr>
          <w:sz w:val="24"/>
          <w:szCs w:val="24"/>
        </w:rPr>
      </w:pPr>
      <w:r w:rsidRPr="00CF32C1">
        <w:rPr>
          <w:sz w:val="24"/>
          <w:szCs w:val="24"/>
        </w:rPr>
        <w:t>La valorizzazione del legname ticinese, in questo caso principalmente come legname da ardere e solo in minima parte come legname d’opera</w:t>
      </w:r>
    </w:p>
    <w:p w:rsidR="00CF32C1" w:rsidRPr="00CF32C1" w:rsidRDefault="00CF32C1" w:rsidP="00776A41">
      <w:pPr>
        <w:numPr>
          <w:ilvl w:val="0"/>
          <w:numId w:val="19"/>
        </w:numPr>
        <w:suppressAutoHyphens/>
        <w:spacing w:before="120" w:after="120"/>
        <w:ind w:left="284" w:hanging="284"/>
        <w:rPr>
          <w:sz w:val="24"/>
          <w:szCs w:val="24"/>
        </w:rPr>
      </w:pPr>
      <w:r w:rsidRPr="00CF32C1">
        <w:rPr>
          <w:sz w:val="24"/>
          <w:szCs w:val="24"/>
        </w:rPr>
        <w:t xml:space="preserve">La gestione </w:t>
      </w:r>
      <w:proofErr w:type="spellStart"/>
      <w:r w:rsidRPr="00CF32C1">
        <w:rPr>
          <w:sz w:val="24"/>
          <w:szCs w:val="24"/>
        </w:rPr>
        <w:t>selvicolturale</w:t>
      </w:r>
      <w:proofErr w:type="spellEnd"/>
      <w:r w:rsidRPr="00CF32C1">
        <w:rPr>
          <w:sz w:val="24"/>
          <w:szCs w:val="24"/>
        </w:rPr>
        <w:t xml:space="preserve"> degli alvei e delle loro sponde per la prevenzione di futuri smottamenti, riducendo il rischio che il legname sradicato sia portato a valle creando danni o contribuendo alla creazione di serre</w:t>
      </w:r>
    </w:p>
    <w:p w:rsidR="00776A41" w:rsidRDefault="00CF32C1" w:rsidP="00776A41">
      <w:pPr>
        <w:numPr>
          <w:ilvl w:val="0"/>
          <w:numId w:val="19"/>
        </w:numPr>
        <w:suppressAutoHyphens/>
        <w:spacing w:before="120" w:after="120"/>
        <w:ind w:left="284" w:hanging="284"/>
        <w:rPr>
          <w:sz w:val="24"/>
          <w:szCs w:val="24"/>
        </w:rPr>
      </w:pPr>
      <w:r w:rsidRPr="00CF32C1">
        <w:rPr>
          <w:sz w:val="24"/>
          <w:szCs w:val="24"/>
        </w:rPr>
        <w:t>La promozione della biodiversità tramite gli interventi di cure minime nelle faggete farà sì che l’apporto di luce e di calore al suolo permetterà la crescita di altre essenze sia forestali (betulla, larice, abete bianco) che erbacee, contribuendo ad un aumento della biodiversità; si cercherà anche di preservare le esigue isole di bosco vecchio ed il legname morto in piedi presente nei popolamenti.</w:t>
      </w:r>
    </w:p>
    <w:p w:rsidR="00776A41" w:rsidRDefault="00776A41" w:rsidP="00776A41">
      <w:pPr>
        <w:suppressAutoHyphens/>
        <w:spacing w:before="60"/>
        <w:rPr>
          <w:sz w:val="24"/>
          <w:szCs w:val="24"/>
        </w:rPr>
      </w:pPr>
    </w:p>
    <w:p w:rsidR="00776A41" w:rsidRDefault="00CF32C1" w:rsidP="00CF32C1">
      <w:pPr>
        <w:suppressAutoHyphens/>
        <w:rPr>
          <w:rFonts w:eastAsia="Times New Roman" w:cs="Arial"/>
          <w:sz w:val="24"/>
          <w:szCs w:val="20"/>
          <w:lang w:eastAsia="it-IT"/>
        </w:rPr>
      </w:pPr>
      <w:r w:rsidRPr="00CF32C1">
        <w:rPr>
          <w:sz w:val="24"/>
          <w:szCs w:val="24"/>
        </w:rPr>
        <w:t xml:space="preserve">Dal profilo finanziario, il messaggio n. 8200 riporta il seguente riassunto del </w:t>
      </w:r>
      <w:r w:rsidRPr="00CF32C1">
        <w:rPr>
          <w:rFonts w:eastAsia="Times New Roman" w:cs="Arial"/>
          <w:sz w:val="24"/>
          <w:szCs w:val="20"/>
          <w:lang w:eastAsia="it-IT"/>
        </w:rPr>
        <w:t>piano di finanziamento:</w:t>
      </w:r>
    </w:p>
    <w:p w:rsidR="00CF32C1" w:rsidRPr="00CF32C1" w:rsidRDefault="00776A41" w:rsidP="00776A41">
      <w:pPr>
        <w:rPr>
          <w:rFonts w:eastAsia="Times New Roman" w:cs="Arial"/>
          <w:sz w:val="24"/>
          <w:szCs w:val="20"/>
          <w:lang w:eastAsia="it-IT"/>
        </w:rPr>
      </w:pPr>
      <w:r>
        <w:rPr>
          <w:rFonts w:eastAsia="Times New Roman" w:cs="Arial"/>
          <w:sz w:val="24"/>
          <w:szCs w:val="20"/>
          <w:lang w:eastAsia="it-IT"/>
        </w:rPr>
        <w:br w:type="page"/>
      </w:r>
    </w:p>
    <w:tbl>
      <w:tblPr>
        <w:tblW w:w="5000" w:type="pct"/>
        <w:tblCellMar>
          <w:left w:w="70" w:type="dxa"/>
          <w:right w:w="70" w:type="dxa"/>
        </w:tblCellMar>
        <w:tblLook w:val="04A0" w:firstRow="1" w:lastRow="0" w:firstColumn="1" w:lastColumn="0" w:noHBand="0" w:noVBand="1"/>
      </w:tblPr>
      <w:tblGrid>
        <w:gridCol w:w="3422"/>
        <w:gridCol w:w="1631"/>
        <w:gridCol w:w="1624"/>
        <w:gridCol w:w="1402"/>
        <w:gridCol w:w="1406"/>
      </w:tblGrid>
      <w:tr w:rsidR="00CF32C1" w:rsidRPr="00CF32C1" w:rsidTr="007E3318">
        <w:trPr>
          <w:trHeight w:val="264"/>
        </w:trPr>
        <w:tc>
          <w:tcPr>
            <w:tcW w:w="1804" w:type="pct"/>
            <w:tcBorders>
              <w:top w:val="single" w:sz="4" w:space="0" w:color="auto"/>
              <w:left w:val="nil"/>
              <w:bottom w:val="nil"/>
              <w:right w:val="single" w:sz="4" w:space="0" w:color="auto"/>
            </w:tcBorders>
            <w:shd w:val="clear" w:color="auto" w:fill="auto"/>
            <w:noWrap/>
            <w:vAlign w:val="bottom"/>
            <w:hideMark/>
          </w:tcPr>
          <w:p w:rsidR="00CF32C1" w:rsidRPr="00CF32C1" w:rsidRDefault="00CF32C1" w:rsidP="00CF32C1">
            <w:pPr>
              <w:suppressAutoHyphens/>
              <w:jc w:val="left"/>
              <w:rPr>
                <w:rFonts w:eastAsia="Times New Roman" w:cs="Arial"/>
                <w:sz w:val="20"/>
                <w:szCs w:val="20"/>
                <w:lang w:eastAsia="it-CH"/>
              </w:rPr>
            </w:pPr>
            <w:r w:rsidRPr="00CF32C1">
              <w:rPr>
                <w:rFonts w:eastAsia="Times New Roman" w:cs="Arial"/>
                <w:sz w:val="20"/>
                <w:szCs w:val="20"/>
                <w:lang w:eastAsia="it-CH"/>
              </w:rPr>
              <w:lastRenderedPageBreak/>
              <w:t> </w:t>
            </w:r>
          </w:p>
        </w:tc>
        <w:tc>
          <w:tcPr>
            <w:tcW w:w="860" w:type="pct"/>
            <w:tcBorders>
              <w:top w:val="single" w:sz="4" w:space="0" w:color="auto"/>
              <w:left w:val="nil"/>
              <w:bottom w:val="nil"/>
              <w:right w:val="single" w:sz="4" w:space="0" w:color="auto"/>
            </w:tcBorders>
            <w:shd w:val="clear" w:color="auto" w:fill="auto"/>
            <w:noWrap/>
            <w:vAlign w:val="bottom"/>
            <w:hideMark/>
          </w:tcPr>
          <w:p w:rsidR="00CF32C1" w:rsidRPr="00CF32C1" w:rsidRDefault="00CF32C1" w:rsidP="00CF32C1">
            <w:pPr>
              <w:suppressAutoHyphens/>
              <w:jc w:val="center"/>
              <w:rPr>
                <w:rFonts w:eastAsia="Times New Roman" w:cs="Arial"/>
                <w:b/>
                <w:bCs/>
                <w:sz w:val="20"/>
                <w:szCs w:val="20"/>
                <w:lang w:eastAsia="it-CH"/>
              </w:rPr>
            </w:pPr>
            <w:r w:rsidRPr="00CF32C1">
              <w:rPr>
                <w:rFonts w:eastAsia="Times New Roman" w:cs="Arial"/>
                <w:b/>
                <w:bCs/>
                <w:sz w:val="20"/>
                <w:szCs w:val="20"/>
                <w:lang w:eastAsia="it-CH"/>
              </w:rPr>
              <w:t>Selvicoltura</w:t>
            </w:r>
          </w:p>
        </w:tc>
        <w:tc>
          <w:tcPr>
            <w:tcW w:w="856" w:type="pct"/>
            <w:tcBorders>
              <w:top w:val="single" w:sz="4" w:space="0" w:color="auto"/>
              <w:left w:val="nil"/>
              <w:bottom w:val="nil"/>
              <w:right w:val="single" w:sz="4" w:space="0" w:color="auto"/>
            </w:tcBorders>
            <w:shd w:val="clear" w:color="auto" w:fill="auto"/>
            <w:noWrap/>
            <w:vAlign w:val="bottom"/>
            <w:hideMark/>
          </w:tcPr>
          <w:p w:rsidR="00CF32C1" w:rsidRPr="00CF32C1" w:rsidRDefault="00CF32C1" w:rsidP="00CF32C1">
            <w:pPr>
              <w:suppressAutoHyphens/>
              <w:jc w:val="center"/>
              <w:rPr>
                <w:rFonts w:eastAsia="Times New Roman" w:cs="Arial"/>
                <w:b/>
                <w:bCs/>
                <w:sz w:val="20"/>
                <w:szCs w:val="20"/>
                <w:lang w:eastAsia="it-CH"/>
              </w:rPr>
            </w:pPr>
            <w:r w:rsidRPr="00CF32C1">
              <w:rPr>
                <w:rFonts w:eastAsia="Times New Roman" w:cs="Arial"/>
                <w:b/>
                <w:bCs/>
                <w:sz w:val="20"/>
                <w:szCs w:val="20"/>
                <w:lang w:eastAsia="it-CH"/>
              </w:rPr>
              <w:t>Allacciamenti</w:t>
            </w:r>
          </w:p>
        </w:tc>
        <w:tc>
          <w:tcPr>
            <w:tcW w:w="1480" w:type="pct"/>
            <w:gridSpan w:val="2"/>
            <w:tcBorders>
              <w:top w:val="single" w:sz="4" w:space="0" w:color="auto"/>
              <w:left w:val="nil"/>
              <w:bottom w:val="nil"/>
              <w:right w:val="nil"/>
            </w:tcBorders>
            <w:shd w:val="clear" w:color="000000" w:fill="D9D9D9"/>
            <w:noWrap/>
            <w:vAlign w:val="bottom"/>
            <w:hideMark/>
          </w:tcPr>
          <w:p w:rsidR="00CF32C1" w:rsidRPr="00CF32C1" w:rsidRDefault="00CF32C1" w:rsidP="00CF32C1">
            <w:pPr>
              <w:suppressAutoHyphens/>
              <w:jc w:val="center"/>
              <w:rPr>
                <w:rFonts w:eastAsia="Times New Roman" w:cs="Arial"/>
                <w:b/>
                <w:bCs/>
                <w:sz w:val="20"/>
                <w:szCs w:val="20"/>
                <w:lang w:eastAsia="it-CH"/>
              </w:rPr>
            </w:pPr>
            <w:r w:rsidRPr="00CF32C1">
              <w:rPr>
                <w:rFonts w:eastAsia="Times New Roman" w:cs="Arial"/>
                <w:b/>
                <w:bCs/>
                <w:sz w:val="20"/>
                <w:szCs w:val="20"/>
                <w:lang w:eastAsia="it-CH"/>
              </w:rPr>
              <w:t>Totale</w:t>
            </w:r>
          </w:p>
        </w:tc>
      </w:tr>
      <w:tr w:rsidR="00CF32C1" w:rsidRPr="00CF32C1" w:rsidTr="007E3318">
        <w:trPr>
          <w:trHeight w:val="264"/>
        </w:trPr>
        <w:tc>
          <w:tcPr>
            <w:tcW w:w="1804" w:type="pct"/>
            <w:tcBorders>
              <w:top w:val="nil"/>
              <w:left w:val="nil"/>
              <w:bottom w:val="single" w:sz="4" w:space="0" w:color="auto"/>
              <w:right w:val="single" w:sz="4" w:space="0" w:color="auto"/>
            </w:tcBorders>
            <w:shd w:val="clear" w:color="auto" w:fill="auto"/>
            <w:noWrap/>
            <w:hideMark/>
          </w:tcPr>
          <w:p w:rsidR="00CF32C1" w:rsidRPr="00CF32C1" w:rsidRDefault="00CF32C1" w:rsidP="00CF32C1">
            <w:pPr>
              <w:suppressAutoHyphens/>
              <w:jc w:val="center"/>
              <w:rPr>
                <w:rFonts w:eastAsia="Times New Roman" w:cs="Arial"/>
                <w:sz w:val="20"/>
                <w:szCs w:val="20"/>
                <w:lang w:eastAsia="it-CH"/>
              </w:rPr>
            </w:pPr>
          </w:p>
        </w:tc>
        <w:tc>
          <w:tcPr>
            <w:tcW w:w="860" w:type="pct"/>
            <w:tcBorders>
              <w:top w:val="nil"/>
              <w:left w:val="nil"/>
              <w:bottom w:val="single" w:sz="4" w:space="0" w:color="auto"/>
              <w:right w:val="single" w:sz="4" w:space="0" w:color="auto"/>
            </w:tcBorders>
            <w:shd w:val="clear" w:color="auto" w:fill="auto"/>
            <w:noWrap/>
            <w:hideMark/>
          </w:tcPr>
          <w:p w:rsidR="00CF32C1" w:rsidRPr="00CF32C1" w:rsidRDefault="00CF32C1" w:rsidP="00CF32C1">
            <w:pPr>
              <w:suppressAutoHyphens/>
              <w:spacing w:after="120"/>
              <w:jc w:val="center"/>
              <w:rPr>
                <w:rFonts w:eastAsia="Times New Roman" w:cs="Arial"/>
                <w:b/>
                <w:bCs/>
                <w:sz w:val="20"/>
                <w:szCs w:val="20"/>
                <w:lang w:eastAsia="it-CH"/>
              </w:rPr>
            </w:pPr>
            <w:r w:rsidRPr="00CF32C1">
              <w:rPr>
                <w:rFonts w:eastAsia="Times New Roman" w:cs="Arial"/>
                <w:b/>
                <w:bCs/>
                <w:sz w:val="20"/>
                <w:szCs w:val="20"/>
                <w:lang w:eastAsia="it-CH"/>
              </w:rPr>
              <w:t>[</w:t>
            </w:r>
            <w:proofErr w:type="spellStart"/>
            <w:r w:rsidRPr="00CF32C1">
              <w:rPr>
                <w:rFonts w:eastAsia="Times New Roman" w:cs="Arial"/>
                <w:b/>
                <w:bCs/>
                <w:sz w:val="20"/>
                <w:szCs w:val="20"/>
                <w:lang w:eastAsia="it-CH"/>
              </w:rPr>
              <w:t>fr</w:t>
            </w:r>
            <w:proofErr w:type="spellEnd"/>
            <w:r w:rsidRPr="00CF32C1">
              <w:rPr>
                <w:rFonts w:eastAsia="Times New Roman" w:cs="Arial"/>
                <w:b/>
                <w:bCs/>
                <w:sz w:val="20"/>
                <w:szCs w:val="20"/>
                <w:lang w:eastAsia="it-CH"/>
              </w:rPr>
              <w:t>.]</w:t>
            </w:r>
          </w:p>
        </w:tc>
        <w:tc>
          <w:tcPr>
            <w:tcW w:w="856" w:type="pct"/>
            <w:tcBorders>
              <w:top w:val="nil"/>
              <w:left w:val="nil"/>
              <w:bottom w:val="single" w:sz="4" w:space="0" w:color="auto"/>
              <w:right w:val="single" w:sz="4" w:space="0" w:color="auto"/>
            </w:tcBorders>
            <w:shd w:val="clear" w:color="auto" w:fill="auto"/>
            <w:noWrap/>
            <w:hideMark/>
          </w:tcPr>
          <w:p w:rsidR="00CF32C1" w:rsidRPr="00CF32C1" w:rsidRDefault="00CF32C1" w:rsidP="00CF32C1">
            <w:pPr>
              <w:suppressAutoHyphens/>
              <w:jc w:val="center"/>
              <w:rPr>
                <w:rFonts w:eastAsia="Times New Roman" w:cs="Arial"/>
                <w:b/>
                <w:bCs/>
                <w:sz w:val="20"/>
                <w:szCs w:val="20"/>
                <w:lang w:eastAsia="it-CH"/>
              </w:rPr>
            </w:pPr>
            <w:r w:rsidRPr="00CF32C1">
              <w:rPr>
                <w:rFonts w:eastAsia="Times New Roman" w:cs="Arial"/>
                <w:b/>
                <w:bCs/>
                <w:sz w:val="20"/>
                <w:szCs w:val="20"/>
                <w:lang w:eastAsia="it-CH"/>
              </w:rPr>
              <w:t>[</w:t>
            </w:r>
            <w:proofErr w:type="spellStart"/>
            <w:r w:rsidRPr="00CF32C1">
              <w:rPr>
                <w:rFonts w:eastAsia="Times New Roman" w:cs="Arial"/>
                <w:b/>
                <w:bCs/>
                <w:sz w:val="20"/>
                <w:szCs w:val="20"/>
                <w:lang w:eastAsia="it-CH"/>
              </w:rPr>
              <w:t>fr</w:t>
            </w:r>
            <w:proofErr w:type="spellEnd"/>
            <w:r w:rsidRPr="00CF32C1">
              <w:rPr>
                <w:rFonts w:eastAsia="Times New Roman" w:cs="Arial"/>
                <w:b/>
                <w:bCs/>
                <w:sz w:val="20"/>
                <w:szCs w:val="20"/>
                <w:lang w:eastAsia="it-CH"/>
              </w:rPr>
              <w:t>.]</w:t>
            </w:r>
          </w:p>
        </w:tc>
        <w:tc>
          <w:tcPr>
            <w:tcW w:w="739" w:type="pct"/>
            <w:tcBorders>
              <w:top w:val="nil"/>
              <w:left w:val="nil"/>
              <w:bottom w:val="single" w:sz="4" w:space="0" w:color="auto"/>
              <w:right w:val="nil"/>
            </w:tcBorders>
            <w:shd w:val="clear" w:color="000000" w:fill="D9D9D9"/>
            <w:noWrap/>
            <w:hideMark/>
          </w:tcPr>
          <w:p w:rsidR="00CF32C1" w:rsidRPr="00CF32C1" w:rsidRDefault="00CF32C1" w:rsidP="00CF32C1">
            <w:pPr>
              <w:suppressAutoHyphens/>
              <w:jc w:val="center"/>
              <w:rPr>
                <w:rFonts w:eastAsia="Times New Roman" w:cs="Arial"/>
                <w:b/>
                <w:bCs/>
                <w:sz w:val="20"/>
                <w:szCs w:val="20"/>
                <w:lang w:eastAsia="it-CH"/>
              </w:rPr>
            </w:pPr>
            <w:r w:rsidRPr="00CF32C1">
              <w:rPr>
                <w:rFonts w:eastAsia="Times New Roman" w:cs="Arial"/>
                <w:b/>
                <w:bCs/>
                <w:sz w:val="20"/>
                <w:szCs w:val="20"/>
                <w:lang w:eastAsia="it-CH"/>
              </w:rPr>
              <w:t>[</w:t>
            </w:r>
            <w:proofErr w:type="spellStart"/>
            <w:r w:rsidRPr="00CF32C1">
              <w:rPr>
                <w:rFonts w:eastAsia="Times New Roman" w:cs="Arial"/>
                <w:b/>
                <w:bCs/>
                <w:sz w:val="20"/>
                <w:szCs w:val="20"/>
                <w:lang w:eastAsia="it-CH"/>
              </w:rPr>
              <w:t>fr</w:t>
            </w:r>
            <w:proofErr w:type="spellEnd"/>
            <w:r w:rsidRPr="00CF32C1">
              <w:rPr>
                <w:rFonts w:eastAsia="Times New Roman" w:cs="Arial"/>
                <w:b/>
                <w:bCs/>
                <w:sz w:val="20"/>
                <w:szCs w:val="20"/>
                <w:lang w:eastAsia="it-CH"/>
              </w:rPr>
              <w:t>.]</w:t>
            </w:r>
          </w:p>
        </w:tc>
        <w:tc>
          <w:tcPr>
            <w:tcW w:w="741" w:type="pct"/>
            <w:tcBorders>
              <w:top w:val="nil"/>
              <w:left w:val="nil"/>
              <w:bottom w:val="single" w:sz="4" w:space="0" w:color="auto"/>
              <w:right w:val="nil"/>
            </w:tcBorders>
            <w:shd w:val="clear" w:color="000000" w:fill="D9D9D9"/>
            <w:noWrap/>
            <w:hideMark/>
          </w:tcPr>
          <w:p w:rsidR="00CF32C1" w:rsidRPr="00CF32C1" w:rsidRDefault="00CF32C1" w:rsidP="00CF32C1">
            <w:pPr>
              <w:suppressAutoHyphens/>
              <w:jc w:val="center"/>
              <w:rPr>
                <w:rFonts w:eastAsia="Times New Roman" w:cs="Arial"/>
                <w:b/>
                <w:bCs/>
                <w:sz w:val="20"/>
                <w:szCs w:val="20"/>
                <w:lang w:eastAsia="it-CH"/>
              </w:rPr>
            </w:pPr>
            <w:r w:rsidRPr="00CF32C1">
              <w:rPr>
                <w:rFonts w:eastAsia="Times New Roman" w:cs="Arial"/>
                <w:b/>
                <w:bCs/>
                <w:sz w:val="20"/>
                <w:szCs w:val="20"/>
                <w:lang w:eastAsia="it-CH"/>
              </w:rPr>
              <w:t>[%]</w:t>
            </w:r>
          </w:p>
        </w:tc>
      </w:tr>
      <w:tr w:rsidR="00CF32C1" w:rsidRPr="00CF32C1" w:rsidTr="007E3318">
        <w:trPr>
          <w:trHeight w:val="264"/>
        </w:trPr>
        <w:tc>
          <w:tcPr>
            <w:tcW w:w="1804" w:type="pct"/>
            <w:tcBorders>
              <w:top w:val="nil"/>
              <w:left w:val="nil"/>
              <w:bottom w:val="single" w:sz="4" w:space="0" w:color="auto"/>
              <w:right w:val="single" w:sz="4" w:space="0" w:color="auto"/>
            </w:tcBorders>
            <w:shd w:val="clear" w:color="auto" w:fill="auto"/>
            <w:noWrap/>
            <w:vAlign w:val="bottom"/>
            <w:hideMark/>
          </w:tcPr>
          <w:p w:rsidR="00CF32C1" w:rsidRPr="00CF32C1" w:rsidRDefault="00CF32C1" w:rsidP="00CF32C1">
            <w:pPr>
              <w:suppressAutoHyphens/>
              <w:jc w:val="left"/>
              <w:rPr>
                <w:rFonts w:eastAsia="Times New Roman" w:cs="Arial"/>
                <w:sz w:val="20"/>
                <w:szCs w:val="20"/>
                <w:lang w:eastAsia="it-CH"/>
              </w:rPr>
            </w:pPr>
            <w:r w:rsidRPr="00CF32C1">
              <w:rPr>
                <w:rFonts w:eastAsia="Times New Roman" w:cs="Arial"/>
                <w:sz w:val="20"/>
                <w:szCs w:val="20"/>
                <w:lang w:eastAsia="it-CH"/>
              </w:rPr>
              <w:t>Cantone</w:t>
            </w:r>
          </w:p>
        </w:tc>
        <w:tc>
          <w:tcPr>
            <w:tcW w:w="860" w:type="pct"/>
            <w:tcBorders>
              <w:top w:val="nil"/>
              <w:left w:val="nil"/>
              <w:bottom w:val="single" w:sz="4" w:space="0" w:color="auto"/>
              <w:right w:val="single" w:sz="4" w:space="0" w:color="auto"/>
            </w:tcBorders>
            <w:shd w:val="clear" w:color="auto" w:fill="auto"/>
            <w:noWrap/>
            <w:vAlign w:val="bottom"/>
            <w:hideMark/>
          </w:tcPr>
          <w:p w:rsidR="00CF32C1" w:rsidRPr="00CF32C1" w:rsidRDefault="00CF32C1" w:rsidP="00CF32C1">
            <w:pPr>
              <w:suppressAutoHyphens/>
              <w:jc w:val="right"/>
              <w:rPr>
                <w:rFonts w:eastAsia="Times New Roman" w:cs="Arial"/>
                <w:sz w:val="20"/>
                <w:szCs w:val="20"/>
                <w:lang w:eastAsia="it-CH"/>
              </w:rPr>
            </w:pPr>
            <w:r w:rsidRPr="00CF32C1">
              <w:rPr>
                <w:rFonts w:eastAsia="Times New Roman" w:cs="Arial"/>
                <w:sz w:val="20"/>
                <w:szCs w:val="20"/>
                <w:lang w:eastAsia="it-CH"/>
              </w:rPr>
              <w:t>947'050.00</w:t>
            </w:r>
          </w:p>
        </w:tc>
        <w:tc>
          <w:tcPr>
            <w:tcW w:w="856" w:type="pct"/>
            <w:tcBorders>
              <w:top w:val="nil"/>
              <w:left w:val="nil"/>
              <w:bottom w:val="single" w:sz="4" w:space="0" w:color="auto"/>
              <w:right w:val="single" w:sz="4" w:space="0" w:color="auto"/>
            </w:tcBorders>
            <w:shd w:val="clear" w:color="auto" w:fill="auto"/>
            <w:noWrap/>
            <w:vAlign w:val="bottom"/>
            <w:hideMark/>
          </w:tcPr>
          <w:p w:rsidR="00CF32C1" w:rsidRPr="00CF32C1" w:rsidRDefault="00CF32C1" w:rsidP="00CF32C1">
            <w:pPr>
              <w:suppressAutoHyphens/>
              <w:jc w:val="right"/>
              <w:rPr>
                <w:rFonts w:eastAsia="Times New Roman" w:cs="Arial"/>
                <w:sz w:val="20"/>
                <w:szCs w:val="20"/>
                <w:lang w:eastAsia="it-CH"/>
              </w:rPr>
            </w:pPr>
            <w:r w:rsidRPr="00CF32C1">
              <w:rPr>
                <w:rFonts w:eastAsia="Times New Roman" w:cs="Arial"/>
                <w:sz w:val="20"/>
                <w:szCs w:val="20"/>
                <w:lang w:eastAsia="it-CH"/>
              </w:rPr>
              <w:t>36'000.00</w:t>
            </w:r>
          </w:p>
        </w:tc>
        <w:tc>
          <w:tcPr>
            <w:tcW w:w="739" w:type="pct"/>
            <w:tcBorders>
              <w:top w:val="nil"/>
              <w:left w:val="nil"/>
              <w:bottom w:val="single" w:sz="4" w:space="0" w:color="auto"/>
              <w:right w:val="single" w:sz="4" w:space="0" w:color="auto"/>
            </w:tcBorders>
            <w:shd w:val="clear" w:color="000000" w:fill="D9D9D9"/>
            <w:noWrap/>
            <w:vAlign w:val="bottom"/>
            <w:hideMark/>
          </w:tcPr>
          <w:p w:rsidR="00CF32C1" w:rsidRPr="00CF32C1" w:rsidRDefault="00CF32C1" w:rsidP="00CF32C1">
            <w:pPr>
              <w:suppressAutoHyphens/>
              <w:jc w:val="right"/>
              <w:rPr>
                <w:rFonts w:eastAsia="Times New Roman" w:cs="Arial"/>
                <w:sz w:val="20"/>
                <w:szCs w:val="20"/>
                <w:lang w:eastAsia="it-CH"/>
              </w:rPr>
            </w:pPr>
            <w:r w:rsidRPr="00CF32C1">
              <w:rPr>
                <w:rFonts w:eastAsia="Times New Roman" w:cs="Arial"/>
                <w:sz w:val="20"/>
                <w:szCs w:val="20"/>
                <w:lang w:eastAsia="it-CH"/>
              </w:rPr>
              <w:t>983'050.00</w:t>
            </w:r>
          </w:p>
        </w:tc>
        <w:tc>
          <w:tcPr>
            <w:tcW w:w="741" w:type="pct"/>
            <w:tcBorders>
              <w:top w:val="single" w:sz="4" w:space="0" w:color="auto"/>
              <w:left w:val="nil"/>
              <w:bottom w:val="single" w:sz="4" w:space="0" w:color="auto"/>
              <w:right w:val="nil"/>
            </w:tcBorders>
            <w:shd w:val="clear" w:color="000000" w:fill="D9D9D9"/>
            <w:noWrap/>
            <w:vAlign w:val="bottom"/>
            <w:hideMark/>
          </w:tcPr>
          <w:p w:rsidR="00CF32C1" w:rsidRPr="00CF32C1" w:rsidRDefault="00CF32C1" w:rsidP="00CF32C1">
            <w:pPr>
              <w:suppressAutoHyphens/>
              <w:jc w:val="right"/>
              <w:rPr>
                <w:rFonts w:eastAsia="Times New Roman" w:cs="Arial"/>
                <w:sz w:val="20"/>
                <w:szCs w:val="20"/>
                <w:lang w:eastAsia="it-CH"/>
              </w:rPr>
            </w:pPr>
            <w:r w:rsidRPr="00CF32C1">
              <w:rPr>
                <w:rFonts w:eastAsia="Times New Roman" w:cs="Arial"/>
                <w:sz w:val="20"/>
                <w:szCs w:val="20"/>
                <w:lang w:eastAsia="it-CH"/>
              </w:rPr>
              <w:t>54.77%</w:t>
            </w:r>
          </w:p>
        </w:tc>
      </w:tr>
      <w:tr w:rsidR="00CF32C1" w:rsidRPr="00CF32C1" w:rsidTr="007E3318">
        <w:trPr>
          <w:trHeight w:val="264"/>
        </w:trPr>
        <w:tc>
          <w:tcPr>
            <w:tcW w:w="1804" w:type="pct"/>
            <w:tcBorders>
              <w:top w:val="nil"/>
              <w:left w:val="nil"/>
              <w:bottom w:val="single" w:sz="4" w:space="0" w:color="auto"/>
              <w:right w:val="single" w:sz="4" w:space="0" w:color="auto"/>
            </w:tcBorders>
            <w:shd w:val="clear" w:color="auto" w:fill="auto"/>
            <w:noWrap/>
            <w:vAlign w:val="bottom"/>
            <w:hideMark/>
          </w:tcPr>
          <w:p w:rsidR="00CF32C1" w:rsidRPr="00CF32C1" w:rsidRDefault="00CF32C1" w:rsidP="00CF32C1">
            <w:pPr>
              <w:suppressAutoHyphens/>
              <w:jc w:val="left"/>
              <w:rPr>
                <w:rFonts w:eastAsia="Times New Roman" w:cs="Arial"/>
                <w:sz w:val="20"/>
                <w:szCs w:val="20"/>
                <w:lang w:eastAsia="it-CH"/>
              </w:rPr>
            </w:pPr>
            <w:r w:rsidRPr="00CF32C1">
              <w:rPr>
                <w:rFonts w:eastAsia="Times New Roman" w:cs="Arial"/>
                <w:sz w:val="20"/>
                <w:szCs w:val="20"/>
                <w:lang w:eastAsia="it-CH"/>
              </w:rPr>
              <w:t>Confederazione</w:t>
            </w:r>
          </w:p>
        </w:tc>
        <w:tc>
          <w:tcPr>
            <w:tcW w:w="860" w:type="pct"/>
            <w:tcBorders>
              <w:top w:val="nil"/>
              <w:left w:val="nil"/>
              <w:bottom w:val="single" w:sz="4" w:space="0" w:color="auto"/>
              <w:right w:val="single" w:sz="4" w:space="0" w:color="auto"/>
            </w:tcBorders>
            <w:shd w:val="clear" w:color="auto" w:fill="auto"/>
            <w:noWrap/>
            <w:vAlign w:val="bottom"/>
            <w:hideMark/>
          </w:tcPr>
          <w:p w:rsidR="00CF32C1" w:rsidRPr="00CF32C1" w:rsidRDefault="00CF32C1" w:rsidP="00CF32C1">
            <w:pPr>
              <w:suppressAutoHyphens/>
              <w:jc w:val="right"/>
              <w:rPr>
                <w:rFonts w:eastAsia="Times New Roman" w:cs="Arial"/>
                <w:sz w:val="20"/>
                <w:szCs w:val="20"/>
                <w:lang w:eastAsia="it-CH"/>
              </w:rPr>
            </w:pPr>
            <w:r w:rsidRPr="00CF32C1">
              <w:rPr>
                <w:rFonts w:eastAsia="Times New Roman" w:cs="Arial"/>
                <w:sz w:val="20"/>
                <w:szCs w:val="20"/>
                <w:lang w:eastAsia="it-CH"/>
              </w:rPr>
              <w:t>392'950.00</w:t>
            </w:r>
          </w:p>
        </w:tc>
        <w:tc>
          <w:tcPr>
            <w:tcW w:w="856" w:type="pct"/>
            <w:tcBorders>
              <w:top w:val="nil"/>
              <w:left w:val="nil"/>
              <w:bottom w:val="single" w:sz="4" w:space="0" w:color="auto"/>
              <w:right w:val="single" w:sz="4" w:space="0" w:color="auto"/>
            </w:tcBorders>
            <w:shd w:val="clear" w:color="auto" w:fill="auto"/>
            <w:noWrap/>
            <w:vAlign w:val="bottom"/>
            <w:hideMark/>
          </w:tcPr>
          <w:p w:rsidR="00CF32C1" w:rsidRPr="00CF32C1" w:rsidRDefault="00CF32C1" w:rsidP="00CF32C1">
            <w:pPr>
              <w:suppressAutoHyphens/>
              <w:jc w:val="right"/>
              <w:rPr>
                <w:rFonts w:eastAsia="Times New Roman" w:cs="Arial"/>
                <w:sz w:val="20"/>
                <w:szCs w:val="20"/>
                <w:lang w:eastAsia="it-CH"/>
              </w:rPr>
            </w:pPr>
            <w:r w:rsidRPr="00CF32C1">
              <w:rPr>
                <w:rFonts w:eastAsia="Times New Roman" w:cs="Arial"/>
                <w:sz w:val="20"/>
                <w:szCs w:val="20"/>
                <w:lang w:eastAsia="it-CH"/>
              </w:rPr>
              <w:t>48'000.00</w:t>
            </w:r>
          </w:p>
        </w:tc>
        <w:tc>
          <w:tcPr>
            <w:tcW w:w="739" w:type="pct"/>
            <w:tcBorders>
              <w:top w:val="nil"/>
              <w:left w:val="nil"/>
              <w:bottom w:val="single" w:sz="4" w:space="0" w:color="auto"/>
              <w:right w:val="single" w:sz="4" w:space="0" w:color="auto"/>
            </w:tcBorders>
            <w:shd w:val="clear" w:color="000000" w:fill="D9D9D9"/>
            <w:noWrap/>
            <w:vAlign w:val="bottom"/>
            <w:hideMark/>
          </w:tcPr>
          <w:p w:rsidR="00CF32C1" w:rsidRPr="00CF32C1" w:rsidRDefault="00CF32C1" w:rsidP="00CF32C1">
            <w:pPr>
              <w:suppressAutoHyphens/>
              <w:jc w:val="right"/>
              <w:rPr>
                <w:rFonts w:eastAsia="Times New Roman" w:cs="Arial"/>
                <w:sz w:val="20"/>
                <w:szCs w:val="20"/>
                <w:lang w:eastAsia="it-CH"/>
              </w:rPr>
            </w:pPr>
            <w:r w:rsidRPr="00CF32C1">
              <w:rPr>
                <w:rFonts w:eastAsia="Times New Roman" w:cs="Arial"/>
                <w:sz w:val="20"/>
                <w:szCs w:val="20"/>
                <w:lang w:eastAsia="it-CH"/>
              </w:rPr>
              <w:t>440'950.00</w:t>
            </w:r>
          </w:p>
        </w:tc>
        <w:tc>
          <w:tcPr>
            <w:tcW w:w="741" w:type="pct"/>
            <w:tcBorders>
              <w:top w:val="nil"/>
              <w:left w:val="nil"/>
              <w:bottom w:val="single" w:sz="4" w:space="0" w:color="auto"/>
              <w:right w:val="nil"/>
            </w:tcBorders>
            <w:shd w:val="clear" w:color="000000" w:fill="D9D9D9"/>
            <w:noWrap/>
            <w:vAlign w:val="bottom"/>
            <w:hideMark/>
          </w:tcPr>
          <w:p w:rsidR="00CF32C1" w:rsidRPr="00CF32C1" w:rsidRDefault="00CF32C1" w:rsidP="00CF32C1">
            <w:pPr>
              <w:suppressAutoHyphens/>
              <w:jc w:val="right"/>
              <w:rPr>
                <w:rFonts w:eastAsia="Times New Roman" w:cs="Arial"/>
                <w:sz w:val="20"/>
                <w:szCs w:val="20"/>
                <w:lang w:eastAsia="it-CH"/>
              </w:rPr>
            </w:pPr>
            <w:r w:rsidRPr="00CF32C1">
              <w:rPr>
                <w:rFonts w:eastAsia="Times New Roman" w:cs="Arial"/>
                <w:sz w:val="20"/>
                <w:szCs w:val="20"/>
                <w:lang w:eastAsia="it-CH"/>
              </w:rPr>
              <w:t>24.57%</w:t>
            </w:r>
          </w:p>
        </w:tc>
      </w:tr>
      <w:tr w:rsidR="00CF32C1" w:rsidRPr="00CF32C1" w:rsidTr="007E3318">
        <w:trPr>
          <w:trHeight w:val="264"/>
        </w:trPr>
        <w:tc>
          <w:tcPr>
            <w:tcW w:w="1804" w:type="pct"/>
            <w:tcBorders>
              <w:top w:val="nil"/>
              <w:left w:val="nil"/>
              <w:bottom w:val="single" w:sz="4" w:space="0" w:color="auto"/>
              <w:right w:val="single" w:sz="4" w:space="0" w:color="auto"/>
            </w:tcBorders>
            <w:shd w:val="clear" w:color="auto" w:fill="auto"/>
            <w:noWrap/>
            <w:vAlign w:val="bottom"/>
            <w:hideMark/>
          </w:tcPr>
          <w:p w:rsidR="00CF32C1" w:rsidRPr="00CF32C1" w:rsidRDefault="00CF32C1" w:rsidP="00CF32C1">
            <w:pPr>
              <w:suppressAutoHyphens/>
              <w:jc w:val="left"/>
              <w:rPr>
                <w:rFonts w:eastAsia="Times New Roman" w:cs="Arial"/>
                <w:sz w:val="20"/>
                <w:szCs w:val="20"/>
                <w:lang w:eastAsia="it-CH"/>
              </w:rPr>
            </w:pPr>
            <w:r w:rsidRPr="00CF32C1">
              <w:rPr>
                <w:rFonts w:eastAsia="Times New Roman" w:cs="Arial"/>
                <w:sz w:val="20"/>
                <w:szCs w:val="20"/>
                <w:lang w:eastAsia="it-CH"/>
              </w:rPr>
              <w:t xml:space="preserve">Comune di Avegno </w:t>
            </w:r>
            <w:proofErr w:type="spellStart"/>
            <w:r w:rsidRPr="00CF32C1">
              <w:rPr>
                <w:rFonts w:eastAsia="Times New Roman" w:cs="Arial"/>
                <w:sz w:val="20"/>
                <w:szCs w:val="20"/>
                <w:lang w:eastAsia="it-CH"/>
              </w:rPr>
              <w:t>Gordevio</w:t>
            </w:r>
            <w:proofErr w:type="spellEnd"/>
          </w:p>
        </w:tc>
        <w:tc>
          <w:tcPr>
            <w:tcW w:w="860" w:type="pct"/>
            <w:tcBorders>
              <w:top w:val="nil"/>
              <w:left w:val="nil"/>
              <w:bottom w:val="single" w:sz="4" w:space="0" w:color="auto"/>
              <w:right w:val="single" w:sz="4" w:space="0" w:color="auto"/>
            </w:tcBorders>
            <w:shd w:val="clear" w:color="auto" w:fill="auto"/>
            <w:noWrap/>
            <w:vAlign w:val="bottom"/>
            <w:hideMark/>
          </w:tcPr>
          <w:p w:rsidR="00CF32C1" w:rsidRPr="00CF32C1" w:rsidRDefault="00CF32C1" w:rsidP="00CF32C1">
            <w:pPr>
              <w:suppressAutoHyphens/>
              <w:jc w:val="right"/>
              <w:rPr>
                <w:rFonts w:eastAsia="Times New Roman" w:cs="Arial"/>
                <w:sz w:val="20"/>
                <w:szCs w:val="20"/>
                <w:lang w:eastAsia="it-CH"/>
              </w:rPr>
            </w:pPr>
            <w:r w:rsidRPr="00CF32C1">
              <w:rPr>
                <w:rFonts w:eastAsia="Times New Roman" w:cs="Arial"/>
                <w:sz w:val="20"/>
                <w:szCs w:val="20"/>
                <w:lang w:eastAsia="it-CH"/>
              </w:rPr>
              <w:t>167'560.00</w:t>
            </w:r>
          </w:p>
        </w:tc>
        <w:tc>
          <w:tcPr>
            <w:tcW w:w="856" w:type="pct"/>
            <w:tcBorders>
              <w:top w:val="nil"/>
              <w:left w:val="nil"/>
              <w:bottom w:val="single" w:sz="4" w:space="0" w:color="auto"/>
              <w:right w:val="single" w:sz="4" w:space="0" w:color="auto"/>
            </w:tcBorders>
            <w:shd w:val="clear" w:color="auto" w:fill="auto"/>
            <w:noWrap/>
            <w:vAlign w:val="bottom"/>
            <w:hideMark/>
          </w:tcPr>
          <w:p w:rsidR="00CF32C1" w:rsidRPr="00CF32C1" w:rsidRDefault="00CF32C1" w:rsidP="00CF32C1">
            <w:pPr>
              <w:suppressAutoHyphens/>
              <w:jc w:val="right"/>
              <w:rPr>
                <w:rFonts w:eastAsia="Times New Roman" w:cs="Arial"/>
                <w:sz w:val="20"/>
                <w:szCs w:val="20"/>
                <w:lang w:eastAsia="it-CH"/>
              </w:rPr>
            </w:pPr>
            <w:r w:rsidRPr="00CF32C1">
              <w:rPr>
                <w:rFonts w:eastAsia="Times New Roman" w:cs="Arial"/>
                <w:sz w:val="20"/>
                <w:szCs w:val="20"/>
                <w:lang w:eastAsia="it-CH"/>
              </w:rPr>
              <w:t>36'000.00</w:t>
            </w:r>
          </w:p>
        </w:tc>
        <w:tc>
          <w:tcPr>
            <w:tcW w:w="739" w:type="pct"/>
            <w:tcBorders>
              <w:top w:val="nil"/>
              <w:left w:val="nil"/>
              <w:bottom w:val="single" w:sz="4" w:space="0" w:color="auto"/>
              <w:right w:val="single" w:sz="4" w:space="0" w:color="auto"/>
            </w:tcBorders>
            <w:shd w:val="clear" w:color="000000" w:fill="D9D9D9"/>
            <w:noWrap/>
            <w:vAlign w:val="bottom"/>
            <w:hideMark/>
          </w:tcPr>
          <w:p w:rsidR="00CF32C1" w:rsidRPr="00CF32C1" w:rsidRDefault="00CF32C1" w:rsidP="00CF32C1">
            <w:pPr>
              <w:suppressAutoHyphens/>
              <w:jc w:val="right"/>
              <w:rPr>
                <w:rFonts w:eastAsia="Times New Roman" w:cs="Arial"/>
                <w:sz w:val="20"/>
                <w:szCs w:val="20"/>
                <w:lang w:eastAsia="it-CH"/>
              </w:rPr>
            </w:pPr>
            <w:r w:rsidRPr="00CF32C1">
              <w:rPr>
                <w:rFonts w:eastAsia="Times New Roman" w:cs="Arial"/>
                <w:sz w:val="20"/>
                <w:szCs w:val="20"/>
                <w:lang w:eastAsia="it-CH"/>
              </w:rPr>
              <w:t>203'560.00</w:t>
            </w:r>
          </w:p>
        </w:tc>
        <w:tc>
          <w:tcPr>
            <w:tcW w:w="741" w:type="pct"/>
            <w:tcBorders>
              <w:top w:val="single" w:sz="4" w:space="0" w:color="auto"/>
              <w:left w:val="nil"/>
              <w:bottom w:val="single" w:sz="4" w:space="0" w:color="auto"/>
              <w:right w:val="nil"/>
            </w:tcBorders>
            <w:shd w:val="clear" w:color="000000" w:fill="D9D9D9"/>
            <w:noWrap/>
            <w:vAlign w:val="bottom"/>
            <w:hideMark/>
          </w:tcPr>
          <w:p w:rsidR="00CF32C1" w:rsidRPr="00CF32C1" w:rsidRDefault="00CF32C1" w:rsidP="00CF32C1">
            <w:pPr>
              <w:suppressAutoHyphens/>
              <w:jc w:val="right"/>
              <w:rPr>
                <w:rFonts w:eastAsia="Times New Roman" w:cs="Arial"/>
                <w:sz w:val="20"/>
                <w:szCs w:val="20"/>
                <w:lang w:eastAsia="it-CH"/>
              </w:rPr>
            </w:pPr>
            <w:r w:rsidRPr="00CF32C1">
              <w:rPr>
                <w:rFonts w:eastAsia="Times New Roman" w:cs="Arial"/>
                <w:sz w:val="20"/>
                <w:szCs w:val="20"/>
                <w:lang w:eastAsia="it-CH"/>
              </w:rPr>
              <w:t>11.34%</w:t>
            </w:r>
          </w:p>
        </w:tc>
      </w:tr>
      <w:tr w:rsidR="00CF32C1" w:rsidRPr="00CF32C1" w:rsidTr="007E3318">
        <w:trPr>
          <w:trHeight w:val="264"/>
        </w:trPr>
        <w:tc>
          <w:tcPr>
            <w:tcW w:w="1804" w:type="pct"/>
            <w:tcBorders>
              <w:top w:val="nil"/>
              <w:left w:val="nil"/>
              <w:bottom w:val="single" w:sz="4" w:space="0" w:color="auto"/>
              <w:right w:val="single" w:sz="4" w:space="0" w:color="auto"/>
            </w:tcBorders>
            <w:shd w:val="clear" w:color="auto" w:fill="auto"/>
            <w:noWrap/>
            <w:vAlign w:val="bottom"/>
            <w:hideMark/>
          </w:tcPr>
          <w:p w:rsidR="00CF32C1" w:rsidRPr="00CF32C1" w:rsidRDefault="00CF32C1" w:rsidP="00CF32C1">
            <w:pPr>
              <w:suppressAutoHyphens/>
              <w:jc w:val="left"/>
              <w:rPr>
                <w:rFonts w:eastAsia="Times New Roman" w:cs="Arial"/>
                <w:sz w:val="20"/>
                <w:szCs w:val="20"/>
                <w:lang w:eastAsia="it-CH"/>
              </w:rPr>
            </w:pPr>
            <w:r w:rsidRPr="00CF32C1">
              <w:rPr>
                <w:rFonts w:eastAsia="Times New Roman" w:cs="Arial"/>
                <w:sz w:val="20"/>
                <w:szCs w:val="20"/>
                <w:lang w:eastAsia="it-CH"/>
              </w:rPr>
              <w:t>Ricavo forfettario legname</w:t>
            </w:r>
          </w:p>
        </w:tc>
        <w:tc>
          <w:tcPr>
            <w:tcW w:w="860" w:type="pct"/>
            <w:tcBorders>
              <w:top w:val="nil"/>
              <w:left w:val="nil"/>
              <w:bottom w:val="single" w:sz="4" w:space="0" w:color="auto"/>
              <w:right w:val="single" w:sz="4" w:space="0" w:color="auto"/>
            </w:tcBorders>
            <w:shd w:val="clear" w:color="auto" w:fill="auto"/>
            <w:noWrap/>
            <w:vAlign w:val="bottom"/>
            <w:hideMark/>
          </w:tcPr>
          <w:p w:rsidR="00CF32C1" w:rsidRPr="00CF32C1" w:rsidRDefault="00CF32C1" w:rsidP="00CF32C1">
            <w:pPr>
              <w:suppressAutoHyphens/>
              <w:jc w:val="right"/>
              <w:rPr>
                <w:rFonts w:eastAsia="Times New Roman" w:cs="Arial"/>
                <w:sz w:val="20"/>
                <w:szCs w:val="20"/>
                <w:lang w:eastAsia="it-CH"/>
              </w:rPr>
            </w:pPr>
            <w:r w:rsidRPr="00CF32C1">
              <w:rPr>
                <w:rFonts w:eastAsia="Times New Roman" w:cs="Arial"/>
                <w:sz w:val="20"/>
                <w:szCs w:val="20"/>
                <w:lang w:eastAsia="it-CH"/>
              </w:rPr>
              <w:t>167'440.00</w:t>
            </w:r>
          </w:p>
        </w:tc>
        <w:tc>
          <w:tcPr>
            <w:tcW w:w="856" w:type="pct"/>
            <w:tcBorders>
              <w:top w:val="nil"/>
              <w:left w:val="nil"/>
              <w:bottom w:val="single" w:sz="4" w:space="0" w:color="auto"/>
              <w:right w:val="single" w:sz="4" w:space="0" w:color="auto"/>
            </w:tcBorders>
            <w:shd w:val="clear" w:color="auto" w:fill="auto"/>
            <w:noWrap/>
            <w:vAlign w:val="bottom"/>
            <w:hideMark/>
          </w:tcPr>
          <w:p w:rsidR="00CF32C1" w:rsidRPr="00CF32C1" w:rsidRDefault="00CF32C1" w:rsidP="00CF32C1">
            <w:pPr>
              <w:suppressAutoHyphens/>
              <w:jc w:val="right"/>
              <w:rPr>
                <w:rFonts w:eastAsia="Times New Roman" w:cs="Arial"/>
                <w:sz w:val="20"/>
                <w:szCs w:val="20"/>
                <w:lang w:eastAsia="it-CH"/>
              </w:rPr>
            </w:pPr>
            <w:r w:rsidRPr="00CF32C1">
              <w:rPr>
                <w:rFonts w:eastAsia="Times New Roman" w:cs="Arial"/>
                <w:sz w:val="20"/>
                <w:szCs w:val="20"/>
                <w:lang w:eastAsia="it-CH"/>
              </w:rPr>
              <w:t>0.00</w:t>
            </w:r>
          </w:p>
        </w:tc>
        <w:tc>
          <w:tcPr>
            <w:tcW w:w="739" w:type="pct"/>
            <w:tcBorders>
              <w:top w:val="nil"/>
              <w:left w:val="nil"/>
              <w:bottom w:val="single" w:sz="4" w:space="0" w:color="auto"/>
              <w:right w:val="single" w:sz="4" w:space="0" w:color="auto"/>
            </w:tcBorders>
            <w:shd w:val="clear" w:color="000000" w:fill="D9D9D9"/>
            <w:noWrap/>
            <w:vAlign w:val="bottom"/>
            <w:hideMark/>
          </w:tcPr>
          <w:p w:rsidR="00CF32C1" w:rsidRPr="00CF32C1" w:rsidRDefault="00CF32C1" w:rsidP="00CF32C1">
            <w:pPr>
              <w:suppressAutoHyphens/>
              <w:jc w:val="right"/>
              <w:rPr>
                <w:rFonts w:eastAsia="Times New Roman" w:cs="Arial"/>
                <w:sz w:val="20"/>
                <w:szCs w:val="20"/>
                <w:lang w:eastAsia="it-CH"/>
              </w:rPr>
            </w:pPr>
            <w:r w:rsidRPr="00CF32C1">
              <w:rPr>
                <w:rFonts w:eastAsia="Times New Roman" w:cs="Arial"/>
                <w:sz w:val="20"/>
                <w:szCs w:val="20"/>
                <w:lang w:eastAsia="it-CH"/>
              </w:rPr>
              <w:t>167'440.00</w:t>
            </w:r>
          </w:p>
        </w:tc>
        <w:tc>
          <w:tcPr>
            <w:tcW w:w="741" w:type="pct"/>
            <w:tcBorders>
              <w:top w:val="nil"/>
              <w:left w:val="nil"/>
              <w:bottom w:val="single" w:sz="4" w:space="0" w:color="auto"/>
              <w:right w:val="nil"/>
            </w:tcBorders>
            <w:shd w:val="clear" w:color="000000" w:fill="D9D9D9"/>
            <w:noWrap/>
            <w:vAlign w:val="bottom"/>
            <w:hideMark/>
          </w:tcPr>
          <w:p w:rsidR="00CF32C1" w:rsidRPr="00CF32C1" w:rsidRDefault="00CF32C1" w:rsidP="00CF32C1">
            <w:pPr>
              <w:suppressAutoHyphens/>
              <w:jc w:val="right"/>
              <w:rPr>
                <w:rFonts w:eastAsia="Times New Roman" w:cs="Arial"/>
                <w:sz w:val="20"/>
                <w:szCs w:val="20"/>
                <w:lang w:eastAsia="it-CH"/>
              </w:rPr>
            </w:pPr>
            <w:r w:rsidRPr="00CF32C1">
              <w:rPr>
                <w:rFonts w:eastAsia="Times New Roman" w:cs="Arial"/>
                <w:sz w:val="20"/>
                <w:szCs w:val="20"/>
                <w:lang w:eastAsia="it-CH"/>
              </w:rPr>
              <w:t>9.33%</w:t>
            </w:r>
          </w:p>
        </w:tc>
      </w:tr>
      <w:tr w:rsidR="00CF32C1" w:rsidRPr="00CF32C1" w:rsidTr="007E3318">
        <w:trPr>
          <w:trHeight w:val="264"/>
        </w:trPr>
        <w:tc>
          <w:tcPr>
            <w:tcW w:w="1804" w:type="pct"/>
            <w:tcBorders>
              <w:top w:val="nil"/>
              <w:left w:val="nil"/>
              <w:bottom w:val="single" w:sz="4" w:space="0" w:color="auto"/>
              <w:right w:val="single" w:sz="4" w:space="0" w:color="auto"/>
            </w:tcBorders>
            <w:shd w:val="clear" w:color="000000" w:fill="D9D9D9"/>
            <w:noWrap/>
            <w:vAlign w:val="bottom"/>
            <w:hideMark/>
          </w:tcPr>
          <w:p w:rsidR="00CF32C1" w:rsidRPr="00CF32C1" w:rsidRDefault="00CF32C1" w:rsidP="00CF32C1">
            <w:pPr>
              <w:suppressAutoHyphens/>
              <w:jc w:val="left"/>
              <w:rPr>
                <w:rFonts w:eastAsia="Times New Roman" w:cs="Arial"/>
                <w:b/>
                <w:bCs/>
                <w:sz w:val="20"/>
                <w:szCs w:val="20"/>
                <w:lang w:eastAsia="it-CH"/>
              </w:rPr>
            </w:pPr>
            <w:r w:rsidRPr="00CF32C1">
              <w:rPr>
                <w:rFonts w:eastAsia="Times New Roman" w:cs="Arial"/>
                <w:b/>
                <w:bCs/>
                <w:sz w:val="20"/>
                <w:szCs w:val="20"/>
                <w:lang w:eastAsia="it-CH"/>
              </w:rPr>
              <w:t>Totale</w:t>
            </w:r>
          </w:p>
        </w:tc>
        <w:tc>
          <w:tcPr>
            <w:tcW w:w="860" w:type="pct"/>
            <w:tcBorders>
              <w:top w:val="nil"/>
              <w:left w:val="nil"/>
              <w:bottom w:val="single" w:sz="4" w:space="0" w:color="auto"/>
              <w:right w:val="single" w:sz="4" w:space="0" w:color="auto"/>
            </w:tcBorders>
            <w:shd w:val="clear" w:color="000000" w:fill="D9D9D9"/>
            <w:noWrap/>
            <w:vAlign w:val="bottom"/>
            <w:hideMark/>
          </w:tcPr>
          <w:p w:rsidR="00CF32C1" w:rsidRPr="00CF32C1" w:rsidRDefault="00CF32C1" w:rsidP="00CF32C1">
            <w:pPr>
              <w:suppressAutoHyphens/>
              <w:jc w:val="right"/>
              <w:rPr>
                <w:rFonts w:eastAsia="Times New Roman" w:cs="Arial"/>
                <w:b/>
                <w:bCs/>
                <w:sz w:val="20"/>
                <w:szCs w:val="20"/>
                <w:lang w:eastAsia="it-CH"/>
              </w:rPr>
            </w:pPr>
            <w:r w:rsidRPr="00CF32C1">
              <w:rPr>
                <w:rFonts w:eastAsia="Times New Roman" w:cs="Arial"/>
                <w:b/>
                <w:bCs/>
                <w:sz w:val="20"/>
                <w:szCs w:val="20"/>
                <w:lang w:eastAsia="it-CH"/>
              </w:rPr>
              <w:t>1'675'000.00</w:t>
            </w:r>
          </w:p>
        </w:tc>
        <w:tc>
          <w:tcPr>
            <w:tcW w:w="856" w:type="pct"/>
            <w:tcBorders>
              <w:top w:val="nil"/>
              <w:left w:val="nil"/>
              <w:bottom w:val="single" w:sz="4" w:space="0" w:color="auto"/>
              <w:right w:val="single" w:sz="4" w:space="0" w:color="auto"/>
            </w:tcBorders>
            <w:shd w:val="clear" w:color="000000" w:fill="D9D9D9"/>
            <w:noWrap/>
            <w:vAlign w:val="bottom"/>
            <w:hideMark/>
          </w:tcPr>
          <w:p w:rsidR="00CF32C1" w:rsidRPr="00CF32C1" w:rsidRDefault="00CF32C1" w:rsidP="00CF32C1">
            <w:pPr>
              <w:suppressAutoHyphens/>
              <w:jc w:val="right"/>
              <w:rPr>
                <w:rFonts w:eastAsia="Times New Roman" w:cs="Arial"/>
                <w:b/>
                <w:bCs/>
                <w:sz w:val="20"/>
                <w:szCs w:val="20"/>
                <w:lang w:eastAsia="it-CH"/>
              </w:rPr>
            </w:pPr>
            <w:r w:rsidRPr="00CF32C1">
              <w:rPr>
                <w:rFonts w:eastAsia="Times New Roman" w:cs="Arial"/>
                <w:b/>
                <w:bCs/>
                <w:sz w:val="20"/>
                <w:szCs w:val="20"/>
                <w:lang w:eastAsia="it-CH"/>
              </w:rPr>
              <w:t>120'000.00</w:t>
            </w:r>
          </w:p>
        </w:tc>
        <w:tc>
          <w:tcPr>
            <w:tcW w:w="739" w:type="pct"/>
            <w:tcBorders>
              <w:top w:val="nil"/>
              <w:left w:val="nil"/>
              <w:bottom w:val="single" w:sz="4" w:space="0" w:color="auto"/>
              <w:right w:val="single" w:sz="4" w:space="0" w:color="auto"/>
            </w:tcBorders>
            <w:shd w:val="clear" w:color="000000" w:fill="D9D9D9"/>
            <w:noWrap/>
            <w:vAlign w:val="bottom"/>
            <w:hideMark/>
          </w:tcPr>
          <w:p w:rsidR="00CF32C1" w:rsidRPr="00CF32C1" w:rsidRDefault="00CF32C1" w:rsidP="00CF32C1">
            <w:pPr>
              <w:suppressAutoHyphens/>
              <w:jc w:val="right"/>
              <w:rPr>
                <w:rFonts w:eastAsia="Times New Roman" w:cs="Arial"/>
                <w:b/>
                <w:bCs/>
                <w:sz w:val="20"/>
                <w:szCs w:val="20"/>
                <w:lang w:eastAsia="it-CH"/>
              </w:rPr>
            </w:pPr>
            <w:r w:rsidRPr="00CF32C1">
              <w:rPr>
                <w:rFonts w:eastAsia="Times New Roman" w:cs="Arial"/>
                <w:b/>
                <w:bCs/>
                <w:sz w:val="20"/>
                <w:szCs w:val="20"/>
                <w:lang w:eastAsia="it-CH"/>
              </w:rPr>
              <w:t>1'795'000.00</w:t>
            </w:r>
          </w:p>
        </w:tc>
        <w:tc>
          <w:tcPr>
            <w:tcW w:w="741" w:type="pct"/>
            <w:tcBorders>
              <w:top w:val="single" w:sz="4" w:space="0" w:color="auto"/>
              <w:left w:val="nil"/>
              <w:bottom w:val="single" w:sz="4" w:space="0" w:color="auto"/>
              <w:right w:val="nil"/>
            </w:tcBorders>
            <w:shd w:val="clear" w:color="000000" w:fill="D9D9D9"/>
            <w:noWrap/>
            <w:vAlign w:val="bottom"/>
            <w:hideMark/>
          </w:tcPr>
          <w:p w:rsidR="00CF32C1" w:rsidRPr="00CF32C1" w:rsidRDefault="00CF32C1" w:rsidP="00CF32C1">
            <w:pPr>
              <w:suppressAutoHyphens/>
              <w:jc w:val="right"/>
              <w:rPr>
                <w:rFonts w:eastAsia="Times New Roman" w:cs="Arial"/>
                <w:sz w:val="20"/>
                <w:szCs w:val="20"/>
                <w:lang w:eastAsia="it-CH"/>
              </w:rPr>
            </w:pPr>
            <w:r w:rsidRPr="00CF32C1">
              <w:rPr>
                <w:rFonts w:eastAsia="Times New Roman" w:cs="Arial"/>
                <w:sz w:val="20"/>
                <w:szCs w:val="20"/>
                <w:lang w:eastAsia="it-CH"/>
              </w:rPr>
              <w:t>100.00%</w:t>
            </w:r>
          </w:p>
        </w:tc>
      </w:tr>
    </w:tbl>
    <w:p w:rsidR="00CF32C1" w:rsidRPr="00CF32C1" w:rsidRDefault="00CF32C1" w:rsidP="00CF32C1">
      <w:pPr>
        <w:tabs>
          <w:tab w:val="left" w:pos="360"/>
        </w:tabs>
        <w:rPr>
          <w:rFonts w:eastAsia="Times New Roman" w:cs="Times New Roman"/>
          <w:sz w:val="24"/>
          <w:szCs w:val="24"/>
          <w:lang w:val="it-IT" w:eastAsia="it-IT"/>
        </w:rPr>
      </w:pPr>
    </w:p>
    <w:p w:rsidR="00CF32C1" w:rsidRPr="00CF32C1" w:rsidRDefault="00CF32C1" w:rsidP="00CF32C1">
      <w:pPr>
        <w:tabs>
          <w:tab w:val="left" w:pos="360"/>
        </w:tabs>
        <w:rPr>
          <w:rFonts w:eastAsia="Times New Roman" w:cs="Times New Roman"/>
          <w:sz w:val="24"/>
          <w:szCs w:val="24"/>
          <w:lang w:val="it-IT" w:eastAsia="it-IT"/>
        </w:rPr>
      </w:pPr>
      <w:r w:rsidRPr="00CF32C1">
        <w:rPr>
          <w:rFonts w:eastAsia="Times New Roman" w:cs="Times New Roman"/>
          <w:sz w:val="24"/>
          <w:szCs w:val="24"/>
          <w:lang w:val="it-IT" w:eastAsia="it-IT"/>
        </w:rPr>
        <w:t>Esso è basato sugli accordi programmatici con la Confederazione, di cui si ricordano alcune caratteristiche:</w:t>
      </w:r>
    </w:p>
    <w:p w:rsidR="00CF32C1" w:rsidRPr="00CF32C1" w:rsidRDefault="00CF32C1" w:rsidP="00F131B9">
      <w:pPr>
        <w:numPr>
          <w:ilvl w:val="0"/>
          <w:numId w:val="19"/>
        </w:numPr>
        <w:tabs>
          <w:tab w:val="left" w:pos="360"/>
        </w:tabs>
        <w:suppressAutoHyphens/>
        <w:spacing w:before="120"/>
        <w:ind w:left="284" w:hanging="284"/>
        <w:rPr>
          <w:rFonts w:eastAsia="Times New Roman" w:cs="Times New Roman"/>
          <w:sz w:val="24"/>
          <w:szCs w:val="24"/>
          <w:lang w:val="it-IT" w:eastAsia="it-IT"/>
        </w:rPr>
      </w:pPr>
      <w:r w:rsidRPr="00CF32C1">
        <w:rPr>
          <w:rFonts w:eastAsia="Times New Roman" w:cs="Times New Roman"/>
          <w:sz w:val="24"/>
          <w:szCs w:val="24"/>
          <w:lang w:val="it-IT" w:eastAsia="it-IT"/>
        </w:rPr>
        <w:t xml:space="preserve">nell’ambito dell’accordo programmatico concernente il bosco, per il trattamento del bosco di protezione (ID 7a-1, IP 1.1), la Confederazione riversa al Cantone Ticino un contributo forfettario di 5'000 franchi per ogni ettaro trattato nel bosco di protezione, indipendentemente dal costo reale dei lavori. Il Cantone, sulla base di tutti i progetti </w:t>
      </w:r>
      <w:proofErr w:type="spellStart"/>
      <w:r w:rsidRPr="00CF32C1">
        <w:rPr>
          <w:rFonts w:eastAsia="Times New Roman" w:cs="Times New Roman"/>
          <w:sz w:val="24"/>
          <w:szCs w:val="24"/>
          <w:lang w:val="it-IT" w:eastAsia="it-IT"/>
        </w:rPr>
        <w:t>selvicolturali</w:t>
      </w:r>
      <w:proofErr w:type="spellEnd"/>
      <w:r w:rsidRPr="00CF32C1">
        <w:rPr>
          <w:rFonts w:eastAsia="Times New Roman" w:cs="Times New Roman"/>
          <w:sz w:val="24"/>
          <w:szCs w:val="24"/>
          <w:lang w:val="it-IT" w:eastAsia="it-IT"/>
        </w:rPr>
        <w:t xml:space="preserve"> approvati nel bosco di protezione a partire dal 2008, deve gestire il contributo federale in modo da non superare l’importo forfettario complessivo concesso.</w:t>
      </w:r>
    </w:p>
    <w:p w:rsidR="00CF32C1" w:rsidRPr="00CF32C1" w:rsidRDefault="00CF32C1" w:rsidP="00F131B9">
      <w:pPr>
        <w:numPr>
          <w:ilvl w:val="0"/>
          <w:numId w:val="19"/>
        </w:numPr>
        <w:tabs>
          <w:tab w:val="left" w:pos="360"/>
        </w:tabs>
        <w:suppressAutoHyphens/>
        <w:spacing w:before="60"/>
        <w:ind w:left="284" w:hanging="284"/>
        <w:rPr>
          <w:rFonts w:eastAsia="Times New Roman" w:cs="Arial"/>
          <w:sz w:val="24"/>
          <w:szCs w:val="24"/>
          <w:lang w:eastAsia="it-IT"/>
        </w:rPr>
      </w:pPr>
      <w:r w:rsidRPr="00CF32C1">
        <w:rPr>
          <w:rFonts w:eastAsia="Times New Roman" w:cs="Arial"/>
          <w:sz w:val="24"/>
          <w:szCs w:val="24"/>
          <w:lang w:eastAsia="it-IT"/>
        </w:rPr>
        <w:t xml:space="preserve">il Cantone gestisce i crediti federali nell’ambito dell’accordo programmatico concernente il bosco per la garanzia dell’infrastruttura (ID 7a-2, IP 2.1) e può ottimizzare per ogni progetto il tasso di </w:t>
      </w:r>
      <w:proofErr w:type="spellStart"/>
      <w:r w:rsidRPr="00CF32C1">
        <w:rPr>
          <w:rFonts w:eastAsia="Times New Roman" w:cs="Arial"/>
          <w:sz w:val="24"/>
          <w:szCs w:val="24"/>
          <w:lang w:eastAsia="it-IT"/>
        </w:rPr>
        <w:t>sussidiamento</w:t>
      </w:r>
      <w:proofErr w:type="spellEnd"/>
      <w:r w:rsidRPr="00CF32C1">
        <w:rPr>
          <w:rFonts w:eastAsia="Times New Roman" w:cs="Arial"/>
          <w:sz w:val="24"/>
          <w:szCs w:val="24"/>
          <w:lang w:eastAsia="it-IT"/>
        </w:rPr>
        <w:t xml:space="preserve"> in funzione delle risorse allocate. Per il miglioramento infrastrutturale del progetto oggetto del presente messaggio, la Confederazione parteciperà con un sussidio di 48'000 franchi, pari al 40% di 120'000 franchi.</w:t>
      </w:r>
    </w:p>
    <w:p w:rsidR="00CF32C1" w:rsidRPr="00CF32C1" w:rsidRDefault="00CF32C1" w:rsidP="00CF32C1">
      <w:pPr>
        <w:tabs>
          <w:tab w:val="left" w:pos="360"/>
        </w:tabs>
        <w:rPr>
          <w:rFonts w:eastAsia="Times New Roman" w:cs="Arial"/>
          <w:sz w:val="24"/>
          <w:szCs w:val="24"/>
          <w:lang w:eastAsia="it-IT"/>
        </w:rPr>
      </w:pPr>
    </w:p>
    <w:p w:rsidR="00CF32C1" w:rsidRPr="00CF32C1" w:rsidRDefault="00CF32C1" w:rsidP="00CF32C1">
      <w:pPr>
        <w:tabs>
          <w:tab w:val="left" w:pos="360"/>
        </w:tabs>
        <w:rPr>
          <w:rFonts w:eastAsia="Times New Roman" w:cs="Arial"/>
          <w:sz w:val="24"/>
          <w:szCs w:val="24"/>
          <w:lang w:eastAsia="it-IT"/>
        </w:rPr>
      </w:pPr>
      <w:r w:rsidRPr="00CF32C1">
        <w:rPr>
          <w:rFonts w:eastAsia="Times New Roman" w:cs="Arial"/>
          <w:sz w:val="24"/>
          <w:szCs w:val="24"/>
          <w:lang w:eastAsia="it-IT"/>
        </w:rPr>
        <w:t>L’opera è prevista nel piano finanziario del settore 55 (Economia forestale).</w:t>
      </w:r>
    </w:p>
    <w:p w:rsidR="00CF32C1" w:rsidRPr="00CF32C1" w:rsidRDefault="00CF32C1" w:rsidP="00CF32C1">
      <w:pPr>
        <w:tabs>
          <w:tab w:val="left" w:pos="360"/>
        </w:tabs>
        <w:rPr>
          <w:rFonts w:eastAsia="Times New Roman" w:cs="Arial"/>
          <w:sz w:val="24"/>
          <w:szCs w:val="24"/>
          <w:lang w:eastAsia="it-IT"/>
        </w:rPr>
      </w:pPr>
    </w:p>
    <w:p w:rsidR="00CF32C1" w:rsidRPr="00CF32C1" w:rsidRDefault="00CF32C1" w:rsidP="00CF32C1">
      <w:pPr>
        <w:tabs>
          <w:tab w:val="left" w:pos="360"/>
        </w:tabs>
        <w:rPr>
          <w:rFonts w:eastAsia="Times New Roman" w:cs="Arial"/>
          <w:sz w:val="24"/>
          <w:szCs w:val="24"/>
          <w:lang w:eastAsia="it-IT"/>
        </w:rPr>
      </w:pPr>
      <w:r w:rsidRPr="00CF32C1">
        <w:rPr>
          <w:rFonts w:eastAsia="Times New Roman" w:cs="Arial"/>
          <w:sz w:val="24"/>
          <w:szCs w:val="24"/>
          <w:lang w:eastAsia="it-IT"/>
        </w:rPr>
        <w:t>L’ente esecutore, in qualità di committente, assicura la gestione del progetto sotto la supervisione della Sezione forestale.</w:t>
      </w:r>
    </w:p>
    <w:p w:rsidR="00CF32C1" w:rsidRPr="00CF32C1" w:rsidRDefault="00CF32C1" w:rsidP="00CF32C1">
      <w:pPr>
        <w:suppressAutoHyphens/>
        <w:rPr>
          <w:sz w:val="24"/>
          <w:szCs w:val="24"/>
        </w:rPr>
      </w:pPr>
    </w:p>
    <w:p w:rsidR="00CF32C1" w:rsidRPr="00CF32C1" w:rsidRDefault="00CF32C1" w:rsidP="00CF32C1">
      <w:pPr>
        <w:suppressAutoHyphens/>
        <w:rPr>
          <w:sz w:val="24"/>
          <w:szCs w:val="24"/>
        </w:rPr>
      </w:pPr>
    </w:p>
    <w:p w:rsidR="00CF32C1" w:rsidRPr="00F131B9" w:rsidRDefault="00CF32C1" w:rsidP="00F131B9">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CF32C1">
        <w:rPr>
          <w:rFonts w:eastAsia="Calibri" w:cs="Times New Roman"/>
          <w:caps/>
          <w:sz w:val="24"/>
          <w:szCs w:val="24"/>
          <w:lang w:val="it-IT" w:eastAsia="it-IT"/>
        </w:rPr>
        <w:t>CONCLUSIONI</w:t>
      </w:r>
    </w:p>
    <w:p w:rsidR="00CF32C1" w:rsidRPr="00CF32C1" w:rsidRDefault="00ED710E" w:rsidP="00CF32C1">
      <w:pPr>
        <w:suppressAutoHyphens/>
        <w:rPr>
          <w:sz w:val="24"/>
          <w:szCs w:val="24"/>
        </w:rPr>
      </w:pPr>
      <w:r>
        <w:rPr>
          <w:sz w:val="24"/>
          <w:szCs w:val="24"/>
        </w:rPr>
        <w:t>La C</w:t>
      </w:r>
      <w:r w:rsidR="00CF32C1" w:rsidRPr="00CF32C1">
        <w:rPr>
          <w:sz w:val="24"/>
          <w:szCs w:val="24"/>
        </w:rPr>
        <w:t>ommissione raccomanda pertanto al Parlamento di accogliere il messaggio n. 8200 ed il relativo decreto legislativo, che figura alla pagina 12 dello stesso, v</w:t>
      </w:r>
      <w:r w:rsidR="00CF32C1" w:rsidRPr="00CF32C1">
        <w:rPr>
          <w:rFonts w:cs="Arial"/>
          <w:sz w:val="24"/>
          <w:szCs w:val="24"/>
        </w:rPr>
        <w:t>olto a concedere un sussidio complessivo di 1'424'000 franchi, di cui 983'050 franchi quale sussidio cantonale e 440'950 franchi quale sussidio federale, a favore del Patriziato di Avegno, per la realizzazione del progetto integrale (selvicoltura e infrastrutture di esbosco) nel bosco di protezione del bacino del Rial Grande di Avegno</w:t>
      </w:r>
      <w:r w:rsidR="00CF32C1" w:rsidRPr="00CF32C1">
        <w:rPr>
          <w:rFonts w:cs="Arial"/>
          <w:color w:val="FF0000"/>
          <w:sz w:val="24"/>
          <w:szCs w:val="24"/>
        </w:rPr>
        <w:t xml:space="preserve"> </w:t>
      </w:r>
      <w:r w:rsidR="00CF32C1" w:rsidRPr="00CF32C1">
        <w:rPr>
          <w:rFonts w:cs="Arial"/>
          <w:sz w:val="24"/>
          <w:szCs w:val="24"/>
        </w:rPr>
        <w:t xml:space="preserve">nel Comune di Avegno </w:t>
      </w:r>
      <w:proofErr w:type="spellStart"/>
      <w:r w:rsidR="00CF32C1" w:rsidRPr="00CF32C1">
        <w:rPr>
          <w:rFonts w:cs="Arial"/>
          <w:sz w:val="24"/>
          <w:szCs w:val="24"/>
        </w:rPr>
        <w:t>Gordevio</w:t>
      </w:r>
      <w:proofErr w:type="spellEnd"/>
      <w:r w:rsidR="00CF32C1" w:rsidRPr="00CF32C1">
        <w:rPr>
          <w:rFonts w:cs="Arial"/>
          <w:sz w:val="24"/>
          <w:szCs w:val="24"/>
        </w:rPr>
        <w:t>.</w:t>
      </w:r>
    </w:p>
    <w:p w:rsidR="00CF32C1" w:rsidRPr="00CF32C1" w:rsidRDefault="00CF32C1" w:rsidP="00CF32C1">
      <w:pPr>
        <w:suppressAutoHyphens/>
        <w:rPr>
          <w:sz w:val="24"/>
          <w:szCs w:val="24"/>
        </w:rPr>
      </w:pPr>
    </w:p>
    <w:p w:rsidR="00CF32C1" w:rsidRPr="00CF32C1" w:rsidRDefault="00CF32C1" w:rsidP="00CF32C1">
      <w:pPr>
        <w:suppressAutoHyphens/>
        <w:rPr>
          <w:sz w:val="24"/>
          <w:szCs w:val="24"/>
        </w:rPr>
      </w:pPr>
    </w:p>
    <w:p w:rsidR="00CF32C1" w:rsidRPr="00CF32C1" w:rsidRDefault="00CF32C1" w:rsidP="00F131B9">
      <w:pPr>
        <w:widowControl w:val="0"/>
        <w:suppressAutoHyphens/>
        <w:autoSpaceDE w:val="0"/>
        <w:autoSpaceDN w:val="0"/>
        <w:adjustRightInd w:val="0"/>
        <w:spacing w:after="120"/>
        <w:rPr>
          <w:rFonts w:eastAsiaTheme="minorEastAsia" w:cs="Arial"/>
          <w:color w:val="000000" w:themeColor="text1"/>
          <w:sz w:val="24"/>
          <w:szCs w:val="24"/>
          <w:lang w:val="it-IT" w:eastAsia="it-IT"/>
        </w:rPr>
      </w:pPr>
      <w:r w:rsidRPr="00CF32C1">
        <w:rPr>
          <w:rFonts w:eastAsiaTheme="minorEastAsia" w:cs="Arial"/>
          <w:color w:val="000000" w:themeColor="text1"/>
          <w:sz w:val="24"/>
          <w:szCs w:val="24"/>
          <w:lang w:val="it-IT" w:eastAsia="it-IT"/>
        </w:rPr>
        <w:t>Per la Commissione ambiente, territorio ed energia</w:t>
      </w:r>
      <w:r w:rsidR="00F131B9">
        <w:rPr>
          <w:rFonts w:eastAsiaTheme="minorEastAsia" w:cs="Arial"/>
          <w:color w:val="000000" w:themeColor="text1"/>
          <w:sz w:val="24"/>
          <w:szCs w:val="24"/>
          <w:lang w:val="it-IT" w:eastAsia="it-IT"/>
        </w:rPr>
        <w:t>:</w:t>
      </w:r>
    </w:p>
    <w:p w:rsidR="00CF32C1" w:rsidRPr="00CF32C1" w:rsidRDefault="00CF32C1" w:rsidP="00F131B9">
      <w:pPr>
        <w:widowControl w:val="0"/>
        <w:suppressAutoHyphens/>
        <w:autoSpaceDE w:val="0"/>
        <w:autoSpaceDN w:val="0"/>
        <w:adjustRightInd w:val="0"/>
        <w:rPr>
          <w:rFonts w:eastAsiaTheme="minorEastAsia" w:cs="Arial"/>
          <w:color w:val="000000" w:themeColor="text1"/>
          <w:sz w:val="24"/>
          <w:szCs w:val="24"/>
          <w:lang w:val="it-IT" w:eastAsia="it-IT"/>
        </w:rPr>
      </w:pPr>
      <w:r w:rsidRPr="00CF32C1">
        <w:rPr>
          <w:rFonts w:eastAsiaTheme="minorEastAsia" w:cs="Arial"/>
          <w:color w:val="000000" w:themeColor="text1"/>
          <w:sz w:val="24"/>
          <w:szCs w:val="24"/>
          <w:lang w:val="it-IT" w:eastAsia="it-IT"/>
        </w:rPr>
        <w:t>Fabrizio Garbani Nerini, Relatore</w:t>
      </w:r>
    </w:p>
    <w:p w:rsidR="00ED710E" w:rsidRDefault="00ED710E" w:rsidP="00F131B9">
      <w:pPr>
        <w:widowControl w:val="0"/>
        <w:suppressAutoHyphens/>
        <w:autoSpaceDE w:val="0"/>
        <w:autoSpaceDN w:val="0"/>
        <w:adjustRightInd w:val="0"/>
        <w:rPr>
          <w:rFonts w:eastAsiaTheme="minorEastAsia" w:cs="Arial"/>
          <w:color w:val="000000" w:themeColor="text1"/>
          <w:sz w:val="24"/>
          <w:szCs w:val="24"/>
          <w:lang w:val="it-IT" w:eastAsia="it-IT"/>
        </w:rPr>
      </w:pPr>
      <w:r>
        <w:rPr>
          <w:rFonts w:eastAsiaTheme="minorEastAsia" w:cs="Arial"/>
          <w:color w:val="000000" w:themeColor="text1"/>
          <w:sz w:val="24"/>
          <w:szCs w:val="24"/>
          <w:lang w:val="it-IT" w:eastAsia="it-IT"/>
        </w:rPr>
        <w:t>Alberti - Battaglioni - Berardi -</w:t>
      </w:r>
      <w:r w:rsidR="00CF32C1" w:rsidRPr="00CF32C1">
        <w:rPr>
          <w:rFonts w:eastAsiaTheme="minorEastAsia" w:cs="Arial"/>
          <w:color w:val="000000" w:themeColor="text1"/>
          <w:sz w:val="24"/>
          <w:szCs w:val="24"/>
          <w:lang w:val="it-IT" w:eastAsia="it-IT"/>
        </w:rPr>
        <w:t xml:space="preserve"> </w:t>
      </w:r>
      <w:r>
        <w:rPr>
          <w:rFonts w:eastAsiaTheme="minorEastAsia" w:cs="Arial"/>
          <w:color w:val="000000" w:themeColor="text1"/>
          <w:sz w:val="24"/>
          <w:szCs w:val="24"/>
          <w:lang w:val="it-IT" w:eastAsia="it-IT"/>
        </w:rPr>
        <w:t>Bignasca -</w:t>
      </w:r>
      <w:r w:rsidR="00CF32C1" w:rsidRPr="00CF32C1">
        <w:rPr>
          <w:rFonts w:eastAsiaTheme="minorEastAsia" w:cs="Arial"/>
          <w:color w:val="000000" w:themeColor="text1"/>
          <w:sz w:val="24"/>
          <w:szCs w:val="24"/>
          <w:lang w:val="it-IT" w:eastAsia="it-IT"/>
        </w:rPr>
        <w:t xml:space="preserve"> </w:t>
      </w:r>
    </w:p>
    <w:p w:rsidR="00066700" w:rsidRDefault="00CF32C1" w:rsidP="00F131B9">
      <w:pPr>
        <w:widowControl w:val="0"/>
        <w:suppressAutoHyphens/>
        <w:autoSpaceDE w:val="0"/>
        <w:autoSpaceDN w:val="0"/>
        <w:adjustRightInd w:val="0"/>
        <w:rPr>
          <w:rFonts w:eastAsiaTheme="minorEastAsia" w:cs="Arial"/>
          <w:color w:val="000000" w:themeColor="text1"/>
          <w:sz w:val="24"/>
          <w:szCs w:val="24"/>
          <w:lang w:val="it-IT" w:eastAsia="it-IT"/>
        </w:rPr>
      </w:pPr>
      <w:r w:rsidRPr="00CF32C1">
        <w:rPr>
          <w:rFonts w:eastAsiaTheme="minorEastAsia" w:cs="Arial"/>
          <w:color w:val="000000" w:themeColor="text1"/>
          <w:sz w:val="24"/>
          <w:szCs w:val="24"/>
          <w:lang w:val="it-IT" w:eastAsia="it-IT"/>
        </w:rPr>
        <w:t xml:space="preserve">Buri </w:t>
      </w:r>
      <w:r w:rsidR="00ED710E">
        <w:rPr>
          <w:rFonts w:eastAsiaTheme="minorEastAsia" w:cs="Arial"/>
          <w:color w:val="000000" w:themeColor="text1"/>
          <w:sz w:val="24"/>
          <w:szCs w:val="24"/>
          <w:lang w:val="it-IT" w:eastAsia="it-IT"/>
        </w:rPr>
        <w:t xml:space="preserve">- Buzzi - Caroni - Garzoli - Genini </w:t>
      </w:r>
      <w:r w:rsidR="00066700">
        <w:rPr>
          <w:rFonts w:eastAsiaTheme="minorEastAsia" w:cs="Arial"/>
          <w:color w:val="000000" w:themeColor="text1"/>
          <w:sz w:val="24"/>
          <w:szCs w:val="24"/>
          <w:lang w:val="it-IT" w:eastAsia="it-IT"/>
        </w:rPr>
        <w:t>-</w:t>
      </w:r>
      <w:bookmarkStart w:id="1" w:name="_GoBack"/>
      <w:bookmarkEnd w:id="1"/>
      <w:r w:rsidR="00066700">
        <w:rPr>
          <w:rFonts w:eastAsiaTheme="minorEastAsia" w:cs="Arial"/>
          <w:color w:val="000000" w:themeColor="text1"/>
          <w:sz w:val="24"/>
          <w:szCs w:val="24"/>
          <w:lang w:val="it-IT" w:eastAsia="it-IT"/>
        </w:rPr>
        <w:t xml:space="preserve"> </w:t>
      </w:r>
    </w:p>
    <w:p w:rsidR="00CF32C1" w:rsidRPr="00CF32C1" w:rsidRDefault="00CF32C1" w:rsidP="00F131B9">
      <w:pPr>
        <w:widowControl w:val="0"/>
        <w:suppressAutoHyphens/>
        <w:autoSpaceDE w:val="0"/>
        <w:autoSpaceDN w:val="0"/>
        <w:adjustRightInd w:val="0"/>
        <w:rPr>
          <w:rFonts w:eastAsiaTheme="minorEastAsia" w:cs="Arial"/>
          <w:color w:val="000000" w:themeColor="text1"/>
          <w:sz w:val="24"/>
          <w:szCs w:val="24"/>
          <w:lang w:val="it-IT" w:eastAsia="it-IT"/>
        </w:rPr>
      </w:pPr>
      <w:r w:rsidRPr="00CF32C1">
        <w:rPr>
          <w:rFonts w:eastAsiaTheme="minorEastAsia" w:cs="Arial"/>
          <w:color w:val="000000" w:themeColor="text1"/>
          <w:sz w:val="24"/>
          <w:szCs w:val="24"/>
          <w:lang w:val="it-IT" w:eastAsia="it-IT"/>
        </w:rPr>
        <w:t xml:space="preserve">Lepori </w:t>
      </w:r>
      <w:r w:rsidR="00ED710E">
        <w:rPr>
          <w:rFonts w:eastAsiaTheme="minorEastAsia" w:cs="Arial"/>
          <w:color w:val="000000" w:themeColor="text1"/>
          <w:sz w:val="24"/>
          <w:szCs w:val="24"/>
          <w:lang w:val="it-IT" w:eastAsia="it-IT"/>
        </w:rPr>
        <w:t>D. - Pinoja - Schnellmann -</w:t>
      </w:r>
      <w:r w:rsidRPr="00CF32C1">
        <w:rPr>
          <w:rFonts w:eastAsiaTheme="minorEastAsia" w:cs="Arial"/>
          <w:color w:val="000000" w:themeColor="text1"/>
          <w:sz w:val="24"/>
          <w:szCs w:val="24"/>
          <w:lang w:val="it-IT" w:eastAsia="it-IT"/>
        </w:rPr>
        <w:t xml:space="preserve"> Terraneo</w:t>
      </w:r>
      <w:r w:rsidR="00ED710E">
        <w:rPr>
          <w:rFonts w:eastAsiaTheme="minorEastAsia" w:cs="Arial"/>
          <w:color w:val="000000" w:themeColor="text1"/>
          <w:sz w:val="24"/>
          <w:szCs w:val="24"/>
          <w:lang w:val="it-IT" w:eastAsia="it-IT"/>
        </w:rPr>
        <w:t xml:space="preserve"> </w:t>
      </w:r>
    </w:p>
    <w:p w:rsidR="00D649A8" w:rsidRPr="00CF32C1" w:rsidRDefault="00D649A8" w:rsidP="00D33940">
      <w:pPr>
        <w:pStyle w:val="StandardRisoluzionedelConsigliodiStato"/>
        <w:ind w:right="-1"/>
      </w:pPr>
    </w:p>
    <w:sectPr w:rsidR="00D649A8" w:rsidRPr="00CF32C1"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2C1" w:rsidRDefault="00CF32C1" w:rsidP="00F657BF">
      <w:r>
        <w:separator/>
      </w:r>
    </w:p>
  </w:endnote>
  <w:endnote w:type="continuationSeparator" w:id="0">
    <w:p w:rsidR="00CF32C1" w:rsidRDefault="00CF32C1"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DB56B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DB56BC" w:rsidP="00912E34">
          <w:pPr>
            <w:tabs>
              <w:tab w:val="center" w:pos="2382"/>
            </w:tabs>
          </w:pPr>
        </w:p>
      </w:tc>
      <w:tc>
        <w:tcPr>
          <w:tcW w:w="721" w:type="dxa"/>
        </w:tcPr>
        <w:p w:rsidR="00912E34" w:rsidRPr="003D1008" w:rsidRDefault="00A15548"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A15548"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DB56BC"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DB56BC">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2C1" w:rsidRDefault="00CF32C1" w:rsidP="00F657BF">
      <w:r>
        <w:separator/>
      </w:r>
    </w:p>
  </w:footnote>
  <w:footnote w:type="continuationSeparator" w:id="0">
    <w:p w:rsidR="00CF32C1" w:rsidRDefault="00CF32C1"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DB56B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46CE8F9B-3268-4A79-A84D-62BDA125E440}"/>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6C12F7" w:rsidP="00A532F6">
              <w:pPr>
                <w:pStyle w:val="Page"/>
                <w:rPr>
                  <w:rFonts w:ascii="Gill Alt One MT Light" w:hAnsi="Gill Alt One MT Light"/>
                  <w:sz w:val="16"/>
                  <w:szCs w:val="16"/>
                </w:rPr>
              </w:pPr>
              <w:r>
                <w:rPr>
                  <w:rFonts w:ascii="Gill Alt One MT Light" w:hAnsi="Gill Alt One MT Light"/>
                  <w:sz w:val="16"/>
                  <w:szCs w:val="16"/>
                </w:rPr>
                <w:t>Dipartimento del territorio</w:t>
              </w:r>
            </w:p>
          </w:tc>
        </w:sdtContent>
      </w:sdt>
      <w:tc>
        <w:tcPr>
          <w:tcW w:w="1710" w:type="dxa"/>
          <w:tcBorders>
            <w:bottom w:val="single" w:sz="4" w:space="0" w:color="auto"/>
          </w:tcBorders>
          <w:vAlign w:val="bottom"/>
        </w:tcPr>
        <w:p w:rsidR="005012EC" w:rsidRPr="004204CB" w:rsidRDefault="00A15548"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DB58BF">
            <w:rPr>
              <w:noProof/>
              <w:sz w:val="24"/>
            </w:rPr>
            <w:t>3</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DB58BF">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46CE8F9B-3268-4A79-A84D-62BDA125E440}"/>
          <w:text w:multiLine="1"/>
        </w:sdtPr>
        <w:sdtEndPr/>
        <w:sdtContent>
          <w:tc>
            <w:tcPr>
              <w:tcW w:w="8383" w:type="dxa"/>
              <w:tcBorders>
                <w:left w:val="single" w:sz="4" w:space="0" w:color="auto"/>
              </w:tcBorders>
              <w:tcMar>
                <w:top w:w="0" w:type="dxa"/>
                <w:left w:w="142" w:type="dxa"/>
              </w:tcMar>
            </w:tcPr>
            <w:p w:rsidR="005012EC" w:rsidRPr="00CF32C1" w:rsidRDefault="006C12F7"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8200 R del 22 dicembre 2022</w:t>
              </w:r>
            </w:p>
          </w:tc>
        </w:sdtContent>
      </w:sdt>
      <w:tc>
        <w:tcPr>
          <w:tcW w:w="1710" w:type="dxa"/>
          <w:tcBorders>
            <w:top w:val="single" w:sz="4" w:space="0" w:color="auto"/>
          </w:tcBorders>
        </w:tcPr>
        <w:p w:rsidR="005012EC" w:rsidRPr="00CF32C1" w:rsidRDefault="00DB56BC" w:rsidP="00662409">
          <w:pPr>
            <w:pStyle w:val="InvisibleLine"/>
            <w:rPr>
              <w:lang w:val="it-CH"/>
            </w:rPr>
          </w:pPr>
        </w:p>
      </w:tc>
    </w:tr>
  </w:tbl>
  <w:p w:rsidR="00F657BF" w:rsidRPr="00980362" w:rsidRDefault="00A15548"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46CE8F9B-3268-4A79-A84D-62BDA125E440}"/>
                            <w:text w:multiLine="1"/>
                          </w:sdtPr>
                          <w:sdtEndPr/>
                          <w:sdtContent>
                            <w:p w:rsidR="008065E8" w:rsidRPr="00411371" w:rsidRDefault="00A15548"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440B1544-BA0C-4962-9BF5-0153A64ECEA3}"/>
                      <w:text w:multiLine="1"/>
                    </w:sdtPr>
                    <w:sdtEndPr/>
                    <w:sdtContent>
                      <w:p w:rsidR="008065E8" w:rsidRPr="00411371" w:rsidRDefault="00A15548"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DB56BC" w:rsidP="00D07D6E">
          <w:pPr>
            <w:pStyle w:val="InvisibleLine"/>
            <w:ind w:left="150"/>
            <w:rPr>
              <w:sz w:val="16"/>
            </w:rPr>
          </w:pPr>
        </w:p>
      </w:tc>
      <w:tc>
        <w:tcPr>
          <w:tcW w:w="373" w:type="pct"/>
          <w:tcBorders>
            <w:top w:val="nil"/>
            <w:bottom w:val="single" w:sz="4" w:space="0" w:color="auto"/>
          </w:tcBorders>
          <w:vAlign w:val="bottom"/>
        </w:tcPr>
        <w:p w:rsidR="00662409" w:rsidRPr="003108C0" w:rsidRDefault="00DB56BC" w:rsidP="00D07D6E">
          <w:pPr>
            <w:pStyle w:val="Level"/>
            <w:ind w:left="150"/>
            <w:rPr>
              <w:sz w:val="16"/>
            </w:rPr>
          </w:pPr>
        </w:p>
      </w:tc>
      <w:tc>
        <w:tcPr>
          <w:tcW w:w="209" w:type="pct"/>
          <w:tcBorders>
            <w:top w:val="nil"/>
            <w:bottom w:val="single" w:sz="4" w:space="0" w:color="auto"/>
          </w:tcBorders>
        </w:tcPr>
        <w:p w:rsidR="00662409" w:rsidRDefault="00A15548"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994743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A15548"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DB58BF">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DB58BF">
            <w:rPr>
              <w:rFonts w:asciiTheme="minorHAnsi" w:hAnsiTheme="minorHAnsi" w:cstheme="minorHAnsi"/>
              <w:noProof/>
              <w:sz w:val="24"/>
            </w:rPr>
            <w:t>4</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46CE8F9B-3268-4A79-A84D-62BDA125E440}"/>
          <w:text w:multiLine="1"/>
        </w:sdtPr>
        <w:sdtEndPr/>
        <w:sdtContent>
          <w:tc>
            <w:tcPr>
              <w:tcW w:w="5000" w:type="pct"/>
              <w:gridSpan w:val="6"/>
              <w:tcBorders>
                <w:left w:val="nil"/>
                <w:right w:val="nil"/>
              </w:tcBorders>
              <w:noWrap/>
              <w:tcMar>
                <w:top w:w="0" w:type="dxa"/>
              </w:tcMar>
              <w:vAlign w:val="bottom"/>
            </w:tcPr>
            <w:p w:rsidR="00662409" w:rsidRPr="008C03B5" w:rsidRDefault="006C12F7"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A15548"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DB56BC"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A15548"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DB56BC"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A15548"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DB56BC"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DB56BC"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46CE8F9B-3268-4A79-A84D-62BDA125E440}"/>
              <w:text w:multiLine="1"/>
            </w:sdtPr>
            <w:sdtEndPr/>
            <w:sdtContent>
              <w:r w:rsidR="006C12F7">
                <w:rPr>
                  <w:rFonts w:cstheme="minorHAnsi"/>
                  <w:b/>
                  <w:sz w:val="24"/>
                  <w:szCs w:val="24"/>
                </w:rPr>
                <w:t>8200 R</w:t>
              </w:r>
            </w:sdtContent>
          </w:sdt>
        </w:p>
      </w:tc>
      <w:sdt>
        <w:sdtPr>
          <w:rPr>
            <w:sz w:val="24"/>
          </w:rPr>
          <w:alias w:val="DocParam.Date"/>
          <w:id w:val="-464426178"/>
          <w:dataBinding w:xpath="//DateTime[@id='DocParam.Date']" w:storeItemID="{46CE8F9B-3268-4A79-A84D-62BDA125E440}"/>
          <w:date w:fullDate="2022-12-22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6C12F7" w:rsidP="00A532F6">
              <w:pPr>
                <w:pStyle w:val="Data"/>
              </w:pPr>
              <w:r>
                <w:rPr>
                  <w:sz w:val="24"/>
                </w:rPr>
                <w:t>22 dicembre 2022</w:t>
              </w:r>
            </w:p>
          </w:tc>
        </w:sdtContent>
      </w:sdt>
      <w:tc>
        <w:tcPr>
          <w:tcW w:w="3218" w:type="pct"/>
          <w:gridSpan w:val="4"/>
          <w:tcBorders>
            <w:top w:val="nil"/>
            <w:left w:val="nil"/>
            <w:bottom w:val="nil"/>
            <w:right w:val="nil"/>
          </w:tcBorders>
        </w:tcPr>
        <w:p w:rsidR="008C03B5" w:rsidRPr="00BE22A2" w:rsidRDefault="00DB56BC"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46CE8F9B-3268-4A79-A84D-62BDA125E440}"/>
              <w:text w:multiLine="1"/>
            </w:sdtPr>
            <w:sdtEndPr/>
            <w:sdtContent>
              <w:r w:rsidR="006C12F7">
                <w:rPr>
                  <w:smallCaps/>
                  <w:sz w:val="23"/>
                  <w:szCs w:val="23"/>
                </w:rPr>
                <w:t>Dipartimento del territorio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DB56BC" w:rsidP="00D07D6E">
          <w:pPr>
            <w:pStyle w:val="Level"/>
            <w:ind w:left="150"/>
            <w:rPr>
              <w:rFonts w:ascii="Gill Alt One MT Light" w:hAnsi="Gill Alt One MT Light"/>
              <w:sz w:val="16"/>
              <w:szCs w:val="16"/>
            </w:rPr>
          </w:pPr>
        </w:p>
      </w:tc>
    </w:tr>
  </w:tbl>
  <w:p w:rsidR="00F657BF" w:rsidRPr="00DA2879" w:rsidRDefault="00A15548"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30496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46CE8F9B-3268-4A79-A84D-62BDA125E440}"/>
                            <w:text w:multiLine="1"/>
                          </w:sdtPr>
                          <w:sdtEndPr/>
                          <w:sdtContent>
                            <w:p w:rsidR="00E93620" w:rsidRPr="00411371" w:rsidRDefault="00A15548"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440B1544-BA0C-4962-9BF5-0153A64ECEA3}"/>
                      <w:text w:multiLine="1"/>
                    </w:sdtPr>
                    <w:sdtEndPr/>
                    <w:sdtContent>
                      <w:p w:rsidR="00E93620" w:rsidRPr="00411371" w:rsidRDefault="00A15548"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300228"/>
    <w:multiLevelType w:val="hybridMultilevel"/>
    <w:tmpl w:val="BBD0B178"/>
    <w:lvl w:ilvl="0" w:tplc="57C0B388">
      <w:numFmt w:val="bullet"/>
      <w:lvlText w:val="-"/>
      <w:lvlJc w:val="left"/>
      <w:pPr>
        <w:ind w:left="360" w:hanging="360"/>
      </w:pPr>
      <w:rPr>
        <w:rFonts w:ascii="Arial" w:eastAsia="Times New Roman" w:hAnsi="Arial" w:cs="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1" w15:restartNumberingAfterBreak="0">
    <w:nsid w:val="0A8B3406"/>
    <w:multiLevelType w:val="hybridMultilevel"/>
    <w:tmpl w:val="B310190A"/>
    <w:lvl w:ilvl="0" w:tplc="0810000F">
      <w:start w:val="1"/>
      <w:numFmt w:val="decimal"/>
      <w:lvlText w:val="%1."/>
      <w:lvlJc w:val="left"/>
      <w:pPr>
        <w:ind w:left="928"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abstractNum w:abstractNumId="19" w15:restartNumberingAfterBreak="0">
    <w:nsid w:val="696E608D"/>
    <w:multiLevelType w:val="hybridMultilevel"/>
    <w:tmpl w:val="552CF0B6"/>
    <w:lvl w:ilvl="0" w:tplc="A8FAE914">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3"/>
  </w:num>
  <w:num w:numId="2">
    <w:abstractNumId w:val="18"/>
    <w:lvlOverride w:ilvl="0">
      <w:lvl w:ilvl="0">
        <w:start w:val="1"/>
        <w:numFmt w:val="decimal"/>
        <w:lvlText w:val="%1"/>
        <w:lvlJc w:val="left"/>
        <w:pPr>
          <w:ind w:left="363" w:hanging="363"/>
        </w:pPr>
        <w:rPr>
          <w:rFonts w:ascii="Arial" w:hAnsi="Arial" w:cs="Arial" w:hint="default"/>
        </w:rPr>
      </w:lvl>
    </w:lvlOverride>
  </w:num>
  <w:num w:numId="3">
    <w:abstractNumId w:val="12"/>
  </w:num>
  <w:num w:numId="4">
    <w:abstractNumId w:val="17"/>
  </w:num>
  <w:num w:numId="5">
    <w:abstractNumId w:val="16"/>
  </w:num>
  <w:num w:numId="6">
    <w:abstractNumId w:val="14"/>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1"/>
  </w:num>
  <w:num w:numId="19">
    <w:abstractNumId w:val="19"/>
  </w:num>
  <w:num w:numId="2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C1"/>
    <w:rsid w:val="00066700"/>
    <w:rsid w:val="001F5D6E"/>
    <w:rsid w:val="002746A4"/>
    <w:rsid w:val="002B5D9F"/>
    <w:rsid w:val="002D720E"/>
    <w:rsid w:val="0030535B"/>
    <w:rsid w:val="00362DAD"/>
    <w:rsid w:val="003B3560"/>
    <w:rsid w:val="003B756D"/>
    <w:rsid w:val="003C3583"/>
    <w:rsid w:val="003C41BC"/>
    <w:rsid w:val="00403ADB"/>
    <w:rsid w:val="00452DC7"/>
    <w:rsid w:val="00454417"/>
    <w:rsid w:val="004F2BEF"/>
    <w:rsid w:val="004F3C79"/>
    <w:rsid w:val="00564AD5"/>
    <w:rsid w:val="00572FD3"/>
    <w:rsid w:val="00587CC1"/>
    <w:rsid w:val="005E1F40"/>
    <w:rsid w:val="006C12F7"/>
    <w:rsid w:val="006E5C42"/>
    <w:rsid w:val="006F02B1"/>
    <w:rsid w:val="00737654"/>
    <w:rsid w:val="00742ECA"/>
    <w:rsid w:val="00776A41"/>
    <w:rsid w:val="007A2399"/>
    <w:rsid w:val="008720C4"/>
    <w:rsid w:val="008E4211"/>
    <w:rsid w:val="008F52AF"/>
    <w:rsid w:val="008F65F0"/>
    <w:rsid w:val="008F675C"/>
    <w:rsid w:val="00994C66"/>
    <w:rsid w:val="009C5E5A"/>
    <w:rsid w:val="00A15548"/>
    <w:rsid w:val="00AF0268"/>
    <w:rsid w:val="00B21F56"/>
    <w:rsid w:val="00B343BA"/>
    <w:rsid w:val="00BC5C45"/>
    <w:rsid w:val="00BF0A1F"/>
    <w:rsid w:val="00C15D95"/>
    <w:rsid w:val="00C577E6"/>
    <w:rsid w:val="00CB691A"/>
    <w:rsid w:val="00CF32C1"/>
    <w:rsid w:val="00D33940"/>
    <w:rsid w:val="00D600FD"/>
    <w:rsid w:val="00D649A8"/>
    <w:rsid w:val="00D678E1"/>
    <w:rsid w:val="00D93E3A"/>
    <w:rsid w:val="00DB56BC"/>
    <w:rsid w:val="00DB58BF"/>
    <w:rsid w:val="00DE47B0"/>
    <w:rsid w:val="00E566D7"/>
    <w:rsid w:val="00E95732"/>
    <w:rsid w:val="00EB088A"/>
    <w:rsid w:val="00ED710E"/>
    <w:rsid w:val="00F131B9"/>
    <w:rsid w:val="00F657BF"/>
    <w:rsid w:val="00FA20A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EA379C"/>
  <w15:docId w15:val="{EEDDA344-3E2C-4B55-B9C9-CA436EF6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776A4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6A41"/>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c16edd5e-b951-4faf-83be-92bece221e3e.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994743813</Id>
      <Width>0</Width>
      <Height>0</Height>
      <XPath>//Image[@id='Profile.Org.WappenSW']</XPath>
      <ImageHash>02f1c0cdac6aeac316213b2e7cb733a0</ImageHash>
    </ImageSizeDefinition>
    <ImageSizeDefinition>
      <Id>130496687</Id>
      <Width>0</Width>
      <Height>0</Height>
      <XPath>//Image[@id='Profile.Org.Logo']</XPath>
      <ImageHash>c45d7cd7b68e3e6ca57220766e88079c</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d 8 9 4 4 e c f - 6 5 7 4 - 4 7 2 d - b 3 9 e - d 6 4 9 d 2 d 8 5 0 e e "   t I d = " a 3 6 2 a 5 d 4 - 9 5 8 9 - 4 1 b f - a 4 e 6 - 4 f 8 7 c 4 e 4 1 2 3 9 "   i n t e r n a l T I d = " 9 0 6 4 c c 7 f - 3 1 6 d - 4 6 b 1 - a 4 a c - 7 4 8 6 0 c 3 f 8 a 5 b "   m t I d = " 2 7 5 a f 3 2 e - b c 4 0 - 4 5 c 2 - 8 5 b 7 - a f b 1 c 0 3 8 2 6 5 3 "   r e v i s i o n = " 0 "   c r e a t e d m a j o r v e r s i o n = " 0 "   c r e a t e d m i n o r v e r s i o n = " 0 "   c r e a t e d = " 2 0 2 2 - 1 2 - 2 7 T 1 3 : 2 5 : 4 2 . 4 4 2 4 0 7 3 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 2 0 2 2 - 1 2 - 2 2 T 0 0 : 0 0 : 0 0 Z < / D a t e T i m e >  
                 < T e x t   i d = " D o c P a r a m . N u m b e r " > < ! [ C D A T A [ 8 2 0 0   R ] ] > < / T e x t >  
                 < T e x t   i d = " D o c P a r a m . D o c u m e n t o " > < ! [ C D A T A [ R a p p o r t o ] ] > < / T e x t >  
                 < T e x t   i d = " D o c P a r a m . A g g i u n t a D o c "   t o o l t i p = " ( e s .   b i s ,   a g g i u n t i v o ,   a g g i u n t i v o   b i s ,   1 ,   2   e c c . ) " > < ! [ C D A T A [   ] ] > < / T e x t >  
                 < T e x t   i d = " D o c P a r a m . D i p a r t i m e n t i " > < ! [ C D A T A [ D i p a r t i m e n t o   d e l   t e r r i t o r i o ] ] > < / T e x t >  
                 < T e x t   i d = " D o c P a r a m . A l t r i D i p a r t i m e n t i " > < ! [ C D A T A [   ] ] > < / T e x t >  
             < / P a r a m e t e r >  
             < S c r i p t i n g >  
                 < T e x t   i d = " C u s t o m E l e m e n t s . S u b T e m p l a t e . L a n d s c a p e . H e a d e r . O r g I n f o s "   l a b e l = " C u s t o m E l e m e n t s . S u b T e m p l a t e . L a n d s c a p e . H e a d e r . O r g I n f o s " > < ! [ C D A T A [ D i p a r t i m e n t o   d e l   t e r r i t o r i o ] ] > < / T e x t >  
                 < T e x t   i d = " C u s t o m E l e m e n t s . S u b T e m p l a t e . L a n d s c a p e . H e a d e r . T i t o l o "   l a b e l = " C u s t o m E l e m e n t s . S u b T e m p l a t e . L a n d s c a p e . H e a d e r . T i t o l o " > < ! [ C D A T A [ R a p p o r t o   n .   8 2 0 0   R   d e l   2 2   d i c e m b r e   2 0 2 2 ] ] > < / T e x t > 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R a p p o r t o ] ] > < / T e x t >  
                 < T e x t   i d = " C u s t o m E l e m e n t s . F i e l d s . T i t o l o 2 "   l a b e l = " C u s t o m E l e m e n t s . F i e l d s . T i t o l o 2 " > < ! [ C D A T A [ R a p p o r t o   n .   8 2 0 0   R   d e l   2 2   d i c e m b r e 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791E50D0-DBBB-4C56-B7EC-76FD9AB478CF}">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46CE8F9B-3268-4A79-A84D-62BDA125E440}">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c16edd5e-b951-4faf-83be-92bece221e3e.dotx</Template>
  <TotalTime>20</TotalTime>
  <Pages>4</Pages>
  <Words>1555</Words>
  <Characters>8870</Characters>
  <Application>Microsoft Office Word</Application>
  <DocSecurity>0</DocSecurity>
  <Lines>73</Lines>
  <Paragraphs>20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44</cp:revision>
  <cp:lastPrinted>2023-01-09T15:19:00Z</cp:lastPrinted>
  <dcterms:created xsi:type="dcterms:W3CDTF">2022-12-27T13:26:00Z</dcterms:created>
  <dcterms:modified xsi:type="dcterms:W3CDTF">2023-01-09T15:19:00Z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