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F5F" w:rsidRDefault="00442F5F" w:rsidP="00442F5F">
      <w:pPr>
        <w:widowControl w:val="0"/>
        <w:autoSpaceDE w:val="0"/>
        <w:autoSpaceDN w:val="0"/>
        <w:adjustRightInd w:val="0"/>
        <w:rPr>
          <w:rFonts w:eastAsia="Calibri" w:cs="Arial"/>
          <w:b/>
          <w:sz w:val="28"/>
          <w:szCs w:val="28"/>
          <w:lang w:val="it-IT"/>
        </w:rPr>
      </w:pPr>
      <w:r w:rsidRPr="00FC040C">
        <w:rPr>
          <w:rFonts w:eastAsia="Calibri" w:cs="Arial"/>
          <w:b/>
          <w:sz w:val="28"/>
          <w:szCs w:val="28"/>
          <w:lang w:val="it-IT"/>
        </w:rPr>
        <w:t xml:space="preserve">della Commissione </w:t>
      </w:r>
      <w:r>
        <w:rPr>
          <w:rFonts w:eastAsia="Calibri" w:cs="Arial"/>
          <w:b/>
          <w:sz w:val="28"/>
          <w:szCs w:val="28"/>
          <w:lang w:val="it-IT"/>
        </w:rPr>
        <w:t>Costituzione e leggi</w:t>
      </w:r>
    </w:p>
    <w:p w:rsidR="00442F5F" w:rsidRPr="00325872" w:rsidRDefault="00442F5F" w:rsidP="00F0101B">
      <w:pPr>
        <w:widowControl w:val="0"/>
        <w:autoSpaceDE w:val="0"/>
        <w:autoSpaceDN w:val="0"/>
        <w:adjustRightInd w:val="0"/>
        <w:rPr>
          <w:rFonts w:eastAsia="Calibri" w:cs="Arial"/>
          <w:b/>
          <w:sz w:val="28"/>
          <w:szCs w:val="28"/>
          <w:lang w:val="it-IT"/>
        </w:rPr>
      </w:pPr>
      <w:r>
        <w:rPr>
          <w:rFonts w:eastAsia="Calibri" w:cs="Arial"/>
          <w:b/>
          <w:sz w:val="28"/>
          <w:szCs w:val="28"/>
          <w:lang w:val="it-IT"/>
        </w:rPr>
        <w:t>sull’i</w:t>
      </w:r>
      <w:r w:rsidRPr="00325872">
        <w:rPr>
          <w:rFonts w:eastAsia="Calibri" w:cs="Arial"/>
          <w:b/>
          <w:sz w:val="28"/>
          <w:szCs w:val="28"/>
          <w:lang w:val="it-IT"/>
        </w:rPr>
        <w:t>ni</w:t>
      </w:r>
      <w:r>
        <w:rPr>
          <w:rFonts w:eastAsia="Calibri" w:cs="Arial"/>
          <w:b/>
          <w:sz w:val="28"/>
          <w:szCs w:val="28"/>
          <w:lang w:val="it-IT"/>
        </w:rPr>
        <w:t xml:space="preserve">ziativa parlamentare </w:t>
      </w:r>
      <w:r w:rsidRPr="00325872">
        <w:rPr>
          <w:rFonts w:eastAsia="Calibri" w:cs="Arial"/>
          <w:b/>
          <w:sz w:val="28"/>
          <w:szCs w:val="28"/>
          <w:lang w:val="it-IT"/>
        </w:rPr>
        <w:t xml:space="preserve">20 ottobre 2021 </w:t>
      </w:r>
      <w:r w:rsidR="00F10310">
        <w:rPr>
          <w:rFonts w:eastAsia="Calibri" w:cs="Arial"/>
          <w:b/>
          <w:sz w:val="28"/>
          <w:szCs w:val="28"/>
          <w:lang w:val="it-IT"/>
        </w:rPr>
        <w:t xml:space="preserve">presentata nella forma elaborata da Tamara Merlo, </w:t>
      </w:r>
      <w:r w:rsidRPr="00325872">
        <w:rPr>
          <w:rFonts w:eastAsia="Calibri" w:cs="Arial"/>
          <w:b/>
          <w:sz w:val="28"/>
          <w:szCs w:val="28"/>
          <w:lang w:val="it-IT"/>
        </w:rPr>
        <w:t xml:space="preserve">Maura Mossi Nembrini </w:t>
      </w:r>
      <w:r w:rsidR="00F10310">
        <w:rPr>
          <w:rFonts w:eastAsia="Calibri" w:cs="Arial"/>
          <w:b/>
          <w:sz w:val="28"/>
          <w:szCs w:val="28"/>
          <w:lang w:val="it-IT"/>
        </w:rPr>
        <w:t>e cofirmatari “</w:t>
      </w:r>
      <w:r w:rsidR="003221D7">
        <w:rPr>
          <w:rFonts w:eastAsia="Calibri" w:cs="Arial"/>
          <w:b/>
          <w:sz w:val="28"/>
          <w:szCs w:val="28"/>
          <w:lang w:val="it-IT"/>
        </w:rPr>
        <w:t>M</w:t>
      </w:r>
      <w:r w:rsidR="00F0101B" w:rsidRPr="00F0101B">
        <w:rPr>
          <w:rFonts w:eastAsia="Calibri" w:cs="Arial"/>
          <w:b/>
          <w:sz w:val="28"/>
          <w:szCs w:val="28"/>
          <w:lang w:val="it-IT"/>
        </w:rPr>
        <w:t>odifica dell'art. 47 cpv. 2 della Legge sull’esercizio dei diritti politici (Cognome di</w:t>
      </w:r>
      <w:r w:rsidR="00F0101B">
        <w:rPr>
          <w:rFonts w:eastAsia="Calibri" w:cs="Arial"/>
          <w:b/>
          <w:sz w:val="28"/>
          <w:szCs w:val="28"/>
          <w:lang w:val="it-IT"/>
        </w:rPr>
        <w:t xml:space="preserve"> </w:t>
      </w:r>
      <w:r w:rsidR="00F0101B" w:rsidRPr="00F0101B">
        <w:rPr>
          <w:rFonts w:eastAsia="Calibri" w:cs="Arial"/>
          <w:b/>
          <w:sz w:val="28"/>
          <w:szCs w:val="28"/>
          <w:lang w:val="it-IT"/>
        </w:rPr>
        <w:t>affinità sulle schede elettorali)</w:t>
      </w:r>
      <w:r w:rsidR="003221D7">
        <w:rPr>
          <w:rFonts w:eastAsia="Calibri" w:cs="Arial"/>
          <w:b/>
          <w:sz w:val="28"/>
          <w:szCs w:val="28"/>
          <w:lang w:val="it-IT"/>
        </w:rPr>
        <w:t>”</w:t>
      </w:r>
    </w:p>
    <w:p w:rsidR="00442F5F" w:rsidRPr="00325872" w:rsidRDefault="00442F5F" w:rsidP="00442F5F">
      <w:pPr>
        <w:widowControl w:val="0"/>
        <w:autoSpaceDE w:val="0"/>
        <w:autoSpaceDN w:val="0"/>
        <w:adjustRightInd w:val="0"/>
        <w:rPr>
          <w:rFonts w:eastAsia="Calibri" w:cs="Arial"/>
          <w:b/>
          <w:sz w:val="28"/>
          <w:szCs w:val="28"/>
          <w:lang w:val="it-IT"/>
        </w:rPr>
      </w:pPr>
    </w:p>
    <w:p w:rsidR="00442F5F" w:rsidRDefault="00442F5F" w:rsidP="00442F5F"/>
    <w:p w:rsidR="00442F5F" w:rsidRPr="00F10310" w:rsidRDefault="00F10310" w:rsidP="00442F5F">
      <w:pPr>
        <w:rPr>
          <w:b/>
          <w:sz w:val="24"/>
          <w:szCs w:val="24"/>
        </w:rPr>
      </w:pPr>
      <w:r w:rsidRPr="00F10310">
        <w:rPr>
          <w:b/>
          <w:sz w:val="24"/>
          <w:szCs w:val="24"/>
        </w:rPr>
        <w:t>INDICE</w:t>
      </w:r>
    </w:p>
    <w:sdt>
      <w:sdtPr>
        <w:rPr>
          <w:b w:val="0"/>
          <w:caps/>
          <w:sz w:val="24"/>
          <w:szCs w:val="24"/>
        </w:rPr>
        <w:id w:val="-1490631653"/>
        <w:docPartObj>
          <w:docPartGallery w:val="Table of Contents"/>
          <w:docPartUnique/>
        </w:docPartObj>
      </w:sdtPr>
      <w:sdtEndPr>
        <w:rPr>
          <w:bCs/>
          <w:caps w:val="0"/>
        </w:rPr>
      </w:sdtEndPr>
      <w:sdtContent>
        <w:p w:rsidR="00014D14" w:rsidRPr="00014D14" w:rsidRDefault="00442F5F">
          <w:pPr>
            <w:pStyle w:val="Sommario1"/>
            <w:rPr>
              <w:rFonts w:asciiTheme="minorHAnsi" w:eastAsiaTheme="minorEastAsia" w:hAnsiTheme="minorHAnsi"/>
              <w:b w:val="0"/>
              <w:noProof/>
              <w:sz w:val="24"/>
              <w:szCs w:val="24"/>
              <w:lang w:eastAsia="it-CH"/>
            </w:rPr>
          </w:pPr>
          <w:r w:rsidRPr="00F10310">
            <w:rPr>
              <w:rFonts w:eastAsia="Calibri" w:cs="Times New Roman"/>
              <w:b w:val="0"/>
              <w:caps/>
              <w:noProof/>
              <w:sz w:val="24"/>
              <w:szCs w:val="24"/>
            </w:rPr>
            <w:fldChar w:fldCharType="begin"/>
          </w:r>
          <w:r w:rsidRPr="00F10310">
            <w:rPr>
              <w:b w:val="0"/>
              <w:sz w:val="24"/>
              <w:szCs w:val="24"/>
            </w:rPr>
            <w:instrText xml:space="preserve"> TOC \o "1-3" \h \z \u </w:instrText>
          </w:r>
          <w:r w:rsidRPr="00F10310">
            <w:rPr>
              <w:rFonts w:eastAsia="Calibri" w:cs="Times New Roman"/>
              <w:b w:val="0"/>
              <w:caps/>
              <w:noProof/>
              <w:sz w:val="24"/>
              <w:szCs w:val="24"/>
            </w:rPr>
            <w:fldChar w:fldCharType="separate"/>
          </w:r>
          <w:hyperlink w:anchor="_Toc124259872" w:history="1">
            <w:r w:rsidR="00014D14" w:rsidRPr="00014D14">
              <w:rPr>
                <w:rStyle w:val="Collegamentoipertestuale"/>
                <w:rFonts w:eastAsia="Calibri" w:cs="Times New Roman"/>
                <w:b w:val="0"/>
                <w:caps/>
                <w:noProof/>
                <w:sz w:val="24"/>
                <w:szCs w:val="24"/>
                <w:lang w:val="it-IT" w:eastAsia="it-IT"/>
              </w:rPr>
              <w:t xml:space="preserve">1. </w:t>
            </w:r>
            <w:r w:rsidR="00014D14" w:rsidRPr="00014D14">
              <w:rPr>
                <w:rFonts w:asciiTheme="minorHAnsi" w:eastAsiaTheme="minorEastAsia" w:hAnsiTheme="minorHAnsi"/>
                <w:b w:val="0"/>
                <w:noProof/>
                <w:sz w:val="24"/>
                <w:szCs w:val="24"/>
                <w:lang w:eastAsia="it-CH"/>
              </w:rPr>
              <w:tab/>
            </w:r>
            <w:r w:rsidR="00014D14" w:rsidRPr="00014D14">
              <w:rPr>
                <w:rStyle w:val="Collegamentoipertestuale"/>
                <w:rFonts w:eastAsia="Calibri" w:cs="Times New Roman"/>
                <w:b w:val="0"/>
                <w:caps/>
                <w:noProof/>
                <w:sz w:val="24"/>
                <w:szCs w:val="24"/>
                <w:lang w:val="it-IT" w:eastAsia="it-IT"/>
              </w:rPr>
              <w:t>PREMESSA</w:t>
            </w:r>
            <w:r w:rsidR="00014D14" w:rsidRPr="00014D14">
              <w:rPr>
                <w:b w:val="0"/>
                <w:noProof/>
                <w:webHidden/>
                <w:sz w:val="24"/>
                <w:szCs w:val="24"/>
              </w:rPr>
              <w:tab/>
            </w:r>
            <w:r w:rsidR="00014D14" w:rsidRPr="00014D14">
              <w:rPr>
                <w:b w:val="0"/>
                <w:noProof/>
                <w:webHidden/>
                <w:sz w:val="24"/>
                <w:szCs w:val="24"/>
              </w:rPr>
              <w:fldChar w:fldCharType="begin"/>
            </w:r>
            <w:r w:rsidR="00014D14" w:rsidRPr="00014D14">
              <w:rPr>
                <w:b w:val="0"/>
                <w:noProof/>
                <w:webHidden/>
                <w:sz w:val="24"/>
                <w:szCs w:val="24"/>
              </w:rPr>
              <w:instrText xml:space="preserve"> PAGEREF _Toc124259872 \h </w:instrText>
            </w:r>
            <w:r w:rsidR="00014D14" w:rsidRPr="00014D14">
              <w:rPr>
                <w:b w:val="0"/>
                <w:noProof/>
                <w:webHidden/>
                <w:sz w:val="24"/>
                <w:szCs w:val="24"/>
              </w:rPr>
            </w:r>
            <w:r w:rsidR="00014D14" w:rsidRPr="00014D14">
              <w:rPr>
                <w:b w:val="0"/>
                <w:noProof/>
                <w:webHidden/>
                <w:sz w:val="24"/>
                <w:szCs w:val="24"/>
              </w:rPr>
              <w:fldChar w:fldCharType="separate"/>
            </w:r>
            <w:r w:rsidR="00495A7F">
              <w:rPr>
                <w:b w:val="0"/>
                <w:noProof/>
                <w:webHidden/>
                <w:sz w:val="24"/>
                <w:szCs w:val="24"/>
              </w:rPr>
              <w:t>1</w:t>
            </w:r>
            <w:r w:rsidR="00014D14" w:rsidRPr="00014D14">
              <w:rPr>
                <w:b w:val="0"/>
                <w:noProof/>
                <w:webHidden/>
                <w:sz w:val="24"/>
                <w:szCs w:val="24"/>
              </w:rPr>
              <w:fldChar w:fldCharType="end"/>
            </w:r>
          </w:hyperlink>
        </w:p>
        <w:p w:rsidR="00014D14" w:rsidRPr="00014D14" w:rsidRDefault="008E355C">
          <w:pPr>
            <w:pStyle w:val="Sommario1"/>
            <w:rPr>
              <w:rFonts w:asciiTheme="minorHAnsi" w:eastAsiaTheme="minorEastAsia" w:hAnsiTheme="minorHAnsi"/>
              <w:b w:val="0"/>
              <w:noProof/>
              <w:sz w:val="24"/>
              <w:szCs w:val="24"/>
              <w:lang w:eastAsia="it-CH"/>
            </w:rPr>
          </w:pPr>
          <w:hyperlink w:anchor="_Toc124259873" w:history="1">
            <w:r w:rsidR="00014D14" w:rsidRPr="00014D14">
              <w:rPr>
                <w:rStyle w:val="Collegamentoipertestuale"/>
                <w:rFonts w:eastAsia="Calibri" w:cs="Times New Roman"/>
                <w:b w:val="0"/>
                <w:caps/>
                <w:noProof/>
                <w:sz w:val="24"/>
                <w:szCs w:val="24"/>
                <w:lang w:val="it-IT" w:eastAsia="it-IT"/>
              </w:rPr>
              <w:t>2.</w:t>
            </w:r>
            <w:r w:rsidR="00014D14" w:rsidRPr="00014D14">
              <w:rPr>
                <w:rFonts w:asciiTheme="minorHAnsi" w:eastAsiaTheme="minorEastAsia" w:hAnsiTheme="minorHAnsi"/>
                <w:b w:val="0"/>
                <w:noProof/>
                <w:sz w:val="24"/>
                <w:szCs w:val="24"/>
                <w:lang w:eastAsia="it-CH"/>
              </w:rPr>
              <w:tab/>
            </w:r>
            <w:r w:rsidR="00014D14" w:rsidRPr="00014D14">
              <w:rPr>
                <w:rStyle w:val="Collegamentoipertestuale"/>
                <w:rFonts w:eastAsia="Calibri" w:cs="Times New Roman"/>
                <w:b w:val="0"/>
                <w:caps/>
                <w:noProof/>
                <w:sz w:val="24"/>
                <w:szCs w:val="24"/>
                <w:lang w:val="it-IT" w:eastAsia="it-IT"/>
              </w:rPr>
              <w:t>CONSIDERAZIONI DELLA COMMISSIONE</w:t>
            </w:r>
            <w:r w:rsidR="00014D14" w:rsidRPr="00014D14">
              <w:rPr>
                <w:b w:val="0"/>
                <w:noProof/>
                <w:webHidden/>
                <w:sz w:val="24"/>
                <w:szCs w:val="24"/>
              </w:rPr>
              <w:tab/>
            </w:r>
            <w:r w:rsidR="00014D14" w:rsidRPr="00014D14">
              <w:rPr>
                <w:b w:val="0"/>
                <w:noProof/>
                <w:webHidden/>
                <w:sz w:val="24"/>
                <w:szCs w:val="24"/>
              </w:rPr>
              <w:fldChar w:fldCharType="begin"/>
            </w:r>
            <w:r w:rsidR="00014D14" w:rsidRPr="00014D14">
              <w:rPr>
                <w:b w:val="0"/>
                <w:noProof/>
                <w:webHidden/>
                <w:sz w:val="24"/>
                <w:szCs w:val="24"/>
              </w:rPr>
              <w:instrText xml:space="preserve"> PAGEREF _Toc124259873 \h </w:instrText>
            </w:r>
            <w:r w:rsidR="00014D14" w:rsidRPr="00014D14">
              <w:rPr>
                <w:b w:val="0"/>
                <w:noProof/>
                <w:webHidden/>
                <w:sz w:val="24"/>
                <w:szCs w:val="24"/>
              </w:rPr>
            </w:r>
            <w:r w:rsidR="00014D14" w:rsidRPr="00014D14">
              <w:rPr>
                <w:b w:val="0"/>
                <w:noProof/>
                <w:webHidden/>
                <w:sz w:val="24"/>
                <w:szCs w:val="24"/>
              </w:rPr>
              <w:fldChar w:fldCharType="separate"/>
            </w:r>
            <w:r w:rsidR="00495A7F">
              <w:rPr>
                <w:b w:val="0"/>
                <w:noProof/>
                <w:webHidden/>
                <w:sz w:val="24"/>
                <w:szCs w:val="24"/>
              </w:rPr>
              <w:t>3</w:t>
            </w:r>
            <w:r w:rsidR="00014D14" w:rsidRPr="00014D14">
              <w:rPr>
                <w:b w:val="0"/>
                <w:noProof/>
                <w:webHidden/>
                <w:sz w:val="24"/>
                <w:szCs w:val="24"/>
              </w:rPr>
              <w:fldChar w:fldCharType="end"/>
            </w:r>
          </w:hyperlink>
        </w:p>
        <w:p w:rsidR="00014D14" w:rsidRPr="00014D14" w:rsidRDefault="008E355C">
          <w:pPr>
            <w:pStyle w:val="Sommario2"/>
            <w:rPr>
              <w:rFonts w:asciiTheme="minorHAnsi" w:eastAsiaTheme="minorEastAsia" w:hAnsiTheme="minorHAnsi"/>
              <w:noProof/>
              <w:sz w:val="24"/>
              <w:szCs w:val="24"/>
              <w:lang w:eastAsia="it-CH"/>
            </w:rPr>
          </w:pPr>
          <w:hyperlink w:anchor="_Toc124259874" w:history="1">
            <w:r w:rsidR="00014D14" w:rsidRPr="00014D14">
              <w:rPr>
                <w:rStyle w:val="Collegamentoipertestuale"/>
                <w:rFonts w:eastAsia="Calibri" w:cs="Times New Roman"/>
                <w:noProof/>
                <w:sz w:val="24"/>
                <w:szCs w:val="24"/>
                <w:lang w:val="it-IT" w:eastAsia="it-IT"/>
              </w:rPr>
              <w:t>2.1</w:t>
            </w:r>
            <w:r w:rsidR="00014D14" w:rsidRPr="00014D14">
              <w:rPr>
                <w:rFonts w:asciiTheme="minorHAnsi" w:eastAsiaTheme="minorEastAsia" w:hAnsiTheme="minorHAnsi"/>
                <w:noProof/>
                <w:sz w:val="24"/>
                <w:szCs w:val="24"/>
                <w:lang w:eastAsia="it-CH"/>
              </w:rPr>
              <w:tab/>
            </w:r>
            <w:r w:rsidR="00014D14" w:rsidRPr="00014D14">
              <w:rPr>
                <w:rStyle w:val="Collegamentoipertestuale"/>
                <w:rFonts w:eastAsia="Calibri" w:cs="Times New Roman"/>
                <w:noProof/>
                <w:sz w:val="24"/>
                <w:szCs w:val="24"/>
                <w:lang w:val="it-IT" w:eastAsia="it-IT"/>
              </w:rPr>
              <w:t>Prospettive a livello federale</w:t>
            </w:r>
            <w:r w:rsidR="00014D14" w:rsidRPr="00014D14">
              <w:rPr>
                <w:noProof/>
                <w:webHidden/>
                <w:sz w:val="24"/>
                <w:szCs w:val="24"/>
              </w:rPr>
              <w:tab/>
            </w:r>
            <w:r w:rsidR="00014D14" w:rsidRPr="00014D14">
              <w:rPr>
                <w:noProof/>
                <w:webHidden/>
                <w:sz w:val="24"/>
                <w:szCs w:val="24"/>
              </w:rPr>
              <w:fldChar w:fldCharType="begin"/>
            </w:r>
            <w:r w:rsidR="00014D14" w:rsidRPr="00014D14">
              <w:rPr>
                <w:noProof/>
                <w:webHidden/>
                <w:sz w:val="24"/>
                <w:szCs w:val="24"/>
              </w:rPr>
              <w:instrText xml:space="preserve"> PAGEREF _Toc124259874 \h </w:instrText>
            </w:r>
            <w:r w:rsidR="00014D14" w:rsidRPr="00014D14">
              <w:rPr>
                <w:noProof/>
                <w:webHidden/>
                <w:sz w:val="24"/>
                <w:szCs w:val="24"/>
              </w:rPr>
            </w:r>
            <w:r w:rsidR="00014D14" w:rsidRPr="00014D14">
              <w:rPr>
                <w:noProof/>
                <w:webHidden/>
                <w:sz w:val="24"/>
                <w:szCs w:val="24"/>
              </w:rPr>
              <w:fldChar w:fldCharType="separate"/>
            </w:r>
            <w:r w:rsidR="00495A7F">
              <w:rPr>
                <w:noProof/>
                <w:webHidden/>
                <w:sz w:val="24"/>
                <w:szCs w:val="24"/>
              </w:rPr>
              <w:t>3</w:t>
            </w:r>
            <w:r w:rsidR="00014D14" w:rsidRPr="00014D14">
              <w:rPr>
                <w:noProof/>
                <w:webHidden/>
                <w:sz w:val="24"/>
                <w:szCs w:val="24"/>
              </w:rPr>
              <w:fldChar w:fldCharType="end"/>
            </w:r>
          </w:hyperlink>
        </w:p>
        <w:p w:rsidR="00014D14" w:rsidRPr="00014D14" w:rsidRDefault="008E355C">
          <w:pPr>
            <w:pStyle w:val="Sommario2"/>
            <w:rPr>
              <w:rFonts w:asciiTheme="minorHAnsi" w:eastAsiaTheme="minorEastAsia" w:hAnsiTheme="minorHAnsi"/>
              <w:noProof/>
              <w:sz w:val="24"/>
              <w:szCs w:val="24"/>
              <w:lang w:eastAsia="it-CH"/>
            </w:rPr>
          </w:pPr>
          <w:hyperlink w:anchor="_Toc124259875" w:history="1">
            <w:r w:rsidR="00014D14" w:rsidRPr="00014D14">
              <w:rPr>
                <w:rStyle w:val="Collegamentoipertestuale"/>
                <w:rFonts w:eastAsia="Calibri" w:cs="Times New Roman"/>
                <w:noProof/>
                <w:sz w:val="24"/>
                <w:szCs w:val="24"/>
                <w:lang w:val="it-IT" w:eastAsia="it-IT"/>
              </w:rPr>
              <w:t>2.2</w:t>
            </w:r>
            <w:r w:rsidR="00014D14" w:rsidRPr="00014D14">
              <w:rPr>
                <w:rFonts w:asciiTheme="minorHAnsi" w:eastAsiaTheme="minorEastAsia" w:hAnsiTheme="minorHAnsi"/>
                <w:noProof/>
                <w:sz w:val="24"/>
                <w:szCs w:val="24"/>
                <w:lang w:eastAsia="it-CH"/>
              </w:rPr>
              <w:tab/>
            </w:r>
            <w:r w:rsidR="00014D14" w:rsidRPr="00014D14">
              <w:rPr>
                <w:rStyle w:val="Collegamentoipertestuale"/>
                <w:rFonts w:eastAsia="Calibri" w:cs="Times New Roman"/>
                <w:noProof/>
                <w:sz w:val="24"/>
                <w:szCs w:val="24"/>
                <w:lang w:val="it-IT" w:eastAsia="it-IT"/>
              </w:rPr>
              <w:t>L’iniziativa a livello cantonale</w:t>
            </w:r>
            <w:r w:rsidR="00014D14" w:rsidRPr="00014D14">
              <w:rPr>
                <w:noProof/>
                <w:webHidden/>
                <w:sz w:val="24"/>
                <w:szCs w:val="24"/>
              </w:rPr>
              <w:tab/>
            </w:r>
            <w:r w:rsidR="00014D14" w:rsidRPr="00014D14">
              <w:rPr>
                <w:noProof/>
                <w:webHidden/>
                <w:sz w:val="24"/>
                <w:szCs w:val="24"/>
              </w:rPr>
              <w:fldChar w:fldCharType="begin"/>
            </w:r>
            <w:r w:rsidR="00014D14" w:rsidRPr="00014D14">
              <w:rPr>
                <w:noProof/>
                <w:webHidden/>
                <w:sz w:val="24"/>
                <w:szCs w:val="24"/>
              </w:rPr>
              <w:instrText xml:space="preserve"> PAGEREF _Toc124259875 \h </w:instrText>
            </w:r>
            <w:r w:rsidR="00014D14" w:rsidRPr="00014D14">
              <w:rPr>
                <w:noProof/>
                <w:webHidden/>
                <w:sz w:val="24"/>
                <w:szCs w:val="24"/>
              </w:rPr>
            </w:r>
            <w:r w:rsidR="00014D14" w:rsidRPr="00014D14">
              <w:rPr>
                <w:noProof/>
                <w:webHidden/>
                <w:sz w:val="24"/>
                <w:szCs w:val="24"/>
              </w:rPr>
              <w:fldChar w:fldCharType="separate"/>
            </w:r>
            <w:r w:rsidR="00495A7F">
              <w:rPr>
                <w:noProof/>
                <w:webHidden/>
                <w:sz w:val="24"/>
                <w:szCs w:val="24"/>
              </w:rPr>
              <w:t>4</w:t>
            </w:r>
            <w:r w:rsidR="00014D14" w:rsidRPr="00014D14">
              <w:rPr>
                <w:noProof/>
                <w:webHidden/>
                <w:sz w:val="24"/>
                <w:szCs w:val="24"/>
              </w:rPr>
              <w:fldChar w:fldCharType="end"/>
            </w:r>
          </w:hyperlink>
        </w:p>
        <w:p w:rsidR="00014D14" w:rsidRPr="00014D14" w:rsidRDefault="008E355C">
          <w:pPr>
            <w:pStyle w:val="Sommario1"/>
            <w:rPr>
              <w:rFonts w:asciiTheme="minorHAnsi" w:eastAsiaTheme="minorEastAsia" w:hAnsiTheme="minorHAnsi"/>
              <w:b w:val="0"/>
              <w:noProof/>
              <w:sz w:val="24"/>
              <w:szCs w:val="24"/>
              <w:lang w:eastAsia="it-CH"/>
            </w:rPr>
          </w:pPr>
          <w:hyperlink w:anchor="_Toc124259876" w:history="1">
            <w:r w:rsidR="00014D14" w:rsidRPr="00014D14">
              <w:rPr>
                <w:rStyle w:val="Collegamentoipertestuale"/>
                <w:rFonts w:eastAsia="Calibri" w:cs="Times New Roman"/>
                <w:b w:val="0"/>
                <w:caps/>
                <w:noProof/>
                <w:sz w:val="24"/>
                <w:szCs w:val="24"/>
                <w:lang w:val="it-IT" w:eastAsia="it-IT"/>
              </w:rPr>
              <w:t>3. CONCLUSIONI</w:t>
            </w:r>
            <w:r w:rsidR="00014D14" w:rsidRPr="00014D14">
              <w:rPr>
                <w:b w:val="0"/>
                <w:noProof/>
                <w:webHidden/>
                <w:sz w:val="24"/>
                <w:szCs w:val="24"/>
              </w:rPr>
              <w:tab/>
            </w:r>
            <w:r w:rsidR="00014D14" w:rsidRPr="00014D14">
              <w:rPr>
                <w:b w:val="0"/>
                <w:noProof/>
                <w:webHidden/>
                <w:sz w:val="24"/>
                <w:szCs w:val="24"/>
              </w:rPr>
              <w:fldChar w:fldCharType="begin"/>
            </w:r>
            <w:r w:rsidR="00014D14" w:rsidRPr="00014D14">
              <w:rPr>
                <w:b w:val="0"/>
                <w:noProof/>
                <w:webHidden/>
                <w:sz w:val="24"/>
                <w:szCs w:val="24"/>
              </w:rPr>
              <w:instrText xml:space="preserve"> PAGEREF _Toc124259876 \h </w:instrText>
            </w:r>
            <w:r w:rsidR="00014D14" w:rsidRPr="00014D14">
              <w:rPr>
                <w:b w:val="0"/>
                <w:noProof/>
                <w:webHidden/>
                <w:sz w:val="24"/>
                <w:szCs w:val="24"/>
              </w:rPr>
            </w:r>
            <w:r w:rsidR="00014D14" w:rsidRPr="00014D14">
              <w:rPr>
                <w:b w:val="0"/>
                <w:noProof/>
                <w:webHidden/>
                <w:sz w:val="24"/>
                <w:szCs w:val="24"/>
              </w:rPr>
              <w:fldChar w:fldCharType="separate"/>
            </w:r>
            <w:r w:rsidR="00495A7F">
              <w:rPr>
                <w:b w:val="0"/>
                <w:noProof/>
                <w:webHidden/>
                <w:sz w:val="24"/>
                <w:szCs w:val="24"/>
              </w:rPr>
              <w:t>5</w:t>
            </w:r>
            <w:r w:rsidR="00014D14" w:rsidRPr="00014D14">
              <w:rPr>
                <w:b w:val="0"/>
                <w:noProof/>
                <w:webHidden/>
                <w:sz w:val="24"/>
                <w:szCs w:val="24"/>
              </w:rPr>
              <w:fldChar w:fldCharType="end"/>
            </w:r>
          </w:hyperlink>
        </w:p>
        <w:p w:rsidR="00442F5F" w:rsidRPr="00C23E1A" w:rsidRDefault="00442F5F" w:rsidP="00442F5F">
          <w:pPr>
            <w:tabs>
              <w:tab w:val="left" w:pos="4044"/>
            </w:tabs>
            <w:rPr>
              <w:sz w:val="24"/>
              <w:szCs w:val="24"/>
            </w:rPr>
          </w:pPr>
          <w:r w:rsidRPr="00F10310">
            <w:rPr>
              <w:bCs/>
              <w:sz w:val="24"/>
              <w:szCs w:val="24"/>
              <w:lang w:val="it-IT"/>
            </w:rPr>
            <w:fldChar w:fldCharType="end"/>
          </w:r>
        </w:p>
      </w:sdtContent>
    </w:sdt>
    <w:p w:rsidR="00014D14" w:rsidRDefault="00014D14" w:rsidP="00442F5F">
      <w:pPr>
        <w:rPr>
          <w:rFonts w:cs="Arial"/>
          <w:sz w:val="24"/>
          <w:szCs w:val="24"/>
        </w:rPr>
      </w:pPr>
    </w:p>
    <w:p w:rsidR="00442F5F" w:rsidRDefault="00EC3131" w:rsidP="00F10310">
      <w:pPr>
        <w:pStyle w:val="Titolo1"/>
        <w:tabs>
          <w:tab w:val="left" w:pos="567"/>
        </w:tabs>
        <w:suppressAutoHyphens w:val="0"/>
        <w:spacing w:before="0"/>
        <w:ind w:left="567" w:hanging="567"/>
        <w:jc w:val="both"/>
        <w:rPr>
          <w:rFonts w:eastAsia="Calibri" w:cs="Times New Roman"/>
          <w:caps/>
          <w:sz w:val="24"/>
          <w:szCs w:val="24"/>
          <w:lang w:val="it-IT" w:eastAsia="it-IT"/>
        </w:rPr>
      </w:pPr>
      <w:bookmarkStart w:id="0" w:name="_Toc124259872"/>
      <w:r>
        <w:rPr>
          <w:rFonts w:eastAsia="Calibri" w:cs="Times New Roman"/>
          <w:caps/>
          <w:sz w:val="24"/>
          <w:szCs w:val="24"/>
          <w:lang w:val="it-IT" w:eastAsia="it-IT"/>
        </w:rPr>
        <w:t xml:space="preserve">1. </w:t>
      </w:r>
      <w:r w:rsidR="00F10310">
        <w:rPr>
          <w:rFonts w:eastAsia="Calibri" w:cs="Times New Roman"/>
          <w:caps/>
          <w:sz w:val="24"/>
          <w:szCs w:val="24"/>
          <w:lang w:val="it-IT" w:eastAsia="it-IT"/>
        </w:rPr>
        <w:tab/>
      </w:r>
      <w:r w:rsidR="00442F5F" w:rsidRPr="00AB0BAA">
        <w:rPr>
          <w:rFonts w:eastAsia="Calibri" w:cs="Times New Roman"/>
          <w:caps/>
          <w:sz w:val="24"/>
          <w:szCs w:val="24"/>
          <w:lang w:val="it-IT" w:eastAsia="it-IT"/>
        </w:rPr>
        <w:t>PREMESSA</w:t>
      </w:r>
      <w:bookmarkEnd w:id="0"/>
    </w:p>
    <w:p w:rsidR="00442F5F" w:rsidRPr="00504C61" w:rsidRDefault="00442F5F" w:rsidP="00442F5F">
      <w:pPr>
        <w:spacing w:after="120"/>
        <w:rPr>
          <w:sz w:val="24"/>
          <w:szCs w:val="24"/>
        </w:rPr>
      </w:pPr>
      <w:r w:rsidRPr="00504C61">
        <w:rPr>
          <w:sz w:val="24"/>
          <w:szCs w:val="24"/>
        </w:rPr>
        <w:t xml:space="preserve">Con l’entrata in vigore, il 1° gennaio 1912, del Codice </w:t>
      </w:r>
      <w:r>
        <w:rPr>
          <w:sz w:val="24"/>
          <w:szCs w:val="24"/>
        </w:rPr>
        <w:t>C</w:t>
      </w:r>
      <w:r w:rsidRPr="00504C61">
        <w:rPr>
          <w:sz w:val="24"/>
          <w:szCs w:val="24"/>
        </w:rPr>
        <w:t xml:space="preserve">ivile </w:t>
      </w:r>
      <w:r>
        <w:rPr>
          <w:sz w:val="24"/>
          <w:szCs w:val="24"/>
        </w:rPr>
        <w:t>S</w:t>
      </w:r>
      <w:r w:rsidRPr="00504C61">
        <w:rPr>
          <w:sz w:val="24"/>
          <w:szCs w:val="24"/>
        </w:rPr>
        <w:t xml:space="preserve">vizzero, il diritto del cognome è stato armonizzato in tutta la Svizzera. Secondo il CC, dopo il matrimonio la sposa doveva portare il cognome del marito. Alcuni disciplinamenti cantonali anteriori che in parte consentivano alla donna coniugata di portare un doppio cognome decaddero. </w:t>
      </w:r>
    </w:p>
    <w:p w:rsidR="00442F5F" w:rsidRPr="00504C61" w:rsidRDefault="00442F5F" w:rsidP="00442F5F">
      <w:pPr>
        <w:spacing w:after="120"/>
        <w:rPr>
          <w:sz w:val="24"/>
          <w:szCs w:val="24"/>
        </w:rPr>
      </w:pPr>
      <w:r w:rsidRPr="00504C61">
        <w:rPr>
          <w:sz w:val="24"/>
          <w:szCs w:val="24"/>
        </w:rPr>
        <w:t xml:space="preserve">Con la revisione del diritto del cognome entrata in vigore il 1° gennaio 1988 ci si è attenuti al principio dell’unità del cognome, secondo il quale un unico cognome deve designare l’appartenenza a una famiglia. La </w:t>
      </w:r>
      <w:r w:rsidR="00E30EB4">
        <w:rPr>
          <w:sz w:val="24"/>
          <w:szCs w:val="24"/>
        </w:rPr>
        <w:t>priorità</w:t>
      </w:r>
      <w:r w:rsidRPr="00504C61">
        <w:rPr>
          <w:sz w:val="24"/>
          <w:szCs w:val="24"/>
        </w:rPr>
        <w:t xml:space="preserve"> è stata data al cognome del marito che è divenuto per legge il cognome coniugale (art. 160 cpv. 1 </w:t>
      </w:r>
      <w:proofErr w:type="spellStart"/>
      <w:r w:rsidRPr="00504C61">
        <w:rPr>
          <w:sz w:val="24"/>
          <w:szCs w:val="24"/>
        </w:rPr>
        <w:t>vCC</w:t>
      </w:r>
      <w:proofErr w:type="spellEnd"/>
      <w:r w:rsidRPr="00504C61">
        <w:rPr>
          <w:sz w:val="24"/>
          <w:szCs w:val="24"/>
        </w:rPr>
        <w:t>). Al momento del matrimonio la sposa aveva la possibilit</w:t>
      </w:r>
      <w:r>
        <w:rPr>
          <w:sz w:val="24"/>
          <w:szCs w:val="24"/>
        </w:rPr>
        <w:t>à</w:t>
      </w:r>
      <w:r w:rsidRPr="00504C61">
        <w:rPr>
          <w:sz w:val="24"/>
          <w:szCs w:val="24"/>
        </w:rPr>
        <w:t xml:space="preserve"> di dichiarare di voler mantenere il proprio cognome anteponendolo a quello coniugale e quindi di portare un doppio cognome ufficiale (art. 160 cpv. 2 e 3 </w:t>
      </w:r>
      <w:proofErr w:type="spellStart"/>
      <w:r w:rsidRPr="00504C61">
        <w:rPr>
          <w:sz w:val="24"/>
          <w:szCs w:val="24"/>
        </w:rPr>
        <w:t>vCC</w:t>
      </w:r>
      <w:proofErr w:type="spellEnd"/>
      <w:r w:rsidRPr="00504C61">
        <w:rPr>
          <w:sz w:val="24"/>
          <w:szCs w:val="24"/>
        </w:rPr>
        <w:t xml:space="preserve">), che era anche riportato nel registro dello stato civile. In tal modo s’intendeva mitigare le conseguenze del matrimonio sul cognome della sposa, ovvero la perdita del suo cognome da nubile, e preservare i suoi diritti della </w:t>
      </w:r>
      <w:r w:rsidR="00E30EB4">
        <w:rPr>
          <w:sz w:val="24"/>
          <w:szCs w:val="24"/>
        </w:rPr>
        <w:t>personalità</w:t>
      </w:r>
      <w:r w:rsidRPr="00504C61">
        <w:rPr>
          <w:sz w:val="24"/>
          <w:szCs w:val="24"/>
        </w:rPr>
        <w:t xml:space="preserve">. </w:t>
      </w:r>
    </w:p>
    <w:p w:rsidR="00442F5F" w:rsidRPr="00504C61" w:rsidRDefault="00442F5F" w:rsidP="00442F5F">
      <w:pPr>
        <w:spacing w:after="120"/>
        <w:rPr>
          <w:sz w:val="24"/>
          <w:szCs w:val="24"/>
        </w:rPr>
      </w:pPr>
      <w:r w:rsidRPr="00504C61">
        <w:rPr>
          <w:sz w:val="24"/>
          <w:szCs w:val="24"/>
        </w:rPr>
        <w:t xml:space="preserve">Il cognome della fidanzata poteva diventare il cognome coniugale unicamente dietro presentazione di una domanda di cambiamento del cognome (art. 30 cpv. 2 </w:t>
      </w:r>
      <w:proofErr w:type="spellStart"/>
      <w:r w:rsidRPr="00504C61">
        <w:rPr>
          <w:sz w:val="24"/>
          <w:szCs w:val="24"/>
        </w:rPr>
        <w:t>vCC</w:t>
      </w:r>
      <w:proofErr w:type="spellEnd"/>
      <w:r w:rsidRPr="00504C61">
        <w:rPr>
          <w:sz w:val="24"/>
          <w:szCs w:val="24"/>
        </w:rPr>
        <w:t xml:space="preserve">). Soltanto dopo una decisione della Corte europea dei diritti dell’uomo del 22 febbraio 1994 e una relativa modifica di ordinanza da parte del Consiglio federale, anche per l’uomo è </w:t>
      </w:r>
      <w:r w:rsidR="00E30EB4">
        <w:rPr>
          <w:sz w:val="24"/>
          <w:szCs w:val="24"/>
        </w:rPr>
        <w:t>stata introdotta la possibilità</w:t>
      </w:r>
      <w:r w:rsidRPr="00504C61">
        <w:rPr>
          <w:sz w:val="24"/>
          <w:szCs w:val="24"/>
        </w:rPr>
        <w:t xml:space="preserve"> di anteporre il proprio cognome al cognome coniugale, nel caso in cui gli sposi avessero richiesto di portare il cognome della donna come cognome coniugale. </w:t>
      </w:r>
    </w:p>
    <w:p w:rsidR="00442F5F" w:rsidRPr="00504C61" w:rsidRDefault="00442F5F" w:rsidP="00442F5F">
      <w:pPr>
        <w:spacing w:after="120"/>
        <w:rPr>
          <w:sz w:val="24"/>
          <w:szCs w:val="24"/>
        </w:rPr>
      </w:pPr>
      <w:r w:rsidRPr="00504C61">
        <w:rPr>
          <w:sz w:val="24"/>
          <w:szCs w:val="24"/>
        </w:rPr>
        <w:lastRenderedPageBreak/>
        <w:t>A seguito di un’altra iniziativa parlamentare presentata nel 2003, la Commissione degli affari giuridici del Consiglio nazionale ha elaborato un nuovo disciplinamento volto ad at</w:t>
      </w:r>
      <w:r w:rsidR="00E30EB4">
        <w:rPr>
          <w:sz w:val="24"/>
          <w:szCs w:val="24"/>
        </w:rPr>
        <w:t>tuare il principio della parità</w:t>
      </w:r>
      <w:r w:rsidRPr="00504C61">
        <w:rPr>
          <w:sz w:val="24"/>
          <w:szCs w:val="24"/>
        </w:rPr>
        <w:t xml:space="preserve"> tra uomo e donna. In particolare, si trattava di mettere fine a una situazione in cui uno dei coniugi era quasi obbligato a rinunciare al cognome portato prima del matrimonio. Dopo intense discussioni politiche, il 30 settembre 2011 il Parlamento ha adottato il progetto, che è entrato in vigore il 1° gennaio 2013. </w:t>
      </w:r>
    </w:p>
    <w:p w:rsidR="00442F5F" w:rsidRPr="00504C61" w:rsidRDefault="00442F5F" w:rsidP="00442F5F">
      <w:pPr>
        <w:spacing w:after="120"/>
        <w:rPr>
          <w:sz w:val="24"/>
          <w:szCs w:val="24"/>
        </w:rPr>
      </w:pPr>
      <w:r w:rsidRPr="00504C61">
        <w:rPr>
          <w:sz w:val="24"/>
          <w:szCs w:val="24"/>
        </w:rPr>
        <w:t>Secondo il vigente principio dell’immutabilit</w:t>
      </w:r>
      <w:r w:rsidR="00E30EB4">
        <w:rPr>
          <w:sz w:val="24"/>
          <w:szCs w:val="24"/>
        </w:rPr>
        <w:t>à</w:t>
      </w:r>
      <w:r w:rsidRPr="00504C61">
        <w:rPr>
          <w:sz w:val="24"/>
          <w:szCs w:val="24"/>
        </w:rPr>
        <w:t xml:space="preserve"> del cognome di nascita, il matrimonio non ha </w:t>
      </w:r>
      <w:proofErr w:type="spellStart"/>
      <w:r w:rsidRPr="00504C61">
        <w:rPr>
          <w:sz w:val="24"/>
          <w:szCs w:val="24"/>
        </w:rPr>
        <w:t>piu</w:t>
      </w:r>
      <w:proofErr w:type="spellEnd"/>
      <w:r w:rsidRPr="00504C61">
        <w:rPr>
          <w:sz w:val="24"/>
          <w:szCs w:val="24"/>
        </w:rPr>
        <w:t xml:space="preserve">̀ effetto sul cognome dei coniugi (art. 160 cpv. 1 CC). Questo significa che i fidanzati conservano di principio ognuno il proprio cognome e scelgono quale dei loro cognomi da nubile o celibe assegnare ai loro figli (art. 160 cpv. 3 in combinato disposto con art. 270 cpv. 1 CC). Ai fidanzati è tuttavia data la </w:t>
      </w:r>
      <w:r w:rsidR="00CF717B">
        <w:rPr>
          <w:sz w:val="24"/>
          <w:szCs w:val="24"/>
        </w:rPr>
        <w:t>possibilità</w:t>
      </w:r>
      <w:r w:rsidRPr="00504C61">
        <w:rPr>
          <w:sz w:val="24"/>
          <w:szCs w:val="24"/>
        </w:rPr>
        <w:t xml:space="preserve"> di dichiarare al momento del matrimonio di assumere uno dei loro cognomi da nubile o celibe quale cognome coniugale comune (art. 160 cpv. 2 CC). Anche i figli in comune portano tale cognome (art. 270 cpv. 3 CC). </w:t>
      </w:r>
    </w:p>
    <w:p w:rsidR="00442F5F" w:rsidRPr="00504C61" w:rsidRDefault="00442F5F" w:rsidP="00442F5F">
      <w:pPr>
        <w:spacing w:after="120"/>
        <w:rPr>
          <w:sz w:val="24"/>
          <w:szCs w:val="24"/>
        </w:rPr>
      </w:pPr>
      <w:r w:rsidRPr="00504C61">
        <w:rPr>
          <w:sz w:val="24"/>
          <w:szCs w:val="24"/>
        </w:rPr>
        <w:t xml:space="preserve">Il diritto vigente distingue tra il cognome attuale, il cognome coniugale e il cognome da nubile o celibe dei fidanzati: </w:t>
      </w:r>
    </w:p>
    <w:p w:rsidR="00442F5F" w:rsidRPr="00F10310" w:rsidRDefault="00442F5F" w:rsidP="00014D14">
      <w:pPr>
        <w:pStyle w:val="Paragrafoelenco"/>
        <w:numPr>
          <w:ilvl w:val="0"/>
          <w:numId w:val="21"/>
        </w:numPr>
        <w:spacing w:after="80"/>
        <w:ind w:left="284" w:hanging="284"/>
        <w:contextualSpacing w:val="0"/>
        <w:rPr>
          <w:sz w:val="24"/>
          <w:szCs w:val="24"/>
        </w:rPr>
      </w:pPr>
      <w:r w:rsidRPr="00F10310">
        <w:rPr>
          <w:sz w:val="24"/>
          <w:szCs w:val="24"/>
        </w:rPr>
        <w:t xml:space="preserve">l’articolo 160 capoverso 1 CC si riferisce – senza menzionarlo esplicitamente – al cognome attuale dei coniugi. Si intende qui il cognome portato dalla fidanzata o dal fidanzato immediatamente prima del matrimonio. </w:t>
      </w:r>
      <w:r w:rsidR="00CF717B" w:rsidRPr="00F10310">
        <w:rPr>
          <w:sz w:val="24"/>
          <w:szCs w:val="24"/>
        </w:rPr>
        <w:t xml:space="preserve">Può </w:t>
      </w:r>
      <w:r w:rsidRPr="00F10310">
        <w:rPr>
          <w:sz w:val="24"/>
          <w:szCs w:val="24"/>
        </w:rPr>
        <w:t>trattarsi del cognome da nubile o celibe oppure del cognome acquisito a seguito del cambiamento del cognome secondo l’articolo 30 capoverso 1 CC o a seguito di un precedente matrimonio (compreso un doppio cognome acquis</w:t>
      </w:r>
      <w:r w:rsidR="00BE2026" w:rsidRPr="00F10310">
        <w:rPr>
          <w:sz w:val="24"/>
          <w:szCs w:val="24"/>
        </w:rPr>
        <w:t>i</w:t>
      </w:r>
      <w:r w:rsidRPr="00F10310">
        <w:rPr>
          <w:sz w:val="24"/>
          <w:szCs w:val="24"/>
        </w:rPr>
        <w:t xml:space="preserve">to tramite matrimonio prima del 1° gennaio 2013). </w:t>
      </w:r>
    </w:p>
    <w:p w:rsidR="00442F5F" w:rsidRPr="00F10310" w:rsidRDefault="00442F5F" w:rsidP="00014D14">
      <w:pPr>
        <w:pStyle w:val="Paragrafoelenco"/>
        <w:numPr>
          <w:ilvl w:val="0"/>
          <w:numId w:val="21"/>
        </w:numPr>
        <w:spacing w:after="80"/>
        <w:ind w:left="284" w:hanging="284"/>
        <w:contextualSpacing w:val="0"/>
        <w:rPr>
          <w:sz w:val="24"/>
          <w:szCs w:val="24"/>
        </w:rPr>
      </w:pPr>
      <w:r w:rsidRPr="00F10310">
        <w:rPr>
          <w:sz w:val="24"/>
          <w:szCs w:val="24"/>
        </w:rPr>
        <w:t>Per cognome coniugale s’intende il cognome che portano tutti i membri di una famiglia, vale a dire i coniugi e i loro figli. I fidanzati devono fare a tal fine una dichiarazione esplicita concernente la scelta del cognome coniugale. Dal 1° gennaio 2013 soltanto il cognome da nubile o celibe di uno dei coniugi pu</w:t>
      </w:r>
      <w:r w:rsidR="00CF717B" w:rsidRPr="00F10310">
        <w:rPr>
          <w:sz w:val="24"/>
          <w:szCs w:val="24"/>
        </w:rPr>
        <w:t>ò</w:t>
      </w:r>
      <w:r w:rsidRPr="00F10310">
        <w:rPr>
          <w:sz w:val="24"/>
          <w:szCs w:val="24"/>
        </w:rPr>
        <w:t xml:space="preserve"> essere dichiarato come cognome coniugale e trasmesso all’altro coniuge e ai figli. Un’eccezione è prevista se un cognome acquisito a seguito di un precedente matrimonio celebrato prima del 1° gennaio 2013 è diventato un cognome coniugale nel quadro di nuovo matrimonio. Un tale cognome è considerato come cognome coniugale anche nel diritto vigente e </w:t>
      </w:r>
      <w:r w:rsidR="00CF717B" w:rsidRPr="00F10310">
        <w:rPr>
          <w:sz w:val="24"/>
          <w:szCs w:val="24"/>
        </w:rPr>
        <w:t xml:space="preserve">può </w:t>
      </w:r>
      <w:r w:rsidRPr="00F10310">
        <w:rPr>
          <w:sz w:val="24"/>
          <w:szCs w:val="24"/>
        </w:rPr>
        <w:t xml:space="preserve">dunque essere trasmesso ai figli in comune (nati dopo il 1° gennaio 2013) (art. 160 cpv. 2, art. 270 cpv. 1 CC). Un doppio cognome matrimoniale non </w:t>
      </w:r>
      <w:r w:rsidR="00CF717B" w:rsidRPr="00F10310">
        <w:rPr>
          <w:sz w:val="24"/>
          <w:szCs w:val="24"/>
        </w:rPr>
        <w:t xml:space="preserve">può </w:t>
      </w:r>
      <w:r w:rsidRPr="00F10310">
        <w:rPr>
          <w:sz w:val="24"/>
          <w:szCs w:val="24"/>
        </w:rPr>
        <w:t xml:space="preserve">invece essere dichiarato come cognome coniugale. </w:t>
      </w:r>
    </w:p>
    <w:p w:rsidR="00442F5F" w:rsidRPr="00F10310" w:rsidRDefault="00442F5F" w:rsidP="00014D14">
      <w:pPr>
        <w:pStyle w:val="Paragrafoelenco"/>
        <w:numPr>
          <w:ilvl w:val="0"/>
          <w:numId w:val="21"/>
        </w:numPr>
        <w:spacing w:after="80"/>
        <w:ind w:left="284" w:hanging="284"/>
        <w:contextualSpacing w:val="0"/>
        <w:rPr>
          <w:sz w:val="24"/>
          <w:szCs w:val="24"/>
        </w:rPr>
      </w:pPr>
      <w:r w:rsidRPr="00F10310">
        <w:rPr>
          <w:sz w:val="24"/>
          <w:szCs w:val="24"/>
        </w:rPr>
        <w:t>Con cognome da nubile o celibe s’intende il cognome acquis</w:t>
      </w:r>
      <w:r w:rsidR="00BE2026" w:rsidRPr="00F10310">
        <w:rPr>
          <w:sz w:val="24"/>
          <w:szCs w:val="24"/>
        </w:rPr>
        <w:t>i</w:t>
      </w:r>
      <w:r w:rsidRPr="00F10310">
        <w:rPr>
          <w:sz w:val="24"/>
          <w:szCs w:val="24"/>
        </w:rPr>
        <w:t>to alla nascita, a seguito di un’adozione o del cambiamento del cognome secondo l’articolo 30 capoverso 1 CC (art. 24 cpv. 2 ordinanza sullo stato civile). Il cognome acquis</w:t>
      </w:r>
      <w:r w:rsidR="00BE2026" w:rsidRPr="00F10310">
        <w:rPr>
          <w:sz w:val="24"/>
          <w:szCs w:val="24"/>
        </w:rPr>
        <w:t>i</w:t>
      </w:r>
      <w:r w:rsidRPr="00F10310">
        <w:rPr>
          <w:sz w:val="24"/>
          <w:szCs w:val="24"/>
        </w:rPr>
        <w:t xml:space="preserve">to a seguito di un matrimonio non ricade invece sotto la nozione di cognome da nubile o celibe. I fidanzati possono dichiarare di voler assumere come cognome coniugale uno dei loro cognomi da nubile o celibe (art. 160 cpv. 2 CC). Il cognome da nubile o celibe </w:t>
      </w:r>
      <w:r w:rsidR="00CF717B" w:rsidRPr="00F10310">
        <w:rPr>
          <w:sz w:val="24"/>
          <w:szCs w:val="24"/>
        </w:rPr>
        <w:t xml:space="preserve">può </w:t>
      </w:r>
      <w:r w:rsidRPr="00F10310">
        <w:rPr>
          <w:sz w:val="24"/>
          <w:szCs w:val="24"/>
        </w:rPr>
        <w:t xml:space="preserve">anche essere scelto come cognome coniugale in caso di nuovo matrimonio, anche se non è </w:t>
      </w:r>
      <w:r w:rsidR="00CF717B" w:rsidRPr="00F10310">
        <w:rPr>
          <w:sz w:val="24"/>
          <w:szCs w:val="24"/>
        </w:rPr>
        <w:t xml:space="preserve">più </w:t>
      </w:r>
      <w:r w:rsidRPr="00F10310">
        <w:rPr>
          <w:sz w:val="24"/>
          <w:szCs w:val="24"/>
        </w:rPr>
        <w:t>portato dal suo titolare a seguito dello scioglimento di un precedente matrimonio. In tal modo, ad esempio, dopo il matrimonio la sposa riprende il suo cognome da nubile, che porter</w:t>
      </w:r>
      <w:r w:rsidR="00CF717B" w:rsidRPr="00F10310">
        <w:rPr>
          <w:sz w:val="24"/>
          <w:szCs w:val="24"/>
        </w:rPr>
        <w:t>à</w:t>
      </w:r>
      <w:r w:rsidRPr="00F10310">
        <w:rPr>
          <w:sz w:val="24"/>
          <w:szCs w:val="24"/>
        </w:rPr>
        <w:t xml:space="preserve"> anche lo sposo. </w:t>
      </w:r>
    </w:p>
    <w:p w:rsidR="00442F5F" w:rsidRPr="00504C61" w:rsidRDefault="00442F5F" w:rsidP="00014D14">
      <w:pPr>
        <w:rPr>
          <w:sz w:val="24"/>
          <w:szCs w:val="24"/>
        </w:rPr>
      </w:pPr>
      <w:r w:rsidRPr="00504C61">
        <w:rPr>
          <w:sz w:val="24"/>
          <w:szCs w:val="24"/>
        </w:rPr>
        <w:t xml:space="preserve">Dall’entrata in vigore della revisione del 2011 non è </w:t>
      </w:r>
      <w:r w:rsidR="00CF717B">
        <w:rPr>
          <w:sz w:val="24"/>
          <w:szCs w:val="24"/>
        </w:rPr>
        <w:t xml:space="preserve">più </w:t>
      </w:r>
      <w:r w:rsidRPr="00504C61">
        <w:rPr>
          <w:sz w:val="24"/>
          <w:szCs w:val="24"/>
        </w:rPr>
        <w:t xml:space="preserve">possibile formare un doppio cognome ufficiale mediante la dichiarazione di voler anteporre il proprio cognome precedente il matrimonio al cognome coniugale. Tuttavia, i doppi cognomi acquisiti sotto il diritto anteriore non sono toccati dalla revisione e restano validi. In caso di nuovo </w:t>
      </w:r>
      <w:r w:rsidRPr="00504C61">
        <w:rPr>
          <w:sz w:val="24"/>
          <w:szCs w:val="24"/>
        </w:rPr>
        <w:lastRenderedPageBreak/>
        <w:t xml:space="preserve">matrimonio, soltanto il primo cognome di tali doppi cognomi </w:t>
      </w:r>
      <w:r w:rsidR="00CF717B">
        <w:rPr>
          <w:sz w:val="24"/>
          <w:szCs w:val="24"/>
        </w:rPr>
        <w:t xml:space="preserve">può </w:t>
      </w:r>
      <w:r w:rsidRPr="00504C61">
        <w:rPr>
          <w:sz w:val="24"/>
          <w:szCs w:val="24"/>
        </w:rPr>
        <w:t>essere scelto come cognome coniugale</w:t>
      </w:r>
      <w:r>
        <w:rPr>
          <w:sz w:val="24"/>
          <w:szCs w:val="24"/>
        </w:rPr>
        <w:t>.</w:t>
      </w:r>
    </w:p>
    <w:p w:rsidR="00442F5F" w:rsidRPr="00504C61" w:rsidRDefault="00442F5F" w:rsidP="00442F5F">
      <w:pPr>
        <w:rPr>
          <w:lang w:eastAsia="it-IT"/>
        </w:rPr>
      </w:pPr>
    </w:p>
    <w:p w:rsidR="00442F5F" w:rsidRPr="00AB0BAA" w:rsidRDefault="00442F5F" w:rsidP="00442F5F">
      <w:pPr>
        <w:spacing w:after="120"/>
        <w:rPr>
          <w:iCs/>
          <w:sz w:val="24"/>
          <w:szCs w:val="24"/>
        </w:rPr>
      </w:pPr>
      <w:r>
        <w:rPr>
          <w:sz w:val="24"/>
          <w:szCs w:val="24"/>
        </w:rPr>
        <w:t>A livello cantonale il 20 ottobre 2021</w:t>
      </w:r>
      <w:r w:rsidRPr="00057ACA">
        <w:rPr>
          <w:sz w:val="24"/>
          <w:szCs w:val="24"/>
        </w:rPr>
        <w:t xml:space="preserve"> </w:t>
      </w:r>
      <w:r>
        <w:rPr>
          <w:sz w:val="24"/>
          <w:szCs w:val="24"/>
        </w:rPr>
        <w:t xml:space="preserve">è stata presentata un’iniziativa parlamentare elaborata che propone di consentire l’utilizzo del cognome di affinità nelle candidature politiche in modo da consentire ai candidati di presentarsi all’elettorato con il nome con cui sono socialmente e politicamente conosciuti. </w:t>
      </w:r>
    </w:p>
    <w:p w:rsidR="00442F5F" w:rsidRDefault="00442F5F" w:rsidP="00F10310">
      <w:pPr>
        <w:rPr>
          <w:sz w:val="24"/>
          <w:szCs w:val="24"/>
        </w:rPr>
      </w:pPr>
      <w:r w:rsidRPr="0044735F">
        <w:rPr>
          <w:sz w:val="24"/>
          <w:szCs w:val="24"/>
        </w:rPr>
        <w:t xml:space="preserve">In tal senso entrambi i coniugi sono liberi di far seguire al cognome ufficiale, il cognome attuale o il cognome da nubile o celibe del coniuge il cui cognome non è scelto come cognome coniugale. Questi due cognomi devono essere uniti con un trattino. Gli sposi che non portano un cognome coniugale possono unire con un trattino il loro cognome ufficiale al cognome da nubile o celibe del loro coniuge o al suo cognome attuale. Tuttavia, </w:t>
      </w:r>
      <w:r w:rsidR="00CF717B">
        <w:rPr>
          <w:sz w:val="24"/>
          <w:szCs w:val="24"/>
        </w:rPr>
        <w:t xml:space="preserve">poiché </w:t>
      </w:r>
      <w:r w:rsidRPr="0044735F">
        <w:rPr>
          <w:sz w:val="24"/>
          <w:szCs w:val="24"/>
        </w:rPr>
        <w:t xml:space="preserve">il cognome di affinità̀ non rappresenta </w:t>
      </w:r>
      <w:r w:rsidR="00CF717B">
        <w:rPr>
          <w:sz w:val="24"/>
          <w:szCs w:val="24"/>
        </w:rPr>
        <w:t xml:space="preserve">un cognome ufficiale, non sarà </w:t>
      </w:r>
      <w:r w:rsidRPr="0044735F">
        <w:rPr>
          <w:sz w:val="24"/>
          <w:szCs w:val="24"/>
        </w:rPr>
        <w:t xml:space="preserve">iscritto nel registro dello stato civile. Di conseguenza, nelle relazioni ufficiali non vi è il diritto di utilizzare un tale cognome. Su </w:t>
      </w:r>
      <w:r w:rsidR="00CF717B">
        <w:rPr>
          <w:sz w:val="24"/>
          <w:szCs w:val="24"/>
        </w:rPr>
        <w:t>richiesta il cognome d’affinità</w:t>
      </w:r>
      <w:r w:rsidRPr="0044735F">
        <w:rPr>
          <w:sz w:val="24"/>
          <w:szCs w:val="24"/>
        </w:rPr>
        <w:t xml:space="preserve"> </w:t>
      </w:r>
      <w:r w:rsidR="00CF717B">
        <w:rPr>
          <w:sz w:val="24"/>
          <w:szCs w:val="24"/>
        </w:rPr>
        <w:t xml:space="preserve">può </w:t>
      </w:r>
      <w:r w:rsidRPr="0044735F">
        <w:rPr>
          <w:sz w:val="24"/>
          <w:szCs w:val="24"/>
        </w:rPr>
        <w:t>tuttavia figurare almeno sul passaporto o sulla carta d</w:t>
      </w:r>
      <w:r w:rsidR="00CF717B">
        <w:rPr>
          <w:sz w:val="24"/>
          <w:szCs w:val="24"/>
        </w:rPr>
        <w:t xml:space="preserve">’identità̀. Il cognome d’affinità può </w:t>
      </w:r>
      <w:r w:rsidRPr="0044735F">
        <w:rPr>
          <w:sz w:val="24"/>
          <w:szCs w:val="24"/>
        </w:rPr>
        <w:t>continuare a essere utilizzato anche dopo lo scioglimento del matrimonio.</w:t>
      </w:r>
    </w:p>
    <w:p w:rsidR="00442F5F" w:rsidRDefault="00442F5F" w:rsidP="00F10310">
      <w:pPr>
        <w:rPr>
          <w:sz w:val="24"/>
          <w:szCs w:val="24"/>
        </w:rPr>
      </w:pPr>
    </w:p>
    <w:p w:rsidR="00F10310" w:rsidRDefault="00F10310" w:rsidP="00F10310">
      <w:pPr>
        <w:tabs>
          <w:tab w:val="left" w:pos="567"/>
        </w:tabs>
        <w:spacing w:before="120"/>
        <w:rPr>
          <w:sz w:val="24"/>
          <w:szCs w:val="24"/>
        </w:rPr>
      </w:pPr>
    </w:p>
    <w:p w:rsidR="00442F5F" w:rsidRPr="00F10310" w:rsidRDefault="00F10310" w:rsidP="00F10310">
      <w:pPr>
        <w:pStyle w:val="Titolo1"/>
        <w:tabs>
          <w:tab w:val="left" w:pos="567"/>
        </w:tabs>
        <w:suppressAutoHyphens w:val="0"/>
        <w:spacing w:before="0"/>
        <w:jc w:val="both"/>
        <w:rPr>
          <w:rFonts w:eastAsia="Calibri" w:cs="Times New Roman"/>
          <w:caps/>
          <w:sz w:val="24"/>
          <w:szCs w:val="24"/>
          <w:lang w:val="it-IT" w:eastAsia="it-IT"/>
        </w:rPr>
      </w:pPr>
      <w:bookmarkStart w:id="1" w:name="_Hlk113461617"/>
      <w:bookmarkStart w:id="2" w:name="_Toc124259873"/>
      <w:r>
        <w:rPr>
          <w:rFonts w:eastAsia="Calibri" w:cs="Times New Roman"/>
          <w:caps/>
          <w:sz w:val="24"/>
          <w:szCs w:val="24"/>
          <w:lang w:val="it-IT" w:eastAsia="it-IT"/>
        </w:rPr>
        <w:t>2.</w:t>
      </w:r>
      <w:r>
        <w:rPr>
          <w:rFonts w:eastAsia="Calibri" w:cs="Times New Roman"/>
          <w:caps/>
          <w:sz w:val="24"/>
          <w:szCs w:val="24"/>
          <w:lang w:val="it-IT" w:eastAsia="it-IT"/>
        </w:rPr>
        <w:tab/>
      </w:r>
      <w:r w:rsidR="00442F5F" w:rsidRPr="00AB0BAA">
        <w:rPr>
          <w:rFonts w:eastAsia="Calibri" w:cs="Times New Roman"/>
          <w:caps/>
          <w:sz w:val="24"/>
          <w:szCs w:val="24"/>
          <w:lang w:val="it-IT" w:eastAsia="it-IT"/>
        </w:rPr>
        <w:t xml:space="preserve">CONSIDERAZIONI </w:t>
      </w:r>
      <w:bookmarkEnd w:id="1"/>
      <w:r w:rsidR="00442F5F" w:rsidRPr="00AB0BAA">
        <w:rPr>
          <w:rFonts w:eastAsia="Calibri" w:cs="Times New Roman"/>
          <w:caps/>
          <w:sz w:val="24"/>
          <w:szCs w:val="24"/>
          <w:lang w:val="it-IT" w:eastAsia="it-IT"/>
        </w:rPr>
        <w:t>DELLA COMMISSION</w:t>
      </w:r>
      <w:r w:rsidR="00442F5F">
        <w:rPr>
          <w:rFonts w:eastAsia="Calibri" w:cs="Times New Roman"/>
          <w:caps/>
          <w:sz w:val="24"/>
          <w:szCs w:val="24"/>
          <w:lang w:val="it-IT" w:eastAsia="it-IT"/>
        </w:rPr>
        <w:t>E</w:t>
      </w:r>
      <w:bookmarkEnd w:id="2"/>
    </w:p>
    <w:p w:rsidR="00442F5F" w:rsidRPr="00F10310" w:rsidRDefault="00442F5F" w:rsidP="00F10310">
      <w:pPr>
        <w:pStyle w:val="Titolo2"/>
        <w:numPr>
          <w:ilvl w:val="0"/>
          <w:numId w:val="0"/>
        </w:numPr>
        <w:tabs>
          <w:tab w:val="left" w:pos="567"/>
        </w:tabs>
        <w:suppressAutoHyphens w:val="0"/>
        <w:spacing w:before="0" w:after="120"/>
        <w:jc w:val="both"/>
        <w:rPr>
          <w:rFonts w:eastAsia="Calibri" w:cs="Times New Roman"/>
          <w:sz w:val="24"/>
          <w:lang w:val="it-IT" w:eastAsia="it-IT"/>
        </w:rPr>
      </w:pPr>
      <w:bookmarkStart w:id="3" w:name="_Toc124259874"/>
      <w:r w:rsidRPr="00F10310">
        <w:rPr>
          <w:rFonts w:eastAsia="Calibri" w:cs="Times New Roman"/>
          <w:sz w:val="24"/>
          <w:lang w:val="it-IT" w:eastAsia="it-IT"/>
        </w:rPr>
        <w:t>2</w:t>
      </w:r>
      <w:r w:rsidR="00F10310" w:rsidRPr="00F10310">
        <w:rPr>
          <w:rFonts w:eastAsia="Calibri" w:cs="Times New Roman"/>
          <w:sz w:val="24"/>
          <w:lang w:val="it-IT" w:eastAsia="it-IT"/>
        </w:rPr>
        <w:t>.1</w:t>
      </w:r>
      <w:r w:rsidR="00F10310" w:rsidRPr="00F10310">
        <w:rPr>
          <w:rFonts w:eastAsia="Calibri" w:cs="Times New Roman"/>
          <w:sz w:val="24"/>
          <w:lang w:val="it-IT" w:eastAsia="it-IT"/>
        </w:rPr>
        <w:tab/>
      </w:r>
      <w:r w:rsidRPr="00F10310">
        <w:rPr>
          <w:rFonts w:eastAsia="Calibri" w:cs="Times New Roman"/>
          <w:sz w:val="24"/>
          <w:lang w:val="it-IT" w:eastAsia="it-IT"/>
        </w:rPr>
        <w:t>Prospettive a livello federale</w:t>
      </w:r>
      <w:bookmarkEnd w:id="3"/>
    </w:p>
    <w:p w:rsidR="00442F5F" w:rsidRPr="00ED5266" w:rsidRDefault="00442F5F" w:rsidP="00014D14">
      <w:pPr>
        <w:spacing w:after="120"/>
        <w:rPr>
          <w:rFonts w:cs="Arial"/>
          <w:sz w:val="24"/>
          <w:szCs w:val="24"/>
        </w:rPr>
      </w:pPr>
      <w:r>
        <w:rPr>
          <w:rFonts w:cs="Arial"/>
          <w:sz w:val="24"/>
          <w:szCs w:val="24"/>
        </w:rPr>
        <w:t>Anche a livello federale il tema è di attualità e l</w:t>
      </w:r>
      <w:r w:rsidRPr="00ED5266">
        <w:rPr>
          <w:rFonts w:cs="Arial"/>
          <w:sz w:val="24"/>
          <w:szCs w:val="24"/>
        </w:rPr>
        <w:t xml:space="preserve">a Commissione degli affari giuridici del Consiglio degli Stati vuole reintrodurre la possibilità di assumere un doppio cognome al momento del matrimonio. </w:t>
      </w:r>
    </w:p>
    <w:p w:rsidR="00442F5F" w:rsidRDefault="00442F5F" w:rsidP="00014D14">
      <w:pPr>
        <w:pStyle w:val="NormaleWeb"/>
        <w:spacing w:before="120" w:beforeAutospacing="0" w:after="120" w:afterAutospacing="0"/>
        <w:jc w:val="both"/>
        <w:rPr>
          <w:rFonts w:ascii="Arial" w:hAnsi="Arial" w:cs="Arial"/>
        </w:rPr>
      </w:pPr>
      <w:r w:rsidRPr="00ED5266">
        <w:rPr>
          <w:rFonts w:ascii="Arial" w:hAnsi="Arial" w:cs="Arial"/>
        </w:rPr>
        <w:t xml:space="preserve">Il progetto di legge è nato </w:t>
      </w:r>
      <w:r w:rsidRPr="007C460E">
        <w:rPr>
          <w:rFonts w:ascii="Arial" w:hAnsi="Arial" w:cs="Arial"/>
          <w:i/>
          <w:iCs/>
        </w:rPr>
        <w:t>dall’Iniziativa Parlamentare 17.523</w:t>
      </w:r>
      <w:r w:rsidRPr="00ED5266">
        <w:rPr>
          <w:rFonts w:ascii="Arial" w:hAnsi="Arial" w:cs="Arial"/>
        </w:rPr>
        <w:t xml:space="preserve"> «</w:t>
      </w:r>
      <w:r w:rsidR="00CF717B">
        <w:rPr>
          <w:rFonts w:ascii="Arial" w:hAnsi="Arial" w:cs="Arial"/>
          <w:i/>
          <w:iCs/>
        </w:rPr>
        <w:t xml:space="preserve">Possibilità </w:t>
      </w:r>
      <w:r w:rsidRPr="007C460E">
        <w:rPr>
          <w:rFonts w:ascii="Arial" w:hAnsi="Arial" w:cs="Arial"/>
          <w:i/>
          <w:iCs/>
        </w:rPr>
        <w:t>di portare il doppio cognome dopo il matrimonio»</w:t>
      </w:r>
      <w:r w:rsidRPr="00ED5266">
        <w:rPr>
          <w:rFonts w:ascii="Arial" w:hAnsi="Arial" w:cs="Arial"/>
        </w:rPr>
        <w:t xml:space="preserve"> volta ad ampliare le possibilit</w:t>
      </w:r>
      <w:r w:rsidR="00CF717B">
        <w:rPr>
          <w:rFonts w:ascii="Arial" w:hAnsi="Arial" w:cs="Arial"/>
        </w:rPr>
        <w:t xml:space="preserve">à </w:t>
      </w:r>
      <w:r w:rsidRPr="00ED5266">
        <w:rPr>
          <w:rFonts w:ascii="Arial" w:hAnsi="Arial" w:cs="Arial"/>
        </w:rPr>
        <w:t xml:space="preserve">previste dal Codice civile per quanto riguarda il cognome durante il matrimonio, consentendo anche di portare un doppio cognome ufficiale. </w:t>
      </w:r>
      <w:r w:rsidRPr="003977E8">
        <w:rPr>
          <w:rFonts w:ascii="Arial" w:hAnsi="Arial" w:cs="Arial"/>
        </w:rPr>
        <w:t xml:space="preserve">Questo perché ora i coniugi non possono </w:t>
      </w:r>
      <w:r w:rsidR="00CF717B">
        <w:rPr>
          <w:rFonts w:ascii="Arial" w:hAnsi="Arial" w:cs="Arial"/>
        </w:rPr>
        <w:t xml:space="preserve">più </w:t>
      </w:r>
      <w:r w:rsidRPr="003977E8">
        <w:rPr>
          <w:rFonts w:ascii="Arial" w:hAnsi="Arial" w:cs="Arial"/>
        </w:rPr>
        <w:t>evidenziare nel cognome il loro legame matrimoniale senza che uno dei due sia costretto a rinunciare al cognome che portava prima del matrimonio</w:t>
      </w:r>
      <w:r>
        <w:rPr>
          <w:rFonts w:ascii="Arial" w:hAnsi="Arial" w:cs="Arial"/>
        </w:rPr>
        <w:t xml:space="preserve"> e le statistiche hanno evidenziato che nella maggioranza dei casi è la moglie a rinunciare al proprio cognome, spesso con dispiacere. Quindi se inizialmente lo spirito della nuova legge era nel segno della parità gli effetti non sono stati quelli immaginati. </w:t>
      </w:r>
    </w:p>
    <w:p w:rsidR="00442F5F" w:rsidRPr="00F10310" w:rsidRDefault="00442F5F" w:rsidP="00014D14">
      <w:pPr>
        <w:pStyle w:val="NormaleWeb"/>
        <w:spacing w:before="0" w:beforeAutospacing="0" w:after="240" w:afterAutospacing="0"/>
        <w:rPr>
          <w:rFonts w:ascii="Arial" w:hAnsi="Arial" w:cs="Arial"/>
          <w:b/>
          <w:bCs/>
          <w:iCs/>
          <w:u w:val="single"/>
        </w:rPr>
      </w:pPr>
      <w:r w:rsidRPr="00F10310">
        <w:rPr>
          <w:rFonts w:ascii="Arial" w:hAnsi="Arial" w:cs="Arial"/>
          <w:b/>
          <w:bCs/>
          <w:iCs/>
          <w:u w:val="single"/>
        </w:rPr>
        <w:t>Matrimoni in Ticino, scelte nei cognomi nelle coppie:</w:t>
      </w:r>
    </w:p>
    <w:tbl>
      <w:tblPr>
        <w:tblW w:w="0" w:type="auto"/>
        <w:tblCellMar>
          <w:left w:w="0" w:type="dxa"/>
          <w:right w:w="0" w:type="dxa"/>
        </w:tblCellMar>
        <w:tblLook w:val="04A0" w:firstRow="1" w:lastRow="0" w:firstColumn="1" w:lastColumn="0" w:noHBand="0" w:noVBand="1"/>
      </w:tblPr>
      <w:tblGrid>
        <w:gridCol w:w="683"/>
        <w:gridCol w:w="2431"/>
        <w:gridCol w:w="2481"/>
        <w:gridCol w:w="1976"/>
        <w:gridCol w:w="1898"/>
      </w:tblGrid>
      <w:tr w:rsidR="00442F5F" w:rsidRPr="003977E8" w:rsidTr="0081393B">
        <w:trPr>
          <w:trHeight w:val="165"/>
        </w:trPr>
        <w:tc>
          <w:tcPr>
            <w:tcW w:w="37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b/>
                <w:bCs/>
                <w:color w:val="000000"/>
                <w:lang w:eastAsia="it-IT"/>
              </w:rPr>
              <w:t>Anno</w:t>
            </w:r>
          </w:p>
        </w:tc>
        <w:tc>
          <w:tcPr>
            <w:tcW w:w="283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b/>
                <w:bCs/>
                <w:color w:val="000000"/>
                <w:lang w:eastAsia="it-IT"/>
              </w:rPr>
              <w:t>La moglie prende il cognome del marito</w:t>
            </w:r>
          </w:p>
        </w:tc>
        <w:tc>
          <w:tcPr>
            <w:tcW w:w="28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b/>
                <w:bCs/>
                <w:color w:val="000000"/>
                <w:lang w:eastAsia="it-IT"/>
              </w:rPr>
              <w:t>Il marito prende il cognome della moglie</w:t>
            </w:r>
          </w:p>
        </w:tc>
        <w:tc>
          <w:tcPr>
            <w:tcW w:w="222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b/>
                <w:bCs/>
                <w:color w:val="000000"/>
                <w:lang w:eastAsia="it-IT"/>
              </w:rPr>
              <w:t>La moglie conserva il cognome</w:t>
            </w:r>
          </w:p>
        </w:tc>
        <w:tc>
          <w:tcPr>
            <w:tcW w:w="211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b/>
                <w:bCs/>
                <w:color w:val="000000"/>
                <w:lang w:eastAsia="it-IT"/>
              </w:rPr>
              <w:t>Il marito conserva il cognome</w:t>
            </w:r>
          </w:p>
        </w:tc>
      </w:tr>
      <w:tr w:rsidR="00442F5F" w:rsidRPr="003977E8" w:rsidTr="0081393B">
        <w:trPr>
          <w:trHeight w:val="180"/>
        </w:trPr>
        <w:tc>
          <w:tcPr>
            <w:tcW w:w="37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b/>
                <w:bCs/>
                <w:color w:val="000000"/>
                <w:lang w:eastAsia="it-IT"/>
              </w:rPr>
              <w:t>2021</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52.4%</w:t>
            </w:r>
          </w:p>
        </w:tc>
        <w:tc>
          <w:tcPr>
            <w:tcW w:w="2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0.7%</w:t>
            </w: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42.8%</w:t>
            </w:r>
          </w:p>
        </w:tc>
        <w:tc>
          <w:tcPr>
            <w:tcW w:w="2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96.1%</w:t>
            </w:r>
          </w:p>
        </w:tc>
      </w:tr>
      <w:tr w:rsidR="00442F5F" w:rsidRPr="003977E8" w:rsidTr="0081393B">
        <w:trPr>
          <w:trHeight w:val="165"/>
        </w:trPr>
        <w:tc>
          <w:tcPr>
            <w:tcW w:w="37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b/>
                <w:bCs/>
                <w:color w:val="000000"/>
                <w:lang w:eastAsia="it-IT"/>
              </w:rPr>
              <w:t>2020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53.4%</w:t>
            </w:r>
          </w:p>
        </w:tc>
        <w:tc>
          <w:tcPr>
            <w:tcW w:w="2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1.1%</w:t>
            </w: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41.9%</w:t>
            </w:r>
          </w:p>
        </w:tc>
        <w:tc>
          <w:tcPr>
            <w:tcW w:w="2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94.8%</w:t>
            </w:r>
          </w:p>
        </w:tc>
      </w:tr>
      <w:tr w:rsidR="00442F5F" w:rsidRPr="003977E8" w:rsidTr="0081393B">
        <w:trPr>
          <w:trHeight w:val="165"/>
        </w:trPr>
        <w:tc>
          <w:tcPr>
            <w:tcW w:w="37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b/>
                <w:bCs/>
                <w:color w:val="000000"/>
                <w:lang w:eastAsia="it-IT"/>
              </w:rPr>
              <w:t>2019</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51.5%</w:t>
            </w:r>
          </w:p>
        </w:tc>
        <w:tc>
          <w:tcPr>
            <w:tcW w:w="2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0.4%</w:t>
            </w: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39.7%</w:t>
            </w:r>
          </w:p>
        </w:tc>
        <w:tc>
          <w:tcPr>
            <w:tcW w:w="2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92.0%</w:t>
            </w:r>
          </w:p>
        </w:tc>
      </w:tr>
      <w:tr w:rsidR="00442F5F" w:rsidRPr="003977E8" w:rsidTr="0081393B">
        <w:trPr>
          <w:trHeight w:val="165"/>
        </w:trPr>
        <w:tc>
          <w:tcPr>
            <w:tcW w:w="37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b/>
                <w:bCs/>
                <w:color w:val="000000"/>
                <w:lang w:eastAsia="it-IT"/>
              </w:rPr>
              <w:t>2018</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55.0%</w:t>
            </w:r>
          </w:p>
        </w:tc>
        <w:tc>
          <w:tcPr>
            <w:tcW w:w="2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0.8%</w:t>
            </w: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38.9%</w:t>
            </w:r>
          </w:p>
        </w:tc>
        <w:tc>
          <w:tcPr>
            <w:tcW w:w="2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94.5%</w:t>
            </w:r>
          </w:p>
        </w:tc>
      </w:tr>
      <w:tr w:rsidR="00442F5F" w:rsidRPr="003977E8" w:rsidTr="0081393B">
        <w:trPr>
          <w:trHeight w:val="165"/>
        </w:trPr>
        <w:tc>
          <w:tcPr>
            <w:tcW w:w="37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b/>
                <w:bCs/>
                <w:color w:val="000000"/>
                <w:lang w:eastAsia="it-IT"/>
              </w:rPr>
              <w:t>2017</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57.7%</w:t>
            </w:r>
          </w:p>
        </w:tc>
        <w:tc>
          <w:tcPr>
            <w:tcW w:w="2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1.1%</w:t>
            </w: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36.3%</w:t>
            </w:r>
          </w:p>
        </w:tc>
        <w:tc>
          <w:tcPr>
            <w:tcW w:w="2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94.1%</w:t>
            </w:r>
          </w:p>
        </w:tc>
      </w:tr>
      <w:tr w:rsidR="00442F5F" w:rsidRPr="003977E8" w:rsidTr="0081393B">
        <w:trPr>
          <w:trHeight w:val="165"/>
        </w:trPr>
        <w:tc>
          <w:tcPr>
            <w:tcW w:w="37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b/>
                <w:bCs/>
                <w:color w:val="000000"/>
                <w:lang w:eastAsia="it-IT"/>
              </w:rPr>
              <w:t>2016</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58.4%</w:t>
            </w:r>
          </w:p>
        </w:tc>
        <w:tc>
          <w:tcPr>
            <w:tcW w:w="2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1.0%</w:t>
            </w: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35.8%</w:t>
            </w:r>
          </w:p>
        </w:tc>
        <w:tc>
          <w:tcPr>
            <w:tcW w:w="2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2F5F" w:rsidRPr="00F10310" w:rsidRDefault="00442F5F" w:rsidP="0081393B">
            <w:pPr>
              <w:suppressAutoHyphens w:val="0"/>
              <w:jc w:val="left"/>
              <w:rPr>
                <w:rFonts w:eastAsia="Times New Roman" w:cs="Arial"/>
                <w:lang w:eastAsia="it-IT"/>
              </w:rPr>
            </w:pPr>
            <w:r w:rsidRPr="00F10310">
              <w:rPr>
                <w:rFonts w:eastAsia="Times New Roman" w:cs="Arial"/>
                <w:color w:val="000000"/>
                <w:lang w:eastAsia="it-IT"/>
              </w:rPr>
              <w:t>95.6%</w:t>
            </w:r>
          </w:p>
        </w:tc>
      </w:tr>
    </w:tbl>
    <w:p w:rsidR="00442F5F" w:rsidRDefault="00442F5F" w:rsidP="00442F5F">
      <w:pPr>
        <w:rPr>
          <w:rFonts w:cs="Arial"/>
          <w:sz w:val="24"/>
          <w:szCs w:val="24"/>
        </w:rPr>
      </w:pPr>
      <w:r w:rsidRPr="003977E8">
        <w:rPr>
          <w:rFonts w:cs="Arial"/>
          <w:sz w:val="24"/>
          <w:szCs w:val="24"/>
        </w:rPr>
        <w:lastRenderedPageBreak/>
        <w:t>Con il progetto preliminare si ampliano le possibili</w:t>
      </w:r>
      <w:r w:rsidR="00CF717B">
        <w:rPr>
          <w:rFonts w:cs="Arial"/>
          <w:sz w:val="24"/>
          <w:szCs w:val="24"/>
        </w:rPr>
        <w:t xml:space="preserve">tà </w:t>
      </w:r>
      <w:r w:rsidRPr="003977E8">
        <w:rPr>
          <w:rFonts w:cs="Arial"/>
          <w:sz w:val="24"/>
          <w:szCs w:val="24"/>
        </w:rPr>
        <w:t xml:space="preserve">per quanto riguarda la scelta del cognome dopo il matrimonio, consentendo anche di formare un doppio cognome ufficiale. </w:t>
      </w:r>
    </w:p>
    <w:p w:rsidR="00442F5F" w:rsidRDefault="00442F5F" w:rsidP="00442F5F">
      <w:pPr>
        <w:rPr>
          <w:rFonts w:cs="Arial"/>
          <w:sz w:val="24"/>
          <w:szCs w:val="24"/>
        </w:rPr>
      </w:pPr>
    </w:p>
    <w:p w:rsidR="00442F5F" w:rsidRPr="003977E8" w:rsidRDefault="00442F5F" w:rsidP="00442F5F">
      <w:pPr>
        <w:rPr>
          <w:rFonts w:cs="Arial"/>
          <w:sz w:val="24"/>
          <w:szCs w:val="24"/>
        </w:rPr>
      </w:pPr>
      <w:r w:rsidRPr="003977E8">
        <w:rPr>
          <w:rFonts w:cs="Arial"/>
          <w:sz w:val="24"/>
          <w:szCs w:val="24"/>
        </w:rPr>
        <w:t xml:space="preserve">Sono </w:t>
      </w:r>
      <w:r>
        <w:rPr>
          <w:rFonts w:cs="Arial"/>
          <w:sz w:val="24"/>
          <w:szCs w:val="24"/>
        </w:rPr>
        <w:t xml:space="preserve">state </w:t>
      </w:r>
      <w:r w:rsidRPr="003977E8">
        <w:rPr>
          <w:rFonts w:cs="Arial"/>
          <w:sz w:val="24"/>
          <w:szCs w:val="24"/>
        </w:rPr>
        <w:t xml:space="preserve">poste in discussione due varianti di attuazione: </w:t>
      </w:r>
    </w:p>
    <w:p w:rsidR="00442F5F" w:rsidRPr="00883A01" w:rsidRDefault="00442F5F" w:rsidP="00F10310">
      <w:pPr>
        <w:pStyle w:val="Paragrafoelenco"/>
        <w:numPr>
          <w:ilvl w:val="0"/>
          <w:numId w:val="19"/>
        </w:numPr>
        <w:spacing w:before="120"/>
        <w:ind w:left="284" w:hanging="284"/>
        <w:contextualSpacing w:val="0"/>
        <w:rPr>
          <w:rFonts w:cs="Arial"/>
          <w:sz w:val="24"/>
          <w:szCs w:val="24"/>
        </w:rPr>
      </w:pPr>
      <w:r w:rsidRPr="00883A01">
        <w:rPr>
          <w:rFonts w:cs="Arial"/>
          <w:sz w:val="24"/>
          <w:szCs w:val="24"/>
        </w:rPr>
        <w:t xml:space="preserve">la «soluzione piccola» prevede l’introduzione di un disciplinamento che ricalca in gran parte il diritto anteriore a quello vigente. La fidanzata o il fidanzato il cui cognome da nubile o celibe non è assunto a cognome coniugale comune </w:t>
      </w:r>
      <w:r w:rsidR="00CF717B">
        <w:rPr>
          <w:rFonts w:cs="Arial"/>
          <w:sz w:val="24"/>
          <w:szCs w:val="24"/>
        </w:rPr>
        <w:t xml:space="preserve">dovrà </w:t>
      </w:r>
      <w:r w:rsidRPr="00883A01">
        <w:rPr>
          <w:rFonts w:cs="Arial"/>
          <w:sz w:val="24"/>
          <w:szCs w:val="24"/>
        </w:rPr>
        <w:t xml:space="preserve">di nuovo poter anteporre il proprio cognome portato prima del matrimonio al cognome coniugale; </w:t>
      </w:r>
    </w:p>
    <w:p w:rsidR="00442F5F" w:rsidRDefault="00442F5F" w:rsidP="00F10310">
      <w:pPr>
        <w:pStyle w:val="Paragrafoelenco"/>
        <w:numPr>
          <w:ilvl w:val="0"/>
          <w:numId w:val="19"/>
        </w:numPr>
        <w:spacing w:before="120" w:after="120"/>
        <w:ind w:left="284" w:hanging="284"/>
        <w:contextualSpacing w:val="0"/>
        <w:rPr>
          <w:rFonts w:cs="Arial"/>
          <w:sz w:val="24"/>
          <w:szCs w:val="24"/>
        </w:rPr>
      </w:pPr>
      <w:r w:rsidRPr="00883A01">
        <w:rPr>
          <w:rFonts w:cs="Arial"/>
          <w:sz w:val="24"/>
          <w:szCs w:val="24"/>
        </w:rPr>
        <w:t xml:space="preserve">la «soluzione grande» prevede di consentire a entrambi gli sposi di portare un doppio cognome ufficiale, indipendentemente dal fatto che si sia formato o no un cognome coniugale comune. Il doppio cognome matrimoniale si compone quindi del proprio cognome attuale seguito dal cognome attuale del fidanzato oppure del cognome coniugale seguito dal cognome attuale del fidanzato il cui cognome non è assunto come cognome coniugale. </w:t>
      </w:r>
    </w:p>
    <w:p w:rsidR="00442F5F" w:rsidRPr="003977E8" w:rsidRDefault="00442F5F" w:rsidP="00442F5F">
      <w:pPr>
        <w:rPr>
          <w:rFonts w:cs="Arial"/>
          <w:sz w:val="24"/>
          <w:szCs w:val="24"/>
        </w:rPr>
      </w:pPr>
      <w:r w:rsidRPr="003977E8">
        <w:rPr>
          <w:rFonts w:cs="Arial"/>
          <w:sz w:val="24"/>
          <w:szCs w:val="24"/>
        </w:rPr>
        <w:t xml:space="preserve">Il progetto non ha conseguenze sul cognome dei figli. </w:t>
      </w:r>
    </w:p>
    <w:p w:rsidR="00442F5F" w:rsidRDefault="00442F5F" w:rsidP="00442F5F">
      <w:pPr>
        <w:rPr>
          <w:rFonts w:cs="Arial"/>
          <w:sz w:val="24"/>
          <w:szCs w:val="24"/>
        </w:rPr>
      </w:pPr>
    </w:p>
    <w:p w:rsidR="00442F5F" w:rsidRDefault="00442F5F" w:rsidP="00442F5F">
      <w:pPr>
        <w:rPr>
          <w:rFonts w:cs="Arial"/>
          <w:sz w:val="24"/>
          <w:szCs w:val="24"/>
        </w:rPr>
      </w:pPr>
    </w:p>
    <w:p w:rsidR="00442F5F" w:rsidRPr="00F10310" w:rsidRDefault="00F10310" w:rsidP="00F10310">
      <w:pPr>
        <w:pStyle w:val="Titolo2"/>
        <w:numPr>
          <w:ilvl w:val="0"/>
          <w:numId w:val="0"/>
        </w:numPr>
        <w:tabs>
          <w:tab w:val="left" w:pos="567"/>
        </w:tabs>
        <w:suppressAutoHyphens w:val="0"/>
        <w:spacing w:before="0" w:after="120"/>
        <w:jc w:val="both"/>
        <w:rPr>
          <w:rFonts w:eastAsia="Calibri" w:cs="Times New Roman"/>
          <w:sz w:val="24"/>
          <w:lang w:val="it-IT" w:eastAsia="it-IT"/>
        </w:rPr>
      </w:pPr>
      <w:bookmarkStart w:id="4" w:name="_Toc124259875"/>
      <w:r>
        <w:rPr>
          <w:rFonts w:eastAsia="Calibri" w:cs="Times New Roman"/>
          <w:sz w:val="24"/>
          <w:lang w:val="it-IT" w:eastAsia="it-IT"/>
        </w:rPr>
        <w:t>2.2</w:t>
      </w:r>
      <w:r>
        <w:rPr>
          <w:rFonts w:eastAsia="Calibri" w:cs="Times New Roman"/>
          <w:sz w:val="24"/>
          <w:lang w:val="it-IT" w:eastAsia="it-IT"/>
        </w:rPr>
        <w:tab/>
      </w:r>
      <w:r w:rsidR="00442F5F" w:rsidRPr="00F10310">
        <w:rPr>
          <w:rFonts w:eastAsia="Calibri" w:cs="Times New Roman"/>
          <w:sz w:val="24"/>
          <w:lang w:val="it-IT" w:eastAsia="it-IT"/>
        </w:rPr>
        <w:t>L’iniziativa a livello cantonale</w:t>
      </w:r>
      <w:bookmarkEnd w:id="4"/>
      <w:r w:rsidR="00442F5F" w:rsidRPr="00F10310">
        <w:rPr>
          <w:rFonts w:eastAsia="Calibri" w:cs="Times New Roman"/>
          <w:sz w:val="24"/>
          <w:lang w:val="it-IT" w:eastAsia="it-IT"/>
        </w:rPr>
        <w:t xml:space="preserve"> </w:t>
      </w:r>
    </w:p>
    <w:p w:rsidR="00442F5F" w:rsidRDefault="00442F5F" w:rsidP="00442F5F">
      <w:pPr>
        <w:rPr>
          <w:rFonts w:cs="Arial"/>
          <w:sz w:val="24"/>
          <w:szCs w:val="24"/>
        </w:rPr>
      </w:pPr>
      <w:r>
        <w:rPr>
          <w:rFonts w:cs="Arial"/>
          <w:sz w:val="24"/>
          <w:szCs w:val="24"/>
        </w:rPr>
        <w:t>A livello cantonale la modifica legislativa avvenuta a seguito della revisione della Legge sull’esercizio dei diritti politici (LEDP) del 2018 aveva voluto evitare la proliferazione di nomignoli e soprannomi ma negli effetti pratici ha reso impossibile anche l’utilizzo del doppio cognome e diverse candidate non hanno potuto utilizzare il cognome solitamente utilizzato e con il quale sono conosciute.</w:t>
      </w:r>
    </w:p>
    <w:p w:rsidR="00442F5F" w:rsidRDefault="00442F5F" w:rsidP="00442F5F">
      <w:pPr>
        <w:rPr>
          <w:rFonts w:cs="Arial"/>
          <w:sz w:val="24"/>
          <w:szCs w:val="24"/>
        </w:rPr>
      </w:pPr>
    </w:p>
    <w:p w:rsidR="00442F5F" w:rsidRDefault="00442F5F" w:rsidP="00442F5F">
      <w:pPr>
        <w:rPr>
          <w:rFonts w:cs="Arial"/>
          <w:sz w:val="24"/>
          <w:szCs w:val="24"/>
        </w:rPr>
      </w:pPr>
      <w:r>
        <w:rPr>
          <w:rFonts w:cs="Arial"/>
          <w:sz w:val="24"/>
          <w:szCs w:val="24"/>
        </w:rPr>
        <w:t xml:space="preserve">La Commissione si è quindi chinata con interesse sul tema presentato nell’Iniziativa parlamentare sottoscritta da  31 deputati di ogni schieramento, che vorrebbe modificare l’art. 47 cpv. 2 della LEDP per consentire di indicare il cognome d’affinità nella designazione delle candidature, e </w:t>
      </w:r>
      <w:r w:rsidRPr="00E06BDF">
        <w:rPr>
          <w:rFonts w:cs="Arial"/>
          <w:sz w:val="24"/>
          <w:szCs w:val="24"/>
        </w:rPr>
        <w:t xml:space="preserve">la </w:t>
      </w:r>
      <w:r>
        <w:rPr>
          <w:rFonts w:cs="Arial"/>
          <w:sz w:val="24"/>
          <w:szCs w:val="24"/>
        </w:rPr>
        <w:t xml:space="preserve">Commissione  condivide la presa di posizione del Consiglio di Stato nel messaggio n. 8084 del 24 novembre 2021, che reputa si possa derogare al principio secondo cui la candidatura deve essere designata unicamente mediante il cognome risultante dai registri dello stato civile. </w:t>
      </w:r>
    </w:p>
    <w:p w:rsidR="00442F5F" w:rsidRDefault="00442F5F" w:rsidP="00442F5F">
      <w:pPr>
        <w:rPr>
          <w:rFonts w:cs="Arial"/>
          <w:sz w:val="24"/>
          <w:szCs w:val="24"/>
        </w:rPr>
      </w:pPr>
    </w:p>
    <w:p w:rsidR="00442F5F" w:rsidRDefault="00442F5F" w:rsidP="00442F5F">
      <w:pPr>
        <w:rPr>
          <w:rFonts w:cs="Arial"/>
          <w:sz w:val="24"/>
          <w:szCs w:val="24"/>
        </w:rPr>
      </w:pPr>
      <w:r>
        <w:rPr>
          <w:rFonts w:cs="Arial"/>
          <w:sz w:val="24"/>
          <w:szCs w:val="24"/>
        </w:rPr>
        <w:t>Il cognome di affinità non è un cognome ufficiale ma viene considerato tale perché appunto può figurare sui documenti di identità e molti cittadini che hanno scelto di utilizzarlo si identificano e sono conosciuti per tale cognome. La legge federale sui documenti d’identità consente, su domanda del richiedente, di far riportare nel documento d’identità il cognome di affinità (art. 2 cpv. 4 LDI; RS 143.1) e la sua composizione è disciplinata all’art. 4a dell’ordinanza del 16 febbraio 2010 del Dipartimento federale di giustizia e polizia sui documenti d’identità dei cittadini svizzeri (RS 143.111).</w:t>
      </w:r>
    </w:p>
    <w:p w:rsidR="00442F5F" w:rsidRDefault="00442F5F" w:rsidP="00442F5F">
      <w:pPr>
        <w:rPr>
          <w:rFonts w:cs="Arial"/>
          <w:sz w:val="24"/>
          <w:szCs w:val="24"/>
        </w:rPr>
      </w:pPr>
    </w:p>
    <w:p w:rsidR="00442F5F" w:rsidRDefault="00442F5F" w:rsidP="00442F5F">
      <w:pPr>
        <w:rPr>
          <w:rFonts w:cs="Arial"/>
          <w:sz w:val="24"/>
          <w:szCs w:val="24"/>
        </w:rPr>
      </w:pPr>
      <w:r>
        <w:rPr>
          <w:rFonts w:cs="Arial"/>
          <w:sz w:val="24"/>
          <w:szCs w:val="24"/>
        </w:rPr>
        <w:t xml:space="preserve">Questa possibilità è spesso utilizzata dalle donne che </w:t>
      </w:r>
      <w:r w:rsidR="003014D6">
        <w:rPr>
          <w:rFonts w:cs="Arial"/>
          <w:sz w:val="24"/>
          <w:szCs w:val="24"/>
        </w:rPr>
        <w:t xml:space="preserve">non </w:t>
      </w:r>
      <w:r>
        <w:rPr>
          <w:rFonts w:cs="Arial"/>
          <w:sz w:val="24"/>
          <w:szCs w:val="24"/>
        </w:rPr>
        <w:t xml:space="preserve">hanno rinunciato al loro cognome da nubili ma </w:t>
      </w:r>
      <w:r w:rsidR="003014D6">
        <w:rPr>
          <w:rFonts w:cs="Arial"/>
          <w:sz w:val="24"/>
          <w:szCs w:val="24"/>
        </w:rPr>
        <w:t xml:space="preserve">aggiungono </w:t>
      </w:r>
      <w:r>
        <w:rPr>
          <w:rFonts w:cs="Arial"/>
          <w:sz w:val="24"/>
          <w:szCs w:val="24"/>
        </w:rPr>
        <w:t>quello del marito per rendere evidente il legame con i figli (che nella quasi totalità dei casi portano il cognome del padre).</w:t>
      </w:r>
    </w:p>
    <w:p w:rsidR="00442F5F" w:rsidRDefault="00442F5F" w:rsidP="00442F5F">
      <w:pPr>
        <w:rPr>
          <w:rFonts w:cs="Arial"/>
          <w:sz w:val="24"/>
          <w:szCs w:val="24"/>
        </w:rPr>
      </w:pPr>
    </w:p>
    <w:p w:rsidR="00442F5F" w:rsidRDefault="00442F5F" w:rsidP="00442F5F">
      <w:pPr>
        <w:rPr>
          <w:rFonts w:cs="Arial"/>
          <w:sz w:val="24"/>
          <w:szCs w:val="24"/>
        </w:rPr>
      </w:pPr>
      <w:r w:rsidRPr="002D2E5D">
        <w:rPr>
          <w:rFonts w:cs="Arial"/>
          <w:sz w:val="24"/>
          <w:szCs w:val="24"/>
          <w:u w:val="single"/>
        </w:rPr>
        <w:t>Il Consiglio di Stato conferma che la proposta non ha un impatto finanziario su Cantone e Comuni ed è di semplice attuazi</w:t>
      </w:r>
      <w:r w:rsidRPr="009616C7">
        <w:rPr>
          <w:rFonts w:cs="Arial"/>
          <w:sz w:val="24"/>
          <w:szCs w:val="24"/>
          <w:u w:val="single"/>
        </w:rPr>
        <w:t>one.</w:t>
      </w:r>
    </w:p>
    <w:p w:rsidR="00442F5F" w:rsidRDefault="00442F5F" w:rsidP="00442F5F">
      <w:pPr>
        <w:rPr>
          <w:rFonts w:cs="Arial"/>
          <w:sz w:val="24"/>
          <w:szCs w:val="24"/>
        </w:rPr>
      </w:pPr>
      <w:r>
        <w:rPr>
          <w:rFonts w:cs="Arial"/>
          <w:sz w:val="24"/>
          <w:szCs w:val="24"/>
        </w:rPr>
        <w:lastRenderedPageBreak/>
        <w:t>All’atto della presentazione delle proposte di candidatura continuerà a essere necessaria l’indicazione del nome e del cognome che figurano nei registri dello stato civile. Le candidate e i candidati che intendono usare il cognome di affinità potranno però esprimere questa intenzione, con l’onere di far pervenire una copia del documento d’identità entro il termine in cui le liste diventano definitive</w:t>
      </w:r>
      <w:r>
        <w:rPr>
          <w:rStyle w:val="Rimandonotaapidipagina"/>
          <w:rFonts w:cs="Arial"/>
          <w:sz w:val="24"/>
          <w:szCs w:val="24"/>
        </w:rPr>
        <w:footnoteReference w:id="1"/>
      </w:r>
      <w:r>
        <w:rPr>
          <w:rFonts w:cs="Arial"/>
          <w:sz w:val="24"/>
          <w:szCs w:val="24"/>
        </w:rPr>
        <w:t>; in caso contrario il cognome apparirà sul materiale di voto nella forma che risulta dai documenti dello stato civile.</w:t>
      </w:r>
    </w:p>
    <w:p w:rsidR="00442F5F" w:rsidRDefault="00442F5F" w:rsidP="00442F5F">
      <w:pPr>
        <w:rPr>
          <w:rFonts w:cs="Arial"/>
          <w:sz w:val="24"/>
          <w:szCs w:val="24"/>
          <w:highlight w:val="yellow"/>
        </w:rPr>
      </w:pPr>
    </w:p>
    <w:p w:rsidR="00442F5F" w:rsidRPr="00370CE2" w:rsidRDefault="00442F5F" w:rsidP="00442F5F">
      <w:pPr>
        <w:rPr>
          <w:rFonts w:cs="Arial"/>
          <w:sz w:val="24"/>
          <w:szCs w:val="24"/>
        </w:rPr>
      </w:pPr>
      <w:r w:rsidRPr="00370CE2">
        <w:rPr>
          <w:rFonts w:cs="Arial"/>
          <w:sz w:val="24"/>
          <w:szCs w:val="24"/>
        </w:rPr>
        <w:t>A seguito di una richiesta di puntualizzazione della Commissione, il Consiglio di Stato - con RG 5715 del 23 novembre 2022 - ha segnalato che la modifica al testo proposta nel disegno di legge allegato al messaggio 8084 è intesa quale adattamento di natura redazionale e non muta la portata della proposta presentata nell’iniziativa parlamentare.</w:t>
      </w:r>
      <w:r>
        <w:rPr>
          <w:rFonts w:cs="Arial"/>
          <w:sz w:val="24"/>
          <w:szCs w:val="24"/>
        </w:rPr>
        <w:t xml:space="preserve"> Inoltre, il Governo, riguardo all</w:t>
      </w:r>
      <w:r w:rsidRPr="00370CE2">
        <w:rPr>
          <w:rFonts w:cs="Arial"/>
          <w:sz w:val="24"/>
          <w:szCs w:val="24"/>
        </w:rPr>
        <w:t>a data di entrata in vigore della modifica legislativa, propone che gli sia delegata la sua fissazione in modo da consentire una sufficiente flessibilità tenuto conto del calendario elettorale del 2023 e del 2024 e dell’ipotesi di elezione complementare per l’elezione del Consiglio degli Stati nei prossimi mesi.</w:t>
      </w:r>
    </w:p>
    <w:p w:rsidR="00442F5F" w:rsidRPr="008C1CF9" w:rsidRDefault="00442F5F" w:rsidP="00442F5F">
      <w:pPr>
        <w:rPr>
          <w:rFonts w:cs="Arial"/>
          <w:sz w:val="24"/>
          <w:szCs w:val="24"/>
          <w:highlight w:val="yellow"/>
        </w:rPr>
      </w:pPr>
    </w:p>
    <w:p w:rsidR="00442F5F" w:rsidRDefault="00442F5F" w:rsidP="00F10310">
      <w:pPr>
        <w:rPr>
          <w:lang w:val="it-IT" w:eastAsia="it-IT"/>
        </w:rPr>
      </w:pPr>
      <w:bookmarkStart w:id="5" w:name="_Toc96608858"/>
      <w:bookmarkStart w:id="6" w:name="_Toc113872346"/>
    </w:p>
    <w:p w:rsidR="00442F5F" w:rsidRPr="00AB0BAA" w:rsidRDefault="00EC3131" w:rsidP="00EC3131">
      <w:pPr>
        <w:pStyle w:val="Titolo1"/>
        <w:tabs>
          <w:tab w:val="left" w:pos="567"/>
        </w:tabs>
        <w:suppressAutoHyphens w:val="0"/>
        <w:spacing w:before="0"/>
        <w:jc w:val="both"/>
        <w:rPr>
          <w:rFonts w:eastAsia="Calibri" w:cs="Times New Roman"/>
          <w:caps/>
          <w:sz w:val="24"/>
          <w:szCs w:val="24"/>
          <w:lang w:val="it-IT" w:eastAsia="it-IT"/>
        </w:rPr>
      </w:pPr>
      <w:bookmarkStart w:id="7" w:name="_Toc124259876"/>
      <w:r>
        <w:rPr>
          <w:rFonts w:eastAsia="Calibri" w:cs="Times New Roman"/>
          <w:caps/>
          <w:sz w:val="24"/>
          <w:szCs w:val="24"/>
          <w:lang w:val="it-IT" w:eastAsia="it-IT"/>
        </w:rPr>
        <w:t xml:space="preserve">3. </w:t>
      </w:r>
      <w:r w:rsidR="00CD6552">
        <w:rPr>
          <w:rFonts w:eastAsia="Calibri" w:cs="Times New Roman"/>
          <w:caps/>
          <w:sz w:val="24"/>
          <w:szCs w:val="24"/>
          <w:lang w:val="it-IT" w:eastAsia="it-IT"/>
        </w:rPr>
        <w:tab/>
      </w:r>
      <w:r w:rsidR="00442F5F" w:rsidRPr="00AB0BAA">
        <w:rPr>
          <w:rFonts w:eastAsia="Calibri" w:cs="Times New Roman"/>
          <w:caps/>
          <w:sz w:val="24"/>
          <w:szCs w:val="24"/>
          <w:lang w:val="it-IT" w:eastAsia="it-IT"/>
        </w:rPr>
        <w:t>C</w:t>
      </w:r>
      <w:bookmarkEnd w:id="5"/>
      <w:r w:rsidR="00442F5F" w:rsidRPr="00AB0BAA">
        <w:rPr>
          <w:rFonts w:eastAsia="Calibri" w:cs="Times New Roman"/>
          <w:caps/>
          <w:sz w:val="24"/>
          <w:szCs w:val="24"/>
          <w:lang w:val="it-IT" w:eastAsia="it-IT"/>
        </w:rPr>
        <w:t>ONCLUSIONI</w:t>
      </w:r>
      <w:bookmarkEnd w:id="6"/>
      <w:bookmarkEnd w:id="7"/>
    </w:p>
    <w:p w:rsidR="00442F5F" w:rsidRDefault="00442F5F" w:rsidP="00DC4221">
      <w:pPr>
        <w:pStyle w:val="NormaleWeb"/>
        <w:spacing w:before="0" w:beforeAutospacing="0" w:after="0" w:afterAutospacing="0"/>
        <w:jc w:val="both"/>
      </w:pPr>
      <w:r w:rsidRPr="004F0598">
        <w:rPr>
          <w:rFonts w:ascii="Arial" w:hAnsi="Arial" w:cs="Arial"/>
        </w:rPr>
        <w:t xml:space="preserve">Visto quanto esposto in precedenza, </w:t>
      </w:r>
      <w:r>
        <w:rPr>
          <w:rFonts w:ascii="ArialMT" w:hAnsi="ArialMT"/>
        </w:rPr>
        <w:t xml:space="preserve">considerati i motivi sopra indicati, </w:t>
      </w:r>
      <w:r w:rsidRPr="004F0598">
        <w:rPr>
          <w:rFonts w:ascii="Arial" w:hAnsi="Arial" w:cs="Arial"/>
        </w:rPr>
        <w:t>la</w:t>
      </w:r>
      <w:r>
        <w:rPr>
          <w:rFonts w:ascii="Arial" w:hAnsi="Arial" w:cs="Arial"/>
        </w:rPr>
        <w:t xml:space="preserve"> </w:t>
      </w:r>
      <w:r w:rsidRPr="004F0598">
        <w:rPr>
          <w:rFonts w:ascii="Arial" w:hAnsi="Arial" w:cs="Arial"/>
        </w:rPr>
        <w:t>Commissione invita il Gran Consiglio</w:t>
      </w:r>
      <w:r>
        <w:rPr>
          <w:rFonts w:ascii="ArialMT" w:hAnsi="ArialMT"/>
        </w:rPr>
        <w:t xml:space="preserve"> ad approvare il Disegno di Legge annesso al presente rapporto, che accoglie la modifica dell’art. 47 cpv. 2 che ammette l’uso del cognome di affinità.</w:t>
      </w:r>
    </w:p>
    <w:p w:rsidR="00442F5F" w:rsidRDefault="00442F5F" w:rsidP="00442F5F">
      <w:pPr>
        <w:pStyle w:val="Corpo"/>
        <w:jc w:val="both"/>
        <w:rPr>
          <w:rFonts w:ascii="Arial" w:hAnsi="Arial" w:cs="Arial"/>
          <w:sz w:val="24"/>
          <w:szCs w:val="24"/>
          <w:lang w:val="it-CH"/>
        </w:rPr>
      </w:pPr>
    </w:p>
    <w:p w:rsidR="00DC4221" w:rsidRPr="00053519" w:rsidRDefault="00DC4221" w:rsidP="00442F5F">
      <w:pPr>
        <w:pStyle w:val="Corpo"/>
        <w:jc w:val="both"/>
        <w:rPr>
          <w:rFonts w:ascii="Arial" w:hAnsi="Arial" w:cs="Arial"/>
          <w:sz w:val="24"/>
          <w:szCs w:val="24"/>
          <w:lang w:val="it-CH"/>
        </w:rPr>
      </w:pPr>
    </w:p>
    <w:p w:rsidR="00442F5F" w:rsidRPr="00EB14D8" w:rsidRDefault="00442F5F" w:rsidP="00442F5F">
      <w:pPr>
        <w:pStyle w:val="Corpo"/>
        <w:spacing w:after="120"/>
        <w:jc w:val="both"/>
        <w:rPr>
          <w:rFonts w:ascii="Arial" w:hAnsi="Arial" w:cs="Arial"/>
          <w:sz w:val="24"/>
          <w:szCs w:val="24"/>
          <w:lang w:val="it-CH"/>
        </w:rPr>
      </w:pPr>
      <w:r w:rsidRPr="00EB14D8">
        <w:rPr>
          <w:rFonts w:ascii="Arial" w:hAnsi="Arial" w:cs="Arial"/>
          <w:sz w:val="24"/>
          <w:szCs w:val="24"/>
          <w:lang w:val="it-CH"/>
        </w:rPr>
        <w:t>Per la Commissione Costituzione e leggi:</w:t>
      </w:r>
    </w:p>
    <w:p w:rsidR="00B1140F" w:rsidRPr="00DC4221" w:rsidRDefault="00442F5F" w:rsidP="00DC4221">
      <w:pPr>
        <w:tabs>
          <w:tab w:val="left" w:pos="1134"/>
        </w:tabs>
        <w:ind w:left="1134" w:hanging="1134"/>
        <w:rPr>
          <w:sz w:val="24"/>
          <w:szCs w:val="24"/>
        </w:rPr>
      </w:pPr>
      <w:r w:rsidRPr="00EB14D8">
        <w:rPr>
          <w:sz w:val="24"/>
          <w:szCs w:val="24"/>
        </w:rPr>
        <w:t>Michela Ris, relatrice</w:t>
      </w:r>
    </w:p>
    <w:p w:rsidR="00D46CDC" w:rsidRDefault="00413461" w:rsidP="00413461">
      <w:pPr>
        <w:suppressAutoHyphens w:val="0"/>
        <w:rPr>
          <w:rFonts w:eastAsia="Times New Roman" w:cs="Arial"/>
          <w:sz w:val="24"/>
          <w:szCs w:val="20"/>
          <w:lang w:val="it-IT" w:eastAsia="it-IT"/>
        </w:rPr>
      </w:pPr>
      <w:r w:rsidRPr="00413461">
        <w:rPr>
          <w:rFonts w:eastAsia="Times New Roman" w:cs="Arial"/>
          <w:sz w:val="24"/>
          <w:szCs w:val="20"/>
          <w:lang w:val="it-IT" w:eastAsia="it-IT"/>
        </w:rPr>
        <w:t xml:space="preserve">Aldi - Buzzini - Censi - Corti - Filippini </w:t>
      </w:r>
      <w:r>
        <w:rPr>
          <w:rFonts w:eastAsia="Times New Roman" w:cs="Arial"/>
          <w:sz w:val="24"/>
          <w:szCs w:val="20"/>
          <w:lang w:val="it-IT" w:eastAsia="it-IT"/>
        </w:rPr>
        <w:t>-</w:t>
      </w:r>
      <w:r w:rsidRPr="00413461">
        <w:rPr>
          <w:rFonts w:eastAsia="Times New Roman" w:cs="Arial"/>
          <w:sz w:val="24"/>
          <w:szCs w:val="20"/>
          <w:lang w:val="it-IT" w:eastAsia="it-IT"/>
        </w:rPr>
        <w:t xml:space="preserve"> Gendotti </w:t>
      </w:r>
      <w:r w:rsidR="00D46CDC">
        <w:rPr>
          <w:rFonts w:eastAsia="Times New Roman" w:cs="Arial"/>
          <w:sz w:val="24"/>
          <w:szCs w:val="20"/>
          <w:lang w:val="it-IT" w:eastAsia="it-IT"/>
        </w:rPr>
        <w:t xml:space="preserve">- </w:t>
      </w:r>
    </w:p>
    <w:p w:rsidR="00D46CDC" w:rsidRDefault="00413461" w:rsidP="00413461">
      <w:pPr>
        <w:suppressAutoHyphens w:val="0"/>
        <w:rPr>
          <w:rFonts w:eastAsia="Times New Roman" w:cs="Arial"/>
          <w:sz w:val="24"/>
          <w:szCs w:val="20"/>
          <w:lang w:val="it-IT" w:eastAsia="it-IT"/>
        </w:rPr>
      </w:pPr>
      <w:r w:rsidRPr="00413461">
        <w:rPr>
          <w:rFonts w:eastAsia="Times New Roman" w:cs="Arial"/>
          <w:sz w:val="24"/>
          <w:szCs w:val="20"/>
          <w:lang w:val="it-IT" w:eastAsia="it-IT"/>
        </w:rPr>
        <w:t xml:space="preserve">Genini - Ghisolfi - Imelli - Käppeli </w:t>
      </w:r>
      <w:r>
        <w:rPr>
          <w:rFonts w:eastAsia="Times New Roman" w:cs="Arial"/>
          <w:sz w:val="24"/>
          <w:szCs w:val="20"/>
          <w:lang w:val="it-IT" w:eastAsia="it-IT"/>
        </w:rPr>
        <w:t>-</w:t>
      </w:r>
      <w:r w:rsidR="00D46CDC">
        <w:rPr>
          <w:rFonts w:eastAsia="Times New Roman" w:cs="Arial"/>
          <w:sz w:val="24"/>
          <w:szCs w:val="20"/>
          <w:lang w:val="it-IT" w:eastAsia="it-IT"/>
        </w:rPr>
        <w:t xml:space="preserve"> </w:t>
      </w:r>
      <w:r w:rsidRPr="00413461">
        <w:rPr>
          <w:rFonts w:eastAsia="Times New Roman" w:cs="Arial"/>
          <w:sz w:val="24"/>
          <w:szCs w:val="20"/>
          <w:lang w:val="it-IT" w:eastAsia="it-IT"/>
        </w:rPr>
        <w:t xml:space="preserve">Lepori C. </w:t>
      </w:r>
      <w:r w:rsidR="00D46CDC">
        <w:rPr>
          <w:rFonts w:eastAsia="Times New Roman" w:cs="Arial"/>
          <w:sz w:val="24"/>
          <w:szCs w:val="20"/>
          <w:lang w:val="it-IT" w:eastAsia="it-IT"/>
        </w:rPr>
        <w:t>-</w:t>
      </w:r>
      <w:bookmarkStart w:id="8" w:name="_GoBack"/>
      <w:bookmarkEnd w:id="8"/>
      <w:r w:rsidRPr="00413461">
        <w:rPr>
          <w:rFonts w:eastAsia="Times New Roman" w:cs="Arial"/>
          <w:sz w:val="24"/>
          <w:szCs w:val="20"/>
          <w:lang w:val="it-IT" w:eastAsia="it-IT"/>
        </w:rPr>
        <w:t xml:space="preserve"> </w:t>
      </w:r>
    </w:p>
    <w:p w:rsidR="00413461" w:rsidRPr="00413461" w:rsidRDefault="00413461" w:rsidP="00413461">
      <w:pPr>
        <w:suppressAutoHyphens w:val="0"/>
        <w:rPr>
          <w:rFonts w:eastAsia="Times New Roman" w:cs="Arial"/>
          <w:sz w:val="24"/>
          <w:szCs w:val="20"/>
          <w:lang w:val="it-IT" w:eastAsia="it-IT"/>
        </w:rPr>
      </w:pPr>
      <w:r w:rsidRPr="00413461">
        <w:rPr>
          <w:rFonts w:eastAsia="Times New Roman" w:cs="Arial"/>
          <w:sz w:val="24"/>
          <w:szCs w:val="20"/>
          <w:lang w:val="it-IT" w:eastAsia="it-IT"/>
        </w:rPr>
        <w:t xml:space="preserve">Lepori D. - Passardi </w:t>
      </w:r>
      <w:r w:rsidR="0037587E">
        <w:rPr>
          <w:rFonts w:eastAsia="Times New Roman" w:cs="Arial"/>
          <w:sz w:val="24"/>
          <w:szCs w:val="20"/>
          <w:lang w:val="it-IT" w:eastAsia="it-IT"/>
        </w:rPr>
        <w:t>-</w:t>
      </w:r>
      <w:r w:rsidRPr="00413461">
        <w:rPr>
          <w:rFonts w:eastAsia="Times New Roman" w:cs="Arial"/>
          <w:sz w:val="24"/>
          <w:szCs w:val="20"/>
          <w:lang w:val="it-IT" w:eastAsia="it-IT"/>
        </w:rPr>
        <w:t xml:space="preserve"> </w:t>
      </w:r>
      <w:r w:rsidR="0037587E">
        <w:rPr>
          <w:rFonts w:eastAsia="Times New Roman" w:cs="Arial"/>
          <w:sz w:val="24"/>
          <w:szCs w:val="20"/>
          <w:lang w:val="it-IT" w:eastAsia="it-IT"/>
        </w:rPr>
        <w:t xml:space="preserve">Stephani - </w:t>
      </w:r>
      <w:r w:rsidRPr="00413461">
        <w:rPr>
          <w:rFonts w:eastAsia="Times New Roman" w:cs="Arial"/>
          <w:sz w:val="24"/>
          <w:szCs w:val="20"/>
          <w:lang w:val="it-IT" w:eastAsia="it-IT"/>
        </w:rPr>
        <w:t xml:space="preserve">Terraneo </w:t>
      </w:r>
    </w:p>
    <w:p w:rsidR="00725F7E" w:rsidRPr="00413461" w:rsidRDefault="00725F7E" w:rsidP="00B1140F">
      <w:pPr>
        <w:suppressAutoHyphens w:val="0"/>
        <w:rPr>
          <w:rFonts w:eastAsia="Times New Roman" w:cs="Arial"/>
          <w:sz w:val="24"/>
          <w:szCs w:val="24"/>
          <w:lang w:val="it-IT"/>
        </w:rPr>
      </w:pPr>
    </w:p>
    <w:p w:rsidR="00725F7E" w:rsidRDefault="00725F7E" w:rsidP="00B1140F">
      <w:pPr>
        <w:suppressAutoHyphens w:val="0"/>
        <w:rPr>
          <w:rFonts w:eastAsia="Times New Roman" w:cs="Arial"/>
          <w:sz w:val="24"/>
          <w:szCs w:val="24"/>
        </w:rPr>
      </w:pPr>
    </w:p>
    <w:p w:rsidR="00442F5F" w:rsidRDefault="00442F5F" w:rsidP="00442F5F">
      <w:pPr>
        <w:suppressAutoHyphens w:val="0"/>
        <w:jc w:val="left"/>
      </w:pPr>
      <w:r>
        <w:br w:type="page"/>
      </w:r>
    </w:p>
    <w:p w:rsidR="00442F5F" w:rsidRPr="00C85346" w:rsidRDefault="00442F5F" w:rsidP="00442F5F">
      <w:pPr>
        <w:rPr>
          <w:rFonts w:ascii="Calibri" w:hAnsi="Calibri"/>
          <w:color w:val="000000" w:themeColor="text1"/>
          <w:sz w:val="24"/>
          <w:szCs w:val="24"/>
        </w:rPr>
      </w:pPr>
      <w:r w:rsidRPr="00C85346">
        <w:rPr>
          <w:color w:val="000000" w:themeColor="text1"/>
          <w:sz w:val="24"/>
          <w:szCs w:val="24"/>
        </w:rPr>
        <w:lastRenderedPageBreak/>
        <w:t>Disegno di</w:t>
      </w:r>
    </w:p>
    <w:p w:rsidR="00442F5F" w:rsidRPr="00C85346" w:rsidRDefault="00442F5F" w:rsidP="00442F5F">
      <w:pPr>
        <w:rPr>
          <w:color w:val="000000" w:themeColor="text1"/>
          <w:sz w:val="24"/>
          <w:szCs w:val="24"/>
        </w:rPr>
      </w:pPr>
    </w:p>
    <w:p w:rsidR="00442F5F" w:rsidRPr="00C85346" w:rsidRDefault="00442F5F" w:rsidP="00442F5F">
      <w:pPr>
        <w:rPr>
          <w:b/>
          <w:bCs/>
          <w:color w:val="000000" w:themeColor="text1"/>
          <w:sz w:val="24"/>
          <w:szCs w:val="24"/>
        </w:rPr>
      </w:pPr>
      <w:r w:rsidRPr="00C85346">
        <w:rPr>
          <w:b/>
          <w:bCs/>
          <w:color w:val="000000" w:themeColor="text1"/>
          <w:sz w:val="24"/>
          <w:szCs w:val="24"/>
        </w:rPr>
        <w:t>Legge</w:t>
      </w:r>
    </w:p>
    <w:p w:rsidR="00442F5F" w:rsidRPr="00463499" w:rsidRDefault="00442F5F" w:rsidP="00442F5F">
      <w:pPr>
        <w:rPr>
          <w:b/>
          <w:bCs/>
          <w:color w:val="000000" w:themeColor="text1"/>
          <w:sz w:val="24"/>
          <w:szCs w:val="24"/>
        </w:rPr>
      </w:pPr>
      <w:r w:rsidRPr="00C85346">
        <w:rPr>
          <w:b/>
          <w:bCs/>
          <w:color w:val="000000" w:themeColor="text1"/>
          <w:sz w:val="24"/>
          <w:szCs w:val="24"/>
        </w:rPr>
        <w:t>sull’esercizio dei diritti politici del 19 novembre 2018 (LEDP)</w:t>
      </w:r>
    </w:p>
    <w:p w:rsidR="00442F5F" w:rsidRPr="00C85346" w:rsidRDefault="00442F5F" w:rsidP="00442F5F">
      <w:pPr>
        <w:rPr>
          <w:color w:val="000000" w:themeColor="text1"/>
          <w:sz w:val="24"/>
          <w:szCs w:val="24"/>
        </w:rPr>
      </w:pPr>
      <w:r w:rsidRPr="00C85346">
        <w:rPr>
          <w:color w:val="000000" w:themeColor="text1"/>
          <w:sz w:val="24"/>
          <w:szCs w:val="24"/>
        </w:rPr>
        <w:t>modifica del ……….</w:t>
      </w:r>
    </w:p>
    <w:p w:rsidR="00442F5F" w:rsidRPr="00C85346" w:rsidRDefault="00442F5F" w:rsidP="00442F5F">
      <w:pPr>
        <w:rPr>
          <w:color w:val="000000" w:themeColor="text1"/>
          <w:sz w:val="24"/>
          <w:szCs w:val="24"/>
        </w:rPr>
      </w:pPr>
    </w:p>
    <w:p w:rsidR="00442F5F" w:rsidRPr="00C85346" w:rsidRDefault="00442F5F" w:rsidP="00442F5F">
      <w:pPr>
        <w:rPr>
          <w:color w:val="000000" w:themeColor="text1"/>
          <w:sz w:val="24"/>
          <w:szCs w:val="24"/>
        </w:rPr>
      </w:pPr>
      <w:r w:rsidRPr="00C85346">
        <w:rPr>
          <w:color w:val="000000" w:themeColor="text1"/>
          <w:sz w:val="24"/>
          <w:szCs w:val="24"/>
        </w:rPr>
        <w:t>IL GRAN CONSIGLIO</w:t>
      </w:r>
    </w:p>
    <w:p w:rsidR="00442F5F" w:rsidRPr="00C85346" w:rsidRDefault="00442F5F" w:rsidP="00442F5F">
      <w:pPr>
        <w:rPr>
          <w:color w:val="000000" w:themeColor="text1"/>
          <w:sz w:val="24"/>
          <w:szCs w:val="24"/>
        </w:rPr>
      </w:pPr>
      <w:r w:rsidRPr="00C85346">
        <w:rPr>
          <w:color w:val="000000" w:themeColor="text1"/>
          <w:sz w:val="24"/>
          <w:szCs w:val="24"/>
        </w:rPr>
        <w:t>DELLA REPUBBLICA E CANTONE TICINO</w:t>
      </w:r>
    </w:p>
    <w:p w:rsidR="00442F5F" w:rsidRPr="00C85346" w:rsidRDefault="00442F5F" w:rsidP="00442F5F">
      <w:pPr>
        <w:rPr>
          <w:color w:val="000000" w:themeColor="text1"/>
          <w:sz w:val="24"/>
          <w:szCs w:val="24"/>
        </w:rPr>
      </w:pPr>
    </w:p>
    <w:p w:rsidR="00442F5F" w:rsidRPr="00C85346" w:rsidRDefault="00442F5F" w:rsidP="00442F5F">
      <w:pPr>
        <w:rPr>
          <w:color w:val="000000" w:themeColor="text1"/>
          <w:sz w:val="24"/>
          <w:szCs w:val="24"/>
        </w:rPr>
      </w:pPr>
      <w:r w:rsidRPr="00C85346">
        <w:rPr>
          <w:color w:val="000000" w:themeColor="text1"/>
          <w:sz w:val="24"/>
          <w:szCs w:val="24"/>
        </w:rPr>
        <w:t>visto il messaggio 24 novembre 2021</w:t>
      </w:r>
      <w:r w:rsidR="00DC4221">
        <w:rPr>
          <w:color w:val="000000" w:themeColor="text1"/>
          <w:sz w:val="24"/>
          <w:szCs w:val="24"/>
        </w:rPr>
        <w:t xml:space="preserve"> n. 8084 del Consiglio di Stato;</w:t>
      </w:r>
    </w:p>
    <w:p w:rsidR="00442F5F" w:rsidRDefault="00DC4221" w:rsidP="00442F5F">
      <w:pPr>
        <w:rPr>
          <w:color w:val="000000" w:themeColor="text1"/>
          <w:sz w:val="24"/>
          <w:szCs w:val="24"/>
        </w:rPr>
      </w:pPr>
      <w:r>
        <w:rPr>
          <w:color w:val="000000" w:themeColor="text1"/>
          <w:sz w:val="24"/>
          <w:szCs w:val="24"/>
        </w:rPr>
        <w:t>visto il rapporto 10 gennaio 2023 n. 8084 R della Commissione Costituzione e leggi,</w:t>
      </w:r>
    </w:p>
    <w:p w:rsidR="00DC4221" w:rsidRPr="00C85346" w:rsidRDefault="00DC4221" w:rsidP="00442F5F">
      <w:pPr>
        <w:rPr>
          <w:color w:val="000000" w:themeColor="text1"/>
          <w:sz w:val="24"/>
          <w:szCs w:val="24"/>
        </w:rPr>
      </w:pPr>
    </w:p>
    <w:p w:rsidR="00442F5F" w:rsidRPr="00C85346" w:rsidRDefault="00442F5F" w:rsidP="00442F5F">
      <w:pPr>
        <w:rPr>
          <w:color w:val="000000" w:themeColor="text1"/>
          <w:sz w:val="24"/>
          <w:szCs w:val="24"/>
        </w:rPr>
      </w:pPr>
      <w:r w:rsidRPr="00C85346">
        <w:rPr>
          <w:color w:val="000000" w:themeColor="text1"/>
          <w:sz w:val="24"/>
          <w:szCs w:val="24"/>
        </w:rPr>
        <w:t>decreta:</w:t>
      </w:r>
    </w:p>
    <w:p w:rsidR="00442F5F" w:rsidRPr="00C85346" w:rsidRDefault="00442F5F" w:rsidP="00442F5F">
      <w:pPr>
        <w:rPr>
          <w:color w:val="000000" w:themeColor="text1"/>
          <w:sz w:val="24"/>
          <w:szCs w:val="24"/>
        </w:rPr>
      </w:pPr>
    </w:p>
    <w:p w:rsidR="00442F5F" w:rsidRPr="00DC4221" w:rsidRDefault="00442F5F" w:rsidP="00442F5F">
      <w:pPr>
        <w:rPr>
          <w:b/>
          <w:color w:val="000000" w:themeColor="text1"/>
          <w:sz w:val="24"/>
          <w:szCs w:val="24"/>
        </w:rPr>
      </w:pPr>
      <w:r w:rsidRPr="00DC4221">
        <w:rPr>
          <w:b/>
          <w:color w:val="000000" w:themeColor="text1"/>
          <w:sz w:val="24"/>
          <w:szCs w:val="24"/>
        </w:rPr>
        <w:t>I</w:t>
      </w:r>
    </w:p>
    <w:p w:rsidR="00442F5F" w:rsidRPr="00C85346" w:rsidRDefault="00442F5F" w:rsidP="00442F5F">
      <w:pPr>
        <w:rPr>
          <w:color w:val="000000" w:themeColor="text1"/>
          <w:sz w:val="24"/>
          <w:szCs w:val="24"/>
        </w:rPr>
      </w:pPr>
      <w:r w:rsidRPr="00C85346">
        <w:rPr>
          <w:color w:val="000000" w:themeColor="text1"/>
          <w:sz w:val="24"/>
          <w:szCs w:val="24"/>
        </w:rPr>
        <w:t>La legge sull’esercizio dei diritti politici del 19 novembre 2018 (LEDP) è modificata come</w:t>
      </w:r>
    </w:p>
    <w:p w:rsidR="00442F5F" w:rsidRPr="00C85346" w:rsidRDefault="00442F5F" w:rsidP="00442F5F">
      <w:pPr>
        <w:rPr>
          <w:color w:val="000000" w:themeColor="text1"/>
          <w:sz w:val="24"/>
          <w:szCs w:val="24"/>
        </w:rPr>
      </w:pPr>
      <w:r w:rsidRPr="00C85346">
        <w:rPr>
          <w:color w:val="000000" w:themeColor="text1"/>
          <w:sz w:val="24"/>
          <w:szCs w:val="24"/>
        </w:rPr>
        <w:t>segue:</w:t>
      </w:r>
    </w:p>
    <w:p w:rsidR="00442F5F" w:rsidRPr="00C85346" w:rsidRDefault="00442F5F" w:rsidP="00442F5F">
      <w:pPr>
        <w:rPr>
          <w:color w:val="000000" w:themeColor="text1"/>
          <w:sz w:val="24"/>
          <w:szCs w:val="24"/>
        </w:rPr>
      </w:pPr>
    </w:p>
    <w:p w:rsidR="00442F5F" w:rsidRPr="00DC4221" w:rsidRDefault="00442F5F" w:rsidP="00442F5F">
      <w:pPr>
        <w:rPr>
          <w:b/>
          <w:color w:val="000000" w:themeColor="text1"/>
          <w:sz w:val="24"/>
          <w:szCs w:val="24"/>
        </w:rPr>
      </w:pPr>
      <w:r w:rsidRPr="00DC4221">
        <w:rPr>
          <w:b/>
          <w:color w:val="000000" w:themeColor="text1"/>
          <w:sz w:val="24"/>
          <w:szCs w:val="24"/>
        </w:rPr>
        <w:t>Art. 47 cpv. 2</w:t>
      </w:r>
    </w:p>
    <w:p w:rsidR="00442F5F" w:rsidRPr="00C85346" w:rsidRDefault="00442F5F" w:rsidP="00442F5F">
      <w:pPr>
        <w:rPr>
          <w:color w:val="000000" w:themeColor="text1"/>
          <w:sz w:val="24"/>
          <w:szCs w:val="24"/>
        </w:rPr>
      </w:pPr>
      <w:r w:rsidRPr="00C85346">
        <w:rPr>
          <w:color w:val="000000" w:themeColor="text1"/>
          <w:sz w:val="24"/>
          <w:szCs w:val="24"/>
          <w:vertAlign w:val="superscript"/>
        </w:rPr>
        <w:t>2</w:t>
      </w:r>
      <w:r w:rsidRPr="00C85346">
        <w:rPr>
          <w:color w:val="000000" w:themeColor="text1"/>
          <w:sz w:val="24"/>
          <w:szCs w:val="24"/>
        </w:rPr>
        <w:t>I candidati devono essere designati unicamente con cognome, nome, data di nascita e</w:t>
      </w:r>
    </w:p>
    <w:p w:rsidR="00442F5F" w:rsidRPr="00C85346" w:rsidRDefault="00442F5F" w:rsidP="00442F5F">
      <w:pPr>
        <w:rPr>
          <w:color w:val="000000" w:themeColor="text1"/>
          <w:sz w:val="24"/>
          <w:szCs w:val="24"/>
        </w:rPr>
      </w:pPr>
      <w:r w:rsidRPr="00C85346">
        <w:rPr>
          <w:color w:val="000000" w:themeColor="text1"/>
          <w:sz w:val="24"/>
          <w:szCs w:val="24"/>
        </w:rPr>
        <w:t>domicilio; è ammesso l’uso del cognome d’affinità.</w:t>
      </w:r>
    </w:p>
    <w:p w:rsidR="00442F5F" w:rsidRPr="00C85346" w:rsidRDefault="00442F5F" w:rsidP="00442F5F">
      <w:pPr>
        <w:rPr>
          <w:color w:val="000000" w:themeColor="text1"/>
          <w:sz w:val="24"/>
          <w:szCs w:val="24"/>
        </w:rPr>
      </w:pPr>
    </w:p>
    <w:p w:rsidR="00442F5F" w:rsidRPr="00DC4221" w:rsidRDefault="00442F5F" w:rsidP="00442F5F">
      <w:pPr>
        <w:rPr>
          <w:b/>
          <w:color w:val="000000" w:themeColor="text1"/>
          <w:sz w:val="24"/>
          <w:szCs w:val="24"/>
        </w:rPr>
      </w:pPr>
      <w:r w:rsidRPr="00DC4221">
        <w:rPr>
          <w:b/>
          <w:color w:val="000000" w:themeColor="text1"/>
          <w:sz w:val="24"/>
          <w:szCs w:val="24"/>
        </w:rPr>
        <w:t>II</w:t>
      </w:r>
    </w:p>
    <w:p w:rsidR="00442F5F" w:rsidRPr="00C85346" w:rsidRDefault="00442F5F" w:rsidP="00442F5F">
      <w:pPr>
        <w:rPr>
          <w:color w:val="000000" w:themeColor="text1"/>
          <w:sz w:val="24"/>
          <w:szCs w:val="24"/>
        </w:rPr>
      </w:pPr>
      <w:r w:rsidRPr="00C85346">
        <w:rPr>
          <w:color w:val="000000" w:themeColor="text1"/>
          <w:sz w:val="24"/>
          <w:szCs w:val="24"/>
          <w:vertAlign w:val="superscript"/>
        </w:rPr>
        <w:t>1</w:t>
      </w:r>
      <w:r w:rsidRPr="00C85346">
        <w:rPr>
          <w:color w:val="000000" w:themeColor="text1"/>
          <w:sz w:val="24"/>
          <w:szCs w:val="24"/>
        </w:rPr>
        <w:t xml:space="preserve">La presente legge sottostà a referendum facoltativo. </w:t>
      </w:r>
    </w:p>
    <w:p w:rsidR="00442F5F" w:rsidRPr="00C85346" w:rsidRDefault="00442F5F" w:rsidP="00442F5F">
      <w:pPr>
        <w:rPr>
          <w:color w:val="000000" w:themeColor="text1"/>
          <w:sz w:val="24"/>
          <w:szCs w:val="24"/>
        </w:rPr>
      </w:pPr>
      <w:r w:rsidRPr="00C85346">
        <w:rPr>
          <w:color w:val="000000" w:themeColor="text1"/>
          <w:sz w:val="24"/>
          <w:szCs w:val="24"/>
          <w:vertAlign w:val="superscript"/>
        </w:rPr>
        <w:t>2</w:t>
      </w:r>
      <w:r w:rsidRPr="00C85346">
        <w:rPr>
          <w:color w:val="000000" w:themeColor="text1"/>
          <w:sz w:val="24"/>
          <w:szCs w:val="24"/>
        </w:rPr>
        <w:t>Il Consiglio di Stato ne stabilisce l’entrata in vigore.</w:t>
      </w:r>
    </w:p>
    <w:p w:rsidR="008F52AF" w:rsidRPr="00442F5F" w:rsidRDefault="008F52AF" w:rsidP="00D33940">
      <w:pPr>
        <w:pStyle w:val="StandardRisoluzionedelConsigliodiStato"/>
        <w:ind w:right="-1"/>
      </w:pPr>
    </w:p>
    <w:p w:rsidR="00D649A8" w:rsidRPr="00442F5F" w:rsidRDefault="00D649A8" w:rsidP="00D33940">
      <w:pPr>
        <w:pStyle w:val="StandardRisoluzionedelConsigliodiStato"/>
        <w:ind w:right="-1"/>
      </w:pPr>
    </w:p>
    <w:p w:rsidR="00D649A8" w:rsidRPr="00442F5F" w:rsidRDefault="00D649A8" w:rsidP="00D33940">
      <w:pPr>
        <w:pStyle w:val="StandardRisoluzionedelConsigliodiStato"/>
        <w:ind w:right="-1"/>
      </w:pPr>
    </w:p>
    <w:sectPr w:rsidR="00D649A8" w:rsidRPr="00442F5F"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F5F" w:rsidRDefault="00442F5F" w:rsidP="00F657BF">
      <w:r>
        <w:separator/>
      </w:r>
    </w:p>
  </w:endnote>
  <w:endnote w:type="continuationSeparator" w:id="0">
    <w:p w:rsidR="00442F5F" w:rsidRDefault="00442F5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29" w:rsidRDefault="009A44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8E355C" w:rsidP="00912E34">
          <w:pPr>
            <w:tabs>
              <w:tab w:val="center" w:pos="2382"/>
            </w:tabs>
          </w:pPr>
        </w:p>
      </w:tc>
      <w:tc>
        <w:tcPr>
          <w:tcW w:w="721" w:type="dxa"/>
        </w:tcPr>
        <w:p w:rsidR="00912E34" w:rsidRPr="003D1008" w:rsidRDefault="000D15E6"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D15E6"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8E355C"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8E355C">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F5F" w:rsidRDefault="00442F5F" w:rsidP="00F657BF">
      <w:r>
        <w:separator/>
      </w:r>
    </w:p>
  </w:footnote>
  <w:footnote w:type="continuationSeparator" w:id="0">
    <w:p w:rsidR="00442F5F" w:rsidRDefault="00442F5F" w:rsidP="00F657BF">
      <w:r>
        <w:continuationSeparator/>
      </w:r>
    </w:p>
  </w:footnote>
  <w:footnote w:id="1">
    <w:p w:rsidR="00442F5F" w:rsidRPr="00F10310" w:rsidRDefault="00442F5F" w:rsidP="00442F5F">
      <w:pPr>
        <w:pStyle w:val="Testonotaapidipagina"/>
        <w:rPr>
          <w:sz w:val="18"/>
          <w:szCs w:val="18"/>
          <w:lang w:val="it-CH"/>
        </w:rPr>
      </w:pPr>
      <w:r>
        <w:rPr>
          <w:rStyle w:val="Rimandonotaapidipagina"/>
        </w:rPr>
        <w:footnoteRef/>
      </w:r>
      <w:r w:rsidRPr="00F10310">
        <w:rPr>
          <w:lang w:val="it-CH"/>
        </w:rPr>
        <w:t xml:space="preserve"> </w:t>
      </w:r>
      <w:r w:rsidR="00CF717B" w:rsidRPr="00F10310">
        <w:rPr>
          <w:rFonts w:cs="Arial"/>
          <w:sz w:val="18"/>
          <w:szCs w:val="18"/>
          <w:lang w:val="it-CH"/>
        </w:rPr>
        <w:t xml:space="preserve">Le proposte </w:t>
      </w:r>
      <w:r w:rsidRPr="00F10310">
        <w:rPr>
          <w:rFonts w:cs="Arial"/>
          <w:sz w:val="18"/>
          <w:szCs w:val="18"/>
          <w:lang w:val="it-CH"/>
        </w:rPr>
        <w:t>di lista e di candidatura diventano definitive alle ore 18.00 del secondo lunedì successivo a quello di</w:t>
      </w:r>
      <w:r w:rsidR="00EC71A0" w:rsidRPr="00F10310">
        <w:rPr>
          <w:rFonts w:cs="Arial"/>
          <w:sz w:val="18"/>
          <w:szCs w:val="18"/>
          <w:lang w:val="it-CH"/>
        </w:rPr>
        <w:t xml:space="preserve"> deposito (art. 51 cpv. 1 LEDP).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29" w:rsidRDefault="009A44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C387132C-246A-489F-B5FA-D7182682B65E}"/>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1352A" w:rsidP="00A532F6">
              <w:pPr>
                <w:pStyle w:val="Page"/>
                <w:rPr>
                  <w:rFonts w:ascii="Gill Alt One MT Light" w:hAnsi="Gill Alt One MT Light"/>
                  <w:sz w:val="16"/>
                  <w:szCs w:val="16"/>
                </w:rPr>
              </w:pPr>
              <w:r>
                <w:rPr>
                  <w:rFonts w:ascii="Gill Alt One MT Light" w:hAnsi="Gill Alt One MT Light"/>
                  <w:sz w:val="16"/>
                  <w:szCs w:val="16"/>
                </w:rPr>
                <w:t>Cancelleria dello Stato</w:t>
              </w:r>
            </w:p>
          </w:tc>
        </w:sdtContent>
      </w:sdt>
      <w:tc>
        <w:tcPr>
          <w:tcW w:w="1710" w:type="dxa"/>
          <w:tcBorders>
            <w:bottom w:val="single" w:sz="4" w:space="0" w:color="auto"/>
          </w:tcBorders>
          <w:vAlign w:val="bottom"/>
        </w:tcPr>
        <w:p w:rsidR="005012EC" w:rsidRPr="004204CB" w:rsidRDefault="000D15E6"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46CDC">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46CDC">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387132C-246A-489F-B5FA-D7182682B65E}"/>
          <w:text w:multiLine="1"/>
        </w:sdtPr>
        <w:sdtEndPr/>
        <w:sdtContent>
          <w:tc>
            <w:tcPr>
              <w:tcW w:w="8383" w:type="dxa"/>
              <w:tcBorders>
                <w:left w:val="single" w:sz="4" w:space="0" w:color="auto"/>
              </w:tcBorders>
              <w:tcMar>
                <w:top w:w="0" w:type="dxa"/>
                <w:left w:w="142" w:type="dxa"/>
              </w:tcMar>
            </w:tcPr>
            <w:p w:rsidR="005012EC" w:rsidRPr="00F10310" w:rsidRDefault="009A4429"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8084 R del 10 gennaio 2023</w:t>
              </w:r>
            </w:p>
          </w:tc>
        </w:sdtContent>
      </w:sdt>
      <w:tc>
        <w:tcPr>
          <w:tcW w:w="1710" w:type="dxa"/>
          <w:tcBorders>
            <w:top w:val="single" w:sz="4" w:space="0" w:color="auto"/>
          </w:tcBorders>
        </w:tcPr>
        <w:p w:rsidR="005012EC" w:rsidRPr="00F10310" w:rsidRDefault="008E355C" w:rsidP="00662409">
          <w:pPr>
            <w:pStyle w:val="InvisibleLine"/>
            <w:rPr>
              <w:lang w:val="it-CH"/>
            </w:rPr>
          </w:pPr>
        </w:p>
      </w:tc>
    </w:tr>
  </w:tbl>
  <w:p w:rsidR="00F657BF" w:rsidRPr="00980362" w:rsidRDefault="000D15E6"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387132C-246A-489F-B5FA-D7182682B65E}"/>
                            <w:text w:multiLine="1"/>
                          </w:sdtPr>
                          <w:sdtEndPr/>
                          <w:sdtContent>
                            <w:p w:rsidR="008065E8" w:rsidRPr="00411371" w:rsidRDefault="000D15E6"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6F4F4B19-99C7-46D3-AAC3-D1FF035EE4BC}"/>
                      <w:text w:multiLine="1"/>
                    </w:sdtPr>
                    <w:sdtEndPr/>
                    <w:sdtContent>
                      <w:p w:rsidR="008065E8" w:rsidRPr="00411371" w:rsidRDefault="000D15E6"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8E355C" w:rsidP="00D07D6E">
          <w:pPr>
            <w:pStyle w:val="InvisibleLine"/>
            <w:ind w:left="150"/>
            <w:rPr>
              <w:sz w:val="16"/>
            </w:rPr>
          </w:pPr>
        </w:p>
      </w:tc>
      <w:tc>
        <w:tcPr>
          <w:tcW w:w="373" w:type="pct"/>
          <w:tcBorders>
            <w:top w:val="nil"/>
            <w:bottom w:val="single" w:sz="4" w:space="0" w:color="auto"/>
          </w:tcBorders>
          <w:vAlign w:val="bottom"/>
        </w:tcPr>
        <w:p w:rsidR="00662409" w:rsidRPr="003108C0" w:rsidRDefault="008E355C" w:rsidP="00D07D6E">
          <w:pPr>
            <w:pStyle w:val="Level"/>
            <w:ind w:left="150"/>
            <w:rPr>
              <w:sz w:val="16"/>
            </w:rPr>
          </w:pPr>
        </w:p>
      </w:tc>
      <w:tc>
        <w:tcPr>
          <w:tcW w:w="209" w:type="pct"/>
          <w:tcBorders>
            <w:top w:val="nil"/>
            <w:bottom w:val="single" w:sz="4" w:space="0" w:color="auto"/>
          </w:tcBorders>
        </w:tcPr>
        <w:p w:rsidR="00662409" w:rsidRDefault="000D15E6"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151843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0D15E6"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857D4">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857D4">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387132C-246A-489F-B5FA-D7182682B65E}"/>
          <w:text w:multiLine="1"/>
        </w:sdtPr>
        <w:sdtEndPr/>
        <w:sdtContent>
          <w:tc>
            <w:tcPr>
              <w:tcW w:w="5000" w:type="pct"/>
              <w:gridSpan w:val="6"/>
              <w:tcBorders>
                <w:left w:val="nil"/>
                <w:right w:val="nil"/>
              </w:tcBorders>
              <w:noWrap/>
              <w:tcMar>
                <w:top w:w="0" w:type="dxa"/>
              </w:tcMar>
              <w:vAlign w:val="bottom"/>
            </w:tcPr>
            <w:p w:rsidR="00662409" w:rsidRPr="008C03B5" w:rsidRDefault="00F0278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D15E6"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8E355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D15E6"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8E355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D15E6"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8E355C"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8E355C"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387132C-246A-489F-B5FA-D7182682B65E}"/>
              <w:text w:multiLine="1"/>
            </w:sdtPr>
            <w:sdtEndPr/>
            <w:sdtContent>
              <w:r w:rsidR="009A4429">
                <w:rPr>
                  <w:rFonts w:cstheme="minorHAnsi"/>
                  <w:b/>
                  <w:sz w:val="24"/>
                  <w:szCs w:val="24"/>
                </w:rPr>
                <w:t>8084 R</w:t>
              </w:r>
            </w:sdtContent>
          </w:sdt>
        </w:p>
      </w:tc>
      <w:sdt>
        <w:sdtPr>
          <w:rPr>
            <w:sz w:val="24"/>
          </w:rPr>
          <w:alias w:val="DocParam.Date"/>
          <w:id w:val="-464426178"/>
          <w:dataBinding w:xpath="//DateTime[@id='DocParam.Date']" w:storeItemID="{C387132C-246A-489F-B5FA-D7182682B65E}"/>
          <w:date w:fullDate="2023-01-10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1352A" w:rsidP="00A532F6">
              <w:pPr>
                <w:pStyle w:val="Data"/>
              </w:pPr>
              <w:r>
                <w:rPr>
                  <w:sz w:val="24"/>
                </w:rPr>
                <w:t>10 gennaio 2023</w:t>
              </w:r>
            </w:p>
          </w:tc>
        </w:sdtContent>
      </w:sdt>
      <w:tc>
        <w:tcPr>
          <w:tcW w:w="3218" w:type="pct"/>
          <w:gridSpan w:val="4"/>
          <w:tcBorders>
            <w:top w:val="nil"/>
            <w:left w:val="nil"/>
            <w:bottom w:val="nil"/>
            <w:right w:val="nil"/>
          </w:tcBorders>
        </w:tcPr>
        <w:p w:rsidR="008C03B5" w:rsidRPr="00BE22A2" w:rsidRDefault="008E355C"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387132C-246A-489F-B5FA-D7182682B65E}"/>
              <w:text w:multiLine="1"/>
            </w:sdtPr>
            <w:sdtEndPr/>
            <w:sdtContent>
              <w:r w:rsidR="0071352A">
                <w:rPr>
                  <w:smallCaps/>
                  <w:sz w:val="23"/>
                  <w:szCs w:val="23"/>
                </w:rPr>
                <w:t>Cancelleria dello Stato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8E355C" w:rsidP="00D07D6E">
          <w:pPr>
            <w:pStyle w:val="Level"/>
            <w:ind w:left="150"/>
            <w:rPr>
              <w:rFonts w:ascii="Gill Alt One MT Light" w:hAnsi="Gill Alt One MT Light"/>
              <w:sz w:val="16"/>
              <w:szCs w:val="16"/>
            </w:rPr>
          </w:pPr>
        </w:p>
      </w:tc>
    </w:tr>
  </w:tbl>
  <w:p w:rsidR="00F657BF" w:rsidRPr="00DA2879" w:rsidRDefault="000D15E6"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768308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387132C-246A-489F-B5FA-D7182682B65E}"/>
                            <w:text w:multiLine="1"/>
                          </w:sdtPr>
                          <w:sdtEndPr/>
                          <w:sdtContent>
                            <w:p w:rsidR="00E93620" w:rsidRPr="00411371" w:rsidRDefault="000D15E6"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6F4F4B19-99C7-46D3-AAC3-D1FF035EE4BC}"/>
                      <w:text w:multiLine="1"/>
                    </w:sdtPr>
                    <w:sdtEndPr/>
                    <w:sdtContent>
                      <w:p w:rsidR="00E93620" w:rsidRPr="00411371" w:rsidRDefault="000D15E6"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D1887"/>
    <w:multiLevelType w:val="hybridMultilevel"/>
    <w:tmpl w:val="28D608CE"/>
    <w:lvl w:ilvl="0" w:tplc="D804A186">
      <w:start w:val="10"/>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1E6452D"/>
    <w:multiLevelType w:val="hybridMultilevel"/>
    <w:tmpl w:val="A208B176"/>
    <w:lvl w:ilvl="0" w:tplc="A456FDAE">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13B54623"/>
    <w:multiLevelType w:val="hybridMultilevel"/>
    <w:tmpl w:val="CF3CD4FA"/>
    <w:lvl w:ilvl="0" w:tplc="BD04EBC6">
      <w:start w:val="1"/>
      <w:numFmt w:val="decimal"/>
      <w:lvlText w:val="%1."/>
      <w:lvlJc w:val="left"/>
      <w:pPr>
        <w:ind w:left="920" w:hanging="5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7BCC0E0D"/>
    <w:multiLevelType w:val="hybridMultilevel"/>
    <w:tmpl w:val="9704F09C"/>
    <w:lvl w:ilvl="0" w:tplc="2D0C8EFA">
      <w:start w:val="1"/>
      <w:numFmt w:val="bullet"/>
      <w:lvlText w:val="-"/>
      <w:lvlJc w:val="left"/>
      <w:pPr>
        <w:ind w:left="7165" w:hanging="360"/>
      </w:pPr>
      <w:rPr>
        <w:rFonts w:ascii="Arial" w:hAnsi="Arial" w:hint="default"/>
      </w:rPr>
    </w:lvl>
    <w:lvl w:ilvl="1" w:tplc="08100003" w:tentative="1">
      <w:start w:val="1"/>
      <w:numFmt w:val="bullet"/>
      <w:lvlText w:val="o"/>
      <w:lvlJc w:val="left"/>
      <w:pPr>
        <w:ind w:left="7885" w:hanging="360"/>
      </w:pPr>
      <w:rPr>
        <w:rFonts w:ascii="Courier New" w:hAnsi="Courier New" w:cs="Courier New" w:hint="default"/>
      </w:rPr>
    </w:lvl>
    <w:lvl w:ilvl="2" w:tplc="08100005" w:tentative="1">
      <w:start w:val="1"/>
      <w:numFmt w:val="bullet"/>
      <w:lvlText w:val=""/>
      <w:lvlJc w:val="left"/>
      <w:pPr>
        <w:ind w:left="8605" w:hanging="360"/>
      </w:pPr>
      <w:rPr>
        <w:rFonts w:ascii="Wingdings" w:hAnsi="Wingdings" w:hint="default"/>
      </w:rPr>
    </w:lvl>
    <w:lvl w:ilvl="3" w:tplc="08100001" w:tentative="1">
      <w:start w:val="1"/>
      <w:numFmt w:val="bullet"/>
      <w:lvlText w:val=""/>
      <w:lvlJc w:val="left"/>
      <w:pPr>
        <w:ind w:left="9325" w:hanging="360"/>
      </w:pPr>
      <w:rPr>
        <w:rFonts w:ascii="Symbol" w:hAnsi="Symbol" w:hint="default"/>
      </w:rPr>
    </w:lvl>
    <w:lvl w:ilvl="4" w:tplc="08100003" w:tentative="1">
      <w:start w:val="1"/>
      <w:numFmt w:val="bullet"/>
      <w:lvlText w:val="o"/>
      <w:lvlJc w:val="left"/>
      <w:pPr>
        <w:ind w:left="10045" w:hanging="360"/>
      </w:pPr>
      <w:rPr>
        <w:rFonts w:ascii="Courier New" w:hAnsi="Courier New" w:cs="Courier New" w:hint="default"/>
      </w:rPr>
    </w:lvl>
    <w:lvl w:ilvl="5" w:tplc="08100005" w:tentative="1">
      <w:start w:val="1"/>
      <w:numFmt w:val="bullet"/>
      <w:lvlText w:val=""/>
      <w:lvlJc w:val="left"/>
      <w:pPr>
        <w:ind w:left="10765" w:hanging="360"/>
      </w:pPr>
      <w:rPr>
        <w:rFonts w:ascii="Wingdings" w:hAnsi="Wingdings" w:hint="default"/>
      </w:rPr>
    </w:lvl>
    <w:lvl w:ilvl="6" w:tplc="08100001" w:tentative="1">
      <w:start w:val="1"/>
      <w:numFmt w:val="bullet"/>
      <w:lvlText w:val=""/>
      <w:lvlJc w:val="left"/>
      <w:pPr>
        <w:ind w:left="11485" w:hanging="360"/>
      </w:pPr>
      <w:rPr>
        <w:rFonts w:ascii="Symbol" w:hAnsi="Symbol" w:hint="default"/>
      </w:rPr>
    </w:lvl>
    <w:lvl w:ilvl="7" w:tplc="08100003" w:tentative="1">
      <w:start w:val="1"/>
      <w:numFmt w:val="bullet"/>
      <w:lvlText w:val="o"/>
      <w:lvlJc w:val="left"/>
      <w:pPr>
        <w:ind w:left="12205" w:hanging="360"/>
      </w:pPr>
      <w:rPr>
        <w:rFonts w:ascii="Courier New" w:hAnsi="Courier New" w:cs="Courier New" w:hint="default"/>
      </w:rPr>
    </w:lvl>
    <w:lvl w:ilvl="8" w:tplc="08100005" w:tentative="1">
      <w:start w:val="1"/>
      <w:numFmt w:val="bullet"/>
      <w:lvlText w:val=""/>
      <w:lvlJc w:val="left"/>
      <w:pPr>
        <w:ind w:left="12925" w:hanging="360"/>
      </w:pPr>
      <w:rPr>
        <w:rFonts w:ascii="Wingdings" w:hAnsi="Wingdings" w:hint="default"/>
      </w:rPr>
    </w:lvl>
  </w:abstractNum>
  <w:num w:numId="1">
    <w:abstractNumId w:val="14"/>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8"/>
  </w:num>
  <w:num w:numId="5">
    <w:abstractNumId w:val="17"/>
  </w:num>
  <w:num w:numId="6">
    <w:abstractNumId w:val="15"/>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 w:numId="19">
    <w:abstractNumId w:val="10"/>
  </w:num>
  <w:num w:numId="20">
    <w:abstractNumId w:val="19"/>
    <w:lvlOverride w:ilvl="0">
      <w:lvl w:ilvl="0">
        <w:start w:val="1"/>
        <w:numFmt w:val="decimal"/>
        <w:lvlText w:val="%1"/>
        <w:lvlJc w:val="left"/>
        <w:pPr>
          <w:ind w:left="363" w:hanging="363"/>
        </w:pPr>
        <w:rPr>
          <w:rFonts w:ascii="Arial" w:hAnsi="Arial" w:cs="Arial" w:hint="default"/>
        </w:rPr>
      </w:lvl>
    </w:lvlOverride>
  </w:num>
  <w:num w:numId="21">
    <w:abstractNumId w:val="20"/>
  </w:num>
  <w:num w:numId="2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5F"/>
    <w:rsid w:val="0001324D"/>
    <w:rsid w:val="00014D14"/>
    <w:rsid w:val="00022CB3"/>
    <w:rsid w:val="00064D78"/>
    <w:rsid w:val="00074D94"/>
    <w:rsid w:val="0008734E"/>
    <w:rsid w:val="00092511"/>
    <w:rsid w:val="00096188"/>
    <w:rsid w:val="000C1F1B"/>
    <w:rsid w:val="000C76B8"/>
    <w:rsid w:val="000D15E6"/>
    <w:rsid w:val="000E2086"/>
    <w:rsid w:val="001067AF"/>
    <w:rsid w:val="00153375"/>
    <w:rsid w:val="00183AD6"/>
    <w:rsid w:val="001A4D8B"/>
    <w:rsid w:val="001B5365"/>
    <w:rsid w:val="002032F1"/>
    <w:rsid w:val="00224F50"/>
    <w:rsid w:val="00225BF7"/>
    <w:rsid w:val="00236991"/>
    <w:rsid w:val="0029222B"/>
    <w:rsid w:val="002B5D9F"/>
    <w:rsid w:val="002E6E22"/>
    <w:rsid w:val="003014D6"/>
    <w:rsid w:val="003221D7"/>
    <w:rsid w:val="0033443D"/>
    <w:rsid w:val="0037371E"/>
    <w:rsid w:val="0037587E"/>
    <w:rsid w:val="00384055"/>
    <w:rsid w:val="00395274"/>
    <w:rsid w:val="0039657E"/>
    <w:rsid w:val="003B756D"/>
    <w:rsid w:val="003E56D1"/>
    <w:rsid w:val="003E79C8"/>
    <w:rsid w:val="00403ADB"/>
    <w:rsid w:val="00413461"/>
    <w:rsid w:val="00421595"/>
    <w:rsid w:val="004278EE"/>
    <w:rsid w:val="0043006E"/>
    <w:rsid w:val="00430C24"/>
    <w:rsid w:val="00432DE7"/>
    <w:rsid w:val="00442F5F"/>
    <w:rsid w:val="00450750"/>
    <w:rsid w:val="004600A6"/>
    <w:rsid w:val="00463499"/>
    <w:rsid w:val="00495A7F"/>
    <w:rsid w:val="004D7365"/>
    <w:rsid w:val="00507D35"/>
    <w:rsid w:val="0051483B"/>
    <w:rsid w:val="005521BF"/>
    <w:rsid w:val="00553BFC"/>
    <w:rsid w:val="005652DD"/>
    <w:rsid w:val="00572FD3"/>
    <w:rsid w:val="005E6DD8"/>
    <w:rsid w:val="006003CD"/>
    <w:rsid w:val="00617628"/>
    <w:rsid w:val="00674A3B"/>
    <w:rsid w:val="00682A9D"/>
    <w:rsid w:val="006E3D46"/>
    <w:rsid w:val="006F46B6"/>
    <w:rsid w:val="00711B04"/>
    <w:rsid w:val="0071352A"/>
    <w:rsid w:val="00725F7E"/>
    <w:rsid w:val="007270F9"/>
    <w:rsid w:val="00727E39"/>
    <w:rsid w:val="007403E7"/>
    <w:rsid w:val="007952A9"/>
    <w:rsid w:val="00796AFF"/>
    <w:rsid w:val="007B3D61"/>
    <w:rsid w:val="007C6A93"/>
    <w:rsid w:val="00813818"/>
    <w:rsid w:val="00817936"/>
    <w:rsid w:val="00834D5B"/>
    <w:rsid w:val="00847AD5"/>
    <w:rsid w:val="00857948"/>
    <w:rsid w:val="008720C4"/>
    <w:rsid w:val="008770F2"/>
    <w:rsid w:val="008A4CA2"/>
    <w:rsid w:val="008B6CB3"/>
    <w:rsid w:val="008E355C"/>
    <w:rsid w:val="008F52AF"/>
    <w:rsid w:val="00903C75"/>
    <w:rsid w:val="00965A20"/>
    <w:rsid w:val="0097079B"/>
    <w:rsid w:val="009A4429"/>
    <w:rsid w:val="009B02A1"/>
    <w:rsid w:val="009B4819"/>
    <w:rsid w:val="009B542A"/>
    <w:rsid w:val="009C2493"/>
    <w:rsid w:val="009C2B74"/>
    <w:rsid w:val="009C5E5A"/>
    <w:rsid w:val="009E65D4"/>
    <w:rsid w:val="00A1500B"/>
    <w:rsid w:val="00A25BA1"/>
    <w:rsid w:val="00A37540"/>
    <w:rsid w:val="00A504C2"/>
    <w:rsid w:val="00A63E22"/>
    <w:rsid w:val="00A66E8A"/>
    <w:rsid w:val="00A840BC"/>
    <w:rsid w:val="00A84635"/>
    <w:rsid w:val="00A9642B"/>
    <w:rsid w:val="00AA508D"/>
    <w:rsid w:val="00AC0942"/>
    <w:rsid w:val="00AF0268"/>
    <w:rsid w:val="00AF659B"/>
    <w:rsid w:val="00B10F10"/>
    <w:rsid w:val="00B1140F"/>
    <w:rsid w:val="00B646FD"/>
    <w:rsid w:val="00B64C81"/>
    <w:rsid w:val="00BD7179"/>
    <w:rsid w:val="00BE2026"/>
    <w:rsid w:val="00BE3514"/>
    <w:rsid w:val="00BF0A1F"/>
    <w:rsid w:val="00C03DBB"/>
    <w:rsid w:val="00C076DE"/>
    <w:rsid w:val="00C12FE2"/>
    <w:rsid w:val="00C378B2"/>
    <w:rsid w:val="00C45EF8"/>
    <w:rsid w:val="00C4648B"/>
    <w:rsid w:val="00C5051A"/>
    <w:rsid w:val="00C623AB"/>
    <w:rsid w:val="00C8324E"/>
    <w:rsid w:val="00C857D4"/>
    <w:rsid w:val="00C939A4"/>
    <w:rsid w:val="00CA0B51"/>
    <w:rsid w:val="00CA660B"/>
    <w:rsid w:val="00CA72DF"/>
    <w:rsid w:val="00CC7A95"/>
    <w:rsid w:val="00CD1B5B"/>
    <w:rsid w:val="00CD6552"/>
    <w:rsid w:val="00CD67F1"/>
    <w:rsid w:val="00CD6A7E"/>
    <w:rsid w:val="00CF717B"/>
    <w:rsid w:val="00D33940"/>
    <w:rsid w:val="00D46A63"/>
    <w:rsid w:val="00D46CDC"/>
    <w:rsid w:val="00D600FD"/>
    <w:rsid w:val="00D649A8"/>
    <w:rsid w:val="00D7204F"/>
    <w:rsid w:val="00D86541"/>
    <w:rsid w:val="00D9240B"/>
    <w:rsid w:val="00DA67EB"/>
    <w:rsid w:val="00DB0848"/>
    <w:rsid w:val="00DC4221"/>
    <w:rsid w:val="00DE55B9"/>
    <w:rsid w:val="00DF2080"/>
    <w:rsid w:val="00E0465D"/>
    <w:rsid w:val="00E2198C"/>
    <w:rsid w:val="00E2299F"/>
    <w:rsid w:val="00E23BF8"/>
    <w:rsid w:val="00E30EB4"/>
    <w:rsid w:val="00EA4981"/>
    <w:rsid w:val="00EB088A"/>
    <w:rsid w:val="00EB14D8"/>
    <w:rsid w:val="00EC3131"/>
    <w:rsid w:val="00EC71A0"/>
    <w:rsid w:val="00ED7E8E"/>
    <w:rsid w:val="00EE00C6"/>
    <w:rsid w:val="00EE4152"/>
    <w:rsid w:val="00EF4675"/>
    <w:rsid w:val="00F0101B"/>
    <w:rsid w:val="00F02789"/>
    <w:rsid w:val="00F076BC"/>
    <w:rsid w:val="00F10310"/>
    <w:rsid w:val="00F22984"/>
    <w:rsid w:val="00F52623"/>
    <w:rsid w:val="00F5716F"/>
    <w:rsid w:val="00F61D61"/>
    <w:rsid w:val="00F657BF"/>
    <w:rsid w:val="00F716BB"/>
    <w:rsid w:val="00FA170E"/>
    <w:rsid w:val="00FA2F7B"/>
    <w:rsid w:val="00FA6799"/>
    <w:rsid w:val="00FA6DC3"/>
    <w:rsid w:val="00FB25F6"/>
    <w:rsid w:val="00FD0D86"/>
    <w:rsid w:val="00FD2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AFAEC7"/>
  <w15:docId w15:val="{B5C59EB1-B401-42C4-9663-FC558E77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2F5F"/>
    <w:pPr>
      <w:suppressAutoHyphens/>
    </w:pPr>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aliases w:val="List Paragraph 1"/>
    <w:basedOn w:val="Normale"/>
    <w:link w:val="ParagrafoelencoCarattere"/>
    <w:uiPriority w:val="99"/>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Corpo">
    <w:name w:val="Corpo"/>
    <w:rsid w:val="00442F5F"/>
    <w:pPr>
      <w:jc w:val="left"/>
    </w:pPr>
    <w:rPr>
      <w:rFonts w:ascii="Helvetica Neue" w:eastAsia="Arial Unicode MS" w:hAnsi="Helvetica Neue" w:cs="Arial Unicode MS"/>
      <w:color w:val="000000"/>
      <w:lang w:val="fr-FR" w:eastAsia="it-CH"/>
    </w:rPr>
  </w:style>
  <w:style w:type="character" w:customStyle="1" w:styleId="ParagrafoelencoCarattere">
    <w:name w:val="Paragrafo elenco Carattere"/>
    <w:aliases w:val="List Paragraph 1 Carattere"/>
    <w:link w:val="Paragrafoelenco"/>
    <w:uiPriority w:val="99"/>
    <w:locked/>
    <w:rsid w:val="00442F5F"/>
    <w:rPr>
      <w:rFonts w:ascii="Arial" w:hAnsi="Arial"/>
      <w:lang w:val="it-CH"/>
    </w:rPr>
  </w:style>
  <w:style w:type="character" w:styleId="Collegamentoipertestuale">
    <w:name w:val="Hyperlink"/>
    <w:basedOn w:val="Carpredefinitoparagrafo"/>
    <w:uiPriority w:val="99"/>
    <w:unhideWhenUsed/>
    <w:rsid w:val="00442F5F"/>
    <w:rPr>
      <w:color w:val="0000FF"/>
      <w:u w:val="single"/>
    </w:rPr>
  </w:style>
  <w:style w:type="paragraph" w:styleId="NormaleWeb">
    <w:name w:val="Normal (Web)"/>
    <w:basedOn w:val="Normale"/>
    <w:uiPriority w:val="99"/>
    <w:semiHidden/>
    <w:unhideWhenUsed/>
    <w:rsid w:val="00442F5F"/>
    <w:pPr>
      <w:suppressAutoHyphens w:val="0"/>
      <w:spacing w:before="100" w:beforeAutospacing="1" w:after="100" w:afterAutospacing="1"/>
      <w:jc w:val="left"/>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5262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2623"/>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00627\AppData\Local\Temp\OneOffixx\generated\0a93e85a-8e74-4cf2-ac27-7451661e81d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1151843339</Id>
      <Width>0</Width>
      <Height>0</Height>
      <XPath>//Image[@id='Profile.Org.WappenSW']</XPath>
      <ImageHash>02f1c0cdac6aeac316213b2e7cb733a0</ImageHash>
    </ImageSizeDefinition>
    <ImageSizeDefinition>
      <Id>1768308317</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f 3 d d 0 1 d 1 - 3 f e 6 - 4 8 0 f - a 4 3 b - 2 9 f 6 b 3 8 c b 3 7 9 "   t I d = " a 3 6 2 a 5 d 4 - 9 5 8 9 - 4 1 b f - a 4 e 6 - 4 f 8 7 c 4 e 4 1 2 3 9 "   i n t e r n a l T I d = " 9 0 6 4 c c 7 f - 3 1 6 d - 4 6 b 1 - a 4 a c - 7 4 8 6 0 c 3 f 8 a 5 b "   m t I d = " 2 7 5 a f 3 2 e - b c 4 0 - 4 5 c 2 - 8 5 b 7 - a f b 1 c 0 3 8 2 6 5 3 "   r e v i s i o n = " 0 "   c r e a t e d m a j o r v e r s i o n = " 0 "   c r e a t e d m i n o r v e r s i o n = " 0 "   c r e a t e d = " 2 0 2 3 - 0 1 - 0 3 T 1 6 : 1 8 : 4 6 . 4 8 5 5 2 9 6 Z "   m o d i f i e d m a j o r v e r s i o n = " 0 "   m o d i f i e d m i n o r v e r s i o n = " 0 "   m o d i f i e d = " 0 0 0 1 - 0 1 - 0 1 T 0 0 : 0 0 : 0 0 "   p r o f i l e = " 5 f 5 e 6 d c 5 - 2 d e 9 - 4 b a e - 8 4 d 4 - a 3 a 0 2 1 6 9 3 2 3 4 "   m o d e = " S a v e d D o c u m e n t "   c o l o r m o d e = " C o l o r "   l c i d = " 2 0 6 4 "   x m l n s = " h t t p : / / s c h e m a . o n e o f f i x x . c o m / O n e O f f i x x D o c u m e n t P a r t / 1 " >  
     < C o n t e n t >  
         < D a t a M o d e l   x m l n s = " " >  
             < S c r i p t i n g >  
                 < T e x t   i d = " C u s t o m E l e m e n t s . S u b T e m p l a t e . L a n d s c a p e . H e a d e r . O r g I n f o s "   l a b e l = " C u s t o m E l e m e n t s . S u b T e m p l a t e . L a n d s c a p e . H e a d e r . O r g I n f o s " > < ! [ C D A T A [ C a n c e l l e r i a   d e l l o   S t a t o ] ] > < / T e x t >  
                 < T e x t   i d = " C u s t o m E l e m e n t s . S u b T e m p l a t e . L a n d s c a p e . H e a d e r . T i t o l o "   l a b e l = " C u s t o m E l e m e n t s . S u b T e m p l a t e . L a n d s c a p e . H e a d e r . T i t o l o " > < ! [ C D A T A [ R a p p o r t o   n .   8 0 8 4   R   d e l   1 0   g e n n a i o   2 0 2 3 ] ] > < / T e x t >  
                 < T e x t   i d = " C u s t o m E l e m e n t s . T e x t s . D r a f t "   l a b e l = " C u s t o m E l e m e n t s . T e x t s . D r a f t " > < ! [ C D A T A [ B o z z a ] ] > < / T e x t >  
                 < T e x t   i d = " C u s t o m E l e m e n t s . F i e l d s . D i p a r t i m e n t i "   l a b e l = " C u s t o m E l e m e n t s . F i e l d s . D i p a r t i m e n t i " > < ! [ C D A T A [ C a n c e l l e r i a   d e l l o   S t a t o ] ] > < / T e x t >  
                 < T e x t   i d = " C u s t o m E l e m e n t s . F i e l d s . T i t o l o 1 "   l a b e l = " C u s t o m E l e m e n t s . F i e l d s . T i t o l o 1 " > < ! [ C D A T A [ R a p p o r t o ] ] > < / T e x t >  
                 < T e x t   i d = " C u s t o m E l e m e n t s . F i e l d s . T i t o l o 2 "   l a b e l = " C u s t o m E l e m e n t s . F i e l d s . T i t o l o 2 " > < ! [ C D A T A [ R a p p o r t o   n .   8 0 8 4   R   d e l   1 0   g e n n a i o   2 0 2 3 ] ] > < / T e x t >  
             < / S c r i p t i n g >  
             < P r o f i l e >  
                 < T e x t   i d = " P r o f i l e . I d "   l a b e l = " P r o f i l e . I d " > < ! [ C D A T A [ 5 f 5 e 6 d c 5 - 2 d e 9 - 4 b a e - 8 4 d 4 - a 3 a 0 2 1 6 9 3 2 3 4 ] ] > < / 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t t i a . d e l o r e n z i @ t i . c h ] ] > < / T e x t >  
                 < T e x t   i d = " P r o f i l e . U s e r . F i r s t N a m e "   l a b e l = " P r o f i l e . U s e r . F i r s t N a m e " > < ! [ C D A T A [ M a t t i a ] ] > < / T e x t >  
                 < T e x t   i d = " P r o f i l e . U s e r . F u n c t i o n "   l a b e l = " P r o f i l e . U s e r . F u n c t i o n " > < ! [ C D A T A [ S G C ] ] > < / T e x t >  
                 < T e x t   i d = " P r o f i l e . U s e r . L a s t N a m e "   l a b e l = " P r o f i l e . U s e r . L a s t N a m e " > < ! [ C D A T A [ D e l o r e n z i ] ] > < / T e x t >  
                 < T e x t   i d = " P r o f i l e . U s e r . M o b i l e "   l a b e l = " P r o f i l e . U s e r . M o b i l e " > < ! [ C D A T A [   ] ] > < / T e x t >  
                 < T e x t   i d = " P r o f i l e . U s e r . P h o n e "   l a b e l = " P r o f i l e . U s e r . P h o n e " > < ! [ C D A T A [ + 4 1 9 1 8 1 4 4 3 9 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t t i a . d e l o r e n z i @ t i . c h ] ] > < / T e x t >  
                 < T e x t   i d = " A u t h o r . U s e r . F i r s t N a m e "   l a b e l = " A u t h o r . U s e r . F i r s t N a m e " > < ! [ C D A T A [ M a t t i a ] ] > < / T e x t >  
                 < T e x t   i d = " A u t h o r . U s e r . F u n c t i o n "   l a b e l = " A u t h o r . U s e r . F u n c t i o n " > < ! [ C D A T A [ S G C ] ] > < / T e x t >  
                 < T e x t   i d = " A u t h o r . U s e r . L a s t N a m e "   l a b e l = " A u t h o r . U s e r . L a s t N a m e " > < ! [ C D A T A [ D e l o r e n z i ] ] > < / T e x t >  
                 < T e x t   i d = " A u t h o r . U s e r . M o b i l e "   l a b e l = " A u t h o r . U s e r . M o b i l e " > < ! [ C D A T A [   ] ] > < / T e x t >  
                 < T e x t   i d = " A u t h o r . U s e r . P h o n e "   l a b e l = " A u t h o r . U s e r . P h o n e " > < ! [ C D A T A [ + 4 1 9 1 8 1 4 4 3 9 8 ] ] > < / 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 2 0 2 3 - 0 1 - 1 0 T 0 0 : 0 0 : 0 0 Z < / D a t e T i m e >  
                 < T e x t   i d = " D o c P a r a m . N u m b e r " > < ! [ C D A T A [ 8 0 8 4   R ] ] > < / T e x t >  
                 < T e x t   i d = " D o c P a r a m . D o c u m e n t o " > < ! [ C D A T A [ R a p p o r t o ] ] > < / T e x t >  
                 < T e x t   i d = " D o c P a r a m . A g g i u n t a D o c "   t o o l t i p = " ( e s .   b i s ,   a g g i u n t i v o ,   a g g i u n t i v o   b i s ,   1 ,   2   e c c . ) " > < ! [ C D A T A [   ] ] > < / T e x t >  
                 < T e x t   i d = " D o c P a r a m . D i p a r t i m e n t i " > < ! [ C D A T A [ C a n c e l l e r i a   d e l l o   S t a t 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25DDB395-7200-4506-9D2E-A85DADA37258}">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C387132C-246A-489F-B5FA-D7182682B65E}">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0a93e85a-8e74-4cf2-ac27-7451661e81d6.dotx</Template>
  <TotalTime>42</TotalTime>
  <Pages>6</Pages>
  <Words>2150</Words>
  <Characters>12255</Characters>
  <Application>Microsoft Office Word</Application>
  <DocSecurity>0</DocSecurity>
  <Lines>102</Lines>
  <Paragraphs>28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Delorenzi Mattia / t000627</dc:creator>
  <cp:lastModifiedBy>Venturi Luca</cp:lastModifiedBy>
  <cp:revision>89</cp:revision>
  <cp:lastPrinted>2023-01-10T15:22:00Z</cp:lastPrinted>
  <dcterms:created xsi:type="dcterms:W3CDTF">2023-01-10T14:54:00Z</dcterms:created>
  <dcterms:modified xsi:type="dcterms:W3CDTF">2023-01-17T09:21:00Z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