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98F" w:rsidRPr="009D7D6A" w:rsidRDefault="00E0398F" w:rsidP="00E0398F">
      <w:pPr>
        <w:rPr>
          <w:rFonts w:eastAsia="Calibri" w:cs="Arial"/>
          <w:b/>
          <w:sz w:val="28"/>
          <w:szCs w:val="28"/>
        </w:rPr>
      </w:pPr>
      <w:r w:rsidRPr="009D7D6A">
        <w:rPr>
          <w:rFonts w:eastAsia="Calibri" w:cs="Arial"/>
          <w:b/>
          <w:sz w:val="28"/>
          <w:szCs w:val="28"/>
        </w:rPr>
        <w:t>della Commissione economia e lavoro</w:t>
      </w:r>
    </w:p>
    <w:p w:rsidR="00E0398F" w:rsidRPr="009D7D6A" w:rsidRDefault="00E0398F" w:rsidP="00E0398F">
      <w:pPr>
        <w:tabs>
          <w:tab w:val="left" w:pos="4962"/>
        </w:tabs>
        <w:ind w:right="-109"/>
        <w:rPr>
          <w:rFonts w:eastAsia="Calibri" w:cs="Times New Roman"/>
          <w:b/>
          <w:sz w:val="28"/>
          <w:szCs w:val="28"/>
        </w:rPr>
      </w:pPr>
      <w:r w:rsidRPr="009D7D6A">
        <w:rPr>
          <w:rFonts w:eastAsia="Calibri" w:cs="Times New Roman"/>
          <w:b/>
          <w:sz w:val="28"/>
          <w:szCs w:val="28"/>
        </w:rPr>
        <w:t>sull'iniziativa parlamentare</w:t>
      </w:r>
      <w:r>
        <w:rPr>
          <w:rFonts w:eastAsia="Calibri" w:cs="Times New Roman"/>
          <w:b/>
          <w:sz w:val="28"/>
          <w:szCs w:val="28"/>
        </w:rPr>
        <w:t xml:space="preserve"> 22 giugno 2020 n. 580</w:t>
      </w:r>
      <w:r w:rsidRPr="009D7D6A">
        <w:rPr>
          <w:rFonts w:eastAsia="Calibri" w:cs="Times New Roman"/>
          <w:b/>
          <w:sz w:val="28"/>
          <w:szCs w:val="28"/>
        </w:rPr>
        <w:t xml:space="preserve"> presentata nella forma elaborata da Massimiliano Ay e Lea Ferrari per la modifica dell'art. 21 della Legge </w:t>
      </w:r>
      <w:r>
        <w:rPr>
          <w:rFonts w:eastAsia="Calibri" w:cs="Times New Roman"/>
          <w:b/>
          <w:sz w:val="28"/>
          <w:szCs w:val="28"/>
        </w:rPr>
        <w:t xml:space="preserve">per </w:t>
      </w:r>
      <w:r w:rsidRPr="009D7D6A">
        <w:rPr>
          <w:rFonts w:eastAsia="Calibri" w:cs="Times New Roman"/>
          <w:b/>
          <w:sz w:val="28"/>
          <w:szCs w:val="28"/>
        </w:rPr>
        <w:t>l'innovazione economica (</w:t>
      </w:r>
      <w:proofErr w:type="spellStart"/>
      <w:r w:rsidRPr="009D7D6A">
        <w:rPr>
          <w:rFonts w:eastAsia="Calibri" w:cs="Times New Roman"/>
          <w:b/>
          <w:sz w:val="28"/>
          <w:szCs w:val="28"/>
        </w:rPr>
        <w:t>LInn</w:t>
      </w:r>
      <w:proofErr w:type="spellEnd"/>
      <w:r w:rsidRPr="009D7D6A">
        <w:rPr>
          <w:rFonts w:eastAsia="Calibri" w:cs="Times New Roman"/>
          <w:b/>
          <w:sz w:val="28"/>
          <w:szCs w:val="28"/>
        </w:rPr>
        <w:t>) - Maggiore trasparenza nel monitoragg</w:t>
      </w:r>
      <w:r>
        <w:rPr>
          <w:rFonts w:eastAsia="Calibri" w:cs="Times New Roman"/>
          <w:b/>
          <w:sz w:val="28"/>
          <w:szCs w:val="28"/>
        </w:rPr>
        <w:t>io delle agevolazioni comunali</w:t>
      </w:r>
    </w:p>
    <w:p w:rsidR="00E0398F" w:rsidRDefault="00E0398F" w:rsidP="00E0398F">
      <w:pPr>
        <w:rPr>
          <w:rFonts w:eastAsia="Calibri" w:cs="Times New Roman"/>
          <w:sz w:val="24"/>
          <w:szCs w:val="24"/>
        </w:rPr>
      </w:pPr>
    </w:p>
    <w:p w:rsidR="00E0398F" w:rsidRPr="009D7D6A" w:rsidRDefault="00E0398F" w:rsidP="00E0398F">
      <w:pPr>
        <w:rPr>
          <w:rFonts w:eastAsia="Calibri" w:cs="Arial"/>
          <w:sz w:val="24"/>
          <w:szCs w:val="24"/>
        </w:rPr>
      </w:pPr>
    </w:p>
    <w:p w:rsidR="00E0398F" w:rsidRPr="00E0398F" w:rsidRDefault="00E0398F" w:rsidP="00E0398F">
      <w:pPr>
        <w:pStyle w:val="Titolo1"/>
        <w:numPr>
          <w:ilvl w:val="0"/>
          <w:numId w:val="18"/>
        </w:numPr>
        <w:tabs>
          <w:tab w:val="left" w:pos="567"/>
        </w:tabs>
        <w:ind w:left="567" w:hanging="567"/>
        <w:rPr>
          <w:rFonts w:eastAsia="Calibri" w:cs="Times New Roman"/>
          <w:caps/>
          <w:sz w:val="24"/>
          <w:szCs w:val="24"/>
          <w:lang w:val="it-IT" w:eastAsia="it-IT"/>
        </w:rPr>
      </w:pPr>
      <w:r w:rsidRPr="00E0398F">
        <w:rPr>
          <w:rFonts w:eastAsia="Calibri" w:cs="Times New Roman"/>
          <w:caps/>
          <w:sz w:val="24"/>
          <w:szCs w:val="24"/>
          <w:lang w:val="it-IT" w:eastAsia="it-IT"/>
        </w:rPr>
        <w:t>Introduzione</w:t>
      </w:r>
    </w:p>
    <w:p w:rsidR="00E0398F" w:rsidRPr="009D7D6A" w:rsidRDefault="00E0398F" w:rsidP="00E0398F">
      <w:pPr>
        <w:tabs>
          <w:tab w:val="left" w:pos="4962"/>
        </w:tabs>
        <w:rPr>
          <w:rFonts w:eastAsia="Calibri" w:cs="Arial"/>
          <w:sz w:val="24"/>
          <w:szCs w:val="24"/>
        </w:rPr>
      </w:pPr>
      <w:r w:rsidRPr="009D7D6A">
        <w:rPr>
          <w:rFonts w:eastAsia="Calibri" w:cs="Arial"/>
          <w:sz w:val="24"/>
          <w:szCs w:val="24"/>
        </w:rPr>
        <w:t>L'atto parlamentare in oggetto chiede di rendere annualmente pubblica la lista delle aziende beneficiarie delle agevolazioni concesse per le imposte comunali, corredata dal tipo e dall'entità degli aiuti.</w:t>
      </w:r>
    </w:p>
    <w:p w:rsidR="00E0398F" w:rsidRPr="009D7D6A" w:rsidRDefault="00E0398F" w:rsidP="00E0398F">
      <w:pPr>
        <w:tabs>
          <w:tab w:val="left" w:pos="4962"/>
        </w:tabs>
        <w:rPr>
          <w:rFonts w:eastAsia="Calibri" w:cs="Arial"/>
          <w:sz w:val="24"/>
          <w:szCs w:val="24"/>
        </w:rPr>
      </w:pPr>
    </w:p>
    <w:p w:rsidR="00E0398F" w:rsidRPr="009D7D6A" w:rsidRDefault="00E0398F" w:rsidP="00E0398F">
      <w:pPr>
        <w:tabs>
          <w:tab w:val="left" w:pos="4962"/>
        </w:tabs>
        <w:rPr>
          <w:rFonts w:eastAsia="Calibri" w:cs="Arial"/>
          <w:sz w:val="24"/>
          <w:szCs w:val="24"/>
        </w:rPr>
      </w:pPr>
      <w:r w:rsidRPr="009D7D6A">
        <w:rPr>
          <w:rFonts w:eastAsia="Calibri" w:cs="Arial"/>
          <w:sz w:val="24"/>
          <w:szCs w:val="24"/>
        </w:rPr>
        <w:t>Il Consiglio di Stato, con messaggio n. 7938</w:t>
      </w:r>
      <w:r>
        <w:rPr>
          <w:rFonts w:eastAsia="Calibri" w:cs="Arial"/>
          <w:sz w:val="24"/>
          <w:szCs w:val="24"/>
        </w:rPr>
        <w:t xml:space="preserve"> del 2 settembre 2020</w:t>
      </w:r>
      <w:r w:rsidRPr="009D7D6A">
        <w:rPr>
          <w:rFonts w:eastAsia="Calibri" w:cs="Arial"/>
          <w:sz w:val="24"/>
          <w:szCs w:val="24"/>
        </w:rPr>
        <w:t>, ha ricordato che il Cantone già oggi, ai sensi dell'art. 21 cpv. 2 della Legge per l'innovazione economica (</w:t>
      </w:r>
      <w:proofErr w:type="spellStart"/>
      <w:r w:rsidRPr="009D7D6A">
        <w:rPr>
          <w:rFonts w:eastAsia="Calibri" w:cs="Arial"/>
          <w:sz w:val="24"/>
          <w:szCs w:val="24"/>
        </w:rPr>
        <w:t>LInn</w:t>
      </w:r>
      <w:proofErr w:type="spellEnd"/>
      <w:r w:rsidRPr="009D7D6A">
        <w:rPr>
          <w:rFonts w:eastAsia="Calibri" w:cs="Arial"/>
          <w:sz w:val="24"/>
          <w:szCs w:val="24"/>
        </w:rPr>
        <w:t xml:space="preserve">), pubblica annualmente la lista delle aziende beneficiarie delle misure dirette, corredata dal tipo e dall'entità dei vari aiuti. </w:t>
      </w:r>
    </w:p>
    <w:p w:rsidR="00E0398F" w:rsidRPr="009D7D6A" w:rsidRDefault="00E0398F" w:rsidP="00E0398F">
      <w:pPr>
        <w:tabs>
          <w:tab w:val="left" w:pos="4962"/>
        </w:tabs>
        <w:rPr>
          <w:rFonts w:eastAsia="Calibri" w:cs="Arial"/>
          <w:sz w:val="24"/>
          <w:szCs w:val="24"/>
        </w:rPr>
      </w:pPr>
    </w:p>
    <w:p w:rsidR="00E0398F" w:rsidRDefault="00E0398F" w:rsidP="00E0398F">
      <w:pPr>
        <w:tabs>
          <w:tab w:val="left" w:pos="4962"/>
        </w:tabs>
        <w:rPr>
          <w:rFonts w:eastAsia="Calibri" w:cs="Arial"/>
          <w:sz w:val="24"/>
          <w:szCs w:val="24"/>
        </w:rPr>
      </w:pPr>
    </w:p>
    <w:p w:rsidR="00E0398F" w:rsidRPr="009D7D6A" w:rsidRDefault="00E0398F" w:rsidP="00E0398F">
      <w:pPr>
        <w:tabs>
          <w:tab w:val="left" w:pos="4962"/>
        </w:tabs>
        <w:rPr>
          <w:rFonts w:eastAsia="Calibri" w:cs="Arial"/>
          <w:sz w:val="24"/>
          <w:szCs w:val="24"/>
        </w:rPr>
      </w:pPr>
    </w:p>
    <w:p w:rsidR="00E0398F" w:rsidRPr="009D7D6A" w:rsidRDefault="00E0398F" w:rsidP="00E0398F">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9D7D6A">
        <w:rPr>
          <w:rFonts w:eastAsia="Calibri" w:cs="Times New Roman"/>
          <w:b/>
          <w:caps/>
          <w:sz w:val="24"/>
          <w:szCs w:val="24"/>
          <w:lang w:val="it-IT" w:eastAsia="it-IT"/>
        </w:rPr>
        <w:t>LAVORI COMMISSIONALI E Contesto</w:t>
      </w:r>
    </w:p>
    <w:p w:rsidR="00E0398F" w:rsidRPr="009D7D6A" w:rsidRDefault="00E0398F" w:rsidP="00E0398F">
      <w:pPr>
        <w:tabs>
          <w:tab w:val="left" w:pos="4962"/>
        </w:tabs>
        <w:rPr>
          <w:rFonts w:eastAsia="Calibri" w:cs="Arial"/>
          <w:sz w:val="24"/>
          <w:szCs w:val="24"/>
        </w:rPr>
      </w:pPr>
      <w:r w:rsidRPr="009D7D6A">
        <w:rPr>
          <w:rFonts w:eastAsia="Calibri" w:cs="Arial"/>
          <w:sz w:val="24"/>
          <w:szCs w:val="24"/>
        </w:rPr>
        <w:t xml:space="preserve">L'esame commissionale ha appurato che nel periodo 2016-2020 non è stata accordata alcuna agevolazione fiscale (art. 11 </w:t>
      </w:r>
      <w:proofErr w:type="spellStart"/>
      <w:r w:rsidRPr="009D7D6A">
        <w:rPr>
          <w:rFonts w:eastAsia="Calibri" w:cs="Arial"/>
          <w:sz w:val="24"/>
          <w:szCs w:val="24"/>
        </w:rPr>
        <w:t>LInn</w:t>
      </w:r>
      <w:proofErr w:type="spellEnd"/>
      <w:r w:rsidRPr="009D7D6A">
        <w:rPr>
          <w:rFonts w:eastAsia="Calibri" w:cs="Arial"/>
          <w:sz w:val="24"/>
          <w:szCs w:val="24"/>
        </w:rPr>
        <w:t xml:space="preserve">) a livello cantonale e nello stesso periodo non è giunta nessuna richiesta da parte dei Comuni volta ad ottenere dal Cantone l'autorizzazione per la concessione di un'agevolazione fiscale comunale (autorizzazione non necessaria qualora il Cantone abbia a sua volta concesso un'uguale o maggiore agevolazione per le imposte cantonali). </w:t>
      </w:r>
    </w:p>
    <w:p w:rsidR="00E0398F" w:rsidRPr="009D7D6A" w:rsidRDefault="00E0398F" w:rsidP="00E0398F">
      <w:pPr>
        <w:tabs>
          <w:tab w:val="left" w:pos="4962"/>
        </w:tabs>
        <w:rPr>
          <w:rFonts w:eastAsia="Calibri" w:cs="Arial"/>
          <w:sz w:val="24"/>
          <w:szCs w:val="24"/>
        </w:rPr>
      </w:pPr>
    </w:p>
    <w:p w:rsidR="00E0398F" w:rsidRPr="009D7D6A" w:rsidRDefault="00E0398F" w:rsidP="00E0398F">
      <w:pPr>
        <w:tabs>
          <w:tab w:val="left" w:pos="4962"/>
        </w:tabs>
        <w:rPr>
          <w:rFonts w:eastAsia="Calibri" w:cs="Arial"/>
          <w:sz w:val="24"/>
          <w:szCs w:val="24"/>
        </w:rPr>
      </w:pPr>
      <w:r w:rsidRPr="009D7D6A">
        <w:rPr>
          <w:rFonts w:eastAsia="Calibri" w:cs="Arial"/>
          <w:sz w:val="24"/>
          <w:szCs w:val="24"/>
        </w:rPr>
        <w:t xml:space="preserve">L'attuale trasparenza nella pubblicazione degli aiuti ai sensi della </w:t>
      </w:r>
      <w:proofErr w:type="spellStart"/>
      <w:r w:rsidRPr="009D7D6A">
        <w:rPr>
          <w:rFonts w:eastAsia="Calibri" w:cs="Arial"/>
          <w:sz w:val="24"/>
          <w:szCs w:val="24"/>
        </w:rPr>
        <w:t>LInn</w:t>
      </w:r>
      <w:proofErr w:type="spellEnd"/>
      <w:r w:rsidRPr="009D7D6A">
        <w:rPr>
          <w:rFonts w:eastAsia="Calibri" w:cs="Arial"/>
          <w:sz w:val="24"/>
          <w:szCs w:val="24"/>
        </w:rPr>
        <w:t xml:space="preserve"> unita al fatto che eventuali decisioni di agevolazioni fiscali a livello comunale devono essere decise dai relativi legislativi comunali e pubblicate all'albo comunale, risponde già agli obiettivi dell'iniziativa parlamentare in oggetto, che pertanto viene ritenuta evasa. </w:t>
      </w:r>
    </w:p>
    <w:p w:rsidR="00E0398F" w:rsidRPr="009D7D6A" w:rsidRDefault="00E0398F" w:rsidP="00E0398F">
      <w:pPr>
        <w:tabs>
          <w:tab w:val="left" w:pos="4962"/>
        </w:tabs>
        <w:rPr>
          <w:rFonts w:eastAsia="Calibri" w:cs="Arial"/>
          <w:sz w:val="24"/>
          <w:szCs w:val="24"/>
        </w:rPr>
      </w:pPr>
    </w:p>
    <w:p w:rsidR="00E0398F" w:rsidRDefault="00E0398F" w:rsidP="00E0398F">
      <w:pPr>
        <w:rPr>
          <w:rFonts w:eastAsia="Calibri" w:cs="Arial"/>
          <w:sz w:val="24"/>
          <w:szCs w:val="24"/>
        </w:rPr>
      </w:pPr>
    </w:p>
    <w:p w:rsidR="00E0398F" w:rsidRPr="009D7D6A" w:rsidRDefault="00E0398F" w:rsidP="00E0398F">
      <w:pPr>
        <w:rPr>
          <w:rFonts w:eastAsia="Calibri" w:cs="Arial"/>
          <w:sz w:val="24"/>
          <w:szCs w:val="24"/>
        </w:rPr>
      </w:pPr>
    </w:p>
    <w:p w:rsidR="00E0398F" w:rsidRPr="009D7D6A" w:rsidRDefault="00E0398F" w:rsidP="00E0398F">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9D7D6A">
        <w:rPr>
          <w:rFonts w:eastAsia="Calibri" w:cs="Times New Roman"/>
          <w:b/>
          <w:caps/>
          <w:sz w:val="24"/>
          <w:szCs w:val="24"/>
          <w:lang w:val="it-IT" w:eastAsia="it-IT"/>
        </w:rPr>
        <w:t>Conclusioni</w:t>
      </w:r>
    </w:p>
    <w:p w:rsidR="00E0398F" w:rsidRDefault="00E0398F" w:rsidP="00E0398F">
      <w:pPr>
        <w:autoSpaceDE w:val="0"/>
        <w:autoSpaceDN w:val="0"/>
        <w:adjustRightInd w:val="0"/>
        <w:rPr>
          <w:rFonts w:eastAsia="Calibri" w:cs="Arial"/>
          <w:color w:val="000000"/>
          <w:sz w:val="24"/>
          <w:szCs w:val="24"/>
        </w:rPr>
      </w:pPr>
      <w:r w:rsidRPr="009D7D6A">
        <w:rPr>
          <w:rFonts w:eastAsia="Calibri" w:cs="Arial"/>
          <w:sz w:val="24"/>
          <w:szCs w:val="24"/>
        </w:rPr>
        <w:t>La Commissione ha richiesto un preavviso dalla Sezione enti</w:t>
      </w:r>
      <w:r>
        <w:rPr>
          <w:rFonts w:eastAsia="Calibri" w:cs="Arial"/>
          <w:sz w:val="24"/>
          <w:szCs w:val="24"/>
        </w:rPr>
        <w:t xml:space="preserve"> locali, </w:t>
      </w:r>
      <w:r w:rsidRPr="009D7D6A">
        <w:rPr>
          <w:rFonts w:eastAsia="Calibri" w:cs="Arial"/>
          <w:sz w:val="24"/>
          <w:szCs w:val="24"/>
        </w:rPr>
        <w:t>a</w:t>
      </w:r>
      <w:r>
        <w:rPr>
          <w:rFonts w:eastAsia="Calibri" w:cs="Arial"/>
          <w:sz w:val="24"/>
          <w:szCs w:val="24"/>
        </w:rPr>
        <w:t>ttraverso il Consiglio di Stato,</w:t>
      </w:r>
      <w:r w:rsidRPr="009D7D6A">
        <w:rPr>
          <w:rFonts w:eastAsia="Calibri" w:cs="Arial"/>
          <w:sz w:val="24"/>
          <w:szCs w:val="24"/>
        </w:rPr>
        <w:t xml:space="preserve"> </w:t>
      </w:r>
      <w:r w:rsidRPr="009D7D6A">
        <w:rPr>
          <w:rFonts w:eastAsia="Calibri" w:cs="Arial"/>
          <w:color w:val="000000"/>
          <w:sz w:val="24"/>
          <w:szCs w:val="24"/>
        </w:rPr>
        <w:t>in merito all’iniziativa parlamentare in oggetto</w:t>
      </w:r>
      <w:r w:rsidRPr="009D7D6A">
        <w:rPr>
          <w:rFonts w:eastAsia="Calibri" w:cs="Arial"/>
          <w:sz w:val="24"/>
          <w:szCs w:val="24"/>
        </w:rPr>
        <w:t xml:space="preserve"> </w:t>
      </w:r>
      <w:r w:rsidRPr="009D7D6A">
        <w:rPr>
          <w:rFonts w:eastAsia="Calibri" w:cs="Arial"/>
          <w:color w:val="000000"/>
          <w:sz w:val="24"/>
          <w:szCs w:val="24"/>
        </w:rPr>
        <w:t xml:space="preserve">per quanto riguarda eventuali aspetti che toccano l'autonomia comunale. </w:t>
      </w:r>
    </w:p>
    <w:p w:rsidR="00E0398F" w:rsidRDefault="00E0398F">
      <w:pPr>
        <w:rPr>
          <w:rFonts w:eastAsia="Calibri" w:cs="Arial"/>
          <w:color w:val="000000"/>
          <w:sz w:val="24"/>
          <w:szCs w:val="24"/>
        </w:rPr>
      </w:pPr>
      <w:r>
        <w:rPr>
          <w:rFonts w:eastAsia="Calibri" w:cs="Arial"/>
          <w:color w:val="000000"/>
          <w:sz w:val="24"/>
          <w:szCs w:val="24"/>
        </w:rPr>
        <w:br w:type="page"/>
      </w:r>
    </w:p>
    <w:p w:rsidR="00E0398F" w:rsidRDefault="00E0398F" w:rsidP="00E0398F">
      <w:pPr>
        <w:autoSpaceDE w:val="0"/>
        <w:autoSpaceDN w:val="0"/>
        <w:adjustRightInd w:val="0"/>
        <w:rPr>
          <w:rFonts w:eastAsia="Calibri" w:cs="Arial"/>
          <w:color w:val="000000"/>
          <w:sz w:val="24"/>
          <w:szCs w:val="24"/>
        </w:rPr>
      </w:pPr>
    </w:p>
    <w:p w:rsidR="00E0398F" w:rsidRPr="009D7D6A" w:rsidRDefault="00E0398F" w:rsidP="00B5158E">
      <w:pPr>
        <w:autoSpaceDE w:val="0"/>
        <w:autoSpaceDN w:val="0"/>
        <w:adjustRightInd w:val="0"/>
        <w:spacing w:after="120"/>
        <w:rPr>
          <w:rFonts w:eastAsia="Calibri" w:cs="Arial"/>
          <w:color w:val="000000"/>
          <w:sz w:val="24"/>
          <w:szCs w:val="24"/>
        </w:rPr>
      </w:pPr>
      <w:r w:rsidRPr="009D7D6A">
        <w:rPr>
          <w:rFonts w:eastAsia="Calibri" w:cs="Arial"/>
          <w:color w:val="000000"/>
          <w:sz w:val="24"/>
          <w:szCs w:val="24"/>
        </w:rPr>
        <w:t>Il Consiglio di Stato con lettera del 9 novembre 2022 ha informato la Commissione sulla presa di posizione del citato servizio scrivendo:</w:t>
      </w:r>
    </w:p>
    <w:p w:rsidR="00E0398F" w:rsidRPr="009D7D6A" w:rsidRDefault="00E0398F" w:rsidP="00E0398F">
      <w:pPr>
        <w:autoSpaceDE w:val="0"/>
        <w:autoSpaceDN w:val="0"/>
        <w:adjustRightInd w:val="0"/>
        <w:rPr>
          <w:rFonts w:eastAsia="Calibri" w:cs="Arial"/>
          <w:i/>
          <w:iCs/>
          <w:color w:val="000000"/>
          <w:sz w:val="23"/>
          <w:szCs w:val="23"/>
        </w:rPr>
      </w:pPr>
      <w:r w:rsidRPr="009D7D6A">
        <w:rPr>
          <w:rFonts w:eastAsia="Calibri" w:cs="Arial"/>
          <w:iCs/>
          <w:color w:val="000000"/>
          <w:sz w:val="23"/>
          <w:szCs w:val="23"/>
        </w:rPr>
        <w:t>«</w:t>
      </w:r>
      <w:r w:rsidRPr="009D7D6A">
        <w:rPr>
          <w:rFonts w:eastAsia="Calibri" w:cs="Arial"/>
          <w:i/>
          <w:iCs/>
          <w:color w:val="000000"/>
          <w:sz w:val="23"/>
          <w:szCs w:val="23"/>
        </w:rPr>
        <w:t xml:space="preserve">La SEL condivide in toto le argomentazioni contenute nel Rapporto del Consiglio di Stato del 2 dicembre 2020. Rilevato infatti come le decisioni riguardanti la concessione di agevolazioni fiscali comunali sono di competenza dei Legislativi comunali e quindi già pubbliche - tramite la pubblicazione delle risoluzioni dei Legislativi ai sensi degli artt. 41 e 74 LOC - e tenuto conto della scarsa frequenza di queste decisioni, non riteniamo opportuno introdurre un nuovo obbligo a carico dei comuni, ovvero quello di pubblicare annualmente l’elenco dei beneficiari delle eventuali agevolazioni fiscali. In altre parole, non intravvediamo un interesse pubblico e neppure un’utilità tali da introdurre un nuovo vincolo che sarebbe in effetti una limitazione dell’autonomia comunale. </w:t>
      </w:r>
    </w:p>
    <w:p w:rsidR="00E0398F" w:rsidRPr="009D7D6A" w:rsidRDefault="00E0398F" w:rsidP="00E0398F">
      <w:pPr>
        <w:rPr>
          <w:rFonts w:eastAsia="Calibri" w:cs="Arial"/>
          <w:i/>
          <w:iCs/>
          <w:sz w:val="24"/>
          <w:szCs w:val="24"/>
        </w:rPr>
      </w:pPr>
      <w:r w:rsidRPr="009D7D6A">
        <w:rPr>
          <w:rFonts w:eastAsia="Calibri" w:cs="Times New Roman"/>
          <w:i/>
          <w:iCs/>
          <w:sz w:val="23"/>
          <w:szCs w:val="23"/>
        </w:rPr>
        <w:t xml:space="preserve">A titolo </w:t>
      </w:r>
      <w:proofErr w:type="spellStart"/>
      <w:r w:rsidRPr="009D7D6A">
        <w:rPr>
          <w:rFonts w:eastAsia="Calibri" w:cs="Times New Roman"/>
          <w:i/>
          <w:iCs/>
          <w:sz w:val="23"/>
          <w:szCs w:val="23"/>
        </w:rPr>
        <w:t>abbondanziale</w:t>
      </w:r>
      <w:proofErr w:type="spellEnd"/>
      <w:r w:rsidRPr="009D7D6A">
        <w:rPr>
          <w:rFonts w:eastAsia="Calibri" w:cs="Times New Roman"/>
          <w:i/>
          <w:iCs/>
          <w:sz w:val="23"/>
          <w:szCs w:val="23"/>
        </w:rPr>
        <w:t xml:space="preserve"> vorremmo far rilevare che ad ogni nuovo obbligo imposto ai comuni corrisponde un relativo nuovo onere di controllo con le relative risorse necessarie da parte dei vari servizi preposti alla vigilanza</w:t>
      </w:r>
      <w:r w:rsidRPr="009D7D6A">
        <w:rPr>
          <w:rFonts w:eastAsia="Calibri" w:cs="Arial"/>
          <w:iCs/>
          <w:sz w:val="23"/>
          <w:szCs w:val="23"/>
        </w:rPr>
        <w:t>»</w:t>
      </w:r>
      <w:r w:rsidRPr="009D7D6A">
        <w:rPr>
          <w:rFonts w:eastAsia="Calibri" w:cs="Times New Roman"/>
          <w:i/>
          <w:iCs/>
          <w:sz w:val="23"/>
          <w:szCs w:val="23"/>
        </w:rPr>
        <w:t>.</w:t>
      </w:r>
    </w:p>
    <w:p w:rsidR="00E0398F" w:rsidRDefault="00E0398F" w:rsidP="00E0398F">
      <w:pPr>
        <w:rPr>
          <w:rFonts w:eastAsia="Calibri" w:cs="Times New Roman"/>
          <w:sz w:val="24"/>
        </w:rPr>
      </w:pPr>
    </w:p>
    <w:p w:rsidR="00B5158E" w:rsidRPr="009D7D6A" w:rsidRDefault="00B5158E" w:rsidP="00E0398F">
      <w:pPr>
        <w:rPr>
          <w:rFonts w:eastAsia="Calibri" w:cs="Times New Roman"/>
          <w:sz w:val="24"/>
        </w:rPr>
      </w:pPr>
    </w:p>
    <w:p w:rsidR="00E0398F" w:rsidRPr="009D7D6A" w:rsidRDefault="00E0398F" w:rsidP="00E0398F">
      <w:pPr>
        <w:tabs>
          <w:tab w:val="left" w:pos="426"/>
        </w:tabs>
        <w:rPr>
          <w:rFonts w:eastAsia="Calibri" w:cs="Arial"/>
          <w:sz w:val="24"/>
          <w:szCs w:val="24"/>
        </w:rPr>
      </w:pPr>
      <w:r w:rsidRPr="009D7D6A">
        <w:rPr>
          <w:rFonts w:eastAsia="Calibri" w:cs="Arial"/>
          <w:color w:val="000000"/>
          <w:sz w:val="24"/>
          <w:lang w:val="it-IT"/>
        </w:rPr>
        <w:t>Fatte queste premesse, la</w:t>
      </w:r>
      <w:r>
        <w:rPr>
          <w:rFonts w:eastAsia="Calibri" w:cs="Arial"/>
          <w:color w:val="000000"/>
          <w:sz w:val="24"/>
          <w:lang w:val="it-IT"/>
        </w:rPr>
        <w:t xml:space="preserve"> maggioranza della</w:t>
      </w:r>
      <w:r w:rsidRPr="009D7D6A">
        <w:rPr>
          <w:rFonts w:eastAsia="Calibri" w:cs="Arial"/>
          <w:color w:val="000000"/>
          <w:sz w:val="24"/>
          <w:lang w:val="it-IT"/>
        </w:rPr>
        <w:t xml:space="preserve"> Commissione economia e lavoro invita il Gran Consiglio </w:t>
      </w:r>
      <w:r w:rsidRPr="009D7D6A">
        <w:rPr>
          <w:rFonts w:eastAsia="Calibri" w:cs="Arial"/>
          <w:sz w:val="24"/>
          <w:szCs w:val="24"/>
        </w:rPr>
        <w:t>a respingere l'iniziativa parlamentare elaborata n. 580.</w:t>
      </w:r>
    </w:p>
    <w:p w:rsidR="00E0398F" w:rsidRPr="009D7D6A" w:rsidRDefault="00E0398F" w:rsidP="00E0398F">
      <w:pPr>
        <w:rPr>
          <w:rFonts w:eastAsia="Calibri" w:cs="Arial"/>
          <w:sz w:val="24"/>
          <w:szCs w:val="24"/>
        </w:rPr>
      </w:pPr>
    </w:p>
    <w:p w:rsidR="00E0398F" w:rsidRPr="009D7D6A" w:rsidRDefault="00E0398F" w:rsidP="00E0398F">
      <w:pPr>
        <w:rPr>
          <w:rFonts w:eastAsia="Calibri" w:cs="Arial"/>
          <w:sz w:val="24"/>
          <w:szCs w:val="24"/>
        </w:rPr>
      </w:pPr>
    </w:p>
    <w:p w:rsidR="00B5158E" w:rsidRDefault="00E064AC" w:rsidP="00E064AC">
      <w:pPr>
        <w:spacing w:after="120"/>
        <w:rPr>
          <w:rFonts w:eastAsia="Calibri" w:cs="Times New Roman"/>
          <w:sz w:val="24"/>
        </w:rPr>
      </w:pPr>
      <w:r>
        <w:rPr>
          <w:rFonts w:eastAsia="Calibri" w:cs="Times New Roman"/>
          <w:sz w:val="24"/>
        </w:rPr>
        <w:t>Per la maggioranza</w:t>
      </w:r>
      <w:r w:rsidR="00B5158E">
        <w:rPr>
          <w:rFonts w:eastAsia="Calibri" w:cs="Times New Roman"/>
          <w:sz w:val="24"/>
        </w:rPr>
        <w:t xml:space="preserve"> della Commissione economia e lavoro:</w:t>
      </w:r>
    </w:p>
    <w:p w:rsidR="00E0398F" w:rsidRPr="009D7D6A" w:rsidRDefault="00E0398F" w:rsidP="00E0398F">
      <w:pPr>
        <w:rPr>
          <w:rFonts w:eastAsia="Calibri" w:cs="Times New Roman"/>
          <w:sz w:val="24"/>
        </w:rPr>
      </w:pPr>
      <w:r w:rsidRPr="009D7D6A">
        <w:rPr>
          <w:rFonts w:eastAsia="Calibri" w:cs="Times New Roman"/>
          <w:sz w:val="24"/>
        </w:rPr>
        <w:t>Roberta Passardi</w:t>
      </w:r>
      <w:r w:rsidR="00B5158E">
        <w:rPr>
          <w:rFonts w:eastAsia="Calibri" w:cs="Times New Roman"/>
          <w:sz w:val="24"/>
        </w:rPr>
        <w:t>, relatrice</w:t>
      </w:r>
    </w:p>
    <w:p w:rsidR="00387888" w:rsidRDefault="007F7EA9" w:rsidP="007F7EA9">
      <w:pPr>
        <w:rPr>
          <w:rFonts w:eastAsia="Times New Roman" w:cs="Times New Roman"/>
          <w:sz w:val="24"/>
          <w:szCs w:val="20"/>
          <w:lang w:val="it-IT" w:eastAsia="it-IT"/>
        </w:rPr>
      </w:pPr>
      <w:r w:rsidRPr="007F7EA9">
        <w:rPr>
          <w:rFonts w:eastAsia="Times New Roman" w:cs="Times New Roman"/>
          <w:sz w:val="24"/>
          <w:szCs w:val="20"/>
          <w:lang w:val="it-IT" w:eastAsia="it-IT"/>
        </w:rPr>
        <w:t xml:space="preserve">Aldi - Balli - Censi - Dadò </w:t>
      </w:r>
      <w:r>
        <w:rPr>
          <w:rFonts w:eastAsia="Times New Roman" w:cs="Times New Roman"/>
          <w:sz w:val="24"/>
          <w:szCs w:val="20"/>
          <w:lang w:val="it-IT" w:eastAsia="it-IT"/>
        </w:rPr>
        <w:t>-</w:t>
      </w:r>
      <w:r w:rsidRPr="007F7EA9">
        <w:rPr>
          <w:rFonts w:eastAsia="Times New Roman" w:cs="Times New Roman"/>
          <w:sz w:val="24"/>
          <w:szCs w:val="20"/>
          <w:lang w:val="it-IT" w:eastAsia="it-IT"/>
        </w:rPr>
        <w:t xml:space="preserve"> Isabella </w:t>
      </w:r>
      <w:r w:rsidR="00387888">
        <w:rPr>
          <w:rFonts w:eastAsia="Times New Roman" w:cs="Times New Roman"/>
          <w:sz w:val="24"/>
          <w:szCs w:val="20"/>
          <w:lang w:val="it-IT" w:eastAsia="it-IT"/>
        </w:rPr>
        <w:t>-</w:t>
      </w:r>
      <w:r w:rsidRPr="007F7EA9">
        <w:rPr>
          <w:rFonts w:eastAsia="Times New Roman" w:cs="Times New Roman"/>
          <w:sz w:val="24"/>
          <w:szCs w:val="20"/>
          <w:lang w:val="it-IT" w:eastAsia="it-IT"/>
        </w:rPr>
        <w:t xml:space="preserve"> </w:t>
      </w:r>
    </w:p>
    <w:p w:rsidR="00387888" w:rsidRDefault="007F7EA9" w:rsidP="007F7EA9">
      <w:pPr>
        <w:rPr>
          <w:rFonts w:eastAsia="Times New Roman" w:cs="Times New Roman"/>
          <w:sz w:val="24"/>
          <w:szCs w:val="20"/>
          <w:lang w:val="it-IT" w:eastAsia="it-IT"/>
        </w:rPr>
      </w:pPr>
      <w:r w:rsidRPr="007F7EA9">
        <w:rPr>
          <w:rFonts w:eastAsia="Times New Roman" w:cs="Times New Roman"/>
          <w:sz w:val="24"/>
          <w:szCs w:val="20"/>
          <w:lang w:val="it-IT" w:eastAsia="it-IT"/>
        </w:rPr>
        <w:t xml:space="preserve">Maderni - Minotti </w:t>
      </w:r>
      <w:r>
        <w:rPr>
          <w:rFonts w:eastAsia="Times New Roman" w:cs="Times New Roman"/>
          <w:sz w:val="24"/>
          <w:szCs w:val="20"/>
          <w:lang w:val="it-IT" w:eastAsia="it-IT"/>
        </w:rPr>
        <w:t>-</w:t>
      </w:r>
      <w:r w:rsidRPr="007F7EA9">
        <w:rPr>
          <w:rFonts w:eastAsia="Times New Roman" w:cs="Times New Roman"/>
          <w:sz w:val="24"/>
          <w:szCs w:val="20"/>
          <w:lang w:val="it-IT" w:eastAsia="it-IT"/>
        </w:rPr>
        <w:t xml:space="preserve"> Morisoli - Ortelli P. </w:t>
      </w:r>
      <w:r w:rsidR="00387888">
        <w:rPr>
          <w:rFonts w:eastAsia="Times New Roman" w:cs="Times New Roman"/>
          <w:sz w:val="24"/>
          <w:szCs w:val="20"/>
          <w:lang w:val="it-IT" w:eastAsia="it-IT"/>
        </w:rPr>
        <w:t>-</w:t>
      </w:r>
      <w:bookmarkStart w:id="0" w:name="_GoBack"/>
      <w:bookmarkEnd w:id="0"/>
      <w:r w:rsidRPr="007F7EA9">
        <w:rPr>
          <w:rFonts w:eastAsia="Times New Roman" w:cs="Times New Roman"/>
          <w:sz w:val="24"/>
          <w:szCs w:val="20"/>
          <w:lang w:val="it-IT" w:eastAsia="it-IT"/>
        </w:rPr>
        <w:t xml:space="preserve"> </w:t>
      </w:r>
    </w:p>
    <w:p w:rsidR="00E0398F" w:rsidRPr="007F7EA9" w:rsidRDefault="007F7EA9" w:rsidP="007F7EA9">
      <w:pPr>
        <w:rPr>
          <w:rFonts w:eastAsia="Times New Roman" w:cs="Times New Roman"/>
          <w:sz w:val="24"/>
          <w:szCs w:val="20"/>
          <w:lang w:val="it-IT" w:eastAsia="it-IT"/>
        </w:rPr>
      </w:pPr>
      <w:r w:rsidRPr="007F7EA9">
        <w:rPr>
          <w:rFonts w:eastAsia="Times New Roman" w:cs="Times New Roman"/>
          <w:sz w:val="24"/>
          <w:szCs w:val="20"/>
          <w:lang w:val="it-IT" w:eastAsia="it-IT"/>
        </w:rPr>
        <w:t xml:space="preserve">Passalia </w:t>
      </w:r>
      <w:r w:rsidR="00387888">
        <w:rPr>
          <w:rFonts w:eastAsia="Times New Roman" w:cs="Times New Roman"/>
          <w:sz w:val="24"/>
          <w:szCs w:val="20"/>
          <w:lang w:val="it-IT" w:eastAsia="it-IT"/>
        </w:rPr>
        <w:t>-</w:t>
      </w:r>
      <w:r w:rsidRPr="007F7EA9">
        <w:rPr>
          <w:rFonts w:eastAsia="Times New Roman" w:cs="Times New Roman"/>
          <w:sz w:val="24"/>
          <w:szCs w:val="20"/>
          <w:lang w:val="it-IT" w:eastAsia="it-IT"/>
        </w:rPr>
        <w:t xml:space="preserve"> </w:t>
      </w:r>
      <w:r w:rsidR="00387888">
        <w:rPr>
          <w:rFonts w:eastAsia="Times New Roman" w:cs="Times New Roman"/>
          <w:sz w:val="24"/>
          <w:szCs w:val="20"/>
          <w:lang w:val="it-IT" w:eastAsia="it-IT"/>
        </w:rPr>
        <w:t xml:space="preserve">Speziali - </w:t>
      </w:r>
      <w:r w:rsidRPr="007F7EA9">
        <w:rPr>
          <w:rFonts w:eastAsia="Times New Roman" w:cs="Times New Roman"/>
          <w:sz w:val="24"/>
          <w:szCs w:val="20"/>
          <w:lang w:val="it-IT" w:eastAsia="it-IT"/>
        </w:rPr>
        <w:t>Tenconi</w:t>
      </w:r>
    </w:p>
    <w:p w:rsidR="00E064AC" w:rsidRDefault="00E064AC" w:rsidP="00E0398F">
      <w:pPr>
        <w:rPr>
          <w:rFonts w:eastAsia="Calibri" w:cs="Times New Roman"/>
          <w:sz w:val="24"/>
        </w:rPr>
      </w:pPr>
    </w:p>
    <w:p w:rsidR="00E0398F" w:rsidRPr="009D7D6A" w:rsidRDefault="00E0398F" w:rsidP="00E0398F">
      <w:pPr>
        <w:rPr>
          <w:rFonts w:eastAsia="Calibri" w:cs="Times New Roman"/>
          <w:sz w:val="24"/>
        </w:rPr>
      </w:pPr>
      <w:r w:rsidRPr="009D7D6A">
        <w:rPr>
          <w:rFonts w:eastAsia="Calibri" w:cs="Times New Roman"/>
          <w:sz w:val="24"/>
        </w:rPr>
        <w:tab/>
      </w:r>
      <w:r w:rsidRPr="009D7D6A">
        <w:rPr>
          <w:rFonts w:eastAsia="Calibri" w:cs="Times New Roman"/>
          <w:sz w:val="24"/>
        </w:rPr>
        <w:tab/>
      </w:r>
    </w:p>
    <w:p w:rsidR="00E0398F" w:rsidRPr="009D7D6A" w:rsidRDefault="00E0398F" w:rsidP="00E0398F">
      <w:pPr>
        <w:rPr>
          <w:rFonts w:eastAsia="Calibri" w:cs="Times New Roman"/>
          <w:sz w:val="24"/>
        </w:rPr>
      </w:pPr>
    </w:p>
    <w:p w:rsidR="00E0398F" w:rsidRPr="009F6323" w:rsidRDefault="00E0398F" w:rsidP="00E0398F">
      <w:pPr>
        <w:spacing w:line="276" w:lineRule="auto"/>
        <w:rPr>
          <w:rFonts w:eastAsia="Calibri" w:cs="Arial"/>
          <w:color w:val="000000" w:themeColor="text1"/>
          <w:sz w:val="24"/>
          <w:szCs w:val="24"/>
        </w:rPr>
      </w:pPr>
    </w:p>
    <w:p w:rsidR="00D649A8" w:rsidRPr="00E0398F" w:rsidRDefault="00D649A8" w:rsidP="00D33940">
      <w:pPr>
        <w:pStyle w:val="StandardRisoluzionedelConsigliodiStato"/>
        <w:ind w:right="-1"/>
      </w:pPr>
    </w:p>
    <w:p w:rsidR="00D649A8" w:rsidRPr="00E0398F" w:rsidRDefault="00D649A8" w:rsidP="00D33940">
      <w:pPr>
        <w:pStyle w:val="StandardRisoluzionedelConsigliodiStato"/>
        <w:ind w:right="-1"/>
      </w:pPr>
    </w:p>
    <w:sectPr w:rsidR="00D649A8" w:rsidRPr="00E0398F"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8F" w:rsidRDefault="00E0398F" w:rsidP="00F657BF">
      <w:r>
        <w:separator/>
      </w:r>
    </w:p>
  </w:endnote>
  <w:endnote w:type="continuationSeparator" w:id="0">
    <w:p w:rsidR="00E0398F" w:rsidRDefault="00E0398F"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186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186330" w:rsidP="00912E34">
          <w:pPr>
            <w:tabs>
              <w:tab w:val="center" w:pos="2382"/>
            </w:tabs>
          </w:pPr>
        </w:p>
      </w:tc>
      <w:tc>
        <w:tcPr>
          <w:tcW w:w="721" w:type="dxa"/>
        </w:tcPr>
        <w:p w:rsidR="00912E34" w:rsidRPr="003D1008" w:rsidRDefault="008118CC"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118CC"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186330"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18633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8F" w:rsidRDefault="00E0398F" w:rsidP="00F657BF">
      <w:r>
        <w:separator/>
      </w:r>
    </w:p>
  </w:footnote>
  <w:footnote w:type="continuationSeparator" w:id="0">
    <w:p w:rsidR="00E0398F" w:rsidRDefault="00E0398F"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186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75BBEE7D-DED2-4A8F-84BE-261732B96BC8}"/>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5B6406"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p>
          </w:tc>
        </w:sdtContent>
      </w:sdt>
      <w:tc>
        <w:tcPr>
          <w:tcW w:w="1710" w:type="dxa"/>
          <w:tcBorders>
            <w:bottom w:val="single" w:sz="4" w:space="0" w:color="auto"/>
          </w:tcBorders>
          <w:vAlign w:val="bottom"/>
        </w:tcPr>
        <w:p w:rsidR="005012EC" w:rsidRPr="004204CB" w:rsidRDefault="008118CC"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90F5D">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90F5D">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5BBEE7D-DED2-4A8F-84BE-261732B96BC8}"/>
          <w:text w:multiLine="1"/>
        </w:sdtPr>
        <w:sdtEndPr/>
        <w:sdtContent>
          <w:tc>
            <w:tcPr>
              <w:tcW w:w="8383" w:type="dxa"/>
              <w:tcBorders>
                <w:left w:val="single" w:sz="4" w:space="0" w:color="auto"/>
              </w:tcBorders>
              <w:tcMar>
                <w:top w:w="0" w:type="dxa"/>
                <w:left w:w="142" w:type="dxa"/>
              </w:tcMar>
            </w:tcPr>
            <w:p w:rsidR="005012EC" w:rsidRPr="00E0398F" w:rsidRDefault="005B6406"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7938 R1 del 31 gennaio 2023</w:t>
              </w:r>
            </w:p>
          </w:tc>
        </w:sdtContent>
      </w:sdt>
      <w:tc>
        <w:tcPr>
          <w:tcW w:w="1710" w:type="dxa"/>
          <w:tcBorders>
            <w:top w:val="single" w:sz="4" w:space="0" w:color="auto"/>
          </w:tcBorders>
        </w:tcPr>
        <w:p w:rsidR="005012EC" w:rsidRPr="00E0398F" w:rsidRDefault="00186330" w:rsidP="00662409">
          <w:pPr>
            <w:pStyle w:val="InvisibleLine"/>
            <w:rPr>
              <w:lang w:val="it-CH"/>
            </w:rPr>
          </w:pPr>
        </w:p>
      </w:tc>
    </w:tr>
  </w:tbl>
  <w:p w:rsidR="00F657BF" w:rsidRPr="00980362" w:rsidRDefault="008118CC"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5BBEE7D-DED2-4A8F-84BE-261732B96BC8}"/>
                            <w:text w:multiLine="1"/>
                          </w:sdtPr>
                          <w:sdtEndPr/>
                          <w:sdtContent>
                            <w:p w:rsidR="008065E8" w:rsidRPr="00411371" w:rsidRDefault="008118CC"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C97EFA0B-EDD5-4B2B-B111-7A9E0C4CEF13}"/>
                      <w:text w:multiLine="1"/>
                    </w:sdtPr>
                    <w:sdtEndPr/>
                    <w:sdtContent>
                      <w:p w:rsidR="008065E8" w:rsidRPr="00411371" w:rsidRDefault="008118CC"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186330" w:rsidP="00D07D6E">
          <w:pPr>
            <w:pStyle w:val="InvisibleLine"/>
            <w:ind w:left="150"/>
            <w:rPr>
              <w:sz w:val="16"/>
            </w:rPr>
          </w:pPr>
        </w:p>
      </w:tc>
      <w:tc>
        <w:tcPr>
          <w:tcW w:w="373" w:type="pct"/>
          <w:tcBorders>
            <w:top w:val="nil"/>
            <w:bottom w:val="single" w:sz="4" w:space="0" w:color="auto"/>
          </w:tcBorders>
          <w:vAlign w:val="bottom"/>
        </w:tcPr>
        <w:p w:rsidR="00662409" w:rsidRPr="003108C0" w:rsidRDefault="00186330" w:rsidP="00D07D6E">
          <w:pPr>
            <w:pStyle w:val="Level"/>
            <w:ind w:left="150"/>
            <w:rPr>
              <w:sz w:val="16"/>
            </w:rPr>
          </w:pPr>
        </w:p>
      </w:tc>
      <w:tc>
        <w:tcPr>
          <w:tcW w:w="209" w:type="pct"/>
          <w:tcBorders>
            <w:top w:val="nil"/>
            <w:bottom w:val="single" w:sz="4" w:space="0" w:color="auto"/>
          </w:tcBorders>
        </w:tcPr>
        <w:p w:rsidR="00662409" w:rsidRDefault="008118CC"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324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118CC"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90F5D">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90F5D">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5BBEE7D-DED2-4A8F-84BE-261732B96BC8}"/>
          <w:text w:multiLine="1"/>
        </w:sdtPr>
        <w:sdtEndPr/>
        <w:sdtContent>
          <w:tc>
            <w:tcPr>
              <w:tcW w:w="5000" w:type="pct"/>
              <w:gridSpan w:val="6"/>
              <w:tcBorders>
                <w:left w:val="nil"/>
                <w:right w:val="nil"/>
              </w:tcBorders>
              <w:noWrap/>
              <w:tcMar>
                <w:top w:w="0" w:type="dxa"/>
              </w:tcMar>
              <w:vAlign w:val="bottom"/>
            </w:tcPr>
            <w:p w:rsidR="00662409" w:rsidRPr="008C03B5" w:rsidRDefault="005B6406"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118CC"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18633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118CC"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18633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118CC"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18633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18633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5BBEE7D-DED2-4A8F-84BE-261732B96BC8}"/>
              <w:text w:multiLine="1"/>
            </w:sdtPr>
            <w:sdtEndPr/>
            <w:sdtContent>
              <w:r w:rsidR="005B6406">
                <w:rPr>
                  <w:rFonts w:cstheme="minorHAnsi"/>
                  <w:b/>
                  <w:sz w:val="24"/>
                  <w:szCs w:val="24"/>
                </w:rPr>
                <w:t>7938 R1</w:t>
              </w:r>
            </w:sdtContent>
          </w:sdt>
        </w:p>
      </w:tc>
      <w:sdt>
        <w:sdtPr>
          <w:rPr>
            <w:sz w:val="24"/>
          </w:rPr>
          <w:alias w:val="DocParam.Date"/>
          <w:id w:val="-464426178"/>
          <w:dataBinding w:xpath="//DateTime[@id='DocParam.Date']" w:storeItemID="{75BBEE7D-DED2-4A8F-84BE-261732B96BC8}"/>
          <w:date w:fullDate="2023-01-31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5B6406" w:rsidP="00A532F6">
              <w:pPr>
                <w:pStyle w:val="Data"/>
              </w:pPr>
              <w:r>
                <w:rPr>
                  <w:sz w:val="24"/>
                </w:rPr>
                <w:t>31 gennaio 2023</w:t>
              </w:r>
            </w:p>
          </w:tc>
        </w:sdtContent>
      </w:sdt>
      <w:tc>
        <w:tcPr>
          <w:tcW w:w="3218" w:type="pct"/>
          <w:gridSpan w:val="4"/>
          <w:tcBorders>
            <w:top w:val="nil"/>
            <w:left w:val="nil"/>
            <w:bottom w:val="nil"/>
            <w:right w:val="nil"/>
          </w:tcBorders>
        </w:tcPr>
        <w:p w:rsidR="008C03B5" w:rsidRPr="00BE22A2" w:rsidRDefault="0018633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5BBEE7D-DED2-4A8F-84BE-261732B96BC8}"/>
              <w:text w:multiLine="1"/>
            </w:sdtPr>
            <w:sdtEndPr/>
            <w:sdtContent>
              <w:r w:rsidR="005B6406">
                <w:rPr>
                  <w:smallCaps/>
                  <w:sz w:val="23"/>
                  <w:szCs w:val="23"/>
                </w:rPr>
                <w:t>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186330" w:rsidP="00D07D6E">
          <w:pPr>
            <w:pStyle w:val="Level"/>
            <w:ind w:left="150"/>
            <w:rPr>
              <w:rFonts w:ascii="Gill Alt One MT Light" w:hAnsi="Gill Alt One MT Light"/>
              <w:sz w:val="16"/>
              <w:szCs w:val="16"/>
            </w:rPr>
          </w:pPr>
        </w:p>
      </w:tc>
    </w:tr>
  </w:tbl>
  <w:p w:rsidR="00F657BF" w:rsidRPr="00DA2879" w:rsidRDefault="008118CC"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4475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5BBEE7D-DED2-4A8F-84BE-261732B96BC8}"/>
                            <w:text w:multiLine="1"/>
                          </w:sdtPr>
                          <w:sdtEndPr/>
                          <w:sdtContent>
                            <w:p w:rsidR="00E93620" w:rsidRPr="00411371" w:rsidRDefault="008118CC"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C97EFA0B-EDD5-4B2B-B111-7A9E0C4CEF13}"/>
                      <w:text w:multiLine="1"/>
                    </w:sdtPr>
                    <w:sdtEndPr/>
                    <w:sdtContent>
                      <w:p w:rsidR="00E93620" w:rsidRPr="00411371" w:rsidRDefault="008118CC"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6"/>
    <w:lvlOverride w:ilvl="0">
      <w:lvl w:ilvl="0">
        <w:start w:val="1"/>
        <w:numFmt w:val="decimal"/>
        <w:pStyle w:val="Titolo1"/>
        <w:lvlText w:val="%1."/>
        <w:lvlJc w:val="left"/>
        <w:pPr>
          <w:ind w:left="2345" w:hanging="360"/>
        </w:pPr>
      </w:lvl>
    </w:lvlOverride>
    <w:lvlOverride w:ilvl="1">
      <w:lvl w:ilvl="1" w:tentative="1">
        <w:start w:val="1"/>
        <w:numFmt w:val="lowerLetter"/>
        <w:pStyle w:val="Titolo2"/>
        <w:lvlText w:val="%2."/>
        <w:lvlJc w:val="left"/>
        <w:pPr>
          <w:ind w:left="3065" w:hanging="360"/>
        </w:pPr>
      </w:lvl>
    </w:lvlOverride>
    <w:lvlOverride w:ilvl="2">
      <w:lvl w:ilvl="2" w:tentative="1">
        <w:start w:val="1"/>
        <w:numFmt w:val="lowerRoman"/>
        <w:pStyle w:val="Titolo3"/>
        <w:lvlText w:val="%3."/>
        <w:lvlJc w:val="right"/>
        <w:pPr>
          <w:ind w:left="3785" w:hanging="180"/>
        </w:pPr>
      </w:lvl>
    </w:lvlOverride>
    <w:lvlOverride w:ilvl="3">
      <w:lvl w:ilvl="3" w:tentative="1">
        <w:start w:val="1"/>
        <w:numFmt w:val="decimal"/>
        <w:pStyle w:val="Titolo4"/>
        <w:lvlText w:val="%4."/>
        <w:lvlJc w:val="left"/>
        <w:pPr>
          <w:ind w:left="4505" w:hanging="360"/>
        </w:pPr>
      </w:lvl>
    </w:lvlOverride>
    <w:lvlOverride w:ilvl="4">
      <w:lvl w:ilvl="4" w:tentative="1">
        <w:start w:val="1"/>
        <w:numFmt w:val="lowerLetter"/>
        <w:lvlText w:val="%5."/>
        <w:lvlJc w:val="left"/>
        <w:pPr>
          <w:ind w:left="5225" w:hanging="360"/>
        </w:pPr>
      </w:lvl>
    </w:lvlOverride>
    <w:lvlOverride w:ilvl="5">
      <w:lvl w:ilvl="5" w:tentative="1">
        <w:start w:val="1"/>
        <w:numFmt w:val="lowerRoman"/>
        <w:lvlText w:val="%6."/>
        <w:lvlJc w:val="right"/>
        <w:pPr>
          <w:ind w:left="5945" w:hanging="180"/>
        </w:pPr>
      </w:lvl>
    </w:lvlOverride>
    <w:lvlOverride w:ilvl="6">
      <w:lvl w:ilvl="6" w:tentative="1">
        <w:start w:val="1"/>
        <w:numFmt w:val="decimal"/>
        <w:lvlText w:val="%7."/>
        <w:lvlJc w:val="left"/>
        <w:pPr>
          <w:ind w:left="6665" w:hanging="360"/>
        </w:pPr>
      </w:lvl>
    </w:lvlOverride>
    <w:lvlOverride w:ilvl="7">
      <w:lvl w:ilvl="7" w:tentative="1">
        <w:start w:val="1"/>
        <w:numFmt w:val="lowerLetter"/>
        <w:lvlText w:val="%8."/>
        <w:lvlJc w:val="left"/>
        <w:pPr>
          <w:ind w:left="7385" w:hanging="360"/>
        </w:pPr>
      </w:lvl>
    </w:lvlOverride>
    <w:lvlOverride w:ilvl="8">
      <w:lvl w:ilvl="8" w:tentative="1">
        <w:start w:val="1"/>
        <w:numFmt w:val="lowerRoman"/>
        <w:lvlText w:val="%9."/>
        <w:lvlJc w:val="right"/>
        <w:pPr>
          <w:ind w:left="8105"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8F"/>
    <w:rsid w:val="00141278"/>
    <w:rsid w:val="0014198B"/>
    <w:rsid w:val="001707CE"/>
    <w:rsid w:val="00186330"/>
    <w:rsid w:val="001A6B3B"/>
    <w:rsid w:val="00261A31"/>
    <w:rsid w:val="002B5D9F"/>
    <w:rsid w:val="00387888"/>
    <w:rsid w:val="003B756D"/>
    <w:rsid w:val="003F28EB"/>
    <w:rsid w:val="00403ADB"/>
    <w:rsid w:val="004163C8"/>
    <w:rsid w:val="00417AF5"/>
    <w:rsid w:val="004A7606"/>
    <w:rsid w:val="00572FD3"/>
    <w:rsid w:val="0058159F"/>
    <w:rsid w:val="005B6406"/>
    <w:rsid w:val="00711218"/>
    <w:rsid w:val="007F7EA9"/>
    <w:rsid w:val="008118CC"/>
    <w:rsid w:val="008720C4"/>
    <w:rsid w:val="008D40B3"/>
    <w:rsid w:val="008F52AF"/>
    <w:rsid w:val="00936BBB"/>
    <w:rsid w:val="00995CE4"/>
    <w:rsid w:val="009C5E5A"/>
    <w:rsid w:val="009E2B0F"/>
    <w:rsid w:val="00A64B29"/>
    <w:rsid w:val="00AF0268"/>
    <w:rsid w:val="00B31CEE"/>
    <w:rsid w:val="00B5158E"/>
    <w:rsid w:val="00BF0A1F"/>
    <w:rsid w:val="00C04DFC"/>
    <w:rsid w:val="00C22311"/>
    <w:rsid w:val="00C44DB6"/>
    <w:rsid w:val="00D33940"/>
    <w:rsid w:val="00D600FD"/>
    <w:rsid w:val="00D649A8"/>
    <w:rsid w:val="00DD1C0D"/>
    <w:rsid w:val="00E0398F"/>
    <w:rsid w:val="00E064AC"/>
    <w:rsid w:val="00E3453E"/>
    <w:rsid w:val="00E82585"/>
    <w:rsid w:val="00EB088A"/>
    <w:rsid w:val="00EB486A"/>
    <w:rsid w:val="00F20778"/>
    <w:rsid w:val="00F35511"/>
    <w:rsid w:val="00F657BF"/>
    <w:rsid w:val="00F90F5D"/>
    <w:rsid w:val="00FC14D8"/>
    <w:rsid w:val="00FD7A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E4F4C"/>
  <w15:docId w15:val="{9933F612-CEF1-4590-B90A-E3A3CE4C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398F"/>
    <w:rPr>
      <w:rFonts w:ascii="Arial" w:hAnsi="Arial"/>
      <w:lang w:val="it-CH"/>
    </w:rPr>
  </w:style>
  <w:style w:type="paragraph" w:styleId="Titolo1">
    <w:name w:val="heading 1"/>
    <w:basedOn w:val="Normale"/>
    <w:next w:val="Normale"/>
    <w:link w:val="Titolo1Carattere"/>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E825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2585"/>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91c2cb0-c6d1-42f1-b7ee-76e64de1a158.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33249678</Id>
      <Width>0</Width>
      <Height>0</Height>
      <XPath>//Image[@id='Profile.Org.WappenSW']</XPath>
      <ImageHash>02f1c0cdac6aeac316213b2e7cb733a0</ImageHash>
    </ImageSizeDefinition>
    <ImageSizeDefinition>
      <Id>544752530</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c 5 3 f 8 c 7 3 - 8 8 e f - 4 7 9 c - 9 b 1 b - f 0 9 d 7 4 f 4 c 9 1 5 "   t I d = " a 3 6 2 a 5 d 4 - 9 5 8 9 - 4 1 b f - a 4 e 6 - 4 f 8 7 c 4 e 4 1 2 3 9 "   i n t e r n a l T I d = " 9 0 6 4 c c 7 f - 3 1 6 d - 4 6 b 1 - a 4 a c - 7 4 8 6 0 c 3 f 8 a 5 b "   m t I d = " 2 7 5 a f 3 2 e - b c 4 0 - 4 5 c 2 - 8 5 b 7 - a f b 1 c 0 3 8 2 6 5 3 "   r e v i s i o n = " 0 "   c r e a t e d m a j o r v e r s i o n = " 0 "   c r e a t e d m i n o r v e r s i o n = " 0 "   c r e a t e d = " 2 0 2 3 - 0 1 - 3 1 T 1 5 : 5 2 : 5 2 . 9 4 2 8 1 0 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 2 0 2 3 - 0 1 - 3 1 T 0 0 : 0 0 : 0 0 Z < / D a t e T i m e >  
                 < T e x t   i d = " D o c P a r a m . N u m b e r " > < ! [ C D A T A [ 7 9 3 8   R 1 ] ] > < / T e x t >  
                 < T e x t   i d = " D o c P a r a m . D o c u m e n t o " > < ! [ C D A T A [ R a p p o r t o   d i   m a g g i o r a n z a ] ] > < / T e x t >  
                 < T e x t   i d = " D o c P a r a m . A g g i u n t a D o c "   t o o l t i p = " ( e s .   b i s ,   a g g i u n t i v o ,   a g g i u n t i v o   b i s ,   1 ,   2   e c c . ) " > < ! [ C D A T A [   ] ] > < / T e x t >  
                 < T e x t   i d = " D o c P a r a m . D i p a r t i m e n t i " > < ! [ C D A T A [ D i p a r t i m e n t o   d e l l e   f i n a n z e   e   d e l l  e c o n o m i a ] ] > < / T e x t >  
                 < T e x t   i d = " D o c P a r a m . A l t r i D i p a r t i m e n t i " > < ! [ C D A T A [   ] ] > < / T e x t >  
             < / P a r a m e t e r >  
             < S c r i p t i n g >  
                 < T e x t   i d = " C u s t o m E l e m e n t s . S u b T e m p l a t e . L a n d s c a p e . H e a d e r . O r g I n f o s "   l a b e l = " C u s t o m E l e m e n t s . S u b T e m p l a t e . L a n d s c a p e . H e a d e r . O r g I n f o s " > < ! [ C D A T A [ D i p a r t i m e n t o   d e l l e   f i n a n z e   e   d e l l  e c o n o m i a ] ] > < / T e x t >  
                 < T e x t   i d = " C u s t o m E l e m e n t s . S u b T e m p l a t e . L a n d s c a p e . H e a d e r . T i t o l o "   l a b e l = " C u s t o m E l e m e n t s . S u b T e m p l a t e . L a n d s c a p e . H e a d e r . T i t o l o " > < ! [ C D A T A [ R a p p o r t o   d i   m a g g i o r a n z a   n .   7 9 3 8   R 1   d e l   3 1   g e n n a i o   2 0 2 3 ] ] > < / 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a g g i o r a n z a ] ] > < / T e x t >  
                 < T e x t   i d = " C u s t o m E l e m e n t s . F i e l d s . T i t o l o 2 "   l a b e l = " C u s t o m E l e m e n t s . F i e l d s . T i t o l o 2 " > < ! [ C D A T A [ R a p p o r t o   d i   m a g g i o r a n z a   n .   7 9 3 8   R 1   d e l   3 1   g e n n 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5699A91A-1C0C-431A-AC5F-05B1603B6258}">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75BBEE7D-DED2-4A8F-84BE-261732B96BC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791c2cb0-c6d1-42f1-b7ee-76e64de1a158.dotx</Template>
  <TotalTime>9</TotalTime>
  <Pages>2</Pages>
  <Words>510</Words>
  <Characters>2920</Characters>
  <Application>Microsoft Office Word</Application>
  <DocSecurity>0</DocSecurity>
  <Lines>56</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36</cp:revision>
  <cp:lastPrinted>2023-02-01T08:09:00Z</cp:lastPrinted>
  <dcterms:created xsi:type="dcterms:W3CDTF">2023-01-31T15:53:00Z</dcterms:created>
  <dcterms:modified xsi:type="dcterms:W3CDTF">2023-02-01T08:09:00Z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