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9B" w:rsidRPr="009D7D6A" w:rsidRDefault="00271D9B" w:rsidP="00271D9B">
      <w:pPr>
        <w:rPr>
          <w:rFonts w:eastAsia="Calibri" w:cs="Arial"/>
          <w:b/>
          <w:sz w:val="28"/>
          <w:szCs w:val="28"/>
        </w:rPr>
      </w:pPr>
      <w:r w:rsidRPr="009D7D6A">
        <w:rPr>
          <w:rFonts w:eastAsia="Calibri" w:cs="Arial"/>
          <w:b/>
          <w:sz w:val="28"/>
          <w:szCs w:val="28"/>
        </w:rPr>
        <w:t>della Commissione economia e lavoro</w:t>
      </w:r>
    </w:p>
    <w:p w:rsidR="00271D9B" w:rsidRPr="009D7D6A" w:rsidRDefault="00271D9B" w:rsidP="00271D9B">
      <w:pPr>
        <w:tabs>
          <w:tab w:val="left" w:pos="4962"/>
        </w:tabs>
        <w:ind w:right="-109"/>
        <w:rPr>
          <w:rFonts w:eastAsia="Calibri" w:cs="Times New Roman"/>
          <w:b/>
          <w:sz w:val="28"/>
          <w:szCs w:val="28"/>
        </w:rPr>
      </w:pPr>
      <w:r w:rsidRPr="009D7D6A">
        <w:rPr>
          <w:rFonts w:eastAsia="Calibri" w:cs="Times New Roman"/>
          <w:b/>
          <w:sz w:val="28"/>
          <w:szCs w:val="28"/>
        </w:rPr>
        <w:t>sull'iniziativa parlamentare</w:t>
      </w:r>
      <w:r>
        <w:rPr>
          <w:rFonts w:eastAsia="Calibri" w:cs="Times New Roman"/>
          <w:b/>
          <w:sz w:val="28"/>
          <w:szCs w:val="28"/>
        </w:rPr>
        <w:t xml:space="preserve"> 22 giugno 2020 n. 580</w:t>
      </w:r>
      <w:r w:rsidRPr="009D7D6A">
        <w:rPr>
          <w:rFonts w:eastAsia="Calibri" w:cs="Times New Roman"/>
          <w:b/>
          <w:sz w:val="28"/>
          <w:szCs w:val="28"/>
        </w:rPr>
        <w:t xml:space="preserve"> presentata nella forma elaborata da Massimiliano Ay e Lea Ferrari per la modifica dell'art. 21 della Legge </w:t>
      </w:r>
      <w:r>
        <w:rPr>
          <w:rFonts w:eastAsia="Calibri" w:cs="Times New Roman"/>
          <w:b/>
          <w:sz w:val="28"/>
          <w:szCs w:val="28"/>
        </w:rPr>
        <w:t xml:space="preserve">per </w:t>
      </w:r>
      <w:r w:rsidRPr="009D7D6A">
        <w:rPr>
          <w:rFonts w:eastAsia="Calibri" w:cs="Times New Roman"/>
          <w:b/>
          <w:sz w:val="28"/>
          <w:szCs w:val="28"/>
        </w:rPr>
        <w:t>l'innovazione economica (</w:t>
      </w:r>
      <w:proofErr w:type="spellStart"/>
      <w:r w:rsidRPr="009D7D6A">
        <w:rPr>
          <w:rFonts w:eastAsia="Calibri" w:cs="Times New Roman"/>
          <w:b/>
          <w:sz w:val="28"/>
          <w:szCs w:val="28"/>
        </w:rPr>
        <w:t>LInn</w:t>
      </w:r>
      <w:proofErr w:type="spellEnd"/>
      <w:r w:rsidRPr="009D7D6A">
        <w:rPr>
          <w:rFonts w:eastAsia="Calibri" w:cs="Times New Roman"/>
          <w:b/>
          <w:sz w:val="28"/>
          <w:szCs w:val="28"/>
        </w:rPr>
        <w:t>) - Maggiore trasparenza nel monitoragg</w:t>
      </w:r>
      <w:r>
        <w:rPr>
          <w:rFonts w:eastAsia="Calibri" w:cs="Times New Roman"/>
          <w:b/>
          <w:sz w:val="28"/>
          <w:szCs w:val="28"/>
        </w:rPr>
        <w:t>io delle agevolazioni comunali</w:t>
      </w:r>
    </w:p>
    <w:p w:rsidR="00D649A8" w:rsidRDefault="00D649A8" w:rsidP="00D33940">
      <w:pPr>
        <w:pStyle w:val="StandardRisoluzionedelConsigliodiStato"/>
        <w:ind w:right="-1"/>
      </w:pPr>
    </w:p>
    <w:p w:rsidR="009B1EC8" w:rsidRDefault="009B1EC8" w:rsidP="009B1EC8">
      <w:pPr>
        <w:rPr>
          <w:sz w:val="24"/>
        </w:rPr>
      </w:pPr>
    </w:p>
    <w:p w:rsidR="009B1EC8" w:rsidRDefault="009B1EC8" w:rsidP="009B1EC8">
      <w:pPr>
        <w:rPr>
          <w:rFonts w:cs="Arial"/>
        </w:rPr>
      </w:pPr>
    </w:p>
    <w:p w:rsidR="009B1EC8" w:rsidRPr="009B1EC8" w:rsidRDefault="009B1EC8" w:rsidP="009B1EC8">
      <w:pPr>
        <w:pStyle w:val="Titolo1"/>
        <w:tabs>
          <w:tab w:val="left" w:pos="567"/>
        </w:tabs>
        <w:spacing w:before="0"/>
        <w:ind w:left="567" w:hanging="567"/>
        <w:jc w:val="both"/>
        <w:rPr>
          <w:rFonts w:cs="Arial"/>
          <w:b w:val="0"/>
          <w:sz w:val="24"/>
          <w:szCs w:val="24"/>
        </w:rPr>
      </w:pPr>
      <w:r w:rsidRPr="009B1EC8">
        <w:rPr>
          <w:rFonts w:cs="Arial"/>
          <w:sz w:val="24"/>
          <w:szCs w:val="24"/>
        </w:rPr>
        <w:t xml:space="preserve">1. </w:t>
      </w:r>
      <w:r>
        <w:rPr>
          <w:rFonts w:cs="Arial"/>
          <w:b w:val="0"/>
          <w:sz w:val="24"/>
          <w:szCs w:val="24"/>
        </w:rPr>
        <w:tab/>
      </w:r>
      <w:r w:rsidRPr="009B1EC8">
        <w:rPr>
          <w:rFonts w:cs="Arial"/>
          <w:sz w:val="24"/>
          <w:szCs w:val="24"/>
        </w:rPr>
        <w:t>INTRODUZIONE</w:t>
      </w:r>
    </w:p>
    <w:p w:rsidR="009B1EC8" w:rsidRPr="009B1EC8" w:rsidRDefault="009B1EC8" w:rsidP="009B1EC8">
      <w:pPr>
        <w:rPr>
          <w:rFonts w:cs="Arial"/>
          <w:sz w:val="24"/>
          <w:szCs w:val="24"/>
        </w:rPr>
      </w:pPr>
      <w:r w:rsidRPr="009B1EC8">
        <w:rPr>
          <w:rFonts w:cs="Arial"/>
          <w:sz w:val="24"/>
          <w:szCs w:val="24"/>
        </w:rPr>
        <w:t xml:space="preserve">Con l'iniziativa parlamentare in questione, presentata nella forma elaborata, dai deputati Massimiliano Ay e Lea Ferrari, si chiede che i Municipi rendano annualmente pubblica la lista delle aziende beneficiarie delle agevolazioni concesse per le imposte comunali, corredata dal tipo e dall'entità degli aiuti. </w:t>
      </w:r>
    </w:p>
    <w:p w:rsidR="009B1EC8" w:rsidRPr="009B1EC8" w:rsidRDefault="009B1EC8" w:rsidP="009B1EC8">
      <w:pPr>
        <w:rPr>
          <w:rFonts w:cs="Arial"/>
          <w:sz w:val="24"/>
          <w:szCs w:val="24"/>
        </w:rPr>
      </w:pPr>
    </w:p>
    <w:p w:rsidR="009B1EC8" w:rsidRPr="009B1EC8" w:rsidRDefault="009B1EC8" w:rsidP="009B1EC8">
      <w:pPr>
        <w:rPr>
          <w:rFonts w:cs="Arial"/>
          <w:sz w:val="24"/>
          <w:szCs w:val="24"/>
        </w:rPr>
      </w:pPr>
      <w:r w:rsidRPr="009B1EC8">
        <w:rPr>
          <w:rFonts w:cs="Arial"/>
          <w:sz w:val="24"/>
          <w:szCs w:val="24"/>
        </w:rPr>
        <w:t>Si tratta di una scelta coerente con quanto già accade sul piano cantonale. Il Consiglio di Stato, infatti, nel suo messaggio conferma che il Cantone già oggi pubblica annualmente la lista delle aziende beneficiarie di misure dirette corredata dalle informazioni suddette, giusta l'art. 21 cpv. 2 della Legge per l'innovazione economica (</w:t>
      </w:r>
      <w:proofErr w:type="spellStart"/>
      <w:r w:rsidRPr="009B1EC8">
        <w:rPr>
          <w:rFonts w:cs="Arial"/>
          <w:sz w:val="24"/>
          <w:szCs w:val="24"/>
        </w:rPr>
        <w:t>LInn</w:t>
      </w:r>
      <w:proofErr w:type="spellEnd"/>
      <w:r w:rsidRPr="009B1EC8">
        <w:rPr>
          <w:rFonts w:cs="Arial"/>
          <w:sz w:val="24"/>
          <w:szCs w:val="24"/>
        </w:rPr>
        <w:t xml:space="preserve">). Gli </w:t>
      </w:r>
      <w:proofErr w:type="spellStart"/>
      <w:r w:rsidRPr="009B1EC8">
        <w:rPr>
          <w:rFonts w:cs="Arial"/>
          <w:sz w:val="24"/>
          <w:szCs w:val="24"/>
        </w:rPr>
        <w:t>iniziativisti</w:t>
      </w:r>
      <w:proofErr w:type="spellEnd"/>
      <w:r w:rsidRPr="009B1EC8">
        <w:rPr>
          <w:rFonts w:cs="Arial"/>
          <w:sz w:val="24"/>
          <w:szCs w:val="24"/>
        </w:rPr>
        <w:t xml:space="preserve"> rilevano inoltre che così come sul piano cantonale è importante permettere ai cittadini di verificare come viene utilizzato il denaro pubblico e quali sono i progetti d'innovazione economica che il Cantone sostiene, allo stesso modo è opportuno garantire tale diritto ai cittadini sul piano comunale.</w:t>
      </w:r>
    </w:p>
    <w:p w:rsidR="009B1EC8" w:rsidRPr="009B1EC8" w:rsidRDefault="009B1EC8" w:rsidP="009B1EC8">
      <w:pPr>
        <w:rPr>
          <w:rFonts w:cs="Arial"/>
          <w:sz w:val="24"/>
          <w:szCs w:val="24"/>
        </w:rPr>
      </w:pPr>
    </w:p>
    <w:p w:rsidR="009B1EC8" w:rsidRDefault="009B1EC8" w:rsidP="009B1EC8">
      <w:pPr>
        <w:rPr>
          <w:rFonts w:cs="Arial"/>
          <w:sz w:val="24"/>
          <w:szCs w:val="24"/>
        </w:rPr>
      </w:pPr>
    </w:p>
    <w:p w:rsidR="007D3B1E" w:rsidRPr="009B1EC8" w:rsidRDefault="007D3B1E" w:rsidP="009B1EC8">
      <w:pPr>
        <w:rPr>
          <w:rFonts w:cs="Arial"/>
          <w:sz w:val="24"/>
          <w:szCs w:val="24"/>
        </w:rPr>
      </w:pPr>
    </w:p>
    <w:p w:rsidR="009B1EC8" w:rsidRPr="009B1EC8" w:rsidRDefault="009B1EC8" w:rsidP="009B1EC8">
      <w:pPr>
        <w:pStyle w:val="Titolo1"/>
        <w:tabs>
          <w:tab w:val="left" w:pos="567"/>
        </w:tabs>
        <w:spacing w:before="0"/>
        <w:ind w:left="567" w:hanging="567"/>
        <w:jc w:val="both"/>
        <w:rPr>
          <w:rFonts w:cs="Arial"/>
          <w:sz w:val="24"/>
          <w:szCs w:val="24"/>
        </w:rPr>
      </w:pPr>
      <w:r w:rsidRPr="009B1EC8">
        <w:rPr>
          <w:rFonts w:cs="Arial"/>
          <w:sz w:val="24"/>
          <w:szCs w:val="24"/>
        </w:rPr>
        <w:t xml:space="preserve">2. </w:t>
      </w:r>
      <w:r w:rsidRPr="009B1EC8">
        <w:rPr>
          <w:rFonts w:cs="Arial"/>
          <w:sz w:val="24"/>
          <w:szCs w:val="24"/>
        </w:rPr>
        <w:tab/>
        <w:t>DIBATTITO COMMISSIONALE</w:t>
      </w:r>
    </w:p>
    <w:p w:rsidR="009B1EC8" w:rsidRPr="009B1EC8" w:rsidRDefault="009B1EC8" w:rsidP="009B1EC8">
      <w:pPr>
        <w:rPr>
          <w:rFonts w:cs="Arial"/>
          <w:sz w:val="24"/>
          <w:szCs w:val="24"/>
        </w:rPr>
      </w:pPr>
      <w:r w:rsidRPr="009B1EC8">
        <w:rPr>
          <w:rFonts w:cs="Arial"/>
          <w:sz w:val="24"/>
          <w:szCs w:val="24"/>
        </w:rPr>
        <w:t>Come indicato anche dal rapporto di maggioranza, nell'ambito dei lavori commissionali è effettivamente stato appurato che nel periodo 2016-2020 non è stata accordata alcuna agevolazione fiscale a livello cantonale e che nello stesso periodo non è giunta nessuna richiesta di autorizzazione in tal senso da parte dei Comuni. Ciò non toglie che, a giudizio della minoranza commissionale, sia opportuno estendere le garanzie di trasparenza anche sul piano comunale.</w:t>
      </w:r>
    </w:p>
    <w:p w:rsidR="009B1EC8" w:rsidRPr="009B1EC8" w:rsidRDefault="009B1EC8" w:rsidP="009B1EC8">
      <w:pPr>
        <w:rPr>
          <w:rFonts w:cs="Arial"/>
          <w:sz w:val="24"/>
          <w:szCs w:val="24"/>
        </w:rPr>
      </w:pPr>
    </w:p>
    <w:p w:rsidR="009B1EC8" w:rsidRPr="009B1EC8" w:rsidRDefault="009B1EC8" w:rsidP="009B1EC8">
      <w:pPr>
        <w:rPr>
          <w:rFonts w:cs="Arial"/>
          <w:sz w:val="24"/>
          <w:szCs w:val="24"/>
        </w:rPr>
      </w:pPr>
      <w:r w:rsidRPr="009B1EC8">
        <w:rPr>
          <w:rFonts w:cs="Arial"/>
          <w:sz w:val="24"/>
          <w:szCs w:val="24"/>
        </w:rPr>
        <w:t>La minoranza della Commissione economia e lavoro, prendendo atto dei contenuti del rapporto di maggioranza che sostanzialmente fa sue le considerazioni espresse dal Consiglio di Stato nel suo Messaggio n. 7938 e dalla Sezione degli enti locali (SEL), rileva tuttavia quanto segue:</w:t>
      </w:r>
    </w:p>
    <w:p w:rsidR="009B1EC8" w:rsidRPr="009B1EC8" w:rsidRDefault="009B1EC8" w:rsidP="009B1EC8">
      <w:pPr>
        <w:rPr>
          <w:rFonts w:cs="Arial"/>
          <w:sz w:val="24"/>
          <w:szCs w:val="24"/>
        </w:rPr>
      </w:pPr>
    </w:p>
    <w:p w:rsidR="009B1EC8" w:rsidRPr="009B1EC8" w:rsidRDefault="009B1EC8" w:rsidP="009B1EC8">
      <w:pPr>
        <w:pStyle w:val="Paragrafoelenco"/>
        <w:numPr>
          <w:ilvl w:val="0"/>
          <w:numId w:val="19"/>
        </w:numPr>
        <w:ind w:left="284" w:hanging="284"/>
        <w:rPr>
          <w:rFonts w:cs="Arial"/>
          <w:sz w:val="24"/>
          <w:szCs w:val="24"/>
        </w:rPr>
      </w:pPr>
      <w:r w:rsidRPr="009B1EC8">
        <w:rPr>
          <w:rFonts w:cs="Arial"/>
          <w:sz w:val="24"/>
          <w:szCs w:val="24"/>
        </w:rPr>
        <w:t xml:space="preserve">la proposta contenuta nell'iniziativa parlamentare in oggetto riprende il meccanismo già previsto dalla legislazione cantonale (art. 21 </w:t>
      </w:r>
      <w:proofErr w:type="spellStart"/>
      <w:r w:rsidRPr="009B1EC8">
        <w:rPr>
          <w:rFonts w:cs="Arial"/>
          <w:sz w:val="24"/>
          <w:szCs w:val="24"/>
        </w:rPr>
        <w:t>LInn</w:t>
      </w:r>
      <w:proofErr w:type="spellEnd"/>
      <w:r w:rsidRPr="009B1EC8">
        <w:rPr>
          <w:rFonts w:cs="Arial"/>
          <w:sz w:val="24"/>
          <w:szCs w:val="24"/>
        </w:rPr>
        <w:t>), grazie al quale il Cantone è tenuto a pubblicare l'elenco delle aziende beneficiarie di misure dirette;</w:t>
      </w:r>
    </w:p>
    <w:p w:rsidR="009B1EC8" w:rsidRPr="009B1EC8" w:rsidRDefault="009B1EC8" w:rsidP="009B1EC8">
      <w:pPr>
        <w:ind w:left="284" w:hanging="284"/>
        <w:rPr>
          <w:rFonts w:cs="Arial"/>
          <w:sz w:val="24"/>
          <w:szCs w:val="24"/>
        </w:rPr>
      </w:pPr>
    </w:p>
    <w:p w:rsidR="009B1EC8" w:rsidRPr="009B1EC8" w:rsidRDefault="009B1EC8" w:rsidP="009B1EC8">
      <w:pPr>
        <w:pStyle w:val="Paragrafoelenco"/>
        <w:numPr>
          <w:ilvl w:val="0"/>
          <w:numId w:val="19"/>
        </w:numPr>
        <w:ind w:left="284" w:hanging="284"/>
        <w:rPr>
          <w:rFonts w:cs="Arial"/>
          <w:sz w:val="24"/>
          <w:szCs w:val="24"/>
        </w:rPr>
      </w:pPr>
      <w:r w:rsidRPr="009B1EC8">
        <w:rPr>
          <w:rFonts w:cs="Arial"/>
          <w:sz w:val="24"/>
          <w:szCs w:val="24"/>
        </w:rPr>
        <w:lastRenderedPageBreak/>
        <w:t>limitarsi ad affermare, come fa il messaggio governativo, che le agevolazioni fiscali concesse dal Comune sono soggette ad autorizzazione del Consiglio di Stato (aspetto peraltro notorio) non equivale certo a dire che le stesse vengono debitamente rese pubbliche a livello comunale e, in particolare, al Consiglio Comunale. Non bisogna infatti dimenticare che qualora il Cantone avesse già concesso un'agevolazione, il Comune può accordarla a sua volta senza dover richiedere un'autorizzazione al Consiglio di Stato.</w:t>
      </w:r>
    </w:p>
    <w:p w:rsidR="009B1EC8" w:rsidRPr="009B1EC8" w:rsidRDefault="009B1EC8" w:rsidP="009B1EC8">
      <w:pPr>
        <w:ind w:left="284" w:hanging="284"/>
        <w:rPr>
          <w:rFonts w:cs="Arial"/>
          <w:sz w:val="24"/>
          <w:szCs w:val="24"/>
        </w:rPr>
      </w:pPr>
    </w:p>
    <w:p w:rsidR="009B1EC8" w:rsidRPr="009B1EC8" w:rsidRDefault="009B1EC8" w:rsidP="009B1EC8">
      <w:pPr>
        <w:pStyle w:val="Paragrafoelenco"/>
        <w:numPr>
          <w:ilvl w:val="0"/>
          <w:numId w:val="19"/>
        </w:numPr>
        <w:ind w:left="284" w:hanging="284"/>
        <w:rPr>
          <w:rFonts w:cs="Arial"/>
          <w:sz w:val="24"/>
          <w:szCs w:val="24"/>
        </w:rPr>
      </w:pPr>
      <w:r w:rsidRPr="009B1EC8">
        <w:rPr>
          <w:rFonts w:cs="Arial"/>
          <w:sz w:val="24"/>
          <w:szCs w:val="24"/>
        </w:rPr>
        <w:t xml:space="preserve">sempre il messaggio governativo afferma che la competenza per concedere un'agevolazione appartenga al Consiglio Comunale. Ciò non trova tuttavia esplicito riscontro nella base legale: sancendo che l'agevolazione comunale soggiace alla medesima procedura di quella cantonale (che affida la competenza all'Esecutivo) si delega di fatto il compito al Municipio. A tal proposito richiamiamo la risposta fornita dal Municipio di Lugano all'interrogazione </w:t>
      </w:r>
      <w:r w:rsidRPr="009B1EC8">
        <w:rPr>
          <w:sz w:val="24"/>
          <w:szCs w:val="24"/>
        </w:rPr>
        <w:t xml:space="preserve">no. 1078 - "Agevolazioni fiscali alle imprese: occorre maggiore trasparenza" posta dal consigliere comunale </w:t>
      </w:r>
      <w:r w:rsidRPr="009B1EC8">
        <w:rPr>
          <w:rFonts w:cs="Arial"/>
          <w:sz w:val="24"/>
          <w:szCs w:val="24"/>
        </w:rPr>
        <w:t xml:space="preserve">Edoardo Cappelletti in cui emerge come la decisione in merito incomba al Municipio (o perlomeno così era stato ritenuto). </w:t>
      </w:r>
    </w:p>
    <w:p w:rsidR="009B1EC8" w:rsidRDefault="009B1EC8" w:rsidP="009B1EC8">
      <w:pPr>
        <w:rPr>
          <w:rFonts w:cs="Arial"/>
          <w:sz w:val="24"/>
          <w:szCs w:val="24"/>
        </w:rPr>
      </w:pPr>
    </w:p>
    <w:p w:rsidR="007D3B1E" w:rsidRPr="009B1EC8" w:rsidRDefault="007D3B1E" w:rsidP="009B1EC8">
      <w:pPr>
        <w:rPr>
          <w:rFonts w:cs="Arial"/>
          <w:sz w:val="24"/>
          <w:szCs w:val="24"/>
        </w:rPr>
      </w:pPr>
    </w:p>
    <w:p w:rsidR="009B1EC8" w:rsidRPr="009B1EC8" w:rsidRDefault="009B1EC8" w:rsidP="009B1EC8">
      <w:pPr>
        <w:rPr>
          <w:rFonts w:cs="Arial"/>
          <w:sz w:val="24"/>
          <w:szCs w:val="24"/>
        </w:rPr>
      </w:pPr>
    </w:p>
    <w:p w:rsidR="009B1EC8" w:rsidRPr="009B1EC8" w:rsidRDefault="009B1EC8" w:rsidP="009B1EC8">
      <w:pPr>
        <w:pStyle w:val="Titolo1"/>
        <w:tabs>
          <w:tab w:val="left" w:pos="567"/>
        </w:tabs>
        <w:spacing w:before="0"/>
        <w:ind w:left="567" w:hanging="567"/>
        <w:jc w:val="both"/>
        <w:rPr>
          <w:rFonts w:cs="Arial"/>
          <w:sz w:val="24"/>
          <w:szCs w:val="24"/>
        </w:rPr>
      </w:pPr>
      <w:r w:rsidRPr="009B1EC8">
        <w:rPr>
          <w:rFonts w:cs="Arial"/>
          <w:sz w:val="24"/>
          <w:szCs w:val="24"/>
        </w:rPr>
        <w:t xml:space="preserve">3. </w:t>
      </w:r>
      <w:r w:rsidRPr="009B1EC8">
        <w:rPr>
          <w:rFonts w:cs="Arial"/>
          <w:sz w:val="24"/>
          <w:szCs w:val="24"/>
        </w:rPr>
        <w:tab/>
        <w:t>CONCLUSIONI</w:t>
      </w:r>
    </w:p>
    <w:p w:rsidR="009B1EC8" w:rsidRPr="009B1EC8" w:rsidRDefault="009B1EC8" w:rsidP="009B1EC8">
      <w:pPr>
        <w:rPr>
          <w:rFonts w:cs="Arial"/>
          <w:sz w:val="24"/>
          <w:szCs w:val="24"/>
        </w:rPr>
      </w:pPr>
      <w:r w:rsidRPr="009B1EC8">
        <w:rPr>
          <w:rFonts w:cs="Arial"/>
          <w:sz w:val="24"/>
          <w:szCs w:val="24"/>
        </w:rPr>
        <w:t xml:space="preserve">Preso atto che: </w:t>
      </w:r>
    </w:p>
    <w:p w:rsidR="009B1EC8" w:rsidRPr="009B1EC8" w:rsidRDefault="009B1EC8" w:rsidP="009B1EC8">
      <w:pPr>
        <w:rPr>
          <w:rFonts w:cs="Arial"/>
          <w:sz w:val="24"/>
          <w:szCs w:val="24"/>
        </w:rPr>
      </w:pPr>
    </w:p>
    <w:p w:rsidR="009B1EC8" w:rsidRPr="009B1EC8" w:rsidRDefault="009B1EC8" w:rsidP="009B1EC8">
      <w:pPr>
        <w:numPr>
          <w:ilvl w:val="0"/>
          <w:numId w:val="18"/>
        </w:numPr>
        <w:tabs>
          <w:tab w:val="clear" w:pos="720"/>
          <w:tab w:val="num" w:pos="284"/>
        </w:tabs>
        <w:suppressAutoHyphens/>
        <w:ind w:left="284" w:hanging="284"/>
        <w:rPr>
          <w:rFonts w:cs="Arial"/>
          <w:sz w:val="24"/>
          <w:szCs w:val="24"/>
        </w:rPr>
      </w:pPr>
      <w:r w:rsidRPr="009B1EC8">
        <w:rPr>
          <w:rFonts w:cs="Arial"/>
          <w:sz w:val="24"/>
          <w:szCs w:val="24"/>
        </w:rPr>
        <w:t>il numero relativamente ridotto di casi non solo rende la proposta di facile attuazione, ma non rappresenta un onere per le amministrazioni comunali;</w:t>
      </w:r>
    </w:p>
    <w:p w:rsidR="009B1EC8" w:rsidRPr="009B1EC8" w:rsidRDefault="009B1EC8" w:rsidP="009B1EC8">
      <w:pPr>
        <w:tabs>
          <w:tab w:val="num" w:pos="284"/>
        </w:tabs>
        <w:ind w:left="284" w:hanging="284"/>
        <w:rPr>
          <w:rFonts w:cs="Arial"/>
          <w:sz w:val="24"/>
          <w:szCs w:val="24"/>
        </w:rPr>
      </w:pPr>
    </w:p>
    <w:p w:rsidR="009B1EC8" w:rsidRPr="009B1EC8" w:rsidRDefault="009B1EC8" w:rsidP="009B1EC8">
      <w:pPr>
        <w:numPr>
          <w:ilvl w:val="0"/>
          <w:numId w:val="18"/>
        </w:numPr>
        <w:tabs>
          <w:tab w:val="clear" w:pos="720"/>
          <w:tab w:val="num" w:pos="284"/>
        </w:tabs>
        <w:suppressAutoHyphens/>
        <w:ind w:left="284" w:hanging="284"/>
        <w:rPr>
          <w:rFonts w:cs="Arial"/>
          <w:sz w:val="24"/>
          <w:szCs w:val="24"/>
        </w:rPr>
      </w:pPr>
      <w:r w:rsidRPr="009B1EC8">
        <w:rPr>
          <w:rFonts w:cs="Arial"/>
          <w:sz w:val="24"/>
          <w:szCs w:val="24"/>
        </w:rPr>
        <w:t>la richiesta non consiste in modo alcuno in una "limitazione dell’autonomia comunale" quanto piuttosto in un ulteriore strumento di trasparenza a favore del cittadino;</w:t>
      </w:r>
    </w:p>
    <w:p w:rsidR="009B1EC8" w:rsidRPr="009B1EC8" w:rsidRDefault="009B1EC8" w:rsidP="009B1EC8">
      <w:pPr>
        <w:rPr>
          <w:rFonts w:cs="Arial"/>
          <w:sz w:val="24"/>
          <w:szCs w:val="24"/>
        </w:rPr>
      </w:pPr>
    </w:p>
    <w:p w:rsidR="009B1EC8" w:rsidRPr="009B1EC8" w:rsidRDefault="009B1EC8" w:rsidP="009B1EC8">
      <w:pPr>
        <w:rPr>
          <w:rFonts w:cs="Arial"/>
          <w:sz w:val="24"/>
          <w:szCs w:val="24"/>
        </w:rPr>
      </w:pPr>
      <w:r w:rsidRPr="009B1EC8">
        <w:rPr>
          <w:rFonts w:cs="Arial"/>
          <w:sz w:val="24"/>
          <w:szCs w:val="24"/>
        </w:rPr>
        <w:t>la minoranza della Commissione economia e lavoro invita il Gran Consiglio ad accogliere l’iniziativa parlamentare elaborata.</w:t>
      </w:r>
    </w:p>
    <w:p w:rsidR="009B1EC8" w:rsidRDefault="009B1EC8" w:rsidP="009B1EC8">
      <w:pPr>
        <w:rPr>
          <w:rFonts w:cs="Arial"/>
          <w:sz w:val="24"/>
          <w:szCs w:val="24"/>
        </w:rPr>
      </w:pPr>
    </w:p>
    <w:p w:rsidR="009B1EC8" w:rsidRPr="009B1EC8" w:rsidRDefault="009B1EC8" w:rsidP="009B1EC8">
      <w:pPr>
        <w:rPr>
          <w:rFonts w:cs="Arial"/>
          <w:sz w:val="24"/>
          <w:szCs w:val="24"/>
        </w:rPr>
      </w:pPr>
    </w:p>
    <w:p w:rsidR="009B1EC8" w:rsidRDefault="009B1EC8" w:rsidP="009B1EC8">
      <w:pPr>
        <w:spacing w:after="120"/>
        <w:rPr>
          <w:rFonts w:cs="Arial"/>
          <w:sz w:val="24"/>
          <w:szCs w:val="24"/>
        </w:rPr>
      </w:pPr>
      <w:r>
        <w:rPr>
          <w:rFonts w:cs="Arial"/>
          <w:sz w:val="24"/>
          <w:szCs w:val="24"/>
        </w:rPr>
        <w:t>Per la minoranza della Commissione economia e lavoro:</w:t>
      </w:r>
    </w:p>
    <w:p w:rsidR="009B1EC8" w:rsidRPr="009B1EC8" w:rsidRDefault="009B1EC8" w:rsidP="009B1EC8">
      <w:pPr>
        <w:rPr>
          <w:rFonts w:cs="Arial"/>
          <w:sz w:val="24"/>
          <w:szCs w:val="24"/>
        </w:rPr>
      </w:pPr>
      <w:r w:rsidRPr="009B1EC8">
        <w:rPr>
          <w:rFonts w:cs="Arial"/>
          <w:sz w:val="24"/>
          <w:szCs w:val="24"/>
        </w:rPr>
        <w:t>Fabrizio Sirica</w:t>
      </w:r>
      <w:r>
        <w:rPr>
          <w:rFonts w:cs="Arial"/>
          <w:sz w:val="24"/>
          <w:szCs w:val="24"/>
        </w:rPr>
        <w:t>, relatore</w:t>
      </w:r>
    </w:p>
    <w:p w:rsidR="009B1EC8" w:rsidRPr="009B1EC8" w:rsidRDefault="009B1EC8" w:rsidP="009B1EC8">
      <w:pPr>
        <w:rPr>
          <w:rFonts w:cs="Arial"/>
          <w:sz w:val="24"/>
          <w:szCs w:val="24"/>
        </w:rPr>
      </w:pPr>
      <w:r w:rsidRPr="009B1EC8">
        <w:rPr>
          <w:rFonts w:cs="Arial"/>
          <w:sz w:val="24"/>
          <w:szCs w:val="24"/>
        </w:rPr>
        <w:t xml:space="preserve">Ay </w:t>
      </w:r>
      <w:r>
        <w:rPr>
          <w:rFonts w:cs="Arial"/>
          <w:sz w:val="24"/>
          <w:szCs w:val="24"/>
        </w:rPr>
        <w:t xml:space="preserve">- </w:t>
      </w:r>
      <w:r w:rsidRPr="009B1EC8">
        <w:rPr>
          <w:rFonts w:cs="Arial"/>
          <w:sz w:val="24"/>
          <w:szCs w:val="24"/>
        </w:rPr>
        <w:t xml:space="preserve">Forini </w:t>
      </w:r>
      <w:r w:rsidR="00FF123A">
        <w:rPr>
          <w:rFonts w:cs="Arial"/>
          <w:sz w:val="24"/>
          <w:szCs w:val="24"/>
        </w:rPr>
        <w:t>- Noi</w:t>
      </w:r>
      <w:bookmarkStart w:id="0" w:name="_GoBack"/>
      <w:bookmarkEnd w:id="0"/>
    </w:p>
    <w:p w:rsidR="009B1EC8" w:rsidRDefault="009B1EC8">
      <w:pPr>
        <w:rPr>
          <w:rFonts w:cs="Arial"/>
          <w:sz w:val="24"/>
          <w:szCs w:val="24"/>
        </w:rPr>
      </w:pPr>
      <w:r>
        <w:rPr>
          <w:rFonts w:cs="Arial"/>
          <w:sz w:val="24"/>
          <w:szCs w:val="24"/>
        </w:rPr>
        <w:br w:type="page"/>
      </w:r>
    </w:p>
    <w:p w:rsidR="009B471E" w:rsidRPr="009B471E" w:rsidRDefault="009B471E" w:rsidP="009B471E">
      <w:pPr>
        <w:spacing w:after="240" w:line="276" w:lineRule="auto"/>
        <w:rPr>
          <w:rFonts w:eastAsia="Calibri" w:cs="Arial"/>
          <w:color w:val="000000" w:themeColor="text1"/>
          <w:sz w:val="24"/>
          <w:szCs w:val="24"/>
        </w:rPr>
      </w:pPr>
      <w:r w:rsidRPr="009B471E">
        <w:rPr>
          <w:rFonts w:eastAsia="Calibri" w:cs="Arial"/>
          <w:color w:val="000000" w:themeColor="text1"/>
          <w:sz w:val="24"/>
          <w:szCs w:val="24"/>
        </w:rPr>
        <w:lastRenderedPageBreak/>
        <w:t xml:space="preserve">Disegno di </w:t>
      </w:r>
    </w:p>
    <w:p w:rsidR="009B471E" w:rsidRPr="009B471E" w:rsidRDefault="009B471E" w:rsidP="009B471E">
      <w:pPr>
        <w:spacing w:line="276" w:lineRule="auto"/>
        <w:rPr>
          <w:rFonts w:eastAsia="Calibri" w:cs="Arial"/>
          <w:b/>
          <w:color w:val="000000" w:themeColor="text1"/>
          <w:sz w:val="24"/>
          <w:szCs w:val="24"/>
        </w:rPr>
      </w:pPr>
      <w:r w:rsidRPr="009B471E">
        <w:rPr>
          <w:rFonts w:eastAsia="Calibri" w:cs="Arial"/>
          <w:b/>
          <w:color w:val="000000" w:themeColor="text1"/>
          <w:sz w:val="24"/>
          <w:szCs w:val="24"/>
        </w:rPr>
        <w:t xml:space="preserve">Legge </w:t>
      </w:r>
    </w:p>
    <w:p w:rsidR="009B471E" w:rsidRPr="009B471E" w:rsidRDefault="009B471E" w:rsidP="009B471E">
      <w:pPr>
        <w:spacing w:line="276" w:lineRule="auto"/>
        <w:rPr>
          <w:rFonts w:eastAsia="Calibri" w:cs="Arial"/>
          <w:b/>
          <w:color w:val="000000" w:themeColor="text1"/>
          <w:sz w:val="24"/>
          <w:szCs w:val="24"/>
        </w:rPr>
      </w:pPr>
      <w:r w:rsidRPr="009B471E">
        <w:rPr>
          <w:rFonts w:eastAsia="Calibri" w:cs="Arial"/>
          <w:b/>
          <w:color w:val="000000" w:themeColor="text1"/>
          <w:sz w:val="24"/>
          <w:szCs w:val="24"/>
        </w:rPr>
        <w:t>per l'innovazione economica (</w:t>
      </w:r>
      <w:proofErr w:type="spellStart"/>
      <w:r w:rsidRPr="009B471E">
        <w:rPr>
          <w:rFonts w:eastAsia="Calibri" w:cs="Arial"/>
          <w:b/>
          <w:color w:val="000000" w:themeColor="text1"/>
          <w:sz w:val="24"/>
          <w:szCs w:val="24"/>
        </w:rPr>
        <w:t>LInn</w:t>
      </w:r>
      <w:proofErr w:type="spellEnd"/>
      <w:r w:rsidRPr="009B471E">
        <w:rPr>
          <w:rFonts w:eastAsia="Calibri" w:cs="Arial"/>
          <w:b/>
          <w:color w:val="000000" w:themeColor="text1"/>
          <w:sz w:val="24"/>
          <w:szCs w:val="24"/>
        </w:rPr>
        <w:t>) del 14 dicembre 2015;</w:t>
      </w:r>
    </w:p>
    <w:p w:rsidR="009B471E" w:rsidRPr="009B471E" w:rsidRDefault="009B471E" w:rsidP="009B471E">
      <w:pPr>
        <w:spacing w:after="240" w:line="276" w:lineRule="auto"/>
        <w:rPr>
          <w:rFonts w:eastAsia="Calibri" w:cs="Arial"/>
          <w:color w:val="000000" w:themeColor="text1"/>
          <w:sz w:val="24"/>
          <w:szCs w:val="24"/>
        </w:rPr>
      </w:pPr>
      <w:r w:rsidRPr="009B471E">
        <w:rPr>
          <w:rFonts w:eastAsia="Calibri" w:cs="Arial"/>
          <w:color w:val="000000" w:themeColor="text1"/>
          <w:sz w:val="24"/>
          <w:szCs w:val="24"/>
        </w:rPr>
        <w:t xml:space="preserve">modifica del … </w:t>
      </w:r>
    </w:p>
    <w:p w:rsidR="009B471E" w:rsidRPr="009B471E" w:rsidRDefault="009B471E" w:rsidP="009B471E">
      <w:pPr>
        <w:spacing w:line="276" w:lineRule="auto"/>
        <w:rPr>
          <w:rFonts w:eastAsia="Calibri" w:cs="Arial"/>
          <w:color w:val="000000" w:themeColor="text1"/>
          <w:sz w:val="24"/>
          <w:szCs w:val="24"/>
        </w:rPr>
      </w:pPr>
      <w:r w:rsidRPr="009B471E">
        <w:rPr>
          <w:rFonts w:eastAsia="Calibri" w:cs="Arial"/>
          <w:color w:val="000000" w:themeColor="text1"/>
          <w:sz w:val="24"/>
          <w:szCs w:val="24"/>
        </w:rPr>
        <w:t xml:space="preserve">IL GRAN CONSIGLIO </w:t>
      </w:r>
    </w:p>
    <w:p w:rsidR="009B471E" w:rsidRPr="009B471E" w:rsidRDefault="009B471E" w:rsidP="009B471E">
      <w:pPr>
        <w:spacing w:line="276" w:lineRule="auto"/>
        <w:rPr>
          <w:rFonts w:eastAsia="Calibri" w:cs="Arial"/>
          <w:color w:val="000000" w:themeColor="text1"/>
          <w:sz w:val="24"/>
          <w:szCs w:val="24"/>
        </w:rPr>
      </w:pPr>
      <w:r w:rsidRPr="009B471E">
        <w:rPr>
          <w:rFonts w:eastAsia="Calibri" w:cs="Arial"/>
          <w:color w:val="000000" w:themeColor="text1"/>
          <w:sz w:val="24"/>
          <w:szCs w:val="24"/>
        </w:rPr>
        <w:t xml:space="preserve">DELLA REPUBBLICA E CANTONE TICINO </w:t>
      </w:r>
    </w:p>
    <w:p w:rsidR="009B471E" w:rsidRPr="009B471E" w:rsidRDefault="009B471E" w:rsidP="009B471E">
      <w:pPr>
        <w:spacing w:line="276" w:lineRule="auto"/>
        <w:rPr>
          <w:rFonts w:eastAsia="Calibri" w:cs="Arial"/>
          <w:color w:val="000000" w:themeColor="text1"/>
          <w:sz w:val="24"/>
          <w:szCs w:val="24"/>
        </w:rPr>
      </w:pPr>
    </w:p>
    <w:p w:rsidR="009B471E" w:rsidRPr="009B471E" w:rsidRDefault="009B471E" w:rsidP="009B471E">
      <w:pPr>
        <w:numPr>
          <w:ilvl w:val="0"/>
          <w:numId w:val="21"/>
        </w:numPr>
        <w:spacing w:line="276" w:lineRule="auto"/>
        <w:ind w:left="284" w:hanging="284"/>
        <w:contextualSpacing/>
        <w:rPr>
          <w:rFonts w:eastAsia="Calibri" w:cs="Arial"/>
          <w:color w:val="000000" w:themeColor="text1"/>
          <w:sz w:val="24"/>
          <w:szCs w:val="24"/>
        </w:rPr>
      </w:pPr>
      <w:r w:rsidRPr="009B471E">
        <w:rPr>
          <w:rFonts w:eastAsia="Calibri" w:cs="Arial"/>
          <w:color w:val="000000" w:themeColor="text1"/>
          <w:sz w:val="24"/>
          <w:szCs w:val="24"/>
        </w:rPr>
        <w:t>vista l'iniziativa parlamentare elaborata 22 giugno 2020 presentata da Massimiliano Ay e Lea Ferrari per la modifica dell'art. 21 della Legge per l'innovazione economica,</w:t>
      </w:r>
    </w:p>
    <w:p w:rsidR="009B471E" w:rsidRPr="009B471E" w:rsidRDefault="009B471E" w:rsidP="009B471E">
      <w:pPr>
        <w:numPr>
          <w:ilvl w:val="0"/>
          <w:numId w:val="21"/>
        </w:numPr>
        <w:spacing w:line="276" w:lineRule="auto"/>
        <w:ind w:left="284" w:hanging="284"/>
        <w:contextualSpacing/>
        <w:rPr>
          <w:rFonts w:eastAsia="Calibri" w:cs="Arial"/>
          <w:color w:val="000000" w:themeColor="text1"/>
          <w:sz w:val="24"/>
          <w:szCs w:val="24"/>
        </w:rPr>
      </w:pPr>
      <w:r w:rsidRPr="009B471E">
        <w:rPr>
          <w:rFonts w:eastAsia="Calibri" w:cs="Arial"/>
          <w:color w:val="000000" w:themeColor="text1"/>
          <w:sz w:val="24"/>
          <w:szCs w:val="24"/>
        </w:rPr>
        <w:t>visto il messaggio del Consiglio di Stato n. 7938 del 2 dicembre 2020,</w:t>
      </w:r>
    </w:p>
    <w:p w:rsidR="009B471E" w:rsidRPr="009B471E" w:rsidRDefault="009B471E" w:rsidP="009B471E">
      <w:pPr>
        <w:numPr>
          <w:ilvl w:val="0"/>
          <w:numId w:val="21"/>
        </w:numPr>
        <w:spacing w:line="276" w:lineRule="auto"/>
        <w:ind w:left="284" w:hanging="284"/>
        <w:contextualSpacing/>
        <w:rPr>
          <w:rFonts w:eastAsia="Calibri" w:cs="Arial"/>
          <w:color w:val="000000" w:themeColor="text1"/>
          <w:sz w:val="24"/>
          <w:szCs w:val="24"/>
        </w:rPr>
      </w:pPr>
      <w:r w:rsidRPr="009B471E">
        <w:rPr>
          <w:rFonts w:eastAsia="Calibri" w:cs="Arial"/>
          <w:color w:val="000000" w:themeColor="text1"/>
          <w:sz w:val="24"/>
          <w:szCs w:val="24"/>
        </w:rPr>
        <w:t>visto il rapporto di minoranza della Commissione economia e lavoro n. 8162</w:t>
      </w:r>
      <w:r>
        <w:rPr>
          <w:rFonts w:eastAsia="Calibri" w:cs="Arial"/>
          <w:color w:val="000000" w:themeColor="text1"/>
          <w:sz w:val="24"/>
          <w:szCs w:val="24"/>
        </w:rPr>
        <w:t xml:space="preserve"> </w:t>
      </w:r>
      <w:r w:rsidRPr="009B471E">
        <w:rPr>
          <w:rFonts w:eastAsia="Calibri" w:cs="Arial"/>
          <w:color w:val="000000" w:themeColor="text1"/>
          <w:sz w:val="24"/>
          <w:szCs w:val="24"/>
        </w:rPr>
        <w:t>R</w:t>
      </w:r>
      <w:r>
        <w:rPr>
          <w:rFonts w:eastAsia="Calibri" w:cs="Arial"/>
          <w:color w:val="000000" w:themeColor="text1"/>
          <w:sz w:val="24"/>
          <w:szCs w:val="24"/>
        </w:rPr>
        <w:t>2</w:t>
      </w:r>
      <w:r w:rsidRPr="009B471E">
        <w:rPr>
          <w:rFonts w:eastAsia="Calibri" w:cs="Arial"/>
          <w:color w:val="000000" w:themeColor="text1"/>
          <w:sz w:val="24"/>
          <w:szCs w:val="24"/>
        </w:rPr>
        <w:t xml:space="preserve"> del 31 gennaio 2023, </w:t>
      </w:r>
    </w:p>
    <w:p w:rsidR="009B471E" w:rsidRPr="009B471E" w:rsidRDefault="009B471E" w:rsidP="009B471E">
      <w:pPr>
        <w:spacing w:line="276" w:lineRule="auto"/>
        <w:rPr>
          <w:rFonts w:eastAsia="Calibri" w:cs="Arial"/>
          <w:color w:val="000000" w:themeColor="text1"/>
          <w:sz w:val="24"/>
          <w:szCs w:val="24"/>
        </w:rPr>
      </w:pPr>
    </w:p>
    <w:p w:rsidR="009B471E" w:rsidRPr="009B471E" w:rsidRDefault="009B471E" w:rsidP="009B471E">
      <w:pPr>
        <w:spacing w:line="276" w:lineRule="auto"/>
        <w:rPr>
          <w:rFonts w:eastAsia="Calibri" w:cs="Arial"/>
          <w:color w:val="000000" w:themeColor="text1"/>
          <w:sz w:val="24"/>
          <w:szCs w:val="24"/>
        </w:rPr>
      </w:pPr>
      <w:r w:rsidRPr="009B471E">
        <w:rPr>
          <w:rFonts w:eastAsia="Calibri" w:cs="Arial"/>
          <w:color w:val="000000" w:themeColor="text1"/>
          <w:sz w:val="24"/>
          <w:szCs w:val="24"/>
        </w:rPr>
        <w:t xml:space="preserve">decreta: </w:t>
      </w:r>
    </w:p>
    <w:p w:rsidR="009B471E" w:rsidRPr="009B471E" w:rsidRDefault="009B471E" w:rsidP="009B471E">
      <w:pPr>
        <w:spacing w:line="276" w:lineRule="auto"/>
        <w:rPr>
          <w:rFonts w:eastAsia="Calibri" w:cs="Arial"/>
          <w:color w:val="000000" w:themeColor="text1"/>
          <w:sz w:val="24"/>
          <w:szCs w:val="24"/>
        </w:rPr>
      </w:pPr>
    </w:p>
    <w:p w:rsidR="009B471E" w:rsidRPr="009B471E" w:rsidRDefault="009B471E" w:rsidP="009B471E">
      <w:pPr>
        <w:spacing w:line="276" w:lineRule="auto"/>
        <w:rPr>
          <w:rFonts w:eastAsia="Calibri" w:cs="Arial"/>
          <w:b/>
          <w:color w:val="000000" w:themeColor="text1"/>
          <w:sz w:val="24"/>
          <w:szCs w:val="24"/>
        </w:rPr>
      </w:pPr>
      <w:r w:rsidRPr="009B471E">
        <w:rPr>
          <w:rFonts w:eastAsia="Calibri" w:cs="Arial"/>
          <w:b/>
          <w:color w:val="000000" w:themeColor="text1"/>
          <w:sz w:val="24"/>
          <w:szCs w:val="24"/>
        </w:rPr>
        <w:t xml:space="preserve">I </w:t>
      </w:r>
    </w:p>
    <w:p w:rsidR="009B471E" w:rsidRPr="009B471E" w:rsidRDefault="009B471E" w:rsidP="009B471E">
      <w:pPr>
        <w:spacing w:line="276" w:lineRule="auto"/>
        <w:rPr>
          <w:rFonts w:eastAsia="Calibri" w:cs="Arial"/>
          <w:color w:val="000000" w:themeColor="text1"/>
          <w:sz w:val="24"/>
          <w:szCs w:val="24"/>
        </w:rPr>
      </w:pPr>
      <w:r w:rsidRPr="009B471E">
        <w:rPr>
          <w:rFonts w:eastAsia="Calibri" w:cs="Arial"/>
          <w:color w:val="000000" w:themeColor="text1"/>
          <w:sz w:val="24"/>
          <w:szCs w:val="24"/>
        </w:rPr>
        <w:t>La legge per l'innovazione economica (</w:t>
      </w:r>
      <w:proofErr w:type="spellStart"/>
      <w:r w:rsidRPr="009B471E">
        <w:rPr>
          <w:rFonts w:eastAsia="Calibri" w:cs="Arial"/>
          <w:color w:val="000000" w:themeColor="text1"/>
          <w:sz w:val="24"/>
          <w:szCs w:val="24"/>
        </w:rPr>
        <w:t>LInn</w:t>
      </w:r>
      <w:proofErr w:type="spellEnd"/>
      <w:r w:rsidRPr="009B471E">
        <w:rPr>
          <w:rFonts w:eastAsia="Calibri" w:cs="Arial"/>
          <w:color w:val="000000" w:themeColor="text1"/>
          <w:sz w:val="24"/>
          <w:szCs w:val="24"/>
        </w:rPr>
        <w:t xml:space="preserve">) del 14 dicembre 2015 è modificata come segue: </w:t>
      </w:r>
    </w:p>
    <w:p w:rsidR="009B471E" w:rsidRPr="009B471E" w:rsidRDefault="009B471E" w:rsidP="009B471E">
      <w:pPr>
        <w:spacing w:line="276" w:lineRule="auto"/>
        <w:rPr>
          <w:rFonts w:eastAsia="Calibri" w:cs="Arial"/>
          <w:color w:val="000000" w:themeColor="text1"/>
          <w:sz w:val="24"/>
          <w:szCs w:val="24"/>
        </w:rPr>
      </w:pPr>
    </w:p>
    <w:p w:rsidR="009B471E" w:rsidRPr="009B471E" w:rsidRDefault="009B471E" w:rsidP="009B471E">
      <w:pPr>
        <w:spacing w:line="276" w:lineRule="auto"/>
        <w:rPr>
          <w:b/>
          <w:sz w:val="24"/>
          <w:szCs w:val="24"/>
        </w:rPr>
      </w:pPr>
      <w:r w:rsidRPr="009B471E">
        <w:rPr>
          <w:b/>
          <w:sz w:val="24"/>
          <w:szCs w:val="24"/>
        </w:rPr>
        <w:t xml:space="preserve">Art. 21 cpv. 4 </w:t>
      </w:r>
    </w:p>
    <w:p w:rsidR="009B471E" w:rsidRPr="009B471E" w:rsidRDefault="009B471E" w:rsidP="009B471E">
      <w:pPr>
        <w:rPr>
          <w:rFonts w:cs="Arial"/>
          <w:iCs/>
          <w:color w:val="000000" w:themeColor="text1"/>
          <w:sz w:val="24"/>
          <w:szCs w:val="24"/>
        </w:rPr>
      </w:pPr>
      <w:r w:rsidRPr="009B471E">
        <w:rPr>
          <w:rFonts w:cs="Arial"/>
          <w:iCs/>
          <w:color w:val="000000" w:themeColor="text1"/>
          <w:sz w:val="24"/>
          <w:szCs w:val="24"/>
          <w:vertAlign w:val="superscript"/>
        </w:rPr>
        <w:t xml:space="preserve">4 </w:t>
      </w:r>
      <w:r w:rsidRPr="009B471E">
        <w:rPr>
          <w:sz w:val="24"/>
          <w:szCs w:val="24"/>
        </w:rPr>
        <w:t>Il Municipio rende annualmente pubblica la lista delle aziende beneficiarie delle agevolazioni concesse per le imposte comunali, corredata dal tipo e dall'entità degli aiuti. Il Consiglio di Stato disciplina i particolari</w:t>
      </w:r>
      <w:r w:rsidRPr="009B471E">
        <w:rPr>
          <w:rFonts w:cs="Arial"/>
          <w:iCs/>
          <w:color w:val="000000" w:themeColor="text1"/>
          <w:sz w:val="24"/>
          <w:szCs w:val="24"/>
        </w:rPr>
        <w:t xml:space="preserve">. </w:t>
      </w:r>
    </w:p>
    <w:p w:rsidR="009B471E" w:rsidRPr="009B471E" w:rsidRDefault="009B471E" w:rsidP="009B471E">
      <w:pPr>
        <w:rPr>
          <w:rFonts w:cs="Arial"/>
          <w:iCs/>
          <w:color w:val="000000" w:themeColor="text1"/>
          <w:sz w:val="24"/>
          <w:szCs w:val="24"/>
        </w:rPr>
      </w:pPr>
    </w:p>
    <w:p w:rsidR="009B471E" w:rsidRPr="009B471E" w:rsidRDefault="009B471E" w:rsidP="009B471E">
      <w:pPr>
        <w:rPr>
          <w:rFonts w:cs="Arial"/>
          <w:b/>
          <w:bCs/>
          <w:iCs/>
          <w:color w:val="000000" w:themeColor="text1"/>
          <w:sz w:val="24"/>
          <w:szCs w:val="24"/>
        </w:rPr>
      </w:pPr>
      <w:r w:rsidRPr="009B471E">
        <w:rPr>
          <w:rFonts w:cs="Arial"/>
          <w:b/>
          <w:bCs/>
          <w:iCs/>
          <w:color w:val="000000" w:themeColor="text1"/>
          <w:sz w:val="24"/>
          <w:szCs w:val="24"/>
        </w:rPr>
        <w:t xml:space="preserve">II </w:t>
      </w:r>
    </w:p>
    <w:p w:rsidR="009B471E" w:rsidRPr="009B471E" w:rsidRDefault="009B471E" w:rsidP="009B471E">
      <w:pPr>
        <w:rPr>
          <w:rFonts w:cs="Arial"/>
          <w:iCs/>
          <w:color w:val="000000" w:themeColor="text1"/>
          <w:sz w:val="24"/>
          <w:szCs w:val="24"/>
        </w:rPr>
      </w:pPr>
      <w:r w:rsidRPr="009B471E">
        <w:rPr>
          <w:rFonts w:cs="Arial"/>
          <w:iCs/>
          <w:color w:val="000000" w:themeColor="text1"/>
          <w:sz w:val="24"/>
          <w:szCs w:val="24"/>
          <w:vertAlign w:val="superscript"/>
        </w:rPr>
        <w:t>1</w:t>
      </w:r>
      <w:r w:rsidRPr="009B471E">
        <w:rPr>
          <w:rFonts w:cs="Arial"/>
          <w:iCs/>
          <w:color w:val="000000" w:themeColor="text1"/>
          <w:sz w:val="24"/>
          <w:szCs w:val="24"/>
        </w:rPr>
        <w:t xml:space="preserve">La presente legge sottostà a referendum facoltativo. </w:t>
      </w:r>
    </w:p>
    <w:p w:rsidR="009B471E" w:rsidRPr="009B471E" w:rsidRDefault="009B471E" w:rsidP="009B471E">
      <w:pPr>
        <w:rPr>
          <w:rFonts w:cs="Arial"/>
          <w:iCs/>
          <w:color w:val="000000" w:themeColor="text1"/>
          <w:sz w:val="24"/>
          <w:szCs w:val="24"/>
        </w:rPr>
      </w:pPr>
      <w:r w:rsidRPr="009B471E">
        <w:rPr>
          <w:rFonts w:cs="Arial"/>
          <w:iCs/>
          <w:color w:val="000000" w:themeColor="text1"/>
          <w:sz w:val="24"/>
          <w:szCs w:val="24"/>
          <w:vertAlign w:val="superscript"/>
        </w:rPr>
        <w:t>2</w:t>
      </w:r>
      <w:r w:rsidRPr="009B471E">
        <w:rPr>
          <w:rFonts w:cs="Arial"/>
          <w:iCs/>
          <w:color w:val="000000" w:themeColor="text1"/>
          <w:sz w:val="24"/>
          <w:szCs w:val="24"/>
        </w:rPr>
        <w:t>Essa entra in vigore immediatamente.</w:t>
      </w:r>
    </w:p>
    <w:p w:rsidR="009B471E" w:rsidRPr="009B471E" w:rsidRDefault="009B471E" w:rsidP="009B471E">
      <w:pPr>
        <w:spacing w:line="276" w:lineRule="auto"/>
        <w:rPr>
          <w:rFonts w:eastAsia="Calibri" w:cs="Arial"/>
          <w:color w:val="000000" w:themeColor="text1"/>
          <w:sz w:val="24"/>
          <w:szCs w:val="24"/>
        </w:rPr>
      </w:pPr>
    </w:p>
    <w:p w:rsidR="009B1EC8" w:rsidRDefault="009B1EC8" w:rsidP="009B1EC8">
      <w:pPr>
        <w:rPr>
          <w:rFonts w:cs="Arial"/>
        </w:rPr>
      </w:pPr>
    </w:p>
    <w:p w:rsidR="00271D9B" w:rsidRPr="00271D9B" w:rsidRDefault="00271D9B" w:rsidP="00D33940">
      <w:pPr>
        <w:pStyle w:val="StandardRisoluzionedelConsigliodiStato"/>
        <w:ind w:right="-1"/>
      </w:pPr>
    </w:p>
    <w:p w:rsidR="00D649A8" w:rsidRPr="00271D9B" w:rsidRDefault="00D649A8" w:rsidP="00D33940">
      <w:pPr>
        <w:pStyle w:val="StandardRisoluzionedelConsigliodiStato"/>
        <w:ind w:right="-1"/>
      </w:pPr>
    </w:p>
    <w:sectPr w:rsidR="00D649A8" w:rsidRPr="00271D9B"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D9B" w:rsidRDefault="00271D9B" w:rsidP="00F657BF">
      <w:r>
        <w:separator/>
      </w:r>
    </w:p>
  </w:endnote>
  <w:endnote w:type="continuationSeparator" w:id="0">
    <w:p w:rsidR="00271D9B" w:rsidRDefault="00271D9B"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Symbol">
    <w:altName w:val="Arial Unicode MS"/>
    <w:charset w:val="01"/>
    <w:family w:val="auto"/>
    <w:pitch w:val="default"/>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284D4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284D4F" w:rsidP="00912E34">
          <w:pPr>
            <w:tabs>
              <w:tab w:val="center" w:pos="2382"/>
            </w:tabs>
          </w:pPr>
        </w:p>
      </w:tc>
      <w:tc>
        <w:tcPr>
          <w:tcW w:w="721" w:type="dxa"/>
        </w:tcPr>
        <w:p w:rsidR="00912E34" w:rsidRPr="003D1008" w:rsidRDefault="00446282"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446282"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284D4F"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284D4F">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D9B" w:rsidRDefault="00271D9B" w:rsidP="00F657BF">
      <w:r>
        <w:separator/>
      </w:r>
    </w:p>
  </w:footnote>
  <w:footnote w:type="continuationSeparator" w:id="0">
    <w:p w:rsidR="00271D9B" w:rsidRDefault="00271D9B"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284D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0822B42D-C640-41B1-9F7A-48915BBC92FC}"/>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19062A" w:rsidP="00A532F6">
              <w:pPr>
                <w:pStyle w:val="Page"/>
                <w:rPr>
                  <w:rFonts w:ascii="Gill Alt One MT Light" w:hAnsi="Gill Alt One MT Light"/>
                  <w:sz w:val="16"/>
                  <w:szCs w:val="16"/>
                </w:rPr>
              </w:pPr>
              <w:r>
                <w:rPr>
                  <w:rFonts w:ascii="Gill Alt One MT Light" w:hAnsi="Gill Alt One MT Light"/>
                  <w:sz w:val="16"/>
                  <w:szCs w:val="16"/>
                </w:rPr>
                <w:t>Dipartimento delle finanze e dell’economia</w:t>
              </w:r>
            </w:p>
          </w:tc>
        </w:sdtContent>
      </w:sdt>
      <w:tc>
        <w:tcPr>
          <w:tcW w:w="1710" w:type="dxa"/>
          <w:tcBorders>
            <w:bottom w:val="single" w:sz="4" w:space="0" w:color="auto"/>
          </w:tcBorders>
          <w:vAlign w:val="bottom"/>
        </w:tcPr>
        <w:p w:rsidR="005012EC" w:rsidRPr="004204CB" w:rsidRDefault="00446282"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2437B3">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2437B3">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0822B42D-C640-41B1-9F7A-48915BBC92FC}"/>
          <w:text w:multiLine="1"/>
        </w:sdtPr>
        <w:sdtEndPr/>
        <w:sdtContent>
          <w:tc>
            <w:tcPr>
              <w:tcW w:w="8383" w:type="dxa"/>
              <w:tcBorders>
                <w:left w:val="single" w:sz="4" w:space="0" w:color="auto"/>
              </w:tcBorders>
              <w:tcMar>
                <w:top w:w="0" w:type="dxa"/>
                <w:left w:w="142" w:type="dxa"/>
              </w:tcMar>
            </w:tcPr>
            <w:p w:rsidR="005012EC" w:rsidRPr="00271D9B" w:rsidRDefault="0019062A"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7938 R2 del 31 gennaio 2023</w:t>
              </w:r>
            </w:p>
          </w:tc>
        </w:sdtContent>
      </w:sdt>
      <w:tc>
        <w:tcPr>
          <w:tcW w:w="1710" w:type="dxa"/>
          <w:tcBorders>
            <w:top w:val="single" w:sz="4" w:space="0" w:color="auto"/>
          </w:tcBorders>
        </w:tcPr>
        <w:p w:rsidR="005012EC" w:rsidRPr="00271D9B" w:rsidRDefault="00284D4F" w:rsidP="00662409">
          <w:pPr>
            <w:pStyle w:val="InvisibleLine"/>
            <w:rPr>
              <w:lang w:val="it-CH"/>
            </w:rPr>
          </w:pPr>
        </w:p>
      </w:tc>
    </w:tr>
  </w:tbl>
  <w:p w:rsidR="00F657BF" w:rsidRPr="00980362" w:rsidRDefault="00446282"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0822B42D-C640-41B1-9F7A-48915BBC92FC}"/>
                            <w:text w:multiLine="1"/>
                          </w:sdtPr>
                          <w:sdtEndPr/>
                          <w:sdtContent>
                            <w:p w:rsidR="008065E8" w:rsidRPr="00411371" w:rsidRDefault="00446282"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A4B7E941-2A9D-4B52-B39D-E420EF7B80DD}"/>
                      <w:text w:multiLine="1"/>
                    </w:sdtPr>
                    <w:sdtEndPr/>
                    <w:sdtContent>
                      <w:p w:rsidR="008065E8" w:rsidRPr="00411371" w:rsidRDefault="00446282"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284D4F" w:rsidP="00D07D6E">
          <w:pPr>
            <w:pStyle w:val="InvisibleLine"/>
            <w:ind w:left="150"/>
            <w:rPr>
              <w:sz w:val="16"/>
            </w:rPr>
          </w:pPr>
        </w:p>
      </w:tc>
      <w:tc>
        <w:tcPr>
          <w:tcW w:w="373" w:type="pct"/>
          <w:tcBorders>
            <w:top w:val="nil"/>
            <w:bottom w:val="single" w:sz="4" w:space="0" w:color="auto"/>
          </w:tcBorders>
          <w:vAlign w:val="bottom"/>
        </w:tcPr>
        <w:p w:rsidR="00662409" w:rsidRPr="003108C0" w:rsidRDefault="00284D4F" w:rsidP="00D07D6E">
          <w:pPr>
            <w:pStyle w:val="Level"/>
            <w:ind w:left="150"/>
            <w:rPr>
              <w:sz w:val="16"/>
            </w:rPr>
          </w:pPr>
        </w:p>
      </w:tc>
      <w:tc>
        <w:tcPr>
          <w:tcW w:w="209" w:type="pct"/>
          <w:tcBorders>
            <w:top w:val="nil"/>
            <w:bottom w:val="single" w:sz="4" w:space="0" w:color="auto"/>
          </w:tcBorders>
        </w:tcPr>
        <w:p w:rsidR="00662409" w:rsidRDefault="00446282"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12349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446282"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2437B3">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2437B3">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0822B42D-C640-41B1-9F7A-48915BBC92FC}"/>
          <w:text w:multiLine="1"/>
        </w:sdtPr>
        <w:sdtEndPr/>
        <w:sdtContent>
          <w:tc>
            <w:tcPr>
              <w:tcW w:w="5000" w:type="pct"/>
              <w:gridSpan w:val="6"/>
              <w:tcBorders>
                <w:left w:val="nil"/>
                <w:right w:val="nil"/>
              </w:tcBorders>
              <w:noWrap/>
              <w:tcMar>
                <w:top w:w="0" w:type="dxa"/>
              </w:tcMar>
              <w:vAlign w:val="bottom"/>
            </w:tcPr>
            <w:p w:rsidR="00662409" w:rsidRPr="008C03B5" w:rsidRDefault="0019062A"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446282"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284D4F"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446282"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284D4F"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446282"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284D4F"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284D4F"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0822B42D-C640-41B1-9F7A-48915BBC92FC}"/>
              <w:text w:multiLine="1"/>
            </w:sdtPr>
            <w:sdtEndPr/>
            <w:sdtContent>
              <w:r w:rsidR="0019062A">
                <w:rPr>
                  <w:rFonts w:cstheme="minorHAnsi"/>
                  <w:b/>
                  <w:sz w:val="24"/>
                  <w:szCs w:val="24"/>
                </w:rPr>
                <w:t>7938 R2</w:t>
              </w:r>
            </w:sdtContent>
          </w:sdt>
        </w:p>
      </w:tc>
      <w:sdt>
        <w:sdtPr>
          <w:rPr>
            <w:sz w:val="24"/>
          </w:rPr>
          <w:alias w:val="DocParam.Date"/>
          <w:id w:val="-464426178"/>
          <w:dataBinding w:xpath="//DateTime[@id='DocParam.Date']" w:storeItemID="{0822B42D-C640-41B1-9F7A-48915BBC92FC}"/>
          <w:date w:fullDate="2023-01-31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19062A" w:rsidP="00A532F6">
              <w:pPr>
                <w:pStyle w:val="Data"/>
              </w:pPr>
              <w:r>
                <w:rPr>
                  <w:sz w:val="24"/>
                </w:rPr>
                <w:t>31 gennaio 2023</w:t>
              </w:r>
            </w:p>
          </w:tc>
        </w:sdtContent>
      </w:sdt>
      <w:tc>
        <w:tcPr>
          <w:tcW w:w="3218" w:type="pct"/>
          <w:gridSpan w:val="4"/>
          <w:tcBorders>
            <w:top w:val="nil"/>
            <w:left w:val="nil"/>
            <w:bottom w:val="nil"/>
            <w:right w:val="nil"/>
          </w:tcBorders>
        </w:tcPr>
        <w:p w:rsidR="008C03B5" w:rsidRPr="00BE22A2" w:rsidRDefault="00284D4F"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0822B42D-C640-41B1-9F7A-48915BBC92FC}"/>
              <w:text w:multiLine="1"/>
            </w:sdtPr>
            <w:sdtEndPr/>
            <w:sdtContent>
              <w:r w:rsidR="0019062A">
                <w:rPr>
                  <w:smallCaps/>
                  <w:sz w:val="23"/>
                  <w:szCs w:val="23"/>
                </w:rP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284D4F" w:rsidP="00D07D6E">
          <w:pPr>
            <w:pStyle w:val="Level"/>
            <w:ind w:left="150"/>
            <w:rPr>
              <w:rFonts w:ascii="Gill Alt One MT Light" w:hAnsi="Gill Alt One MT Light"/>
              <w:sz w:val="16"/>
              <w:szCs w:val="16"/>
            </w:rPr>
          </w:pPr>
        </w:p>
      </w:tc>
    </w:tr>
  </w:tbl>
  <w:p w:rsidR="00F657BF" w:rsidRPr="00DA2879" w:rsidRDefault="00446282"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189849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0822B42D-C640-41B1-9F7A-48915BBC92FC}"/>
                            <w:text w:multiLine="1"/>
                          </w:sdtPr>
                          <w:sdtEndPr/>
                          <w:sdtContent>
                            <w:p w:rsidR="00E93620" w:rsidRPr="00411371" w:rsidRDefault="00446282"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A4B7E941-2A9D-4B52-B39D-E420EF7B80DD}"/>
                      <w:text w:multiLine="1"/>
                    </w:sdtPr>
                    <w:sdtEndPr/>
                    <w:sdtContent>
                      <w:p w:rsidR="00E93620" w:rsidRPr="00411371" w:rsidRDefault="00446282"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B2C68"/>
    <w:multiLevelType w:val="hybridMultilevel"/>
    <w:tmpl w:val="B7722EFC"/>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C59447D"/>
    <w:multiLevelType w:val="hybridMultilevel"/>
    <w:tmpl w:val="43707AFE"/>
    <w:lvl w:ilvl="0" w:tplc="D100A72E">
      <w:start w:val="4"/>
      <w:numFmt w:val="bullet"/>
      <w:lvlText w:val="-"/>
      <w:lvlJc w:val="left"/>
      <w:pPr>
        <w:ind w:left="720" w:hanging="360"/>
      </w:pPr>
      <w:rPr>
        <w:rFonts w:ascii="Arial" w:eastAsia="Calibr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61AE1A13"/>
    <w:multiLevelType w:val="multilevel"/>
    <w:tmpl w:val="E1A2C3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67BD12B9"/>
    <w:multiLevelType w:val="hybridMultilevel"/>
    <w:tmpl w:val="1D7C5EFE"/>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3"/>
  </w:num>
  <w:num w:numId="2">
    <w:abstractNumId w:val="18"/>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7"/>
  </w:num>
  <w:num w:numId="5">
    <w:abstractNumId w:val="16"/>
  </w:num>
  <w:num w:numId="6">
    <w:abstractNumId w:val="14"/>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10"/>
  </w:num>
  <w:num w:numId="20">
    <w:abstractNumId w:val="20"/>
  </w:num>
  <w:num w:numId="2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9B"/>
    <w:rsid w:val="00065747"/>
    <w:rsid w:val="0012535A"/>
    <w:rsid w:val="001321BE"/>
    <w:rsid w:val="0019062A"/>
    <w:rsid w:val="00202674"/>
    <w:rsid w:val="002372F2"/>
    <w:rsid w:val="002378A7"/>
    <w:rsid w:val="002437B3"/>
    <w:rsid w:val="00271D9B"/>
    <w:rsid w:val="00284D4F"/>
    <w:rsid w:val="002A1EF5"/>
    <w:rsid w:val="002B5D9F"/>
    <w:rsid w:val="002E46A2"/>
    <w:rsid w:val="003B756D"/>
    <w:rsid w:val="00403ADB"/>
    <w:rsid w:val="00446282"/>
    <w:rsid w:val="00572FD3"/>
    <w:rsid w:val="005E2121"/>
    <w:rsid w:val="00651330"/>
    <w:rsid w:val="00773E66"/>
    <w:rsid w:val="007A3F73"/>
    <w:rsid w:val="007D3B1E"/>
    <w:rsid w:val="007F15F3"/>
    <w:rsid w:val="008720C4"/>
    <w:rsid w:val="008A41F5"/>
    <w:rsid w:val="008F52AF"/>
    <w:rsid w:val="00947B02"/>
    <w:rsid w:val="009B1EC8"/>
    <w:rsid w:val="009B471E"/>
    <w:rsid w:val="009C5E5A"/>
    <w:rsid w:val="00A73A02"/>
    <w:rsid w:val="00AF0268"/>
    <w:rsid w:val="00AF1446"/>
    <w:rsid w:val="00B3000E"/>
    <w:rsid w:val="00BF0A1F"/>
    <w:rsid w:val="00D27D92"/>
    <w:rsid w:val="00D33940"/>
    <w:rsid w:val="00D600FD"/>
    <w:rsid w:val="00D649A8"/>
    <w:rsid w:val="00EB088A"/>
    <w:rsid w:val="00F657BF"/>
    <w:rsid w:val="00F8346D"/>
    <w:rsid w:val="00FF12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5DC84"/>
  <w15:docId w15:val="{85519ABE-E645-450C-9EF6-7DDC0ACF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D9B"/>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2437B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37B3"/>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ab9e51ad-def2-4047-ac92-e2d0417b1734.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2123492758</Id>
      <Width>0</Width>
      <Height>0</Height>
      <XPath>//Image[@id='Profile.Org.WappenSW']</XPath>
      <ImageHash>02f1c0cdac6aeac316213b2e7cb733a0</ImageHash>
    </ImageSizeDefinition>
    <ImageSizeDefinition>
      <Id>1189849892</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a 1 a a 5 c b 6 - d f 7 2 - 4 d 3 9 - a 0 a 5 - b a 9 d 0 7 0 6 7 c 5 f "   t I d = " a 3 6 2 a 5 d 4 - 9 5 8 9 - 4 1 b f - a 4 e 6 - 4 f 8 7 c 4 e 4 1 2 3 9 "   i n t e r n a l T I d = " 9 0 6 4 c c 7 f - 3 1 6 d - 4 6 b 1 - a 4 a c - 7 4 8 6 0 c 3 f 8 a 5 b "   m t I d = " 2 7 5 a f 3 2 e - b c 4 0 - 4 5 c 2 - 8 5 b 7 - a f b 1 c 0 3 8 2 6 5 3 "   r e v i s i o n = " 0 "   c r e a t e d m a j o r v e r s i o n = " 0 "   c r e a t e d m i n o r v e r s i o n = " 0 "   c r e a t e d = " 2 0 2 3 - 0 1 - 3 1 T 1 6 : 1 4 : 4 8 . 1 7 0 6 2 6 9 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 2 0 2 3 - 0 1 - 3 1 T 0 0 : 0 0 : 0 0 Z < / D a t e T i m e >  
                 < T e x t   i d = " D o c P a r a m . N u m b e r " > < ! [ C D A T A [ 7 9 3 8   R 2 ] ] > < / T e x t >  
                 < T e x t   i d = " D o c P a r a m . D o c u m e n t o " > < ! [ C D A T A [ R a p p o r t o   d i   m i n o r a n z a ] ] > < / T e x t >  
                 < T e x t   i d = " D o c P a r a m . A g g i u n t a D o c "   t o o l t i p = " ( e s .   b i s ,   a g g i u n t i v o ,   a g g i u n t i v o   b i s ,   1 ,   2   e c c . ) " > < ! [ C D A T A [   ] ] > < / T e x t >  
                 < T e x t   i d = " D o c P a r a m . D i p a r t i m e n t i " > < ! [ C D A T A [ D i p a r t i m e n t o   d e l l e   f i n a n z e   e   d e l l  e c o n o m i a ] ] > < / T e x t >  
                 < T e x t   i d = " D o c P a r a m . A l t r i D i p a r t i m e n t i " > < ! [ C D A T A [   ] ] > < / T e x t >  
             < / P a r a m e t e r >  
             < S c r i p t i n g >  
                 < T e x t   i d = " C u s t o m E l e m e n t s . S u b T e m p l a t e . L a n d s c a p e . H e a d e r . O r g I n f o s "   l a b e l = " C u s t o m E l e m e n t s . S u b T e m p l a t e . L a n d s c a p e . H e a d e r . O r g I n f o s " > < ! [ C D A T A [ D i p a r t i m e n t o   d e l l e   f i n a n z e   e   d e l l  e c o n o m i a ] ] > < / T e x t >  
                 < T e x t   i d = " C u s t o m E l e m e n t s . S u b T e m p l a t e . L a n d s c a p e . H e a d e r . T i t o l o "   l a b e l = " C u s t o m E l e m e n t s . S u b T e m p l a t e . L a n d s c a p e . H e a d e r . T i t o l o " > < ! [ C D A T A [ R a p p o r t o   d i   m i n o r a n z a   n .   7 9 3 8   R 2   d e l   3 1   g e n n a i o   2 0 2 3 ] ] > < / 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  d i   m i n o r a n z a ] ] > < / T e x t >  
                 < T e x t   i d = " C u s t o m E l e m e n t s . F i e l d s . T i t o l o 2 "   l a b e l = " C u s t o m E l e m e n t s . F i e l d s . T i t o l o 2 " > < ! [ C D A T A [ R a p p o r t o   d i   m i n o r a n z a   n .   7 9 3 8   R 2   d e l   3 1   g e n n a i o 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33B0BB05-EE8D-4379-BC00-5378FD9277C2}">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0822B42D-C640-41B1-9F7A-48915BBC92FC}">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ab9e51ad-def2-4047-ac92-e2d0417b1734.dotx</Template>
  <TotalTime>17</TotalTime>
  <Pages>3</Pages>
  <Words>750</Words>
  <Characters>4292</Characters>
  <Application>Microsoft Office Word</Application>
  <DocSecurity>0</DocSecurity>
  <Lines>82</Lines>
  <Paragraphs>28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28</cp:revision>
  <cp:lastPrinted>2023-02-01T08:11:00Z</cp:lastPrinted>
  <dcterms:created xsi:type="dcterms:W3CDTF">2023-01-31T16:15:00Z</dcterms:created>
  <dcterms:modified xsi:type="dcterms:W3CDTF">2023-02-01T08:17:00Z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