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F7" w:rsidRPr="009F6323" w:rsidRDefault="00935DF7" w:rsidP="00935DF7">
      <w:pPr>
        <w:rPr>
          <w:rFonts w:eastAsia="Calibri" w:cs="Arial"/>
          <w:b/>
          <w:color w:val="000000" w:themeColor="text1"/>
          <w:sz w:val="28"/>
          <w:szCs w:val="28"/>
        </w:rPr>
      </w:pPr>
      <w:r w:rsidRPr="00935DF7">
        <w:rPr>
          <w:rFonts w:eastAsia="Calibri" w:cs="Arial"/>
          <w:b/>
          <w:color w:val="000000" w:themeColor="text1"/>
          <w:sz w:val="28"/>
          <w:szCs w:val="28"/>
        </w:rPr>
        <w:t>della</w:t>
      </w:r>
      <w:r w:rsidRPr="009F6323">
        <w:rPr>
          <w:rFonts w:eastAsia="Calibri" w:cs="Arial"/>
          <w:b/>
          <w:color w:val="000000" w:themeColor="text1"/>
          <w:sz w:val="28"/>
          <w:szCs w:val="28"/>
        </w:rPr>
        <w:t xml:space="preserve"> Commissione economia e lavoro</w:t>
      </w:r>
    </w:p>
    <w:p w:rsidR="00935DF7" w:rsidRDefault="00935DF7" w:rsidP="00935DF7">
      <w:pPr>
        <w:rPr>
          <w:rFonts w:eastAsia="Calibri" w:cs="Arial"/>
          <w:b/>
          <w:color w:val="000000" w:themeColor="text1"/>
          <w:sz w:val="28"/>
          <w:szCs w:val="28"/>
        </w:rPr>
      </w:pPr>
      <w:r w:rsidRPr="009F6323">
        <w:rPr>
          <w:rFonts w:eastAsia="Calibri" w:cs="Arial"/>
          <w:b/>
          <w:color w:val="000000" w:themeColor="text1"/>
          <w:sz w:val="28"/>
          <w:szCs w:val="28"/>
        </w:rPr>
        <w:t>sull'iniziativa parlamentare 22 giugno 2020</w:t>
      </w:r>
      <w:r>
        <w:rPr>
          <w:rFonts w:eastAsia="Calibri" w:cs="Arial"/>
          <w:b/>
          <w:color w:val="000000" w:themeColor="text1"/>
          <w:sz w:val="28"/>
          <w:szCs w:val="28"/>
        </w:rPr>
        <w:t xml:space="preserve"> </w:t>
      </w:r>
      <w:r w:rsidRPr="009F6323">
        <w:rPr>
          <w:rFonts w:eastAsia="Calibri" w:cs="Arial"/>
          <w:b/>
          <w:color w:val="000000" w:themeColor="text1"/>
          <w:sz w:val="28"/>
          <w:szCs w:val="28"/>
        </w:rPr>
        <w:t>presentata nella forma elaborata da Fabrizio Sirica e cofirmatari per la modifica dell'art. 20 della Legge per l'innovazione economica (Sanzioni ad aziende beneficiarie di sussidi e che effettuano licenziamenti collettivi nonostante fatturati in utile) "Ricevono i sussidi e licenziano… questa non è responsabilità sociale!"</w:t>
      </w:r>
    </w:p>
    <w:p w:rsidR="00935DF7" w:rsidRDefault="00935DF7" w:rsidP="00935DF7">
      <w:pPr>
        <w:spacing w:line="276" w:lineRule="auto"/>
        <w:rPr>
          <w:rFonts w:eastAsia="Calibri" w:cs="Arial"/>
          <w:color w:val="000000" w:themeColor="text1"/>
          <w:sz w:val="24"/>
          <w:szCs w:val="24"/>
        </w:rPr>
      </w:pPr>
    </w:p>
    <w:p w:rsidR="00935DF7" w:rsidRDefault="00935DF7" w:rsidP="00935DF7">
      <w:pPr>
        <w:tabs>
          <w:tab w:val="left" w:pos="3010"/>
        </w:tabs>
        <w:spacing w:line="276" w:lineRule="auto"/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tabs>
          <w:tab w:val="left" w:pos="3010"/>
        </w:tabs>
        <w:spacing w:line="276" w:lineRule="auto"/>
        <w:rPr>
          <w:rFonts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ab/>
      </w:r>
    </w:p>
    <w:p w:rsidR="00935DF7" w:rsidRPr="00935DF7" w:rsidRDefault="00935DF7" w:rsidP="00935DF7">
      <w:pPr>
        <w:pStyle w:val="Titolo1"/>
        <w:numPr>
          <w:ilvl w:val="0"/>
          <w:numId w:val="18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935DF7">
        <w:rPr>
          <w:rFonts w:eastAsia="Calibri" w:cs="Times New Roman"/>
          <w:caps/>
          <w:sz w:val="24"/>
          <w:szCs w:val="24"/>
          <w:lang w:val="it-IT" w:eastAsia="it-IT"/>
        </w:rPr>
        <w:t xml:space="preserve">RICHIESTA DELL'ATTO PARLAMENTARE </w:t>
      </w: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>L'atto parlamentare in oggetto chiede di modificare l'art. 20 della Legge per l'innovazione economica (</w:t>
      </w:r>
      <w:proofErr w:type="spellStart"/>
      <w:r w:rsidRPr="009F6323">
        <w:rPr>
          <w:rFonts w:eastAsia="Calibri" w:cs="Arial"/>
          <w:color w:val="000000" w:themeColor="text1"/>
          <w:sz w:val="24"/>
          <w:szCs w:val="24"/>
        </w:rPr>
        <w:t>LInn</w:t>
      </w:r>
      <w:proofErr w:type="spellEnd"/>
      <w:r w:rsidRPr="009F6323">
        <w:rPr>
          <w:rFonts w:eastAsia="Calibri" w:cs="Arial"/>
          <w:color w:val="000000" w:themeColor="text1"/>
          <w:sz w:val="24"/>
          <w:szCs w:val="24"/>
        </w:rPr>
        <w:t>) del 14 dicembre 2015 in modo da introdurre sanzioni ad aziende beneficiarie di sussidi che effettuano licenziamenti collettivi nonostante abbiano realizzato degli utili.</w:t>
      </w: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>La richiesta di modifica in oggetto era già stata avanzata nel rapporto di minoranza redatto dall'</w:t>
      </w:r>
      <w:proofErr w:type="spellStart"/>
      <w:r w:rsidRPr="009F6323">
        <w:rPr>
          <w:rFonts w:eastAsia="Calibri" w:cs="Arial"/>
          <w:color w:val="000000" w:themeColor="text1"/>
          <w:sz w:val="24"/>
          <w:szCs w:val="24"/>
        </w:rPr>
        <w:t>iniziativista</w:t>
      </w:r>
      <w:proofErr w:type="spellEnd"/>
      <w:r w:rsidRPr="009F6323">
        <w:rPr>
          <w:rFonts w:eastAsia="Calibri" w:cs="Arial"/>
          <w:color w:val="000000" w:themeColor="text1"/>
          <w:sz w:val="24"/>
          <w:szCs w:val="24"/>
        </w:rPr>
        <w:t xml:space="preserve"> e cofirmatari sul messaggio 11 dicembre 2019 concernente la Legge per l’innovazione economica (</w:t>
      </w:r>
      <w:proofErr w:type="spellStart"/>
      <w:r w:rsidRPr="009F6323">
        <w:rPr>
          <w:rFonts w:eastAsia="Calibri" w:cs="Arial"/>
          <w:color w:val="000000" w:themeColor="text1"/>
          <w:sz w:val="24"/>
          <w:szCs w:val="24"/>
        </w:rPr>
        <w:t>LInn</w:t>
      </w:r>
      <w:proofErr w:type="spellEnd"/>
      <w:r w:rsidRPr="009F6323">
        <w:rPr>
          <w:rFonts w:eastAsia="Calibri" w:cs="Arial"/>
          <w:color w:val="000000" w:themeColor="text1"/>
          <w:sz w:val="24"/>
          <w:szCs w:val="24"/>
        </w:rPr>
        <w:t>): stanziamento di un credito quadro di CHF 20'000'000 per l’adozione di misure a sostegno dell’innovazione nel periodo 2020-2023, programma e modifica di legge.</w:t>
      </w: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>Il Consiglio di Stato, con messaggio no. 8067, invita a respingere l’iniziativa parlamentare elaborata in oggetto, ricordando da un lato quanto già messo in atto sul fronte del monitoraggio e della revoca degli aiuti e illustrando dall’altro le criticità d’applicazione tali.</w:t>
      </w:r>
    </w:p>
    <w:p w:rsidR="00935DF7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Pr="00935DF7" w:rsidRDefault="00935DF7" w:rsidP="00935DF7">
      <w:pPr>
        <w:pStyle w:val="Titolo1"/>
        <w:numPr>
          <w:ilvl w:val="0"/>
          <w:numId w:val="18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935DF7">
        <w:rPr>
          <w:rFonts w:eastAsia="Calibri" w:cs="Times New Roman"/>
          <w:caps/>
          <w:sz w:val="24"/>
          <w:szCs w:val="24"/>
          <w:lang w:val="it-IT" w:eastAsia="it-IT"/>
        </w:rPr>
        <w:t>OBIETTIVO E SCOPO DELLA LINN</w:t>
      </w: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  <w:lang w:val="it-IT"/>
        </w:rPr>
      </w:pPr>
      <w:r w:rsidRPr="009F6323">
        <w:rPr>
          <w:rFonts w:eastAsia="Calibri" w:cs="Arial"/>
          <w:color w:val="000000" w:themeColor="text1"/>
          <w:sz w:val="24"/>
          <w:szCs w:val="24"/>
          <w:lang w:val="it-IT"/>
        </w:rPr>
        <w:t xml:space="preserve">La </w:t>
      </w:r>
      <w:proofErr w:type="spellStart"/>
      <w:r w:rsidRPr="009F6323">
        <w:rPr>
          <w:rFonts w:eastAsia="Calibri" w:cs="Arial"/>
          <w:color w:val="000000" w:themeColor="text1"/>
          <w:sz w:val="24"/>
          <w:szCs w:val="24"/>
          <w:lang w:val="it-IT"/>
        </w:rPr>
        <w:t>LInn</w:t>
      </w:r>
      <w:proofErr w:type="spellEnd"/>
      <w:r w:rsidRPr="009F6323">
        <w:rPr>
          <w:rFonts w:eastAsia="Calibri" w:cs="Arial"/>
          <w:color w:val="000000" w:themeColor="text1"/>
          <w:sz w:val="24"/>
          <w:szCs w:val="24"/>
          <w:lang w:val="it-IT"/>
        </w:rPr>
        <w:t xml:space="preserve"> ha come obiettivo la promozione di strategie e operatività delle imprese per lo sviluppo di nuovi prodotti e servizi, l’adozione di nuove tecnologie e l'innovazione dei modelli d’affari per garantirne la loro competitività. Come evidenziato nel Programma d'attuazione 2020-2023 della politica economica regionale</w:t>
      </w:r>
      <w:r w:rsidRPr="009F6323">
        <w:rPr>
          <w:rFonts w:eastAsia="Calibri" w:cs="Arial"/>
          <w:color w:val="000000" w:themeColor="text1"/>
          <w:sz w:val="24"/>
          <w:szCs w:val="24"/>
          <w:vertAlign w:val="superscript"/>
          <w:lang w:val="it-IT"/>
        </w:rPr>
        <w:footnoteReference w:id="1"/>
      </w:r>
      <w:r w:rsidRPr="009F6323">
        <w:rPr>
          <w:rFonts w:eastAsia="Calibri" w:cs="Arial"/>
          <w:color w:val="000000" w:themeColor="text1"/>
          <w:sz w:val="24"/>
          <w:szCs w:val="24"/>
          <w:lang w:val="it-IT"/>
        </w:rPr>
        <w:t>, negli ultimi anni sono sicuramente migliorate in Ticino le condizioni quadro che favoriscono la nascita e lo sviluppo di attività innovative.</w:t>
      </w: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  <w:lang w:val="it-IT"/>
        </w:rPr>
      </w:pPr>
    </w:p>
    <w:p w:rsidR="00935DF7" w:rsidRPr="009F6323" w:rsidRDefault="00935DF7" w:rsidP="00935DF7">
      <w:pPr>
        <w:rPr>
          <w:rFonts w:eastAsia="Calibri" w:cs="Arial"/>
          <w:bCs/>
          <w:color w:val="000000" w:themeColor="text1"/>
          <w:sz w:val="24"/>
          <w:szCs w:val="24"/>
          <w:lang w:val="it-IT"/>
        </w:rPr>
      </w:pPr>
      <w:r w:rsidRPr="009F6323">
        <w:rPr>
          <w:rFonts w:eastAsia="Calibri" w:cs="Arial"/>
          <w:color w:val="000000" w:themeColor="text1"/>
          <w:sz w:val="24"/>
          <w:szCs w:val="24"/>
          <w:lang w:val="it-IT"/>
        </w:rPr>
        <w:t xml:space="preserve">Lo scopo della legge </w:t>
      </w:r>
      <w:r w:rsidRPr="009F6323">
        <w:rPr>
          <w:rFonts w:eastAsia="Calibri" w:cs="Arial"/>
          <w:bCs/>
          <w:color w:val="000000" w:themeColor="text1"/>
          <w:sz w:val="24"/>
          <w:szCs w:val="24"/>
        </w:rPr>
        <w:t xml:space="preserve">è quello di stimolare e sostenere con aiuti mirati la competitività e la capacità d'innovazione delle aziende e </w:t>
      </w:r>
      <w:r w:rsidRPr="009F6323">
        <w:rPr>
          <w:rFonts w:eastAsia="Calibri" w:cs="Arial"/>
          <w:color w:val="000000" w:themeColor="text1"/>
          <w:sz w:val="24"/>
          <w:szCs w:val="24"/>
        </w:rPr>
        <w:t xml:space="preserve">rappresenta un importante ambito d'intervento per </w:t>
      </w:r>
      <w:r w:rsidRPr="009F6323">
        <w:rPr>
          <w:rFonts w:eastAsia="Calibri" w:cs="Arial"/>
          <w:color w:val="000000" w:themeColor="text1"/>
          <w:sz w:val="24"/>
          <w:szCs w:val="24"/>
        </w:rPr>
        <w:lastRenderedPageBreak/>
        <w:t xml:space="preserve">il Consiglio di Stato (come ben descritto dall'obiettivo 19 del programma di legislatura 2019-2023). </w:t>
      </w:r>
    </w:p>
    <w:p w:rsidR="00935DF7" w:rsidRPr="009F6323" w:rsidRDefault="00935DF7" w:rsidP="00935DF7">
      <w:pPr>
        <w:rPr>
          <w:rFonts w:eastAsia="Calibri" w:cs="Arial"/>
          <w:bCs/>
          <w:color w:val="000000" w:themeColor="text1"/>
          <w:sz w:val="24"/>
          <w:szCs w:val="24"/>
          <w:lang w:val="it-IT"/>
        </w:rPr>
      </w:pP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  <w:lang w:val="it-IT"/>
        </w:rPr>
      </w:pPr>
      <w:r w:rsidRPr="009F6323">
        <w:rPr>
          <w:rFonts w:eastAsia="Calibri" w:cs="Arial"/>
          <w:color w:val="000000" w:themeColor="text1"/>
          <w:sz w:val="24"/>
          <w:szCs w:val="24"/>
          <w:lang w:val="it-IT"/>
        </w:rPr>
        <w:t xml:space="preserve">Per poter ottenere gli aiuti previsti dalla </w:t>
      </w:r>
      <w:proofErr w:type="spellStart"/>
      <w:r w:rsidRPr="009F6323">
        <w:rPr>
          <w:rFonts w:eastAsia="Calibri" w:cs="Arial"/>
          <w:color w:val="000000" w:themeColor="text1"/>
          <w:sz w:val="24"/>
          <w:szCs w:val="24"/>
          <w:lang w:val="it-IT"/>
        </w:rPr>
        <w:t>LInn</w:t>
      </w:r>
      <w:proofErr w:type="spellEnd"/>
      <w:r w:rsidRPr="009F6323">
        <w:rPr>
          <w:rFonts w:eastAsia="Calibri" w:cs="Arial"/>
          <w:color w:val="000000" w:themeColor="text1"/>
          <w:sz w:val="24"/>
          <w:szCs w:val="24"/>
          <w:lang w:val="it-IT"/>
        </w:rPr>
        <w:t xml:space="preserve">, le imprese devono superare i criteri d'accesso e oltrepassare una valutazione della validità dei progetti che dovranno essere sostenibili e innovativi. Se i progetti avranno esiti positivi si determinerà il valore che generano per il territorio con attenzione ai principi dello </w:t>
      </w:r>
      <w:r w:rsidRPr="009F6323">
        <w:rPr>
          <w:rFonts w:eastAsia="Calibri" w:cs="Arial"/>
          <w:bCs/>
          <w:color w:val="000000" w:themeColor="text1"/>
          <w:sz w:val="24"/>
          <w:szCs w:val="24"/>
        </w:rPr>
        <w:t>sviluppo sostenibile, dell'uso parsimonioso del suolo e della responsabilità sociale delle imprese (</w:t>
      </w:r>
      <w:r w:rsidRPr="009F6323">
        <w:rPr>
          <w:rFonts w:eastAsia="Calibri" w:cs="Arial"/>
          <w:color w:val="000000" w:themeColor="text1"/>
          <w:sz w:val="24"/>
          <w:szCs w:val="24"/>
        </w:rPr>
        <w:t xml:space="preserve">il tutto inserito in maniera coerente e coordinata). </w:t>
      </w: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spacing w:line="276" w:lineRule="auto"/>
        <w:rPr>
          <w:rFonts w:eastAsia="Calibri" w:cs="Arial"/>
          <w:color w:val="000000" w:themeColor="text1"/>
          <w:sz w:val="24"/>
          <w:szCs w:val="24"/>
        </w:rPr>
      </w:pPr>
    </w:p>
    <w:p w:rsidR="00935DF7" w:rsidRPr="00935DF7" w:rsidRDefault="00935DF7" w:rsidP="00935DF7">
      <w:pPr>
        <w:pStyle w:val="Titolo1"/>
        <w:numPr>
          <w:ilvl w:val="0"/>
          <w:numId w:val="18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935DF7">
        <w:rPr>
          <w:rFonts w:eastAsia="Calibri" w:cs="Times New Roman"/>
          <w:caps/>
          <w:sz w:val="24"/>
          <w:szCs w:val="24"/>
          <w:lang w:val="it-IT" w:eastAsia="it-IT"/>
        </w:rPr>
        <w:t>LICENZIAMENTO COLLETTIVO</w:t>
      </w: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 xml:space="preserve">In risposta all’iniziativa parlamentare in oggetto, si sottolinea che la </w:t>
      </w:r>
      <w:proofErr w:type="spellStart"/>
      <w:r w:rsidRPr="009F6323">
        <w:rPr>
          <w:rFonts w:eastAsia="Calibri" w:cs="Arial"/>
          <w:color w:val="000000" w:themeColor="text1"/>
          <w:sz w:val="24"/>
          <w:szCs w:val="24"/>
        </w:rPr>
        <w:t>LInn</w:t>
      </w:r>
      <w:proofErr w:type="spellEnd"/>
      <w:r w:rsidRPr="009F6323">
        <w:rPr>
          <w:rFonts w:eastAsia="Calibri" w:cs="Arial"/>
          <w:color w:val="000000" w:themeColor="text1"/>
          <w:sz w:val="24"/>
          <w:szCs w:val="24"/>
        </w:rPr>
        <w:t xml:space="preserve"> </w:t>
      </w:r>
      <w:r w:rsidRPr="009F6323">
        <w:rPr>
          <w:rFonts w:eastAsia="Calibri" w:cs="Arial"/>
          <w:bCs/>
          <w:color w:val="000000" w:themeColor="text1"/>
          <w:sz w:val="24"/>
          <w:szCs w:val="24"/>
        </w:rPr>
        <w:t xml:space="preserve">non sia una Legge pensata per regolare il mercato del lavoro bensì per stimolare l’innovazione ed è diventata uno dei tasselli di una più ampia politica dell’innovazione, alla quale contribuiscono </w:t>
      </w:r>
      <w:r w:rsidRPr="009F6323">
        <w:rPr>
          <w:rFonts w:eastAsia="Calibri" w:cs="Arial"/>
          <w:color w:val="000000" w:themeColor="text1"/>
          <w:sz w:val="24"/>
          <w:szCs w:val="24"/>
        </w:rPr>
        <w:t>in maniera importante vari attori istituzionali e privati, come pure altre politiche e leggi settoriali, quali la politica economica regionale, la politica fiscale, la politica della formazione e della ricerca, e quella dello sviluppo territoriale.</w:t>
      </w: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 xml:space="preserve">Per questo motivo la commissione non può che condividere la premessa del Consiglio di Stato, volta a ricordare come le fluttuazioni del personale facciano parte del normale corso di vita di un’azienda e le stesse possano essere motivate da un </w:t>
      </w:r>
      <w:proofErr w:type="spellStart"/>
      <w:r w:rsidRPr="009F6323">
        <w:rPr>
          <w:rFonts w:eastAsia="Calibri" w:cs="Arial"/>
          <w:color w:val="000000" w:themeColor="text1"/>
          <w:sz w:val="24"/>
          <w:szCs w:val="24"/>
        </w:rPr>
        <w:t>riorientamento</w:t>
      </w:r>
      <w:proofErr w:type="spellEnd"/>
      <w:r w:rsidRPr="009F6323">
        <w:rPr>
          <w:rFonts w:eastAsia="Calibri" w:cs="Arial"/>
          <w:color w:val="000000" w:themeColor="text1"/>
          <w:sz w:val="24"/>
          <w:szCs w:val="24"/>
        </w:rPr>
        <w:t xml:space="preserve"> che sposta l’attività su nuovi prodotti o mercati, che permette di garantire la continuità aziendale o la creazione di nuovi posti di lavoro ad alto valore aggiunto.</w:t>
      </w: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>I motivi che portano a licenziamenti collettivi sono legati a cause di riduzione o trasformazione dell’attività dell’impresa o soppressione di una unità produttiva.</w:t>
      </w: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 xml:space="preserve">Le cause principali che portano le aziende al licenziamento collettivo sono principalmente di tipo: </w:t>
      </w:r>
    </w:p>
    <w:p w:rsidR="00935DF7" w:rsidRPr="009F6323" w:rsidRDefault="00935DF7" w:rsidP="00935DF7">
      <w:pPr>
        <w:numPr>
          <w:ilvl w:val="0"/>
          <w:numId w:val="19"/>
        </w:numPr>
        <w:tabs>
          <w:tab w:val="clear" w:pos="720"/>
          <w:tab w:val="num" w:pos="284"/>
          <w:tab w:val="num" w:pos="426"/>
        </w:tabs>
        <w:spacing w:before="120"/>
        <w:ind w:left="284" w:hanging="284"/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>economico, quando i risultati dell'azienda mostrano una situazione economica negativa;</w:t>
      </w:r>
    </w:p>
    <w:p w:rsidR="00935DF7" w:rsidRPr="009F6323" w:rsidRDefault="00935DF7" w:rsidP="00935DF7">
      <w:pPr>
        <w:numPr>
          <w:ilvl w:val="0"/>
          <w:numId w:val="19"/>
        </w:numPr>
        <w:tabs>
          <w:tab w:val="clear" w:pos="720"/>
          <w:tab w:val="num" w:pos="284"/>
          <w:tab w:val="num" w:pos="426"/>
        </w:tabs>
        <w:spacing w:before="120"/>
        <w:ind w:left="284" w:hanging="284"/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>tecnico, quando ci sono cambiamenti nei mezzi e negli strumenti di produzione;</w:t>
      </w:r>
    </w:p>
    <w:p w:rsidR="00935DF7" w:rsidRPr="009F6323" w:rsidRDefault="00935DF7" w:rsidP="00935DF7">
      <w:pPr>
        <w:numPr>
          <w:ilvl w:val="0"/>
          <w:numId w:val="19"/>
        </w:numPr>
        <w:tabs>
          <w:tab w:val="clear" w:pos="720"/>
          <w:tab w:val="num" w:pos="284"/>
          <w:tab w:val="num" w:pos="426"/>
        </w:tabs>
        <w:spacing w:before="120"/>
        <w:ind w:left="284" w:hanging="284"/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>produttivo; quando ci sono cambiamenti nella domanda;</w:t>
      </w:r>
    </w:p>
    <w:p w:rsidR="00935DF7" w:rsidRPr="009F6323" w:rsidRDefault="00935DF7" w:rsidP="00935DF7">
      <w:pPr>
        <w:numPr>
          <w:ilvl w:val="0"/>
          <w:numId w:val="19"/>
        </w:numPr>
        <w:tabs>
          <w:tab w:val="clear" w:pos="720"/>
          <w:tab w:val="num" w:pos="284"/>
          <w:tab w:val="num" w:pos="426"/>
        </w:tabs>
        <w:spacing w:before="120"/>
        <w:ind w:left="284" w:hanging="284"/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>organizzativo; quando ci sono cambiamenti nei sistemi di lavoro in azienda.</w:t>
      </w:r>
    </w:p>
    <w:p w:rsidR="00935DF7" w:rsidRPr="009F6323" w:rsidRDefault="00935DF7" w:rsidP="00935DF7">
      <w:pPr>
        <w:tabs>
          <w:tab w:val="num" w:pos="284"/>
        </w:tabs>
        <w:ind w:left="284" w:hanging="284"/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 xml:space="preserve">Dopo la pandemia e con la guerra in corso si può aggiungere una causa di forza travolgente che crea una situazione che, indipendentemente dalla condizione dell’azienda, lo potrebbero richiedere. </w:t>
      </w: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 xml:space="preserve">L'esame commissionale ha permesso di appurare come già da tempo, malgrado la </w:t>
      </w:r>
      <w:proofErr w:type="spellStart"/>
      <w:r w:rsidRPr="009F6323">
        <w:rPr>
          <w:rFonts w:eastAsia="Calibri" w:cs="Arial"/>
          <w:color w:val="000000" w:themeColor="text1"/>
          <w:sz w:val="24"/>
          <w:szCs w:val="24"/>
        </w:rPr>
        <w:t>LInn</w:t>
      </w:r>
      <w:proofErr w:type="spellEnd"/>
      <w:r w:rsidRPr="009F6323">
        <w:rPr>
          <w:rFonts w:eastAsia="Calibri" w:cs="Arial"/>
          <w:color w:val="000000" w:themeColor="text1"/>
          <w:sz w:val="24"/>
          <w:szCs w:val="24"/>
        </w:rPr>
        <w:t xml:space="preserve"> non sia una legge a tutela del mercato del lavoro, l'intero suo corpus legislativo (legge, regolamento, decreti esecutivi e direttive) sia stato interessato da diverse modifiche, approvate ogni volta a larga maggioranza, volte ad accrescere la tutela dell’occupazione, specie residente, nelle aziende che beneficiano di un sussidio (si vedano in particolare i messaggi n. 7060, 7557 e 7768 e i relativi rapporti commissionali).</w:t>
      </w:r>
      <w:r>
        <w:rPr>
          <w:rFonts w:eastAsia="Calibri" w:cs="Arial"/>
          <w:color w:val="000000" w:themeColor="text1"/>
          <w:sz w:val="24"/>
          <w:szCs w:val="24"/>
        </w:rPr>
        <w:t xml:space="preserve"> </w:t>
      </w:r>
    </w:p>
    <w:p w:rsidR="00935DF7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lastRenderedPageBreak/>
        <w:t xml:space="preserve">La Commissione ha preso atto che con il diritto attuale è già dato un rapporto tra sostegno a progetti e licenziamenti. In particolare, ad ogni notizia di licenziamenti operati da aziende che hanno beneficiato di un contributo ai sensi della </w:t>
      </w:r>
      <w:proofErr w:type="spellStart"/>
      <w:r w:rsidRPr="009F6323">
        <w:rPr>
          <w:rFonts w:eastAsia="Calibri" w:cs="Arial"/>
          <w:color w:val="000000" w:themeColor="text1"/>
          <w:sz w:val="24"/>
          <w:szCs w:val="24"/>
        </w:rPr>
        <w:t>LInn</w:t>
      </w:r>
      <w:proofErr w:type="spellEnd"/>
      <w:r w:rsidRPr="009F6323">
        <w:rPr>
          <w:rFonts w:eastAsia="Calibri" w:cs="Arial"/>
          <w:color w:val="000000" w:themeColor="text1"/>
          <w:sz w:val="24"/>
          <w:szCs w:val="24"/>
        </w:rPr>
        <w:t>, indipendentemente dal carattere "collettivo" o meno delle disdette, i servizi cantonali verificano se le riduzioni del personale annunciate modifichino o meno la natura dei progetti d’innovazione a cui è stato concesso un sussidio. Nel caso in cui i licenziamenti dovessero toccare reparti aziendali oggetto del sussidio, l'azienda beneficiaria può incorrere in una decisione di revoca e restituzione del contributo, essendo venuti a cadere i presupposti sulla base dei quali lo stesso è stato concesso. Il diritto vigente si spinge dunque parzialmente oltre rispetto alla richiesta dell’iniziativa parlamentare, visto che sono sanzionabili anche licenziamenti non collettivi e indipendentemente dai risultati economici conseguiti dall’azienda in questione.</w:t>
      </w: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 xml:space="preserve">Il voler introdurre un legame diretto tra aiuti ai sensi della </w:t>
      </w:r>
      <w:proofErr w:type="spellStart"/>
      <w:r w:rsidRPr="009F6323">
        <w:rPr>
          <w:rFonts w:eastAsia="Calibri" w:cs="Arial"/>
          <w:color w:val="000000" w:themeColor="text1"/>
          <w:sz w:val="24"/>
          <w:szCs w:val="24"/>
        </w:rPr>
        <w:t>LInn</w:t>
      </w:r>
      <w:proofErr w:type="spellEnd"/>
      <w:r w:rsidRPr="009F6323">
        <w:rPr>
          <w:rFonts w:eastAsia="Calibri" w:cs="Arial"/>
          <w:color w:val="000000" w:themeColor="text1"/>
          <w:sz w:val="24"/>
          <w:szCs w:val="24"/>
        </w:rPr>
        <w:t xml:space="preserve"> e la nozione di licenziamento collettivo, regolato dal codice delle obbligazioni (CO) all'art. 335d e seguenti, risulta inappropriato. Basti pensare che, per appurare l'eventuale adempimento dei criteri dei licenziamenti collettivi sarebbe necessaria una sentenza definitiva del giudice civile: non spetta infatti al Consiglio di Stato determinare la natura giuridica di un licenziamento.</w:t>
      </w:r>
    </w:p>
    <w:p w:rsidR="00935DF7" w:rsidRPr="009F6323" w:rsidRDefault="00935DF7" w:rsidP="00935DF7">
      <w:pPr>
        <w:spacing w:line="276" w:lineRule="auto"/>
        <w:rPr>
          <w:rFonts w:eastAsia="Calibri" w:cs="Arial"/>
          <w:color w:val="000000" w:themeColor="text1"/>
          <w:sz w:val="24"/>
          <w:szCs w:val="24"/>
        </w:rPr>
      </w:pPr>
    </w:p>
    <w:p w:rsidR="00935DF7" w:rsidRDefault="00935DF7" w:rsidP="00935DF7">
      <w:pPr>
        <w:spacing w:line="276" w:lineRule="auto"/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spacing w:line="276" w:lineRule="auto"/>
        <w:rPr>
          <w:rFonts w:eastAsia="Calibri" w:cs="Arial"/>
          <w:color w:val="000000" w:themeColor="text1"/>
          <w:sz w:val="24"/>
          <w:szCs w:val="24"/>
        </w:rPr>
      </w:pPr>
    </w:p>
    <w:p w:rsidR="00935DF7" w:rsidRPr="00935DF7" w:rsidRDefault="00935DF7" w:rsidP="00935DF7">
      <w:pPr>
        <w:pStyle w:val="Titolo1"/>
        <w:numPr>
          <w:ilvl w:val="0"/>
          <w:numId w:val="18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935DF7">
        <w:rPr>
          <w:rFonts w:eastAsia="Calibri" w:cs="Times New Roman"/>
          <w:caps/>
          <w:sz w:val="24"/>
          <w:szCs w:val="24"/>
          <w:lang w:val="it-IT" w:eastAsia="it-IT"/>
        </w:rPr>
        <w:t>RESPONSABILITÀ SOCIALE DELLE IMPRESE DEL CANTONE</w:t>
      </w: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>In questi anni il Cantone, in particolare il Dipartimento delle finanze e dell'economia, ha fatto della responsabilità sociale delle imprese un ambito importante della sua azione, mettendo in campo una serie di misure concrete per promuoverla e incentivarla tra le aziende e i cittadini, anche grazie al supporto del Gruppo CSR Ticino (</w:t>
      </w:r>
      <w:r w:rsidRPr="009F6323">
        <w:rPr>
          <w:rFonts w:eastAsia="Calibri" w:cs="Arial"/>
          <w:i/>
          <w:iCs/>
          <w:color w:val="000000" w:themeColor="text1"/>
          <w:sz w:val="24"/>
          <w:szCs w:val="24"/>
        </w:rPr>
        <w:t xml:space="preserve">Corporate Social </w:t>
      </w:r>
      <w:proofErr w:type="spellStart"/>
      <w:r w:rsidRPr="009F6323">
        <w:rPr>
          <w:rFonts w:eastAsia="Calibri" w:cs="Arial"/>
          <w:i/>
          <w:iCs/>
          <w:color w:val="000000" w:themeColor="text1"/>
          <w:sz w:val="24"/>
          <w:szCs w:val="24"/>
        </w:rPr>
        <w:t>Responsibility</w:t>
      </w:r>
      <w:proofErr w:type="spellEnd"/>
      <w:r w:rsidRPr="009F6323">
        <w:rPr>
          <w:rFonts w:eastAsia="Calibri" w:cs="Arial"/>
          <w:color w:val="000000" w:themeColor="text1"/>
          <w:sz w:val="24"/>
          <w:szCs w:val="24"/>
        </w:rPr>
        <w:t>), promosso dalla Divisione dell'economia e di cui fanno parte la Camera di commercio, dell'industria, dell'artigianato e dei servizi del Cantone Ticino, l'Associazione industrie ticinesi, l'Associazione Bancaria Ticinese e la Scuola universitaria professionale della Svizzera italiana</w:t>
      </w:r>
      <w:r w:rsidRPr="009F6323">
        <w:rPr>
          <w:rFonts w:eastAsia="Calibri" w:cs="Arial"/>
          <w:color w:val="000000" w:themeColor="text1"/>
          <w:sz w:val="24"/>
          <w:szCs w:val="24"/>
          <w:vertAlign w:val="superscript"/>
        </w:rPr>
        <w:footnoteReference w:id="2"/>
      </w:r>
      <w:r w:rsidRPr="009F6323">
        <w:rPr>
          <w:rFonts w:eastAsia="Calibri" w:cs="Arial"/>
          <w:color w:val="000000" w:themeColor="text1"/>
          <w:sz w:val="24"/>
          <w:szCs w:val="24"/>
        </w:rPr>
        <w:t>.</w:t>
      </w: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 xml:space="preserve">Già nel 2016 il Tavolo di lavoro sull'economia ticinese aveva individuato nello sviluppo sostenibile una delle piste da seguire per favorire una crescita sostenibile e duratura dell'economia cantonale. </w:t>
      </w: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>Si ricorda che la responsabilità sociale delle imprese è il contributo delle aziende allo sviluppo sostenibile.</w:t>
      </w: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 xml:space="preserve">Gli esempi di applicazione pratica sono molteplici: in primis il rapporto di sostenibilità semplificato, uno strumento concreto che aiuta le piccole e medie imprese ad allestire un rendiconto sull’impatto sociale e ambientale della loro attività, mettendo in evidenza le molte buone pratiche che già attuano, dalla possibilità, ad esempio, data ai propri dipendenti di fare telelavoro, alle sponsorizzazioni ad enti o associazioni del territorio, all’utilizzo di energia da fonti rinnovabili. Il Dipartimento delle finanze e dell'economia – in collaborazione con la Camera di commercio dell’industria, dell’artigianato e dei servizi del Cantone Ticino e con il supporto scientifico della Scuola universitaria professionale della Svizzera italiana – ne ha sviluppato un </w:t>
      </w:r>
      <w:hyperlink r:id="rId11" w:history="1">
        <w:r w:rsidRPr="009F6323">
          <w:rPr>
            <w:rStyle w:val="Collegamentoipertestuale"/>
            <w:rFonts w:eastAsia="Calibri" w:cs="Arial"/>
            <w:sz w:val="24"/>
            <w:szCs w:val="24"/>
          </w:rPr>
          <w:t>modello facilmente accessibile online</w:t>
        </w:r>
      </w:hyperlink>
      <w:r w:rsidRPr="009F6323">
        <w:rPr>
          <w:rFonts w:eastAsia="Calibri" w:cs="Arial"/>
          <w:color w:val="000000" w:themeColor="text1"/>
          <w:sz w:val="24"/>
          <w:szCs w:val="24"/>
        </w:rPr>
        <w:t xml:space="preserve">. </w:t>
      </w:r>
      <w:r w:rsidRPr="009F6323">
        <w:rPr>
          <w:rFonts w:eastAsia="Calibri" w:cs="Arial"/>
          <w:color w:val="000000" w:themeColor="text1"/>
          <w:sz w:val="24"/>
          <w:szCs w:val="24"/>
        </w:rPr>
        <w:lastRenderedPageBreak/>
        <w:t xml:space="preserve">Recentemente, tra l’altro, è stato organizzato un </w:t>
      </w:r>
      <w:hyperlink r:id="rId12" w:history="1">
        <w:r w:rsidRPr="009F6323">
          <w:rPr>
            <w:rStyle w:val="Collegamentoipertestuale"/>
            <w:rFonts w:eastAsia="Calibri" w:cs="Arial"/>
            <w:sz w:val="24"/>
            <w:szCs w:val="24"/>
          </w:rPr>
          <w:t>evento</w:t>
        </w:r>
      </w:hyperlink>
      <w:r w:rsidRPr="009F6323">
        <w:rPr>
          <w:rFonts w:eastAsia="Calibri" w:cs="Arial"/>
          <w:color w:val="000000" w:themeColor="text1"/>
          <w:sz w:val="24"/>
          <w:szCs w:val="24"/>
        </w:rPr>
        <w:t xml:space="preserve"> per spiegare alle aziende ticinesi come utilizzare al meglio questo strumento e per sensibilizzarle sull’importanza di far emergere maggiormente le buone pratiche.</w:t>
      </w:r>
      <w:r>
        <w:rPr>
          <w:rFonts w:eastAsia="Calibri" w:cs="Arial"/>
          <w:color w:val="000000" w:themeColor="text1"/>
          <w:sz w:val="24"/>
          <w:szCs w:val="24"/>
        </w:rPr>
        <w:t xml:space="preserve"> </w:t>
      </w:r>
    </w:p>
    <w:p w:rsidR="00935DF7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 xml:space="preserve">Il Dipartimento delle finanze e dell'economia si è inoltre adoperato affinché il rapporto di sostenibilità semplificato potesse essere dichiarato conforme dalla Camera di commercio e utilizzato in maniera agevolata anche nelle procedure di pubblici concorsi. La responsabilità sociale delle imprese è infatti stata concretizzata quale </w:t>
      </w:r>
      <w:hyperlink r:id="rId13" w:history="1">
        <w:r w:rsidRPr="009F6323">
          <w:rPr>
            <w:rStyle w:val="Collegamentoipertestuale"/>
            <w:rFonts w:eastAsia="Calibri" w:cs="Arial"/>
            <w:sz w:val="24"/>
            <w:szCs w:val="24"/>
          </w:rPr>
          <w:t>criterio di aggiudicazione previsto dalla Legge sulle commesse pubbliche</w:t>
        </w:r>
      </w:hyperlink>
      <w:r w:rsidRPr="009F6323">
        <w:rPr>
          <w:rFonts w:eastAsia="Calibri" w:cs="Arial"/>
          <w:color w:val="000000" w:themeColor="text1"/>
          <w:sz w:val="24"/>
          <w:szCs w:val="24"/>
        </w:rPr>
        <w:t>, con la volontà di premiare le aziende particolarmente responsabili in ambito economico, sociale e ambientale.</w:t>
      </w: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 xml:space="preserve">Tra le diverse iniziative che il Dipartimento delle finanze e dell'economia porta avanti nell’ambito della responsabilità sociale delle imprese, occorre ricordare anche l'introduzione di un </w:t>
      </w:r>
      <w:hyperlink r:id="rId14" w:history="1">
        <w:r w:rsidRPr="009F6323">
          <w:rPr>
            <w:rStyle w:val="Collegamentoipertestuale"/>
            <w:rFonts w:eastAsia="Calibri" w:cs="Arial"/>
            <w:sz w:val="24"/>
            <w:szCs w:val="24"/>
          </w:rPr>
          <w:t>sostegno diretto alle imprese che intendono investire nella formazione di un responsabile aziendale CSR</w:t>
        </w:r>
      </w:hyperlink>
      <w:r w:rsidRPr="009F6323">
        <w:rPr>
          <w:rFonts w:eastAsia="Calibri" w:cs="Arial"/>
          <w:color w:val="000000" w:themeColor="text1"/>
          <w:sz w:val="24"/>
          <w:szCs w:val="24"/>
        </w:rPr>
        <w:t>. Questa misura aiuta le aziende a dotarsi internamente di quelle competenze necessarie per mettere in atto ulteriori buone pratiche.</w:t>
      </w: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 xml:space="preserve">Nell'ambito della valutazione della concessione dei sussidi ai sensi della </w:t>
      </w:r>
      <w:proofErr w:type="spellStart"/>
      <w:r w:rsidRPr="009F6323">
        <w:rPr>
          <w:rFonts w:eastAsia="Calibri" w:cs="Arial"/>
          <w:color w:val="000000" w:themeColor="text1"/>
          <w:sz w:val="24"/>
          <w:szCs w:val="24"/>
        </w:rPr>
        <w:t>LInn</w:t>
      </w:r>
      <w:proofErr w:type="spellEnd"/>
      <w:r w:rsidRPr="009F6323">
        <w:rPr>
          <w:rFonts w:eastAsia="Calibri" w:cs="Arial"/>
          <w:color w:val="000000" w:themeColor="text1"/>
          <w:sz w:val="24"/>
          <w:szCs w:val="24"/>
        </w:rPr>
        <w:t>, viene già tenuto conto dei criteri di sostenibilità, perciò questo principio è già contemplato.</w:t>
      </w: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 xml:space="preserve">Per quanto concerne la preferenza indigena nell'assunzione di lavoratori, occorre ricordare che la responsabilità sociale delle imprese è caratterizzata dalle buone pratiche che vanno al di là degli obblighi legali e che la logica è quella di premiare chi si distingue in bene e non quella invece di punire e sanzionare gli altri. </w:t>
      </w:r>
    </w:p>
    <w:p w:rsidR="00935DF7" w:rsidRPr="009F6323" w:rsidRDefault="00935DF7" w:rsidP="00935DF7">
      <w:pPr>
        <w:spacing w:line="276" w:lineRule="auto"/>
        <w:rPr>
          <w:rFonts w:eastAsia="Calibri" w:cs="Arial"/>
          <w:color w:val="000000" w:themeColor="text1"/>
          <w:sz w:val="24"/>
          <w:szCs w:val="24"/>
        </w:rPr>
      </w:pPr>
    </w:p>
    <w:p w:rsidR="00935DF7" w:rsidRDefault="00935DF7" w:rsidP="00935DF7">
      <w:pPr>
        <w:spacing w:line="276" w:lineRule="auto"/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spacing w:line="276" w:lineRule="auto"/>
        <w:rPr>
          <w:rFonts w:eastAsia="Calibri" w:cs="Arial"/>
          <w:color w:val="000000" w:themeColor="text1"/>
          <w:sz w:val="24"/>
          <w:szCs w:val="24"/>
        </w:rPr>
      </w:pPr>
    </w:p>
    <w:p w:rsidR="00935DF7" w:rsidRPr="00935DF7" w:rsidRDefault="00935DF7" w:rsidP="00935DF7">
      <w:pPr>
        <w:pStyle w:val="Titolo1"/>
        <w:numPr>
          <w:ilvl w:val="0"/>
          <w:numId w:val="18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935DF7">
        <w:rPr>
          <w:rFonts w:eastAsia="Calibri" w:cs="Times New Roman"/>
          <w:caps/>
          <w:sz w:val="24"/>
          <w:szCs w:val="24"/>
          <w:lang w:val="it-IT" w:eastAsia="it-IT"/>
        </w:rPr>
        <w:t>CONCLUSIONE</w:t>
      </w:r>
    </w:p>
    <w:p w:rsidR="00935DF7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 xml:space="preserve">La </w:t>
      </w:r>
      <w:proofErr w:type="spellStart"/>
      <w:r w:rsidRPr="009F6323">
        <w:rPr>
          <w:rFonts w:eastAsia="Calibri" w:cs="Arial"/>
          <w:color w:val="000000" w:themeColor="text1"/>
          <w:sz w:val="24"/>
          <w:szCs w:val="24"/>
        </w:rPr>
        <w:t>LInn</w:t>
      </w:r>
      <w:proofErr w:type="spellEnd"/>
      <w:r w:rsidRPr="009F6323">
        <w:rPr>
          <w:rFonts w:eastAsia="Calibri" w:cs="Arial"/>
          <w:color w:val="000000" w:themeColor="text1"/>
          <w:sz w:val="24"/>
          <w:szCs w:val="24"/>
        </w:rPr>
        <w:t xml:space="preserve"> è - e deve rimanere - una legge a sostegno di progetti di innovazione delle imprese ticinesi. Occorre invece fare attenzione a non attribuire allo strumento della Legge per l'innovazione economica ruoli che oggettivamente non può avere, oltretutto essendo i sussidi rivolti a una cerchia limitata di aziende. Malgrado la </w:t>
      </w:r>
      <w:proofErr w:type="spellStart"/>
      <w:r w:rsidRPr="009F6323">
        <w:rPr>
          <w:rFonts w:eastAsia="Calibri" w:cs="Arial"/>
          <w:color w:val="000000" w:themeColor="text1"/>
          <w:sz w:val="24"/>
          <w:szCs w:val="24"/>
        </w:rPr>
        <w:t>LInn</w:t>
      </w:r>
      <w:proofErr w:type="spellEnd"/>
      <w:r w:rsidRPr="009F6323">
        <w:rPr>
          <w:rFonts w:eastAsia="Calibri" w:cs="Arial"/>
          <w:color w:val="000000" w:themeColor="text1"/>
          <w:sz w:val="24"/>
          <w:szCs w:val="24"/>
        </w:rPr>
        <w:t xml:space="preserve"> contenga anche principi di sviluppo sostenibile, essa non è una legge sulla responsabilità sociale delle imprese. Parimenti, il fatto che la legge si ispiri al principio dell'uso parsimonioso del suolo non la rende una legge sullo sviluppo territoriale. </w:t>
      </w:r>
    </w:p>
    <w:p w:rsidR="00935DF7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 xml:space="preserve">La presenza di criteri di ammissibilità delle richieste basati sulla percentuale di personale residente e sui salari, non ne fa neppure una legge sul mercato del lavoro. Il fine ultimo di questa Legge è quello di stimolare e sostenere la competitività e la capacità d'innovazione delle nostre aziende. Obiettivi affini alla sostenibilità, al rispetto dell’ambiente e alle condizioni lavorative sono importanti e concorrono a favorire una crescita non solo quantitativa, ma anche qualitativa. Risultano però obiettivi che vanno perseguiti in primo luogo nell’ambito delle relative politiche settoriali. </w:t>
      </w: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 w:rsidRPr="006A52E2">
        <w:rPr>
          <w:rFonts w:eastAsia="Calibri" w:cs="Arial"/>
          <w:color w:val="000000" w:themeColor="text1"/>
          <w:sz w:val="24"/>
          <w:szCs w:val="24"/>
        </w:rPr>
        <w:t xml:space="preserve">Come specificato nel capitolo 3 del presente rapporto, la Commissione ritiene di rimarcare l'importanza del monitoraggio sui presupposti che l'azienda beneficiaria deve rispettare in merito agli eventuali licenziamenti nel periodo ai sensi dalla </w:t>
      </w:r>
      <w:proofErr w:type="spellStart"/>
      <w:r w:rsidRPr="006A52E2">
        <w:rPr>
          <w:rFonts w:eastAsia="Calibri" w:cs="Arial"/>
          <w:color w:val="000000" w:themeColor="text1"/>
          <w:sz w:val="24"/>
          <w:szCs w:val="24"/>
        </w:rPr>
        <w:t>LInn</w:t>
      </w:r>
      <w:proofErr w:type="spellEnd"/>
      <w:r w:rsidRPr="006A52E2">
        <w:rPr>
          <w:rFonts w:eastAsia="Calibri" w:cs="Arial"/>
          <w:color w:val="000000" w:themeColor="text1"/>
          <w:sz w:val="24"/>
          <w:szCs w:val="24"/>
        </w:rPr>
        <w:t xml:space="preserve">, indipendentemente dal carattere collettivo o meno delle disdette; evidentemente se le riduzioni del personale </w:t>
      </w:r>
      <w:r w:rsidRPr="006A52E2">
        <w:rPr>
          <w:rFonts w:eastAsia="Calibri" w:cs="Arial"/>
          <w:color w:val="000000" w:themeColor="text1"/>
          <w:sz w:val="24"/>
          <w:szCs w:val="24"/>
        </w:rPr>
        <w:lastRenderedPageBreak/>
        <w:t>annunciate dovessero modificare – o meno – la natura dei progetti d'innovazione a cui è stato concesso un sussidio.</w:t>
      </w:r>
      <w:r w:rsidRPr="009F6323">
        <w:rPr>
          <w:rFonts w:eastAsia="Calibri" w:cs="Arial"/>
          <w:color w:val="000000" w:themeColor="text1"/>
          <w:sz w:val="24"/>
          <w:szCs w:val="24"/>
        </w:rPr>
        <w:t xml:space="preserve"> </w:t>
      </w: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 w:rsidRPr="009F6323">
        <w:rPr>
          <w:rFonts w:eastAsia="Calibri" w:cs="Arial"/>
          <w:color w:val="000000" w:themeColor="text1"/>
          <w:sz w:val="24"/>
          <w:szCs w:val="24"/>
        </w:rPr>
        <w:t>Si rileva comunque che, nell'ambito degli aspetti innovativi, già oggi sono previsti criteri d'accesso e da rispettare fino a dieci anni dalla concessione del sussidio, a tutela della manodopera (salari, personale residente, parità salariale uomo-donna).</w:t>
      </w: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>Fatte queste considerazioni</w:t>
      </w:r>
      <w:r w:rsidRPr="009F6323">
        <w:rPr>
          <w:rFonts w:eastAsia="Calibri" w:cs="Arial"/>
          <w:color w:val="000000" w:themeColor="text1"/>
          <w:sz w:val="24"/>
          <w:szCs w:val="24"/>
        </w:rPr>
        <w:t xml:space="preserve">, la </w:t>
      </w:r>
      <w:r>
        <w:rPr>
          <w:rFonts w:eastAsia="Calibri" w:cs="Arial"/>
          <w:color w:val="000000" w:themeColor="text1"/>
          <w:sz w:val="24"/>
          <w:szCs w:val="24"/>
        </w:rPr>
        <w:t>maggioranza della Commissione economia e lavoro</w:t>
      </w:r>
      <w:r w:rsidRPr="009F6323">
        <w:rPr>
          <w:rFonts w:eastAsia="Calibri" w:cs="Arial"/>
          <w:color w:val="000000" w:themeColor="text1"/>
          <w:sz w:val="24"/>
          <w:szCs w:val="24"/>
        </w:rPr>
        <w:t xml:space="preserve"> invita a respingere l'iniziativa parlamentare elaborata 583.</w:t>
      </w:r>
    </w:p>
    <w:p w:rsidR="00935DF7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Pr="009F6323" w:rsidRDefault="00935DF7" w:rsidP="00935DF7">
      <w:pPr>
        <w:rPr>
          <w:rFonts w:eastAsia="Calibri" w:cs="Arial"/>
          <w:color w:val="000000" w:themeColor="text1"/>
          <w:sz w:val="24"/>
          <w:szCs w:val="24"/>
        </w:rPr>
      </w:pPr>
    </w:p>
    <w:p w:rsidR="00935DF7" w:rsidRDefault="00935DF7" w:rsidP="00935DF7">
      <w:pPr>
        <w:spacing w:after="120"/>
        <w:rPr>
          <w:rFonts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>Per la maggioranza della Commissione economia e l</w:t>
      </w:r>
      <w:r w:rsidRPr="009F6323">
        <w:rPr>
          <w:rFonts w:eastAsia="Calibri" w:cs="Arial"/>
          <w:color w:val="000000" w:themeColor="text1"/>
          <w:sz w:val="24"/>
          <w:szCs w:val="24"/>
        </w:rPr>
        <w:t>avoro</w:t>
      </w:r>
      <w:r>
        <w:rPr>
          <w:rFonts w:eastAsia="Calibri" w:cs="Arial"/>
          <w:color w:val="000000" w:themeColor="text1"/>
          <w:sz w:val="24"/>
          <w:szCs w:val="24"/>
        </w:rPr>
        <w:t>:</w:t>
      </w:r>
    </w:p>
    <w:p w:rsidR="00935DF7" w:rsidRPr="00223491" w:rsidRDefault="00935DF7" w:rsidP="00935DF7">
      <w:pPr>
        <w:rPr>
          <w:rFonts w:eastAsia="Calibri" w:cs="Times New Roman"/>
          <w:sz w:val="24"/>
        </w:rPr>
      </w:pPr>
      <w:r w:rsidRPr="00223491">
        <w:rPr>
          <w:rFonts w:eastAsia="Calibri" w:cs="Times New Roman"/>
          <w:sz w:val="24"/>
        </w:rPr>
        <w:t>Roberta Passardi</w:t>
      </w:r>
      <w:r>
        <w:rPr>
          <w:rFonts w:eastAsia="Calibri" w:cs="Times New Roman"/>
          <w:sz w:val="24"/>
        </w:rPr>
        <w:t>, relatrice</w:t>
      </w:r>
    </w:p>
    <w:p w:rsidR="004B6529" w:rsidRDefault="004B6529" w:rsidP="00935DF7">
      <w:pPr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Dadò - </w:t>
      </w:r>
      <w:r w:rsidR="00935DF7" w:rsidRPr="00223491">
        <w:rPr>
          <w:rFonts w:eastAsia="Calibri" w:cs="Times New Roman"/>
          <w:sz w:val="24"/>
        </w:rPr>
        <w:t>Maderni</w:t>
      </w:r>
      <w:r w:rsidR="00935DF7">
        <w:rPr>
          <w:rFonts w:eastAsia="Calibri" w:cs="Times New Roman"/>
          <w:sz w:val="24"/>
        </w:rPr>
        <w:t xml:space="preserve"> - Morisoli </w:t>
      </w:r>
      <w:r>
        <w:rPr>
          <w:rFonts w:eastAsia="Calibri" w:cs="Times New Roman"/>
          <w:sz w:val="24"/>
        </w:rPr>
        <w:t>-</w:t>
      </w:r>
      <w:bookmarkStart w:id="0" w:name="_GoBack"/>
      <w:bookmarkEnd w:id="0"/>
      <w:r w:rsidR="00935DF7">
        <w:rPr>
          <w:rFonts w:eastAsia="Calibri" w:cs="Times New Roman"/>
          <w:sz w:val="24"/>
        </w:rPr>
        <w:t xml:space="preserve"> </w:t>
      </w:r>
    </w:p>
    <w:p w:rsidR="00935DF7" w:rsidRPr="00223491" w:rsidRDefault="00935DF7" w:rsidP="00935DF7">
      <w:pPr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Ortelli P. - Speziali - Tenconi</w:t>
      </w:r>
    </w:p>
    <w:p w:rsidR="00935DF7" w:rsidRPr="00223491" w:rsidRDefault="00935DF7" w:rsidP="00935DF7">
      <w:pPr>
        <w:rPr>
          <w:rFonts w:eastAsia="Calibri" w:cs="Times New Roman"/>
          <w:sz w:val="24"/>
        </w:rPr>
      </w:pPr>
    </w:p>
    <w:p w:rsidR="00D649A8" w:rsidRPr="00935DF7" w:rsidRDefault="00D649A8" w:rsidP="00935DF7">
      <w:pPr>
        <w:pStyle w:val="StandardRisoluzionedelConsigliodiStato"/>
        <w:ind w:right="-1"/>
      </w:pPr>
    </w:p>
    <w:sectPr w:rsidR="00D649A8" w:rsidRPr="00935DF7" w:rsidSect="003751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F7" w:rsidRDefault="00935DF7" w:rsidP="00F657BF">
      <w:r>
        <w:separator/>
      </w:r>
    </w:p>
  </w:endnote>
  <w:endnote w:type="continuationSeparator" w:id="0">
    <w:p w:rsidR="00935DF7" w:rsidRDefault="00935DF7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F7" w:rsidRDefault="00935D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0E4E46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7C486C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7C486C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0E4E46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0E4E46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F7" w:rsidRDefault="00935DF7" w:rsidP="00F657BF">
      <w:r>
        <w:separator/>
      </w:r>
    </w:p>
  </w:footnote>
  <w:footnote w:type="continuationSeparator" w:id="0">
    <w:p w:rsidR="00935DF7" w:rsidRDefault="00935DF7" w:rsidP="00F657BF">
      <w:r>
        <w:continuationSeparator/>
      </w:r>
    </w:p>
  </w:footnote>
  <w:footnote w:id="1">
    <w:p w:rsidR="00935DF7" w:rsidRDefault="00935DF7" w:rsidP="00935DF7">
      <w:pPr>
        <w:pStyle w:val="Testonotaapidipagina"/>
        <w:rPr>
          <w:rFonts w:cs="Arial"/>
          <w:sz w:val="16"/>
          <w:szCs w:val="16"/>
        </w:rPr>
      </w:pPr>
      <w:r>
        <w:rPr>
          <w:rStyle w:val="Rimandonotaapidipagina"/>
          <w:rFonts w:cs="Arial"/>
          <w:sz w:val="18"/>
          <w:szCs w:val="18"/>
        </w:rPr>
        <w:footnoteRef/>
      </w:r>
      <w:r w:rsidRPr="00FB2D3F">
        <w:rPr>
          <w:rFonts w:cs="Arial"/>
          <w:sz w:val="18"/>
          <w:szCs w:val="18"/>
          <w:lang w:val="it-CH"/>
        </w:rPr>
        <w:t xml:space="preserve"> </w:t>
      </w:r>
      <w:r w:rsidRPr="00FB2D3F">
        <w:rPr>
          <w:rFonts w:cs="Arial"/>
          <w:sz w:val="16"/>
          <w:szCs w:val="16"/>
          <w:lang w:val="it-CH"/>
        </w:rPr>
        <w:t xml:space="preserve">DFE (2019) Programma d’attuazione della politica economica regionale 2020-2023 del Canton Ticino. </w:t>
      </w:r>
      <w:r>
        <w:rPr>
          <w:rFonts w:cs="Arial"/>
          <w:sz w:val="16"/>
          <w:szCs w:val="16"/>
        </w:rPr>
        <w:t xml:space="preserve">Bellinzona 3 </w:t>
      </w:r>
      <w:proofErr w:type="spellStart"/>
      <w:r>
        <w:rPr>
          <w:rFonts w:cs="Arial"/>
          <w:sz w:val="16"/>
          <w:szCs w:val="16"/>
        </w:rPr>
        <w:t>luglio</w:t>
      </w:r>
      <w:proofErr w:type="spellEnd"/>
      <w:r>
        <w:rPr>
          <w:rFonts w:cs="Arial"/>
          <w:sz w:val="16"/>
          <w:szCs w:val="16"/>
        </w:rPr>
        <w:t xml:space="preserve"> 2029.</w:t>
      </w:r>
    </w:p>
  </w:footnote>
  <w:footnote w:id="2">
    <w:p w:rsidR="00935DF7" w:rsidRDefault="00935DF7" w:rsidP="00935DF7">
      <w:pPr>
        <w:pStyle w:val="Testonotaapidipagina"/>
        <w:rPr>
          <w:sz w:val="16"/>
          <w:szCs w:val="16"/>
          <w:lang w:val="it-CH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https://www4.ti.ch/dfe/de/csr/home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F7" w:rsidRDefault="00935D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7B0B3644-8390-460F-BA7A-0759C4063B65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DD50A2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delle finanze e dell’economia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7C486C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416BA2">
            <w:rPr>
              <w:noProof/>
              <w:sz w:val="24"/>
            </w:rPr>
            <w:t>5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416BA2">
            <w:rPr>
              <w:noProof/>
              <w:sz w:val="24"/>
            </w:rPr>
            <w:t>5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7B0B3644-8390-460F-BA7A-0759C4063B65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935DF7" w:rsidRDefault="00935DF7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di maggioranza n. 8067 R1 del 28 febbraio 2023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935DF7" w:rsidRDefault="000E4E46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7C486C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7B0B3644-8390-460F-BA7A-0759C4063B65}"/>
                            <w:text w:multiLine="1"/>
                          </w:sdtPr>
                          <w:sdtEndPr/>
                          <w:sdtContent>
                            <w:p w:rsidR="008065E8" w:rsidRPr="00411371" w:rsidRDefault="007C486C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6B89715E-4926-4EC9-BC3D-363006AB09BF}"/>
                      <w:text w:multiLine="1"/>
                    </w:sdtPr>
                    <w:sdtEndPr/>
                    <w:sdtContent>
                      <w:p w:rsidR="008065E8" w:rsidRPr="00411371" w:rsidRDefault="007C486C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0E4E46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0E4E46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7C486C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1636128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7C486C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416BA2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416BA2">
            <w:rPr>
              <w:rFonts w:asciiTheme="minorHAnsi" w:hAnsiTheme="minorHAnsi" w:cstheme="minorHAnsi"/>
              <w:noProof/>
              <w:sz w:val="24"/>
            </w:rPr>
            <w:t>5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7B0B3644-8390-460F-BA7A-0759C4063B65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DD50A2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 di maggioranza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7C486C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0E4E46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7C486C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0E4E46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7C486C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0E4E46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0E4E46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7B0B3644-8390-460F-BA7A-0759C4063B65}"/>
              <w:text w:multiLine="1"/>
            </w:sdtPr>
            <w:sdtEndPr/>
            <w:sdtContent>
              <w:r w:rsidR="00935DF7">
                <w:rPr>
                  <w:rFonts w:cstheme="minorHAnsi"/>
                  <w:b/>
                  <w:sz w:val="24"/>
                  <w:szCs w:val="24"/>
                </w:rPr>
                <w:t>8067 R1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7B0B3644-8390-460F-BA7A-0759C4063B65}"/>
          <w:date w:fullDate="2023-02-28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DD50A2" w:rsidP="00A532F6">
              <w:pPr>
                <w:pStyle w:val="Data"/>
              </w:pPr>
              <w:r>
                <w:rPr>
                  <w:sz w:val="24"/>
                </w:rPr>
                <w:t>28 febbraio 2023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0E4E46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7B0B3644-8390-460F-BA7A-0759C4063B65}"/>
              <w:text w:multiLine="1"/>
            </w:sdtPr>
            <w:sdtEndPr/>
            <w:sdtContent>
              <w:r w:rsidR="00DD50A2">
                <w:rPr>
                  <w:smallCaps/>
                  <w:sz w:val="23"/>
                  <w:szCs w:val="23"/>
                </w:rPr>
                <w:t>Dipartimento delle finanze e dell’economia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0E4E46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7C486C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2010858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7B0B3644-8390-460F-BA7A-0759C4063B65}"/>
                            <w:text w:multiLine="1"/>
                          </w:sdtPr>
                          <w:sdtEndPr/>
                          <w:sdtContent>
                            <w:p w:rsidR="00E93620" w:rsidRPr="00411371" w:rsidRDefault="007C486C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6B89715E-4926-4EC9-BC3D-363006AB09BF}"/>
                      <w:text w:multiLine="1"/>
                    </w:sdtPr>
                    <w:sdtEndPr/>
                    <w:sdtContent>
                      <w:p w:rsidR="00E93620" w:rsidRPr="00411371" w:rsidRDefault="007C486C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55C0C"/>
    <w:multiLevelType w:val="hybridMultilevel"/>
    <w:tmpl w:val="AD7C032C"/>
    <w:lvl w:ilvl="0" w:tplc="2A72A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D524CC"/>
    <w:multiLevelType w:val="multilevel"/>
    <w:tmpl w:val="953CA1B2"/>
    <w:numStyleLink w:val="HeadingList"/>
  </w:abstractNum>
  <w:abstractNum w:abstractNumId="18" w15:restartNumberingAfterBreak="0">
    <w:nsid w:val="64E562FB"/>
    <w:multiLevelType w:val="multilevel"/>
    <w:tmpl w:val="80F83E8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16"/>
  </w:num>
  <w:num w:numId="5">
    <w:abstractNumId w:val="15"/>
  </w:num>
  <w:num w:numId="6">
    <w:abstractNumId w:val="13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F7"/>
    <w:rsid w:val="00032E4C"/>
    <w:rsid w:val="00042B9A"/>
    <w:rsid w:val="000E4E46"/>
    <w:rsid w:val="002B5D9F"/>
    <w:rsid w:val="003B756D"/>
    <w:rsid w:val="00403ADB"/>
    <w:rsid w:val="00416BA2"/>
    <w:rsid w:val="00452E34"/>
    <w:rsid w:val="004B6529"/>
    <w:rsid w:val="00572FD3"/>
    <w:rsid w:val="007300CA"/>
    <w:rsid w:val="007C486C"/>
    <w:rsid w:val="008720C4"/>
    <w:rsid w:val="008F52AF"/>
    <w:rsid w:val="00935DF7"/>
    <w:rsid w:val="009A7191"/>
    <w:rsid w:val="009C5E5A"/>
    <w:rsid w:val="00AD6E0C"/>
    <w:rsid w:val="00AF0268"/>
    <w:rsid w:val="00B90C7A"/>
    <w:rsid w:val="00BF0A1F"/>
    <w:rsid w:val="00C13465"/>
    <w:rsid w:val="00D33940"/>
    <w:rsid w:val="00D600FD"/>
    <w:rsid w:val="00D63731"/>
    <w:rsid w:val="00D649A8"/>
    <w:rsid w:val="00DD50A2"/>
    <w:rsid w:val="00EB088A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A68C930"/>
  <w15:docId w15:val="{28A8AFDB-A331-4BB9-AD8E-BC845300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5DF7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aliases w:val="Footnote symbol"/>
    <w:basedOn w:val="Carpredefinitoparagrafo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935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4.ti.ch/dfe/de/csr/csr-nella-lcpubb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4.ti.ch/dfe/de/imprese-responsabili/imprese-responsabili-per-un-ticino-sostenibil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4.ti.ch/dfe/de/csr/rapporto-di-sostenibilit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4.ti.ch/dfe/de/csr/sostegno-alla-formazion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1ec7298d-cef7-4c2b-945a-86646d6e4473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163612829</Id>
      <Width>0</Width>
      <Height>0</Height>
      <XPath>//Image[@id='Profile.Org.WappenSW']</XPath>
      <ImageHash>02f1c0cdac6aeac316213b2e7cb733a0</ImageHash>
    </ImageSizeDefinition>
    <ImageSizeDefinition>
      <Id>2010858943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c d c 1 e 9 d 7 - 0 4 a 7 - 4 2 4 d - b 5 6 0 - 7 8 e 8 d 4 5 2 c 6 5 0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3 - 0 3 - 0 1 T 0 7 : 5 5 : 2 9 . 4 7 4 1 4 9 5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l e   f i n a n z e   e   d e l l  e c o n o m i a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d i   m a g g i o r a n z a   n .   8 0 6 7   R 1   d e l   2 8   f e b b r a i o   2 0 2 3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e   f i n a n z e   e   d e l l  e c o n o m i a ] ] > < / T e x t >  
                 < T e x t   i d = " C u s t o m E l e m e n t s . F i e l d s . T i t o l o 1 "   l a b e l = " C u s t o m E l e m e n t s . F i e l d s . T i t o l o 1 " > < ! [ C D A T A [ R a p p o r t o   d i   m a g g i o r a n z a ] ] > < / T e x t >  
                 < T e x t   i d = " C u s t o m E l e m e n t s . F i e l d s . T i t o l o 2 "   l a b e l = " C u s t o m E l e m e n t s . F i e l d s . T i t o l o 2 " > < ! [ C D A T A [ R a p p o r t o   d i   m a g g i o r a n z a   n .   8 0 6 7   R 1   d e l   2 8   f e b b r a i o   2 0 2 3 ] ] > < / T e x t >  
             < / S c r i p t i n g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 2 0 2 3 - 0 2 - 2 8 T 0 0 : 0 0 : 0 0 Z < / D a t e T i m e >  
                 < T e x t   i d = " D o c P a r a m . N u m b e r " > < ! [ C D A T A [ 8 0 6 7   R 1 ] ] > < / T e x t >  
                 < T e x t   i d = " D o c P a r a m . D o c u m e n t o " > < ! [ C D A T A [ R a p p o r t o   d i   m a g g i o r a n z a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e   f i n a n z e   e   d e l l  e c o n o m i a ] ] > < / T e x t >  
                 < T e x t   i d = " D o c P a r a m . A l t r i D i p a r t i m e n t i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D0B8E961-8068-4AA9-90E6-874953A23B81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7B0B3644-8390-460F-BA7A-0759C4063B65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1ec7298d-cef7-4c2b-945a-86646d6e4473.dotx</Template>
  <TotalTime>6</TotalTime>
  <Pages>5</Pages>
  <Words>1853</Words>
  <Characters>10565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14</cp:revision>
  <dcterms:created xsi:type="dcterms:W3CDTF">2023-03-01T07:55:00Z</dcterms:created>
  <dcterms:modified xsi:type="dcterms:W3CDTF">2023-03-02T07:46:00Z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