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B2" w:rsidRPr="00C16CB2" w:rsidRDefault="00C16CB2" w:rsidP="00C16CB2">
      <w:pPr>
        <w:suppressAutoHyphens/>
        <w:autoSpaceDN w:val="0"/>
        <w:textAlignment w:val="baseline"/>
        <w:rPr>
          <w:rFonts w:ascii="Calibri" w:eastAsia="SimSun" w:hAnsi="Calibri" w:cs="Mangal"/>
          <w:kern w:val="3"/>
          <w:szCs w:val="20"/>
          <w:lang w:bidi="hi-IN"/>
        </w:rPr>
      </w:pPr>
      <w:r w:rsidRPr="00C16CB2">
        <w:rPr>
          <w:rFonts w:eastAsia="SimSun" w:cs="Mangal"/>
          <w:b/>
          <w:bCs/>
          <w:kern w:val="3"/>
          <w:sz w:val="28"/>
          <w:szCs w:val="28"/>
          <w:lang w:bidi="hi-IN"/>
        </w:rPr>
        <w:t>della Commissione giustizia e diritti</w:t>
      </w:r>
    </w:p>
    <w:p w:rsidR="00C16CB2" w:rsidRPr="00C16CB2" w:rsidRDefault="00C16CB2" w:rsidP="00C16CB2">
      <w:pPr>
        <w:suppressAutoHyphens/>
        <w:autoSpaceDN w:val="0"/>
        <w:textAlignment w:val="baseline"/>
        <w:rPr>
          <w:rFonts w:ascii="Calibri" w:eastAsia="SimSun" w:hAnsi="Calibri" w:cs="Mangal"/>
          <w:kern w:val="3"/>
          <w:szCs w:val="20"/>
          <w:lang w:bidi="hi-IN"/>
        </w:rPr>
      </w:pPr>
      <w:r w:rsidRPr="00C16CB2">
        <w:rPr>
          <w:rFonts w:eastAsia="SimSun" w:cs="Arial"/>
          <w:b/>
          <w:bCs/>
          <w:kern w:val="3"/>
          <w:sz w:val="28"/>
          <w:szCs w:val="28"/>
          <w:lang w:bidi="hi-IN"/>
        </w:rPr>
        <w:t>sull’iniziativa parlamentare 9 dicembre 2019 presentata nella forma elaborata da Roberta Soldati e cofirmatari</w:t>
      </w:r>
      <w:bookmarkStart w:id="0" w:name="_Hlk126588889"/>
      <w:r w:rsidRPr="00C16CB2">
        <w:rPr>
          <w:rFonts w:eastAsia="SimSun" w:cs="Arial"/>
          <w:b/>
          <w:bCs/>
          <w:kern w:val="3"/>
          <w:sz w:val="28"/>
          <w:szCs w:val="28"/>
          <w:lang w:bidi="hi-IN"/>
        </w:rPr>
        <w:t xml:space="preserve"> </w:t>
      </w:r>
      <w:r>
        <w:rPr>
          <w:rFonts w:eastAsia="SimSun" w:cs="Arial"/>
          <w:b/>
          <w:bCs/>
          <w:kern w:val="3"/>
          <w:sz w:val="28"/>
          <w:szCs w:val="28"/>
          <w:lang w:bidi="hi-IN"/>
        </w:rPr>
        <w:t>p</w:t>
      </w:r>
      <w:r w:rsidRPr="00C16CB2">
        <w:rPr>
          <w:rFonts w:eastAsia="SimSun" w:cs="Arial"/>
          <w:b/>
          <w:bCs/>
          <w:kern w:val="3"/>
          <w:sz w:val="28"/>
          <w:szCs w:val="28"/>
          <w:lang w:bidi="hi-IN"/>
        </w:rPr>
        <w:t>er la modifica dell’art. 23 cpv. 1</w:t>
      </w:r>
      <w:r w:rsidRPr="00C16CB2">
        <w:rPr>
          <w:rFonts w:eastAsia="SimSun" w:cs="Arial"/>
          <w:b/>
          <w:bCs/>
          <w:kern w:val="3"/>
          <w:sz w:val="28"/>
          <w:szCs w:val="28"/>
          <w:vertAlign w:val="superscript"/>
          <w:lang w:bidi="hi-IN"/>
        </w:rPr>
        <w:t>bis</w:t>
      </w:r>
      <w:r w:rsidRPr="00C16CB2">
        <w:rPr>
          <w:rFonts w:eastAsia="SimSun" w:cs="Arial"/>
          <w:b/>
          <w:bCs/>
          <w:kern w:val="3"/>
          <w:sz w:val="28"/>
          <w:szCs w:val="28"/>
          <w:lang w:bidi="hi-IN"/>
        </w:rPr>
        <w:t xml:space="preserve"> e introduzione di un nuovo cpv. 1</w:t>
      </w:r>
      <w:r w:rsidRPr="00C16CB2">
        <w:rPr>
          <w:rFonts w:eastAsia="SimSun" w:cs="Arial"/>
          <w:b/>
          <w:bCs/>
          <w:kern w:val="3"/>
          <w:sz w:val="28"/>
          <w:szCs w:val="28"/>
          <w:vertAlign w:val="superscript"/>
          <w:lang w:bidi="hi-IN"/>
        </w:rPr>
        <w:t>ter</w:t>
      </w:r>
      <w:r w:rsidRPr="00C16CB2">
        <w:rPr>
          <w:rFonts w:eastAsia="SimSun" w:cs="Arial"/>
          <w:b/>
          <w:bCs/>
          <w:kern w:val="3"/>
          <w:sz w:val="28"/>
          <w:szCs w:val="28"/>
          <w:lang w:bidi="hi-IN"/>
        </w:rPr>
        <w:t xml:space="preserve"> della Legge sull’organizzazione giudiziaria</w:t>
      </w:r>
      <w:bookmarkEnd w:id="0"/>
    </w:p>
    <w:p w:rsidR="00C16CB2" w:rsidRPr="00C16CB2" w:rsidRDefault="00C16CB2" w:rsidP="00C16CB2">
      <w:pPr>
        <w:tabs>
          <w:tab w:val="left" w:pos="426"/>
        </w:tabs>
        <w:suppressAutoHyphens/>
        <w:autoSpaceDN w:val="0"/>
        <w:spacing w:after="160"/>
        <w:ind w:right="-1"/>
        <w:jc w:val="left"/>
        <w:textAlignment w:val="baseline"/>
        <w:rPr>
          <w:rFonts w:asciiTheme="minorHAnsi" w:eastAsia="SimSun" w:hAnsiTheme="minorHAnsi" w:cstheme="minorHAnsi"/>
          <w:b/>
          <w:kern w:val="3"/>
          <w:sz w:val="24"/>
          <w:szCs w:val="24"/>
          <w:lang w:bidi="hi-IN"/>
        </w:rPr>
      </w:pPr>
      <w:bookmarkStart w:id="1" w:name="_GoBack"/>
      <w:bookmarkEnd w:id="1"/>
    </w:p>
    <w:p w:rsidR="00C16CB2" w:rsidRPr="00C16CB2" w:rsidRDefault="00C16CB2" w:rsidP="00C16CB2">
      <w:pPr>
        <w:tabs>
          <w:tab w:val="left" w:pos="426"/>
        </w:tabs>
        <w:suppressAutoHyphens/>
        <w:autoSpaceDN w:val="0"/>
        <w:jc w:val="left"/>
        <w:textAlignment w:val="baseline"/>
        <w:rPr>
          <w:rFonts w:asciiTheme="minorHAnsi" w:eastAsia="MS Mincho" w:hAnsiTheme="minorHAnsi" w:cstheme="minorHAnsi"/>
          <w:caps/>
          <w:kern w:val="3"/>
          <w:sz w:val="24"/>
          <w:szCs w:val="24"/>
          <w:lang w:val="it-IT" w:eastAsia="it-IT"/>
        </w:rPr>
      </w:pPr>
    </w:p>
    <w:p w:rsidR="00C16CB2" w:rsidRPr="00C16CB2" w:rsidRDefault="00C16CB2" w:rsidP="00C16CB2">
      <w:pPr>
        <w:pStyle w:val="Titolo1"/>
        <w:numPr>
          <w:ilvl w:val="0"/>
          <w:numId w:val="18"/>
        </w:numPr>
        <w:tabs>
          <w:tab w:val="left" w:pos="567"/>
        </w:tabs>
        <w:spacing w:before="0"/>
        <w:ind w:left="567" w:hanging="567"/>
        <w:jc w:val="both"/>
        <w:rPr>
          <w:rFonts w:eastAsia="Calibri" w:cs="Times New Roman" w:hint="eastAsia"/>
          <w:caps/>
          <w:sz w:val="24"/>
          <w:szCs w:val="24"/>
          <w:lang w:val="it-IT" w:eastAsia="it-IT"/>
        </w:rPr>
      </w:pPr>
      <w:r w:rsidRPr="00C16CB2">
        <w:rPr>
          <w:rFonts w:eastAsia="Calibri" w:cs="Times New Roman"/>
          <w:caps/>
          <w:sz w:val="24"/>
          <w:szCs w:val="24"/>
          <w:lang w:val="it-IT" w:eastAsia="it-IT"/>
        </w:rPr>
        <w:t>Le richieste DELL’ATTO PARLAMENTARE</w:t>
      </w: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L’atto parlamentare in questione si prefigge di adottare anche per la Pretura del Distretto di Lugano, ad oggi ancora unica strutturata non solo in tre Sezioni territoriali (semi-generaliste) ma anche con tre Sezioni specialistiche (essenzialmente: diritto della locazione e diritto successorio; diritto delle esecuzioni e fallimenti e; diritto di famiglia), la medesima procedura di elezione dei suoi Magistrati così come introdotta per il Tribunale d’appello, ovvero con previo esercizio del diritto d’opzione dei Pretori o Pretori aggiunti in carica e messa a concorso specifica per la posizione per finire realmente vacante.</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spacing w:after="120"/>
        <w:textAlignment w:val="baseline"/>
        <w:rPr>
          <w:rFonts w:eastAsia="SimSun" w:cs="Arial"/>
          <w:kern w:val="3"/>
          <w:sz w:val="24"/>
          <w:szCs w:val="24"/>
          <w:lang w:bidi="hi-IN"/>
        </w:rPr>
      </w:pPr>
      <w:r w:rsidRPr="00C16CB2">
        <w:rPr>
          <w:rFonts w:eastAsia="SimSun" w:cs="Arial"/>
          <w:kern w:val="3"/>
          <w:sz w:val="24"/>
          <w:szCs w:val="24"/>
          <w:lang w:bidi="hi-IN"/>
        </w:rPr>
        <w:t>A tal fine, presentando soluzioni in forma elaborata tese alla modifica della Legge sull’organizzazione giudiziaria (LOG, RL 177.100), l’atto propone dunque l’introduzione di un nuovo art. 23 cpv. 1</w:t>
      </w:r>
      <w:r w:rsidRPr="00C16CB2">
        <w:rPr>
          <w:rFonts w:eastAsia="SimSun" w:cs="Arial"/>
          <w:kern w:val="3"/>
          <w:sz w:val="24"/>
          <w:szCs w:val="24"/>
          <w:vertAlign w:val="superscript"/>
          <w:lang w:bidi="hi-IN"/>
        </w:rPr>
        <w:t>ter</w:t>
      </w:r>
      <w:r w:rsidRPr="00C16CB2">
        <w:rPr>
          <w:rFonts w:eastAsia="SimSun" w:cs="Arial"/>
          <w:kern w:val="3"/>
          <w:sz w:val="24"/>
          <w:szCs w:val="24"/>
          <w:lang w:bidi="hi-IN"/>
        </w:rPr>
        <w:t xml:space="preserve"> LOG dal seguente tenore:</w:t>
      </w:r>
    </w:p>
    <w:p w:rsidR="00C16CB2" w:rsidRPr="00C16CB2" w:rsidRDefault="00C16CB2" w:rsidP="00C16CB2">
      <w:pPr>
        <w:shd w:val="clear" w:color="auto" w:fill="FFFFFF"/>
        <w:tabs>
          <w:tab w:val="left" w:pos="284"/>
        </w:tabs>
        <w:ind w:left="568" w:right="187" w:hanging="284"/>
        <w:rPr>
          <w:rFonts w:eastAsia="Times New Roman" w:cs="Arial"/>
          <w:sz w:val="23"/>
          <w:szCs w:val="23"/>
          <w:lang w:eastAsia="it-CH"/>
        </w:rPr>
      </w:pPr>
      <w:r w:rsidRPr="00C16CB2">
        <w:rPr>
          <w:rFonts w:eastAsia="Times New Roman" w:cs="Arial"/>
          <w:b/>
          <w:color w:val="000000"/>
          <w:sz w:val="23"/>
          <w:szCs w:val="23"/>
          <w:vertAlign w:val="superscript"/>
          <w:lang w:val="it-IT" w:eastAsia="it-CH"/>
        </w:rPr>
        <w:t>1</w:t>
      </w:r>
      <w:r w:rsidRPr="00C16CB2">
        <w:rPr>
          <w:rFonts w:eastAsia="Times New Roman" w:cs="Arial"/>
          <w:b/>
          <w:i/>
          <w:iCs/>
          <w:color w:val="000000"/>
          <w:sz w:val="23"/>
          <w:szCs w:val="23"/>
          <w:vertAlign w:val="superscript"/>
          <w:lang w:val="it-IT" w:eastAsia="it-CH"/>
        </w:rPr>
        <w:t>ter</w:t>
      </w:r>
      <w:r w:rsidRPr="00C16CB2">
        <w:rPr>
          <w:rFonts w:eastAsia="Times New Roman" w:cs="Arial"/>
          <w:b/>
          <w:color w:val="000000"/>
          <w:sz w:val="23"/>
          <w:szCs w:val="23"/>
          <w:vertAlign w:val="superscript"/>
          <w:lang w:val="it-IT" w:eastAsia="it-CH"/>
        </w:rPr>
        <w:t xml:space="preserve"> </w:t>
      </w:r>
      <w:r w:rsidRPr="00C16CB2">
        <w:rPr>
          <w:rFonts w:eastAsia="Times New Roman" w:cs="Arial"/>
          <w:b/>
          <w:color w:val="000000"/>
          <w:sz w:val="23"/>
          <w:szCs w:val="23"/>
          <w:lang w:val="it-IT" w:eastAsia="it-CH"/>
        </w:rPr>
        <w:t xml:space="preserve">Entro un mese dalla notizia di una vacanza, il Presidente della Pretura di Lugano comunica alla Commissione giustizia e diritti del Gran Consiglio quale sezione deve essere completata </w:t>
      </w:r>
      <w:proofErr w:type="gramStart"/>
      <w:r w:rsidRPr="00C16CB2">
        <w:rPr>
          <w:rFonts w:eastAsia="Times New Roman" w:cs="Arial"/>
          <w:b/>
          <w:color w:val="000000"/>
          <w:sz w:val="23"/>
          <w:szCs w:val="23"/>
          <w:lang w:val="it-IT" w:eastAsia="it-CH"/>
        </w:rPr>
        <w:t>e</w:t>
      </w:r>
      <w:proofErr w:type="gramEnd"/>
      <w:r w:rsidRPr="00C16CB2">
        <w:rPr>
          <w:rFonts w:eastAsia="Times New Roman" w:cs="Arial"/>
          <w:b/>
          <w:color w:val="000000"/>
          <w:sz w:val="23"/>
          <w:szCs w:val="23"/>
          <w:lang w:val="it-IT" w:eastAsia="it-CH"/>
        </w:rPr>
        <w:t xml:space="preserve"> in quale sezione il nuovo pretore sarà attivo in via principale.</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spacing w:after="120"/>
        <w:textAlignment w:val="baseline"/>
        <w:rPr>
          <w:rFonts w:eastAsia="SimSun" w:cs="Arial"/>
          <w:kern w:val="3"/>
          <w:sz w:val="24"/>
          <w:szCs w:val="24"/>
          <w:lang w:bidi="hi-IN"/>
        </w:rPr>
      </w:pPr>
      <w:r w:rsidRPr="00C16CB2">
        <w:rPr>
          <w:rFonts w:eastAsia="SimSun" w:cs="Arial"/>
          <w:kern w:val="3"/>
          <w:sz w:val="24"/>
          <w:szCs w:val="24"/>
          <w:lang w:bidi="hi-IN"/>
        </w:rPr>
        <w:t xml:space="preserve">Nella misura in cui si propone di indicare quale destinatario della comunicazione non già l’Ufficio presidenziale del Gran Consiglio (un tempo competente per la disamina ed il preavviso per la nomina dei Magistrati), bensì direttamente la Commissione parlamentare a cui questa competenza è stata demandata in occasione della seconda parte dell’ultima revisione generale della Legge sul Gran Consiglio e sui rapporti con il Consiglio di Stato (LGC, RL 171.100), ovvero la Commissione giustizia e diritti, gli </w:t>
      </w:r>
      <w:proofErr w:type="spellStart"/>
      <w:r w:rsidRPr="00C16CB2">
        <w:rPr>
          <w:rFonts w:eastAsia="SimSun" w:cs="Arial"/>
          <w:kern w:val="3"/>
          <w:sz w:val="24"/>
          <w:szCs w:val="24"/>
          <w:lang w:bidi="hi-IN"/>
        </w:rPr>
        <w:t>iniziativisti</w:t>
      </w:r>
      <w:proofErr w:type="spellEnd"/>
      <w:r w:rsidRPr="00C16CB2">
        <w:rPr>
          <w:rFonts w:eastAsia="SimSun" w:cs="Arial"/>
          <w:kern w:val="3"/>
          <w:sz w:val="24"/>
          <w:szCs w:val="24"/>
          <w:lang w:bidi="hi-IN"/>
        </w:rPr>
        <w:t xml:space="preserve"> propongono di cogliere l’occasione per adeguare al nuovo diritto l’attuale art. 23 cpv. 1</w:t>
      </w:r>
      <w:r w:rsidRPr="00C16CB2">
        <w:rPr>
          <w:rFonts w:eastAsia="SimSun" w:cs="Arial"/>
          <w:kern w:val="3"/>
          <w:sz w:val="24"/>
          <w:szCs w:val="24"/>
          <w:vertAlign w:val="superscript"/>
          <w:lang w:bidi="hi-IN"/>
        </w:rPr>
        <w:t>bis</w:t>
      </w:r>
      <w:r w:rsidRPr="00C16CB2">
        <w:rPr>
          <w:rFonts w:eastAsia="SimSun" w:cs="Arial"/>
          <w:kern w:val="3"/>
          <w:sz w:val="24"/>
          <w:szCs w:val="24"/>
          <w:lang w:bidi="hi-IN"/>
        </w:rPr>
        <w:t xml:space="preserve"> LOG, il quale passerebbe così da:</w:t>
      </w:r>
    </w:p>
    <w:p w:rsidR="00C16CB2" w:rsidRPr="00C16CB2" w:rsidRDefault="00C16CB2" w:rsidP="00C16CB2">
      <w:pPr>
        <w:shd w:val="clear" w:color="auto" w:fill="FFFFFF"/>
        <w:tabs>
          <w:tab w:val="left" w:pos="284"/>
        </w:tabs>
        <w:spacing w:after="120"/>
        <w:ind w:left="568" w:right="187" w:hanging="284"/>
        <w:rPr>
          <w:rFonts w:eastAsia="Times New Roman" w:cs="Arial"/>
          <w:i/>
          <w:sz w:val="23"/>
          <w:szCs w:val="23"/>
          <w:lang w:eastAsia="it-CH"/>
        </w:rPr>
      </w:pPr>
      <w:r w:rsidRPr="00C16CB2">
        <w:rPr>
          <w:rFonts w:eastAsia="Times New Roman" w:cs="Arial"/>
          <w:i/>
          <w:color w:val="000000"/>
          <w:sz w:val="23"/>
          <w:szCs w:val="23"/>
          <w:vertAlign w:val="superscript"/>
          <w:lang w:val="it-IT" w:eastAsia="it-CH"/>
        </w:rPr>
        <w:t>1bis</w:t>
      </w:r>
      <w:r w:rsidRPr="00C16CB2">
        <w:rPr>
          <w:rFonts w:eastAsia="Times New Roman" w:cs="Arial"/>
          <w:i/>
          <w:color w:val="000000"/>
          <w:sz w:val="23"/>
          <w:szCs w:val="23"/>
          <w:vertAlign w:val="superscript"/>
          <w:lang w:val="it-IT" w:eastAsia="it-CH"/>
        </w:rPr>
        <w:tab/>
      </w:r>
      <w:r w:rsidRPr="00C16CB2">
        <w:rPr>
          <w:rFonts w:eastAsia="Times New Roman" w:cs="Arial"/>
          <w:i/>
          <w:color w:val="000000"/>
          <w:sz w:val="23"/>
          <w:szCs w:val="23"/>
          <w:lang w:val="it-IT" w:eastAsia="it-CH"/>
        </w:rPr>
        <w:t xml:space="preserve">Entro un mese dalla notizia di una vacanza, il Tribunale di appello comunica all’Ufficio presidenziale del Gran Consiglio quale sezione deve essere completata </w:t>
      </w:r>
      <w:proofErr w:type="gramStart"/>
      <w:r w:rsidRPr="00C16CB2">
        <w:rPr>
          <w:rFonts w:eastAsia="Times New Roman" w:cs="Arial"/>
          <w:i/>
          <w:color w:val="000000"/>
          <w:sz w:val="23"/>
          <w:szCs w:val="23"/>
          <w:lang w:val="it-IT" w:eastAsia="it-CH"/>
        </w:rPr>
        <w:t>e</w:t>
      </w:r>
      <w:proofErr w:type="gramEnd"/>
      <w:r w:rsidRPr="00C16CB2">
        <w:rPr>
          <w:rFonts w:eastAsia="Times New Roman" w:cs="Arial"/>
          <w:i/>
          <w:color w:val="000000"/>
          <w:sz w:val="23"/>
          <w:szCs w:val="23"/>
          <w:lang w:val="it-IT" w:eastAsia="it-CH"/>
        </w:rPr>
        <w:t xml:space="preserve"> in quale camera il nuovo giudice sarà attivo in via principale.</w:t>
      </w: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a:</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hd w:val="clear" w:color="auto" w:fill="FFFFFF"/>
        <w:tabs>
          <w:tab w:val="left" w:pos="284"/>
        </w:tabs>
        <w:ind w:left="568" w:right="187" w:hanging="284"/>
        <w:rPr>
          <w:rFonts w:eastAsia="Times New Roman" w:cs="Arial"/>
          <w:sz w:val="23"/>
          <w:szCs w:val="23"/>
          <w:lang w:eastAsia="it-CH"/>
        </w:rPr>
      </w:pPr>
      <w:r w:rsidRPr="00C16CB2">
        <w:rPr>
          <w:rFonts w:eastAsia="Times New Roman" w:cs="Arial"/>
          <w:color w:val="000000"/>
          <w:sz w:val="23"/>
          <w:szCs w:val="23"/>
          <w:vertAlign w:val="superscript"/>
          <w:lang w:val="it-IT" w:eastAsia="it-CH"/>
        </w:rPr>
        <w:t>1bis</w:t>
      </w:r>
      <w:r w:rsidRPr="00C16CB2">
        <w:rPr>
          <w:rFonts w:eastAsia="Times New Roman" w:cs="Arial"/>
          <w:color w:val="000000"/>
          <w:sz w:val="23"/>
          <w:szCs w:val="23"/>
          <w:vertAlign w:val="superscript"/>
          <w:lang w:val="it-IT" w:eastAsia="it-CH"/>
        </w:rPr>
        <w:tab/>
      </w:r>
      <w:r w:rsidRPr="00C16CB2">
        <w:rPr>
          <w:rFonts w:eastAsia="Times New Roman" w:cs="Arial"/>
          <w:color w:val="000000"/>
          <w:sz w:val="23"/>
          <w:szCs w:val="23"/>
          <w:lang w:val="it-IT" w:eastAsia="it-CH"/>
        </w:rPr>
        <w:t xml:space="preserve">Entro un mese dalla notizia di una vacanza, il Tribunale di appello </w:t>
      </w:r>
      <w:r w:rsidRPr="00C16CB2">
        <w:rPr>
          <w:rFonts w:eastAsia="Times New Roman" w:cs="Arial"/>
          <w:b/>
          <w:color w:val="000000"/>
          <w:sz w:val="23"/>
          <w:szCs w:val="23"/>
          <w:lang w:val="it-IT" w:eastAsia="it-CH"/>
        </w:rPr>
        <w:t>comunica alla Commissione giustizia e diritti del Gran Consiglio</w:t>
      </w:r>
      <w:r w:rsidRPr="00C16CB2">
        <w:rPr>
          <w:rFonts w:eastAsia="Times New Roman" w:cs="Arial"/>
          <w:color w:val="000000"/>
          <w:sz w:val="23"/>
          <w:szCs w:val="23"/>
          <w:lang w:val="it-IT" w:eastAsia="it-CH"/>
        </w:rPr>
        <w:t xml:space="preserve"> quale sezione deve essere completata </w:t>
      </w:r>
      <w:proofErr w:type="gramStart"/>
      <w:r w:rsidRPr="00C16CB2">
        <w:rPr>
          <w:rFonts w:eastAsia="Times New Roman" w:cs="Arial"/>
          <w:color w:val="000000"/>
          <w:sz w:val="23"/>
          <w:szCs w:val="23"/>
          <w:lang w:val="it-IT" w:eastAsia="it-CH"/>
        </w:rPr>
        <w:t>e</w:t>
      </w:r>
      <w:proofErr w:type="gramEnd"/>
      <w:r w:rsidRPr="00C16CB2">
        <w:rPr>
          <w:rFonts w:eastAsia="Times New Roman" w:cs="Arial"/>
          <w:color w:val="000000"/>
          <w:sz w:val="23"/>
          <w:szCs w:val="23"/>
          <w:lang w:val="it-IT" w:eastAsia="it-CH"/>
        </w:rPr>
        <w:t xml:space="preserve"> in quale camera il nuovo giudice sarà attivo in via principale.</w:t>
      </w:r>
      <w:bookmarkStart w:id="2" w:name="_ftnref23"/>
      <w:bookmarkEnd w:id="2"/>
    </w:p>
    <w:p w:rsidR="00C16CB2" w:rsidRPr="00C16CB2" w:rsidRDefault="00C16CB2" w:rsidP="00C16CB2">
      <w:pPr>
        <w:pStyle w:val="Titolo1"/>
        <w:numPr>
          <w:ilvl w:val="0"/>
          <w:numId w:val="18"/>
        </w:numPr>
        <w:tabs>
          <w:tab w:val="left" w:pos="567"/>
        </w:tabs>
        <w:spacing w:before="0"/>
        <w:ind w:left="567" w:hanging="567"/>
        <w:jc w:val="both"/>
        <w:rPr>
          <w:rFonts w:eastAsia="Calibri" w:cs="Times New Roman" w:hint="eastAsia"/>
          <w:caps/>
          <w:sz w:val="24"/>
          <w:szCs w:val="24"/>
          <w:lang w:val="it-IT" w:eastAsia="it-IT"/>
        </w:rPr>
      </w:pPr>
      <w:r w:rsidRPr="00C16CB2">
        <w:rPr>
          <w:rFonts w:eastAsia="Calibri" w:cs="Times New Roman"/>
          <w:caps/>
          <w:sz w:val="24"/>
          <w:szCs w:val="24"/>
          <w:lang w:val="it-IT" w:eastAsia="it-IT"/>
        </w:rPr>
        <w:lastRenderedPageBreak/>
        <w:t>MESSAGGIO DEL CONSIGLIO DI STATO</w:t>
      </w: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Il Governo, scorporando il tema dal pacchetto di atti pendenti in materia di revisione della Legge sull’organizzazione giudiziaria, ha preso posizione con messaggio n. 8227 del 18 gennaio 2023, invitando a respingere la proposta introduzione di un nuovo art. 23 cpv. 1</w:t>
      </w:r>
      <w:r w:rsidRPr="00C16CB2">
        <w:rPr>
          <w:rFonts w:eastAsia="SimSun" w:cs="Arial"/>
          <w:kern w:val="3"/>
          <w:sz w:val="24"/>
          <w:szCs w:val="24"/>
          <w:vertAlign w:val="superscript"/>
          <w:lang w:bidi="hi-IN"/>
        </w:rPr>
        <w:t>ter</w:t>
      </w:r>
      <w:r w:rsidRPr="00C16CB2">
        <w:rPr>
          <w:rFonts w:eastAsia="SimSun" w:cs="Arial"/>
          <w:kern w:val="3"/>
          <w:sz w:val="24"/>
          <w:szCs w:val="24"/>
          <w:lang w:bidi="hi-IN"/>
        </w:rPr>
        <w:t xml:space="preserve"> LOG, senza opporsi all’adeguamento del vigente art. 23 cpv. 1</w:t>
      </w:r>
      <w:r w:rsidRPr="00C16CB2">
        <w:rPr>
          <w:rFonts w:eastAsia="SimSun" w:cs="Arial"/>
          <w:kern w:val="3"/>
          <w:sz w:val="24"/>
          <w:szCs w:val="24"/>
          <w:vertAlign w:val="superscript"/>
          <w:lang w:bidi="hi-IN"/>
        </w:rPr>
        <w:t>bis</w:t>
      </w:r>
      <w:r w:rsidRPr="00C16CB2">
        <w:rPr>
          <w:rFonts w:eastAsia="SimSun" w:cs="Arial"/>
          <w:kern w:val="3"/>
          <w:sz w:val="24"/>
          <w:szCs w:val="24"/>
          <w:lang w:bidi="hi-IN"/>
        </w:rPr>
        <w:t xml:space="preserve"> LOG.</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 xml:space="preserve">Va premesso che, come riferisce in messaggio il Governo, </w:t>
      </w:r>
      <w:r w:rsidRPr="00C16CB2">
        <w:rPr>
          <w:rFonts w:eastAsia="SimSun" w:cs="Arial"/>
          <w:i/>
          <w:kern w:val="3"/>
          <w:sz w:val="24"/>
          <w:szCs w:val="24"/>
          <w:lang w:bidi="hi-IN"/>
        </w:rPr>
        <w:t>«</w:t>
      </w:r>
      <w:r w:rsidRPr="00C16CB2">
        <w:rPr>
          <w:rFonts w:eastAsia="Calibri" w:cs="Arial"/>
          <w:i/>
          <w:iCs/>
          <w:kern w:val="3"/>
          <w:sz w:val="24"/>
          <w:szCs w:val="24"/>
          <w:lang w:bidi="hi-IN"/>
        </w:rPr>
        <w:t>nel 2020 il Dipartimento delle istituzioni aveva invitato la Pretura del Distretto di Lugano a ripensare l’organizzazione dell’Autorità giudiziaria, nell’ottica di migliorare il riparto delle competenze e delle attività delle Sezioni</w:t>
      </w:r>
      <w:r w:rsidRPr="00C16CB2">
        <w:rPr>
          <w:rFonts w:eastAsia="Calibri" w:cs="Arial"/>
          <w:i/>
          <w:kern w:val="3"/>
          <w:sz w:val="24"/>
          <w:szCs w:val="24"/>
          <w:lang w:bidi="hi-IN"/>
        </w:rPr>
        <w:t>»</w:t>
      </w:r>
      <w:r w:rsidRPr="00C16CB2">
        <w:rPr>
          <w:rFonts w:eastAsia="Calibri" w:cs="Arial"/>
          <w:kern w:val="3"/>
          <w:sz w:val="24"/>
          <w:szCs w:val="24"/>
          <w:lang w:bidi="hi-IN"/>
        </w:rPr>
        <w:t xml:space="preserve"> (</w:t>
      </w:r>
      <w:proofErr w:type="spellStart"/>
      <w:r w:rsidRPr="00C16CB2">
        <w:rPr>
          <w:rFonts w:eastAsia="Calibri" w:cs="Arial"/>
          <w:kern w:val="3"/>
          <w:sz w:val="24"/>
          <w:szCs w:val="24"/>
          <w:lang w:bidi="hi-IN"/>
        </w:rPr>
        <w:t>loc</w:t>
      </w:r>
      <w:proofErr w:type="spellEnd"/>
      <w:r w:rsidRPr="00C16CB2">
        <w:rPr>
          <w:rFonts w:eastAsia="Calibri" w:cs="Arial"/>
          <w:kern w:val="3"/>
          <w:sz w:val="24"/>
          <w:szCs w:val="24"/>
          <w:lang w:bidi="hi-IN"/>
        </w:rPr>
        <w:t xml:space="preserve">. cit., § II.1.3., pag. 5), lavoro in corso, ragion per cui occorrerebbe dapprima </w:t>
      </w:r>
      <w:r w:rsidRPr="00C16CB2">
        <w:rPr>
          <w:rFonts w:eastAsia="Calibri" w:cs="Arial"/>
          <w:i/>
          <w:kern w:val="3"/>
          <w:sz w:val="24"/>
          <w:szCs w:val="24"/>
          <w:lang w:bidi="hi-IN"/>
        </w:rPr>
        <w:t>«</w:t>
      </w:r>
      <w:r w:rsidRPr="00C16CB2">
        <w:rPr>
          <w:rFonts w:eastAsia="Calibri" w:cs="Arial"/>
          <w:i/>
          <w:iCs/>
          <w:sz w:val="24"/>
          <w:szCs w:val="24"/>
        </w:rPr>
        <w:t>attendere tali sviluppi prima di procedere con una modifica nei termini di cui all’atto parlamentare in oggetto</w:t>
      </w:r>
      <w:r w:rsidRPr="00C16CB2">
        <w:rPr>
          <w:rFonts w:eastAsia="Calibri" w:cs="Arial"/>
          <w:i/>
          <w:kern w:val="3"/>
          <w:sz w:val="24"/>
          <w:szCs w:val="24"/>
          <w:lang w:bidi="hi-IN"/>
        </w:rPr>
        <w:t>»</w:t>
      </w:r>
      <w:r w:rsidRPr="00C16CB2">
        <w:rPr>
          <w:rFonts w:eastAsia="Calibri" w:cs="Arial"/>
          <w:kern w:val="3"/>
          <w:sz w:val="24"/>
          <w:szCs w:val="24"/>
          <w:lang w:bidi="hi-IN"/>
        </w:rPr>
        <w:t xml:space="preserve"> (</w:t>
      </w:r>
      <w:r w:rsidRPr="00C16CB2">
        <w:rPr>
          <w:rFonts w:eastAsia="Calibri" w:cs="Arial"/>
          <w:i/>
          <w:iCs/>
          <w:kern w:val="3"/>
          <w:sz w:val="24"/>
          <w:szCs w:val="24"/>
          <w:lang w:bidi="hi-IN"/>
        </w:rPr>
        <w:t>ibidem</w:t>
      </w:r>
      <w:r w:rsidRPr="00C16CB2">
        <w:rPr>
          <w:rFonts w:eastAsia="Calibri" w:cs="Arial"/>
          <w:kern w:val="3"/>
          <w:sz w:val="24"/>
          <w:szCs w:val="24"/>
          <w:lang w:bidi="hi-IN"/>
        </w:rPr>
        <w:t>).</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 xml:space="preserve">Vero è poi che la Pretura del Distretto di Lugano costituisce un’anomalia rispetto al sistema altrimenti vigente in Ticino, sistema nel quale il Pretore ed il Pretore aggiunto esercitano con giurisdizione sul territorio distrettuale </w:t>
      </w:r>
      <w:r w:rsidRPr="00C16CB2">
        <w:rPr>
          <w:rFonts w:eastAsia="SimSun" w:cs="Arial"/>
          <w:kern w:val="3"/>
          <w:sz w:val="24"/>
          <w:szCs w:val="24"/>
          <w:u w:val="single"/>
          <w:lang w:bidi="hi-IN"/>
        </w:rPr>
        <w:t>tutte</w:t>
      </w:r>
      <w:r w:rsidRPr="00C16CB2">
        <w:rPr>
          <w:rFonts w:eastAsia="SimSun" w:cs="Arial"/>
          <w:kern w:val="3"/>
          <w:sz w:val="24"/>
          <w:szCs w:val="24"/>
          <w:lang w:bidi="hi-IN"/>
        </w:rPr>
        <w:t xml:space="preserve"> le competenze previste all’art. 37 LOG, con la precisazione che:</w:t>
      </w:r>
    </w:p>
    <w:p w:rsidR="00C16CB2" w:rsidRPr="00C16CB2" w:rsidRDefault="00C16CB2" w:rsidP="00C16CB2">
      <w:pPr>
        <w:widowControl w:val="0"/>
        <w:numPr>
          <w:ilvl w:val="0"/>
          <w:numId w:val="19"/>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kern w:val="3"/>
          <w:sz w:val="24"/>
          <w:szCs w:val="24"/>
          <w:lang w:bidi="hi-IN"/>
        </w:rPr>
        <w:t xml:space="preserve">per il Distretto di Mendrisio vi sono due Preture, l’una avente Pretore con giurisdizione nei Comuni dei circoli di Balerna e </w:t>
      </w:r>
      <w:proofErr w:type="spellStart"/>
      <w:r w:rsidRPr="00C16CB2">
        <w:rPr>
          <w:rFonts w:eastAsia="SimSun" w:cs="Arial"/>
          <w:kern w:val="3"/>
          <w:sz w:val="24"/>
          <w:szCs w:val="24"/>
          <w:lang w:bidi="hi-IN"/>
        </w:rPr>
        <w:t>Caneggio</w:t>
      </w:r>
      <w:proofErr w:type="spellEnd"/>
      <w:r w:rsidRPr="00C16CB2">
        <w:rPr>
          <w:rFonts w:eastAsia="SimSun" w:cs="Arial"/>
          <w:kern w:val="3"/>
          <w:sz w:val="24"/>
          <w:szCs w:val="24"/>
          <w:lang w:bidi="hi-IN"/>
        </w:rPr>
        <w:t xml:space="preserve"> (Pretura di Mendrisio-Sud) e l’altra con Pretore avente giurisdizione negli altri Comuni del distretto (pretura di Mendrisio-Nord), Preture alle quali è attribuito congiuntamente un Pretore aggiunto;</w:t>
      </w:r>
    </w:p>
    <w:p w:rsidR="00C16CB2" w:rsidRPr="00C16CB2" w:rsidRDefault="00C16CB2" w:rsidP="00C16CB2">
      <w:pPr>
        <w:widowControl w:val="0"/>
        <w:numPr>
          <w:ilvl w:val="0"/>
          <w:numId w:val="19"/>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kern w:val="3"/>
          <w:sz w:val="24"/>
          <w:szCs w:val="24"/>
          <w:lang w:bidi="hi-IN"/>
        </w:rPr>
        <w:t xml:space="preserve">per il Distretto di Locarno vi sono due Preture, l’una avente Pretore con giurisdizione nei Comuni di Locarno, </w:t>
      </w:r>
      <w:proofErr w:type="spellStart"/>
      <w:r w:rsidRPr="00C16CB2">
        <w:rPr>
          <w:rFonts w:eastAsia="SimSun" w:cs="Arial"/>
          <w:kern w:val="3"/>
          <w:sz w:val="24"/>
          <w:szCs w:val="24"/>
          <w:lang w:bidi="hi-IN"/>
        </w:rPr>
        <w:t>Muralto</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Orselina</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Minusio</w:t>
      </w:r>
      <w:proofErr w:type="spellEnd"/>
      <w:r w:rsidRPr="00C16CB2">
        <w:rPr>
          <w:rFonts w:eastAsia="SimSun" w:cs="Arial"/>
          <w:kern w:val="3"/>
          <w:sz w:val="24"/>
          <w:szCs w:val="24"/>
          <w:lang w:bidi="hi-IN"/>
        </w:rPr>
        <w:t xml:space="preserve"> e Brione sopra </w:t>
      </w:r>
      <w:proofErr w:type="spellStart"/>
      <w:r w:rsidRPr="00C16CB2">
        <w:rPr>
          <w:rFonts w:eastAsia="SimSun" w:cs="Arial"/>
          <w:kern w:val="3"/>
          <w:sz w:val="24"/>
          <w:szCs w:val="24"/>
          <w:lang w:bidi="hi-IN"/>
        </w:rPr>
        <w:t>Minusio</w:t>
      </w:r>
      <w:proofErr w:type="spellEnd"/>
      <w:r w:rsidRPr="00C16CB2">
        <w:rPr>
          <w:rFonts w:eastAsia="SimSun" w:cs="Arial"/>
          <w:kern w:val="3"/>
          <w:sz w:val="24"/>
          <w:szCs w:val="24"/>
          <w:lang w:bidi="hi-IN"/>
        </w:rPr>
        <w:t xml:space="preserve"> (Pretura di Locarno-Città, nella quale vi sono un Pretore ed un Pretore aggiunto) e l’altra con Pretore avente giurisdizione negli altri Comuni del distretto (Pretura di Locarno-Campagna, nella quale vi sono parimenti un Pretore ed un Pretore aggiunto);</w:t>
      </w:r>
    </w:p>
    <w:p w:rsidR="00C16CB2" w:rsidRPr="00C16CB2" w:rsidRDefault="00C16CB2" w:rsidP="00C16CB2">
      <w:pPr>
        <w:widowControl w:val="0"/>
        <w:numPr>
          <w:ilvl w:val="0"/>
          <w:numId w:val="19"/>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kern w:val="3"/>
          <w:sz w:val="24"/>
          <w:szCs w:val="24"/>
          <w:lang w:bidi="hi-IN"/>
        </w:rPr>
        <w:t>per il Distretto di Bellinzona vi è una Pretura per tutto il territorio distrettuale, con un Pretore e due Pretori aggiunti;</w:t>
      </w:r>
    </w:p>
    <w:p w:rsidR="00C16CB2" w:rsidRPr="00C16CB2" w:rsidRDefault="00C16CB2" w:rsidP="00C16CB2">
      <w:pPr>
        <w:widowControl w:val="0"/>
        <w:numPr>
          <w:ilvl w:val="0"/>
          <w:numId w:val="19"/>
        </w:numPr>
        <w:suppressAutoHyphens/>
        <w:autoSpaceDN w:val="0"/>
        <w:spacing w:before="120"/>
        <w:ind w:left="357" w:hanging="357"/>
        <w:textAlignment w:val="baseline"/>
        <w:rPr>
          <w:rFonts w:eastAsia="SimSun" w:cs="Arial"/>
          <w:kern w:val="3"/>
          <w:sz w:val="24"/>
          <w:szCs w:val="24"/>
          <w:lang w:bidi="hi-IN"/>
        </w:rPr>
      </w:pPr>
      <w:r w:rsidRPr="00C16CB2">
        <w:rPr>
          <w:rFonts w:eastAsia="SimSun" w:cs="Arial"/>
          <w:kern w:val="3"/>
          <w:sz w:val="24"/>
          <w:szCs w:val="24"/>
          <w:lang w:bidi="hi-IN"/>
        </w:rPr>
        <w:t xml:space="preserve">mentre nei distretti di </w:t>
      </w:r>
      <w:proofErr w:type="spellStart"/>
      <w:r w:rsidRPr="00C16CB2">
        <w:rPr>
          <w:rFonts w:eastAsia="SimSun" w:cs="Arial"/>
          <w:kern w:val="3"/>
          <w:sz w:val="24"/>
          <w:szCs w:val="24"/>
          <w:lang w:bidi="hi-IN"/>
        </w:rPr>
        <w:t>Vallemaggia</w:t>
      </w:r>
      <w:proofErr w:type="spellEnd"/>
      <w:r w:rsidRPr="00C16CB2">
        <w:rPr>
          <w:rFonts w:eastAsia="SimSun" w:cs="Arial"/>
          <w:kern w:val="3"/>
          <w:sz w:val="24"/>
          <w:szCs w:val="24"/>
          <w:lang w:bidi="hi-IN"/>
        </w:rPr>
        <w:t xml:space="preserve">, Riviera, </w:t>
      </w:r>
      <w:proofErr w:type="spellStart"/>
      <w:r w:rsidRPr="00C16CB2">
        <w:rPr>
          <w:rFonts w:eastAsia="SimSun" w:cs="Arial"/>
          <w:kern w:val="3"/>
          <w:sz w:val="24"/>
          <w:szCs w:val="24"/>
          <w:lang w:bidi="hi-IN"/>
        </w:rPr>
        <w:t>Blenio</w:t>
      </w:r>
      <w:proofErr w:type="spellEnd"/>
      <w:r w:rsidRPr="00C16CB2">
        <w:rPr>
          <w:rFonts w:eastAsia="SimSun" w:cs="Arial"/>
          <w:kern w:val="3"/>
          <w:sz w:val="24"/>
          <w:szCs w:val="24"/>
          <w:lang w:bidi="hi-IN"/>
        </w:rPr>
        <w:t xml:space="preserve"> e </w:t>
      </w:r>
      <w:proofErr w:type="spellStart"/>
      <w:r w:rsidRPr="00C16CB2">
        <w:rPr>
          <w:rFonts w:eastAsia="SimSun" w:cs="Arial"/>
          <w:kern w:val="3"/>
          <w:sz w:val="24"/>
          <w:szCs w:val="24"/>
          <w:lang w:bidi="hi-IN"/>
        </w:rPr>
        <w:t>Leventina</w:t>
      </w:r>
      <w:proofErr w:type="spellEnd"/>
      <w:r w:rsidRPr="00C16CB2">
        <w:rPr>
          <w:rFonts w:eastAsia="SimSun" w:cs="Arial"/>
          <w:kern w:val="3"/>
          <w:sz w:val="24"/>
          <w:szCs w:val="24"/>
          <w:lang w:bidi="hi-IN"/>
        </w:rPr>
        <w:t xml:space="preserve"> non vi sono Pretori aggiunti bensì un solo Pretore per Pretura.</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Per il Distretto di Lugano, l’art. 32 cpv. 2 LOG indica unicamente che vi è una sola Pretura, nella quale vi sono sei Pretori, uno dei quali la presiede, e quattro Pretori aggiunti.</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 xml:space="preserve">Occorre far capo al Regolamento delle Preture (RL 177.120) per osservare che, giusta il suo art. 9, la Pretura del Distretto di Lugano si suddivide in sei Sezioni, ciascuna diretta da un Pretore, ma con competenze ripartite </w:t>
      </w:r>
      <w:r w:rsidRPr="00C16CB2">
        <w:rPr>
          <w:rFonts w:eastAsia="SimSun" w:cs="Arial"/>
          <w:i/>
          <w:iCs/>
          <w:kern w:val="3"/>
          <w:sz w:val="24"/>
          <w:szCs w:val="24"/>
          <w:lang w:bidi="hi-IN"/>
        </w:rPr>
        <w:t>ex</w:t>
      </w:r>
      <w:r w:rsidRPr="00C16CB2">
        <w:rPr>
          <w:rFonts w:eastAsia="SimSun" w:cs="Arial"/>
          <w:kern w:val="3"/>
          <w:sz w:val="24"/>
          <w:szCs w:val="24"/>
          <w:lang w:bidi="hi-IN"/>
        </w:rPr>
        <w:t xml:space="preserve"> art. 9 cpv. 2 R delle Preture nel seguente modo:</w:t>
      </w:r>
    </w:p>
    <w:p w:rsidR="00C16CB2" w:rsidRPr="00C16CB2" w:rsidRDefault="00C16CB2" w:rsidP="00C16CB2">
      <w:pPr>
        <w:widowControl w:val="0"/>
        <w:numPr>
          <w:ilvl w:val="0"/>
          <w:numId w:val="20"/>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b/>
          <w:bCs/>
          <w:kern w:val="3"/>
          <w:sz w:val="24"/>
          <w:szCs w:val="24"/>
          <w:lang w:bidi="hi-IN"/>
        </w:rPr>
        <w:t>Sezione 1</w:t>
      </w:r>
      <w:r w:rsidRPr="00C16CB2">
        <w:rPr>
          <w:rFonts w:eastAsia="SimSun" w:cs="Arial"/>
          <w:kern w:val="3"/>
          <w:sz w:val="24"/>
          <w:szCs w:val="24"/>
          <w:lang w:bidi="hi-IN"/>
        </w:rPr>
        <w:t xml:space="preserve">: cause con foro nei quartieri di Besso, </w:t>
      </w:r>
      <w:proofErr w:type="spellStart"/>
      <w:r w:rsidRPr="00C16CB2">
        <w:rPr>
          <w:rFonts w:eastAsia="SimSun" w:cs="Arial"/>
          <w:kern w:val="3"/>
          <w:sz w:val="24"/>
          <w:szCs w:val="24"/>
          <w:lang w:bidi="hi-IN"/>
        </w:rPr>
        <w:t>Brè-Aldesago</w:t>
      </w:r>
      <w:proofErr w:type="spellEnd"/>
      <w:r w:rsidRPr="00C16CB2">
        <w:rPr>
          <w:rFonts w:eastAsia="SimSun" w:cs="Arial"/>
          <w:kern w:val="3"/>
          <w:sz w:val="24"/>
          <w:szCs w:val="24"/>
          <w:lang w:bidi="hi-IN"/>
        </w:rPr>
        <w:t>, Castagnola-</w:t>
      </w:r>
      <w:proofErr w:type="spellStart"/>
      <w:r w:rsidRPr="00C16CB2">
        <w:rPr>
          <w:rFonts w:eastAsia="SimSun" w:cs="Arial"/>
          <w:kern w:val="3"/>
          <w:sz w:val="24"/>
          <w:szCs w:val="24"/>
          <w:lang w:bidi="hi-IN"/>
        </w:rPr>
        <w:t>Cassarate</w:t>
      </w:r>
      <w:proofErr w:type="spellEnd"/>
      <w:r w:rsidRPr="00C16CB2">
        <w:rPr>
          <w:rFonts w:eastAsia="SimSun" w:cs="Arial"/>
          <w:kern w:val="3"/>
          <w:sz w:val="24"/>
          <w:szCs w:val="24"/>
          <w:lang w:bidi="hi-IN"/>
        </w:rPr>
        <w:t>, Centro, Loreto e Molino Nuovo del Comune di Lugano, ad esclusione delle cause assegnate alle Sezioni 4, 5 e 6;</w:t>
      </w:r>
      <w:bookmarkStart w:id="3" w:name="_ftnref3"/>
      <w:bookmarkEnd w:id="3"/>
    </w:p>
    <w:p w:rsidR="00C16CB2" w:rsidRPr="00C16CB2" w:rsidRDefault="00C16CB2" w:rsidP="00C16CB2">
      <w:pPr>
        <w:widowControl w:val="0"/>
        <w:numPr>
          <w:ilvl w:val="0"/>
          <w:numId w:val="20"/>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b/>
          <w:bCs/>
          <w:kern w:val="3"/>
          <w:sz w:val="24"/>
          <w:szCs w:val="24"/>
          <w:lang w:bidi="hi-IN"/>
        </w:rPr>
        <w:t>Sezione 2</w:t>
      </w:r>
      <w:r w:rsidRPr="00C16CB2">
        <w:rPr>
          <w:rFonts w:eastAsia="SimSun" w:cs="Arial"/>
          <w:kern w:val="3"/>
          <w:sz w:val="24"/>
          <w:szCs w:val="24"/>
          <w:lang w:bidi="hi-IN"/>
        </w:rPr>
        <w:t xml:space="preserve">: cause con foro nei quartieri di </w:t>
      </w:r>
      <w:proofErr w:type="spellStart"/>
      <w:r w:rsidRPr="00C16CB2">
        <w:rPr>
          <w:rFonts w:eastAsia="SimSun" w:cs="Arial"/>
          <w:kern w:val="3"/>
          <w:sz w:val="24"/>
          <w:szCs w:val="24"/>
          <w:lang w:bidi="hi-IN"/>
        </w:rPr>
        <w:t>Breganzona</w:t>
      </w:r>
      <w:proofErr w:type="spellEnd"/>
      <w:r w:rsidRPr="00C16CB2">
        <w:rPr>
          <w:rFonts w:eastAsia="SimSun" w:cs="Arial"/>
          <w:kern w:val="3"/>
          <w:sz w:val="24"/>
          <w:szCs w:val="24"/>
          <w:lang w:bidi="hi-IN"/>
        </w:rPr>
        <w:t xml:space="preserve"> e Villa Luganese del Comune di Lugano, nonché nei Comuni dei Circoli della </w:t>
      </w:r>
      <w:proofErr w:type="spellStart"/>
      <w:r w:rsidRPr="00C16CB2">
        <w:rPr>
          <w:rFonts w:eastAsia="SimSun" w:cs="Arial"/>
          <w:kern w:val="3"/>
          <w:sz w:val="24"/>
          <w:szCs w:val="24"/>
          <w:lang w:bidi="hi-IN"/>
        </w:rPr>
        <w:t>Magliasina</w:t>
      </w:r>
      <w:proofErr w:type="spellEnd"/>
      <w:r w:rsidRPr="00C16CB2">
        <w:rPr>
          <w:rFonts w:eastAsia="SimSun" w:cs="Arial"/>
          <w:kern w:val="3"/>
          <w:sz w:val="24"/>
          <w:szCs w:val="24"/>
          <w:lang w:bidi="hi-IN"/>
        </w:rPr>
        <w:t xml:space="preserve">, di Agno, di Sessa, di Sonvico, di Vezia tranne i Comuni di </w:t>
      </w:r>
      <w:proofErr w:type="spellStart"/>
      <w:r w:rsidRPr="00C16CB2">
        <w:rPr>
          <w:rFonts w:eastAsia="SimSun" w:cs="Arial"/>
          <w:kern w:val="3"/>
          <w:sz w:val="24"/>
          <w:szCs w:val="24"/>
          <w:lang w:bidi="hi-IN"/>
        </w:rPr>
        <w:t>Sorengo</w:t>
      </w:r>
      <w:proofErr w:type="spellEnd"/>
      <w:r w:rsidRPr="00C16CB2">
        <w:rPr>
          <w:rFonts w:eastAsia="SimSun" w:cs="Arial"/>
          <w:kern w:val="3"/>
          <w:sz w:val="24"/>
          <w:szCs w:val="24"/>
          <w:lang w:bidi="hi-IN"/>
        </w:rPr>
        <w:t xml:space="preserve"> e </w:t>
      </w:r>
      <w:proofErr w:type="spellStart"/>
      <w:r w:rsidRPr="00C16CB2">
        <w:rPr>
          <w:rFonts w:eastAsia="SimSun" w:cs="Arial"/>
          <w:kern w:val="3"/>
          <w:sz w:val="24"/>
          <w:szCs w:val="24"/>
          <w:lang w:bidi="hi-IN"/>
        </w:rPr>
        <w:t>Massagno</w:t>
      </w:r>
      <w:proofErr w:type="spellEnd"/>
      <w:r w:rsidRPr="00C16CB2">
        <w:rPr>
          <w:rFonts w:eastAsia="SimSun" w:cs="Arial"/>
          <w:kern w:val="3"/>
          <w:sz w:val="24"/>
          <w:szCs w:val="24"/>
          <w:lang w:bidi="hi-IN"/>
        </w:rPr>
        <w:t xml:space="preserve">, di Breno, di </w:t>
      </w:r>
      <w:proofErr w:type="spellStart"/>
      <w:r w:rsidRPr="00C16CB2">
        <w:rPr>
          <w:rFonts w:eastAsia="SimSun" w:cs="Arial"/>
          <w:kern w:val="3"/>
          <w:sz w:val="24"/>
          <w:szCs w:val="24"/>
          <w:lang w:bidi="hi-IN"/>
        </w:rPr>
        <w:t>Capriasca</w:t>
      </w:r>
      <w:proofErr w:type="spellEnd"/>
      <w:r w:rsidRPr="00C16CB2">
        <w:rPr>
          <w:rFonts w:eastAsia="SimSun" w:cs="Arial"/>
          <w:kern w:val="3"/>
          <w:sz w:val="24"/>
          <w:szCs w:val="24"/>
          <w:lang w:bidi="hi-IN"/>
        </w:rPr>
        <w:t xml:space="preserve"> e di Taverne, </w:t>
      </w:r>
      <w:r w:rsidRPr="00C16CB2">
        <w:rPr>
          <w:rFonts w:eastAsia="SimSun" w:cs="Arial"/>
          <w:kern w:val="3"/>
          <w:sz w:val="24"/>
          <w:szCs w:val="24"/>
          <w:lang w:bidi="hi-IN"/>
        </w:rPr>
        <w:lastRenderedPageBreak/>
        <w:t>ad esclusione delle cause assegnate alle Sezioni 4, 5 e 6;</w:t>
      </w:r>
    </w:p>
    <w:p w:rsidR="00C16CB2" w:rsidRPr="00C16CB2" w:rsidRDefault="00C16CB2" w:rsidP="00C16CB2">
      <w:pPr>
        <w:widowControl w:val="0"/>
        <w:numPr>
          <w:ilvl w:val="0"/>
          <w:numId w:val="20"/>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b/>
          <w:bCs/>
          <w:kern w:val="3"/>
          <w:sz w:val="24"/>
          <w:szCs w:val="24"/>
          <w:lang w:bidi="hi-IN"/>
        </w:rPr>
        <w:t>Sezione 3</w:t>
      </w:r>
      <w:r w:rsidRPr="00C16CB2">
        <w:rPr>
          <w:rFonts w:eastAsia="SimSun" w:cs="Arial"/>
          <w:kern w:val="3"/>
          <w:sz w:val="24"/>
          <w:szCs w:val="24"/>
          <w:lang w:bidi="hi-IN"/>
        </w:rPr>
        <w:t xml:space="preserve">: cause con foro nei rimanenti Comuni del Distretto di Lugano e nei quartieri di </w:t>
      </w:r>
      <w:proofErr w:type="spellStart"/>
      <w:r w:rsidRPr="00C16CB2">
        <w:rPr>
          <w:rFonts w:eastAsia="SimSun" w:cs="Arial"/>
          <w:kern w:val="3"/>
          <w:sz w:val="24"/>
          <w:szCs w:val="24"/>
          <w:lang w:bidi="hi-IN"/>
        </w:rPr>
        <w:t>Barbengo</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Carabbia</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Cureggia</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Davesco-Soragno</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Gandria</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Pambio-Noranco</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Paz</w:t>
      </w:r>
      <w:r w:rsidRPr="00C16CB2">
        <w:rPr>
          <w:rFonts w:eastAsia="SimSun" w:cs="Arial"/>
          <w:kern w:val="3"/>
          <w:sz w:val="24"/>
          <w:szCs w:val="24"/>
          <w:lang w:bidi="hi-IN"/>
        </w:rPr>
        <w:softHyphen/>
        <w:t>zallo</w:t>
      </w:r>
      <w:proofErr w:type="spellEnd"/>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Pregassona</w:t>
      </w:r>
      <w:proofErr w:type="spellEnd"/>
      <w:r w:rsidRPr="00C16CB2">
        <w:rPr>
          <w:rFonts w:eastAsia="SimSun" w:cs="Arial"/>
          <w:kern w:val="3"/>
          <w:sz w:val="24"/>
          <w:szCs w:val="24"/>
          <w:lang w:bidi="hi-IN"/>
        </w:rPr>
        <w:t xml:space="preserve"> e </w:t>
      </w:r>
      <w:proofErr w:type="spellStart"/>
      <w:r w:rsidRPr="00C16CB2">
        <w:rPr>
          <w:rFonts w:eastAsia="SimSun" w:cs="Arial"/>
          <w:kern w:val="3"/>
          <w:sz w:val="24"/>
          <w:szCs w:val="24"/>
          <w:lang w:bidi="hi-IN"/>
        </w:rPr>
        <w:t>Viganello</w:t>
      </w:r>
      <w:proofErr w:type="spellEnd"/>
      <w:r w:rsidRPr="00C16CB2">
        <w:rPr>
          <w:rFonts w:eastAsia="SimSun" w:cs="Arial"/>
          <w:kern w:val="3"/>
          <w:sz w:val="24"/>
          <w:szCs w:val="24"/>
          <w:lang w:bidi="hi-IN"/>
        </w:rPr>
        <w:t xml:space="preserve"> del Comune di Lugano, ad esclusione delle cause assegnate alle Sezioni 4, 5 e 6;</w:t>
      </w:r>
    </w:p>
    <w:p w:rsidR="00C16CB2" w:rsidRPr="00C16CB2" w:rsidRDefault="00C16CB2" w:rsidP="00C16CB2">
      <w:pPr>
        <w:widowControl w:val="0"/>
        <w:numPr>
          <w:ilvl w:val="0"/>
          <w:numId w:val="20"/>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b/>
          <w:bCs/>
          <w:kern w:val="3"/>
          <w:sz w:val="24"/>
          <w:szCs w:val="24"/>
          <w:lang w:bidi="hi-IN"/>
        </w:rPr>
        <w:t>Sezione 4</w:t>
      </w:r>
      <w:r w:rsidRPr="00C16CB2">
        <w:rPr>
          <w:rFonts w:eastAsia="SimSun" w:cs="Arial"/>
          <w:kern w:val="3"/>
          <w:sz w:val="24"/>
          <w:szCs w:val="24"/>
          <w:lang w:bidi="hi-IN"/>
        </w:rPr>
        <w:t xml:space="preserve">: cause aventi per oggetto il diritto di famiglia, in alternanza con la Sezione 6, di diritto successorio e di diritto della locazione e dell’affitto; </w:t>
      </w:r>
    </w:p>
    <w:p w:rsidR="00C16CB2" w:rsidRPr="00C16CB2" w:rsidRDefault="00C16CB2" w:rsidP="00C16CB2">
      <w:pPr>
        <w:widowControl w:val="0"/>
        <w:numPr>
          <w:ilvl w:val="0"/>
          <w:numId w:val="20"/>
        </w:numPr>
        <w:suppressAutoHyphens/>
        <w:autoSpaceDN w:val="0"/>
        <w:spacing w:before="120" w:after="160" w:line="254" w:lineRule="auto"/>
        <w:ind w:left="357" w:hanging="357"/>
        <w:textAlignment w:val="baseline"/>
        <w:rPr>
          <w:rFonts w:eastAsia="SimSun" w:cs="Arial"/>
          <w:kern w:val="3"/>
          <w:sz w:val="24"/>
          <w:szCs w:val="24"/>
          <w:lang w:bidi="hi-IN"/>
        </w:rPr>
      </w:pPr>
      <w:r w:rsidRPr="00C16CB2">
        <w:rPr>
          <w:rFonts w:eastAsia="SimSun" w:cs="Arial"/>
          <w:b/>
          <w:bCs/>
          <w:kern w:val="3"/>
          <w:sz w:val="24"/>
          <w:szCs w:val="24"/>
          <w:lang w:bidi="hi-IN"/>
        </w:rPr>
        <w:t>Sezione 5</w:t>
      </w:r>
      <w:r w:rsidRPr="00C16CB2">
        <w:rPr>
          <w:rFonts w:eastAsia="SimSun" w:cs="Arial"/>
          <w:kern w:val="3"/>
          <w:sz w:val="24"/>
          <w:szCs w:val="24"/>
          <w:lang w:bidi="hi-IN"/>
        </w:rPr>
        <w:t xml:space="preserve">: cause definite agli artt. 251 CPC, 249 </w:t>
      </w:r>
      <w:proofErr w:type="spellStart"/>
      <w:r w:rsidRPr="00C16CB2">
        <w:rPr>
          <w:rFonts w:eastAsia="SimSun" w:cs="Arial"/>
          <w:kern w:val="3"/>
          <w:sz w:val="24"/>
          <w:szCs w:val="24"/>
          <w:lang w:bidi="hi-IN"/>
        </w:rPr>
        <w:t>lett</w:t>
      </w:r>
      <w:proofErr w:type="spellEnd"/>
      <w:r w:rsidRPr="00C16CB2">
        <w:rPr>
          <w:rFonts w:eastAsia="SimSun" w:cs="Arial"/>
          <w:kern w:val="3"/>
          <w:sz w:val="24"/>
          <w:szCs w:val="24"/>
          <w:lang w:bidi="hi-IN"/>
        </w:rPr>
        <w:t xml:space="preserve">. a n. 2 CPC, 249 </w:t>
      </w:r>
      <w:proofErr w:type="spellStart"/>
      <w:r w:rsidRPr="00C16CB2">
        <w:rPr>
          <w:rFonts w:eastAsia="SimSun" w:cs="Arial"/>
          <w:kern w:val="3"/>
          <w:sz w:val="24"/>
          <w:szCs w:val="24"/>
          <w:lang w:bidi="hi-IN"/>
        </w:rPr>
        <w:t>lett</w:t>
      </w:r>
      <w:proofErr w:type="spellEnd"/>
      <w:r w:rsidRPr="00C16CB2">
        <w:rPr>
          <w:rFonts w:eastAsia="SimSun" w:cs="Arial"/>
          <w:kern w:val="3"/>
          <w:sz w:val="24"/>
          <w:szCs w:val="24"/>
          <w:lang w:bidi="hi-IN"/>
        </w:rPr>
        <w:t xml:space="preserve">. b CPC, 249 </w:t>
      </w:r>
      <w:proofErr w:type="spellStart"/>
      <w:r w:rsidRPr="00C16CB2">
        <w:rPr>
          <w:rFonts w:eastAsia="SimSun" w:cs="Arial"/>
          <w:kern w:val="3"/>
          <w:sz w:val="24"/>
          <w:szCs w:val="24"/>
          <w:lang w:bidi="hi-IN"/>
        </w:rPr>
        <w:t>lett</w:t>
      </w:r>
      <w:proofErr w:type="spellEnd"/>
      <w:r w:rsidRPr="00C16CB2">
        <w:rPr>
          <w:rFonts w:eastAsia="SimSun" w:cs="Arial"/>
          <w:kern w:val="3"/>
          <w:sz w:val="24"/>
          <w:szCs w:val="24"/>
          <w:lang w:bidi="hi-IN"/>
        </w:rPr>
        <w:t xml:space="preserve">. d </w:t>
      </w:r>
      <w:proofErr w:type="spellStart"/>
      <w:r w:rsidRPr="00C16CB2">
        <w:rPr>
          <w:rFonts w:eastAsia="SimSun" w:cs="Arial"/>
          <w:kern w:val="3"/>
          <w:sz w:val="24"/>
          <w:szCs w:val="24"/>
          <w:lang w:bidi="hi-IN"/>
        </w:rPr>
        <w:t>nn</w:t>
      </w:r>
      <w:proofErr w:type="spellEnd"/>
      <w:r w:rsidRPr="00C16CB2">
        <w:rPr>
          <w:rFonts w:eastAsia="SimSun" w:cs="Arial"/>
          <w:kern w:val="3"/>
          <w:sz w:val="24"/>
          <w:szCs w:val="24"/>
          <w:lang w:bidi="hi-IN"/>
        </w:rPr>
        <w:t xml:space="preserve">. 1-4 e 6-10 CPC, 250 </w:t>
      </w:r>
      <w:proofErr w:type="spellStart"/>
      <w:r w:rsidRPr="00C16CB2">
        <w:rPr>
          <w:rFonts w:eastAsia="SimSun" w:cs="Arial"/>
          <w:kern w:val="3"/>
          <w:sz w:val="24"/>
          <w:szCs w:val="24"/>
          <w:lang w:bidi="hi-IN"/>
        </w:rPr>
        <w:t>lett</w:t>
      </w:r>
      <w:proofErr w:type="spellEnd"/>
      <w:r w:rsidRPr="00C16CB2">
        <w:rPr>
          <w:rFonts w:eastAsia="SimSun" w:cs="Arial"/>
          <w:kern w:val="3"/>
          <w:sz w:val="24"/>
          <w:szCs w:val="24"/>
          <w:lang w:bidi="hi-IN"/>
        </w:rPr>
        <w:t xml:space="preserve">. c </w:t>
      </w:r>
      <w:proofErr w:type="spellStart"/>
      <w:proofErr w:type="gramStart"/>
      <w:r w:rsidRPr="00C16CB2">
        <w:rPr>
          <w:rFonts w:eastAsia="SimSun" w:cs="Arial"/>
          <w:kern w:val="3"/>
          <w:sz w:val="24"/>
          <w:szCs w:val="24"/>
          <w:lang w:bidi="hi-IN"/>
        </w:rPr>
        <w:t>nn.i</w:t>
      </w:r>
      <w:proofErr w:type="spellEnd"/>
      <w:proofErr w:type="gramEnd"/>
      <w:r w:rsidRPr="00C16CB2">
        <w:rPr>
          <w:rFonts w:eastAsia="SimSun" w:cs="Arial"/>
          <w:kern w:val="3"/>
          <w:sz w:val="24"/>
          <w:szCs w:val="24"/>
          <w:lang w:bidi="hi-IN"/>
        </w:rPr>
        <w:t xml:space="preserve"> 1-7 e 9-10 CPC, 250 </w:t>
      </w:r>
      <w:proofErr w:type="spellStart"/>
      <w:r w:rsidRPr="00C16CB2">
        <w:rPr>
          <w:rFonts w:eastAsia="SimSun" w:cs="Arial"/>
          <w:kern w:val="3"/>
          <w:sz w:val="24"/>
          <w:szCs w:val="24"/>
          <w:lang w:bidi="hi-IN"/>
        </w:rPr>
        <w:t>lett</w:t>
      </w:r>
      <w:proofErr w:type="spellEnd"/>
      <w:r w:rsidRPr="00C16CB2">
        <w:rPr>
          <w:rFonts w:eastAsia="SimSun" w:cs="Arial"/>
          <w:kern w:val="3"/>
          <w:sz w:val="24"/>
          <w:szCs w:val="24"/>
          <w:lang w:bidi="hi-IN"/>
        </w:rPr>
        <w:t xml:space="preserve">. d CPC, delle procedure sommarie, dell’assistenza giudiziaria tra tribunali svizzeri e delle procedure riguardanti le commissioni rogatorie; </w:t>
      </w:r>
    </w:p>
    <w:p w:rsidR="00C16CB2" w:rsidRPr="00C16CB2" w:rsidRDefault="00C16CB2" w:rsidP="00C16CB2">
      <w:pPr>
        <w:widowControl w:val="0"/>
        <w:numPr>
          <w:ilvl w:val="0"/>
          <w:numId w:val="20"/>
        </w:numPr>
        <w:suppressAutoHyphens/>
        <w:autoSpaceDN w:val="0"/>
        <w:spacing w:before="120"/>
        <w:ind w:left="357" w:hanging="357"/>
        <w:textAlignment w:val="baseline"/>
        <w:rPr>
          <w:rFonts w:eastAsia="SimSun" w:cs="Arial"/>
          <w:kern w:val="3"/>
          <w:sz w:val="24"/>
          <w:szCs w:val="24"/>
          <w:lang w:bidi="hi-IN"/>
        </w:rPr>
      </w:pPr>
      <w:r w:rsidRPr="00C16CB2">
        <w:rPr>
          <w:rFonts w:eastAsia="SimSun" w:cs="Arial"/>
          <w:b/>
          <w:bCs/>
          <w:kern w:val="3"/>
          <w:sz w:val="24"/>
          <w:szCs w:val="24"/>
          <w:lang w:bidi="hi-IN"/>
        </w:rPr>
        <w:t>Sezione 6</w:t>
      </w:r>
      <w:r w:rsidRPr="00C16CB2">
        <w:rPr>
          <w:rFonts w:eastAsia="SimSun" w:cs="Arial"/>
          <w:kern w:val="3"/>
          <w:sz w:val="24"/>
          <w:szCs w:val="24"/>
          <w:lang w:bidi="hi-IN"/>
        </w:rPr>
        <w:t xml:space="preserve">: procedure di cui agli artt. 271 CPC, 302 cpv. 1 </w:t>
      </w:r>
      <w:proofErr w:type="spellStart"/>
      <w:r w:rsidRPr="00C16CB2">
        <w:rPr>
          <w:rFonts w:eastAsia="SimSun" w:cs="Arial"/>
          <w:kern w:val="3"/>
          <w:sz w:val="24"/>
          <w:szCs w:val="24"/>
          <w:lang w:bidi="hi-IN"/>
        </w:rPr>
        <w:t>lett</w:t>
      </w:r>
      <w:proofErr w:type="spellEnd"/>
      <w:r w:rsidRPr="00C16CB2">
        <w:rPr>
          <w:rFonts w:eastAsia="SimSun" w:cs="Arial"/>
          <w:kern w:val="3"/>
          <w:sz w:val="24"/>
          <w:szCs w:val="24"/>
          <w:lang w:bidi="hi-IN"/>
        </w:rPr>
        <w:t>. b e c CPC, 305 CPC, delle procedure sommarie, nonché di altre cause in materia di diritto di famiglia, in alternanza con la Sezione 4;</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 xml:space="preserve">tenuto conto, inoltre, delle precisazioni ulteriori previste </w:t>
      </w:r>
      <w:r w:rsidRPr="00C16CB2">
        <w:rPr>
          <w:rFonts w:eastAsia="Calibri" w:cs="Arial"/>
          <w:sz w:val="24"/>
          <w:szCs w:val="24"/>
        </w:rPr>
        <w:t>ai successivi capoversi 3, 4 e 5 del citato articolo.</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 xml:space="preserve">Giusta l’art. 10 cpv. 1 R delle Preture: </w:t>
      </w:r>
      <w:r w:rsidRPr="00C16CB2">
        <w:rPr>
          <w:rFonts w:eastAsia="SimSun" w:cs="Arial"/>
          <w:i/>
          <w:kern w:val="3"/>
          <w:sz w:val="24"/>
          <w:szCs w:val="24"/>
          <w:lang w:bidi="hi-IN"/>
        </w:rPr>
        <w:t>«</w:t>
      </w:r>
      <w:r w:rsidRPr="00C16CB2">
        <w:rPr>
          <w:rFonts w:eastAsia="SimSun" w:cs="Arial"/>
          <w:i/>
          <w:iCs/>
          <w:kern w:val="3"/>
          <w:sz w:val="24"/>
          <w:szCs w:val="24"/>
          <w:lang w:bidi="hi-IN"/>
        </w:rPr>
        <w:t>I pretori designano i singoli magistrati preposti alle sei Sezioni, garantito il diritto preferenziale di opzione dei magistrati in base all’ordine di anzianità di carica</w:t>
      </w:r>
      <w:r w:rsidRPr="00C16CB2">
        <w:rPr>
          <w:rFonts w:eastAsia="SimSun" w:cs="Arial"/>
          <w:i/>
          <w:kern w:val="3"/>
          <w:sz w:val="24"/>
          <w:szCs w:val="24"/>
          <w:lang w:bidi="hi-IN"/>
        </w:rPr>
        <w:t>»</w:t>
      </w:r>
      <w:r w:rsidRPr="00C16CB2">
        <w:rPr>
          <w:rFonts w:eastAsia="SimSun" w:cs="Arial"/>
          <w:kern w:val="3"/>
          <w:sz w:val="24"/>
          <w:szCs w:val="24"/>
          <w:lang w:bidi="hi-IN"/>
        </w:rPr>
        <w:t>.</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 xml:space="preserve">Orbene, non a torto il Governo osserva che il diritto di opzione previsto nella surriferita norma </w:t>
      </w:r>
      <w:r w:rsidRPr="00C16CB2">
        <w:rPr>
          <w:rFonts w:eastAsia="SimSun" w:cs="Arial"/>
          <w:i/>
          <w:kern w:val="3"/>
          <w:sz w:val="24"/>
          <w:szCs w:val="24"/>
          <w:lang w:bidi="hi-IN"/>
        </w:rPr>
        <w:t>«</w:t>
      </w:r>
      <w:r w:rsidRPr="00C16CB2">
        <w:rPr>
          <w:rFonts w:eastAsia="Calibri" w:cs="Arial"/>
          <w:i/>
          <w:iCs/>
          <w:sz w:val="24"/>
          <w:szCs w:val="24"/>
        </w:rPr>
        <w:t>può pertanto essere esercitato dai singoli pretori prima o dopo la nomina di un nuovo magistrato in forza al consesso della Pretura del Distretto di Lugano</w:t>
      </w:r>
      <w:r w:rsidRPr="00C16CB2">
        <w:rPr>
          <w:rFonts w:eastAsia="SimSun" w:cs="Arial"/>
          <w:i/>
          <w:kern w:val="3"/>
          <w:sz w:val="24"/>
          <w:szCs w:val="24"/>
          <w:lang w:bidi="hi-IN"/>
        </w:rPr>
        <w:t>»</w:t>
      </w:r>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loc</w:t>
      </w:r>
      <w:proofErr w:type="spellEnd"/>
      <w:r w:rsidRPr="00C16CB2">
        <w:rPr>
          <w:rFonts w:eastAsia="SimSun" w:cs="Arial"/>
          <w:kern w:val="3"/>
          <w:sz w:val="24"/>
          <w:szCs w:val="24"/>
          <w:lang w:bidi="hi-IN"/>
        </w:rPr>
        <w:t xml:space="preserve">. cit., § II.1.2, pag. 3), libero esercizio nel tempo che favorisce peraltro </w:t>
      </w:r>
      <w:r w:rsidRPr="00C16CB2">
        <w:rPr>
          <w:rFonts w:eastAsia="SimSun" w:cs="Arial"/>
          <w:i/>
          <w:kern w:val="3"/>
          <w:sz w:val="24"/>
          <w:szCs w:val="24"/>
          <w:lang w:bidi="hi-IN"/>
        </w:rPr>
        <w:t>«</w:t>
      </w:r>
      <w:r w:rsidRPr="00C16CB2">
        <w:rPr>
          <w:rFonts w:eastAsia="Calibri" w:cs="Arial"/>
          <w:i/>
          <w:iCs/>
          <w:sz w:val="24"/>
          <w:szCs w:val="24"/>
        </w:rPr>
        <w:t>il fatto che le posizioni giudicanti in seno alla Pretura del Distretto di Lugano siano flessibili</w:t>
      </w:r>
      <w:r w:rsidRPr="00C16CB2">
        <w:rPr>
          <w:rFonts w:eastAsia="SimSun" w:cs="Arial"/>
          <w:i/>
          <w:kern w:val="3"/>
          <w:sz w:val="24"/>
          <w:szCs w:val="24"/>
          <w:lang w:bidi="hi-IN"/>
        </w:rPr>
        <w:t>»</w:t>
      </w:r>
      <w:r w:rsidRPr="00C16CB2">
        <w:rPr>
          <w:rFonts w:eastAsia="SimSun" w:cs="Arial"/>
          <w:kern w:val="3"/>
          <w:sz w:val="24"/>
          <w:szCs w:val="24"/>
          <w:lang w:bidi="hi-IN"/>
        </w:rPr>
        <w:t xml:space="preserve"> (</w:t>
      </w:r>
      <w:proofErr w:type="spellStart"/>
      <w:r w:rsidRPr="00C16CB2">
        <w:rPr>
          <w:rFonts w:eastAsia="SimSun" w:cs="Arial"/>
          <w:kern w:val="3"/>
          <w:sz w:val="24"/>
          <w:szCs w:val="24"/>
          <w:lang w:bidi="hi-IN"/>
        </w:rPr>
        <w:t>loc</w:t>
      </w:r>
      <w:proofErr w:type="spellEnd"/>
      <w:r w:rsidRPr="00C16CB2">
        <w:rPr>
          <w:rFonts w:eastAsia="SimSun" w:cs="Arial"/>
          <w:kern w:val="3"/>
          <w:sz w:val="24"/>
          <w:szCs w:val="24"/>
          <w:lang w:bidi="hi-IN"/>
        </w:rPr>
        <w:t xml:space="preserve">. cit., § II.1.3., pag. 4), e, soprattutto, annota e sottolinea che le vaste competenze chieste ai Pretori in ambito civile presuppongono </w:t>
      </w:r>
      <w:r w:rsidRPr="00C16CB2">
        <w:rPr>
          <w:rFonts w:eastAsia="SimSun" w:cs="Arial"/>
          <w:i/>
          <w:kern w:val="3"/>
          <w:sz w:val="24"/>
          <w:szCs w:val="24"/>
          <w:lang w:bidi="hi-IN"/>
        </w:rPr>
        <w:t>«</w:t>
      </w:r>
      <w:r w:rsidRPr="00C16CB2">
        <w:rPr>
          <w:rFonts w:eastAsia="Calibri" w:cs="Arial"/>
          <w:i/>
          <w:iCs/>
          <w:sz w:val="24"/>
          <w:szCs w:val="24"/>
        </w:rPr>
        <w:t>che chi riveste questa carica debba per principio essere un magistrato idoneo a occuparsi di qualsiasi tipologia di causa civile, a prescindere dal Distretto dove opera, dell’organizzazione della Pretura, come pure, con riferimento all’atto parlamentare qui in discussione, dall’attuale organizzazione della Pretura distrettuale di Lugano</w:t>
      </w:r>
      <w:r w:rsidRPr="00C16CB2">
        <w:rPr>
          <w:rFonts w:eastAsia="SimSun" w:cs="Arial"/>
          <w:i/>
          <w:kern w:val="3"/>
          <w:sz w:val="24"/>
          <w:szCs w:val="24"/>
          <w:lang w:bidi="hi-IN"/>
        </w:rPr>
        <w:t>»</w:t>
      </w:r>
      <w:r w:rsidRPr="00C16CB2">
        <w:rPr>
          <w:rFonts w:eastAsia="SimSun" w:cs="Arial"/>
          <w:kern w:val="3"/>
          <w:sz w:val="24"/>
          <w:szCs w:val="24"/>
          <w:lang w:bidi="hi-IN"/>
        </w:rPr>
        <w:t xml:space="preserve"> (</w:t>
      </w:r>
      <w:r w:rsidRPr="00C16CB2">
        <w:rPr>
          <w:rFonts w:eastAsia="SimSun" w:cs="Arial"/>
          <w:i/>
          <w:iCs/>
          <w:kern w:val="3"/>
          <w:sz w:val="24"/>
          <w:szCs w:val="24"/>
          <w:lang w:bidi="hi-IN"/>
        </w:rPr>
        <w:t>ibidem</w:t>
      </w:r>
      <w:r w:rsidRPr="00C16CB2">
        <w:rPr>
          <w:rFonts w:eastAsia="SimSun" w:cs="Arial"/>
          <w:kern w:val="3"/>
          <w:sz w:val="24"/>
          <w:szCs w:val="24"/>
          <w:lang w:bidi="hi-IN"/>
        </w:rPr>
        <w:t>, pag. 3).</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L’adozione del proposto art. 23 cpv. 1</w:t>
      </w:r>
      <w:r w:rsidRPr="00C16CB2">
        <w:rPr>
          <w:rFonts w:eastAsia="SimSun" w:cs="Arial"/>
          <w:kern w:val="3"/>
          <w:sz w:val="24"/>
          <w:szCs w:val="24"/>
          <w:vertAlign w:val="superscript"/>
          <w:lang w:bidi="hi-IN"/>
        </w:rPr>
        <w:t>bis</w:t>
      </w:r>
      <w:r w:rsidRPr="00C16CB2">
        <w:rPr>
          <w:rFonts w:eastAsia="SimSun" w:cs="Arial"/>
          <w:kern w:val="3"/>
          <w:sz w:val="24"/>
          <w:szCs w:val="24"/>
          <w:lang w:bidi="hi-IN"/>
        </w:rPr>
        <w:t xml:space="preserve"> LOG tenderebbe a cristallizzare l’anomalia luganese, allorquando l’auspicio, anche per la Pretura del Distretto di Lugano, è di un riparto in futuro esclusivamente territoriale e non (anche) per materie, parificando così le condizioni operative dei Pretori e Pretori aggiunti operanti nel Distretto di Lugano con quelle dei magistrati omologhi nel resto del Cantone.</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Default="00C16CB2">
      <w:pPr>
        <w:rPr>
          <w:rFonts w:eastAsia="SimSun" w:cs="Arial"/>
          <w:kern w:val="3"/>
          <w:sz w:val="24"/>
          <w:szCs w:val="24"/>
          <w:lang w:bidi="hi-IN"/>
        </w:rPr>
      </w:pPr>
      <w:r>
        <w:rPr>
          <w:rFonts w:eastAsia="SimSun" w:cs="Arial"/>
          <w:kern w:val="3"/>
          <w:sz w:val="24"/>
          <w:szCs w:val="24"/>
          <w:lang w:bidi="hi-IN"/>
        </w:rPr>
        <w:br w:type="page"/>
      </w:r>
    </w:p>
    <w:p w:rsidR="00C16CB2" w:rsidRPr="00C16CB2" w:rsidRDefault="00C16CB2" w:rsidP="00C16CB2">
      <w:pPr>
        <w:pStyle w:val="Titolo1"/>
        <w:numPr>
          <w:ilvl w:val="0"/>
          <w:numId w:val="18"/>
        </w:numPr>
        <w:tabs>
          <w:tab w:val="left" w:pos="567"/>
        </w:tabs>
        <w:spacing w:before="0"/>
        <w:ind w:left="567" w:hanging="567"/>
        <w:jc w:val="both"/>
        <w:rPr>
          <w:rFonts w:eastAsia="Calibri" w:cs="Times New Roman" w:hint="eastAsia"/>
          <w:caps/>
          <w:sz w:val="24"/>
          <w:szCs w:val="24"/>
          <w:lang w:val="it-IT" w:eastAsia="it-IT"/>
        </w:rPr>
      </w:pPr>
      <w:r w:rsidRPr="00C16CB2">
        <w:rPr>
          <w:rFonts w:eastAsia="Calibri" w:cs="Times New Roman"/>
          <w:caps/>
          <w:sz w:val="24"/>
          <w:szCs w:val="24"/>
          <w:lang w:val="it-IT" w:eastAsia="it-IT"/>
        </w:rPr>
        <w:lastRenderedPageBreak/>
        <w:t>APPROFONDIMENTI E CONSIDERAZIONI COMMISSIONALI</w:t>
      </w:r>
    </w:p>
    <w:p w:rsid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La Commissione giustizia e diritti, preso atto della limitata apertura del Governo a parte dell’atto parlamentare, ritiene anch’essa di raccomandare al Parlamento il suo respingimento per quanto attiene al proposto art. 23 cpv. 1</w:t>
      </w:r>
      <w:r w:rsidRPr="00C16CB2">
        <w:rPr>
          <w:rFonts w:eastAsia="SimSun" w:cs="Arial"/>
          <w:kern w:val="3"/>
          <w:sz w:val="24"/>
          <w:szCs w:val="24"/>
          <w:vertAlign w:val="superscript"/>
          <w:lang w:bidi="hi-IN"/>
        </w:rPr>
        <w:t>ter</w:t>
      </w:r>
      <w:r w:rsidRPr="00C16CB2">
        <w:rPr>
          <w:rFonts w:eastAsia="SimSun" w:cs="Arial"/>
          <w:kern w:val="3"/>
          <w:sz w:val="24"/>
          <w:szCs w:val="24"/>
          <w:lang w:bidi="hi-IN"/>
        </w:rPr>
        <w:t xml:space="preserve"> LOG, accogliendo per contro l’adeguamento proposto trattandosi del vigente art. 23 cpv. 1</w:t>
      </w:r>
      <w:r w:rsidRPr="00C16CB2">
        <w:rPr>
          <w:rFonts w:eastAsia="SimSun" w:cs="Arial"/>
          <w:kern w:val="3"/>
          <w:sz w:val="24"/>
          <w:szCs w:val="24"/>
          <w:vertAlign w:val="superscript"/>
          <w:lang w:bidi="hi-IN"/>
        </w:rPr>
        <w:t>bis</w:t>
      </w:r>
      <w:r w:rsidRPr="00C16CB2">
        <w:rPr>
          <w:rFonts w:eastAsia="SimSun" w:cs="Arial"/>
          <w:kern w:val="3"/>
          <w:sz w:val="24"/>
          <w:szCs w:val="24"/>
          <w:lang w:bidi="hi-IN"/>
        </w:rPr>
        <w:t xml:space="preserve"> LOG.</w:t>
      </w: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tabs>
          <w:tab w:val="left" w:pos="426"/>
        </w:tabs>
        <w:suppressAutoHyphens/>
        <w:autoSpaceDN w:val="0"/>
        <w:spacing w:after="160"/>
        <w:ind w:right="-1"/>
        <w:textAlignment w:val="baseline"/>
        <w:rPr>
          <w:rFonts w:eastAsia="SimSun" w:cs="Arial"/>
          <w:kern w:val="3"/>
          <w:sz w:val="24"/>
          <w:szCs w:val="24"/>
          <w:lang w:bidi="hi-IN"/>
        </w:rPr>
      </w:pPr>
      <w:r w:rsidRPr="00C16CB2">
        <w:rPr>
          <w:rFonts w:eastAsia="SimSun" w:cs="Arial"/>
          <w:kern w:val="3"/>
          <w:sz w:val="24"/>
          <w:szCs w:val="24"/>
          <w:lang w:bidi="hi-IN"/>
        </w:rPr>
        <w:t xml:space="preserve">Alla luce di queste intenzioni, preso atto di quanto dichiarato dall’allora Presidente della Pretura di Lugano, Pretora emerita Franca </w:t>
      </w:r>
      <w:proofErr w:type="spellStart"/>
      <w:r w:rsidRPr="00C16CB2">
        <w:rPr>
          <w:rFonts w:eastAsia="SimSun" w:cs="Arial"/>
          <w:kern w:val="3"/>
          <w:sz w:val="24"/>
          <w:szCs w:val="24"/>
          <w:lang w:bidi="hi-IN"/>
        </w:rPr>
        <w:t>Galfetti</w:t>
      </w:r>
      <w:proofErr w:type="spellEnd"/>
      <w:r w:rsidRPr="00C16CB2">
        <w:rPr>
          <w:rFonts w:eastAsia="SimSun" w:cs="Arial"/>
          <w:kern w:val="3"/>
          <w:sz w:val="24"/>
          <w:szCs w:val="24"/>
          <w:lang w:bidi="hi-IN"/>
        </w:rPr>
        <w:t xml:space="preserve"> Soldini in occasione della sua audizione del 14 novembre 2022, ovvero:</w:t>
      </w:r>
    </w:p>
    <w:p w:rsidR="00C16CB2" w:rsidRPr="00C16CB2" w:rsidRDefault="00C16CB2" w:rsidP="00C16CB2">
      <w:pPr>
        <w:tabs>
          <w:tab w:val="left" w:pos="426"/>
        </w:tabs>
        <w:suppressAutoHyphens/>
        <w:autoSpaceDN w:val="0"/>
        <w:spacing w:after="160"/>
        <w:ind w:left="426" w:right="-1"/>
        <w:textAlignment w:val="baseline"/>
        <w:rPr>
          <w:rFonts w:eastAsia="SimSun" w:cs="Arial"/>
          <w:kern w:val="3"/>
          <w:sz w:val="24"/>
          <w:szCs w:val="24"/>
          <w:lang w:bidi="hi-IN"/>
        </w:rPr>
      </w:pPr>
      <w:r w:rsidRPr="00C16CB2">
        <w:rPr>
          <w:rFonts w:eastAsia="SimSun" w:cs="Arial"/>
          <w:kern w:val="3"/>
          <w:sz w:val="24"/>
          <w:szCs w:val="24"/>
          <w:lang w:bidi="hi-IN"/>
        </w:rPr>
        <w:t>“</w:t>
      </w:r>
      <w:r w:rsidRPr="00C16CB2">
        <w:rPr>
          <w:rFonts w:eastAsia="SimSun" w:cs="Arial"/>
          <w:bCs/>
          <w:i/>
          <w:kern w:val="3"/>
          <w:sz w:val="24"/>
          <w:szCs w:val="24"/>
          <w:lang w:bidi="hi-IN"/>
        </w:rPr>
        <w:t>abbiamo recentemente votato il principio, che però dovrà essere portato avanti dal nuovo presidente (che entrerà in carica il 1° gennaio 2023) secondo cui, perlomeno per quanto riguarda le territoriali, d'ora innanzi non distribuiremo più i singoli incarti in base al territorio bensì in ordine di entrata, in modo che, a partire quando questa modifica del regolamento entrerà in vigore, ci sarà perlomeno una parità delle entrate di incarti. Dopo occorrerà trovare alcuni correttivi, ma queste sono questioni tecniche che non penso vi interessino molto</w:t>
      </w:r>
      <w:r w:rsidRPr="00C16CB2">
        <w:rPr>
          <w:rFonts w:eastAsia="SimSun" w:cs="Arial"/>
          <w:kern w:val="3"/>
          <w:sz w:val="24"/>
          <w:szCs w:val="24"/>
          <w:lang w:bidi="hi-IN"/>
        </w:rPr>
        <w:t>”</w:t>
      </w:r>
    </w:p>
    <w:p w:rsidR="00C16CB2" w:rsidRPr="00C16CB2" w:rsidRDefault="00C16CB2" w:rsidP="00C16CB2">
      <w:pPr>
        <w:tabs>
          <w:tab w:val="left" w:pos="426"/>
        </w:tabs>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la prima firmataria, membro della Commissione giustizia e diritti, rassicurata dal fatto che una certa revisione della Pretura di Lugano già risulta in corso, ha preannunciato la rinuncia a presentare un proprio Rapporto.</w:t>
      </w:r>
    </w:p>
    <w:p w:rsidR="00C16CB2" w:rsidRDefault="00C16CB2" w:rsidP="00C16CB2">
      <w:pPr>
        <w:tabs>
          <w:tab w:val="left" w:pos="426"/>
        </w:tabs>
        <w:suppressAutoHyphens/>
        <w:autoSpaceDN w:val="0"/>
        <w:jc w:val="left"/>
        <w:textAlignment w:val="baseline"/>
        <w:rPr>
          <w:rFonts w:eastAsia="SimSun" w:cs="Arial"/>
          <w:kern w:val="3"/>
          <w:sz w:val="24"/>
          <w:szCs w:val="24"/>
          <w:lang w:bidi="hi-IN"/>
        </w:rPr>
      </w:pPr>
    </w:p>
    <w:p w:rsidR="00C16CB2" w:rsidRDefault="00C16CB2" w:rsidP="00C16CB2">
      <w:pPr>
        <w:tabs>
          <w:tab w:val="left" w:pos="426"/>
        </w:tabs>
        <w:suppressAutoHyphens/>
        <w:autoSpaceDN w:val="0"/>
        <w:jc w:val="left"/>
        <w:textAlignment w:val="baseline"/>
        <w:rPr>
          <w:rFonts w:eastAsia="SimSun" w:cs="Arial"/>
          <w:kern w:val="3"/>
          <w:sz w:val="24"/>
          <w:szCs w:val="24"/>
          <w:lang w:bidi="hi-IN"/>
        </w:rPr>
      </w:pPr>
    </w:p>
    <w:p w:rsidR="00C16CB2" w:rsidRPr="00C16CB2" w:rsidRDefault="00C16CB2" w:rsidP="00C16CB2">
      <w:pPr>
        <w:tabs>
          <w:tab w:val="left" w:pos="426"/>
        </w:tabs>
        <w:suppressAutoHyphens/>
        <w:autoSpaceDN w:val="0"/>
        <w:jc w:val="left"/>
        <w:textAlignment w:val="baseline"/>
        <w:rPr>
          <w:rFonts w:eastAsia="SimSun" w:cs="Arial"/>
          <w:kern w:val="3"/>
          <w:sz w:val="24"/>
          <w:szCs w:val="24"/>
          <w:lang w:bidi="hi-IN"/>
        </w:rPr>
      </w:pPr>
    </w:p>
    <w:p w:rsidR="00C16CB2" w:rsidRPr="00C16CB2" w:rsidRDefault="00C16CB2" w:rsidP="00C16CB2">
      <w:pPr>
        <w:pStyle w:val="Titolo1"/>
        <w:numPr>
          <w:ilvl w:val="0"/>
          <w:numId w:val="18"/>
        </w:numPr>
        <w:tabs>
          <w:tab w:val="left" w:pos="567"/>
        </w:tabs>
        <w:spacing w:before="0"/>
        <w:ind w:left="567" w:hanging="567"/>
        <w:jc w:val="both"/>
        <w:rPr>
          <w:rFonts w:eastAsia="Calibri" w:cs="Times New Roman" w:hint="eastAsia"/>
          <w:caps/>
          <w:sz w:val="24"/>
          <w:szCs w:val="24"/>
          <w:lang w:val="it-IT" w:eastAsia="it-IT"/>
        </w:rPr>
      </w:pPr>
      <w:r w:rsidRPr="00C16CB2">
        <w:rPr>
          <w:rFonts w:eastAsia="Calibri" w:cs="Times New Roman"/>
          <w:caps/>
          <w:sz w:val="24"/>
          <w:szCs w:val="24"/>
          <w:lang w:val="it-IT" w:eastAsia="it-IT"/>
        </w:rPr>
        <w:t>CONCLUSIONI</w:t>
      </w:r>
    </w:p>
    <w:p w:rsidR="00C16CB2" w:rsidRPr="00C16CB2" w:rsidRDefault="00C16CB2" w:rsidP="00C16CB2">
      <w:pPr>
        <w:suppressAutoHyphens/>
        <w:autoSpaceDN w:val="0"/>
        <w:textAlignment w:val="baseline"/>
        <w:rPr>
          <w:rFonts w:ascii="Calibri" w:eastAsia="SimSun" w:hAnsi="Calibri" w:cs="Mangal"/>
          <w:kern w:val="3"/>
          <w:szCs w:val="20"/>
          <w:lang w:bidi="hi-IN"/>
        </w:rPr>
      </w:pPr>
      <w:r w:rsidRPr="00C16CB2">
        <w:rPr>
          <w:rFonts w:eastAsia="SimSun" w:cs="Arial"/>
          <w:kern w:val="3"/>
          <w:sz w:val="24"/>
          <w:szCs w:val="24"/>
          <w:lang w:bidi="hi-IN"/>
        </w:rPr>
        <w:t xml:space="preserve">Sulla scorta delle considerazioni suesposte, la maggioranza della Commissione giustizia e diritti invita il Gran Consiglio ad </w:t>
      </w:r>
      <w:r w:rsidR="001C686C">
        <w:rPr>
          <w:rFonts w:eastAsia="SimSun" w:cs="Arial"/>
          <w:kern w:val="3"/>
          <w:sz w:val="24"/>
          <w:szCs w:val="24"/>
          <w:lang w:bidi="hi-IN"/>
        </w:rPr>
        <w:t>approvare l’allegato d</w:t>
      </w:r>
      <w:r w:rsidRPr="00C16CB2">
        <w:rPr>
          <w:rFonts w:eastAsia="SimSun" w:cs="Arial"/>
          <w:kern w:val="3"/>
          <w:sz w:val="24"/>
          <w:szCs w:val="24"/>
          <w:lang w:bidi="hi-IN"/>
        </w:rPr>
        <w:t xml:space="preserve">isegno di Legge, respingendo per il resto l’iniziativa elaborata presentata il 9 dicembre 2019 da Roberta Soldati e cofirmatari </w:t>
      </w:r>
      <w:r w:rsidRPr="00C16CB2">
        <w:rPr>
          <w:rFonts w:eastAsia="SimSun" w:cs="Arial"/>
          <w:i/>
          <w:kern w:val="3"/>
          <w:sz w:val="24"/>
          <w:szCs w:val="24"/>
          <w:lang w:bidi="hi-IN"/>
        </w:rPr>
        <w:t>Per la modifica dell’art. 23 cpv. 1</w:t>
      </w:r>
      <w:r w:rsidRPr="00C16CB2">
        <w:rPr>
          <w:rFonts w:eastAsia="SimSun" w:cs="Arial"/>
          <w:i/>
          <w:kern w:val="3"/>
          <w:sz w:val="24"/>
          <w:szCs w:val="24"/>
          <w:vertAlign w:val="superscript"/>
          <w:lang w:bidi="hi-IN"/>
        </w:rPr>
        <w:t>bis</w:t>
      </w:r>
      <w:r w:rsidRPr="00C16CB2">
        <w:rPr>
          <w:rFonts w:eastAsia="SimSun" w:cs="Arial"/>
          <w:i/>
          <w:kern w:val="3"/>
          <w:sz w:val="24"/>
          <w:szCs w:val="24"/>
          <w:lang w:bidi="hi-IN"/>
        </w:rPr>
        <w:t xml:space="preserve"> e introduzione di un nuovo cpv. 1</w:t>
      </w:r>
      <w:r w:rsidRPr="00C16CB2">
        <w:rPr>
          <w:rFonts w:eastAsia="SimSun" w:cs="Arial"/>
          <w:i/>
          <w:kern w:val="3"/>
          <w:sz w:val="24"/>
          <w:szCs w:val="24"/>
          <w:vertAlign w:val="superscript"/>
          <w:lang w:bidi="hi-IN"/>
        </w:rPr>
        <w:t>ter</w:t>
      </w:r>
      <w:r w:rsidRPr="00C16CB2">
        <w:rPr>
          <w:rFonts w:eastAsia="SimSun" w:cs="Arial"/>
          <w:i/>
          <w:kern w:val="3"/>
          <w:sz w:val="24"/>
          <w:szCs w:val="24"/>
          <w:lang w:bidi="hi-IN"/>
        </w:rPr>
        <w:t xml:space="preserve"> della Legge sull’organizzazione giudiziaria</w:t>
      </w:r>
      <w:r w:rsidRPr="00C16CB2">
        <w:rPr>
          <w:rFonts w:eastAsia="SimSun" w:cs="Arial"/>
          <w:kern w:val="3"/>
          <w:sz w:val="24"/>
          <w:szCs w:val="24"/>
          <w:lang w:bidi="hi-IN"/>
        </w:rPr>
        <w:t>.</w:t>
      </w:r>
    </w:p>
    <w:p w:rsidR="00C16CB2" w:rsidRPr="00C16CB2" w:rsidRDefault="00C16CB2" w:rsidP="00C16CB2">
      <w:pPr>
        <w:suppressAutoHyphens/>
        <w:autoSpaceDN w:val="0"/>
        <w:textAlignment w:val="baseline"/>
        <w:rPr>
          <w:rFonts w:ascii="Calibri" w:eastAsia="SimSun" w:hAnsi="Calibri" w:cs="Mangal"/>
          <w:kern w:val="3"/>
          <w:szCs w:val="20"/>
          <w:lang w:bidi="hi-IN"/>
        </w:rPr>
      </w:pP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spacing w:after="120"/>
        <w:textAlignment w:val="baseline"/>
        <w:rPr>
          <w:rFonts w:ascii="Calibri" w:eastAsia="SimSun" w:hAnsi="Calibri" w:cs="Mangal"/>
          <w:kern w:val="3"/>
          <w:szCs w:val="20"/>
          <w:lang w:bidi="hi-IN"/>
        </w:rPr>
      </w:pPr>
      <w:r w:rsidRPr="00C16CB2">
        <w:rPr>
          <w:rFonts w:eastAsia="SimSun" w:cs="Arial"/>
          <w:kern w:val="3"/>
          <w:sz w:val="24"/>
          <w:szCs w:val="24"/>
          <w:lang w:bidi="hi-IN"/>
        </w:rPr>
        <w:t>Per la Commissione giustizia e diritti</w:t>
      </w:r>
      <w:r>
        <w:rPr>
          <w:rFonts w:eastAsia="SimSun" w:cs="Arial"/>
          <w:kern w:val="3"/>
          <w:sz w:val="24"/>
          <w:szCs w:val="24"/>
          <w:lang w:bidi="hi-IN"/>
        </w:rPr>
        <w:t>:</w:t>
      </w:r>
    </w:p>
    <w:p w:rsid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t>Nicola Corti, relatore</w:t>
      </w:r>
    </w:p>
    <w:p w:rsidR="00DA2E41" w:rsidRDefault="00DA2E41" w:rsidP="00DA2E41">
      <w:pPr>
        <w:rPr>
          <w:rFonts w:eastAsia="Times New Roman" w:cs="Arial"/>
          <w:sz w:val="24"/>
          <w:szCs w:val="20"/>
          <w:lang w:val="it-IT" w:eastAsia="it-IT"/>
        </w:rPr>
      </w:pPr>
      <w:r w:rsidRPr="00DA2E41">
        <w:rPr>
          <w:rFonts w:eastAsia="Times New Roman" w:cs="Arial"/>
          <w:sz w:val="24"/>
          <w:szCs w:val="20"/>
          <w:lang w:val="it-IT" w:eastAsia="it-IT"/>
        </w:rPr>
        <w:t xml:space="preserve">Aldi - Bertoli - Dadò </w:t>
      </w:r>
      <w:r>
        <w:rPr>
          <w:rFonts w:eastAsia="Times New Roman" w:cs="Arial"/>
          <w:sz w:val="24"/>
          <w:szCs w:val="20"/>
          <w:lang w:val="it-IT" w:eastAsia="it-IT"/>
        </w:rPr>
        <w:t>-</w:t>
      </w:r>
      <w:r w:rsidRPr="00DA2E41">
        <w:rPr>
          <w:rFonts w:eastAsia="Times New Roman" w:cs="Arial"/>
          <w:sz w:val="24"/>
          <w:szCs w:val="20"/>
          <w:lang w:val="it-IT" w:eastAsia="it-IT"/>
        </w:rPr>
        <w:t xml:space="preserve"> Durisch - Galusero </w:t>
      </w:r>
      <w:r>
        <w:rPr>
          <w:rFonts w:eastAsia="Times New Roman" w:cs="Arial"/>
          <w:sz w:val="24"/>
          <w:szCs w:val="20"/>
          <w:lang w:val="it-IT" w:eastAsia="it-IT"/>
        </w:rPr>
        <w:t>-</w:t>
      </w:r>
    </w:p>
    <w:p w:rsidR="00DA2E41" w:rsidRDefault="00DA2E41" w:rsidP="00DA2E41">
      <w:pPr>
        <w:rPr>
          <w:rFonts w:eastAsia="Times New Roman" w:cs="Arial"/>
          <w:sz w:val="24"/>
          <w:szCs w:val="20"/>
          <w:lang w:val="it-IT" w:eastAsia="it-IT"/>
        </w:rPr>
      </w:pPr>
      <w:r w:rsidRPr="00DA2E41">
        <w:rPr>
          <w:rFonts w:eastAsia="Times New Roman" w:cs="Arial"/>
          <w:sz w:val="24"/>
          <w:szCs w:val="20"/>
          <w:lang w:val="it-IT" w:eastAsia="it-IT"/>
        </w:rPr>
        <w:t xml:space="preserve">Gendotti - Guscio - Lepori C.- Maderni </w:t>
      </w:r>
      <w:r>
        <w:rPr>
          <w:rFonts w:eastAsia="Times New Roman" w:cs="Arial"/>
          <w:sz w:val="24"/>
          <w:szCs w:val="20"/>
          <w:lang w:val="it-IT" w:eastAsia="it-IT"/>
        </w:rPr>
        <w:t>-</w:t>
      </w:r>
      <w:r w:rsidRPr="00DA2E41">
        <w:rPr>
          <w:rFonts w:eastAsia="Times New Roman" w:cs="Arial"/>
          <w:sz w:val="24"/>
          <w:szCs w:val="20"/>
          <w:lang w:val="it-IT" w:eastAsia="it-IT"/>
        </w:rPr>
        <w:t xml:space="preserve"> </w:t>
      </w:r>
    </w:p>
    <w:p w:rsidR="00DA2E41" w:rsidRPr="00DA2E41" w:rsidRDefault="00DA2E41" w:rsidP="00DA2E41">
      <w:pPr>
        <w:rPr>
          <w:rFonts w:eastAsia="Times New Roman" w:cs="Arial"/>
          <w:sz w:val="24"/>
          <w:szCs w:val="20"/>
          <w:lang w:val="it-IT" w:eastAsia="it-IT"/>
        </w:rPr>
      </w:pPr>
      <w:r w:rsidRPr="00DA2E41">
        <w:rPr>
          <w:rFonts w:eastAsia="Times New Roman" w:cs="Arial"/>
          <w:sz w:val="24"/>
          <w:szCs w:val="20"/>
          <w:lang w:val="it-IT" w:eastAsia="it-IT"/>
        </w:rPr>
        <w:t xml:space="preserve">Minotti - Noi - Pagani </w:t>
      </w:r>
      <w:r>
        <w:rPr>
          <w:rFonts w:eastAsia="Times New Roman" w:cs="Arial"/>
          <w:sz w:val="24"/>
          <w:szCs w:val="20"/>
          <w:lang w:val="it-IT" w:eastAsia="it-IT"/>
        </w:rPr>
        <w:t>-</w:t>
      </w:r>
      <w:r w:rsidRPr="00DA2E41">
        <w:rPr>
          <w:rFonts w:eastAsia="Times New Roman" w:cs="Arial"/>
          <w:sz w:val="24"/>
          <w:szCs w:val="20"/>
          <w:lang w:val="it-IT" w:eastAsia="it-IT"/>
        </w:rPr>
        <w:t xml:space="preserve"> Soldati </w:t>
      </w:r>
      <w:r>
        <w:rPr>
          <w:rFonts w:eastAsia="Times New Roman" w:cs="Arial"/>
          <w:sz w:val="24"/>
          <w:szCs w:val="20"/>
          <w:lang w:val="it-IT" w:eastAsia="it-IT"/>
        </w:rPr>
        <w:t xml:space="preserve">(con riserva) </w:t>
      </w:r>
      <w:r w:rsidRPr="00DA2E41">
        <w:rPr>
          <w:rFonts w:eastAsia="Times New Roman" w:cs="Arial"/>
          <w:sz w:val="24"/>
          <w:szCs w:val="20"/>
          <w:lang w:val="it-IT" w:eastAsia="it-IT"/>
        </w:rPr>
        <w:t>- Viscardi</w:t>
      </w:r>
    </w:p>
    <w:p w:rsidR="00C16CB2" w:rsidRPr="00C16CB2" w:rsidRDefault="00C16CB2" w:rsidP="00C16CB2">
      <w:pPr>
        <w:suppressAutoHyphens/>
        <w:autoSpaceDN w:val="0"/>
        <w:textAlignment w:val="baseline"/>
        <w:rPr>
          <w:rFonts w:ascii="Calibri" w:eastAsia="SimSun" w:hAnsi="Calibri" w:cs="Mangal"/>
          <w:kern w:val="3"/>
          <w:szCs w:val="20"/>
          <w:lang w:bidi="hi-IN"/>
        </w:rPr>
      </w:pPr>
    </w:p>
    <w:p w:rsidR="00C16CB2" w:rsidRPr="00C16CB2" w:rsidRDefault="00C16CB2" w:rsidP="00C16CB2">
      <w:pPr>
        <w:suppressAutoHyphens/>
        <w:autoSpaceDN w:val="0"/>
        <w:textAlignment w:val="baseline"/>
        <w:rPr>
          <w:rFonts w:eastAsia="SimSun" w:cs="Arial"/>
          <w:kern w:val="3"/>
          <w:sz w:val="24"/>
          <w:szCs w:val="24"/>
          <w:lang w:bidi="hi-IN"/>
        </w:rPr>
      </w:pPr>
    </w:p>
    <w:p w:rsidR="00C16CB2" w:rsidRPr="00C16CB2" w:rsidRDefault="00C16CB2" w:rsidP="00C16CB2">
      <w:pPr>
        <w:suppressAutoHyphens/>
        <w:autoSpaceDN w:val="0"/>
        <w:textAlignment w:val="baseline"/>
        <w:rPr>
          <w:rFonts w:eastAsia="SimSun" w:cs="Arial"/>
          <w:kern w:val="3"/>
          <w:sz w:val="24"/>
          <w:szCs w:val="24"/>
          <w:lang w:bidi="hi-IN"/>
        </w:rPr>
      </w:pPr>
      <w:r w:rsidRPr="00C16CB2">
        <w:rPr>
          <w:rFonts w:eastAsia="SimSun" w:cs="Arial"/>
          <w:kern w:val="3"/>
          <w:sz w:val="24"/>
          <w:szCs w:val="24"/>
          <w:lang w:bidi="hi-IN"/>
        </w:rPr>
        <w:br w:type="page"/>
      </w:r>
    </w:p>
    <w:p w:rsidR="00C16CB2" w:rsidRPr="00C16CB2" w:rsidRDefault="00C16CB2" w:rsidP="00C16CB2">
      <w:pPr>
        <w:suppressAutoHyphens/>
        <w:rPr>
          <w:rFonts w:eastAsia="Arial" w:cs="Times New Roman"/>
          <w:sz w:val="24"/>
          <w:szCs w:val="24"/>
        </w:rPr>
      </w:pPr>
      <w:r w:rsidRPr="00C16CB2">
        <w:rPr>
          <w:rFonts w:eastAsia="Arial" w:cs="Times New Roman"/>
          <w:sz w:val="24"/>
          <w:szCs w:val="24"/>
        </w:rPr>
        <w:lastRenderedPageBreak/>
        <w:t>Disegno di</w:t>
      </w:r>
    </w:p>
    <w:p w:rsidR="00C16CB2" w:rsidRPr="00C16CB2" w:rsidRDefault="00C16CB2" w:rsidP="00C16CB2">
      <w:pPr>
        <w:suppressAutoHyphens/>
        <w:rPr>
          <w:rFonts w:eastAsia="Arial" w:cs="Times New Roman"/>
          <w:sz w:val="24"/>
          <w:szCs w:val="24"/>
        </w:rPr>
      </w:pPr>
    </w:p>
    <w:p w:rsidR="00C16CB2" w:rsidRPr="00C16CB2" w:rsidRDefault="00C16CB2" w:rsidP="00C16CB2">
      <w:pPr>
        <w:suppressAutoHyphens/>
        <w:rPr>
          <w:rFonts w:eastAsia="Arial" w:cs="Times New Roman"/>
          <w:b/>
          <w:sz w:val="24"/>
          <w:szCs w:val="24"/>
        </w:rPr>
      </w:pPr>
      <w:r w:rsidRPr="00C16CB2">
        <w:rPr>
          <w:rFonts w:eastAsia="Arial" w:cs="Times New Roman"/>
          <w:b/>
          <w:sz w:val="24"/>
          <w:szCs w:val="24"/>
        </w:rPr>
        <w:t>Legge</w:t>
      </w:r>
    </w:p>
    <w:p w:rsidR="00C16CB2" w:rsidRPr="00C16CB2" w:rsidRDefault="00C16CB2" w:rsidP="00C16CB2">
      <w:pPr>
        <w:suppressAutoHyphens/>
        <w:rPr>
          <w:rFonts w:eastAsia="Arial" w:cs="Times New Roman"/>
          <w:b/>
          <w:bCs/>
          <w:sz w:val="24"/>
          <w:szCs w:val="24"/>
        </w:rPr>
      </w:pPr>
      <w:r w:rsidRPr="00C16CB2">
        <w:rPr>
          <w:rFonts w:eastAsia="Arial" w:cs="Times New Roman"/>
          <w:b/>
          <w:bCs/>
          <w:sz w:val="24"/>
          <w:szCs w:val="24"/>
        </w:rPr>
        <w:t>sull’organizzazione giudiziaria</w:t>
      </w:r>
    </w:p>
    <w:p w:rsidR="00C16CB2" w:rsidRPr="00C16CB2" w:rsidRDefault="00C16CB2" w:rsidP="00C16CB2">
      <w:pPr>
        <w:suppressAutoHyphens/>
        <w:rPr>
          <w:rFonts w:eastAsia="Arial" w:cs="Times New Roman"/>
          <w:b/>
          <w:bCs/>
          <w:sz w:val="24"/>
          <w:szCs w:val="24"/>
        </w:rPr>
      </w:pPr>
      <w:r w:rsidRPr="00C16CB2">
        <w:rPr>
          <w:rFonts w:eastAsia="Arial" w:cs="Times New Roman"/>
          <w:b/>
          <w:bCs/>
          <w:sz w:val="24"/>
          <w:szCs w:val="24"/>
        </w:rPr>
        <w:t>(LOG)</w:t>
      </w:r>
    </w:p>
    <w:p w:rsidR="00C16CB2" w:rsidRPr="00C16CB2" w:rsidRDefault="00C16CB2" w:rsidP="00C16CB2">
      <w:pPr>
        <w:suppressAutoHyphens/>
        <w:rPr>
          <w:rFonts w:eastAsia="Arial" w:cs="Times New Roman"/>
          <w:sz w:val="24"/>
          <w:szCs w:val="24"/>
        </w:rPr>
      </w:pPr>
      <w:r w:rsidRPr="00C16CB2">
        <w:rPr>
          <w:rFonts w:eastAsia="Arial" w:cs="Times New Roman"/>
          <w:sz w:val="24"/>
          <w:szCs w:val="24"/>
        </w:rPr>
        <w:t>modifica del ……….</w:t>
      </w:r>
    </w:p>
    <w:p w:rsidR="00C16CB2" w:rsidRPr="00C16CB2" w:rsidRDefault="00C16CB2" w:rsidP="00C16CB2">
      <w:pPr>
        <w:suppressAutoHyphens/>
        <w:rPr>
          <w:rFonts w:eastAsia="Arial" w:cs="Times New Roman"/>
          <w:sz w:val="24"/>
          <w:szCs w:val="24"/>
        </w:rPr>
      </w:pPr>
    </w:p>
    <w:p w:rsidR="00C16CB2" w:rsidRPr="00C16CB2" w:rsidRDefault="00C16CB2" w:rsidP="00C16CB2">
      <w:pPr>
        <w:suppressAutoHyphens/>
        <w:rPr>
          <w:rFonts w:eastAsia="Arial" w:cs="Times New Roman"/>
          <w:sz w:val="24"/>
          <w:szCs w:val="24"/>
        </w:rPr>
      </w:pPr>
      <w:r w:rsidRPr="00C16CB2">
        <w:rPr>
          <w:rFonts w:eastAsia="Arial" w:cs="Times New Roman"/>
          <w:sz w:val="24"/>
          <w:szCs w:val="24"/>
        </w:rPr>
        <w:t>IL GRAN CONSIGLIO</w:t>
      </w:r>
    </w:p>
    <w:p w:rsidR="00C16CB2" w:rsidRPr="00C16CB2" w:rsidRDefault="00C16CB2" w:rsidP="00C16CB2">
      <w:pPr>
        <w:suppressAutoHyphens/>
        <w:rPr>
          <w:rFonts w:eastAsia="Arial" w:cs="Times New Roman"/>
          <w:sz w:val="24"/>
          <w:szCs w:val="24"/>
        </w:rPr>
      </w:pPr>
      <w:r w:rsidRPr="00C16CB2">
        <w:rPr>
          <w:rFonts w:eastAsia="Arial" w:cs="Times New Roman"/>
          <w:sz w:val="24"/>
          <w:szCs w:val="24"/>
        </w:rPr>
        <w:t>DELLA REPUBBLICA E CANTONE TICINO</w:t>
      </w:r>
    </w:p>
    <w:p w:rsidR="00C16CB2" w:rsidRPr="00C16CB2" w:rsidRDefault="00C16CB2" w:rsidP="00C16CB2">
      <w:pPr>
        <w:suppressAutoHyphens/>
        <w:rPr>
          <w:rFonts w:eastAsia="Arial" w:cs="Times New Roman"/>
          <w:sz w:val="24"/>
          <w:szCs w:val="24"/>
        </w:rPr>
      </w:pPr>
    </w:p>
    <w:p w:rsidR="00C16CB2" w:rsidRDefault="001C686C" w:rsidP="00C16CB2">
      <w:pPr>
        <w:suppressAutoHyphens/>
        <w:rPr>
          <w:rFonts w:eastAsia="Arial" w:cs="Times New Roman"/>
          <w:sz w:val="24"/>
          <w:szCs w:val="24"/>
        </w:rPr>
      </w:pPr>
      <w:r w:rsidRPr="00A90EB2">
        <w:rPr>
          <w:rFonts w:eastAsia="Arial" w:cs="Times New Roman"/>
          <w:sz w:val="24"/>
          <w:szCs w:val="24"/>
        </w:rPr>
        <w:t>visto il rapporto della Commissione giustizia e diritti n. 8227 R del 27 febbraio 2023;</w:t>
      </w:r>
    </w:p>
    <w:p w:rsidR="001C686C" w:rsidRPr="00C16CB2" w:rsidRDefault="001C686C" w:rsidP="00C16CB2">
      <w:pPr>
        <w:suppressAutoHyphens/>
        <w:rPr>
          <w:rFonts w:eastAsia="Arial" w:cs="Times New Roman"/>
          <w:sz w:val="24"/>
          <w:szCs w:val="24"/>
        </w:rPr>
      </w:pPr>
    </w:p>
    <w:p w:rsidR="00C16CB2" w:rsidRPr="00C16CB2" w:rsidRDefault="00C16CB2" w:rsidP="00C16CB2">
      <w:pPr>
        <w:suppressAutoHyphens/>
        <w:rPr>
          <w:rFonts w:eastAsia="Arial" w:cs="Times New Roman"/>
          <w:sz w:val="24"/>
          <w:szCs w:val="24"/>
        </w:rPr>
      </w:pPr>
      <w:r w:rsidRPr="00C16CB2">
        <w:rPr>
          <w:rFonts w:eastAsia="Arial" w:cs="Times New Roman"/>
          <w:sz w:val="24"/>
          <w:szCs w:val="24"/>
        </w:rPr>
        <w:t>decreta:</w:t>
      </w:r>
    </w:p>
    <w:p w:rsidR="00C16CB2" w:rsidRPr="00C16CB2" w:rsidRDefault="00C16CB2" w:rsidP="00C16CB2">
      <w:pPr>
        <w:suppressAutoHyphens/>
        <w:rPr>
          <w:rFonts w:eastAsia="Arial" w:cs="Times New Roman"/>
          <w:sz w:val="24"/>
          <w:szCs w:val="24"/>
        </w:rPr>
      </w:pPr>
    </w:p>
    <w:p w:rsidR="00C16CB2" w:rsidRPr="00C16CB2" w:rsidRDefault="00C16CB2" w:rsidP="00C16CB2">
      <w:pPr>
        <w:suppressAutoHyphens/>
        <w:rPr>
          <w:rFonts w:eastAsia="Arial" w:cs="Times New Roman"/>
          <w:b/>
          <w:sz w:val="24"/>
          <w:szCs w:val="24"/>
        </w:rPr>
      </w:pPr>
      <w:r w:rsidRPr="00C16CB2">
        <w:rPr>
          <w:rFonts w:eastAsia="Arial" w:cs="Times New Roman"/>
          <w:b/>
          <w:sz w:val="24"/>
          <w:szCs w:val="24"/>
        </w:rPr>
        <w:t>I</w:t>
      </w:r>
    </w:p>
    <w:p w:rsidR="00C16CB2" w:rsidRPr="00C16CB2" w:rsidRDefault="00C16CB2" w:rsidP="00C16CB2">
      <w:pPr>
        <w:suppressAutoHyphens/>
        <w:rPr>
          <w:rFonts w:eastAsia="Arial" w:cs="Times New Roman"/>
          <w:sz w:val="24"/>
          <w:szCs w:val="24"/>
        </w:rPr>
      </w:pPr>
      <w:r w:rsidRPr="00C16CB2">
        <w:rPr>
          <w:rFonts w:eastAsia="Arial" w:cs="Times New Roman"/>
          <w:sz w:val="24"/>
          <w:szCs w:val="24"/>
        </w:rPr>
        <w:t>La legge sull’organizzazione giudiziaria del 10 maggio 2006 (LOG) è modificata come segue:</w:t>
      </w:r>
    </w:p>
    <w:p w:rsidR="00C16CB2" w:rsidRPr="00C16CB2" w:rsidRDefault="00C16CB2" w:rsidP="00C16CB2">
      <w:pPr>
        <w:suppressAutoHyphens/>
        <w:rPr>
          <w:rFonts w:eastAsia="Arial" w:cs="Times New Roman"/>
          <w:sz w:val="24"/>
          <w:szCs w:val="24"/>
        </w:rPr>
      </w:pPr>
    </w:p>
    <w:p w:rsidR="00C16CB2" w:rsidRPr="00C16CB2" w:rsidRDefault="00C16CB2" w:rsidP="00C16CB2">
      <w:pPr>
        <w:tabs>
          <w:tab w:val="left" w:pos="426"/>
        </w:tabs>
        <w:suppressAutoHyphens/>
        <w:rPr>
          <w:rFonts w:eastAsia="Arial" w:cs="Times New Roman"/>
          <w:b/>
          <w:bCs/>
          <w:sz w:val="24"/>
          <w:szCs w:val="24"/>
          <w:vertAlign w:val="superscript"/>
        </w:rPr>
      </w:pPr>
      <w:r w:rsidRPr="00C16CB2">
        <w:rPr>
          <w:rFonts w:eastAsia="Arial" w:cs="Times New Roman"/>
          <w:b/>
          <w:bCs/>
          <w:sz w:val="24"/>
          <w:szCs w:val="24"/>
        </w:rPr>
        <w:t>Art. 23 cpv. 1</w:t>
      </w:r>
      <w:r w:rsidRPr="00C16CB2">
        <w:rPr>
          <w:rFonts w:eastAsia="Arial" w:cs="Times New Roman"/>
          <w:b/>
          <w:bCs/>
          <w:sz w:val="24"/>
          <w:szCs w:val="24"/>
          <w:vertAlign w:val="superscript"/>
        </w:rPr>
        <w:t>bis</w:t>
      </w:r>
    </w:p>
    <w:p w:rsidR="00C16CB2" w:rsidRPr="00C16CB2" w:rsidRDefault="00C16CB2" w:rsidP="00C16CB2">
      <w:pPr>
        <w:tabs>
          <w:tab w:val="left" w:pos="426"/>
        </w:tabs>
        <w:suppressAutoHyphens/>
        <w:rPr>
          <w:rFonts w:eastAsia="Arial" w:cs="Times New Roman"/>
          <w:i/>
          <w:sz w:val="24"/>
          <w:szCs w:val="24"/>
        </w:rPr>
      </w:pPr>
      <w:r w:rsidRPr="00C16CB2">
        <w:rPr>
          <w:rFonts w:eastAsia="Arial" w:cs="Times New Roman"/>
          <w:sz w:val="24"/>
          <w:szCs w:val="24"/>
          <w:vertAlign w:val="superscript"/>
        </w:rPr>
        <w:t xml:space="preserve">1bis </w:t>
      </w:r>
      <w:r w:rsidRPr="00C16CB2">
        <w:rPr>
          <w:rFonts w:eastAsia="SimSun" w:cs="Arial"/>
          <w:color w:val="000000"/>
          <w:kern w:val="3"/>
          <w:sz w:val="24"/>
          <w:szCs w:val="24"/>
          <w:lang w:val="it-IT" w:bidi="hi-IN"/>
        </w:rPr>
        <w:t xml:space="preserve">Entro un mese dalla notizia di una vacanza, il Tribunale di appello </w:t>
      </w:r>
      <w:r w:rsidRPr="00C16CB2">
        <w:rPr>
          <w:rFonts w:eastAsia="SimSun" w:cs="Arial"/>
          <w:bCs/>
          <w:color w:val="000000"/>
          <w:kern w:val="3"/>
          <w:sz w:val="24"/>
          <w:szCs w:val="24"/>
          <w:lang w:val="it-IT" w:bidi="hi-IN"/>
        </w:rPr>
        <w:t>comunica alla Commissione giustizia e diritti del Gran Consiglio</w:t>
      </w:r>
      <w:r w:rsidRPr="00C16CB2">
        <w:rPr>
          <w:rFonts w:eastAsia="SimSun" w:cs="Arial"/>
          <w:color w:val="000000"/>
          <w:kern w:val="3"/>
          <w:sz w:val="24"/>
          <w:szCs w:val="24"/>
          <w:lang w:val="it-IT" w:bidi="hi-IN"/>
        </w:rPr>
        <w:t xml:space="preserve"> quale sezione deve essere completata </w:t>
      </w:r>
      <w:proofErr w:type="gramStart"/>
      <w:r w:rsidRPr="00C16CB2">
        <w:rPr>
          <w:rFonts w:eastAsia="SimSun" w:cs="Arial"/>
          <w:color w:val="000000"/>
          <w:kern w:val="3"/>
          <w:sz w:val="24"/>
          <w:szCs w:val="24"/>
          <w:lang w:val="it-IT" w:bidi="hi-IN"/>
        </w:rPr>
        <w:t>e</w:t>
      </w:r>
      <w:proofErr w:type="gramEnd"/>
      <w:r w:rsidRPr="00C16CB2">
        <w:rPr>
          <w:rFonts w:eastAsia="SimSun" w:cs="Arial"/>
          <w:color w:val="000000"/>
          <w:kern w:val="3"/>
          <w:sz w:val="24"/>
          <w:szCs w:val="24"/>
          <w:lang w:val="it-IT" w:bidi="hi-IN"/>
        </w:rPr>
        <w:t xml:space="preserve"> in quale camera il nuovo giudice sarà attivo in via principale</w:t>
      </w:r>
      <w:r w:rsidRPr="00C16CB2">
        <w:rPr>
          <w:rFonts w:eastAsia="Arial" w:cs="Times New Roman"/>
          <w:sz w:val="24"/>
          <w:szCs w:val="24"/>
        </w:rPr>
        <w:t>.</w:t>
      </w:r>
    </w:p>
    <w:p w:rsidR="00C16CB2" w:rsidRPr="00C16CB2" w:rsidRDefault="00C16CB2" w:rsidP="00C16CB2">
      <w:pPr>
        <w:suppressAutoHyphens/>
        <w:rPr>
          <w:rFonts w:eastAsia="Arial" w:cs="Times New Roman"/>
          <w:b/>
          <w:sz w:val="24"/>
          <w:szCs w:val="24"/>
        </w:rPr>
      </w:pPr>
    </w:p>
    <w:p w:rsidR="00C16CB2" w:rsidRPr="00C16CB2" w:rsidRDefault="00C16CB2" w:rsidP="00C16CB2">
      <w:pPr>
        <w:suppressAutoHyphens/>
        <w:rPr>
          <w:rFonts w:eastAsia="Arial" w:cs="Times New Roman"/>
          <w:sz w:val="24"/>
          <w:szCs w:val="24"/>
        </w:rPr>
      </w:pPr>
    </w:p>
    <w:p w:rsidR="00C16CB2" w:rsidRPr="00C16CB2" w:rsidRDefault="00C16CB2" w:rsidP="00C16CB2">
      <w:pPr>
        <w:suppressAutoHyphens/>
        <w:rPr>
          <w:rFonts w:eastAsia="Arial" w:cs="Times New Roman"/>
          <w:b/>
          <w:bCs/>
          <w:sz w:val="24"/>
          <w:szCs w:val="24"/>
        </w:rPr>
      </w:pPr>
      <w:r w:rsidRPr="00C16CB2">
        <w:rPr>
          <w:rFonts w:eastAsia="Arial" w:cs="Times New Roman"/>
          <w:b/>
          <w:bCs/>
          <w:sz w:val="24"/>
          <w:szCs w:val="24"/>
        </w:rPr>
        <w:t>II</w:t>
      </w:r>
    </w:p>
    <w:p w:rsidR="00C16CB2" w:rsidRPr="00C16CB2" w:rsidRDefault="00C16CB2" w:rsidP="00C16CB2">
      <w:pPr>
        <w:suppressAutoHyphens/>
        <w:rPr>
          <w:rFonts w:eastAsia="Arial" w:cs="Times New Roman"/>
          <w:sz w:val="24"/>
          <w:szCs w:val="24"/>
        </w:rPr>
      </w:pPr>
      <w:r w:rsidRPr="00C16CB2">
        <w:rPr>
          <w:rFonts w:eastAsia="Arial" w:cs="Times New Roman"/>
          <w:sz w:val="24"/>
          <w:szCs w:val="24"/>
          <w:vertAlign w:val="superscript"/>
        </w:rPr>
        <w:t>1</w:t>
      </w:r>
      <w:r w:rsidRPr="00C16CB2">
        <w:rPr>
          <w:rFonts w:eastAsia="Arial" w:cs="Times New Roman"/>
          <w:sz w:val="24"/>
          <w:szCs w:val="24"/>
        </w:rPr>
        <w:t>Trascorsi i termini per l’esercizio del diritto di referendum, la presente modifica di legge è pubblicata nel Bollettino ufficiale delle leggi.</w:t>
      </w:r>
    </w:p>
    <w:p w:rsidR="00C16CB2" w:rsidRPr="00C16CB2" w:rsidRDefault="00C16CB2" w:rsidP="00C16CB2">
      <w:pPr>
        <w:spacing w:after="240"/>
        <w:jc w:val="left"/>
        <w:rPr>
          <w:rFonts w:eastAsia="Arial" w:cs="Times New Roman"/>
          <w:sz w:val="24"/>
          <w:szCs w:val="24"/>
        </w:rPr>
      </w:pPr>
      <w:r w:rsidRPr="00C16CB2">
        <w:rPr>
          <w:rFonts w:eastAsia="Arial" w:cs="Times New Roman"/>
          <w:sz w:val="24"/>
          <w:szCs w:val="24"/>
          <w:vertAlign w:val="superscript"/>
        </w:rPr>
        <w:t>2</w:t>
      </w:r>
      <w:r w:rsidRPr="00C16CB2">
        <w:rPr>
          <w:rFonts w:eastAsia="Arial" w:cs="Times New Roman"/>
          <w:sz w:val="24"/>
          <w:szCs w:val="24"/>
        </w:rPr>
        <w:t>Il Consiglio di Stato ne stabilisce l’entrata in vigore.</w:t>
      </w:r>
    </w:p>
    <w:p w:rsidR="00C16CB2" w:rsidRPr="00C16CB2" w:rsidRDefault="00C16CB2" w:rsidP="00C16CB2">
      <w:pPr>
        <w:suppressAutoHyphens/>
        <w:autoSpaceDN w:val="0"/>
        <w:textAlignment w:val="baseline"/>
        <w:rPr>
          <w:rFonts w:ascii="Calibri" w:eastAsia="SimSun" w:hAnsi="Calibri" w:cs="Mangal"/>
          <w:kern w:val="3"/>
          <w:szCs w:val="20"/>
          <w:lang w:bidi="hi-IN"/>
        </w:rPr>
      </w:pPr>
    </w:p>
    <w:p w:rsidR="00D649A8" w:rsidRPr="00C16CB2" w:rsidRDefault="00D649A8" w:rsidP="00D33940">
      <w:pPr>
        <w:pStyle w:val="StandardRisoluzionedelConsigliodiStato"/>
        <w:ind w:right="-1"/>
      </w:pPr>
    </w:p>
    <w:p w:rsidR="00D649A8" w:rsidRPr="00C16CB2" w:rsidRDefault="00D649A8" w:rsidP="00D33940">
      <w:pPr>
        <w:pStyle w:val="StandardRisoluzionedelConsigliodiStato"/>
        <w:ind w:right="-1"/>
      </w:pPr>
    </w:p>
    <w:sectPr w:rsidR="00D649A8" w:rsidRPr="00C16CB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B2" w:rsidRDefault="00C16CB2" w:rsidP="00F657BF">
      <w:r>
        <w:separator/>
      </w:r>
    </w:p>
  </w:endnote>
  <w:endnote w:type="continuationSeparator" w:id="0">
    <w:p w:rsidR="00C16CB2" w:rsidRDefault="00C16CB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6C" w:rsidRDefault="001C68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B36E6" w:rsidP="00912E34">
          <w:pPr>
            <w:tabs>
              <w:tab w:val="center" w:pos="2382"/>
            </w:tabs>
          </w:pPr>
        </w:p>
      </w:tc>
      <w:tc>
        <w:tcPr>
          <w:tcW w:w="721" w:type="dxa"/>
        </w:tcPr>
        <w:p w:rsidR="00912E34" w:rsidRPr="003D1008" w:rsidRDefault="003B36E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B36E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B36E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B36E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B2" w:rsidRDefault="00C16CB2" w:rsidP="00F657BF">
      <w:r>
        <w:separator/>
      </w:r>
    </w:p>
  </w:footnote>
  <w:footnote w:type="continuationSeparator" w:id="0">
    <w:p w:rsidR="00C16CB2" w:rsidRDefault="00C16CB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6C" w:rsidRDefault="001C68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A213642-1783-4290-9AB6-D95DB7AA6D4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876A9"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3B36E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21E77">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21E77">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A213642-1783-4290-9AB6-D95DB7AA6D4D}"/>
          <w:text w:multiLine="1"/>
        </w:sdtPr>
        <w:sdtEndPr/>
        <w:sdtContent>
          <w:tc>
            <w:tcPr>
              <w:tcW w:w="8383" w:type="dxa"/>
              <w:tcBorders>
                <w:left w:val="single" w:sz="4" w:space="0" w:color="auto"/>
              </w:tcBorders>
              <w:tcMar>
                <w:top w:w="0" w:type="dxa"/>
                <w:left w:w="142" w:type="dxa"/>
              </w:tcMar>
            </w:tcPr>
            <w:p w:rsidR="005012EC" w:rsidRPr="00C16CB2" w:rsidRDefault="001C686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8227 R del 27 febbraio 2023</w:t>
              </w:r>
            </w:p>
          </w:tc>
        </w:sdtContent>
      </w:sdt>
      <w:tc>
        <w:tcPr>
          <w:tcW w:w="1710" w:type="dxa"/>
          <w:tcBorders>
            <w:top w:val="single" w:sz="4" w:space="0" w:color="auto"/>
          </w:tcBorders>
        </w:tcPr>
        <w:p w:rsidR="005012EC" w:rsidRPr="00C16CB2" w:rsidRDefault="003B36E6" w:rsidP="00662409">
          <w:pPr>
            <w:pStyle w:val="InvisibleLine"/>
            <w:rPr>
              <w:lang w:val="it-CH"/>
            </w:rPr>
          </w:pPr>
        </w:p>
      </w:tc>
    </w:tr>
  </w:tbl>
  <w:p w:rsidR="00F657BF" w:rsidRPr="00980362" w:rsidRDefault="003B36E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A213642-1783-4290-9AB6-D95DB7AA6D4D}"/>
                            <w:text w:multiLine="1"/>
                          </w:sdtPr>
                          <w:sdtEndPr/>
                          <w:sdtContent>
                            <w:p w:rsidR="008065E8" w:rsidRPr="00411371" w:rsidRDefault="003B36E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A213642-1783-4290-9AB6-D95DB7AA6D4D}"/>
                      <w:text w:multiLine="1"/>
                    </w:sdtPr>
                    <w:sdtEndPr/>
                    <w:sdtContent>
                      <w:p w:rsidR="008065E8" w:rsidRPr="00411371" w:rsidRDefault="003B36E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C16CB2" w:rsidTr="0098208F">
      <w:trPr>
        <w:trHeight w:val="586"/>
      </w:trPr>
      <w:tc>
        <w:tcPr>
          <w:tcW w:w="2440" w:type="pct"/>
          <w:gridSpan w:val="3"/>
          <w:tcBorders>
            <w:top w:val="nil"/>
            <w:left w:val="nil"/>
            <w:bottom w:val="single" w:sz="4" w:space="0" w:color="auto"/>
          </w:tcBorders>
          <w:vAlign w:val="bottom"/>
        </w:tcPr>
        <w:p w:rsidR="00662409" w:rsidRPr="003108C0" w:rsidRDefault="003B36E6" w:rsidP="00D07D6E">
          <w:pPr>
            <w:pStyle w:val="InvisibleLine"/>
            <w:ind w:left="150"/>
            <w:rPr>
              <w:sz w:val="16"/>
            </w:rPr>
          </w:pPr>
        </w:p>
      </w:tc>
      <w:tc>
        <w:tcPr>
          <w:tcW w:w="373" w:type="pct"/>
          <w:tcBorders>
            <w:top w:val="nil"/>
            <w:bottom w:val="single" w:sz="4" w:space="0" w:color="auto"/>
          </w:tcBorders>
          <w:vAlign w:val="bottom"/>
        </w:tcPr>
        <w:p w:rsidR="00662409" w:rsidRPr="003108C0" w:rsidRDefault="003B36E6" w:rsidP="00D07D6E">
          <w:pPr>
            <w:pStyle w:val="Level"/>
            <w:ind w:left="150"/>
            <w:rPr>
              <w:sz w:val="16"/>
            </w:rPr>
          </w:pPr>
        </w:p>
      </w:tc>
      <w:tc>
        <w:tcPr>
          <w:tcW w:w="209" w:type="pct"/>
          <w:tcBorders>
            <w:top w:val="nil"/>
            <w:bottom w:val="single" w:sz="4" w:space="0" w:color="auto"/>
          </w:tcBorders>
        </w:tcPr>
        <w:p w:rsidR="00662409" w:rsidRDefault="003B36E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4111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C16CB2" w:rsidRDefault="003B36E6" w:rsidP="00D07D6E">
          <w:pPr>
            <w:pStyle w:val="HeaderDecisione"/>
            <w:spacing w:after="60"/>
            <w:ind w:left="150"/>
            <w:jc w:val="right"/>
            <w:rPr>
              <w:rFonts w:ascii="Arial" w:hAnsi="Arial" w:cs="Arial"/>
              <w:sz w:val="24"/>
            </w:rPr>
          </w:pPr>
          <w:r w:rsidRPr="00C16CB2">
            <w:rPr>
              <w:rFonts w:ascii="Arial" w:hAnsi="Arial" w:cs="Arial"/>
              <w:sz w:val="24"/>
            </w:rPr>
            <w:fldChar w:fldCharType="begin"/>
          </w:r>
          <w:r w:rsidRPr="00C16CB2">
            <w:rPr>
              <w:rFonts w:ascii="Arial" w:hAnsi="Arial" w:cs="Arial"/>
              <w:sz w:val="24"/>
            </w:rPr>
            <w:instrText xml:space="preserve"> PAGE   \* MERGEFORMAT </w:instrText>
          </w:r>
          <w:r w:rsidRPr="00C16CB2">
            <w:rPr>
              <w:rFonts w:ascii="Arial" w:hAnsi="Arial" w:cs="Arial"/>
              <w:sz w:val="24"/>
            </w:rPr>
            <w:fldChar w:fldCharType="separate"/>
          </w:r>
          <w:r w:rsidR="00D21E77">
            <w:rPr>
              <w:rFonts w:ascii="Arial" w:hAnsi="Arial" w:cs="Arial"/>
              <w:noProof/>
              <w:sz w:val="24"/>
            </w:rPr>
            <w:t>1</w:t>
          </w:r>
          <w:r w:rsidRPr="00C16CB2">
            <w:rPr>
              <w:rFonts w:ascii="Arial" w:hAnsi="Arial" w:cs="Arial"/>
              <w:sz w:val="24"/>
            </w:rPr>
            <w:fldChar w:fldCharType="end"/>
          </w:r>
          <w:r w:rsidRPr="00C16CB2">
            <w:rPr>
              <w:rFonts w:ascii="Arial" w:hAnsi="Arial" w:cs="Arial"/>
              <w:sz w:val="24"/>
            </w:rPr>
            <w:t xml:space="preserve"> di </w:t>
          </w:r>
          <w:r w:rsidRPr="00C16CB2">
            <w:rPr>
              <w:rFonts w:ascii="Arial" w:hAnsi="Arial" w:cs="Arial"/>
              <w:sz w:val="24"/>
            </w:rPr>
            <w:fldChar w:fldCharType="begin"/>
          </w:r>
          <w:r w:rsidRPr="00C16CB2">
            <w:rPr>
              <w:rFonts w:ascii="Arial" w:hAnsi="Arial" w:cs="Arial"/>
              <w:sz w:val="24"/>
            </w:rPr>
            <w:instrText xml:space="preserve"> NUMPAGES   \* MERGEFORMAT </w:instrText>
          </w:r>
          <w:r w:rsidRPr="00C16CB2">
            <w:rPr>
              <w:rFonts w:ascii="Arial" w:hAnsi="Arial" w:cs="Arial"/>
              <w:sz w:val="24"/>
            </w:rPr>
            <w:fldChar w:fldCharType="separate"/>
          </w:r>
          <w:r w:rsidR="00D21E77">
            <w:rPr>
              <w:rFonts w:ascii="Arial" w:hAnsi="Arial" w:cs="Arial"/>
              <w:noProof/>
              <w:sz w:val="24"/>
            </w:rPr>
            <w:t>5</w:t>
          </w:r>
          <w:r w:rsidRPr="00C16CB2">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A213642-1783-4290-9AB6-D95DB7AA6D4D}"/>
          <w:text w:multiLine="1"/>
        </w:sdtPr>
        <w:sdtEndPr/>
        <w:sdtContent>
          <w:tc>
            <w:tcPr>
              <w:tcW w:w="5000" w:type="pct"/>
              <w:gridSpan w:val="6"/>
              <w:tcBorders>
                <w:left w:val="nil"/>
                <w:right w:val="nil"/>
              </w:tcBorders>
              <w:noWrap/>
              <w:tcMar>
                <w:top w:w="0" w:type="dxa"/>
              </w:tcMar>
              <w:vAlign w:val="bottom"/>
            </w:tcPr>
            <w:p w:rsidR="00662409" w:rsidRPr="008C03B5" w:rsidRDefault="001876A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B36E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B36E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B36E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B36E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B36E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B36E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C16CB2" w:rsidRDefault="003B36E6"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8A213642-1783-4290-9AB6-D95DB7AA6D4D}"/>
              <w:text w:multiLine="1"/>
            </w:sdtPr>
            <w:sdtEndPr>
              <w:rPr>
                <w:rFonts w:cstheme="minorBidi"/>
              </w:rPr>
            </w:sdtEndPr>
            <w:sdtContent>
              <w:r w:rsidR="001876A9" w:rsidRPr="00C16CB2">
                <w:rPr>
                  <w:b/>
                  <w:sz w:val="24"/>
                  <w:szCs w:val="24"/>
                </w:rPr>
                <w:t>8227 R</w:t>
              </w:r>
            </w:sdtContent>
          </w:sdt>
        </w:p>
      </w:tc>
      <w:sdt>
        <w:sdtPr>
          <w:rPr>
            <w:sz w:val="24"/>
          </w:rPr>
          <w:alias w:val="DocParam.Date"/>
          <w:id w:val="-464426178"/>
          <w:dataBinding w:xpath="//DateTime[@id='DocParam.Date']" w:storeItemID="{8A213642-1783-4290-9AB6-D95DB7AA6D4D}"/>
          <w:date w:fullDate="2023-02-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C686C" w:rsidP="00A532F6">
              <w:pPr>
                <w:pStyle w:val="Data"/>
              </w:pPr>
              <w:r>
                <w:rPr>
                  <w:sz w:val="24"/>
                </w:rPr>
                <w:t>27 febbraio 2023</w:t>
              </w:r>
            </w:p>
          </w:tc>
        </w:sdtContent>
      </w:sdt>
      <w:tc>
        <w:tcPr>
          <w:tcW w:w="3218" w:type="pct"/>
          <w:gridSpan w:val="4"/>
          <w:tcBorders>
            <w:top w:val="nil"/>
            <w:left w:val="nil"/>
            <w:bottom w:val="nil"/>
            <w:right w:val="nil"/>
          </w:tcBorders>
        </w:tcPr>
        <w:p w:rsidR="008C03B5" w:rsidRPr="00C16CB2" w:rsidRDefault="003B36E6"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8A213642-1783-4290-9AB6-D95DB7AA6D4D}"/>
              <w:text w:multiLine="1"/>
            </w:sdtPr>
            <w:sdtEndPr/>
            <w:sdtContent>
              <w:r w:rsidR="001876A9">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B36E6" w:rsidP="00D07D6E">
          <w:pPr>
            <w:pStyle w:val="Level"/>
            <w:ind w:left="150"/>
            <w:rPr>
              <w:rFonts w:ascii="Gill Alt One MT Light" w:hAnsi="Gill Alt One MT Light"/>
              <w:sz w:val="16"/>
              <w:szCs w:val="16"/>
            </w:rPr>
          </w:pPr>
        </w:p>
      </w:tc>
    </w:tr>
  </w:tbl>
  <w:p w:rsidR="00F657BF" w:rsidRPr="00DA2879" w:rsidRDefault="003B36E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7552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A213642-1783-4290-9AB6-D95DB7AA6D4D}"/>
                            <w:text w:multiLine="1"/>
                          </w:sdtPr>
                          <w:sdtEndPr/>
                          <w:sdtContent>
                            <w:p w:rsidR="00E93620" w:rsidRPr="00411371" w:rsidRDefault="003B36E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A213642-1783-4290-9AB6-D95DB7AA6D4D}"/>
                      <w:text w:multiLine="1"/>
                    </w:sdtPr>
                    <w:sdtEndPr/>
                    <w:sdtContent>
                      <w:p w:rsidR="00E93620" w:rsidRPr="00411371" w:rsidRDefault="003B36E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9724F33"/>
    <w:multiLevelType w:val="multilevel"/>
    <w:tmpl w:val="451A54C2"/>
    <w:lvl w:ilvl="0">
      <w:start w:val="1"/>
      <w:numFmt w:val="upperRoman"/>
      <w:lvlText w:val="%1."/>
      <w:lvlJc w:val="left"/>
      <w:pPr>
        <w:ind w:left="1080" w:hanging="720"/>
      </w:pPr>
      <w:rPr>
        <w:rFonts w:ascii="Arial" w:eastAsia="MS Mincho" w:hAnsi="Arial"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4777F4D"/>
    <w:multiLevelType w:val="hybridMultilevel"/>
    <w:tmpl w:val="17F44B7C"/>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4A76BD1"/>
    <w:multiLevelType w:val="hybridMultilevel"/>
    <w:tmpl w:val="84726CC4"/>
    <w:lvl w:ilvl="0" w:tplc="0810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5"/>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B2"/>
    <w:rsid w:val="00136B17"/>
    <w:rsid w:val="001876A9"/>
    <w:rsid w:val="001C686C"/>
    <w:rsid w:val="002B5D9F"/>
    <w:rsid w:val="003B36E6"/>
    <w:rsid w:val="003B551C"/>
    <w:rsid w:val="003B756D"/>
    <w:rsid w:val="00403ADB"/>
    <w:rsid w:val="00572FD3"/>
    <w:rsid w:val="006621B4"/>
    <w:rsid w:val="0085103F"/>
    <w:rsid w:val="008720C4"/>
    <w:rsid w:val="008F52AF"/>
    <w:rsid w:val="009C5E5A"/>
    <w:rsid w:val="009E0FD8"/>
    <w:rsid w:val="00A90EB2"/>
    <w:rsid w:val="00A924FA"/>
    <w:rsid w:val="00AF0268"/>
    <w:rsid w:val="00BF0A1F"/>
    <w:rsid w:val="00C16CB2"/>
    <w:rsid w:val="00D21E77"/>
    <w:rsid w:val="00D33940"/>
    <w:rsid w:val="00D600FD"/>
    <w:rsid w:val="00D649A8"/>
    <w:rsid w:val="00DA2E41"/>
    <w:rsid w:val="00EB088A"/>
    <w:rsid w:val="00F366A4"/>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7990"/>
  <w15:docId w15:val="{513E041D-FE10-4ACD-BB00-D864CFD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21E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1E7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a07ca93-ed93-4a90-a4d6-d40d6c657f0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1441115334</Id>
      <Width>0</Width>
      <Height>0</Height>
      <XPath>//Image[@id='Profile.Org.WappenSW']</XPath>
      <ImageHash>02f1c0cdac6aeac316213b2e7cb733a0</ImageHash>
    </ImageSizeDefinition>
    <ImageSizeDefinition>
      <Id>675526448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0 0 5 d c 7 2 8 - c a 0 5 - 4 9 e e - b b f 1 - 8 4 e 4 f 4 6 4 2 f e 7 "   t I d = " a 3 6 2 a 5 d 4 - 9 5 8 9 - 4 1 b f - a 4 e 6 - 4 f 8 7 c 4 e 4 1 2 3 9 "   i n t e r n a l T I d = " 9 0 6 4 c c 7 f - 3 1 6 d - 4 6 b 1 - a 4 a c - 7 4 8 6 0 c 3 f 8 a 5 b "   m t I d = " 2 7 5 a f 3 2 e - b c 4 0 - 4 5 c 2 - 8 5 b 7 - a f b 1 c 0 3 8 2 6 5 3 "   r e v i s i o n = " 0 "   c r e a t e d m a j o r v e r s i o n = " 0 "   c r e a t e d m i n o r v e r s i o n = " 0 "   c r e a t e d = " 2 0 2 3 - 0 2 - 2 8 T 0 9 : 0 0 : 1 7 . 7 1 4 6 1 7 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2 7   R   d e l   2 7   f e b b r a i o 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2 7   R   d e l   2 7 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 2 0 2 3 - 0 2 - 2 7 T 0 0 : 0 0 : 0 0 Z < / D a t e T i m e >  
                 < T e x t   i d = " D o c P a r a m . N u m b e r " > < ! [ C D A T A [ 8 2 2 7 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1B093A0-E5FE-4C54-B625-3556A362E04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A213642-1783-4290-9AB6-D95DB7AA6D4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ea07ca93-ed93-4a90-a4d6-d40d6c657f07.dotx</Template>
  <TotalTime>19</TotalTime>
  <Pages>5</Pages>
  <Words>1702</Words>
  <Characters>9417</Characters>
  <Application>Microsoft Office Word</Application>
  <DocSecurity>0</DocSecurity>
  <Lines>196</Lines>
  <Paragraphs>66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12</cp:revision>
  <cp:lastPrinted>2023-02-28T09:18:00Z</cp:lastPrinted>
  <dcterms:created xsi:type="dcterms:W3CDTF">2023-02-28T09:00:00Z</dcterms:created>
  <dcterms:modified xsi:type="dcterms:W3CDTF">2023-02-28T09:19:00Z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