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A9" w:rsidRPr="006C29A9" w:rsidRDefault="006C29A9" w:rsidP="006C29A9">
      <w:pPr>
        <w:rPr>
          <w:rFonts w:eastAsia="Times New Roman" w:cs="Times New Roman"/>
          <w:b/>
          <w:sz w:val="28"/>
          <w:szCs w:val="28"/>
          <w:lang w:eastAsia="it-IT"/>
        </w:rPr>
      </w:pPr>
      <w:r w:rsidRPr="006C29A9">
        <w:rPr>
          <w:rFonts w:eastAsia="Times New Roman" w:cs="Times New Roman"/>
          <w:b/>
          <w:sz w:val="28"/>
          <w:szCs w:val="28"/>
          <w:lang w:eastAsia="it-IT"/>
        </w:rPr>
        <w:t>della Commissione economia e lavoro</w:t>
      </w:r>
    </w:p>
    <w:p w:rsidR="006C29A9" w:rsidRPr="006C29A9" w:rsidRDefault="006C29A9" w:rsidP="006C29A9">
      <w:pPr>
        <w:rPr>
          <w:rFonts w:eastAsia="Times New Roman" w:cs="Times New Roman"/>
          <w:b/>
          <w:sz w:val="28"/>
          <w:szCs w:val="28"/>
          <w:lang w:eastAsia="it-IT"/>
        </w:rPr>
      </w:pPr>
      <w:r w:rsidRPr="006C29A9">
        <w:rPr>
          <w:rFonts w:eastAsia="Times New Roman" w:cs="Times New Roman"/>
          <w:b/>
          <w:sz w:val="28"/>
          <w:szCs w:val="28"/>
          <w:lang w:eastAsia="it-IT"/>
        </w:rPr>
        <w:t xml:space="preserve">sulla mozione 18 febbraio 2019 presentata da Matteo Pronzini “Indennità cantonali di disoccupazione: mantenere le promesse elettorali, almeno per una volta!” </w:t>
      </w:r>
    </w:p>
    <w:p w:rsidR="006C29A9" w:rsidRPr="006C29A9" w:rsidRDefault="006C29A9" w:rsidP="006C29A9">
      <w:pPr>
        <w:spacing w:before="120"/>
        <w:rPr>
          <w:rFonts w:eastAsia="Times New Roman" w:cs="Times New Roman"/>
          <w:b/>
          <w:sz w:val="26"/>
          <w:szCs w:val="26"/>
          <w:lang w:eastAsia="it-IT"/>
        </w:rPr>
      </w:pPr>
      <w:r w:rsidRPr="006C29A9">
        <w:rPr>
          <w:rFonts w:eastAsia="Times New Roman" w:cs="Times New Roman"/>
          <w:b/>
          <w:sz w:val="26"/>
          <w:szCs w:val="26"/>
          <w:lang w:eastAsia="it-IT"/>
        </w:rPr>
        <w:t>(vedi messaggio 15 maggio 2019 n. 7662)</w:t>
      </w:r>
    </w:p>
    <w:p w:rsidR="006C29A9" w:rsidRPr="006C29A9" w:rsidRDefault="006C29A9" w:rsidP="006C29A9">
      <w:pPr>
        <w:spacing w:before="240"/>
        <w:rPr>
          <w:rFonts w:eastAsia="Times New Roman" w:cs="Times New Roman"/>
          <w:b/>
          <w:sz w:val="28"/>
          <w:szCs w:val="28"/>
          <w:lang w:eastAsia="it-IT"/>
        </w:rPr>
      </w:pPr>
      <w:r w:rsidRPr="006C29A9">
        <w:rPr>
          <w:rFonts w:eastAsia="Times New Roman" w:cs="Times New Roman"/>
          <w:b/>
          <w:sz w:val="28"/>
          <w:szCs w:val="28"/>
          <w:lang w:eastAsia="it-IT"/>
        </w:rPr>
        <w:t xml:space="preserve">e sulla petizione </w:t>
      </w:r>
      <w:r>
        <w:rPr>
          <w:rFonts w:eastAsia="Times New Roman" w:cs="Times New Roman"/>
          <w:b/>
          <w:sz w:val="28"/>
          <w:szCs w:val="28"/>
          <w:lang w:eastAsia="it-IT"/>
        </w:rPr>
        <w:t xml:space="preserve">7 maggio 2018 presentata dai Giovani del Centro (già </w:t>
      </w:r>
      <w:r w:rsidRPr="006C29A9">
        <w:rPr>
          <w:rFonts w:eastAsia="Times New Roman" w:cs="Times New Roman"/>
          <w:b/>
          <w:sz w:val="28"/>
          <w:szCs w:val="28"/>
          <w:lang w:eastAsia="it-IT"/>
        </w:rPr>
        <w:t>Generazione Giovani PPD</w:t>
      </w:r>
      <w:r>
        <w:rPr>
          <w:rFonts w:eastAsia="Times New Roman" w:cs="Times New Roman"/>
          <w:b/>
          <w:sz w:val="28"/>
          <w:szCs w:val="28"/>
          <w:lang w:eastAsia="it-IT"/>
        </w:rPr>
        <w:t>)</w:t>
      </w:r>
      <w:r w:rsidRPr="006C29A9">
        <w:rPr>
          <w:rFonts w:eastAsia="Times New Roman" w:cs="Times New Roman"/>
          <w:b/>
          <w:sz w:val="28"/>
          <w:szCs w:val="28"/>
          <w:lang w:eastAsia="it-IT"/>
        </w:rPr>
        <w:t xml:space="preserve"> per chiedere l'entrata in vigore delle indennità straordinarie di disoccupazione entro l'estate 2018</w:t>
      </w:r>
    </w:p>
    <w:p w:rsidR="006C29A9" w:rsidRPr="00696592" w:rsidRDefault="006C29A9" w:rsidP="006C29A9">
      <w:pPr>
        <w:rPr>
          <w:rFonts w:eastAsia="Times New Roman" w:cs="Times New Roman"/>
          <w:sz w:val="24"/>
          <w:szCs w:val="24"/>
          <w:lang w:eastAsia="it-IT"/>
        </w:rPr>
      </w:pPr>
    </w:p>
    <w:p w:rsidR="006C29A9" w:rsidRPr="00696592" w:rsidRDefault="006C29A9" w:rsidP="006C29A9">
      <w:pPr>
        <w:rPr>
          <w:rFonts w:eastAsia="Times New Roman" w:cs="Arial"/>
          <w:sz w:val="24"/>
          <w:szCs w:val="24"/>
          <w:lang w:val="it-IT" w:eastAsia="it-IT"/>
        </w:rPr>
      </w:pPr>
    </w:p>
    <w:p w:rsidR="00770D5B" w:rsidRDefault="00770D5B" w:rsidP="00770D5B">
      <w:pPr>
        <w:rPr>
          <w:rFonts w:asciiTheme="minorHAnsi" w:hAnsiTheme="minorHAnsi" w:cstheme="minorHAnsi"/>
          <w:sz w:val="24"/>
          <w:szCs w:val="24"/>
        </w:rPr>
      </w:pPr>
    </w:p>
    <w:p w:rsidR="00770D5B" w:rsidRPr="00770D5B" w:rsidRDefault="00770D5B" w:rsidP="00770D5B">
      <w:pPr>
        <w:pStyle w:val="Titolo1"/>
        <w:tabs>
          <w:tab w:val="left" w:pos="567"/>
        </w:tabs>
        <w:spacing w:before="0"/>
        <w:ind w:left="567" w:hanging="567"/>
        <w:jc w:val="both"/>
        <w:rPr>
          <w:rFonts w:eastAsia="Calibri" w:cs="Times New Roman"/>
          <w:caps/>
          <w:sz w:val="24"/>
          <w:szCs w:val="24"/>
          <w:lang w:val="it-IT" w:eastAsia="it-IT"/>
        </w:rPr>
      </w:pPr>
      <w:r w:rsidRPr="00770D5B">
        <w:rPr>
          <w:rFonts w:eastAsia="Calibri" w:cs="Times New Roman"/>
          <w:caps/>
          <w:sz w:val="24"/>
          <w:szCs w:val="24"/>
          <w:lang w:val="it-IT" w:eastAsia="it-IT"/>
        </w:rPr>
        <w:t>1.</w:t>
      </w:r>
      <w:r w:rsidRPr="00770D5B">
        <w:rPr>
          <w:rFonts w:eastAsia="Calibri" w:cs="Times New Roman"/>
          <w:caps/>
          <w:sz w:val="24"/>
          <w:szCs w:val="24"/>
          <w:lang w:val="it-IT" w:eastAsia="it-IT"/>
        </w:rPr>
        <w:tab/>
        <w:t>PREMESSA</w:t>
      </w: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 xml:space="preserve">Prendendo come unico riferimento i dati pubblicati dalla Segreteria di Stato dell'economia (SECO), i disoccupati iscritti sono diminuiti nel 2022 in Svizzera e anche in Ticino, dove riscontriamo un tasso di disoccupazione medio del 2.6% nel 2022 contro il 3.2% del 2021. </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Il numero di persone iscritte ad un Ufficio regionale di collocamento (URC) non è tuttavia l'unico dato per monitorare l'evoluzione della disoccupazione e infatti l'Ufficio federale di statistica (USTAT) rileva regolarmente anche il tasso di disoccupazione secondo la definizione dell'Ufficio internazionale del Lavoro (ILO) e il tasso di sottoccupazione.</w:t>
      </w:r>
    </w:p>
    <w:tbl>
      <w:tblPr>
        <w:tblW w:w="9316" w:type="dxa"/>
        <w:tblCellMar>
          <w:left w:w="70" w:type="dxa"/>
          <w:right w:w="70" w:type="dxa"/>
        </w:tblCellMar>
        <w:tblLook w:val="04A0" w:firstRow="1" w:lastRow="0" w:firstColumn="1" w:lastColumn="0" w:noHBand="0" w:noVBand="1"/>
      </w:tblPr>
      <w:tblGrid>
        <w:gridCol w:w="1110"/>
        <w:gridCol w:w="1743"/>
        <w:gridCol w:w="1746"/>
        <w:gridCol w:w="1666"/>
        <w:gridCol w:w="1648"/>
        <w:gridCol w:w="1403"/>
      </w:tblGrid>
      <w:tr w:rsidR="00770D5B" w:rsidRPr="00770D5B" w:rsidTr="00770D5B">
        <w:trPr>
          <w:trHeight w:val="671"/>
        </w:trPr>
        <w:tc>
          <w:tcPr>
            <w:tcW w:w="9316" w:type="dxa"/>
            <w:gridSpan w:val="6"/>
            <w:vAlign w:val="bottom"/>
            <w:hideMark/>
          </w:tcPr>
          <w:p w:rsidR="00770D5B" w:rsidRPr="00770D5B" w:rsidRDefault="00770D5B" w:rsidP="00770D5B">
            <w:pPr>
              <w:rPr>
                <w:rFonts w:asciiTheme="minorHAnsi" w:eastAsia="Times New Roman" w:hAnsiTheme="minorHAnsi" w:cstheme="minorHAnsi"/>
                <w:b/>
                <w:bCs/>
                <w:lang w:eastAsia="it-CH"/>
              </w:rPr>
            </w:pPr>
            <w:r w:rsidRPr="00770D5B">
              <w:rPr>
                <w:rFonts w:asciiTheme="minorHAnsi" w:eastAsia="Times New Roman" w:hAnsiTheme="minorHAnsi" w:cstheme="minorHAnsi"/>
                <w:b/>
                <w:bCs/>
                <w:lang w:eastAsia="it-CH"/>
              </w:rPr>
              <w:t xml:space="preserve">Disoccupati ai sensi dell'ILO (in migliaia) e tasso di disoccupazione (in valori percentuali), secondo il sesso, in Svizzera e in Ticino, per trimestre, dal I trimestre 2002 </w:t>
            </w:r>
          </w:p>
        </w:tc>
      </w:tr>
      <w:tr w:rsidR="00770D5B" w:rsidRPr="00770D5B" w:rsidTr="00770D5B">
        <w:trPr>
          <w:trHeight w:val="204"/>
        </w:trPr>
        <w:tc>
          <w:tcPr>
            <w:tcW w:w="9316" w:type="dxa"/>
            <w:gridSpan w:val="6"/>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r>
      <w:tr w:rsidR="00770D5B" w:rsidRPr="00770D5B" w:rsidTr="00770D5B">
        <w:trPr>
          <w:trHeight w:val="192"/>
        </w:trPr>
        <w:tc>
          <w:tcPr>
            <w:tcW w:w="2853" w:type="dxa"/>
            <w:gridSpan w:val="2"/>
            <w:tcBorders>
              <w:top w:val="single" w:sz="8" w:space="0" w:color="auto"/>
              <w:left w:val="single" w:sz="8" w:space="0" w:color="auto"/>
              <w:bottom w:val="nil"/>
              <w:right w:val="single" w:sz="4" w:space="0" w:color="000000"/>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3412" w:type="dxa"/>
            <w:gridSpan w:val="2"/>
            <w:tcBorders>
              <w:top w:val="single" w:sz="8" w:space="0" w:color="auto"/>
              <w:left w:val="nil"/>
              <w:bottom w:val="nil"/>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Disoccupati</w:t>
            </w:r>
          </w:p>
        </w:tc>
        <w:tc>
          <w:tcPr>
            <w:tcW w:w="3051" w:type="dxa"/>
            <w:gridSpan w:val="2"/>
            <w:tcBorders>
              <w:top w:val="single" w:sz="8" w:space="0" w:color="auto"/>
              <w:left w:val="single" w:sz="4" w:space="0" w:color="auto"/>
              <w:bottom w:val="nil"/>
              <w:right w:val="single" w:sz="8" w:space="0" w:color="000000"/>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Tasso di disoccupazione</w:t>
            </w:r>
          </w:p>
        </w:tc>
      </w:tr>
      <w:tr w:rsidR="00770D5B" w:rsidRPr="00770D5B" w:rsidTr="00770D5B">
        <w:trPr>
          <w:trHeight w:val="192"/>
        </w:trPr>
        <w:tc>
          <w:tcPr>
            <w:tcW w:w="2853" w:type="dxa"/>
            <w:gridSpan w:val="2"/>
            <w:tcBorders>
              <w:top w:val="single" w:sz="4" w:space="0" w:color="auto"/>
              <w:left w:val="single" w:sz="8" w:space="0" w:color="auto"/>
              <w:bottom w:val="single" w:sz="8" w:space="0" w:color="auto"/>
              <w:right w:val="single" w:sz="4" w:space="0" w:color="000000"/>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1746" w:type="dxa"/>
            <w:tcBorders>
              <w:top w:val="single" w:sz="4" w:space="0" w:color="auto"/>
              <w:left w:val="nil"/>
              <w:bottom w:val="single" w:sz="8"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Svizzera</w:t>
            </w:r>
          </w:p>
        </w:tc>
        <w:tc>
          <w:tcPr>
            <w:tcW w:w="1666" w:type="dxa"/>
            <w:tcBorders>
              <w:top w:val="single" w:sz="4" w:space="0" w:color="auto"/>
              <w:left w:val="nil"/>
              <w:bottom w:val="single" w:sz="8" w:space="0" w:color="auto"/>
              <w:right w:val="nil"/>
            </w:tcBorders>
            <w:shd w:val="clear" w:color="auto" w:fill="BFBFBF" w:themeFill="background1" w:themeFillShade="BF"/>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Ticino</w:t>
            </w:r>
          </w:p>
        </w:tc>
        <w:tc>
          <w:tcPr>
            <w:tcW w:w="1648" w:type="dxa"/>
            <w:tcBorders>
              <w:top w:val="single" w:sz="4" w:space="0" w:color="auto"/>
              <w:left w:val="single" w:sz="4" w:space="0" w:color="auto"/>
              <w:bottom w:val="single" w:sz="8"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Svizzera</w:t>
            </w:r>
          </w:p>
        </w:tc>
        <w:tc>
          <w:tcPr>
            <w:tcW w:w="1403" w:type="dxa"/>
            <w:tcBorders>
              <w:top w:val="single" w:sz="4" w:space="0" w:color="auto"/>
              <w:left w:val="nil"/>
              <w:bottom w:val="single" w:sz="8" w:space="0" w:color="auto"/>
              <w:right w:val="single" w:sz="8" w:space="0" w:color="auto"/>
            </w:tcBorders>
            <w:shd w:val="clear" w:color="auto" w:fill="BFBFBF" w:themeFill="background1" w:themeFillShade="BF"/>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Ticino</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2017</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IV trim.</w:t>
            </w:r>
          </w:p>
        </w:tc>
        <w:tc>
          <w:tcPr>
            <w:tcW w:w="1746"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color w:val="000000"/>
                <w:sz w:val="20"/>
                <w:szCs w:val="20"/>
                <w:lang w:eastAsia="it-CH"/>
              </w:rPr>
            </w:pPr>
            <w:r w:rsidRPr="00770D5B">
              <w:rPr>
                <w:rFonts w:asciiTheme="minorHAnsi" w:eastAsia="Times New Roman" w:hAnsiTheme="minorHAnsi" w:cstheme="minorHAnsi"/>
                <w:color w:val="000000"/>
                <w:sz w:val="20"/>
                <w:szCs w:val="20"/>
                <w:lang w:eastAsia="it-CH"/>
              </w:rPr>
              <w:t>222.2</w:t>
            </w:r>
          </w:p>
        </w:tc>
        <w:tc>
          <w:tcPr>
            <w:tcW w:w="1666" w:type="dxa"/>
            <w:tcBorders>
              <w:top w:val="single" w:sz="4" w:space="0" w:color="000000"/>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10.9</w:t>
            </w:r>
          </w:p>
        </w:tc>
        <w:tc>
          <w:tcPr>
            <w:tcW w:w="1648"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color w:val="000000"/>
                <w:sz w:val="20"/>
                <w:szCs w:val="20"/>
                <w:lang w:eastAsia="it-CH"/>
              </w:rPr>
            </w:pPr>
            <w:r w:rsidRPr="00770D5B">
              <w:rPr>
                <w:rFonts w:asciiTheme="minorHAnsi" w:eastAsia="Times New Roman" w:hAnsiTheme="minorHAnsi" w:cstheme="minorHAnsi"/>
                <w:color w:val="000000"/>
                <w:sz w:val="20"/>
                <w:szCs w:val="20"/>
                <w:lang w:eastAsia="it-CH"/>
              </w:rPr>
              <w:t>4.5</w:t>
            </w:r>
          </w:p>
        </w:tc>
        <w:tc>
          <w:tcPr>
            <w:tcW w:w="1403" w:type="dxa"/>
            <w:tcBorders>
              <w:top w:val="single" w:sz="4" w:space="0" w:color="000000"/>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5.9</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2018</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IV trim.</w:t>
            </w:r>
          </w:p>
        </w:tc>
        <w:tc>
          <w:tcPr>
            <w:tcW w:w="1746"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226.7</w:t>
            </w:r>
          </w:p>
        </w:tc>
        <w:tc>
          <w:tcPr>
            <w:tcW w:w="1666"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12.3</w:t>
            </w:r>
          </w:p>
        </w:tc>
        <w:tc>
          <w:tcPr>
            <w:tcW w:w="1648"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4.6</w:t>
            </w:r>
          </w:p>
        </w:tc>
        <w:tc>
          <w:tcPr>
            <w:tcW w:w="1403"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6.8</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2019</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IV trim.</w:t>
            </w:r>
          </w:p>
        </w:tc>
        <w:tc>
          <w:tcPr>
            <w:tcW w:w="1746"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192.3</w:t>
            </w:r>
          </w:p>
        </w:tc>
        <w:tc>
          <w:tcPr>
            <w:tcW w:w="1666"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10.4</w:t>
            </w:r>
          </w:p>
        </w:tc>
        <w:tc>
          <w:tcPr>
            <w:tcW w:w="1648"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3.9</w:t>
            </w:r>
          </w:p>
        </w:tc>
        <w:tc>
          <w:tcPr>
            <w:tcW w:w="1403"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6.1</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2020</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IV trim.</w:t>
            </w:r>
          </w:p>
        </w:tc>
        <w:tc>
          <w:tcPr>
            <w:tcW w:w="1746"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246.4</w:t>
            </w:r>
          </w:p>
        </w:tc>
        <w:tc>
          <w:tcPr>
            <w:tcW w:w="1666"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12.0</w:t>
            </w:r>
          </w:p>
        </w:tc>
        <w:tc>
          <w:tcPr>
            <w:tcW w:w="1648"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4.9</w:t>
            </w:r>
          </w:p>
        </w:tc>
        <w:tc>
          <w:tcPr>
            <w:tcW w:w="1403"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6.8</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2021</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IV trim.</w:t>
            </w:r>
          </w:p>
        </w:tc>
        <w:tc>
          <w:tcPr>
            <w:tcW w:w="1746"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220.5</w:t>
            </w:r>
          </w:p>
        </w:tc>
        <w:tc>
          <w:tcPr>
            <w:tcW w:w="1666"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13.0</w:t>
            </w:r>
          </w:p>
        </w:tc>
        <w:tc>
          <w:tcPr>
            <w:tcW w:w="1648" w:type="dxa"/>
            <w:tcBorders>
              <w:top w:val="single" w:sz="4" w:space="0" w:color="auto"/>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4.4</w:t>
            </w:r>
          </w:p>
        </w:tc>
        <w:tc>
          <w:tcPr>
            <w:tcW w:w="1403" w:type="dxa"/>
            <w:tcBorders>
              <w:top w:val="single" w:sz="4" w:space="0" w:color="auto"/>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7.2</w:t>
            </w:r>
          </w:p>
        </w:tc>
      </w:tr>
      <w:tr w:rsidR="00770D5B" w:rsidRPr="00770D5B" w:rsidTr="00770D5B">
        <w:trPr>
          <w:trHeight w:val="180"/>
        </w:trPr>
        <w:tc>
          <w:tcPr>
            <w:tcW w:w="2853"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2022</w:t>
            </w:r>
          </w:p>
        </w:tc>
        <w:tc>
          <w:tcPr>
            <w:tcW w:w="174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1666"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c>
          <w:tcPr>
            <w:tcW w:w="164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403" w:type="dxa"/>
            <w:shd w:val="clear" w:color="auto" w:fill="BFBFBF" w:themeFill="background1" w:themeFillShade="BF"/>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770D5B">
        <w:trPr>
          <w:trHeight w:val="180"/>
        </w:trPr>
        <w:tc>
          <w:tcPr>
            <w:tcW w:w="111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1743"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III trim.</w:t>
            </w:r>
          </w:p>
        </w:tc>
        <w:tc>
          <w:tcPr>
            <w:tcW w:w="1746"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212.2</w:t>
            </w:r>
          </w:p>
        </w:tc>
        <w:tc>
          <w:tcPr>
            <w:tcW w:w="1666" w:type="dxa"/>
            <w:tcBorders>
              <w:top w:val="single" w:sz="4" w:space="0" w:color="auto"/>
              <w:left w:val="nil"/>
              <w:bottom w:val="single" w:sz="4" w:space="0" w:color="auto"/>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11.8</w:t>
            </w:r>
          </w:p>
        </w:tc>
        <w:tc>
          <w:tcPr>
            <w:tcW w:w="1648"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4.3</w:t>
            </w:r>
          </w:p>
        </w:tc>
        <w:tc>
          <w:tcPr>
            <w:tcW w:w="1403" w:type="dxa"/>
            <w:tcBorders>
              <w:top w:val="single" w:sz="4" w:space="0" w:color="auto"/>
              <w:left w:val="nil"/>
              <w:bottom w:val="single" w:sz="4" w:space="0" w:color="auto"/>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6.6</w:t>
            </w:r>
          </w:p>
        </w:tc>
      </w:tr>
      <w:tr w:rsidR="00770D5B" w:rsidRPr="00770D5B" w:rsidTr="00770D5B">
        <w:trPr>
          <w:trHeight w:val="84"/>
        </w:trPr>
        <w:tc>
          <w:tcPr>
            <w:tcW w:w="9316" w:type="dxa"/>
            <w:gridSpan w:val="6"/>
            <w:noWrap/>
            <w:vAlign w:val="bottom"/>
          </w:tcPr>
          <w:p w:rsidR="00770D5B" w:rsidRPr="00770D5B" w:rsidRDefault="00770D5B" w:rsidP="00770D5B">
            <w:pPr>
              <w:rPr>
                <w:rFonts w:asciiTheme="minorHAnsi" w:eastAsia="Times New Roman" w:hAnsiTheme="minorHAnsi" w:cstheme="minorHAnsi"/>
                <w:sz w:val="16"/>
                <w:szCs w:val="16"/>
                <w:lang w:eastAsia="it-CH"/>
              </w:rPr>
            </w:pPr>
            <w:r w:rsidRPr="00770D5B">
              <w:rPr>
                <w:rFonts w:asciiTheme="minorHAnsi" w:eastAsia="Times New Roman" w:hAnsiTheme="minorHAnsi" w:cstheme="minorHAnsi"/>
                <w:sz w:val="16"/>
                <w:szCs w:val="16"/>
                <w:lang w:eastAsia="it-CH"/>
              </w:rPr>
              <w:t>Fonte: Statistica delle persone disoccupate ai sensi dell’ILO, Ufficio federale di statistica, Neuchâtel</w:t>
            </w:r>
          </w:p>
        </w:tc>
      </w:tr>
    </w:tbl>
    <w:p w:rsidR="00770D5B" w:rsidRDefault="00770D5B">
      <w:r>
        <w:br w:type="page"/>
      </w:r>
    </w:p>
    <w:tbl>
      <w:tblPr>
        <w:tblW w:w="9485" w:type="dxa"/>
        <w:tblCellMar>
          <w:left w:w="70" w:type="dxa"/>
          <w:right w:w="70" w:type="dxa"/>
        </w:tblCellMar>
        <w:tblLook w:val="04A0" w:firstRow="1" w:lastRow="0" w:firstColumn="1" w:lastColumn="0" w:noHBand="0" w:noVBand="1"/>
      </w:tblPr>
      <w:tblGrid>
        <w:gridCol w:w="9485"/>
      </w:tblGrid>
      <w:tr w:rsidR="00770D5B" w:rsidRPr="00770D5B" w:rsidTr="003927EA">
        <w:trPr>
          <w:trHeight w:val="168"/>
        </w:trPr>
        <w:tc>
          <w:tcPr>
            <w:tcW w:w="9485" w:type="dxa"/>
            <w:noWrap/>
            <w:vAlign w:val="bottom"/>
            <w:hideMark/>
          </w:tcPr>
          <w:tbl>
            <w:tblPr>
              <w:tblW w:w="9295" w:type="dxa"/>
              <w:tblCellMar>
                <w:left w:w="70" w:type="dxa"/>
                <w:right w:w="70" w:type="dxa"/>
              </w:tblCellMar>
              <w:tblLook w:val="04A0" w:firstRow="1" w:lastRow="0" w:firstColumn="1" w:lastColumn="0" w:noHBand="0" w:noVBand="1"/>
            </w:tblPr>
            <w:tblGrid>
              <w:gridCol w:w="173"/>
              <w:gridCol w:w="836"/>
              <w:gridCol w:w="736"/>
              <w:gridCol w:w="806"/>
              <w:gridCol w:w="772"/>
              <w:gridCol w:w="890"/>
              <w:gridCol w:w="939"/>
              <w:gridCol w:w="736"/>
              <w:gridCol w:w="806"/>
              <w:gridCol w:w="772"/>
              <w:gridCol w:w="890"/>
              <w:gridCol w:w="939"/>
            </w:tblGrid>
            <w:tr w:rsidR="00770D5B" w:rsidRPr="00770D5B" w:rsidTr="003927EA">
              <w:trPr>
                <w:trHeight w:val="244"/>
              </w:trPr>
              <w:tc>
                <w:tcPr>
                  <w:tcW w:w="9295" w:type="dxa"/>
                  <w:gridSpan w:val="12"/>
                  <w:noWrap/>
                  <w:vAlign w:val="bottom"/>
                  <w:hideMark/>
                </w:tcPr>
                <w:p w:rsidR="00770D5B" w:rsidRPr="00770D5B" w:rsidRDefault="00770D5B" w:rsidP="00770D5B">
                  <w:pPr>
                    <w:rPr>
                      <w:rFonts w:asciiTheme="minorHAnsi" w:eastAsia="Times New Roman" w:hAnsiTheme="minorHAnsi" w:cstheme="minorHAnsi"/>
                      <w:b/>
                      <w:bCs/>
                      <w:lang w:eastAsia="it-CH"/>
                    </w:rPr>
                  </w:pPr>
                  <w:r w:rsidRPr="00770D5B">
                    <w:rPr>
                      <w:rFonts w:asciiTheme="minorHAnsi" w:eastAsia="Times New Roman" w:hAnsiTheme="minorHAnsi" w:cstheme="minorHAnsi"/>
                      <w:b/>
                      <w:bCs/>
                      <w:lang w:eastAsia="it-CH"/>
                    </w:rPr>
                    <w:lastRenderedPageBreak/>
                    <w:t>Sottoccupati (in migliaia) e tasso di sottoccupazione (in valori percentuali), secondo la nazionalità e il sesso, in Svizzera e in Ticino</w:t>
                  </w:r>
                </w:p>
              </w:tc>
            </w:tr>
            <w:tr w:rsidR="00770D5B" w:rsidRPr="00770D5B" w:rsidTr="003927EA">
              <w:trPr>
                <w:trHeight w:val="228"/>
              </w:trPr>
              <w:tc>
                <w:tcPr>
                  <w:tcW w:w="9295" w:type="dxa"/>
                  <w:gridSpan w:val="12"/>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r>
            <w:tr w:rsidR="00770D5B" w:rsidRPr="00770D5B" w:rsidTr="003927EA">
              <w:trPr>
                <w:trHeight w:val="208"/>
              </w:trPr>
              <w:tc>
                <w:tcPr>
                  <w:tcW w:w="1009" w:type="dxa"/>
                  <w:gridSpan w:val="2"/>
                  <w:tcBorders>
                    <w:top w:val="single" w:sz="4" w:space="0" w:color="auto"/>
                    <w:left w:val="nil"/>
                    <w:bottom w:val="nil"/>
                    <w:right w:val="single" w:sz="4" w:space="0" w:color="000000"/>
                  </w:tcBorders>
                  <w:noWrap/>
                  <w:vAlign w:val="bottom"/>
                  <w:hideMark/>
                </w:tcPr>
                <w:p w:rsidR="00770D5B" w:rsidRPr="00770D5B" w:rsidRDefault="00770D5B" w:rsidP="00770D5B">
                  <w:pPr>
                    <w:jc w:val="cente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4143" w:type="dxa"/>
                  <w:gridSpan w:val="5"/>
                  <w:tcBorders>
                    <w:top w:val="single" w:sz="4" w:space="0" w:color="auto"/>
                    <w:left w:val="nil"/>
                    <w:bottom w:val="nil"/>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Sottoccupati</w:t>
                  </w:r>
                </w:p>
              </w:tc>
              <w:tc>
                <w:tcPr>
                  <w:tcW w:w="4143" w:type="dxa"/>
                  <w:gridSpan w:val="5"/>
                  <w:tcBorders>
                    <w:top w:val="single" w:sz="4" w:space="0" w:color="auto"/>
                    <w:left w:val="single" w:sz="4" w:space="0" w:color="auto"/>
                    <w:bottom w:val="nil"/>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Tasso di sottoccupazione</w:t>
                  </w:r>
                </w:p>
              </w:tc>
            </w:tr>
            <w:tr w:rsidR="00770D5B" w:rsidRPr="00770D5B" w:rsidTr="003927EA">
              <w:trPr>
                <w:trHeight w:val="208"/>
              </w:trPr>
              <w:tc>
                <w:tcPr>
                  <w:tcW w:w="1009" w:type="dxa"/>
                  <w:gridSpan w:val="2"/>
                  <w:tcBorders>
                    <w:top w:val="nil"/>
                    <w:left w:val="nil"/>
                    <w:bottom w:val="nil"/>
                    <w:right w:val="single" w:sz="4" w:space="0" w:color="000000"/>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2314" w:type="dxa"/>
                  <w:gridSpan w:val="3"/>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890"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Svizzeri</w:t>
                  </w:r>
                </w:p>
              </w:tc>
              <w:tc>
                <w:tcPr>
                  <w:tcW w:w="938"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Stranieri</w:t>
                  </w:r>
                </w:p>
              </w:tc>
              <w:tc>
                <w:tcPr>
                  <w:tcW w:w="2314" w:type="dxa"/>
                  <w:gridSpan w:val="3"/>
                  <w:tcBorders>
                    <w:top w:val="nil"/>
                    <w:left w:val="single" w:sz="4" w:space="0" w:color="auto"/>
                    <w:bottom w:val="nil"/>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890"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Svizzeri</w:t>
                  </w:r>
                </w:p>
              </w:tc>
              <w:tc>
                <w:tcPr>
                  <w:tcW w:w="938"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Stranieri</w:t>
                  </w:r>
                </w:p>
              </w:tc>
            </w:tr>
            <w:tr w:rsidR="00770D5B" w:rsidRPr="00770D5B" w:rsidTr="003927EA">
              <w:trPr>
                <w:trHeight w:val="208"/>
              </w:trPr>
              <w:tc>
                <w:tcPr>
                  <w:tcW w:w="1009" w:type="dxa"/>
                  <w:gridSpan w:val="2"/>
                  <w:noWrap/>
                  <w:vAlign w:val="bottom"/>
                  <w:hideMark/>
                </w:tcPr>
                <w:p w:rsidR="00770D5B" w:rsidRPr="00770D5B" w:rsidRDefault="00770D5B" w:rsidP="00770D5B">
                  <w:pPr>
                    <w:rPr>
                      <w:rFonts w:asciiTheme="minorHAnsi" w:eastAsia="Times New Roman" w:hAnsiTheme="minorHAnsi" w:cstheme="minorHAnsi"/>
                      <w:sz w:val="20"/>
                      <w:szCs w:val="20"/>
                      <w:lang w:eastAsia="it-CH"/>
                    </w:rPr>
                  </w:pPr>
                </w:p>
              </w:tc>
              <w:tc>
                <w:tcPr>
                  <w:tcW w:w="2314" w:type="dxa"/>
                  <w:gridSpan w:val="3"/>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2314" w:type="dxa"/>
                  <w:gridSpan w:val="3"/>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3927EA">
              <w:trPr>
                <w:trHeight w:val="188"/>
              </w:trPr>
              <w:tc>
                <w:tcPr>
                  <w:tcW w:w="1009" w:type="dxa"/>
                  <w:gridSpan w:val="2"/>
                  <w:tcBorders>
                    <w:top w:val="nil"/>
                    <w:left w:val="nil"/>
                    <w:bottom w:val="single" w:sz="4" w:space="0" w:color="auto"/>
                    <w:right w:val="nil"/>
                  </w:tcBorders>
                  <w:noWrap/>
                  <w:vAlign w:val="bottom"/>
                  <w:hideMark/>
                </w:tcPr>
                <w:p w:rsidR="00770D5B" w:rsidRPr="00770D5B" w:rsidRDefault="00770D5B" w:rsidP="00770D5B">
                  <w:pPr>
                    <w:jc w:val="cente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36"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806"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Uomini</w:t>
                  </w:r>
                </w:p>
              </w:tc>
              <w:tc>
                <w:tcPr>
                  <w:tcW w:w="771"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Donne</w:t>
                  </w:r>
                </w:p>
              </w:tc>
              <w:tc>
                <w:tcPr>
                  <w:tcW w:w="890"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938"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736"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806"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Uomini</w:t>
                  </w:r>
                </w:p>
              </w:tc>
              <w:tc>
                <w:tcPr>
                  <w:tcW w:w="771"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Donne</w:t>
                  </w:r>
                </w:p>
              </w:tc>
              <w:tc>
                <w:tcPr>
                  <w:tcW w:w="890"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c>
                <w:tcPr>
                  <w:tcW w:w="938"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Totale</w:t>
                  </w:r>
                </w:p>
              </w:tc>
            </w:tr>
            <w:tr w:rsidR="00770D5B" w:rsidRPr="00770D5B" w:rsidTr="003927EA">
              <w:trPr>
                <w:trHeight w:val="208"/>
              </w:trPr>
              <w:tc>
                <w:tcPr>
                  <w:tcW w:w="1009" w:type="dxa"/>
                  <w:gridSpan w:val="2"/>
                  <w:tcBorders>
                    <w:top w:val="single" w:sz="4" w:space="0" w:color="auto"/>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b/>
                      <w:bCs/>
                      <w:sz w:val="20"/>
                      <w:szCs w:val="20"/>
                      <w:lang w:eastAsia="it-CH"/>
                    </w:rPr>
                  </w:pPr>
                </w:p>
              </w:tc>
              <w:tc>
                <w:tcPr>
                  <w:tcW w:w="73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0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71"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90"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938"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3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0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71"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90"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938"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r>
            <w:tr w:rsidR="00770D5B" w:rsidRPr="00770D5B" w:rsidTr="003927EA">
              <w:trPr>
                <w:trHeight w:val="208"/>
              </w:trPr>
              <w:tc>
                <w:tcPr>
                  <w:tcW w:w="1009" w:type="dxa"/>
                  <w:gridSpan w:val="2"/>
                  <w:tcBorders>
                    <w:top w:val="single" w:sz="4" w:space="0" w:color="auto"/>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Svizzera</w:t>
                  </w:r>
                </w:p>
              </w:tc>
              <w:tc>
                <w:tcPr>
                  <w:tcW w:w="73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0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71"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90"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938"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3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0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71"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90"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938"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r>
            <w:tr w:rsidR="00770D5B" w:rsidRPr="00770D5B" w:rsidTr="003927EA">
              <w:trPr>
                <w:trHeight w:val="208"/>
              </w:trPr>
              <w:tc>
                <w:tcPr>
                  <w:tcW w:w="1009"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2022</w:t>
                  </w:r>
                </w:p>
              </w:tc>
              <w:tc>
                <w:tcPr>
                  <w:tcW w:w="736" w:type="dxa"/>
                  <w:noWrap/>
                  <w:vAlign w:val="bottom"/>
                  <w:hideMark/>
                </w:tcPr>
                <w:p w:rsidR="00770D5B" w:rsidRPr="00770D5B" w:rsidRDefault="00770D5B" w:rsidP="00770D5B">
                  <w:pPr>
                    <w:rPr>
                      <w:rFonts w:asciiTheme="minorHAnsi" w:eastAsia="Times New Roman" w:hAnsiTheme="minorHAnsi" w:cstheme="minorHAnsi"/>
                      <w:sz w:val="20"/>
                      <w:szCs w:val="20"/>
                      <w:lang w:eastAsia="it-CH"/>
                    </w:rPr>
                  </w:pPr>
                </w:p>
              </w:tc>
              <w:tc>
                <w:tcPr>
                  <w:tcW w:w="80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71"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3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0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71"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3927EA">
              <w:trPr>
                <w:trHeight w:val="168"/>
              </w:trPr>
              <w:tc>
                <w:tcPr>
                  <w:tcW w:w="173"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3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III Trim.</w:t>
                  </w:r>
                </w:p>
              </w:tc>
              <w:tc>
                <w:tcPr>
                  <w:tcW w:w="736"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231.6</w:t>
                  </w:r>
                </w:p>
              </w:tc>
              <w:tc>
                <w:tcPr>
                  <w:tcW w:w="806"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63.8</w:t>
                  </w:r>
                </w:p>
              </w:tc>
              <w:tc>
                <w:tcPr>
                  <w:tcW w:w="771"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167.8</w:t>
                  </w:r>
                </w:p>
              </w:tc>
              <w:tc>
                <w:tcPr>
                  <w:tcW w:w="890"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154.4</w:t>
                  </w:r>
                </w:p>
              </w:tc>
              <w:tc>
                <w:tcPr>
                  <w:tcW w:w="938"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77.3</w:t>
                  </w:r>
                </w:p>
              </w:tc>
              <w:tc>
                <w:tcPr>
                  <w:tcW w:w="736"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4.7</w:t>
                  </w:r>
                </w:p>
              </w:tc>
              <w:tc>
                <w:tcPr>
                  <w:tcW w:w="806"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2.4</w:t>
                  </w:r>
                </w:p>
              </w:tc>
              <w:tc>
                <w:tcPr>
                  <w:tcW w:w="771"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7.3</w:t>
                  </w:r>
                </w:p>
              </w:tc>
              <w:tc>
                <w:tcPr>
                  <w:tcW w:w="890"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4.3</w:t>
                  </w:r>
                </w:p>
              </w:tc>
              <w:tc>
                <w:tcPr>
                  <w:tcW w:w="938" w:type="dxa"/>
                  <w:tcBorders>
                    <w:top w:val="single" w:sz="4" w:space="0" w:color="auto"/>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5.6</w:t>
                  </w:r>
                </w:p>
              </w:tc>
            </w:tr>
            <w:tr w:rsidR="00770D5B" w:rsidRPr="00770D5B" w:rsidTr="003927EA">
              <w:trPr>
                <w:trHeight w:val="168"/>
              </w:trPr>
              <w:tc>
                <w:tcPr>
                  <w:tcW w:w="1009" w:type="dxa"/>
                  <w:gridSpan w:val="2"/>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b/>
                      <w:bCs/>
                      <w:sz w:val="20"/>
                      <w:szCs w:val="20"/>
                      <w:lang w:eastAsia="it-CH"/>
                    </w:rPr>
                  </w:pPr>
                </w:p>
              </w:tc>
              <w:tc>
                <w:tcPr>
                  <w:tcW w:w="736" w:type="dxa"/>
                  <w:tcBorders>
                    <w:top w:val="nil"/>
                    <w:left w:val="nil"/>
                    <w:bottom w:val="single" w:sz="4" w:space="0" w:color="auto"/>
                    <w:right w:val="nil"/>
                  </w:tcBorders>
                  <w:noWrap/>
                  <w:vAlign w:val="bottom"/>
                </w:tcPr>
                <w:p w:rsidR="00770D5B" w:rsidRPr="00770D5B" w:rsidRDefault="00770D5B" w:rsidP="00770D5B">
                  <w:pPr>
                    <w:jc w:val="right"/>
                    <w:rPr>
                      <w:rFonts w:asciiTheme="minorHAnsi" w:eastAsia="Times New Roman" w:hAnsiTheme="minorHAnsi" w:cstheme="minorHAnsi"/>
                      <w:sz w:val="20"/>
                      <w:szCs w:val="20"/>
                      <w:lang w:eastAsia="it-CH"/>
                    </w:rPr>
                  </w:pPr>
                </w:p>
              </w:tc>
              <w:tc>
                <w:tcPr>
                  <w:tcW w:w="80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71"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90"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938"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3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06"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771"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890"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c>
                <w:tcPr>
                  <w:tcW w:w="938" w:type="dxa"/>
                  <w:tcBorders>
                    <w:top w:val="nil"/>
                    <w:left w:val="nil"/>
                    <w:bottom w:val="single" w:sz="4" w:space="0" w:color="auto"/>
                    <w:right w:val="nil"/>
                  </w:tcBorders>
                  <w:noWrap/>
                  <w:vAlign w:val="bottom"/>
                </w:tcPr>
                <w:p w:rsidR="00770D5B" w:rsidRPr="00770D5B" w:rsidRDefault="00770D5B" w:rsidP="00770D5B">
                  <w:pPr>
                    <w:rPr>
                      <w:rFonts w:asciiTheme="minorHAnsi" w:eastAsia="Times New Roman" w:hAnsiTheme="minorHAnsi" w:cstheme="minorHAnsi"/>
                      <w:sz w:val="20"/>
                      <w:szCs w:val="20"/>
                      <w:lang w:eastAsia="it-CH"/>
                    </w:rPr>
                  </w:pPr>
                </w:p>
              </w:tc>
            </w:tr>
            <w:tr w:rsidR="00770D5B" w:rsidRPr="00770D5B" w:rsidTr="003927EA">
              <w:trPr>
                <w:trHeight w:val="168"/>
              </w:trPr>
              <w:tc>
                <w:tcPr>
                  <w:tcW w:w="1009"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Ticino</w:t>
                  </w:r>
                </w:p>
              </w:tc>
              <w:tc>
                <w:tcPr>
                  <w:tcW w:w="736" w:type="dxa"/>
                  <w:tcBorders>
                    <w:top w:val="nil"/>
                    <w:left w:val="nil"/>
                    <w:bottom w:val="single" w:sz="4" w:space="0" w:color="auto"/>
                    <w:right w:val="nil"/>
                  </w:tcBorders>
                  <w:noWrap/>
                  <w:vAlign w:val="bottom"/>
                  <w:hideMark/>
                </w:tcPr>
                <w:p w:rsidR="00770D5B" w:rsidRPr="00770D5B" w:rsidRDefault="00770D5B" w:rsidP="00770D5B">
                  <w:pPr>
                    <w:jc w:val="right"/>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0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71"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90"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938"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3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0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771"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890"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c>
                <w:tcPr>
                  <w:tcW w:w="938"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sz w:val="20"/>
                      <w:szCs w:val="20"/>
                      <w:lang w:eastAsia="it-CH"/>
                    </w:rPr>
                  </w:pPr>
                  <w:r w:rsidRPr="00770D5B">
                    <w:rPr>
                      <w:rFonts w:asciiTheme="minorHAnsi" w:eastAsia="Times New Roman" w:hAnsiTheme="minorHAnsi" w:cstheme="minorHAnsi"/>
                      <w:sz w:val="20"/>
                      <w:szCs w:val="20"/>
                      <w:lang w:eastAsia="it-CH"/>
                    </w:rPr>
                    <w:t> </w:t>
                  </w:r>
                </w:p>
              </w:tc>
            </w:tr>
            <w:tr w:rsidR="00770D5B" w:rsidRPr="00770D5B" w:rsidTr="003927EA">
              <w:trPr>
                <w:trHeight w:val="208"/>
              </w:trPr>
              <w:tc>
                <w:tcPr>
                  <w:tcW w:w="1009" w:type="dxa"/>
                  <w:gridSpan w:val="2"/>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2022</w:t>
                  </w:r>
                </w:p>
              </w:tc>
              <w:tc>
                <w:tcPr>
                  <w:tcW w:w="736" w:type="dxa"/>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p>
              </w:tc>
              <w:tc>
                <w:tcPr>
                  <w:tcW w:w="80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71"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3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06"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771"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90"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938" w:type="dxa"/>
                  <w:noWrap/>
                  <w:vAlign w:val="bottom"/>
                  <w:hideMark/>
                </w:tcPr>
                <w:p w:rsidR="00770D5B" w:rsidRPr="00770D5B" w:rsidRDefault="00770D5B" w:rsidP="00770D5B">
                  <w:pPr>
                    <w:rPr>
                      <w:rFonts w:asciiTheme="minorHAnsi" w:hAnsiTheme="minorHAnsi" w:cstheme="minorHAnsi"/>
                      <w:sz w:val="20"/>
                      <w:szCs w:val="20"/>
                      <w:lang w:eastAsia="it-CH"/>
                    </w:rPr>
                  </w:pPr>
                </w:p>
              </w:tc>
            </w:tr>
            <w:tr w:rsidR="00770D5B" w:rsidRPr="00770D5B" w:rsidTr="003927EA">
              <w:trPr>
                <w:trHeight w:val="168"/>
              </w:trPr>
              <w:tc>
                <w:tcPr>
                  <w:tcW w:w="173" w:type="dxa"/>
                  <w:noWrap/>
                  <w:vAlign w:val="bottom"/>
                  <w:hideMark/>
                </w:tcPr>
                <w:p w:rsidR="00770D5B" w:rsidRPr="00770D5B" w:rsidRDefault="00770D5B" w:rsidP="00770D5B">
                  <w:pPr>
                    <w:rPr>
                      <w:rFonts w:asciiTheme="minorHAnsi" w:hAnsiTheme="minorHAnsi" w:cstheme="minorHAnsi"/>
                      <w:sz w:val="20"/>
                      <w:szCs w:val="20"/>
                      <w:lang w:eastAsia="it-CH"/>
                    </w:rPr>
                  </w:pPr>
                </w:p>
              </w:tc>
              <w:tc>
                <w:tcPr>
                  <w:tcW w:w="836" w:type="dxa"/>
                  <w:tcBorders>
                    <w:top w:val="nil"/>
                    <w:left w:val="nil"/>
                    <w:bottom w:val="single" w:sz="4" w:space="0" w:color="auto"/>
                    <w:right w:val="nil"/>
                  </w:tcBorders>
                  <w:noWrap/>
                  <w:vAlign w:val="bottom"/>
                  <w:hideMark/>
                </w:tcPr>
                <w:p w:rsidR="00770D5B" w:rsidRPr="00770D5B" w:rsidRDefault="00770D5B" w:rsidP="00770D5B">
                  <w:pPr>
                    <w:rPr>
                      <w:rFonts w:asciiTheme="minorHAnsi" w:eastAsia="Times New Roman" w:hAnsiTheme="minorHAnsi" w:cstheme="minorHAnsi"/>
                      <w:b/>
                      <w:bCs/>
                      <w:sz w:val="20"/>
                      <w:szCs w:val="20"/>
                      <w:lang w:eastAsia="it-CH"/>
                    </w:rPr>
                  </w:pPr>
                  <w:r w:rsidRPr="00770D5B">
                    <w:rPr>
                      <w:rFonts w:asciiTheme="minorHAnsi" w:eastAsia="Times New Roman" w:hAnsiTheme="minorHAnsi" w:cstheme="minorHAnsi"/>
                      <w:b/>
                      <w:bCs/>
                      <w:sz w:val="20"/>
                      <w:szCs w:val="20"/>
                      <w:lang w:eastAsia="it-CH"/>
                    </w:rPr>
                    <w:t>IIITrim.</w:t>
                  </w:r>
                </w:p>
              </w:tc>
              <w:tc>
                <w:tcPr>
                  <w:tcW w:w="736" w:type="dxa"/>
                  <w:tcBorders>
                    <w:top w:val="single" w:sz="4" w:space="0" w:color="000000"/>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12.7</w:t>
                  </w:r>
                </w:p>
              </w:tc>
              <w:tc>
                <w:tcPr>
                  <w:tcW w:w="806"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(4.5)</w:t>
                  </w:r>
                </w:p>
              </w:tc>
              <w:tc>
                <w:tcPr>
                  <w:tcW w:w="771"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8.1</w:t>
                  </w:r>
                </w:p>
              </w:tc>
              <w:tc>
                <w:tcPr>
                  <w:tcW w:w="890"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8.6</w:t>
                  </w:r>
                </w:p>
              </w:tc>
              <w:tc>
                <w:tcPr>
                  <w:tcW w:w="938"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(4.1)</w:t>
                  </w:r>
                </w:p>
              </w:tc>
              <w:tc>
                <w:tcPr>
                  <w:tcW w:w="736" w:type="dxa"/>
                  <w:tcBorders>
                    <w:top w:val="single" w:sz="4" w:space="0" w:color="000000"/>
                    <w:left w:val="nil"/>
                    <w:bottom w:val="nil"/>
                    <w:right w:val="nil"/>
                  </w:tcBorders>
                  <w:shd w:val="clear" w:color="auto" w:fill="BFBFBF" w:themeFill="background1" w:themeFillShade="BF"/>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7.1</w:t>
                  </w:r>
                </w:p>
              </w:tc>
              <w:tc>
                <w:tcPr>
                  <w:tcW w:w="806"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(4.6)</w:t>
                  </w:r>
                </w:p>
              </w:tc>
              <w:tc>
                <w:tcPr>
                  <w:tcW w:w="771"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10.0</w:t>
                  </w:r>
                </w:p>
              </w:tc>
              <w:tc>
                <w:tcPr>
                  <w:tcW w:w="890"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7.1</w:t>
                  </w:r>
                </w:p>
              </w:tc>
              <w:tc>
                <w:tcPr>
                  <w:tcW w:w="938" w:type="dxa"/>
                  <w:tcBorders>
                    <w:top w:val="single" w:sz="4" w:space="0" w:color="000000"/>
                    <w:left w:val="nil"/>
                    <w:bottom w:val="nil"/>
                    <w:right w:val="nil"/>
                  </w:tcBorders>
                  <w:noWrap/>
                  <w:vAlign w:val="bottom"/>
                  <w:hideMark/>
                </w:tcPr>
                <w:p w:rsidR="00770D5B" w:rsidRPr="00770D5B" w:rsidRDefault="00770D5B" w:rsidP="00770D5B">
                  <w:pPr>
                    <w:jc w:val="right"/>
                    <w:rPr>
                      <w:rFonts w:asciiTheme="minorHAnsi" w:eastAsia="Times New Roman" w:hAnsiTheme="minorHAnsi" w:cstheme="minorHAnsi"/>
                      <w:b/>
                      <w:bCs/>
                      <w:color w:val="000000"/>
                      <w:sz w:val="20"/>
                      <w:szCs w:val="20"/>
                      <w:lang w:eastAsia="it-CH"/>
                    </w:rPr>
                  </w:pPr>
                  <w:r w:rsidRPr="00770D5B">
                    <w:rPr>
                      <w:rFonts w:asciiTheme="minorHAnsi" w:eastAsia="Times New Roman" w:hAnsiTheme="minorHAnsi" w:cstheme="minorHAnsi"/>
                      <w:b/>
                      <w:bCs/>
                      <w:color w:val="000000"/>
                      <w:sz w:val="20"/>
                      <w:szCs w:val="20"/>
                      <w:lang w:eastAsia="it-CH"/>
                    </w:rPr>
                    <w:t>(7.0)</w:t>
                  </w:r>
                </w:p>
              </w:tc>
            </w:tr>
            <w:tr w:rsidR="00770D5B" w:rsidRPr="00770D5B" w:rsidTr="003927EA">
              <w:trPr>
                <w:trHeight w:val="84"/>
              </w:trPr>
              <w:tc>
                <w:tcPr>
                  <w:tcW w:w="9295" w:type="dxa"/>
                  <w:gridSpan w:val="12"/>
                  <w:noWrap/>
                  <w:vAlign w:val="bottom"/>
                  <w:hideMark/>
                </w:tcPr>
                <w:p w:rsidR="00770D5B" w:rsidRPr="00770D5B" w:rsidRDefault="00770D5B" w:rsidP="00770D5B">
                  <w:pPr>
                    <w:rPr>
                      <w:rFonts w:asciiTheme="minorHAnsi" w:eastAsia="Times New Roman" w:hAnsiTheme="minorHAnsi" w:cstheme="minorHAnsi"/>
                      <w:b/>
                      <w:bCs/>
                      <w:color w:val="000000"/>
                      <w:sz w:val="24"/>
                      <w:szCs w:val="24"/>
                      <w:lang w:eastAsia="it-CH"/>
                    </w:rPr>
                  </w:pPr>
                </w:p>
              </w:tc>
            </w:tr>
            <w:tr w:rsidR="00770D5B" w:rsidRPr="00770D5B" w:rsidTr="003927EA">
              <w:trPr>
                <w:trHeight w:val="84"/>
              </w:trPr>
              <w:tc>
                <w:tcPr>
                  <w:tcW w:w="9295" w:type="dxa"/>
                  <w:gridSpan w:val="12"/>
                  <w:noWrap/>
                  <w:vAlign w:val="bottom"/>
                  <w:hideMark/>
                </w:tcPr>
                <w:p w:rsidR="00770D5B" w:rsidRPr="00770D5B" w:rsidRDefault="00770D5B" w:rsidP="00770D5B">
                  <w:pPr>
                    <w:rPr>
                      <w:rFonts w:asciiTheme="minorHAnsi" w:hAnsiTheme="minorHAnsi" w:cstheme="minorHAnsi"/>
                      <w:sz w:val="24"/>
                      <w:szCs w:val="24"/>
                      <w:lang w:eastAsia="it-CH"/>
                    </w:rPr>
                  </w:pPr>
                </w:p>
              </w:tc>
            </w:tr>
            <w:tr w:rsidR="00770D5B" w:rsidRPr="00770D5B" w:rsidTr="003927EA">
              <w:trPr>
                <w:trHeight w:val="207"/>
              </w:trPr>
              <w:tc>
                <w:tcPr>
                  <w:tcW w:w="9295" w:type="dxa"/>
                  <w:gridSpan w:val="12"/>
                  <w:noWrap/>
                  <w:vAlign w:val="bottom"/>
                  <w:hideMark/>
                </w:tcPr>
                <w:p w:rsidR="00770D5B" w:rsidRPr="00770D5B" w:rsidRDefault="00770D5B" w:rsidP="00770D5B">
                  <w:pPr>
                    <w:rPr>
                      <w:rFonts w:asciiTheme="minorHAnsi" w:eastAsia="Times New Roman" w:hAnsiTheme="minorHAnsi" w:cstheme="minorHAnsi"/>
                      <w:sz w:val="16"/>
                      <w:szCs w:val="16"/>
                      <w:lang w:eastAsia="it-CH"/>
                    </w:rPr>
                  </w:pPr>
                  <w:r w:rsidRPr="00770D5B">
                    <w:rPr>
                      <w:rFonts w:asciiTheme="minorHAnsi" w:eastAsia="Times New Roman" w:hAnsiTheme="minorHAnsi" w:cstheme="minorHAnsi"/>
                      <w:sz w:val="16"/>
                      <w:szCs w:val="16"/>
                      <w:lang w:eastAsia="it-CH"/>
                    </w:rPr>
                    <w:t>Fonte: Rilevazione sulle forze di lavoro in Svizzera (RIFOS), Ufficio federale di statistica, Neuchâtel.</w:t>
                  </w:r>
                </w:p>
              </w:tc>
            </w:tr>
          </w:tbl>
          <w:p w:rsidR="00770D5B" w:rsidRPr="00770D5B" w:rsidRDefault="00770D5B" w:rsidP="00770D5B">
            <w:pPr>
              <w:rPr>
                <w:rFonts w:asciiTheme="minorHAnsi" w:eastAsia="Songti SC" w:hAnsiTheme="minorHAnsi" w:cstheme="minorHAnsi"/>
                <w:kern w:val="2"/>
                <w:sz w:val="24"/>
                <w:szCs w:val="24"/>
                <w:lang w:val="it-IT" w:eastAsia="zh-CN" w:bidi="hi-IN"/>
              </w:rPr>
            </w:pPr>
          </w:p>
        </w:tc>
      </w:tr>
    </w:tbl>
    <w:p w:rsidR="00770D5B" w:rsidRPr="00770D5B" w:rsidRDefault="00770D5B" w:rsidP="00770D5B">
      <w:pPr>
        <w:rPr>
          <w:rFonts w:asciiTheme="minorHAnsi" w:hAnsiTheme="minorHAnsi" w:cstheme="minorHAnsi"/>
          <w:kern w:val="2"/>
          <w:sz w:val="24"/>
          <w:szCs w:val="24"/>
          <w:lang w:val="it-IT" w:eastAsia="zh-CN" w:bidi="hi-IN"/>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Il dato ILO rileva a settembre 2022 (il dato trimestrale viene pubblicato circa un mese e mezzo dopo la fine di un periodo di rilevamento) 11'800 persone alla ricerca di un posto di lavoro che corrispondono ad un tasso di disoccupazione in Ticino del 6.6%, nettamente superiore al resto della Svizzera (4.3%). Benché si saluta un’evoluzione positiva tra il 2021 e il 2022, questo dato è in linea con quello degli ultimi anni.</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Un altro elemento significativo in questo ambito, è il numero di persone che ritengono di essere sottoccupate. A causa di un’interruzione della modalità di rilevamento dei dati l’USTAT non è in grado di pubblicare una valutazione sull’evoluzione pluriennale. Tuttavia, in Ticino a settembre 2022 sono ben 12'700 le persone (soprattutto donne e soprattutto svizzeri) che sono sottoccupate con un tasso di sottoccupazione del 7.1% (4.7% in Svizzera).</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Si conferma quindi che il mercato del lavoro in Ticino è ancora molto fragile con fenomeni legati alla disoccupazione e alla sottoccupazione molto più preoccupanti che nel resto della Svizzera.</w:t>
      </w:r>
    </w:p>
    <w:p w:rsidR="00770D5B" w:rsidRPr="00770D5B" w:rsidRDefault="00770D5B" w:rsidP="00770D5B">
      <w:pPr>
        <w:rPr>
          <w:rFonts w:asciiTheme="minorHAnsi" w:hAnsiTheme="minorHAnsi" w:cstheme="minorHAnsi"/>
          <w:sz w:val="24"/>
          <w:szCs w:val="24"/>
        </w:rPr>
      </w:pPr>
    </w:p>
    <w:p w:rsid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p>
    <w:p w:rsidR="00770D5B" w:rsidRPr="00770D5B" w:rsidRDefault="00770D5B" w:rsidP="00770D5B">
      <w:pPr>
        <w:pStyle w:val="Titolo1"/>
        <w:tabs>
          <w:tab w:val="left" w:pos="567"/>
        </w:tabs>
        <w:spacing w:before="0"/>
        <w:ind w:left="567" w:hanging="567"/>
        <w:jc w:val="both"/>
        <w:rPr>
          <w:rFonts w:eastAsia="Calibri" w:cs="Times New Roman"/>
          <w:caps/>
          <w:sz w:val="24"/>
          <w:szCs w:val="24"/>
          <w:lang w:val="it-IT" w:eastAsia="it-IT"/>
        </w:rPr>
      </w:pPr>
      <w:r w:rsidRPr="00770D5B">
        <w:rPr>
          <w:rFonts w:eastAsia="Calibri" w:cs="Times New Roman"/>
          <w:caps/>
          <w:sz w:val="24"/>
          <w:szCs w:val="24"/>
          <w:lang w:val="it-IT" w:eastAsia="it-IT"/>
        </w:rPr>
        <w:t xml:space="preserve">2. </w:t>
      </w:r>
      <w:r>
        <w:rPr>
          <w:rFonts w:eastAsia="Calibri" w:cs="Times New Roman"/>
          <w:caps/>
          <w:sz w:val="24"/>
          <w:szCs w:val="24"/>
          <w:lang w:val="it-IT" w:eastAsia="it-IT"/>
        </w:rPr>
        <w:tab/>
      </w:r>
      <w:r w:rsidRPr="00770D5B">
        <w:rPr>
          <w:rFonts w:eastAsia="Calibri" w:cs="Times New Roman"/>
          <w:caps/>
          <w:sz w:val="24"/>
          <w:szCs w:val="24"/>
          <w:lang w:val="it-IT" w:eastAsia="it-IT"/>
        </w:rPr>
        <w:t>LA MOZIONE E LA PETIZIONE</w:t>
      </w:r>
    </w:p>
    <w:p w:rsidR="00770D5B" w:rsidRPr="00770D5B" w:rsidRDefault="00770D5B" w:rsidP="00770D5B">
      <w:pPr>
        <w:rPr>
          <w:rFonts w:asciiTheme="minorHAnsi" w:hAnsiTheme="minorHAnsi" w:cstheme="minorHAnsi"/>
          <w:sz w:val="24"/>
          <w:szCs w:val="24"/>
        </w:rPr>
      </w:pPr>
    </w:p>
    <w:p w:rsid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 xml:space="preserve">Il 7 maggio 2018, Generazione giovani del Partito Popolare Democratico del Cantone Ticino deposita una Petizione (primo firmatario Enea Monticelli) attraverso la quale si chiede </w:t>
      </w:r>
      <w:r w:rsidRPr="00770D5B">
        <w:rPr>
          <w:rFonts w:asciiTheme="minorHAnsi" w:hAnsiTheme="minorHAnsi" w:cstheme="minorHAnsi"/>
          <w:i/>
          <w:iCs/>
          <w:sz w:val="24"/>
          <w:szCs w:val="24"/>
        </w:rPr>
        <w:t>"l'entrata in vigore delle indennità straordinaria di disoccupazione entro l’estate del 2018</w:t>
      </w:r>
      <w:r w:rsidRPr="00770D5B">
        <w:rPr>
          <w:rFonts w:asciiTheme="minorHAnsi" w:hAnsiTheme="minorHAnsi" w:cstheme="minorHAnsi"/>
          <w:sz w:val="24"/>
          <w:szCs w:val="24"/>
        </w:rPr>
        <w:t xml:space="preserve">". </w:t>
      </w:r>
    </w:p>
    <w:p w:rsidR="00770D5B" w:rsidRPr="00770D5B" w:rsidRDefault="00770D5B" w:rsidP="00770D5B">
      <w:pPr>
        <w:rPr>
          <w:rFonts w:asciiTheme="minorHAnsi" w:hAnsiTheme="minorHAnsi" w:cstheme="minorHAnsi"/>
          <w:sz w:val="24"/>
          <w:szCs w:val="24"/>
        </w:rPr>
      </w:pPr>
    </w:p>
    <w:p w:rsid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Il 18 febbraio 2019, il deputato Matteo Pronzini deposita</w:t>
      </w:r>
      <w:r>
        <w:rPr>
          <w:rFonts w:asciiTheme="minorHAnsi" w:hAnsiTheme="minorHAnsi" w:cstheme="minorHAnsi"/>
          <w:sz w:val="24"/>
          <w:szCs w:val="24"/>
        </w:rPr>
        <w:t xml:space="preserve"> la mozione 1356 che chiede:</w:t>
      </w:r>
    </w:p>
    <w:p w:rsid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eastAsia="Calibri" w:hAnsiTheme="minorHAnsi" w:cstheme="minorHAnsi"/>
          <w:i/>
          <w:iCs/>
          <w:sz w:val="24"/>
          <w:szCs w:val="24"/>
        </w:rPr>
        <w:t>di riattivare l'art. 10 L-rilocc nella forma seguente:</w:t>
      </w:r>
      <w:r w:rsidRPr="00770D5B">
        <w:rPr>
          <w:rFonts w:asciiTheme="minorHAnsi" w:eastAsia="Calibri" w:hAnsiTheme="minorHAnsi" w:cstheme="minorHAnsi"/>
          <w:sz w:val="24"/>
          <w:szCs w:val="24"/>
        </w:rPr>
        <w:t xml:space="preserve"> </w:t>
      </w:r>
    </w:p>
    <w:p w:rsidR="00770D5B" w:rsidRDefault="00770D5B" w:rsidP="00770D5B">
      <w:pPr>
        <w:rPr>
          <w:rFonts w:asciiTheme="minorHAnsi" w:eastAsia="Calibri" w:hAnsiTheme="minorHAnsi" w:cstheme="minorHAnsi"/>
          <w:b/>
          <w:i/>
          <w:spacing w:val="2"/>
          <w:sz w:val="24"/>
          <w:szCs w:val="24"/>
        </w:rPr>
      </w:pPr>
    </w:p>
    <w:p w:rsidR="00770D5B" w:rsidRPr="00770D5B" w:rsidRDefault="00770D5B" w:rsidP="00770D5B">
      <w:pPr>
        <w:rPr>
          <w:rFonts w:asciiTheme="minorHAnsi" w:eastAsia="Calibri" w:hAnsiTheme="minorHAnsi" w:cstheme="minorHAnsi"/>
          <w:b/>
          <w:i/>
          <w:spacing w:val="2"/>
          <w:sz w:val="24"/>
          <w:szCs w:val="24"/>
        </w:rPr>
      </w:pPr>
      <w:r w:rsidRPr="00770D5B">
        <w:rPr>
          <w:rFonts w:asciiTheme="minorHAnsi" w:eastAsia="Calibri" w:hAnsiTheme="minorHAnsi" w:cstheme="minorHAnsi"/>
          <w:b/>
          <w:i/>
          <w:spacing w:val="2"/>
          <w:sz w:val="24"/>
          <w:szCs w:val="24"/>
        </w:rPr>
        <w:t>Art. 10 - Indennità straordinarie di disoccupazione</w:t>
      </w:r>
    </w:p>
    <w:p w:rsidR="00770D5B" w:rsidRPr="00770D5B" w:rsidRDefault="00770D5B" w:rsidP="00770D5B">
      <w:pPr>
        <w:spacing w:after="120"/>
        <w:rPr>
          <w:rFonts w:asciiTheme="minorHAnsi" w:eastAsia="Calibri" w:hAnsiTheme="minorHAnsi" w:cstheme="minorHAnsi"/>
          <w:i/>
          <w:sz w:val="24"/>
          <w:szCs w:val="24"/>
        </w:rPr>
      </w:pPr>
      <w:r w:rsidRPr="00770D5B">
        <w:rPr>
          <w:rFonts w:asciiTheme="minorHAnsi" w:eastAsia="Calibri" w:hAnsiTheme="minorHAnsi" w:cstheme="minorHAnsi"/>
          <w:i/>
          <w:sz w:val="24"/>
          <w:szCs w:val="24"/>
          <w:vertAlign w:val="superscript"/>
        </w:rPr>
        <w:lastRenderedPageBreak/>
        <w:t>1</w:t>
      </w:r>
      <w:r w:rsidRPr="00770D5B">
        <w:rPr>
          <w:rFonts w:asciiTheme="minorHAnsi" w:eastAsia="Calibri" w:hAnsiTheme="minorHAnsi" w:cstheme="minorHAnsi"/>
          <w:i/>
          <w:sz w:val="24"/>
          <w:szCs w:val="24"/>
        </w:rPr>
        <w:t>Ai disoccupati che hanno esaurito le indennità</w:t>
      </w:r>
      <w:r w:rsidRPr="00770D5B">
        <w:rPr>
          <w:rFonts w:asciiTheme="minorHAnsi" w:eastAsia="Calibri" w:hAnsiTheme="minorHAnsi" w:cstheme="minorHAnsi"/>
          <w:b/>
          <w:i/>
          <w:sz w:val="24"/>
          <w:szCs w:val="24"/>
        </w:rPr>
        <w:t xml:space="preserve"> </w:t>
      </w:r>
      <w:r w:rsidRPr="00770D5B">
        <w:rPr>
          <w:rFonts w:asciiTheme="minorHAnsi" w:eastAsia="Calibri" w:hAnsiTheme="minorHAnsi" w:cstheme="minorHAnsi"/>
          <w:i/>
          <w:sz w:val="24"/>
          <w:szCs w:val="24"/>
        </w:rPr>
        <w:t>previste dalla LADI, lo Stato riconosce indennità straordinarie di disoccupazione, interamente a carico del Cantone.</w:t>
      </w:r>
    </w:p>
    <w:p w:rsidR="00770D5B" w:rsidRPr="00770D5B" w:rsidRDefault="00770D5B" w:rsidP="00770D5B">
      <w:pPr>
        <w:rPr>
          <w:rFonts w:asciiTheme="minorHAnsi" w:eastAsia="Calibri" w:hAnsiTheme="minorHAnsi" w:cstheme="minorHAnsi"/>
          <w:i/>
          <w:strike/>
          <w:sz w:val="24"/>
          <w:szCs w:val="24"/>
        </w:rPr>
      </w:pPr>
      <w:r w:rsidRPr="00770D5B">
        <w:rPr>
          <w:rFonts w:asciiTheme="minorHAnsi" w:eastAsia="Calibri" w:hAnsiTheme="minorHAnsi" w:cstheme="minorHAnsi"/>
          <w:i/>
          <w:sz w:val="24"/>
          <w:szCs w:val="24"/>
          <w:vertAlign w:val="superscript"/>
        </w:rPr>
        <w:t>2</w:t>
      </w:r>
      <w:r w:rsidRPr="00770D5B">
        <w:rPr>
          <w:rFonts w:asciiTheme="minorHAnsi" w:eastAsia="Calibri" w:hAnsiTheme="minorHAnsi" w:cstheme="minorHAnsi"/>
          <w:i/>
          <w:sz w:val="24"/>
          <w:szCs w:val="24"/>
        </w:rPr>
        <w:t>Può beneficiare di tali indennità chi:</w:t>
      </w:r>
    </w:p>
    <w:p w:rsidR="00770D5B" w:rsidRPr="00770D5B" w:rsidRDefault="00770D5B" w:rsidP="00770D5B">
      <w:pPr>
        <w:tabs>
          <w:tab w:val="left" w:pos="426"/>
        </w:tabs>
        <w:spacing w:before="60"/>
        <w:ind w:left="426" w:hanging="426"/>
        <w:rPr>
          <w:rFonts w:asciiTheme="minorHAnsi" w:eastAsia="Calibri" w:hAnsiTheme="minorHAnsi" w:cstheme="minorHAnsi"/>
          <w:i/>
          <w:sz w:val="24"/>
          <w:szCs w:val="24"/>
        </w:rPr>
      </w:pPr>
      <w:r w:rsidRPr="00770D5B">
        <w:rPr>
          <w:rFonts w:asciiTheme="minorHAnsi" w:eastAsia="Calibri" w:hAnsiTheme="minorHAnsi" w:cstheme="minorHAnsi"/>
          <w:i/>
          <w:sz w:val="24"/>
          <w:szCs w:val="24"/>
        </w:rPr>
        <w:t>a)</w:t>
      </w:r>
      <w:r w:rsidRPr="00770D5B">
        <w:rPr>
          <w:rFonts w:asciiTheme="minorHAnsi" w:eastAsia="Calibri" w:hAnsiTheme="minorHAnsi" w:cstheme="minorHAnsi"/>
          <w:i/>
          <w:sz w:val="24"/>
          <w:szCs w:val="24"/>
        </w:rPr>
        <w:tab/>
        <w:t xml:space="preserve">è idoneo al collocamento e ha dimostrato di aver fatto tutto il possibile per evitare o abbreviare la disoccupazione; </w:t>
      </w:r>
    </w:p>
    <w:p w:rsidR="00770D5B" w:rsidRPr="00770D5B" w:rsidRDefault="00770D5B" w:rsidP="00770D5B">
      <w:pPr>
        <w:tabs>
          <w:tab w:val="left" w:pos="426"/>
        </w:tabs>
        <w:spacing w:before="60" w:after="120"/>
        <w:rPr>
          <w:rFonts w:asciiTheme="minorHAnsi" w:eastAsia="Calibri" w:hAnsiTheme="minorHAnsi" w:cstheme="minorHAnsi"/>
          <w:i/>
          <w:sz w:val="24"/>
          <w:szCs w:val="24"/>
        </w:rPr>
      </w:pPr>
      <w:r w:rsidRPr="00770D5B">
        <w:rPr>
          <w:rFonts w:asciiTheme="minorHAnsi" w:eastAsia="Calibri" w:hAnsiTheme="minorHAnsi" w:cstheme="minorHAnsi"/>
          <w:i/>
          <w:sz w:val="24"/>
          <w:szCs w:val="24"/>
        </w:rPr>
        <w:t>b)</w:t>
      </w:r>
      <w:r w:rsidRPr="00770D5B">
        <w:rPr>
          <w:rFonts w:asciiTheme="minorHAnsi" w:eastAsia="Calibri" w:hAnsiTheme="minorHAnsi" w:cstheme="minorHAnsi"/>
          <w:i/>
          <w:sz w:val="24"/>
          <w:szCs w:val="24"/>
        </w:rPr>
        <w:tab/>
        <w:t>non riceve rendite AVS o AI.</w:t>
      </w:r>
    </w:p>
    <w:p w:rsidR="00770D5B" w:rsidRPr="00770D5B" w:rsidRDefault="00770D5B" w:rsidP="00770D5B">
      <w:pPr>
        <w:spacing w:after="120"/>
        <w:rPr>
          <w:rFonts w:asciiTheme="minorHAnsi" w:eastAsia="Calibri" w:hAnsiTheme="minorHAnsi" w:cstheme="minorHAnsi"/>
          <w:i/>
          <w:sz w:val="24"/>
          <w:szCs w:val="24"/>
        </w:rPr>
      </w:pPr>
      <w:r w:rsidRPr="00770D5B">
        <w:rPr>
          <w:rFonts w:asciiTheme="minorHAnsi" w:eastAsia="Calibri" w:hAnsiTheme="minorHAnsi" w:cstheme="minorHAnsi"/>
          <w:i/>
          <w:sz w:val="24"/>
          <w:szCs w:val="24"/>
          <w:vertAlign w:val="superscript"/>
        </w:rPr>
        <w:t>3</w:t>
      </w:r>
      <w:r w:rsidRPr="00770D5B">
        <w:rPr>
          <w:rFonts w:asciiTheme="minorHAnsi" w:eastAsia="Calibri" w:hAnsiTheme="minorHAnsi" w:cstheme="minorHAnsi"/>
          <w:i/>
          <w:sz w:val="24"/>
          <w:szCs w:val="24"/>
        </w:rPr>
        <w:t>Le indennità straordinarie sono subordinate alla determinazione di un reddito per nucleo familiare secondo i criteri della Laps.</w:t>
      </w:r>
    </w:p>
    <w:p w:rsidR="00770D5B" w:rsidRPr="00770D5B" w:rsidRDefault="00770D5B" w:rsidP="00770D5B">
      <w:pPr>
        <w:spacing w:after="120"/>
        <w:rPr>
          <w:rFonts w:asciiTheme="minorHAnsi" w:eastAsia="Calibri" w:hAnsiTheme="minorHAnsi" w:cstheme="minorHAnsi"/>
          <w:i/>
          <w:sz w:val="24"/>
          <w:szCs w:val="24"/>
        </w:rPr>
      </w:pPr>
      <w:r w:rsidRPr="00770D5B">
        <w:rPr>
          <w:rFonts w:asciiTheme="minorHAnsi" w:eastAsia="Calibri" w:hAnsiTheme="minorHAnsi" w:cstheme="minorHAnsi"/>
          <w:i/>
          <w:sz w:val="24"/>
          <w:szCs w:val="24"/>
          <w:vertAlign w:val="superscript"/>
        </w:rPr>
        <w:t>4</w:t>
      </w:r>
      <w:r w:rsidRPr="00770D5B">
        <w:rPr>
          <w:rFonts w:asciiTheme="minorHAnsi" w:eastAsia="Calibri" w:hAnsiTheme="minorHAnsi" w:cstheme="minorHAnsi"/>
          <w:i/>
          <w:sz w:val="24"/>
          <w:szCs w:val="24"/>
        </w:rPr>
        <w:t>Possono essere concesse fino a 120 indennità giornaliere intere sull'arco massimo di un anno.</w:t>
      </w:r>
    </w:p>
    <w:p w:rsidR="00770D5B" w:rsidRPr="00770D5B" w:rsidRDefault="00770D5B" w:rsidP="00770D5B">
      <w:pPr>
        <w:rPr>
          <w:rFonts w:asciiTheme="minorHAnsi" w:eastAsia="Calibri" w:hAnsiTheme="minorHAnsi" w:cstheme="minorHAnsi"/>
          <w:i/>
          <w:sz w:val="24"/>
          <w:szCs w:val="24"/>
        </w:rPr>
      </w:pPr>
      <w:r w:rsidRPr="00770D5B">
        <w:rPr>
          <w:rFonts w:asciiTheme="minorHAnsi" w:eastAsia="Calibri" w:hAnsiTheme="minorHAnsi" w:cstheme="minorHAnsi"/>
          <w:i/>
          <w:sz w:val="24"/>
          <w:szCs w:val="24"/>
          <w:vertAlign w:val="superscript"/>
        </w:rPr>
        <w:t>5</w:t>
      </w:r>
      <w:r w:rsidRPr="00770D5B">
        <w:rPr>
          <w:rFonts w:asciiTheme="minorHAnsi" w:eastAsia="Calibri" w:hAnsiTheme="minorHAnsi" w:cstheme="minorHAnsi"/>
          <w:i/>
          <w:sz w:val="24"/>
          <w:szCs w:val="24"/>
        </w:rPr>
        <w:t>il numero delle indennità giornaliere per le persone disoccupate di età uguale o superiore a 55 anni potrà essere superiore</w:t>
      </w:r>
    </w:p>
    <w:p w:rsidR="00770D5B" w:rsidRPr="00770D5B" w:rsidRDefault="00770D5B" w:rsidP="00770D5B">
      <w:pPr>
        <w:rPr>
          <w:rFonts w:asciiTheme="minorHAnsi" w:eastAsia="Songti SC" w:hAnsiTheme="minorHAnsi" w:cstheme="minorHAnsi"/>
          <w:sz w:val="24"/>
          <w:szCs w:val="24"/>
          <w:lang w:eastAsia="zh-CN"/>
        </w:rPr>
      </w:pPr>
    </w:p>
    <w:p w:rsidR="00770D5B" w:rsidRPr="00770D5B" w:rsidRDefault="00770D5B" w:rsidP="00770D5B">
      <w:pPr>
        <w:rPr>
          <w:rFonts w:asciiTheme="minorHAnsi" w:hAnsiTheme="minorHAnsi" w:cstheme="minorHAnsi"/>
          <w:sz w:val="24"/>
          <w:szCs w:val="24"/>
        </w:rPr>
      </w:pPr>
    </w:p>
    <w:p w:rsidR="00770D5B" w:rsidRPr="00770D5B" w:rsidRDefault="00770D5B" w:rsidP="00770D5B">
      <w:pPr>
        <w:pStyle w:val="Titolo1"/>
        <w:tabs>
          <w:tab w:val="left" w:pos="567"/>
        </w:tabs>
        <w:spacing w:before="0"/>
        <w:ind w:left="567" w:hanging="567"/>
        <w:jc w:val="both"/>
        <w:rPr>
          <w:rFonts w:asciiTheme="minorHAnsi" w:hAnsiTheme="minorHAnsi" w:cstheme="minorHAnsi"/>
          <w:bCs/>
          <w:sz w:val="24"/>
          <w:szCs w:val="24"/>
        </w:rPr>
      </w:pPr>
      <w:r w:rsidRPr="00770D5B">
        <w:rPr>
          <w:rFonts w:asciiTheme="minorHAnsi" w:hAnsiTheme="minorHAnsi" w:cstheme="minorHAnsi"/>
          <w:bCs/>
          <w:sz w:val="24"/>
          <w:szCs w:val="24"/>
        </w:rPr>
        <w:t>3</w:t>
      </w:r>
      <w:r w:rsidRPr="00770D5B">
        <w:rPr>
          <w:rFonts w:eastAsia="Calibri" w:cs="Times New Roman"/>
          <w:caps/>
          <w:sz w:val="24"/>
          <w:szCs w:val="24"/>
          <w:lang w:val="it-IT" w:eastAsia="it-IT"/>
        </w:rPr>
        <w:t xml:space="preserve">. </w:t>
      </w:r>
      <w:r>
        <w:rPr>
          <w:rFonts w:eastAsia="Calibri" w:cs="Times New Roman"/>
          <w:caps/>
          <w:sz w:val="24"/>
          <w:szCs w:val="24"/>
          <w:lang w:val="it-IT" w:eastAsia="it-IT"/>
        </w:rPr>
        <w:tab/>
      </w:r>
      <w:r w:rsidRPr="00770D5B">
        <w:rPr>
          <w:rFonts w:eastAsia="Calibri" w:cs="Times New Roman"/>
          <w:caps/>
          <w:sz w:val="24"/>
          <w:szCs w:val="24"/>
          <w:lang w:val="it-IT" w:eastAsia="it-IT"/>
        </w:rPr>
        <w:t>MESSAGGIO DEL CONSIGLIO DI STATO</w:t>
      </w:r>
    </w:p>
    <w:p w:rsidR="00770D5B" w:rsidRPr="00770D5B" w:rsidRDefault="00770D5B" w:rsidP="00770D5B">
      <w:pPr>
        <w:rPr>
          <w:rFonts w:asciiTheme="minorHAnsi" w:hAnsiTheme="minorHAnsi" w:cstheme="minorHAnsi"/>
          <w:sz w:val="24"/>
          <w:szCs w:val="24"/>
        </w:rPr>
      </w:pPr>
      <w:r>
        <w:rPr>
          <w:rFonts w:asciiTheme="minorHAnsi" w:hAnsiTheme="minorHAnsi" w:cstheme="minorHAnsi"/>
          <w:sz w:val="24"/>
          <w:szCs w:val="24"/>
        </w:rPr>
        <w:t>Il m</w:t>
      </w:r>
      <w:r w:rsidRPr="00770D5B">
        <w:rPr>
          <w:rFonts w:asciiTheme="minorHAnsi" w:hAnsiTheme="minorHAnsi" w:cstheme="minorHAnsi"/>
          <w:sz w:val="24"/>
          <w:szCs w:val="24"/>
        </w:rPr>
        <w:t>essaggio del 15 maggio 2019 riprende le principali tappe in merito al tema delle indennità straordinarie di disoccupazione e che riteniamo importante riprendere qui:</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rPr>
      </w:pPr>
      <w:r w:rsidRPr="00770D5B">
        <w:rPr>
          <w:rFonts w:asciiTheme="minorHAnsi" w:hAnsiTheme="minorHAnsi" w:cstheme="minorHAnsi"/>
          <w:i/>
          <w:iCs/>
          <w:color w:val="000000"/>
          <w:sz w:val="24"/>
          <w:szCs w:val="24"/>
          <w:lang w:eastAsia="it-CH"/>
        </w:rPr>
        <w:t>24 marzo 2015: il parlamento accoglie la proposta di un nuovo art. 10 L-Rilocc presentata dalla Commissione della gestione e delle finanze nel rapporto sul messaggio “Revisione parziale della L-Rilocc” (</w:t>
      </w:r>
      <w:r w:rsidRPr="00770D5B">
        <w:rPr>
          <w:rFonts w:asciiTheme="minorHAnsi" w:hAnsiTheme="minorHAnsi" w:cstheme="minorHAnsi"/>
          <w:i/>
          <w:iCs/>
          <w:sz w:val="24"/>
          <w:szCs w:val="24"/>
          <w:lang w:eastAsia="it-CH"/>
        </w:rPr>
        <w:t>messaggio e rapporto n. 6954 Revisione parziale della L-Rilocc</w:t>
      </w:r>
      <w:r w:rsidRPr="00770D5B">
        <w:rPr>
          <w:rFonts w:asciiTheme="minorHAnsi" w:hAnsiTheme="minorHAnsi" w:cstheme="minorHAnsi"/>
          <w:i/>
          <w:iCs/>
          <w:color w:val="000000"/>
          <w:sz w:val="24"/>
          <w:szCs w:val="24"/>
          <w:lang w:eastAsia="it-CH"/>
        </w:rPr>
        <w:t>). Dedotto il risparmio sull’assistenza, il Consiglio di Stato quantifica che il costo dell’intervento è di circa 3 milioni di franchi.</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lang w:eastAsia="it-CH"/>
        </w:rPr>
      </w:pPr>
      <w:r w:rsidRPr="00770D5B">
        <w:rPr>
          <w:rFonts w:asciiTheme="minorHAnsi" w:hAnsiTheme="minorHAnsi" w:cstheme="minorHAnsi"/>
          <w:i/>
          <w:iCs/>
          <w:sz w:val="24"/>
          <w:szCs w:val="24"/>
          <w:lang w:eastAsia="it-CH"/>
        </w:rPr>
        <w:t>20 aprile 2016: nell'ambito del messaggio n. 7184 “Pacchetto di misure per il riequilibrio delle finanze cantonali”, il Consiglio di Stato propone, di rinunciare definitivamente al nuovo compito.</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lang w:eastAsia="it-CH"/>
        </w:rPr>
      </w:pPr>
      <w:r w:rsidRPr="00770D5B">
        <w:rPr>
          <w:rFonts w:asciiTheme="minorHAnsi" w:hAnsiTheme="minorHAnsi" w:cstheme="minorHAnsi"/>
          <w:i/>
          <w:iCs/>
          <w:sz w:val="24"/>
          <w:szCs w:val="24"/>
          <w:lang w:eastAsia="it-CH"/>
        </w:rPr>
        <w:t>6 settembre 2016: la Commissione della gestione e delle finanze nel suo rapporto di maggioranza sul pacchetto di misure per il riequilibrio delle finanze cantonali (n. 7184 R1) chiede al Consiglio di Stato di verificare la possibilità di delimitare le categorie beneficiari evitando un effetto annaffiatoio.</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lang w:val="it-IT" w:eastAsia="it-IT"/>
        </w:rPr>
      </w:pPr>
      <w:r w:rsidRPr="00770D5B">
        <w:rPr>
          <w:rFonts w:asciiTheme="minorHAnsi" w:hAnsiTheme="minorHAnsi" w:cstheme="minorHAnsi"/>
          <w:i/>
          <w:iCs/>
          <w:sz w:val="24"/>
          <w:szCs w:val="24"/>
        </w:rPr>
        <w:t xml:space="preserve">27 settembre 2017: nel Messaggio n. 7422 riguardante il Preventivo 2018, il Consiglio di stato conferma la proposta di introdurre indennità straordinarie di disoccupazione con una restrizione del campo di applicazione ai soli residenti di lunga durata ultra cinquantenni, con una conseguente limitazione del costo a 0.8 milioni di franchi. </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rPr>
      </w:pPr>
      <w:r w:rsidRPr="00770D5B">
        <w:rPr>
          <w:rFonts w:asciiTheme="minorHAnsi" w:hAnsiTheme="minorHAnsi" w:cstheme="minorHAnsi"/>
          <w:i/>
          <w:iCs/>
          <w:sz w:val="24"/>
          <w:szCs w:val="24"/>
        </w:rPr>
        <w:t>5 dicembre 2017: nel suo Rapporto 7422 R al preventivo 2018, la Commissione della gestione e delle finanze propone di mantenere i circa 3 milioni di franchi, rinunciando a procedere a un risparmio individuando misure mirate di sostegno ai disoccupati. L’analisi viene demandata alla Sottocommissione lavoro della CGF i cui lavori costituiscono la base del rapporto commissionale del 5 giugno 2018.</w:t>
      </w:r>
    </w:p>
    <w:p w:rsidR="00770D5B" w:rsidRPr="00770D5B" w:rsidRDefault="00770D5B" w:rsidP="00770D5B">
      <w:pPr>
        <w:numPr>
          <w:ilvl w:val="0"/>
          <w:numId w:val="21"/>
        </w:numPr>
        <w:autoSpaceDE w:val="0"/>
        <w:autoSpaceDN w:val="0"/>
        <w:adjustRightInd w:val="0"/>
        <w:spacing w:before="120"/>
        <w:ind w:left="360"/>
        <w:rPr>
          <w:rFonts w:asciiTheme="minorHAnsi" w:hAnsiTheme="minorHAnsi" w:cstheme="minorHAnsi"/>
          <w:i/>
          <w:iCs/>
          <w:sz w:val="24"/>
          <w:szCs w:val="24"/>
        </w:rPr>
      </w:pPr>
      <w:r w:rsidRPr="00770D5B">
        <w:rPr>
          <w:rFonts w:asciiTheme="minorHAnsi" w:hAnsiTheme="minorHAnsi" w:cstheme="minorHAnsi"/>
          <w:i/>
          <w:iCs/>
          <w:sz w:val="24"/>
          <w:szCs w:val="24"/>
        </w:rPr>
        <w:t xml:space="preserve">L’ultimo atto della vicenda si svolge il 20 giugno 2018, quando il Gran Consiglio approva il menzionato rapporto della Commissione della gestione e delle finanze, respingendo nel contempo due proposte di emendamento dal tenore simile alla mozione in discussione. Ricordiamo che il Legislativo ha approvato il rapporto della CGF con 58 voti favorevoli, 1 contrario e 3 astenuti. Le conclusioni del rapporto stabiliscono che le indennità straordinarie di disoccupazione e l’art. 10 L-rilocc sono congelati fino alla </w:t>
      </w:r>
      <w:r w:rsidRPr="00770D5B">
        <w:rPr>
          <w:rFonts w:asciiTheme="minorHAnsi" w:hAnsiTheme="minorHAnsi" w:cstheme="minorHAnsi"/>
          <w:i/>
          <w:iCs/>
          <w:sz w:val="24"/>
          <w:szCs w:val="24"/>
        </w:rPr>
        <w:lastRenderedPageBreak/>
        <w:t>valutazione dell’impatto delle nuove proposte di attivazione. Queste ultime consistono in un accompagnamento individualizzato per persone disoccupate e in un percorso di inserimento professionale per giovani in assistenza.</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 xml:space="preserve">Considerando le misure volte all’attivazione delle persone in cerca di un impiego implementate in questi ultimi anni, il Consiglio di Stato invita il </w:t>
      </w:r>
      <w:r>
        <w:rPr>
          <w:rFonts w:asciiTheme="minorHAnsi" w:hAnsiTheme="minorHAnsi" w:cstheme="minorHAnsi"/>
          <w:sz w:val="24"/>
          <w:szCs w:val="24"/>
        </w:rPr>
        <w:t>Gran Consiglio a respingere la m</w:t>
      </w:r>
      <w:r w:rsidRPr="00770D5B">
        <w:rPr>
          <w:rFonts w:asciiTheme="minorHAnsi" w:hAnsiTheme="minorHAnsi" w:cstheme="minorHAnsi"/>
          <w:sz w:val="24"/>
          <w:szCs w:val="24"/>
        </w:rPr>
        <w:t>ozione 1356.</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p>
    <w:p w:rsidR="00770D5B" w:rsidRPr="00770D5B" w:rsidRDefault="00770D5B" w:rsidP="00770D5B">
      <w:pPr>
        <w:pStyle w:val="Titolo1"/>
        <w:tabs>
          <w:tab w:val="left" w:pos="567"/>
        </w:tabs>
        <w:spacing w:before="0"/>
        <w:ind w:left="567" w:hanging="567"/>
        <w:jc w:val="both"/>
        <w:rPr>
          <w:rFonts w:eastAsia="Calibri" w:cs="Times New Roman"/>
          <w:caps/>
          <w:sz w:val="24"/>
          <w:szCs w:val="24"/>
          <w:lang w:val="it-IT" w:eastAsia="it-IT"/>
        </w:rPr>
      </w:pPr>
      <w:r w:rsidRPr="00770D5B">
        <w:rPr>
          <w:rFonts w:eastAsia="Calibri" w:cs="Times New Roman"/>
          <w:caps/>
          <w:sz w:val="24"/>
          <w:szCs w:val="24"/>
          <w:lang w:val="it-IT" w:eastAsia="it-IT"/>
        </w:rPr>
        <w:t xml:space="preserve">4. </w:t>
      </w:r>
      <w:r>
        <w:rPr>
          <w:rFonts w:eastAsia="Calibri" w:cs="Times New Roman"/>
          <w:caps/>
          <w:sz w:val="24"/>
          <w:szCs w:val="24"/>
          <w:lang w:val="it-IT" w:eastAsia="it-IT"/>
        </w:rPr>
        <w:tab/>
      </w:r>
      <w:r w:rsidRPr="00770D5B">
        <w:rPr>
          <w:rFonts w:eastAsia="Calibri" w:cs="Times New Roman"/>
          <w:caps/>
          <w:sz w:val="24"/>
          <w:szCs w:val="24"/>
          <w:lang w:val="it-IT" w:eastAsia="it-IT"/>
        </w:rPr>
        <w:t>CONSIDERAZIONI DELLA MINORANZA DELLA COMMISSIONE</w:t>
      </w:r>
    </w:p>
    <w:p w:rsidR="00770D5B" w:rsidRPr="00770D5B" w:rsidRDefault="00770D5B" w:rsidP="00770D5B">
      <w:pPr>
        <w:pStyle w:val="Titolo2"/>
        <w:numPr>
          <w:ilvl w:val="0"/>
          <w:numId w:val="0"/>
        </w:numPr>
        <w:tabs>
          <w:tab w:val="left" w:pos="567"/>
        </w:tabs>
        <w:spacing w:before="0" w:after="120"/>
        <w:jc w:val="both"/>
        <w:rPr>
          <w:rFonts w:eastAsia="Calibri" w:cs="Times New Roman"/>
          <w:sz w:val="24"/>
          <w:lang w:val="it-IT" w:eastAsia="it-IT"/>
        </w:rPr>
      </w:pPr>
      <w:r w:rsidRPr="00770D5B">
        <w:rPr>
          <w:rFonts w:eastAsia="Calibri" w:cs="Times New Roman"/>
          <w:sz w:val="24"/>
          <w:lang w:val="it-IT" w:eastAsia="it-IT"/>
        </w:rPr>
        <w:t xml:space="preserve">4.1 </w:t>
      </w:r>
      <w:r w:rsidRPr="00770D5B">
        <w:rPr>
          <w:rFonts w:eastAsia="Calibri" w:cs="Times New Roman"/>
          <w:sz w:val="24"/>
          <w:lang w:val="it-IT" w:eastAsia="it-IT"/>
        </w:rPr>
        <w:tab/>
        <w:t xml:space="preserve">Aspetti formali </w:t>
      </w: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Nel 2015, il Parlamento aveva varato lo strumento delle indennità straordinarie di disoccupazioni cantonale modificando la Legge sul rilancio dell’occupazione e sul sostegno ai disoccupati (L-rilocc) del 13 ottobre 1997.</w:t>
      </w:r>
    </w:p>
    <w:p w:rsidR="00EC46BC" w:rsidRDefault="00EC46BC" w:rsidP="00770D5B">
      <w:pPr>
        <w:rPr>
          <w:rFonts w:asciiTheme="minorHAnsi" w:hAnsiTheme="minorHAnsi" w:cstheme="minorHAnsi"/>
          <w:sz w:val="24"/>
          <w:szCs w:val="24"/>
        </w:rPr>
      </w:pPr>
    </w:p>
    <w:p w:rsid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Come emerso già durante il dibattito in Parlamento del 20 giugno 2018, oggi ancora più di allora pare perlomeno strano che una riforma legislativa votata dal Gran Consiglio nel 2015 sia stata “congelata” senza fissare nessun termine e che, dopo 8 anni, sia ancora in questo stato di ibernazione.</w:t>
      </w:r>
    </w:p>
    <w:p w:rsidR="00770D5B" w:rsidRPr="00770D5B" w:rsidRDefault="00770D5B" w:rsidP="00770D5B">
      <w:pPr>
        <w:rPr>
          <w:rFonts w:asciiTheme="minorHAnsi" w:hAnsiTheme="minorHAnsi" w:cstheme="minorHAnsi"/>
          <w:sz w:val="24"/>
          <w:szCs w:val="24"/>
        </w:rPr>
      </w:pP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Il nodo delle indennità straordinarie di disoccupazione è a tutt’oggi irrisolto e la mozione e la petizione discusse in questo rapporto hanno il pregio di sollevare questa anomalia.</w:t>
      </w: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Le misure di coaching individuale in ambito della disoccupazione e le misure promosse dal DSS partendo dal progetto Forjad sono molto interessanti, ma non sostituiscono l’intento del Legislativo di introdurre l’art 10 del L-rilocc che in maniera molto chiara chiede di prolungare, a determinate condizioni, le prestazioni e le indennità di disoccupazione.</w:t>
      </w:r>
    </w:p>
    <w:p w:rsidR="00770D5B" w:rsidRPr="00770D5B" w:rsidRDefault="00770D5B" w:rsidP="00770D5B">
      <w:pPr>
        <w:rPr>
          <w:rFonts w:asciiTheme="minorHAnsi" w:hAnsiTheme="minorHAnsi" w:cstheme="minorHAnsi"/>
          <w:sz w:val="24"/>
          <w:szCs w:val="24"/>
        </w:rPr>
      </w:pPr>
      <w:r w:rsidRPr="00770D5B">
        <w:rPr>
          <w:rFonts w:asciiTheme="minorHAnsi" w:hAnsiTheme="minorHAnsi" w:cstheme="minorHAnsi"/>
          <w:sz w:val="24"/>
          <w:szCs w:val="24"/>
        </w:rPr>
        <w:t>A distanza di 8 anni, senza un’abrogazione formale dell’articolo di Legge, esso dovrebbe comunque finalmente entrare in vigore.</w:t>
      </w:r>
    </w:p>
    <w:p w:rsidR="00770D5B" w:rsidRPr="00770D5B" w:rsidRDefault="00770D5B" w:rsidP="00770D5B">
      <w:pPr>
        <w:spacing w:after="120"/>
        <w:rPr>
          <w:rFonts w:asciiTheme="minorHAnsi" w:hAnsiTheme="minorHAnsi" w:cstheme="minorHAnsi"/>
          <w:sz w:val="24"/>
          <w:szCs w:val="24"/>
        </w:rPr>
      </w:pPr>
    </w:p>
    <w:p w:rsidR="00770D5B" w:rsidRPr="00770D5B" w:rsidRDefault="00770D5B" w:rsidP="00EC46BC">
      <w:pPr>
        <w:pStyle w:val="Titolo2"/>
        <w:numPr>
          <w:ilvl w:val="0"/>
          <w:numId w:val="0"/>
        </w:numPr>
        <w:tabs>
          <w:tab w:val="left" w:pos="567"/>
        </w:tabs>
        <w:spacing w:before="0" w:after="120"/>
        <w:jc w:val="both"/>
        <w:rPr>
          <w:rFonts w:eastAsia="Calibri" w:cs="Times New Roman"/>
          <w:sz w:val="24"/>
          <w:lang w:val="it-IT" w:eastAsia="it-IT"/>
        </w:rPr>
      </w:pPr>
      <w:r w:rsidRPr="00770D5B">
        <w:rPr>
          <w:rFonts w:eastAsia="Calibri" w:cs="Times New Roman"/>
          <w:sz w:val="24"/>
          <w:lang w:val="it-IT" w:eastAsia="it-IT"/>
        </w:rPr>
        <w:t xml:space="preserve">4.2 </w:t>
      </w:r>
      <w:r w:rsidR="00EC46BC">
        <w:rPr>
          <w:rFonts w:eastAsia="Calibri" w:cs="Times New Roman"/>
          <w:sz w:val="24"/>
          <w:lang w:val="it-IT" w:eastAsia="it-IT"/>
        </w:rPr>
        <w:tab/>
      </w:r>
      <w:r w:rsidRPr="00770D5B">
        <w:rPr>
          <w:rFonts w:eastAsia="Calibri" w:cs="Times New Roman"/>
          <w:sz w:val="24"/>
          <w:lang w:val="it-IT" w:eastAsia="it-IT"/>
        </w:rPr>
        <w:t xml:space="preserve">Continuità delle misure </w:t>
      </w: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Chi beneficia di prestazioni di disoccupazione non beneficia solo di prestazioni finanziarie che sostituiscono parzialmente la perdita di guadagno. Attraverso l’impegno degli URC e grazie ai programmi e alle misure proposte, la persona in cerca di un posto di lavoro può intraprendere un percorso di reinserimento lavorativo.</w:t>
      </w:r>
    </w:p>
    <w:p w:rsidR="00770D5B" w:rsidRPr="00770D5B" w:rsidRDefault="00770D5B" w:rsidP="00EC46BC">
      <w:pPr>
        <w:rPr>
          <w:rFonts w:asciiTheme="minorHAnsi" w:hAnsiTheme="minorHAnsi" w:cstheme="minorHAnsi"/>
          <w:sz w:val="24"/>
          <w:szCs w:val="24"/>
        </w:rPr>
      </w:pP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Questi programmi collettivi (ad esempio Programmi di occupazione temporanea – POT e Aziende di pratica commerciale – APC) o individuali (come appunto il coaching individualizzato) sono molto importanti anche se talvolta danno i loro frutti solo nel corso del tempo.</w:t>
      </w:r>
    </w:p>
    <w:p w:rsidR="00EC46BC" w:rsidRPr="00770D5B" w:rsidRDefault="00EC46BC" w:rsidP="00EC46BC">
      <w:pPr>
        <w:rPr>
          <w:rFonts w:asciiTheme="minorHAnsi" w:hAnsiTheme="minorHAnsi" w:cstheme="minorHAnsi"/>
          <w:sz w:val="24"/>
          <w:szCs w:val="24"/>
        </w:rPr>
      </w:pP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L'interruzione del diritto di disoccupazione, significa l’interruzione di questo percorso che – nonostante la strategia interdipartimentale DFE / DSS - non può essere ripreso in maniera identica beneficiando di prestazioni di aiuto sociale.</w:t>
      </w:r>
    </w:p>
    <w:p w:rsidR="00EC46BC" w:rsidRPr="00770D5B" w:rsidRDefault="00EC46BC" w:rsidP="00EC46BC">
      <w:pPr>
        <w:rPr>
          <w:rFonts w:asciiTheme="minorHAnsi" w:hAnsiTheme="minorHAnsi" w:cstheme="minorHAnsi"/>
          <w:sz w:val="24"/>
          <w:szCs w:val="24"/>
        </w:rPr>
      </w:pP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 xml:space="preserve">Come rilevato dal Consiglio di Stato durante il dibattito parlamentare del 2018, le misure nell’ambito della disoccupazione sono specifiche rispetto ad un inserimento lavorativo e </w:t>
      </w:r>
      <w:r w:rsidRPr="00770D5B">
        <w:rPr>
          <w:rFonts w:asciiTheme="minorHAnsi" w:hAnsiTheme="minorHAnsi" w:cstheme="minorHAnsi"/>
          <w:sz w:val="24"/>
          <w:szCs w:val="24"/>
        </w:rPr>
        <w:lastRenderedPageBreak/>
        <w:t>professionale, mentre quelle nell’ambito del sostegno sociale hanno anche un carattere di inserimento sociale. Non sono la stessa cosa.</w:t>
      </w:r>
    </w:p>
    <w:p w:rsidR="00EC46BC" w:rsidRPr="00770D5B" w:rsidRDefault="00EC46BC" w:rsidP="00EC46BC">
      <w:pPr>
        <w:rPr>
          <w:rFonts w:asciiTheme="minorHAnsi" w:hAnsiTheme="minorHAnsi" w:cstheme="minorHAnsi"/>
          <w:sz w:val="24"/>
          <w:szCs w:val="24"/>
        </w:rPr>
      </w:pP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Le indennità straordinarie di disoccupazione rappresenterebbero quindi, soprattutto per i giovani e le persone sopra i 55 anni, un’occasione preziosa per garantire una continuità di intervento e quindi maggiori possibilità di successo, senza rotture di percorso.</w:t>
      </w:r>
    </w:p>
    <w:p w:rsidR="00770D5B" w:rsidRPr="00770D5B" w:rsidRDefault="00770D5B" w:rsidP="00770D5B">
      <w:pPr>
        <w:spacing w:line="360" w:lineRule="auto"/>
        <w:rPr>
          <w:rFonts w:asciiTheme="minorHAnsi" w:hAnsiTheme="minorHAnsi" w:cstheme="minorHAnsi"/>
          <w:sz w:val="24"/>
          <w:szCs w:val="24"/>
        </w:rPr>
      </w:pPr>
    </w:p>
    <w:p w:rsidR="00770D5B" w:rsidRPr="00770D5B" w:rsidRDefault="00770D5B" w:rsidP="00EC46BC">
      <w:pPr>
        <w:pStyle w:val="Titolo2"/>
        <w:numPr>
          <w:ilvl w:val="0"/>
          <w:numId w:val="0"/>
        </w:numPr>
        <w:tabs>
          <w:tab w:val="left" w:pos="567"/>
        </w:tabs>
        <w:spacing w:before="0" w:after="120"/>
        <w:jc w:val="both"/>
        <w:rPr>
          <w:rFonts w:eastAsia="Calibri" w:cs="Times New Roman"/>
          <w:sz w:val="24"/>
          <w:lang w:val="it-IT" w:eastAsia="it-IT"/>
        </w:rPr>
      </w:pPr>
      <w:r w:rsidRPr="00770D5B">
        <w:rPr>
          <w:rFonts w:eastAsia="Calibri" w:cs="Times New Roman"/>
          <w:sz w:val="24"/>
          <w:lang w:val="it-IT" w:eastAsia="it-IT"/>
        </w:rPr>
        <w:t xml:space="preserve">4.3 </w:t>
      </w:r>
      <w:r w:rsidR="00EC46BC">
        <w:rPr>
          <w:rFonts w:eastAsia="Calibri" w:cs="Times New Roman"/>
          <w:sz w:val="24"/>
          <w:lang w:val="it-IT" w:eastAsia="it-IT"/>
        </w:rPr>
        <w:tab/>
      </w:r>
      <w:r w:rsidRPr="00770D5B">
        <w:rPr>
          <w:rFonts w:eastAsia="Calibri" w:cs="Times New Roman"/>
          <w:sz w:val="24"/>
          <w:lang w:val="it-IT" w:eastAsia="it-IT"/>
        </w:rPr>
        <w:t>"Essere in disoccupazione" non è la stessa cosa che "essere in assistenza"</w:t>
      </w: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Oltre a questi aspetti legati alle misure attive proposte, il prolungo a determinate condizioni di 120 giorni delle indennità di disoccupazione rappresentano un aspetto finanziario importante per le persone coinvolte.</w:t>
      </w:r>
    </w:p>
    <w:p w:rsidR="00EC46BC" w:rsidRPr="00770D5B" w:rsidRDefault="00EC46BC" w:rsidP="00EC46BC">
      <w:pPr>
        <w:rPr>
          <w:rFonts w:asciiTheme="minorHAnsi" w:hAnsiTheme="minorHAnsi" w:cstheme="minorHAnsi"/>
          <w:sz w:val="24"/>
          <w:szCs w:val="24"/>
        </w:rPr>
      </w:pP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Percepire prestazioni di aiuto sociale significa percepire il minimo vitale, ciò che comporta dover cambiare appartamento in fretta e furia se troppo caro, vendere l’inventario in caso di piccoli indipendenti, fragilizzare finanziariamente l'intero nucleo famigliare e rendere molto più complicato e fragile il percorso di reinserimento lavorativo.</w:t>
      </w:r>
    </w:p>
    <w:p w:rsidR="00EC46BC" w:rsidRPr="00770D5B" w:rsidRDefault="00EC46BC" w:rsidP="00EC46BC">
      <w:pPr>
        <w:rPr>
          <w:rFonts w:asciiTheme="minorHAnsi" w:hAnsiTheme="minorHAnsi" w:cstheme="minorHAnsi"/>
          <w:sz w:val="24"/>
          <w:szCs w:val="24"/>
        </w:rPr>
      </w:pP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Purtroppo, ancora beneficiare di prestazioni di assistenza può rappresentare inoltre uno stigma sociale difficile spesso da superare. Sentimenti di vergogna, di disagio psicologico oltre che finanziario che si riassumono nell’infelice ma parlante espressione "cadere in assistenza".</w:t>
      </w:r>
    </w:p>
    <w:p w:rsidR="00EC46BC" w:rsidRPr="00770D5B" w:rsidRDefault="00EC46BC" w:rsidP="00EC46BC">
      <w:pPr>
        <w:rPr>
          <w:rFonts w:asciiTheme="minorHAnsi" w:hAnsiTheme="minorHAnsi" w:cstheme="minorHAnsi"/>
          <w:sz w:val="24"/>
          <w:szCs w:val="24"/>
        </w:rPr>
      </w:pP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L'art 10 L-rilocc non garantisce naturalmente un prolungo a tempo indeterminato delle prestazioni di disoccupazione, ma a determinate condizioni e per un periodo di solitamente 120 giorni, permette alle persone coinvolte di affrontare con strumenti migliori e in condizioni più positive il ritorno nel mondo del lavoro.</w:t>
      </w:r>
    </w:p>
    <w:p w:rsidR="00770D5B" w:rsidRPr="00770D5B" w:rsidRDefault="00770D5B" w:rsidP="00770D5B">
      <w:pPr>
        <w:spacing w:line="360" w:lineRule="auto"/>
        <w:rPr>
          <w:rFonts w:asciiTheme="minorHAnsi" w:hAnsiTheme="minorHAnsi" w:cstheme="minorHAnsi"/>
          <w:b/>
          <w:bCs/>
          <w:sz w:val="24"/>
          <w:szCs w:val="24"/>
        </w:rPr>
      </w:pPr>
    </w:p>
    <w:p w:rsidR="00770D5B" w:rsidRPr="00770D5B" w:rsidRDefault="00770D5B" w:rsidP="00EC46BC">
      <w:pPr>
        <w:pStyle w:val="Titolo2"/>
        <w:numPr>
          <w:ilvl w:val="0"/>
          <w:numId w:val="0"/>
        </w:numPr>
        <w:tabs>
          <w:tab w:val="left" w:pos="567"/>
        </w:tabs>
        <w:spacing w:before="0" w:after="120"/>
        <w:jc w:val="both"/>
        <w:rPr>
          <w:rFonts w:eastAsia="Calibri" w:cs="Times New Roman"/>
          <w:sz w:val="24"/>
          <w:lang w:val="it-IT" w:eastAsia="it-IT"/>
        </w:rPr>
      </w:pPr>
      <w:r w:rsidRPr="00770D5B">
        <w:rPr>
          <w:rFonts w:eastAsia="Calibri" w:cs="Times New Roman"/>
          <w:sz w:val="24"/>
          <w:lang w:val="it-IT" w:eastAsia="it-IT"/>
        </w:rPr>
        <w:t xml:space="preserve">4.4 </w:t>
      </w:r>
      <w:r w:rsidR="00EC46BC">
        <w:rPr>
          <w:rFonts w:eastAsia="Calibri" w:cs="Times New Roman"/>
          <w:sz w:val="24"/>
          <w:lang w:val="it-IT" w:eastAsia="it-IT"/>
        </w:rPr>
        <w:tab/>
      </w:r>
      <w:r w:rsidRPr="00770D5B">
        <w:rPr>
          <w:rFonts w:eastAsia="Calibri" w:cs="Times New Roman"/>
          <w:sz w:val="24"/>
          <w:lang w:val="it-IT" w:eastAsia="it-IT"/>
        </w:rPr>
        <w:t xml:space="preserve">Aspetti finanziari </w:t>
      </w:r>
    </w:p>
    <w:p w:rsid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L'impatto finanziario di questa misura era stato valutato all’epoca a circa 3 milioni di franchi. Nel 2018 un’ampia maggioranza aveva accettato il compromesso di congelare temporaneamente l’introduzione dell’art. 10 L-rilocc con l’introduzione del coaching individuale e il progetto Forjad.</w:t>
      </w:r>
    </w:p>
    <w:p w:rsidR="00EC46BC" w:rsidRPr="00770D5B" w:rsidRDefault="00EC46BC" w:rsidP="00EC46BC">
      <w:pPr>
        <w:rPr>
          <w:rFonts w:asciiTheme="minorHAnsi" w:hAnsiTheme="minorHAnsi" w:cstheme="minorHAnsi"/>
          <w:sz w:val="24"/>
          <w:szCs w:val="24"/>
        </w:rPr>
      </w:pPr>
    </w:p>
    <w:p w:rsidR="00770D5B" w:rsidRPr="00770D5B" w:rsidRDefault="00770D5B" w:rsidP="00EC46BC">
      <w:pPr>
        <w:rPr>
          <w:rFonts w:cs="Arial"/>
          <w:i/>
          <w:iCs/>
          <w:sz w:val="24"/>
          <w:szCs w:val="24"/>
        </w:rPr>
      </w:pPr>
      <w:r w:rsidRPr="00770D5B">
        <w:rPr>
          <w:rFonts w:cs="Arial"/>
          <w:sz w:val="24"/>
          <w:szCs w:val="24"/>
        </w:rPr>
        <w:t>Non è disponibile il dato esatto delle spese globali sostenute in questo periodo per questi progetti. Tuttavia la Sezione del Lavoro del DFE in ambito degli approfondimenti richiesti per la redazione del rapporto commissionale ha indicato che:</w:t>
      </w:r>
      <w:r w:rsidR="00EC46BC">
        <w:rPr>
          <w:rFonts w:cs="Arial"/>
          <w:sz w:val="24"/>
          <w:szCs w:val="24"/>
        </w:rPr>
        <w:t xml:space="preserve"> “</w:t>
      </w:r>
      <w:r w:rsidRPr="00770D5B">
        <w:rPr>
          <w:rFonts w:cs="Arial"/>
          <w:i/>
          <w:iCs/>
          <w:sz w:val="24"/>
          <w:szCs w:val="24"/>
        </w:rPr>
        <w:t>La partecipazione a provvedimenti del mercato del lavoro (tra cui il coaching individualizzato) per persone che hanno diritto all’indennità di disoccupazione è finanziato dalla Legge federale sull’assicurazione contro la disoccupazione (LADI). La Legge sul rilancio dell’occupazione e sul sostegno ai disoccupati (L-rilocc) ha lo scopo (art. 2) di integrare e rafforzare i provvedimenti previsti dalla legge federale sull’assicurazione contro la disoccupazione (LADI) con misure finanziate interamente dal Cantone. L’art. 5b) è la base legale che consente la partecipazione a provvedimenti del mercato del lavoro per persone che esauriscono il diritto a indennità federali ai sensi della LADI.</w:t>
      </w:r>
    </w:p>
    <w:p w:rsidR="00770D5B" w:rsidRPr="00770D5B" w:rsidRDefault="00770D5B" w:rsidP="00EC46BC">
      <w:pPr>
        <w:rPr>
          <w:rFonts w:cs="Arial"/>
          <w:i/>
          <w:iCs/>
          <w:sz w:val="24"/>
          <w:szCs w:val="24"/>
        </w:rPr>
      </w:pPr>
    </w:p>
    <w:p w:rsidR="00770D5B" w:rsidRPr="00770D5B" w:rsidRDefault="00770D5B" w:rsidP="00EC46BC">
      <w:pPr>
        <w:rPr>
          <w:rFonts w:cs="Arial"/>
          <w:i/>
          <w:iCs/>
          <w:sz w:val="24"/>
          <w:szCs w:val="24"/>
        </w:rPr>
      </w:pPr>
      <w:r w:rsidRPr="00770D5B">
        <w:rPr>
          <w:rFonts w:cs="Arial"/>
          <w:i/>
          <w:iCs/>
          <w:sz w:val="24"/>
          <w:szCs w:val="24"/>
        </w:rPr>
        <w:lastRenderedPageBreak/>
        <w:t>Ai sensi di quanto esposto, la tabella seguente riassume i costi sostenuti nel 2021, in franchi, suddivisi tra Cantone (in cui rientrano anche le spese per l’accompagnamento e la valutazione) e Confederazione (ambito LADI)».</w:t>
      </w:r>
    </w:p>
    <w:p w:rsidR="00770D5B" w:rsidRPr="00770D5B" w:rsidRDefault="00770D5B" w:rsidP="00770D5B">
      <w:pPr>
        <w:spacing w:line="360" w:lineRule="auto"/>
        <w:rPr>
          <w:rFonts w:cs="Arial"/>
        </w:rPr>
      </w:pPr>
    </w:p>
    <w:tbl>
      <w:tblPr>
        <w:tblW w:w="6276" w:type="dxa"/>
        <w:jc w:val="center"/>
        <w:tblCellMar>
          <w:left w:w="0" w:type="dxa"/>
          <w:right w:w="0" w:type="dxa"/>
        </w:tblCellMar>
        <w:tblLook w:val="04A0" w:firstRow="1" w:lastRow="0" w:firstColumn="1" w:lastColumn="0" w:noHBand="0" w:noVBand="1"/>
      </w:tblPr>
      <w:tblGrid>
        <w:gridCol w:w="1569"/>
        <w:gridCol w:w="1569"/>
        <w:gridCol w:w="1569"/>
        <w:gridCol w:w="1569"/>
      </w:tblGrid>
      <w:tr w:rsidR="00770D5B" w:rsidRPr="00770D5B" w:rsidTr="00EC46BC">
        <w:trPr>
          <w:trHeight w:val="109"/>
          <w:jc w:val="center"/>
        </w:trPr>
        <w:tc>
          <w:tcPr>
            <w:tcW w:w="1569"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70D5B" w:rsidRPr="00770D5B" w:rsidRDefault="00770D5B" w:rsidP="00770D5B">
            <w:pPr>
              <w:spacing w:line="360" w:lineRule="auto"/>
              <w:rPr>
                <w:rFonts w:cs="Arial"/>
                <w:b/>
                <w:bCs/>
              </w:rPr>
            </w:pPr>
            <w:r w:rsidRPr="00770D5B">
              <w:rPr>
                <w:rFonts w:cs="Arial"/>
                <w:b/>
                <w:bCs/>
              </w:rPr>
              <w:t>Anno</w:t>
            </w:r>
          </w:p>
        </w:tc>
        <w:tc>
          <w:tcPr>
            <w:tcW w:w="156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70D5B" w:rsidRPr="00770D5B" w:rsidRDefault="00770D5B" w:rsidP="00770D5B">
            <w:pPr>
              <w:spacing w:line="360" w:lineRule="auto"/>
              <w:rPr>
                <w:rFonts w:cs="Arial"/>
                <w:b/>
                <w:bCs/>
              </w:rPr>
            </w:pPr>
            <w:r w:rsidRPr="00770D5B">
              <w:rPr>
                <w:rFonts w:cs="Arial"/>
                <w:b/>
                <w:bCs/>
              </w:rPr>
              <w:t>Totale</w:t>
            </w:r>
            <w:r w:rsidRPr="00770D5B">
              <w:rPr>
                <w:rFonts w:cs="Arial"/>
                <w:b/>
                <w:bCs/>
              </w:rPr>
              <w:br/>
              <w:t>Cantone</w:t>
            </w:r>
          </w:p>
        </w:tc>
        <w:tc>
          <w:tcPr>
            <w:tcW w:w="156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70D5B" w:rsidRPr="00770D5B" w:rsidRDefault="00770D5B" w:rsidP="00770D5B">
            <w:pPr>
              <w:spacing w:line="360" w:lineRule="auto"/>
              <w:rPr>
                <w:rFonts w:cs="Arial"/>
                <w:b/>
                <w:bCs/>
              </w:rPr>
            </w:pPr>
            <w:r w:rsidRPr="00770D5B">
              <w:rPr>
                <w:rFonts w:cs="Arial"/>
                <w:b/>
                <w:bCs/>
              </w:rPr>
              <w:t>Totale</w:t>
            </w:r>
            <w:r w:rsidRPr="00770D5B">
              <w:rPr>
                <w:rFonts w:cs="Arial"/>
                <w:b/>
                <w:bCs/>
              </w:rPr>
              <w:br/>
              <w:t>LADI</w:t>
            </w:r>
          </w:p>
        </w:tc>
        <w:tc>
          <w:tcPr>
            <w:tcW w:w="1569"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770D5B" w:rsidRPr="00770D5B" w:rsidRDefault="00770D5B" w:rsidP="00770D5B">
            <w:pPr>
              <w:spacing w:line="360" w:lineRule="auto"/>
              <w:rPr>
                <w:rFonts w:cs="Arial"/>
                <w:b/>
                <w:bCs/>
              </w:rPr>
            </w:pPr>
            <w:r w:rsidRPr="00770D5B">
              <w:rPr>
                <w:rFonts w:cs="Arial"/>
                <w:b/>
                <w:bCs/>
              </w:rPr>
              <w:t>Totale</w:t>
            </w:r>
            <w:r w:rsidRPr="00770D5B">
              <w:rPr>
                <w:rFonts w:cs="Arial"/>
                <w:b/>
                <w:bCs/>
              </w:rPr>
              <w:br/>
              <w:t>spesa</w:t>
            </w:r>
          </w:p>
        </w:tc>
      </w:tr>
      <w:tr w:rsidR="00770D5B" w:rsidRPr="00770D5B" w:rsidTr="00EC46BC">
        <w:trPr>
          <w:trHeight w:val="183"/>
          <w:jc w:val="center"/>
        </w:trPr>
        <w:tc>
          <w:tcPr>
            <w:tcW w:w="1569" w:type="dxa"/>
            <w:tcBorders>
              <w:top w:val="nil"/>
              <w:left w:val="single" w:sz="8" w:space="0" w:color="auto"/>
              <w:bottom w:val="single" w:sz="8" w:space="0" w:color="auto"/>
              <w:right w:val="single" w:sz="8" w:space="0" w:color="auto"/>
            </w:tcBorders>
            <w:hideMark/>
          </w:tcPr>
          <w:p w:rsidR="00770D5B" w:rsidRPr="00770D5B" w:rsidRDefault="00770D5B" w:rsidP="00770D5B">
            <w:pPr>
              <w:spacing w:line="360" w:lineRule="auto"/>
              <w:rPr>
                <w:rFonts w:cs="Arial"/>
              </w:rPr>
            </w:pPr>
            <w:r w:rsidRPr="00770D5B">
              <w:rPr>
                <w:rFonts w:cs="Arial"/>
              </w:rPr>
              <w:t>2021</w:t>
            </w:r>
          </w:p>
        </w:tc>
        <w:tc>
          <w:tcPr>
            <w:tcW w:w="15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70D5B" w:rsidRPr="00770D5B" w:rsidRDefault="00770D5B" w:rsidP="00770D5B">
            <w:pPr>
              <w:spacing w:line="360" w:lineRule="auto"/>
              <w:rPr>
                <w:rFonts w:cs="Arial"/>
              </w:rPr>
            </w:pPr>
            <w:r w:rsidRPr="00770D5B">
              <w:rPr>
                <w:rFonts w:cs="Arial"/>
              </w:rPr>
              <w:t>472'155.00</w:t>
            </w:r>
          </w:p>
        </w:tc>
        <w:tc>
          <w:tcPr>
            <w:tcW w:w="15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70D5B" w:rsidRPr="00770D5B" w:rsidRDefault="00770D5B" w:rsidP="00770D5B">
            <w:pPr>
              <w:spacing w:line="360" w:lineRule="auto"/>
              <w:rPr>
                <w:rFonts w:cs="Arial"/>
              </w:rPr>
            </w:pPr>
            <w:r w:rsidRPr="00770D5B">
              <w:rPr>
                <w:rFonts w:cs="Arial"/>
              </w:rPr>
              <w:t>1'167'847.80</w:t>
            </w:r>
          </w:p>
        </w:tc>
        <w:tc>
          <w:tcPr>
            <w:tcW w:w="156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70D5B" w:rsidRPr="00770D5B" w:rsidRDefault="00770D5B" w:rsidP="00770D5B">
            <w:pPr>
              <w:spacing w:line="360" w:lineRule="auto"/>
              <w:rPr>
                <w:rFonts w:cs="Arial"/>
              </w:rPr>
            </w:pPr>
            <w:r w:rsidRPr="00770D5B">
              <w:rPr>
                <w:rFonts w:cs="Arial"/>
              </w:rPr>
              <w:t>1'640'002.80</w:t>
            </w:r>
          </w:p>
        </w:tc>
      </w:tr>
    </w:tbl>
    <w:p w:rsidR="00770D5B" w:rsidRPr="00770D5B" w:rsidRDefault="00770D5B" w:rsidP="00770D5B">
      <w:pPr>
        <w:spacing w:line="360" w:lineRule="auto"/>
        <w:rPr>
          <w:rFonts w:cs="Arial"/>
        </w:rPr>
      </w:pPr>
    </w:p>
    <w:p w:rsidR="00770D5B" w:rsidRPr="00770D5B" w:rsidRDefault="00770D5B" w:rsidP="00EC46BC">
      <w:pPr>
        <w:rPr>
          <w:rFonts w:cs="Arial"/>
          <w:sz w:val="24"/>
          <w:szCs w:val="24"/>
        </w:rPr>
      </w:pPr>
      <w:r w:rsidRPr="00770D5B">
        <w:rPr>
          <w:rFonts w:cs="Arial"/>
          <w:sz w:val="24"/>
          <w:szCs w:val="24"/>
        </w:rPr>
        <w:t xml:space="preserve">Grazie a questi contributi federali e al fatto che il numero di beneficiari è comunque leggermente diminuito, riteniamo opportuno procedere finalmente con l’introduzione dello strumento delle indennità straordinarie di disoccupazione cantonali, pur mantenendo le misure attive entrate in vigore nel frattempo. </w:t>
      </w:r>
    </w:p>
    <w:p w:rsidR="00770D5B" w:rsidRDefault="00770D5B" w:rsidP="00770D5B">
      <w:pPr>
        <w:spacing w:line="360" w:lineRule="auto"/>
        <w:rPr>
          <w:rFonts w:asciiTheme="minorHAnsi" w:hAnsiTheme="minorHAnsi" w:cstheme="minorHAnsi"/>
          <w:sz w:val="24"/>
          <w:szCs w:val="24"/>
        </w:rPr>
      </w:pPr>
    </w:p>
    <w:p w:rsidR="00EC46BC" w:rsidRPr="00770D5B" w:rsidRDefault="00EC46BC" w:rsidP="00770D5B">
      <w:pPr>
        <w:spacing w:line="360" w:lineRule="auto"/>
        <w:rPr>
          <w:rFonts w:asciiTheme="minorHAnsi" w:hAnsiTheme="minorHAnsi" w:cstheme="minorHAnsi"/>
          <w:sz w:val="24"/>
          <w:szCs w:val="24"/>
        </w:rPr>
      </w:pPr>
      <w:bookmarkStart w:id="0" w:name="_GoBack"/>
      <w:bookmarkEnd w:id="0"/>
    </w:p>
    <w:p w:rsidR="00770D5B" w:rsidRPr="00770D5B" w:rsidRDefault="00770D5B" w:rsidP="00EC46BC">
      <w:pPr>
        <w:pStyle w:val="Titolo1"/>
        <w:tabs>
          <w:tab w:val="left" w:pos="567"/>
        </w:tabs>
        <w:spacing w:before="0"/>
        <w:ind w:left="567" w:hanging="567"/>
        <w:jc w:val="both"/>
        <w:rPr>
          <w:rFonts w:eastAsia="Calibri" w:cs="Times New Roman"/>
          <w:caps/>
          <w:sz w:val="24"/>
          <w:szCs w:val="24"/>
          <w:lang w:val="it-IT" w:eastAsia="it-IT"/>
        </w:rPr>
      </w:pPr>
      <w:r w:rsidRPr="00770D5B">
        <w:rPr>
          <w:rFonts w:eastAsia="Calibri" w:cs="Times New Roman"/>
          <w:caps/>
          <w:sz w:val="24"/>
          <w:szCs w:val="24"/>
          <w:lang w:val="it-IT" w:eastAsia="it-IT"/>
        </w:rPr>
        <w:t>5.</w:t>
      </w:r>
      <w:r w:rsidR="00EC46BC">
        <w:rPr>
          <w:rFonts w:eastAsia="Calibri" w:cs="Times New Roman"/>
          <w:caps/>
          <w:sz w:val="24"/>
          <w:szCs w:val="24"/>
          <w:lang w:val="it-IT" w:eastAsia="it-IT"/>
        </w:rPr>
        <w:tab/>
      </w:r>
      <w:r w:rsidRPr="00770D5B">
        <w:rPr>
          <w:rFonts w:eastAsia="Calibri" w:cs="Times New Roman"/>
          <w:caps/>
          <w:sz w:val="24"/>
          <w:szCs w:val="24"/>
          <w:lang w:val="it-IT" w:eastAsia="it-IT"/>
        </w:rPr>
        <w:t xml:space="preserve"> CONCLUSIONI</w:t>
      </w: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La minoranza della Commissione economia e lavoro chiede al Gran Consiglio di approvare:</w:t>
      </w:r>
    </w:p>
    <w:p w:rsidR="00770D5B" w:rsidRPr="00770D5B" w:rsidRDefault="00EC46BC" w:rsidP="00EC46BC">
      <w:pPr>
        <w:numPr>
          <w:ilvl w:val="0"/>
          <w:numId w:val="22"/>
        </w:numPr>
        <w:spacing w:before="120"/>
        <w:ind w:left="426" w:hanging="426"/>
        <w:rPr>
          <w:rFonts w:asciiTheme="minorHAnsi" w:hAnsiTheme="minorHAnsi" w:cstheme="minorHAnsi"/>
          <w:sz w:val="24"/>
          <w:szCs w:val="24"/>
        </w:rPr>
      </w:pPr>
      <w:r>
        <w:rPr>
          <w:rFonts w:asciiTheme="minorHAnsi" w:hAnsiTheme="minorHAnsi" w:cstheme="minorHAnsi"/>
          <w:sz w:val="24"/>
          <w:szCs w:val="24"/>
        </w:rPr>
        <w:t>la p</w:t>
      </w:r>
      <w:r w:rsidR="00770D5B" w:rsidRPr="00770D5B">
        <w:rPr>
          <w:rFonts w:asciiTheme="minorHAnsi" w:hAnsiTheme="minorHAnsi" w:cstheme="minorHAnsi"/>
          <w:sz w:val="24"/>
          <w:szCs w:val="24"/>
        </w:rPr>
        <w:t xml:space="preserve">etizione n. 30 del 7 maggio 2018 depositata dalla Generazione giovani del Partito Popolare Democratico del Cantone Ticino (primo firmatario Enea Monticelli) </w:t>
      </w:r>
    </w:p>
    <w:p w:rsidR="00770D5B" w:rsidRPr="00770D5B" w:rsidRDefault="00EC46BC" w:rsidP="00EC46BC">
      <w:pPr>
        <w:numPr>
          <w:ilvl w:val="0"/>
          <w:numId w:val="22"/>
        </w:numPr>
        <w:spacing w:before="120"/>
        <w:ind w:left="426" w:hanging="426"/>
        <w:rPr>
          <w:rFonts w:asciiTheme="minorHAnsi" w:hAnsiTheme="minorHAnsi" w:cstheme="minorHAnsi"/>
          <w:sz w:val="24"/>
          <w:szCs w:val="24"/>
        </w:rPr>
      </w:pPr>
      <w:r>
        <w:rPr>
          <w:rFonts w:asciiTheme="minorHAnsi" w:hAnsiTheme="minorHAnsi" w:cstheme="minorHAnsi"/>
          <w:sz w:val="24"/>
          <w:szCs w:val="24"/>
        </w:rPr>
        <w:t>la m</w:t>
      </w:r>
      <w:r w:rsidR="00770D5B" w:rsidRPr="00770D5B">
        <w:rPr>
          <w:rFonts w:asciiTheme="minorHAnsi" w:hAnsiTheme="minorHAnsi" w:cstheme="minorHAnsi"/>
          <w:sz w:val="24"/>
          <w:szCs w:val="24"/>
        </w:rPr>
        <w:t xml:space="preserve">ozione n. 1356 del 18 febbraio 2019 presentata da Matteo Pronzini. </w:t>
      </w:r>
    </w:p>
    <w:p w:rsidR="00770D5B" w:rsidRPr="00770D5B" w:rsidRDefault="00770D5B" w:rsidP="00EC46BC">
      <w:pPr>
        <w:rPr>
          <w:rFonts w:asciiTheme="minorHAnsi" w:hAnsiTheme="minorHAnsi" w:cstheme="minorHAnsi"/>
          <w:sz w:val="24"/>
          <w:szCs w:val="24"/>
        </w:rPr>
      </w:pP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A distanza di quasi 8 anni dall'adozione da parte del Parlamento delle indennità straordinarie di disoccupazione, la minoranza della Commissione chiede al Gran Consiglio di porre fine al congelamento della decisione chiedendo al Consiglio di Sato di riattivare l’art 10 R-Locc.</w:t>
      </w:r>
    </w:p>
    <w:p w:rsidR="00770D5B" w:rsidRDefault="00770D5B" w:rsidP="00EC46BC">
      <w:pPr>
        <w:rPr>
          <w:rFonts w:asciiTheme="minorHAnsi" w:hAnsiTheme="minorHAnsi" w:cstheme="minorHAnsi"/>
          <w:sz w:val="24"/>
          <w:szCs w:val="24"/>
        </w:rPr>
      </w:pPr>
    </w:p>
    <w:p w:rsidR="00EC46BC" w:rsidRDefault="00EC46BC" w:rsidP="00EC46BC">
      <w:pPr>
        <w:rPr>
          <w:rFonts w:asciiTheme="minorHAnsi" w:hAnsiTheme="minorHAnsi" w:cstheme="minorHAnsi"/>
          <w:sz w:val="24"/>
          <w:szCs w:val="24"/>
        </w:rPr>
      </w:pPr>
    </w:p>
    <w:p w:rsidR="00EC46BC" w:rsidRPr="00770D5B" w:rsidRDefault="00EC46BC" w:rsidP="00EC46BC">
      <w:pPr>
        <w:spacing w:after="120"/>
        <w:rPr>
          <w:rFonts w:asciiTheme="minorHAnsi" w:hAnsiTheme="minorHAnsi" w:cstheme="minorHAnsi"/>
          <w:sz w:val="24"/>
          <w:szCs w:val="24"/>
        </w:rPr>
      </w:pPr>
      <w:r>
        <w:rPr>
          <w:rFonts w:asciiTheme="minorHAnsi" w:hAnsiTheme="minorHAnsi" w:cstheme="minorHAnsi"/>
          <w:sz w:val="24"/>
          <w:szCs w:val="24"/>
        </w:rPr>
        <w:t>Per la minoranza della Commissione economia e lavoro:</w:t>
      </w: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Danilo Forini</w:t>
      </w:r>
      <w:r w:rsidR="00EC46BC">
        <w:rPr>
          <w:rFonts w:asciiTheme="minorHAnsi" w:hAnsiTheme="minorHAnsi" w:cstheme="minorHAnsi"/>
          <w:sz w:val="24"/>
          <w:szCs w:val="24"/>
        </w:rPr>
        <w:t>, relatore</w:t>
      </w:r>
    </w:p>
    <w:p w:rsidR="00770D5B" w:rsidRPr="00770D5B" w:rsidRDefault="00770D5B" w:rsidP="00EC46BC">
      <w:pPr>
        <w:rPr>
          <w:rFonts w:asciiTheme="minorHAnsi" w:hAnsiTheme="minorHAnsi" w:cstheme="minorHAnsi"/>
          <w:sz w:val="24"/>
          <w:szCs w:val="24"/>
        </w:rPr>
      </w:pPr>
      <w:r w:rsidRPr="00770D5B">
        <w:rPr>
          <w:rFonts w:asciiTheme="minorHAnsi" w:hAnsiTheme="minorHAnsi" w:cstheme="minorHAnsi"/>
          <w:sz w:val="24"/>
          <w:szCs w:val="24"/>
        </w:rPr>
        <w:t xml:space="preserve">Ay </w:t>
      </w:r>
      <w:r w:rsidR="00EC46BC">
        <w:rPr>
          <w:rFonts w:asciiTheme="minorHAnsi" w:hAnsiTheme="minorHAnsi" w:cstheme="minorHAnsi"/>
          <w:sz w:val="24"/>
          <w:szCs w:val="24"/>
        </w:rPr>
        <w:t xml:space="preserve">- </w:t>
      </w:r>
      <w:r w:rsidRPr="00770D5B">
        <w:rPr>
          <w:rFonts w:asciiTheme="minorHAnsi" w:hAnsiTheme="minorHAnsi" w:cstheme="minorHAnsi"/>
          <w:sz w:val="24"/>
          <w:szCs w:val="24"/>
        </w:rPr>
        <w:t xml:space="preserve">Noi </w:t>
      </w:r>
      <w:r w:rsidR="00EC46BC">
        <w:rPr>
          <w:rFonts w:asciiTheme="minorHAnsi" w:hAnsiTheme="minorHAnsi" w:cstheme="minorHAnsi"/>
          <w:sz w:val="24"/>
          <w:szCs w:val="24"/>
        </w:rPr>
        <w:t xml:space="preserve">- </w:t>
      </w:r>
      <w:r w:rsidRPr="00770D5B">
        <w:rPr>
          <w:rFonts w:asciiTheme="minorHAnsi" w:hAnsiTheme="minorHAnsi" w:cstheme="minorHAnsi"/>
          <w:sz w:val="24"/>
          <w:szCs w:val="24"/>
        </w:rPr>
        <w:t xml:space="preserve">Sirica </w:t>
      </w:r>
    </w:p>
    <w:p w:rsidR="00D649A8" w:rsidRPr="006C29A9" w:rsidRDefault="00D649A8" w:rsidP="00EC46BC">
      <w:pPr>
        <w:widowControl w:val="0"/>
        <w:kinsoku w:val="0"/>
        <w:overflowPunct w:val="0"/>
        <w:autoSpaceDE w:val="0"/>
        <w:autoSpaceDN w:val="0"/>
        <w:adjustRightInd w:val="0"/>
      </w:pPr>
    </w:p>
    <w:sectPr w:rsidR="00D649A8" w:rsidRPr="006C29A9"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A9" w:rsidRDefault="006C29A9" w:rsidP="00F657BF">
      <w:r>
        <w:separator/>
      </w:r>
    </w:p>
  </w:endnote>
  <w:endnote w:type="continuationSeparator" w:id="0">
    <w:p w:rsidR="006C29A9" w:rsidRDefault="006C29A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ngti SC">
    <w:altName w:val="Times New Roman"/>
    <w:panose1 w:val="00000000000000000000"/>
    <w:charset w:val="00"/>
    <w:family w:val="roman"/>
    <w:notTrueType/>
    <w:pitch w:val="default"/>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22" w:rsidRDefault="003E2A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60696" w:rsidP="00912E34">
          <w:pPr>
            <w:tabs>
              <w:tab w:val="center" w:pos="2382"/>
            </w:tabs>
          </w:pPr>
        </w:p>
      </w:tc>
      <w:tc>
        <w:tcPr>
          <w:tcW w:w="721" w:type="dxa"/>
        </w:tcPr>
        <w:p w:rsidR="00912E34" w:rsidRPr="003D1008" w:rsidRDefault="00572485"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72485"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6069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6069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A9" w:rsidRDefault="006C29A9" w:rsidP="00F657BF">
      <w:r>
        <w:separator/>
      </w:r>
    </w:p>
  </w:footnote>
  <w:footnote w:type="continuationSeparator" w:id="0">
    <w:p w:rsidR="006C29A9" w:rsidRDefault="006C29A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22" w:rsidRDefault="003E2A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5B8DA1A9-FE18-466A-A47C-2447DBFB163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7A2A50"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572485"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60696">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60696">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B8DA1A9-FE18-466A-A47C-2447DBFB163A}"/>
          <w:text w:multiLine="1"/>
        </w:sdtPr>
        <w:sdtEndPr/>
        <w:sdtContent>
          <w:tc>
            <w:tcPr>
              <w:tcW w:w="8383" w:type="dxa"/>
              <w:tcBorders>
                <w:left w:val="single" w:sz="4" w:space="0" w:color="auto"/>
              </w:tcBorders>
              <w:tcMar>
                <w:top w:w="0" w:type="dxa"/>
                <w:left w:w="142" w:type="dxa"/>
              </w:tcMar>
            </w:tcPr>
            <w:p w:rsidR="005012EC" w:rsidRPr="006C29A9" w:rsidRDefault="003E2A22"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7662 R2 del 28 febbraio 2023</w:t>
              </w:r>
            </w:p>
          </w:tc>
        </w:sdtContent>
      </w:sdt>
      <w:tc>
        <w:tcPr>
          <w:tcW w:w="1710" w:type="dxa"/>
          <w:tcBorders>
            <w:top w:val="single" w:sz="4" w:space="0" w:color="auto"/>
          </w:tcBorders>
        </w:tcPr>
        <w:p w:rsidR="005012EC" w:rsidRPr="006C29A9" w:rsidRDefault="00960696" w:rsidP="00662409">
          <w:pPr>
            <w:pStyle w:val="InvisibleLine"/>
            <w:rPr>
              <w:lang w:val="it-CH"/>
            </w:rPr>
          </w:pPr>
        </w:p>
      </w:tc>
    </w:tr>
  </w:tbl>
  <w:p w:rsidR="00F657BF" w:rsidRPr="00980362" w:rsidRDefault="00572485"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B8DA1A9-FE18-466A-A47C-2447DBFB163A}"/>
                            <w:text w:multiLine="1"/>
                          </w:sdtPr>
                          <w:sdtEndPr/>
                          <w:sdtContent>
                            <w:p w:rsidR="008065E8" w:rsidRPr="00411371" w:rsidRDefault="00572485"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F9DBFCC-B104-4468-907B-6A44129CA933}"/>
                      <w:text w:multiLine="1"/>
                    </w:sdtPr>
                    <w:sdtEndPr/>
                    <w:sdtContent>
                      <w:p w:rsidR="008065E8" w:rsidRPr="00411371" w:rsidRDefault="00572485"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960696" w:rsidP="00D07D6E">
          <w:pPr>
            <w:pStyle w:val="InvisibleLine"/>
            <w:ind w:left="150"/>
            <w:rPr>
              <w:sz w:val="16"/>
            </w:rPr>
          </w:pPr>
        </w:p>
      </w:tc>
      <w:tc>
        <w:tcPr>
          <w:tcW w:w="373" w:type="pct"/>
          <w:tcBorders>
            <w:top w:val="nil"/>
            <w:bottom w:val="single" w:sz="4" w:space="0" w:color="auto"/>
          </w:tcBorders>
          <w:vAlign w:val="bottom"/>
        </w:tcPr>
        <w:p w:rsidR="00662409" w:rsidRPr="003108C0" w:rsidRDefault="00960696" w:rsidP="00D07D6E">
          <w:pPr>
            <w:pStyle w:val="Level"/>
            <w:ind w:left="150"/>
            <w:rPr>
              <w:sz w:val="16"/>
            </w:rPr>
          </w:pPr>
        </w:p>
      </w:tc>
      <w:tc>
        <w:tcPr>
          <w:tcW w:w="209" w:type="pct"/>
          <w:tcBorders>
            <w:top w:val="nil"/>
            <w:bottom w:val="single" w:sz="4" w:space="0" w:color="auto"/>
          </w:tcBorders>
        </w:tcPr>
        <w:p w:rsidR="00662409" w:rsidRDefault="00572485"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1548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7248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6069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60696">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B8DA1A9-FE18-466A-A47C-2447DBFB163A}"/>
          <w:text w:multiLine="1"/>
        </w:sdtPr>
        <w:sdtEndPr/>
        <w:sdtContent>
          <w:tc>
            <w:tcPr>
              <w:tcW w:w="5000" w:type="pct"/>
              <w:gridSpan w:val="6"/>
              <w:tcBorders>
                <w:left w:val="nil"/>
                <w:right w:val="nil"/>
              </w:tcBorders>
              <w:noWrap/>
              <w:tcMar>
                <w:top w:w="0" w:type="dxa"/>
              </w:tcMar>
              <w:vAlign w:val="bottom"/>
            </w:tcPr>
            <w:p w:rsidR="00662409" w:rsidRPr="008C03B5" w:rsidRDefault="00770D5B"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72485"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6069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72485"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6069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72485"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6069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6069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B8DA1A9-FE18-466A-A47C-2447DBFB163A}"/>
              <w:text w:multiLine="1"/>
            </w:sdtPr>
            <w:sdtEndPr/>
            <w:sdtContent>
              <w:r w:rsidR="003E2A22">
                <w:rPr>
                  <w:rFonts w:cstheme="minorHAnsi"/>
                  <w:b/>
                  <w:sz w:val="24"/>
                  <w:szCs w:val="24"/>
                </w:rPr>
                <w:t>7662 R2</w:t>
              </w:r>
            </w:sdtContent>
          </w:sdt>
        </w:p>
      </w:tc>
      <w:sdt>
        <w:sdtPr>
          <w:rPr>
            <w:sz w:val="24"/>
          </w:rPr>
          <w:alias w:val="DocParam.Date"/>
          <w:id w:val="-464426178"/>
          <w:dataBinding w:xpath="//DateTime[@id='DocParam.Date']" w:storeItemID="{5B8DA1A9-FE18-466A-A47C-2447DBFB163A}"/>
          <w:date w:fullDate="2023-02-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A2A50" w:rsidP="00A532F6">
              <w:pPr>
                <w:pStyle w:val="Data"/>
              </w:pPr>
              <w:r>
                <w:rPr>
                  <w:sz w:val="24"/>
                </w:rPr>
                <w:t>28 febbraio 2023</w:t>
              </w:r>
            </w:p>
          </w:tc>
        </w:sdtContent>
      </w:sdt>
      <w:tc>
        <w:tcPr>
          <w:tcW w:w="3218" w:type="pct"/>
          <w:gridSpan w:val="4"/>
          <w:tcBorders>
            <w:top w:val="nil"/>
            <w:left w:val="nil"/>
            <w:bottom w:val="nil"/>
            <w:right w:val="nil"/>
          </w:tcBorders>
        </w:tcPr>
        <w:p w:rsidR="008C03B5" w:rsidRPr="00BE22A2" w:rsidRDefault="0096069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B8DA1A9-FE18-466A-A47C-2447DBFB163A}"/>
              <w:text w:multiLine="1"/>
            </w:sdtPr>
            <w:sdtEndPr/>
            <w:sdtContent>
              <w:r w:rsidR="007A2A50">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60696" w:rsidP="00D07D6E">
          <w:pPr>
            <w:pStyle w:val="Level"/>
            <w:ind w:left="150"/>
            <w:rPr>
              <w:rFonts w:ascii="Gill Alt One MT Light" w:hAnsi="Gill Alt One MT Light"/>
              <w:sz w:val="16"/>
              <w:szCs w:val="16"/>
            </w:rPr>
          </w:pPr>
        </w:p>
      </w:tc>
    </w:tr>
  </w:tbl>
  <w:p w:rsidR="00F657BF" w:rsidRPr="00DA2879" w:rsidRDefault="00572485"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8196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B8DA1A9-FE18-466A-A47C-2447DBFB163A}"/>
                            <w:text w:multiLine="1"/>
                          </w:sdtPr>
                          <w:sdtEndPr/>
                          <w:sdtContent>
                            <w:p w:rsidR="00E93620" w:rsidRPr="00411371" w:rsidRDefault="00572485"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F9DBFCC-B104-4468-907B-6A44129CA933}"/>
                      <w:text w:multiLine="1"/>
                    </w:sdtPr>
                    <w:sdtEndPr/>
                    <w:sdtContent>
                      <w:p w:rsidR="00E93620" w:rsidRPr="00411371" w:rsidRDefault="00572485"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86F11F3"/>
    <w:multiLevelType w:val="hybridMultilevel"/>
    <w:tmpl w:val="B782A722"/>
    <w:lvl w:ilvl="0" w:tplc="89121B6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4882D01"/>
    <w:multiLevelType w:val="hybridMultilevel"/>
    <w:tmpl w:val="9F423A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FA6151C"/>
    <w:multiLevelType w:val="hybridMultilevel"/>
    <w:tmpl w:val="075A8774"/>
    <w:lvl w:ilvl="0" w:tplc="D9F4191E">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59B23B04"/>
    <w:multiLevelType w:val="hybridMultilevel"/>
    <w:tmpl w:val="A22029C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21" w15:restartNumberingAfterBreak="0">
    <w:nsid w:val="5EBA4A4B"/>
    <w:multiLevelType w:val="hybridMultilevel"/>
    <w:tmpl w:val="3000DFEA"/>
    <w:lvl w:ilvl="0" w:tplc="C7B0399A">
      <w:start w:val="5"/>
      <w:numFmt w:val="bullet"/>
      <w:lvlText w:val="-"/>
      <w:lvlJc w:val="left"/>
      <w:pPr>
        <w:ind w:left="720" w:hanging="360"/>
      </w:pPr>
      <w:rPr>
        <w:rFonts w:ascii="Arial" w:eastAsia="Songti SC"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8"/>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1"/>
  </w:num>
  <w:num w:numId="20">
    <w:abstractNumId w:val="14"/>
  </w:num>
  <w:num w:numId="21">
    <w:abstractNumId w:val="20"/>
  </w:num>
  <w:num w:numId="2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A9"/>
    <w:rsid w:val="000505D1"/>
    <w:rsid w:val="0010071E"/>
    <w:rsid w:val="00252ACA"/>
    <w:rsid w:val="002B5D9F"/>
    <w:rsid w:val="002D0D2E"/>
    <w:rsid w:val="003B756D"/>
    <w:rsid w:val="003E2A22"/>
    <w:rsid w:val="00403ADB"/>
    <w:rsid w:val="00572485"/>
    <w:rsid w:val="00572FD3"/>
    <w:rsid w:val="00696592"/>
    <w:rsid w:val="006C29A9"/>
    <w:rsid w:val="00770D5B"/>
    <w:rsid w:val="007A2A50"/>
    <w:rsid w:val="008245BC"/>
    <w:rsid w:val="008720C4"/>
    <w:rsid w:val="008A10DB"/>
    <w:rsid w:val="008F52AF"/>
    <w:rsid w:val="00960696"/>
    <w:rsid w:val="00996A76"/>
    <w:rsid w:val="009C5E5A"/>
    <w:rsid w:val="00A0284B"/>
    <w:rsid w:val="00AF0268"/>
    <w:rsid w:val="00BF0A1F"/>
    <w:rsid w:val="00D101D1"/>
    <w:rsid w:val="00D33940"/>
    <w:rsid w:val="00D600FD"/>
    <w:rsid w:val="00D649A8"/>
    <w:rsid w:val="00DB4E81"/>
    <w:rsid w:val="00EB088A"/>
    <w:rsid w:val="00EC46BC"/>
    <w:rsid w:val="00F657BF"/>
    <w:rsid w:val="00FB3A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9BE939"/>
  <w15:docId w15:val="{DB16ED8D-F4F3-447D-B01D-DD73C1D6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29A9"/>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table" w:styleId="Grigliatabella">
    <w:name w:val="Table Grid"/>
    <w:basedOn w:val="Tabellanormale"/>
    <w:uiPriority w:val="39"/>
    <w:rsid w:val="006C29A9"/>
    <w:pPr>
      <w:jc w:val="left"/>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505D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05D1"/>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9644dbde-2760-4307-a5a3-321aa939222a.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1815483783</Id>
      <Width>0</Width>
      <Height>0</Height>
      <XPath>//Image[@id='Profile.Org.WappenSW']</XPath>
      <ImageHash>02f1c0cdac6aeac316213b2e7cb733a0</ImageHash>
    </ImageSizeDefinition>
    <ImageSizeDefinition>
      <Id>481966373</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e b 6 c 8 d 3 - 6 7 4 a - 4 3 e 7 - a a 7 0 - f 2 d 1 3 0 3 3 a 4 b 2 "   t I d = " a 3 6 2 a 5 d 4 - 9 5 8 9 - 4 1 b f - a 4 e 6 - 4 f 8 7 c 4 e 4 1 2 3 9 "   i n t e r n a l T I d = " 9 0 6 4 c c 7 f - 3 1 6 d - 4 6 b 1 - a 4 a c - 7 4 8 6 0 c 3 f 8 a 5 b "   m t I d = " 2 7 5 a f 3 2 e - b c 4 0 - 4 5 c 2 - 8 5 b 7 - a f b 1 c 0 3 8 2 6 5 3 "   r e v i s i o n = " 0 "   c r e a t e d m a j o r v e r s i o n = " 0 "   c r e a t e d m i n o r v e r s i o n = " 0 "   c r e a t e d = " 2 0 2 3 - 0 3 - 0 3 T 0 9 : 0 9 : 2 4 . 3 2 7 5 8 0 9 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i n o r a n z a   n .   7 6 6 2   R 2   d e l   2 8   f e b b r 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T e x t >  
                 < T e x t   i d = " C u s t o m E l e m e n t s . F i e l d s . T i t o l o 2 "   l a b e l = " C u s t o m E l e m e n t s . F i e l d s . T i t o l o 2 " > < ! [ C D A T A [ R a p p o r t o   d i   m i n o r a n z a   n .   7 6 6 2   R 2   d e l   2 8   f e b b r a i o   2 0 2 3 ] ] > < / 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 2 0 2 3 - 0 2 - 2 8 T 0 0 : 0 0 : 0 0 Z < / D a t e T i m e >  
                 < T e x t   i d = " D o c P a r a m . N u m b e r " > < ! [ C D A T A [ 7 6 6 2   R 2 ] ] > < / T e x t >  
                 < T e x t   i d = " D o c P a r a m . D o c u m e n t o " > < ! [ C D A T A [ R a p p o r t o   d i   m i n o r a n z a ] ] > < / T e x t >  
                 < T e x t   i d = " D o c P a r a m . A g g i u n t a D o c "   t o o l t i p = " ( e s .   b i s ,   a g g i u n t i v o ,   a g g i u n t i v o   b i s ,   1 ,   2   e c c . ) " > < ! [ C D A T A [   ] ] > < / 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85E33C58-A381-4B16-9396-D2B02970078C}">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5B8DA1A9-FE18-466A-A47C-2447DBFB163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9644dbde-2760-4307-a5a3-321aa939222a.dotx</Template>
  <TotalTime>40</TotalTime>
  <Pages>6</Pages>
  <Words>2086</Words>
  <Characters>11892</Characters>
  <Application>Microsoft Office Word</Application>
  <DocSecurity>0</DocSecurity>
  <Lines>99</Lines>
  <Paragraphs>27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16</cp:revision>
  <cp:lastPrinted>2023-03-03T09:46:00Z</cp:lastPrinted>
  <dcterms:created xsi:type="dcterms:W3CDTF">2023-03-03T09:09:00Z</dcterms:created>
  <dcterms:modified xsi:type="dcterms:W3CDTF">2023-05-09T06:36:00Z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