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52AF" w:rsidRPr="00CA690D" w:rsidRDefault="00CA690D" w:rsidP="00D33940">
      <w:pPr>
        <w:pStyle w:val="StandardRisoluzionedelConsigliodiStato"/>
        <w:ind w:right="-1"/>
        <w:rPr>
          <w:b/>
          <w:sz w:val="28"/>
          <w:szCs w:val="28"/>
        </w:rPr>
      </w:pPr>
      <w:r w:rsidRPr="00CA690D">
        <w:rPr>
          <w:b/>
          <w:sz w:val="28"/>
          <w:szCs w:val="28"/>
        </w:rPr>
        <w:t>della Commissione gestione e finanze</w:t>
      </w:r>
    </w:p>
    <w:p w:rsidR="00CA690D" w:rsidRDefault="00CA690D" w:rsidP="00D33940">
      <w:pPr>
        <w:pStyle w:val="StandardRisoluzionedelConsigliodiStato"/>
        <w:ind w:right="-1"/>
        <w:rPr>
          <w:b/>
          <w:sz w:val="28"/>
          <w:szCs w:val="28"/>
        </w:rPr>
      </w:pPr>
      <w:r w:rsidRPr="00CA690D">
        <w:rPr>
          <w:b/>
          <w:sz w:val="28"/>
          <w:szCs w:val="28"/>
        </w:rPr>
        <w:t>sul messaggio</w:t>
      </w:r>
      <w:r>
        <w:rPr>
          <w:b/>
          <w:sz w:val="28"/>
          <w:szCs w:val="28"/>
        </w:rPr>
        <w:t xml:space="preserve"> 29 marzo 2023 concernente il Consuntivo 2022</w:t>
      </w:r>
    </w:p>
    <w:p w:rsidR="00CA690D" w:rsidRPr="00CA690D" w:rsidRDefault="00CA690D" w:rsidP="00D33940">
      <w:pPr>
        <w:pStyle w:val="StandardRisoluzionedelConsigliodiStato"/>
        <w:ind w:right="-1"/>
        <w:rPr>
          <w:b/>
          <w:szCs w:val="24"/>
        </w:rPr>
      </w:pPr>
    </w:p>
    <w:p w:rsidR="00D649A8" w:rsidRPr="00CA690D" w:rsidRDefault="00CA690D" w:rsidP="00D33940">
      <w:pPr>
        <w:pStyle w:val="StandardRisoluzionedelConsigliodiStato"/>
        <w:ind w:right="-1"/>
        <w:rPr>
          <w:b/>
          <w:szCs w:val="24"/>
        </w:rPr>
      </w:pPr>
      <w:r w:rsidRPr="00CA690D">
        <w:rPr>
          <w:b/>
          <w:szCs w:val="24"/>
        </w:rPr>
        <w:t xml:space="preserve"> </w:t>
      </w:r>
    </w:p>
    <w:p w:rsidR="00CA690D" w:rsidRPr="00CA690D" w:rsidRDefault="00CA690D" w:rsidP="00CA690D">
      <w:pPr>
        <w:keepNext/>
        <w:numPr>
          <w:ilvl w:val="0"/>
          <w:numId w:val="18"/>
        </w:numPr>
        <w:tabs>
          <w:tab w:val="left" w:pos="567"/>
        </w:tabs>
        <w:spacing w:after="120"/>
        <w:ind w:left="567" w:hanging="567"/>
        <w:outlineLvl w:val="0"/>
        <w:rPr>
          <w:rFonts w:eastAsia="Calibri" w:cs="Times New Roman"/>
          <w:b/>
          <w:sz w:val="24"/>
        </w:rPr>
      </w:pPr>
      <w:r w:rsidRPr="00CA690D">
        <w:rPr>
          <w:rFonts w:eastAsia="Calibri" w:cs="Times New Roman"/>
          <w:b/>
          <w:sz w:val="24"/>
        </w:rPr>
        <w:t>INTRODUZIONE</w:t>
      </w:r>
    </w:p>
    <w:p w:rsidR="00CA690D" w:rsidRPr="00CA690D" w:rsidRDefault="00CA690D" w:rsidP="00CA690D">
      <w:pPr>
        <w:rPr>
          <w:rFonts w:eastAsia="Calibri" w:cs="Arial"/>
          <w:sz w:val="24"/>
          <w:shd w:val="clear" w:color="auto" w:fill="FFFFFF"/>
        </w:rPr>
      </w:pPr>
      <w:r w:rsidRPr="00CA690D">
        <w:rPr>
          <w:rFonts w:eastAsia="Calibri" w:cs="Arial"/>
          <w:sz w:val="24"/>
          <w:shd w:val="clear" w:color="auto" w:fill="FFFFFF"/>
        </w:rPr>
        <w:t>Dopo due anni contraddistinti da risultati negativi a seguito della crisi sanitaria,</w:t>
      </w:r>
      <w:r w:rsidRPr="00CA690D">
        <w:rPr>
          <w:rFonts w:eastAsia="Calibri" w:cs="Times New Roman"/>
          <w:sz w:val="24"/>
        </w:rPr>
        <w:t xml:space="preserve"> </w:t>
      </w:r>
      <w:r w:rsidRPr="00CA690D">
        <w:rPr>
          <w:rFonts w:eastAsia="Calibri" w:cs="Arial"/>
          <w:sz w:val="24"/>
          <w:shd w:val="clear" w:color="auto" w:fill="FFFFFF"/>
        </w:rPr>
        <w:t>il consuntivo 2022 chiude con un leggero avanzo d’esercizio di 3 milioni di franchi. Il risultato del consuntivo è migliore di 137.9 milioni di franchi rispetto al preventivo (dato notevole). Questa tendenza al miglioramento dei conti rispetto a quanto preventivato riguarda tutti i Cantoni e anche i Comuni.</w:t>
      </w:r>
    </w:p>
    <w:p w:rsidR="00CA690D" w:rsidRPr="00CA690D" w:rsidRDefault="00CA690D" w:rsidP="00CA690D">
      <w:pPr>
        <w:rPr>
          <w:rFonts w:eastAsia="Calibri" w:cs="Times New Roman"/>
          <w:sz w:val="24"/>
        </w:rPr>
      </w:pPr>
      <w:r w:rsidRPr="00CA690D">
        <w:rPr>
          <w:rFonts w:eastAsia="Calibri" w:cs="Times New Roman"/>
          <w:sz w:val="24"/>
        </w:rPr>
        <w:t>Sebbene il risultato d’esercizio del 2022 ritorni in cifre positive con peraltro un miglioramento rilevante, la situazione rimane molto fragile, anche perché alcuni elementi che hanno contribuito a migliorare le previsioni di preventivo non si ripeteranno nelle stesse proporzioni nei prossimi anni. Nel 2023 la Banca nazionale svizzera (BNS) non verserà alcuna quota sull’utile a Confederazione e Cantoni (nel 2022 il versamento al Cantone Ticino è stato di 162.6 milioni), ciò che rende ancora più difficile raggiungere gli obiettivi di riequilibrio finanziario fissati da Governo e Parlamento. A questi fattori vanno aggiunti gli effetti negativi sulla crescita dell’economia mondiale del conflitto in Ucraina tutt’ora in corso e dall’attuale contesto di marcata incertezza.</w:t>
      </w:r>
    </w:p>
    <w:p w:rsidR="00CA690D" w:rsidRPr="00CA690D" w:rsidRDefault="00CA690D" w:rsidP="00CA690D">
      <w:pPr>
        <w:jc w:val="left"/>
        <w:rPr>
          <w:rFonts w:eastAsia="Calibri" w:cs="Arial"/>
          <w:sz w:val="24"/>
          <w:szCs w:val="24"/>
        </w:rPr>
      </w:pPr>
    </w:p>
    <w:p w:rsidR="00CA690D" w:rsidRPr="00CA690D" w:rsidRDefault="00CA690D" w:rsidP="00CA690D">
      <w:pPr>
        <w:jc w:val="left"/>
        <w:rPr>
          <w:rFonts w:eastAsia="Calibri" w:cs="Arial"/>
          <w:sz w:val="24"/>
          <w:szCs w:val="24"/>
        </w:rPr>
      </w:pPr>
    </w:p>
    <w:p w:rsidR="00CA690D" w:rsidRPr="00CA690D" w:rsidRDefault="00CA690D" w:rsidP="00CA690D">
      <w:pPr>
        <w:keepNext/>
        <w:numPr>
          <w:ilvl w:val="0"/>
          <w:numId w:val="18"/>
        </w:numPr>
        <w:tabs>
          <w:tab w:val="left" w:pos="567"/>
        </w:tabs>
        <w:spacing w:after="120"/>
        <w:ind w:left="567" w:hanging="567"/>
        <w:outlineLvl w:val="0"/>
        <w:rPr>
          <w:rFonts w:eastAsia="Calibri" w:cs="Times New Roman"/>
          <w:b/>
          <w:sz w:val="24"/>
        </w:rPr>
      </w:pPr>
      <w:r w:rsidRPr="00CA690D">
        <w:rPr>
          <w:rFonts w:eastAsia="Calibri" w:cs="Times New Roman"/>
          <w:b/>
          <w:sz w:val="24"/>
        </w:rPr>
        <w:t>DATI PRINCIPALI DEL CONSUNTIVO 2022</w:t>
      </w:r>
    </w:p>
    <w:p w:rsidR="00CA690D" w:rsidRPr="00CA690D" w:rsidRDefault="00CA690D" w:rsidP="00CA690D">
      <w:pPr>
        <w:rPr>
          <w:rFonts w:eastAsia="Calibri" w:cs="Arial"/>
          <w:sz w:val="24"/>
          <w:szCs w:val="24"/>
        </w:rPr>
      </w:pPr>
      <w:r w:rsidRPr="00CA690D">
        <w:rPr>
          <w:rFonts w:eastAsia="Calibri" w:cs="Arial"/>
          <w:sz w:val="24"/>
          <w:szCs w:val="24"/>
        </w:rPr>
        <w:t xml:space="preserve">I dati principali che caratterizzano il </w:t>
      </w:r>
      <w:r>
        <w:rPr>
          <w:rFonts w:eastAsia="Calibri" w:cs="Arial"/>
          <w:sz w:val="24"/>
          <w:szCs w:val="24"/>
        </w:rPr>
        <w:t>C</w:t>
      </w:r>
      <w:r w:rsidRPr="00CA690D">
        <w:rPr>
          <w:rFonts w:eastAsia="Calibri" w:cs="Arial"/>
          <w:sz w:val="24"/>
          <w:szCs w:val="24"/>
        </w:rPr>
        <w:t xml:space="preserve">onsuntivo 2022 sono riportati di seguito. </w:t>
      </w:r>
    </w:p>
    <w:p w:rsidR="00CA690D" w:rsidRPr="00CA690D" w:rsidRDefault="00CA690D" w:rsidP="00CA690D">
      <w:pPr>
        <w:rPr>
          <w:rFonts w:eastAsia="Calibri" w:cs="Arial"/>
          <w:sz w:val="24"/>
          <w:szCs w:val="24"/>
        </w:rPr>
      </w:pPr>
    </w:p>
    <w:p w:rsidR="00CA690D" w:rsidRPr="00CA690D" w:rsidRDefault="00CA690D" w:rsidP="00CA690D">
      <w:pPr>
        <w:keepNext/>
        <w:tabs>
          <w:tab w:val="left" w:pos="567"/>
        </w:tabs>
        <w:spacing w:after="120"/>
        <w:ind w:left="544" w:hanging="544"/>
        <w:outlineLvl w:val="1"/>
        <w:rPr>
          <w:rFonts w:eastAsia="Calibri" w:cs="Times New Roman"/>
          <w:b/>
          <w:sz w:val="24"/>
        </w:rPr>
      </w:pPr>
      <w:r>
        <w:rPr>
          <w:rFonts w:eastAsia="Calibri" w:cs="Times New Roman"/>
          <w:b/>
          <w:noProof/>
          <w:sz w:val="24"/>
          <w:lang w:eastAsia="it-CH"/>
        </w:rPr>
        <w:drawing>
          <wp:inline distT="0" distB="0" distL="0" distR="0" wp14:anchorId="066CD457">
            <wp:extent cx="5200650" cy="2881524"/>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5109" cy="2889535"/>
                    </a:xfrm>
                    <a:prstGeom prst="rect">
                      <a:avLst/>
                    </a:prstGeom>
                    <a:noFill/>
                  </pic:spPr>
                </pic:pic>
              </a:graphicData>
            </a:graphic>
          </wp:inline>
        </w:drawing>
      </w:r>
    </w:p>
    <w:p w:rsidR="00CA690D" w:rsidRPr="00CA690D" w:rsidRDefault="00CA690D" w:rsidP="00CA690D">
      <w:pPr>
        <w:autoSpaceDE w:val="0"/>
        <w:autoSpaceDN w:val="0"/>
        <w:adjustRightInd w:val="0"/>
        <w:rPr>
          <w:rFonts w:eastAsia="Calibri" w:cs="Arial"/>
          <w:color w:val="000000"/>
          <w:sz w:val="24"/>
          <w:szCs w:val="24"/>
          <w:lang w:eastAsia="it-CH"/>
        </w:rPr>
      </w:pPr>
    </w:p>
    <w:p w:rsidR="00CA690D" w:rsidRPr="00CA690D" w:rsidRDefault="00CA690D" w:rsidP="00CA690D">
      <w:pPr>
        <w:autoSpaceDE w:val="0"/>
        <w:autoSpaceDN w:val="0"/>
        <w:adjustRightInd w:val="0"/>
        <w:rPr>
          <w:rFonts w:eastAsia="Calibri" w:cs="Times New Roman"/>
          <w:sz w:val="24"/>
        </w:rPr>
      </w:pPr>
      <w:r w:rsidRPr="00CA690D">
        <w:rPr>
          <w:rFonts w:eastAsia="Calibri" w:cs="Arial"/>
          <w:color w:val="000000"/>
          <w:sz w:val="24"/>
          <w:szCs w:val="24"/>
          <w:lang w:eastAsia="it-CH"/>
        </w:rPr>
        <w:lastRenderedPageBreak/>
        <w:t>Il consuntivo 2022 chiude con un avanzo d’esercizio di 3 milioni di franchi a fronte di un disavanzo preventivato di -134.9 milioni di franchi.</w:t>
      </w:r>
      <w:r w:rsidRPr="00CA690D">
        <w:rPr>
          <w:rFonts w:eastAsia="Calibri" w:cs="Times New Roman"/>
          <w:sz w:val="24"/>
        </w:rPr>
        <w:t xml:space="preserve"> </w:t>
      </w:r>
    </w:p>
    <w:p w:rsidR="00CA690D" w:rsidRPr="00CA690D" w:rsidRDefault="00CA690D" w:rsidP="00CA690D">
      <w:pPr>
        <w:autoSpaceDE w:val="0"/>
        <w:autoSpaceDN w:val="0"/>
        <w:adjustRightInd w:val="0"/>
        <w:rPr>
          <w:rFonts w:eastAsia="Calibri" w:cs="Times New Roman"/>
          <w:sz w:val="24"/>
        </w:rPr>
      </w:pPr>
      <w:r w:rsidRPr="00CA690D">
        <w:rPr>
          <w:rFonts w:eastAsia="Calibri" w:cs="Times New Roman"/>
          <w:sz w:val="24"/>
        </w:rPr>
        <w:t xml:space="preserve">Il capitale proprio si attesta a -95.3 milioni di franchi (-98.8 milioni di franchi a fine 2021). Il debito pubblico aumenta rispetto all’anno precedente, situandosi appena al di sotto della soglia di 2.3 miliardi. </w:t>
      </w:r>
    </w:p>
    <w:p w:rsidR="00CA690D" w:rsidRPr="00CA690D" w:rsidRDefault="00CA690D" w:rsidP="00CA690D">
      <w:pPr>
        <w:autoSpaceDE w:val="0"/>
        <w:autoSpaceDN w:val="0"/>
        <w:adjustRightInd w:val="0"/>
        <w:rPr>
          <w:rFonts w:eastAsia="Calibri" w:cs="Arial"/>
          <w:color w:val="000000"/>
          <w:sz w:val="24"/>
          <w:szCs w:val="24"/>
          <w:lang w:eastAsia="it-CH"/>
        </w:rPr>
      </w:pPr>
    </w:p>
    <w:p w:rsidR="00CA690D" w:rsidRPr="00CA690D" w:rsidRDefault="00CA690D" w:rsidP="00CA690D">
      <w:pPr>
        <w:autoSpaceDE w:val="0"/>
        <w:autoSpaceDN w:val="0"/>
        <w:adjustRightInd w:val="0"/>
        <w:rPr>
          <w:rFonts w:eastAsia="Calibri" w:cs="Arial"/>
          <w:color w:val="000000"/>
          <w:sz w:val="24"/>
          <w:szCs w:val="24"/>
          <w:lang w:eastAsia="it-CH"/>
        </w:rPr>
      </w:pPr>
    </w:p>
    <w:p w:rsidR="00CA690D" w:rsidRPr="00CA690D" w:rsidRDefault="00FA34F0" w:rsidP="00FA34F0">
      <w:pPr>
        <w:pStyle w:val="Titolo2"/>
        <w:tabs>
          <w:tab w:val="left" w:pos="567"/>
        </w:tabs>
        <w:spacing w:before="0" w:after="120"/>
        <w:jc w:val="both"/>
        <w:rPr>
          <w:rFonts w:eastAsia="Calibri" w:cs="Times New Roman"/>
          <w:sz w:val="24"/>
          <w:lang w:val="it-IT" w:eastAsia="it-IT"/>
        </w:rPr>
      </w:pPr>
      <w:r>
        <w:rPr>
          <w:rFonts w:eastAsia="Calibri" w:cs="Times New Roman"/>
          <w:sz w:val="24"/>
          <w:lang w:val="it-IT" w:eastAsia="it-IT"/>
        </w:rPr>
        <w:t>2.1</w:t>
      </w:r>
      <w:r>
        <w:rPr>
          <w:rFonts w:eastAsia="Calibri" w:cs="Times New Roman"/>
          <w:sz w:val="24"/>
          <w:lang w:val="it-IT" w:eastAsia="it-IT"/>
        </w:rPr>
        <w:tab/>
      </w:r>
      <w:r w:rsidR="00CA690D" w:rsidRPr="00CA690D">
        <w:rPr>
          <w:rFonts w:eastAsia="Calibri" w:cs="Times New Roman"/>
          <w:sz w:val="24"/>
          <w:lang w:val="it-IT" w:eastAsia="it-IT"/>
        </w:rPr>
        <w:t>Risultato di esercizio</w:t>
      </w:r>
    </w:p>
    <w:p w:rsidR="00CA690D" w:rsidRPr="00CA690D" w:rsidRDefault="00CA690D" w:rsidP="00CA690D">
      <w:pPr>
        <w:autoSpaceDE w:val="0"/>
        <w:autoSpaceDN w:val="0"/>
        <w:adjustRightInd w:val="0"/>
        <w:rPr>
          <w:rFonts w:eastAsia="Calibri" w:cs="Times New Roman"/>
          <w:sz w:val="24"/>
        </w:rPr>
      </w:pPr>
      <w:r w:rsidRPr="00CA690D">
        <w:rPr>
          <w:rFonts w:eastAsia="Calibri" w:cs="Times New Roman"/>
          <w:sz w:val="24"/>
        </w:rPr>
        <w:t>Come indicato, l’avanzo è pari a 3 milioni di franchi.</w:t>
      </w:r>
    </w:p>
    <w:p w:rsidR="00CA690D" w:rsidRPr="00CA690D" w:rsidRDefault="00CA690D" w:rsidP="00CA690D">
      <w:pPr>
        <w:autoSpaceDE w:val="0"/>
        <w:autoSpaceDN w:val="0"/>
        <w:adjustRightInd w:val="0"/>
        <w:rPr>
          <w:rFonts w:eastAsia="Calibri" w:cs="Times New Roman"/>
          <w:sz w:val="24"/>
        </w:rPr>
      </w:pPr>
    </w:p>
    <w:p w:rsidR="00CA690D" w:rsidRPr="00CA690D" w:rsidRDefault="00CA690D" w:rsidP="00CA690D">
      <w:pPr>
        <w:autoSpaceDE w:val="0"/>
        <w:autoSpaceDN w:val="0"/>
        <w:adjustRightInd w:val="0"/>
        <w:rPr>
          <w:rFonts w:eastAsia="Calibri" w:cs="Times New Roman"/>
          <w:sz w:val="24"/>
        </w:rPr>
      </w:pPr>
      <w:r w:rsidRPr="00CA690D">
        <w:rPr>
          <w:rFonts w:eastAsia="Calibri" w:cs="Times New Roman"/>
          <w:sz w:val="24"/>
        </w:rPr>
        <w:t xml:space="preserve">L’evoluzione economica è stata migliore rispetto a quanto previsto al momento della stesura del preventivo 2022, con una correzione al rialzo delle stime del PIL nominale per il Cantone. </w:t>
      </w:r>
    </w:p>
    <w:p w:rsidR="00CA690D" w:rsidRPr="00CA690D" w:rsidRDefault="00CA690D" w:rsidP="00CA690D">
      <w:pPr>
        <w:autoSpaceDE w:val="0"/>
        <w:autoSpaceDN w:val="0"/>
        <w:adjustRightInd w:val="0"/>
        <w:rPr>
          <w:rFonts w:eastAsia="Calibri" w:cs="Times New Roman"/>
          <w:sz w:val="24"/>
        </w:rPr>
      </w:pPr>
    </w:p>
    <w:p w:rsidR="00CA690D" w:rsidRPr="00CA690D" w:rsidRDefault="00CA690D" w:rsidP="00CA690D">
      <w:pPr>
        <w:autoSpaceDE w:val="0"/>
        <w:autoSpaceDN w:val="0"/>
        <w:adjustRightInd w:val="0"/>
        <w:rPr>
          <w:rFonts w:eastAsia="Calibri" w:cs="Times New Roman"/>
          <w:sz w:val="24"/>
        </w:rPr>
      </w:pPr>
      <w:r w:rsidRPr="00CA690D">
        <w:rPr>
          <w:rFonts w:eastAsia="Calibri" w:cs="Arial"/>
          <w:noProof/>
          <w:color w:val="000000"/>
          <w:sz w:val="24"/>
          <w:szCs w:val="24"/>
          <w:lang w:eastAsia="it-CH"/>
        </w:rPr>
        <w:drawing>
          <wp:inline distT="0" distB="0" distL="0" distR="0" wp14:anchorId="48E215E5" wp14:editId="246EC2AB">
            <wp:extent cx="6000115" cy="2860688"/>
            <wp:effectExtent l="19050" t="19050" r="19685" b="15875"/>
            <wp:docPr id="38" name="Immagine 38" descr="Immagine che contiene testo, schermat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magine 38" descr="Immagine che contiene testo, schermata, Carattere, numero&#10;&#10;Descrizione generata automa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7834" cy="2869136"/>
                    </a:xfrm>
                    <a:prstGeom prst="rect">
                      <a:avLst/>
                    </a:prstGeom>
                    <a:noFill/>
                    <a:ln>
                      <a:solidFill>
                        <a:sysClr val="windowText" lastClr="000000"/>
                      </a:solidFill>
                    </a:ln>
                  </pic:spPr>
                </pic:pic>
              </a:graphicData>
            </a:graphic>
          </wp:inline>
        </w:drawing>
      </w:r>
    </w:p>
    <w:p w:rsidR="00CA690D" w:rsidRPr="00CA690D" w:rsidRDefault="00CA690D" w:rsidP="00CA690D">
      <w:pPr>
        <w:autoSpaceDE w:val="0"/>
        <w:autoSpaceDN w:val="0"/>
        <w:adjustRightInd w:val="0"/>
        <w:rPr>
          <w:rFonts w:eastAsia="Calibri" w:cs="Times New Roman"/>
          <w:sz w:val="24"/>
        </w:rPr>
      </w:pPr>
    </w:p>
    <w:p w:rsidR="00CA690D" w:rsidRPr="00CA690D" w:rsidRDefault="00CA690D" w:rsidP="00CA690D">
      <w:pPr>
        <w:autoSpaceDE w:val="0"/>
        <w:autoSpaceDN w:val="0"/>
        <w:adjustRightInd w:val="0"/>
        <w:rPr>
          <w:rFonts w:eastAsia="Calibri" w:cs="Times New Roman"/>
          <w:sz w:val="24"/>
        </w:rPr>
      </w:pPr>
      <w:r w:rsidRPr="00CA690D">
        <w:rPr>
          <w:rFonts w:eastAsia="Calibri" w:cs="Times New Roman"/>
          <w:sz w:val="24"/>
        </w:rPr>
        <w:t>Rileviamo che il preventivo 2022 è stato presentato nel mese di settembre 2021, in un momento molto incerto per quanto riguarda l’evoluzione economica: se da un lato le previsioni parlavano di una ripresa economica, dall’altro, tale crescita non era considerata tale da compensare le perdite subite a causa della pandemia.</w:t>
      </w:r>
    </w:p>
    <w:p w:rsidR="00CA690D" w:rsidRPr="00CA690D" w:rsidRDefault="00CA690D" w:rsidP="00CA690D">
      <w:pPr>
        <w:autoSpaceDE w:val="0"/>
        <w:autoSpaceDN w:val="0"/>
        <w:adjustRightInd w:val="0"/>
        <w:rPr>
          <w:rFonts w:eastAsia="Calibri" w:cs="Times New Roman"/>
          <w:sz w:val="24"/>
        </w:rPr>
      </w:pPr>
    </w:p>
    <w:p w:rsidR="00CA690D" w:rsidRPr="00CA690D" w:rsidRDefault="00CA690D" w:rsidP="00CA690D">
      <w:pPr>
        <w:autoSpaceDE w:val="0"/>
        <w:autoSpaceDN w:val="0"/>
        <w:adjustRightInd w:val="0"/>
        <w:rPr>
          <w:rFonts w:eastAsia="Calibri" w:cs="Times New Roman"/>
          <w:sz w:val="24"/>
        </w:rPr>
      </w:pPr>
      <w:r w:rsidRPr="00CA690D">
        <w:rPr>
          <w:rFonts w:eastAsia="Calibri" w:cs="Times New Roman"/>
          <w:sz w:val="24"/>
        </w:rPr>
        <w:t>Il miglior andamento dell’economia cantonale ha contribuito a migliorare il risultato dei conti 2022. Questa tendenza al miglioramento dei conti 2022 rispetto a quanto preventivato è stata riscontrata in tutti i Cantoni.</w:t>
      </w:r>
    </w:p>
    <w:p w:rsidR="00CA690D" w:rsidRPr="00CA690D" w:rsidRDefault="00CA690D" w:rsidP="00CA690D">
      <w:pPr>
        <w:autoSpaceDE w:val="0"/>
        <w:autoSpaceDN w:val="0"/>
        <w:adjustRightInd w:val="0"/>
        <w:rPr>
          <w:rFonts w:eastAsia="Calibri" w:cs="Times New Roman"/>
          <w:sz w:val="24"/>
        </w:rPr>
      </w:pPr>
    </w:p>
    <w:p w:rsidR="00CA690D" w:rsidRPr="00CA690D" w:rsidRDefault="00CA690D" w:rsidP="00CA690D">
      <w:pPr>
        <w:autoSpaceDE w:val="0"/>
        <w:autoSpaceDN w:val="0"/>
        <w:adjustRightInd w:val="0"/>
        <w:rPr>
          <w:rFonts w:eastAsia="Calibri" w:cs="Times New Roman"/>
          <w:sz w:val="24"/>
        </w:rPr>
      </w:pPr>
      <w:r w:rsidRPr="00CA690D">
        <w:rPr>
          <w:rFonts w:eastAsia="Calibri" w:cs="Times New Roman"/>
          <w:noProof/>
          <w:sz w:val="24"/>
          <w:lang w:eastAsia="it-CH"/>
        </w:rPr>
        <w:lastRenderedPageBreak/>
        <w:drawing>
          <wp:inline distT="0" distB="0" distL="0" distR="0" wp14:anchorId="482ED0BE" wp14:editId="470AF2D2">
            <wp:extent cx="6203950" cy="3489722"/>
            <wp:effectExtent l="0" t="0" r="6350" b="0"/>
            <wp:docPr id="1" name="Immagine 1" descr="Immagine che contiene testo, schermat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 schermata, Carattere, numero&#10;&#10;Descrizione generata automaticamente"/>
                    <pic:cNvPicPr/>
                  </pic:nvPicPr>
                  <pic:blipFill>
                    <a:blip r:embed="rId13"/>
                    <a:stretch>
                      <a:fillRect/>
                    </a:stretch>
                  </pic:blipFill>
                  <pic:spPr>
                    <a:xfrm>
                      <a:off x="0" y="0"/>
                      <a:ext cx="6212939" cy="3494779"/>
                    </a:xfrm>
                    <a:prstGeom prst="rect">
                      <a:avLst/>
                    </a:prstGeom>
                  </pic:spPr>
                </pic:pic>
              </a:graphicData>
            </a:graphic>
          </wp:inline>
        </w:drawing>
      </w:r>
    </w:p>
    <w:p w:rsidR="00CA690D" w:rsidRPr="00CA690D" w:rsidRDefault="00CA690D" w:rsidP="00CA690D">
      <w:pPr>
        <w:autoSpaceDE w:val="0"/>
        <w:autoSpaceDN w:val="0"/>
        <w:adjustRightInd w:val="0"/>
        <w:rPr>
          <w:rFonts w:eastAsia="Calibri" w:cs="Times New Roman"/>
          <w:sz w:val="24"/>
        </w:rPr>
      </w:pPr>
    </w:p>
    <w:p w:rsidR="00CA690D" w:rsidRPr="00CA690D" w:rsidRDefault="00CA690D" w:rsidP="00CA690D">
      <w:pPr>
        <w:autoSpaceDE w:val="0"/>
        <w:autoSpaceDN w:val="0"/>
        <w:adjustRightInd w:val="0"/>
        <w:rPr>
          <w:rFonts w:eastAsia="Calibri" w:cs="Times New Roman"/>
          <w:sz w:val="24"/>
        </w:rPr>
      </w:pPr>
    </w:p>
    <w:p w:rsidR="00CA690D" w:rsidRPr="00CA690D" w:rsidRDefault="00CA690D" w:rsidP="00CA690D">
      <w:pPr>
        <w:autoSpaceDE w:val="0"/>
        <w:autoSpaceDN w:val="0"/>
        <w:adjustRightInd w:val="0"/>
        <w:rPr>
          <w:rFonts w:eastAsia="Calibri" w:cs="Times New Roman"/>
          <w:sz w:val="24"/>
        </w:rPr>
      </w:pPr>
      <w:r w:rsidRPr="00CA690D">
        <w:rPr>
          <w:rFonts w:eastAsia="Calibri" w:cs="Times New Roman"/>
          <w:sz w:val="24"/>
        </w:rPr>
        <w:t xml:space="preserve">Rispetto al preventivo, le spese totali sono superiori di 46.8 milioni di franchi (+1.1%), principalmente a seguito dell’aumento di 28.3 milioni di spese per bene servizi (in parte compensate dalla Confederazione, come le spese sostenute per la gestione dei centri richiedenti asilo ucraini, e in parte legate a fattori contingenti come l’emergenza sanitaria e l’aumento dei costi energetici), alla crescita dei versamenti a fondi e finanziamenti speciali (+14.7 milioni) e all’aumento delle spese per ammortamenti (13.4 milioni) a seguito dell’eccezionale livello di investimenti realizzati nel 2022, superiori di 51.1 milioni rispetto al preventivo. </w:t>
      </w:r>
    </w:p>
    <w:p w:rsidR="00CA690D" w:rsidRPr="00CA690D" w:rsidRDefault="00CA690D" w:rsidP="00CA690D">
      <w:pPr>
        <w:autoSpaceDE w:val="0"/>
        <w:autoSpaceDN w:val="0"/>
        <w:adjustRightInd w:val="0"/>
        <w:rPr>
          <w:rFonts w:eastAsia="Calibri" w:cs="Arial"/>
          <w:color w:val="000000"/>
          <w:sz w:val="24"/>
          <w:szCs w:val="24"/>
          <w:lang w:eastAsia="it-CH"/>
        </w:rPr>
      </w:pPr>
    </w:p>
    <w:p w:rsidR="00CA690D" w:rsidRPr="00CA690D" w:rsidRDefault="00CA690D" w:rsidP="00CA690D">
      <w:pPr>
        <w:autoSpaceDE w:val="0"/>
        <w:autoSpaceDN w:val="0"/>
        <w:adjustRightInd w:val="0"/>
        <w:rPr>
          <w:rFonts w:eastAsia="Calibri" w:cs="Arial"/>
          <w:color w:val="000000"/>
          <w:sz w:val="24"/>
          <w:szCs w:val="24"/>
          <w:lang w:eastAsia="it-CH"/>
        </w:rPr>
      </w:pPr>
      <w:r w:rsidRPr="00CA690D">
        <w:rPr>
          <w:rFonts w:eastAsia="Calibri" w:cs="Arial"/>
          <w:color w:val="000000"/>
          <w:sz w:val="24"/>
          <w:szCs w:val="24"/>
          <w:lang w:eastAsia="it-CH"/>
        </w:rPr>
        <w:t xml:space="preserve">I ricavi sono risultati superiori al preventivo per 184.6 milioni di franchi (+4.6%), principalmente a seguito dell’incremento dei ricavi fiscali per 125.4 milioni e della crescita delle regalie dovuta soprattutto al versamento di 162.6 milioni di franchi da parte della Banca nazionale svizzera, a fronte di un preventivo di 137 milioni. </w:t>
      </w:r>
    </w:p>
    <w:p w:rsidR="00CA690D" w:rsidRPr="00CA690D" w:rsidRDefault="00CA690D" w:rsidP="00CA690D">
      <w:pPr>
        <w:autoSpaceDE w:val="0"/>
        <w:autoSpaceDN w:val="0"/>
        <w:adjustRightInd w:val="0"/>
        <w:rPr>
          <w:rFonts w:eastAsia="Calibri" w:cs="Times New Roman"/>
          <w:sz w:val="24"/>
        </w:rPr>
      </w:pPr>
    </w:p>
    <w:p w:rsidR="00CA690D" w:rsidRPr="00CA690D" w:rsidRDefault="00CA690D" w:rsidP="00CA690D">
      <w:pPr>
        <w:autoSpaceDE w:val="0"/>
        <w:autoSpaceDN w:val="0"/>
        <w:adjustRightInd w:val="0"/>
        <w:rPr>
          <w:rFonts w:eastAsia="Calibri" w:cs="Arial"/>
          <w:color w:val="000000"/>
          <w:sz w:val="24"/>
          <w:szCs w:val="24"/>
          <w:lang w:eastAsia="it-CH"/>
        </w:rPr>
      </w:pPr>
      <w:r w:rsidRPr="00CA690D">
        <w:rPr>
          <w:rFonts w:eastAsia="Calibri" w:cs="Arial"/>
          <w:color w:val="000000"/>
          <w:sz w:val="24"/>
          <w:szCs w:val="24"/>
          <w:lang w:eastAsia="it-CH"/>
        </w:rPr>
        <w:t>La seguente tabella mostra i risultati di conto economico dal C2021 al C2022, mentre il grafico che segue illustra i risultati di esercizio dal 2001 al 2022.</w:t>
      </w:r>
    </w:p>
    <w:p w:rsidR="00CA690D" w:rsidRPr="00CA690D" w:rsidRDefault="00CA690D" w:rsidP="00CA690D">
      <w:pPr>
        <w:autoSpaceDE w:val="0"/>
        <w:autoSpaceDN w:val="0"/>
        <w:adjustRightInd w:val="0"/>
        <w:rPr>
          <w:rFonts w:eastAsia="Calibri" w:cs="Arial"/>
          <w:color w:val="000000"/>
          <w:sz w:val="24"/>
          <w:szCs w:val="24"/>
          <w:lang w:eastAsia="it-CH"/>
        </w:rPr>
      </w:pPr>
    </w:p>
    <w:p w:rsidR="00CA690D" w:rsidRPr="00CA690D" w:rsidRDefault="00CA690D" w:rsidP="00CA690D">
      <w:pPr>
        <w:autoSpaceDE w:val="0"/>
        <w:autoSpaceDN w:val="0"/>
        <w:adjustRightInd w:val="0"/>
        <w:rPr>
          <w:rFonts w:eastAsia="Calibri" w:cs="Arial"/>
          <w:color w:val="000000"/>
          <w:sz w:val="24"/>
          <w:szCs w:val="24"/>
          <w:lang w:eastAsia="it-CH"/>
        </w:rPr>
      </w:pPr>
    </w:p>
    <w:p w:rsidR="00CA690D" w:rsidRPr="00CA690D" w:rsidRDefault="00CA690D" w:rsidP="00CA690D">
      <w:pPr>
        <w:autoSpaceDE w:val="0"/>
        <w:autoSpaceDN w:val="0"/>
        <w:adjustRightInd w:val="0"/>
        <w:rPr>
          <w:rFonts w:eastAsia="Calibri" w:cs="Arial"/>
          <w:color w:val="000000"/>
          <w:sz w:val="24"/>
          <w:szCs w:val="24"/>
          <w:lang w:eastAsia="it-CH"/>
        </w:rPr>
      </w:pPr>
    </w:p>
    <w:p w:rsidR="00CA690D" w:rsidRPr="00CA690D" w:rsidRDefault="00CA690D" w:rsidP="00CA690D">
      <w:pPr>
        <w:autoSpaceDE w:val="0"/>
        <w:autoSpaceDN w:val="0"/>
        <w:adjustRightInd w:val="0"/>
        <w:rPr>
          <w:rFonts w:eastAsia="Calibri" w:cs="Arial"/>
          <w:color w:val="000000"/>
          <w:sz w:val="24"/>
          <w:szCs w:val="24"/>
          <w:lang w:eastAsia="it-CH"/>
        </w:rPr>
      </w:pPr>
    </w:p>
    <w:p w:rsidR="00CA690D" w:rsidRPr="00CA690D" w:rsidRDefault="00CA690D" w:rsidP="00CA690D">
      <w:pPr>
        <w:autoSpaceDE w:val="0"/>
        <w:autoSpaceDN w:val="0"/>
        <w:adjustRightInd w:val="0"/>
        <w:rPr>
          <w:rFonts w:eastAsia="Calibri" w:cs="Arial"/>
          <w:color w:val="000000"/>
          <w:sz w:val="24"/>
          <w:szCs w:val="24"/>
          <w:lang w:eastAsia="it-CH"/>
        </w:rPr>
      </w:pPr>
    </w:p>
    <w:p w:rsidR="00CA690D" w:rsidRPr="00CA690D" w:rsidRDefault="00CA690D" w:rsidP="00CA690D">
      <w:pPr>
        <w:autoSpaceDE w:val="0"/>
        <w:autoSpaceDN w:val="0"/>
        <w:adjustRightInd w:val="0"/>
        <w:rPr>
          <w:rFonts w:eastAsia="Calibri" w:cs="Arial"/>
          <w:color w:val="000000"/>
          <w:sz w:val="24"/>
          <w:szCs w:val="24"/>
          <w:lang w:eastAsia="it-CH"/>
        </w:rPr>
      </w:pPr>
    </w:p>
    <w:p w:rsidR="00CA690D" w:rsidRPr="00CA690D" w:rsidRDefault="00CA690D" w:rsidP="00CA690D">
      <w:pPr>
        <w:autoSpaceDE w:val="0"/>
        <w:autoSpaceDN w:val="0"/>
        <w:adjustRightInd w:val="0"/>
        <w:rPr>
          <w:rFonts w:eastAsia="Calibri" w:cs="Arial"/>
          <w:color w:val="000000"/>
          <w:sz w:val="24"/>
          <w:szCs w:val="24"/>
          <w:lang w:eastAsia="it-CH"/>
        </w:rPr>
      </w:pPr>
    </w:p>
    <w:p w:rsidR="00CA690D" w:rsidRPr="00CA690D" w:rsidRDefault="00CA690D" w:rsidP="00CA690D">
      <w:pPr>
        <w:autoSpaceDE w:val="0"/>
        <w:autoSpaceDN w:val="0"/>
        <w:adjustRightInd w:val="0"/>
        <w:rPr>
          <w:rFonts w:eastAsia="Calibri" w:cs="Arial"/>
          <w:color w:val="000000"/>
          <w:sz w:val="24"/>
          <w:szCs w:val="24"/>
          <w:lang w:eastAsia="it-CH"/>
        </w:rPr>
      </w:pPr>
    </w:p>
    <w:p w:rsidR="00CA690D" w:rsidRPr="00CA690D" w:rsidRDefault="00CA690D" w:rsidP="00CA690D">
      <w:pPr>
        <w:autoSpaceDE w:val="0"/>
        <w:autoSpaceDN w:val="0"/>
        <w:adjustRightInd w:val="0"/>
        <w:rPr>
          <w:rFonts w:eastAsia="Calibri" w:cs="Arial"/>
          <w:color w:val="000000"/>
          <w:sz w:val="24"/>
          <w:szCs w:val="24"/>
          <w:lang w:eastAsia="it-CH"/>
        </w:rPr>
      </w:pPr>
    </w:p>
    <w:p w:rsidR="00CA690D" w:rsidRPr="00CA690D" w:rsidRDefault="00CA690D" w:rsidP="00CA690D">
      <w:pPr>
        <w:autoSpaceDE w:val="0"/>
        <w:autoSpaceDN w:val="0"/>
        <w:adjustRightInd w:val="0"/>
        <w:rPr>
          <w:rFonts w:eastAsia="Calibri" w:cs="Arial"/>
          <w:color w:val="000000"/>
          <w:sz w:val="24"/>
          <w:szCs w:val="24"/>
          <w:lang w:eastAsia="it-CH"/>
        </w:rPr>
      </w:pPr>
    </w:p>
    <w:p w:rsidR="00CA690D" w:rsidRPr="00CA690D" w:rsidRDefault="00CA690D" w:rsidP="00CA690D">
      <w:pPr>
        <w:autoSpaceDE w:val="0"/>
        <w:autoSpaceDN w:val="0"/>
        <w:adjustRightInd w:val="0"/>
        <w:rPr>
          <w:rFonts w:eastAsia="Calibri" w:cs="Arial"/>
          <w:color w:val="000000"/>
          <w:sz w:val="24"/>
          <w:szCs w:val="24"/>
          <w:lang w:eastAsia="it-CH"/>
        </w:rPr>
      </w:pPr>
    </w:p>
    <w:p w:rsidR="00CA690D" w:rsidRPr="00CA690D" w:rsidRDefault="00CA690D" w:rsidP="00CA690D">
      <w:pPr>
        <w:autoSpaceDE w:val="0"/>
        <w:autoSpaceDN w:val="0"/>
        <w:adjustRightInd w:val="0"/>
        <w:rPr>
          <w:rFonts w:eastAsia="Calibri" w:cs="Arial"/>
          <w:color w:val="000000"/>
          <w:sz w:val="24"/>
          <w:szCs w:val="24"/>
          <w:lang w:eastAsia="it-CH"/>
        </w:rPr>
      </w:pPr>
    </w:p>
    <w:tbl>
      <w:tblPr>
        <w:tblStyle w:val="Stile23"/>
        <w:tblW w:w="4887" w:type="pct"/>
        <w:tblInd w:w="108" w:type="dxa"/>
        <w:tblLayout w:type="fixed"/>
        <w:tblLook w:val="04A0" w:firstRow="1" w:lastRow="0" w:firstColumn="1" w:lastColumn="0" w:noHBand="0" w:noVBand="1"/>
      </w:tblPr>
      <w:tblGrid>
        <w:gridCol w:w="4195"/>
        <w:gridCol w:w="1269"/>
        <w:gridCol w:w="1269"/>
        <w:gridCol w:w="1269"/>
        <w:gridCol w:w="1269"/>
      </w:tblGrid>
      <w:tr w:rsidR="00CA690D" w:rsidRPr="00CA690D" w:rsidTr="00BD1D71">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4132" w:type="dxa"/>
            <w:noWrap/>
            <w:vAlign w:val="bottom"/>
            <w:hideMark/>
          </w:tcPr>
          <w:p w:rsidR="00CA690D" w:rsidRPr="00CA690D" w:rsidRDefault="00CA690D" w:rsidP="00CA690D">
            <w:pPr>
              <w:rPr>
                <w:rFonts w:ascii="Gill Sans" w:eastAsia="Calibri" w:hAnsi="Gill Sans" w:cs="Times New Roman"/>
                <w:sz w:val="12"/>
                <w:szCs w:val="12"/>
              </w:rPr>
            </w:pPr>
            <w:r w:rsidRPr="00CA690D">
              <w:rPr>
                <w:rFonts w:ascii="Gill Sans" w:eastAsia="Calibri" w:hAnsi="Gill Sans" w:cs="Times New Roman"/>
                <w:sz w:val="12"/>
                <w:szCs w:val="12"/>
              </w:rPr>
              <w:t>Importi in milioni di CHF</w:t>
            </w:r>
          </w:p>
        </w:tc>
        <w:tc>
          <w:tcPr>
            <w:tcW w:w="1250" w:type="dxa"/>
            <w:noWrap/>
            <w:vAlign w:val="bottom"/>
            <w:hideMark/>
          </w:tcPr>
          <w:p w:rsidR="00CA690D" w:rsidRPr="00CA690D" w:rsidRDefault="00CA690D" w:rsidP="00CA690D">
            <w:pPr>
              <w:jc w:val="right"/>
              <w:cnfStyle w:val="100000000000" w:firstRow="1" w:lastRow="0" w:firstColumn="0" w:lastColumn="0" w:oddVBand="0" w:evenVBand="0" w:oddHBand="0" w:evenHBand="0" w:firstRowFirstColumn="0" w:firstRowLastColumn="0" w:lastRowFirstColumn="0" w:lastRowLastColumn="0"/>
              <w:rPr>
                <w:rFonts w:ascii="Gill Sans" w:eastAsia="Calibri" w:hAnsi="Gill Sans" w:cs="Times New Roman"/>
                <w:b/>
                <w:sz w:val="12"/>
                <w:szCs w:val="12"/>
              </w:rPr>
            </w:pPr>
            <w:r w:rsidRPr="00CA690D">
              <w:rPr>
                <w:rFonts w:ascii="Gill Sans" w:eastAsia="Calibri" w:hAnsi="Gill Sans" w:cs="Times New Roman"/>
                <w:b/>
                <w:sz w:val="12"/>
                <w:szCs w:val="12"/>
              </w:rPr>
              <w:t>C2021</w:t>
            </w:r>
          </w:p>
        </w:tc>
        <w:tc>
          <w:tcPr>
            <w:tcW w:w="1250" w:type="dxa"/>
            <w:noWrap/>
            <w:vAlign w:val="bottom"/>
            <w:hideMark/>
          </w:tcPr>
          <w:p w:rsidR="00CA690D" w:rsidRPr="00CA690D" w:rsidRDefault="00CA690D" w:rsidP="00CA690D">
            <w:pPr>
              <w:jc w:val="right"/>
              <w:cnfStyle w:val="100000000000" w:firstRow="1" w:lastRow="0" w:firstColumn="0" w:lastColumn="0" w:oddVBand="0" w:evenVBand="0" w:oddHBand="0" w:evenHBand="0" w:firstRowFirstColumn="0" w:firstRowLastColumn="0" w:lastRowFirstColumn="0" w:lastRowLastColumn="0"/>
              <w:rPr>
                <w:rFonts w:ascii="Gill Sans" w:eastAsia="Calibri" w:hAnsi="Gill Sans" w:cs="Times New Roman"/>
                <w:b/>
                <w:sz w:val="12"/>
                <w:szCs w:val="12"/>
              </w:rPr>
            </w:pPr>
            <w:r w:rsidRPr="00CA690D">
              <w:rPr>
                <w:rFonts w:ascii="Gill Sans" w:eastAsia="Calibri" w:hAnsi="Gill Sans" w:cs="Times New Roman"/>
                <w:b/>
                <w:sz w:val="12"/>
                <w:szCs w:val="12"/>
              </w:rPr>
              <w:t>P2022</w:t>
            </w:r>
          </w:p>
        </w:tc>
        <w:tc>
          <w:tcPr>
            <w:tcW w:w="1250" w:type="dxa"/>
            <w:shd w:val="clear" w:color="auto" w:fill="FABF8F"/>
            <w:noWrap/>
            <w:vAlign w:val="bottom"/>
            <w:hideMark/>
          </w:tcPr>
          <w:p w:rsidR="00CA690D" w:rsidRPr="00CA690D" w:rsidRDefault="00CA690D" w:rsidP="00CA690D">
            <w:pPr>
              <w:jc w:val="right"/>
              <w:cnfStyle w:val="100000000000" w:firstRow="1" w:lastRow="0" w:firstColumn="0" w:lastColumn="0" w:oddVBand="0" w:evenVBand="0" w:oddHBand="0" w:evenHBand="0" w:firstRowFirstColumn="0" w:firstRowLastColumn="0" w:lastRowFirstColumn="0" w:lastRowLastColumn="0"/>
              <w:rPr>
                <w:rFonts w:ascii="Gill Sans" w:eastAsia="Calibri" w:hAnsi="Gill Sans" w:cs="Times New Roman"/>
                <w:b/>
                <w:sz w:val="12"/>
                <w:szCs w:val="12"/>
              </w:rPr>
            </w:pPr>
            <w:r w:rsidRPr="00CA690D">
              <w:rPr>
                <w:rFonts w:ascii="Gill Sans" w:eastAsia="Calibri" w:hAnsi="Gill Sans" w:cs="Times New Roman"/>
                <w:b/>
                <w:sz w:val="12"/>
                <w:szCs w:val="12"/>
              </w:rPr>
              <w:t>C2022</w:t>
            </w:r>
          </w:p>
        </w:tc>
        <w:tc>
          <w:tcPr>
            <w:tcW w:w="1250" w:type="dxa"/>
            <w:shd w:val="clear" w:color="auto" w:fill="FBD4B4"/>
            <w:noWrap/>
            <w:vAlign w:val="bottom"/>
            <w:hideMark/>
          </w:tcPr>
          <w:p w:rsidR="00CA690D" w:rsidRPr="00CA690D" w:rsidRDefault="00CA690D" w:rsidP="00CA690D">
            <w:pPr>
              <w:jc w:val="right"/>
              <w:cnfStyle w:val="100000000000" w:firstRow="1" w:lastRow="0" w:firstColumn="0" w:lastColumn="0" w:oddVBand="0" w:evenVBand="0" w:oddHBand="0" w:evenHBand="0" w:firstRowFirstColumn="0" w:firstRowLastColumn="0" w:lastRowFirstColumn="0" w:lastRowLastColumn="0"/>
              <w:rPr>
                <w:rFonts w:ascii="Gill Sans" w:eastAsia="Calibri" w:hAnsi="Gill Sans" w:cs="Times New Roman"/>
                <w:b/>
                <w:color w:val="FF0000"/>
                <w:sz w:val="12"/>
                <w:szCs w:val="12"/>
              </w:rPr>
            </w:pPr>
            <w:r w:rsidRPr="00CA690D">
              <w:rPr>
                <w:rFonts w:ascii="Gill Sans" w:eastAsia="Calibri" w:hAnsi="Gill Sans" w:cs="Times New Roman"/>
                <w:b/>
                <w:sz w:val="12"/>
                <w:szCs w:val="12"/>
              </w:rPr>
              <w:t>Var C22 – P22</w:t>
            </w:r>
          </w:p>
        </w:tc>
      </w:tr>
      <w:tr w:rsidR="00CA690D" w:rsidRPr="00CA690D" w:rsidTr="00BD1D71">
        <w:trPr>
          <w:trHeight w:val="159"/>
        </w:trPr>
        <w:tc>
          <w:tcPr>
            <w:cnfStyle w:val="001000000000" w:firstRow="0" w:lastRow="0" w:firstColumn="1" w:lastColumn="0" w:oddVBand="0" w:evenVBand="0" w:oddHBand="0" w:evenHBand="0" w:firstRowFirstColumn="0" w:firstRowLastColumn="0" w:lastRowFirstColumn="0" w:lastRowLastColumn="0"/>
            <w:tcW w:w="4132" w:type="dxa"/>
            <w:hideMark/>
          </w:tcPr>
          <w:p w:rsidR="00CA690D" w:rsidRPr="00CA690D" w:rsidRDefault="00CA690D" w:rsidP="00CA690D">
            <w:pPr>
              <w:rPr>
                <w:rFonts w:ascii="Gill Sans" w:eastAsia="Calibri" w:hAnsi="Gill Sans" w:cs="Times New Roman"/>
                <w:sz w:val="16"/>
                <w:szCs w:val="16"/>
              </w:rPr>
            </w:pPr>
            <w:r w:rsidRPr="00CA690D">
              <w:rPr>
                <w:rFonts w:ascii="Gill Sans" w:eastAsia="Calibri" w:hAnsi="Gill Sans" w:cs="Times New Roman"/>
                <w:sz w:val="16"/>
                <w:szCs w:val="16"/>
              </w:rPr>
              <w:t>Conto economico</w:t>
            </w:r>
          </w:p>
        </w:tc>
        <w:tc>
          <w:tcPr>
            <w:tcW w:w="1250" w:type="dxa"/>
            <w:noWrap/>
            <w:hideMark/>
          </w:tcPr>
          <w:p w:rsidR="00CA690D" w:rsidRPr="00CA690D" w:rsidRDefault="00CA690D" w:rsidP="00CA690D">
            <w:pPr>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p>
        </w:tc>
        <w:tc>
          <w:tcPr>
            <w:tcW w:w="1250" w:type="dxa"/>
            <w:noWrap/>
            <w:hideMark/>
          </w:tcPr>
          <w:p w:rsidR="00CA690D" w:rsidRPr="00CA690D" w:rsidRDefault="00CA690D" w:rsidP="00CA690D">
            <w:pPr>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p>
        </w:tc>
        <w:tc>
          <w:tcPr>
            <w:tcW w:w="1250" w:type="dxa"/>
            <w:shd w:val="clear" w:color="auto" w:fill="FABF8F"/>
            <w:noWrap/>
            <w:hideMark/>
          </w:tcPr>
          <w:p w:rsidR="00CA690D" w:rsidRPr="00CA690D" w:rsidRDefault="00CA690D" w:rsidP="00CA690D">
            <w:pPr>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8"/>
              </w:rPr>
            </w:pPr>
          </w:p>
        </w:tc>
        <w:tc>
          <w:tcPr>
            <w:tcW w:w="1250" w:type="dxa"/>
            <w:shd w:val="clear" w:color="auto" w:fill="FBD4B4"/>
            <w:noWrap/>
            <w:hideMark/>
          </w:tcPr>
          <w:p w:rsidR="00CA690D" w:rsidRPr="00CA690D" w:rsidRDefault="00CA690D" w:rsidP="00CA690D">
            <w:pPr>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8"/>
              </w:rPr>
            </w:pPr>
          </w:p>
        </w:tc>
      </w:tr>
      <w:tr w:rsidR="00CA690D" w:rsidRPr="00CA690D" w:rsidTr="00BD1D71">
        <w:trPr>
          <w:trHeight w:val="72"/>
        </w:trPr>
        <w:tc>
          <w:tcPr>
            <w:cnfStyle w:val="001000000000" w:firstRow="0" w:lastRow="0" w:firstColumn="1" w:lastColumn="0" w:oddVBand="0" w:evenVBand="0" w:oddHBand="0" w:evenHBand="0" w:firstRowFirstColumn="0" w:firstRowLastColumn="0" w:lastRowFirstColumn="0" w:lastRowLastColumn="0"/>
            <w:tcW w:w="4132" w:type="dxa"/>
            <w:hideMark/>
          </w:tcPr>
          <w:p w:rsidR="00CA690D" w:rsidRPr="00CA690D" w:rsidRDefault="00CA690D" w:rsidP="00CA690D">
            <w:pPr>
              <w:rPr>
                <w:rFonts w:ascii="Gill Sans" w:eastAsia="Calibri" w:hAnsi="Gill Sans" w:cs="Times New Roman"/>
                <w:sz w:val="16"/>
                <w:szCs w:val="16"/>
              </w:rPr>
            </w:pPr>
            <w:r w:rsidRPr="00CA690D">
              <w:rPr>
                <w:rFonts w:ascii="Gill Sans" w:eastAsia="Calibri" w:hAnsi="Gill Sans" w:cs="Times New Roman"/>
                <w:sz w:val="16"/>
                <w:szCs w:val="16"/>
              </w:rPr>
              <w:t>Uscite correnti</w:t>
            </w:r>
          </w:p>
        </w:tc>
        <w:tc>
          <w:tcPr>
            <w:tcW w:w="1250" w:type="dxa"/>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r w:rsidRPr="00CA690D">
              <w:rPr>
                <w:rFonts w:ascii="Gill Sans" w:eastAsia="Calibri" w:hAnsi="Gill Sans" w:cs="Times New Roman"/>
                <w:sz w:val="16"/>
                <w:szCs w:val="16"/>
              </w:rPr>
              <w:t xml:space="preserve"> 3'607.2 </w:t>
            </w:r>
          </w:p>
        </w:tc>
        <w:tc>
          <w:tcPr>
            <w:tcW w:w="1250" w:type="dxa"/>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r w:rsidRPr="00CA690D">
              <w:rPr>
                <w:rFonts w:ascii="Gill Sans" w:eastAsia="Calibri" w:hAnsi="Gill Sans" w:cs="Calibri"/>
                <w:sz w:val="16"/>
                <w:szCs w:val="16"/>
              </w:rPr>
              <w:t xml:space="preserve">    3'589.5 </w:t>
            </w:r>
          </w:p>
        </w:tc>
        <w:tc>
          <w:tcPr>
            <w:tcW w:w="1250" w:type="dxa"/>
            <w:shd w:val="clear" w:color="auto" w:fill="FABF8F"/>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r w:rsidRPr="00CA690D">
              <w:rPr>
                <w:rFonts w:ascii="Gill Sans" w:eastAsia="Calibri" w:hAnsi="Gill Sans" w:cs="Calibri"/>
                <w:sz w:val="16"/>
                <w:szCs w:val="16"/>
              </w:rPr>
              <w:t xml:space="preserve">    3'570.1 </w:t>
            </w:r>
          </w:p>
        </w:tc>
        <w:tc>
          <w:tcPr>
            <w:tcW w:w="1250" w:type="dxa"/>
            <w:shd w:val="clear" w:color="auto" w:fill="FBD4B4"/>
            <w:noWrap/>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r w:rsidRPr="00CA690D">
              <w:rPr>
                <w:rFonts w:ascii="Gill Sans" w:eastAsia="Calibri" w:hAnsi="Gill Sans" w:cs="Times New Roman"/>
                <w:sz w:val="16"/>
                <w:szCs w:val="16"/>
              </w:rPr>
              <w:t xml:space="preserve"> -19.4 </w:t>
            </w:r>
          </w:p>
        </w:tc>
      </w:tr>
      <w:tr w:rsidR="00CA690D" w:rsidRPr="00CA690D" w:rsidTr="00BD1D71">
        <w:trPr>
          <w:trHeight w:val="163"/>
        </w:trPr>
        <w:tc>
          <w:tcPr>
            <w:cnfStyle w:val="001000000000" w:firstRow="0" w:lastRow="0" w:firstColumn="1" w:lastColumn="0" w:oddVBand="0" w:evenVBand="0" w:oddHBand="0" w:evenHBand="0" w:firstRowFirstColumn="0" w:firstRowLastColumn="0" w:lastRowFirstColumn="0" w:lastRowLastColumn="0"/>
            <w:tcW w:w="4132" w:type="dxa"/>
            <w:hideMark/>
          </w:tcPr>
          <w:p w:rsidR="00CA690D" w:rsidRPr="00CA690D" w:rsidRDefault="00CA690D" w:rsidP="00CA690D">
            <w:pPr>
              <w:rPr>
                <w:rFonts w:ascii="Gill Sans" w:eastAsia="Calibri" w:hAnsi="Gill Sans" w:cs="Times New Roman"/>
                <w:sz w:val="16"/>
                <w:szCs w:val="16"/>
              </w:rPr>
            </w:pPr>
            <w:r w:rsidRPr="00CA690D">
              <w:rPr>
                <w:rFonts w:ascii="Gill Sans" w:eastAsia="Calibri" w:hAnsi="Gill Sans" w:cs="Times New Roman"/>
                <w:sz w:val="16"/>
                <w:szCs w:val="16"/>
              </w:rPr>
              <w:t>Ammortamenti, rettifiche di valore e vers. a fondi</w:t>
            </w:r>
          </w:p>
        </w:tc>
        <w:tc>
          <w:tcPr>
            <w:tcW w:w="1250" w:type="dxa"/>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r w:rsidRPr="00CA690D">
              <w:rPr>
                <w:rFonts w:ascii="Gill Sans" w:eastAsia="Calibri" w:hAnsi="Gill Sans" w:cs="Times New Roman"/>
                <w:sz w:val="16"/>
                <w:szCs w:val="16"/>
              </w:rPr>
              <w:t xml:space="preserve"> 254.2 </w:t>
            </w:r>
          </w:p>
        </w:tc>
        <w:tc>
          <w:tcPr>
            <w:tcW w:w="1250" w:type="dxa"/>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r w:rsidRPr="00CA690D">
              <w:rPr>
                <w:rFonts w:ascii="Gill Sans" w:eastAsia="Calibri" w:hAnsi="Gill Sans" w:cs="Calibri"/>
                <w:sz w:val="16"/>
                <w:szCs w:val="16"/>
              </w:rPr>
              <w:t xml:space="preserve">       220.4 </w:t>
            </w:r>
          </w:p>
        </w:tc>
        <w:tc>
          <w:tcPr>
            <w:tcW w:w="1250" w:type="dxa"/>
            <w:shd w:val="clear" w:color="auto" w:fill="FABF8F"/>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r w:rsidRPr="00CA690D">
              <w:rPr>
                <w:rFonts w:ascii="Gill Sans" w:eastAsia="Calibri" w:hAnsi="Gill Sans" w:cs="Calibri"/>
                <w:sz w:val="16"/>
                <w:szCs w:val="16"/>
              </w:rPr>
              <w:t xml:space="preserve">       269.0 </w:t>
            </w:r>
          </w:p>
        </w:tc>
        <w:tc>
          <w:tcPr>
            <w:tcW w:w="1250" w:type="dxa"/>
            <w:shd w:val="clear" w:color="auto" w:fill="FBD4B4"/>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r w:rsidRPr="00CA690D">
              <w:rPr>
                <w:rFonts w:ascii="Gill Sans" w:eastAsia="Calibri" w:hAnsi="Gill Sans" w:cs="Times New Roman"/>
                <w:sz w:val="16"/>
                <w:szCs w:val="16"/>
              </w:rPr>
              <w:t xml:space="preserve">48.6 </w:t>
            </w:r>
          </w:p>
        </w:tc>
      </w:tr>
      <w:tr w:rsidR="00CA690D" w:rsidRPr="00CA690D" w:rsidTr="00BD1D71">
        <w:trPr>
          <w:trHeight w:val="126"/>
        </w:trPr>
        <w:tc>
          <w:tcPr>
            <w:cnfStyle w:val="001000000000" w:firstRow="0" w:lastRow="0" w:firstColumn="1" w:lastColumn="0" w:oddVBand="0" w:evenVBand="0" w:oddHBand="0" w:evenHBand="0" w:firstRowFirstColumn="0" w:firstRowLastColumn="0" w:lastRowFirstColumn="0" w:lastRowLastColumn="0"/>
            <w:tcW w:w="4132" w:type="dxa"/>
            <w:hideMark/>
          </w:tcPr>
          <w:p w:rsidR="00CA690D" w:rsidRPr="00CA690D" w:rsidRDefault="00CA690D" w:rsidP="00CA690D">
            <w:pPr>
              <w:rPr>
                <w:rFonts w:ascii="Gill Sans" w:eastAsia="Calibri" w:hAnsi="Gill Sans" w:cs="Times New Roman"/>
                <w:sz w:val="16"/>
                <w:szCs w:val="16"/>
              </w:rPr>
            </w:pPr>
            <w:r w:rsidRPr="00CA690D">
              <w:rPr>
                <w:rFonts w:ascii="Gill Sans" w:eastAsia="Calibri" w:hAnsi="Gill Sans" w:cs="Times New Roman"/>
                <w:sz w:val="16"/>
                <w:szCs w:val="16"/>
              </w:rPr>
              <w:t>Spese correnti</w:t>
            </w:r>
          </w:p>
        </w:tc>
        <w:tc>
          <w:tcPr>
            <w:tcW w:w="1250" w:type="dxa"/>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b/>
                <w:sz w:val="16"/>
                <w:szCs w:val="16"/>
              </w:rPr>
            </w:pPr>
            <w:r w:rsidRPr="00CA690D">
              <w:rPr>
                <w:rFonts w:ascii="Gill Sans" w:eastAsia="Calibri" w:hAnsi="Gill Sans" w:cs="Times New Roman"/>
                <w:b/>
                <w:sz w:val="16"/>
                <w:szCs w:val="16"/>
              </w:rPr>
              <w:t xml:space="preserve"> 3'861.4 </w:t>
            </w:r>
          </w:p>
        </w:tc>
        <w:tc>
          <w:tcPr>
            <w:tcW w:w="1250" w:type="dxa"/>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b/>
                <w:sz w:val="16"/>
                <w:szCs w:val="16"/>
              </w:rPr>
            </w:pPr>
            <w:r w:rsidRPr="00CA690D">
              <w:rPr>
                <w:rFonts w:ascii="Gill Sans" w:eastAsia="Calibri" w:hAnsi="Gill Sans" w:cs="Calibri"/>
                <w:b/>
                <w:bCs/>
                <w:sz w:val="16"/>
                <w:szCs w:val="16"/>
              </w:rPr>
              <w:t xml:space="preserve">  3'809.9 </w:t>
            </w:r>
          </w:p>
        </w:tc>
        <w:tc>
          <w:tcPr>
            <w:tcW w:w="1250" w:type="dxa"/>
            <w:shd w:val="clear" w:color="auto" w:fill="FABF8F"/>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b/>
                <w:sz w:val="16"/>
                <w:szCs w:val="16"/>
              </w:rPr>
            </w:pPr>
            <w:r w:rsidRPr="00CA690D">
              <w:rPr>
                <w:rFonts w:ascii="Gill Sans" w:eastAsia="Calibri" w:hAnsi="Gill Sans" w:cs="Calibri"/>
                <w:b/>
                <w:bCs/>
                <w:sz w:val="16"/>
                <w:szCs w:val="16"/>
              </w:rPr>
              <w:t xml:space="preserve">  3'839.1 </w:t>
            </w:r>
          </w:p>
        </w:tc>
        <w:tc>
          <w:tcPr>
            <w:tcW w:w="1250" w:type="dxa"/>
            <w:shd w:val="clear" w:color="auto" w:fill="FBD4B4"/>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b/>
                <w:sz w:val="16"/>
                <w:szCs w:val="16"/>
              </w:rPr>
            </w:pPr>
            <w:r w:rsidRPr="00CA690D">
              <w:rPr>
                <w:rFonts w:ascii="Gill Sans" w:eastAsia="Calibri" w:hAnsi="Gill Sans" w:cs="Times New Roman"/>
                <w:b/>
                <w:sz w:val="16"/>
                <w:szCs w:val="16"/>
              </w:rPr>
              <w:t xml:space="preserve"> 29.2 </w:t>
            </w:r>
          </w:p>
        </w:tc>
      </w:tr>
      <w:tr w:rsidR="00CA690D" w:rsidRPr="00CA690D" w:rsidTr="00BD1D71">
        <w:trPr>
          <w:trHeight w:val="141"/>
        </w:trPr>
        <w:tc>
          <w:tcPr>
            <w:cnfStyle w:val="001000000000" w:firstRow="0" w:lastRow="0" w:firstColumn="1" w:lastColumn="0" w:oddVBand="0" w:evenVBand="0" w:oddHBand="0" w:evenHBand="0" w:firstRowFirstColumn="0" w:firstRowLastColumn="0" w:lastRowFirstColumn="0" w:lastRowLastColumn="0"/>
            <w:tcW w:w="4132" w:type="dxa"/>
            <w:hideMark/>
          </w:tcPr>
          <w:p w:rsidR="00CA690D" w:rsidRPr="00CA690D" w:rsidRDefault="00CA690D" w:rsidP="00CA690D">
            <w:pPr>
              <w:rPr>
                <w:rFonts w:ascii="Gill Sans" w:eastAsia="Calibri" w:hAnsi="Gill Sans" w:cs="Times New Roman"/>
                <w:sz w:val="16"/>
                <w:szCs w:val="16"/>
              </w:rPr>
            </w:pPr>
            <w:r w:rsidRPr="00CA690D">
              <w:rPr>
                <w:rFonts w:ascii="Gill Sans" w:eastAsia="Calibri" w:hAnsi="Gill Sans" w:cs="Times New Roman"/>
                <w:sz w:val="16"/>
                <w:szCs w:val="16"/>
              </w:rPr>
              <w:t>Altre poste straordinarie e versamenti a cap. proprio</w:t>
            </w:r>
          </w:p>
        </w:tc>
        <w:tc>
          <w:tcPr>
            <w:tcW w:w="1250" w:type="dxa"/>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r w:rsidRPr="00CA690D">
              <w:rPr>
                <w:rFonts w:ascii="Gill Sans" w:eastAsia="Calibri" w:hAnsi="Gill Sans" w:cs="Times New Roman"/>
                <w:sz w:val="16"/>
                <w:szCs w:val="16"/>
              </w:rPr>
              <w:t xml:space="preserve"> 0.1 </w:t>
            </w:r>
          </w:p>
        </w:tc>
        <w:tc>
          <w:tcPr>
            <w:tcW w:w="1250" w:type="dxa"/>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r w:rsidRPr="00CA690D">
              <w:rPr>
                <w:rFonts w:ascii="Gill Sans" w:eastAsia="Calibri" w:hAnsi="Gill Sans" w:cs="Calibri"/>
                <w:sz w:val="16"/>
                <w:szCs w:val="16"/>
              </w:rPr>
              <w:t xml:space="preserve">            -   </w:t>
            </w:r>
          </w:p>
        </w:tc>
        <w:tc>
          <w:tcPr>
            <w:tcW w:w="1250" w:type="dxa"/>
            <w:shd w:val="clear" w:color="auto" w:fill="FABF8F"/>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r w:rsidRPr="00CA690D">
              <w:rPr>
                <w:rFonts w:ascii="Gill Sans" w:eastAsia="Calibri" w:hAnsi="Gill Sans" w:cs="Calibri"/>
                <w:sz w:val="16"/>
                <w:szCs w:val="16"/>
              </w:rPr>
              <w:t xml:space="preserve">           1.5 </w:t>
            </w:r>
          </w:p>
        </w:tc>
        <w:tc>
          <w:tcPr>
            <w:tcW w:w="1250" w:type="dxa"/>
            <w:shd w:val="clear" w:color="auto" w:fill="FBD4B4"/>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Calibri"/>
                <w:sz w:val="16"/>
                <w:szCs w:val="16"/>
              </w:rPr>
            </w:pPr>
            <w:r w:rsidRPr="00CA690D">
              <w:rPr>
                <w:rFonts w:ascii="Gill Sans" w:eastAsia="Calibri" w:hAnsi="Gill Sans" w:cs="Times New Roman"/>
                <w:sz w:val="16"/>
                <w:szCs w:val="16"/>
              </w:rPr>
              <w:t xml:space="preserve">1.5 </w:t>
            </w:r>
          </w:p>
        </w:tc>
      </w:tr>
      <w:tr w:rsidR="00CA690D" w:rsidRPr="00CA690D" w:rsidTr="00BD1D71">
        <w:trPr>
          <w:trHeight w:val="196"/>
        </w:trPr>
        <w:tc>
          <w:tcPr>
            <w:cnfStyle w:val="001000000000" w:firstRow="0" w:lastRow="0" w:firstColumn="1" w:lastColumn="0" w:oddVBand="0" w:evenVBand="0" w:oddHBand="0" w:evenHBand="0" w:firstRowFirstColumn="0" w:firstRowLastColumn="0" w:lastRowFirstColumn="0" w:lastRowLastColumn="0"/>
            <w:tcW w:w="4132" w:type="dxa"/>
            <w:hideMark/>
          </w:tcPr>
          <w:p w:rsidR="00CA690D" w:rsidRPr="00CA690D" w:rsidRDefault="00CA690D" w:rsidP="00CA690D">
            <w:pPr>
              <w:rPr>
                <w:rFonts w:ascii="Gill Sans" w:eastAsia="Calibri" w:hAnsi="Gill Sans" w:cs="Times New Roman"/>
                <w:sz w:val="16"/>
                <w:szCs w:val="16"/>
              </w:rPr>
            </w:pPr>
            <w:r w:rsidRPr="00CA690D">
              <w:rPr>
                <w:rFonts w:ascii="Gill Sans" w:eastAsia="Calibri" w:hAnsi="Gill Sans" w:cs="Times New Roman"/>
                <w:sz w:val="16"/>
                <w:szCs w:val="16"/>
              </w:rPr>
              <w:t>Riversamenti contributi da terzi</w:t>
            </w:r>
          </w:p>
        </w:tc>
        <w:tc>
          <w:tcPr>
            <w:tcW w:w="1250" w:type="dxa"/>
            <w:noWrap/>
            <w:vAlign w:val="center"/>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r w:rsidRPr="00CA690D">
              <w:rPr>
                <w:rFonts w:ascii="Gill Sans" w:eastAsia="Calibri" w:hAnsi="Gill Sans" w:cs="Times New Roman"/>
                <w:sz w:val="16"/>
                <w:szCs w:val="16"/>
              </w:rPr>
              <w:t xml:space="preserve"> 151.8 </w:t>
            </w:r>
          </w:p>
        </w:tc>
        <w:tc>
          <w:tcPr>
            <w:tcW w:w="1250" w:type="dxa"/>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r w:rsidRPr="00CA690D">
              <w:rPr>
                <w:rFonts w:ascii="Gill Sans" w:eastAsia="Calibri" w:hAnsi="Gill Sans" w:cs="Calibri"/>
                <w:sz w:val="16"/>
                <w:szCs w:val="16"/>
              </w:rPr>
              <w:t xml:space="preserve">       150.4 </w:t>
            </w:r>
          </w:p>
        </w:tc>
        <w:tc>
          <w:tcPr>
            <w:tcW w:w="1250" w:type="dxa"/>
            <w:shd w:val="clear" w:color="auto" w:fill="FABF8F"/>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r w:rsidRPr="00CA690D">
              <w:rPr>
                <w:rFonts w:ascii="Gill Sans" w:eastAsia="Calibri" w:hAnsi="Gill Sans" w:cs="Calibri"/>
                <w:sz w:val="16"/>
                <w:szCs w:val="16"/>
              </w:rPr>
              <w:t xml:space="preserve">       156.4 </w:t>
            </w:r>
          </w:p>
        </w:tc>
        <w:tc>
          <w:tcPr>
            <w:tcW w:w="1250" w:type="dxa"/>
            <w:shd w:val="clear" w:color="auto" w:fill="FBD4B4"/>
            <w:noWrap/>
            <w:vAlign w:val="center"/>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r w:rsidRPr="00CA690D">
              <w:rPr>
                <w:rFonts w:ascii="Gill Sans" w:eastAsia="Calibri" w:hAnsi="Gill Sans" w:cs="Times New Roman"/>
                <w:sz w:val="16"/>
                <w:szCs w:val="16"/>
              </w:rPr>
              <w:t>6.1</w:t>
            </w:r>
          </w:p>
        </w:tc>
      </w:tr>
      <w:tr w:rsidR="00CA690D" w:rsidRPr="00CA690D" w:rsidTr="00BD1D71">
        <w:trPr>
          <w:trHeight w:val="96"/>
        </w:trPr>
        <w:tc>
          <w:tcPr>
            <w:cnfStyle w:val="001000000000" w:firstRow="0" w:lastRow="0" w:firstColumn="1" w:lastColumn="0" w:oddVBand="0" w:evenVBand="0" w:oddHBand="0" w:evenHBand="0" w:firstRowFirstColumn="0" w:firstRowLastColumn="0" w:lastRowFirstColumn="0" w:lastRowLastColumn="0"/>
            <w:tcW w:w="4132" w:type="dxa"/>
            <w:hideMark/>
          </w:tcPr>
          <w:p w:rsidR="00CA690D" w:rsidRPr="00CA690D" w:rsidRDefault="00CA690D" w:rsidP="00CA690D">
            <w:pPr>
              <w:rPr>
                <w:rFonts w:ascii="Gill Sans" w:eastAsia="Calibri" w:hAnsi="Gill Sans" w:cs="Times New Roman"/>
                <w:sz w:val="16"/>
                <w:szCs w:val="16"/>
              </w:rPr>
            </w:pPr>
            <w:r w:rsidRPr="00CA690D">
              <w:rPr>
                <w:rFonts w:ascii="Gill Sans" w:eastAsia="Calibri" w:hAnsi="Gill Sans" w:cs="Times New Roman"/>
                <w:sz w:val="16"/>
                <w:szCs w:val="16"/>
              </w:rPr>
              <w:t>Addebiti interni</w:t>
            </w:r>
          </w:p>
        </w:tc>
        <w:tc>
          <w:tcPr>
            <w:tcW w:w="1250" w:type="dxa"/>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r w:rsidRPr="00CA690D">
              <w:rPr>
                <w:rFonts w:ascii="Gill Sans" w:eastAsia="Calibri" w:hAnsi="Gill Sans" w:cs="Times New Roman"/>
                <w:sz w:val="16"/>
                <w:szCs w:val="16"/>
              </w:rPr>
              <w:t xml:space="preserve"> 205.3 </w:t>
            </w:r>
          </w:p>
        </w:tc>
        <w:tc>
          <w:tcPr>
            <w:tcW w:w="1250" w:type="dxa"/>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r w:rsidRPr="00CA690D">
              <w:rPr>
                <w:rFonts w:ascii="Gill Sans" w:eastAsia="Calibri" w:hAnsi="Gill Sans" w:cs="Calibri"/>
                <w:sz w:val="16"/>
                <w:szCs w:val="16"/>
              </w:rPr>
              <w:t xml:space="preserve">       212.5 </w:t>
            </w:r>
          </w:p>
        </w:tc>
        <w:tc>
          <w:tcPr>
            <w:tcW w:w="1250" w:type="dxa"/>
            <w:shd w:val="clear" w:color="auto" w:fill="FABF8F"/>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r w:rsidRPr="00CA690D">
              <w:rPr>
                <w:rFonts w:ascii="Gill Sans" w:eastAsia="Calibri" w:hAnsi="Gill Sans" w:cs="Calibri"/>
                <w:sz w:val="16"/>
                <w:szCs w:val="16"/>
              </w:rPr>
              <w:t xml:space="preserve">       222.6 </w:t>
            </w:r>
          </w:p>
        </w:tc>
        <w:tc>
          <w:tcPr>
            <w:tcW w:w="1250" w:type="dxa"/>
            <w:shd w:val="clear" w:color="auto" w:fill="FBD4B4"/>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r w:rsidRPr="00CA690D">
              <w:rPr>
                <w:rFonts w:ascii="Gill Sans" w:eastAsia="Calibri" w:hAnsi="Gill Sans" w:cs="Times New Roman"/>
                <w:sz w:val="16"/>
                <w:szCs w:val="16"/>
              </w:rPr>
              <w:t xml:space="preserve"> 10.1 </w:t>
            </w:r>
          </w:p>
        </w:tc>
      </w:tr>
      <w:tr w:rsidR="00CA690D" w:rsidRPr="00CA690D" w:rsidTr="00BD1D71">
        <w:trPr>
          <w:trHeight w:val="159"/>
        </w:trPr>
        <w:tc>
          <w:tcPr>
            <w:cnfStyle w:val="001000000000" w:firstRow="0" w:lastRow="0" w:firstColumn="1" w:lastColumn="0" w:oddVBand="0" w:evenVBand="0" w:oddHBand="0" w:evenHBand="0" w:firstRowFirstColumn="0" w:firstRowLastColumn="0" w:lastRowFirstColumn="0" w:lastRowLastColumn="0"/>
            <w:tcW w:w="4132" w:type="dxa"/>
            <w:hideMark/>
          </w:tcPr>
          <w:p w:rsidR="00CA690D" w:rsidRPr="00CA690D" w:rsidRDefault="00CA690D" w:rsidP="00CA690D">
            <w:pPr>
              <w:rPr>
                <w:rFonts w:ascii="Gill Sans" w:eastAsia="Calibri" w:hAnsi="Gill Sans" w:cs="Times New Roman"/>
                <w:sz w:val="16"/>
                <w:szCs w:val="16"/>
              </w:rPr>
            </w:pPr>
            <w:r w:rsidRPr="00CA690D">
              <w:rPr>
                <w:rFonts w:ascii="Gill Sans" w:eastAsia="Calibri" w:hAnsi="Gill Sans" w:cs="Times New Roman"/>
                <w:sz w:val="16"/>
                <w:szCs w:val="16"/>
              </w:rPr>
              <w:t>Totale spese</w:t>
            </w:r>
          </w:p>
        </w:tc>
        <w:tc>
          <w:tcPr>
            <w:tcW w:w="1250" w:type="dxa"/>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b/>
                <w:sz w:val="16"/>
                <w:szCs w:val="16"/>
              </w:rPr>
            </w:pPr>
            <w:r w:rsidRPr="00CA690D">
              <w:rPr>
                <w:rFonts w:ascii="Gill Sans" w:eastAsia="Calibri" w:hAnsi="Gill Sans" w:cs="Times New Roman"/>
                <w:b/>
                <w:sz w:val="16"/>
                <w:szCs w:val="16"/>
              </w:rPr>
              <w:t xml:space="preserve"> 4'218.6 </w:t>
            </w:r>
          </w:p>
        </w:tc>
        <w:tc>
          <w:tcPr>
            <w:tcW w:w="1250" w:type="dxa"/>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b/>
                <w:sz w:val="16"/>
                <w:szCs w:val="16"/>
              </w:rPr>
            </w:pPr>
            <w:r w:rsidRPr="00CA690D">
              <w:rPr>
                <w:rFonts w:ascii="Gill Sans" w:eastAsia="Calibri" w:hAnsi="Gill Sans" w:cs="Calibri"/>
                <w:b/>
                <w:bCs/>
                <w:sz w:val="16"/>
                <w:szCs w:val="16"/>
              </w:rPr>
              <w:t xml:space="preserve">  4'172.8 </w:t>
            </w:r>
          </w:p>
        </w:tc>
        <w:tc>
          <w:tcPr>
            <w:tcW w:w="1250" w:type="dxa"/>
            <w:shd w:val="clear" w:color="auto" w:fill="FABF8F"/>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b/>
                <w:sz w:val="16"/>
                <w:szCs w:val="16"/>
              </w:rPr>
            </w:pPr>
            <w:r w:rsidRPr="00CA690D">
              <w:rPr>
                <w:rFonts w:ascii="Gill Sans" w:eastAsia="Calibri" w:hAnsi="Gill Sans" w:cs="Calibri"/>
                <w:b/>
                <w:sz w:val="16"/>
                <w:szCs w:val="16"/>
              </w:rPr>
              <w:t xml:space="preserve"> </w:t>
            </w:r>
            <w:r w:rsidRPr="00CA690D">
              <w:rPr>
                <w:rFonts w:ascii="Gill Sans" w:eastAsia="Calibri" w:hAnsi="Gill Sans" w:cs="Calibri"/>
                <w:b/>
                <w:bCs/>
                <w:sz w:val="16"/>
                <w:szCs w:val="16"/>
              </w:rPr>
              <w:t xml:space="preserve"> 4'219</w:t>
            </w:r>
            <w:r w:rsidRPr="00CA690D">
              <w:rPr>
                <w:rFonts w:ascii="Gill Sans" w:eastAsia="Calibri" w:hAnsi="Gill Sans" w:cs="Calibri"/>
                <w:b/>
                <w:sz w:val="16"/>
                <w:szCs w:val="16"/>
              </w:rPr>
              <w:t xml:space="preserve">.6 </w:t>
            </w:r>
          </w:p>
        </w:tc>
        <w:tc>
          <w:tcPr>
            <w:tcW w:w="1250" w:type="dxa"/>
            <w:shd w:val="clear" w:color="auto" w:fill="FBD4B4"/>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b/>
                <w:sz w:val="16"/>
                <w:szCs w:val="16"/>
              </w:rPr>
            </w:pPr>
            <w:r w:rsidRPr="00CA690D">
              <w:rPr>
                <w:rFonts w:ascii="Gill Sans" w:eastAsia="Calibri" w:hAnsi="Gill Sans" w:cs="Times New Roman"/>
                <w:b/>
                <w:sz w:val="16"/>
                <w:szCs w:val="16"/>
              </w:rPr>
              <w:t>46.8</w:t>
            </w:r>
          </w:p>
        </w:tc>
      </w:tr>
      <w:tr w:rsidR="00CA690D" w:rsidRPr="00CA690D" w:rsidTr="00BD1D71">
        <w:trPr>
          <w:trHeight w:val="87"/>
        </w:trPr>
        <w:tc>
          <w:tcPr>
            <w:cnfStyle w:val="001000000000" w:firstRow="0" w:lastRow="0" w:firstColumn="1" w:lastColumn="0" w:oddVBand="0" w:evenVBand="0" w:oddHBand="0" w:evenHBand="0" w:firstRowFirstColumn="0" w:firstRowLastColumn="0" w:lastRowFirstColumn="0" w:lastRowLastColumn="0"/>
            <w:tcW w:w="4132" w:type="dxa"/>
            <w:hideMark/>
          </w:tcPr>
          <w:p w:rsidR="00CA690D" w:rsidRPr="00CA690D" w:rsidRDefault="00CA690D" w:rsidP="00CA690D">
            <w:pPr>
              <w:rPr>
                <w:rFonts w:ascii="Gill Sans" w:eastAsia="Calibri" w:hAnsi="Gill Sans" w:cs="Times New Roman"/>
                <w:sz w:val="18"/>
                <w:u w:val="single"/>
              </w:rPr>
            </w:pPr>
          </w:p>
        </w:tc>
        <w:tc>
          <w:tcPr>
            <w:tcW w:w="1250" w:type="dxa"/>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b/>
                <w:sz w:val="18"/>
              </w:rPr>
            </w:pPr>
          </w:p>
        </w:tc>
        <w:tc>
          <w:tcPr>
            <w:tcW w:w="1250" w:type="dxa"/>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b/>
                <w:sz w:val="18"/>
              </w:rPr>
            </w:pPr>
          </w:p>
        </w:tc>
        <w:tc>
          <w:tcPr>
            <w:tcW w:w="1250" w:type="dxa"/>
            <w:shd w:val="clear" w:color="auto" w:fill="FABF8F"/>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b/>
                <w:sz w:val="18"/>
              </w:rPr>
            </w:pPr>
          </w:p>
        </w:tc>
        <w:tc>
          <w:tcPr>
            <w:tcW w:w="1250" w:type="dxa"/>
            <w:shd w:val="clear" w:color="auto" w:fill="FBD4B4"/>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b/>
                <w:color w:val="FF0000"/>
                <w:sz w:val="18"/>
              </w:rPr>
            </w:pPr>
          </w:p>
        </w:tc>
      </w:tr>
      <w:tr w:rsidR="00CA690D" w:rsidRPr="00CA690D" w:rsidTr="00BD1D71">
        <w:trPr>
          <w:trHeight w:val="151"/>
        </w:trPr>
        <w:tc>
          <w:tcPr>
            <w:cnfStyle w:val="001000000000" w:firstRow="0" w:lastRow="0" w:firstColumn="1" w:lastColumn="0" w:oddVBand="0" w:evenVBand="0" w:oddHBand="0" w:evenHBand="0" w:firstRowFirstColumn="0" w:firstRowLastColumn="0" w:lastRowFirstColumn="0" w:lastRowLastColumn="0"/>
            <w:tcW w:w="4132" w:type="dxa"/>
            <w:hideMark/>
          </w:tcPr>
          <w:p w:rsidR="00CA690D" w:rsidRPr="00CA690D" w:rsidRDefault="00CA690D" w:rsidP="00CA690D">
            <w:pPr>
              <w:rPr>
                <w:rFonts w:ascii="Gill Sans" w:eastAsia="Calibri" w:hAnsi="Gill Sans" w:cs="Times New Roman"/>
                <w:sz w:val="16"/>
                <w:szCs w:val="16"/>
              </w:rPr>
            </w:pPr>
            <w:r w:rsidRPr="00CA690D">
              <w:rPr>
                <w:rFonts w:ascii="Gill Sans" w:eastAsia="Calibri" w:hAnsi="Gill Sans" w:cs="Times New Roman"/>
                <w:sz w:val="16"/>
                <w:szCs w:val="16"/>
              </w:rPr>
              <w:t>Entrate correnti</w:t>
            </w:r>
          </w:p>
        </w:tc>
        <w:tc>
          <w:tcPr>
            <w:tcW w:w="1250" w:type="dxa"/>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r w:rsidRPr="00CA690D">
              <w:rPr>
                <w:rFonts w:ascii="Gill Sans" w:eastAsia="Calibri" w:hAnsi="Gill Sans" w:cs="Times New Roman"/>
                <w:sz w:val="16"/>
                <w:szCs w:val="16"/>
              </w:rPr>
              <w:t xml:space="preserve"> 3'797.2 </w:t>
            </w:r>
          </w:p>
        </w:tc>
        <w:tc>
          <w:tcPr>
            <w:tcW w:w="1250" w:type="dxa"/>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r w:rsidRPr="00CA690D">
              <w:rPr>
                <w:rFonts w:ascii="Gill Sans" w:eastAsia="Calibri" w:hAnsi="Gill Sans" w:cs="Calibri"/>
                <w:sz w:val="16"/>
                <w:szCs w:val="16"/>
              </w:rPr>
              <w:t xml:space="preserve">    3'668.0 </w:t>
            </w:r>
          </w:p>
        </w:tc>
        <w:tc>
          <w:tcPr>
            <w:tcW w:w="1250" w:type="dxa"/>
            <w:shd w:val="clear" w:color="auto" w:fill="FABF8F"/>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r w:rsidRPr="00CA690D">
              <w:rPr>
                <w:rFonts w:ascii="Gill Sans" w:eastAsia="Calibri" w:hAnsi="Gill Sans" w:cs="Calibri"/>
                <w:sz w:val="16"/>
                <w:szCs w:val="16"/>
              </w:rPr>
              <w:t xml:space="preserve">    3'828.1 </w:t>
            </w:r>
          </w:p>
        </w:tc>
        <w:tc>
          <w:tcPr>
            <w:tcW w:w="1250" w:type="dxa"/>
            <w:shd w:val="clear" w:color="auto" w:fill="FBD4B4"/>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Calibri"/>
                <w:sz w:val="16"/>
                <w:szCs w:val="16"/>
              </w:rPr>
            </w:pPr>
            <w:r w:rsidRPr="00CA690D">
              <w:rPr>
                <w:rFonts w:ascii="Gill Sans" w:eastAsia="Calibri" w:hAnsi="Gill Sans" w:cs="Calibri"/>
                <w:sz w:val="16"/>
                <w:szCs w:val="16"/>
              </w:rPr>
              <w:t xml:space="preserve">               160.1 </w:t>
            </w:r>
          </w:p>
        </w:tc>
      </w:tr>
      <w:tr w:rsidR="00CA690D" w:rsidRPr="00CA690D" w:rsidTr="00BD1D71">
        <w:trPr>
          <w:trHeight w:val="117"/>
        </w:trPr>
        <w:tc>
          <w:tcPr>
            <w:cnfStyle w:val="001000000000" w:firstRow="0" w:lastRow="0" w:firstColumn="1" w:lastColumn="0" w:oddVBand="0" w:evenVBand="0" w:oddHBand="0" w:evenHBand="0" w:firstRowFirstColumn="0" w:firstRowLastColumn="0" w:lastRowFirstColumn="0" w:lastRowLastColumn="0"/>
            <w:tcW w:w="4132" w:type="dxa"/>
            <w:hideMark/>
          </w:tcPr>
          <w:p w:rsidR="00CA690D" w:rsidRPr="00CA690D" w:rsidRDefault="00CA690D" w:rsidP="00CA690D">
            <w:pPr>
              <w:rPr>
                <w:rFonts w:ascii="Gill Sans" w:eastAsia="Calibri" w:hAnsi="Gill Sans" w:cs="Times New Roman"/>
                <w:sz w:val="16"/>
                <w:szCs w:val="16"/>
              </w:rPr>
            </w:pPr>
            <w:r w:rsidRPr="00CA690D">
              <w:rPr>
                <w:rFonts w:ascii="Gill Sans" w:eastAsia="Calibri" w:hAnsi="Gill Sans" w:cs="Times New Roman"/>
                <w:sz w:val="16"/>
                <w:szCs w:val="16"/>
              </w:rPr>
              <w:t>Scioglimenti, rettifiche di valore e prelievi da fondi</w:t>
            </w:r>
          </w:p>
        </w:tc>
        <w:tc>
          <w:tcPr>
            <w:tcW w:w="1250" w:type="dxa"/>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r w:rsidRPr="00CA690D">
              <w:rPr>
                <w:rFonts w:ascii="Gill Sans" w:eastAsia="Calibri" w:hAnsi="Gill Sans" w:cs="Times New Roman"/>
                <w:sz w:val="16"/>
                <w:szCs w:val="16"/>
              </w:rPr>
              <w:t xml:space="preserve"> 5.0 </w:t>
            </w:r>
          </w:p>
        </w:tc>
        <w:tc>
          <w:tcPr>
            <w:tcW w:w="1250" w:type="dxa"/>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r w:rsidRPr="00CA690D">
              <w:rPr>
                <w:rFonts w:ascii="Gill Sans" w:eastAsia="Calibri" w:hAnsi="Gill Sans" w:cs="Calibri"/>
                <w:sz w:val="16"/>
                <w:szCs w:val="16"/>
              </w:rPr>
              <w:t xml:space="preserve">           6.1 </w:t>
            </w:r>
          </w:p>
        </w:tc>
        <w:tc>
          <w:tcPr>
            <w:tcW w:w="1250" w:type="dxa"/>
            <w:shd w:val="clear" w:color="auto" w:fill="FABF8F"/>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r w:rsidRPr="00CA690D">
              <w:rPr>
                <w:rFonts w:ascii="Gill Sans" w:eastAsia="Calibri" w:hAnsi="Gill Sans" w:cs="Calibri"/>
                <w:sz w:val="16"/>
                <w:szCs w:val="16"/>
              </w:rPr>
              <w:t xml:space="preserve">         14.5 </w:t>
            </w:r>
          </w:p>
        </w:tc>
        <w:tc>
          <w:tcPr>
            <w:tcW w:w="1250" w:type="dxa"/>
            <w:shd w:val="clear" w:color="auto" w:fill="FBD4B4"/>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Calibri"/>
                <w:sz w:val="16"/>
                <w:szCs w:val="16"/>
              </w:rPr>
            </w:pPr>
            <w:r w:rsidRPr="00CA690D">
              <w:rPr>
                <w:rFonts w:ascii="Gill Sans" w:eastAsia="Calibri" w:hAnsi="Gill Sans" w:cs="Calibri"/>
                <w:sz w:val="16"/>
                <w:szCs w:val="16"/>
              </w:rPr>
              <w:t xml:space="preserve">                  8.4 </w:t>
            </w:r>
          </w:p>
        </w:tc>
      </w:tr>
      <w:tr w:rsidR="00CA690D" w:rsidRPr="00CA690D" w:rsidTr="00BD1D71">
        <w:trPr>
          <w:trHeight w:val="61"/>
        </w:trPr>
        <w:tc>
          <w:tcPr>
            <w:cnfStyle w:val="001000000000" w:firstRow="0" w:lastRow="0" w:firstColumn="1" w:lastColumn="0" w:oddVBand="0" w:evenVBand="0" w:oddHBand="0" w:evenHBand="0" w:firstRowFirstColumn="0" w:firstRowLastColumn="0" w:lastRowFirstColumn="0" w:lastRowLastColumn="0"/>
            <w:tcW w:w="4132" w:type="dxa"/>
            <w:hideMark/>
          </w:tcPr>
          <w:p w:rsidR="00CA690D" w:rsidRPr="00CA690D" w:rsidRDefault="00CA690D" w:rsidP="00CA690D">
            <w:pPr>
              <w:rPr>
                <w:rFonts w:ascii="Gill Sans" w:eastAsia="Calibri" w:hAnsi="Gill Sans" w:cs="Times New Roman"/>
                <w:sz w:val="16"/>
                <w:szCs w:val="16"/>
              </w:rPr>
            </w:pPr>
            <w:r w:rsidRPr="00CA690D">
              <w:rPr>
                <w:rFonts w:ascii="Gill Sans" w:eastAsia="Calibri" w:hAnsi="Gill Sans" w:cs="Times New Roman"/>
                <w:sz w:val="16"/>
                <w:szCs w:val="16"/>
              </w:rPr>
              <w:t>Ricavi correnti</w:t>
            </w:r>
          </w:p>
        </w:tc>
        <w:tc>
          <w:tcPr>
            <w:tcW w:w="1250" w:type="dxa"/>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b/>
                <w:sz w:val="16"/>
                <w:szCs w:val="16"/>
              </w:rPr>
            </w:pPr>
            <w:r w:rsidRPr="00CA690D">
              <w:rPr>
                <w:rFonts w:ascii="Gill Sans" w:eastAsia="Calibri" w:hAnsi="Gill Sans" w:cs="Times New Roman"/>
                <w:b/>
                <w:sz w:val="16"/>
                <w:szCs w:val="16"/>
              </w:rPr>
              <w:t xml:space="preserve"> 3'802.2 </w:t>
            </w:r>
          </w:p>
        </w:tc>
        <w:tc>
          <w:tcPr>
            <w:tcW w:w="1250" w:type="dxa"/>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b/>
                <w:sz w:val="16"/>
                <w:szCs w:val="16"/>
              </w:rPr>
            </w:pPr>
            <w:r w:rsidRPr="00CA690D">
              <w:rPr>
                <w:rFonts w:ascii="Gill Sans" w:eastAsia="Calibri" w:hAnsi="Gill Sans" w:cs="Calibri"/>
                <w:b/>
                <w:bCs/>
                <w:sz w:val="16"/>
                <w:szCs w:val="16"/>
              </w:rPr>
              <w:t xml:space="preserve">  3'674.1 </w:t>
            </w:r>
          </w:p>
        </w:tc>
        <w:tc>
          <w:tcPr>
            <w:tcW w:w="1250" w:type="dxa"/>
            <w:shd w:val="clear" w:color="auto" w:fill="FABF8F"/>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b/>
                <w:sz w:val="16"/>
                <w:szCs w:val="16"/>
              </w:rPr>
            </w:pPr>
            <w:r w:rsidRPr="00CA690D">
              <w:rPr>
                <w:rFonts w:ascii="Gill Sans" w:eastAsia="Calibri" w:hAnsi="Gill Sans" w:cs="Calibri"/>
                <w:b/>
                <w:bCs/>
                <w:sz w:val="16"/>
                <w:szCs w:val="16"/>
              </w:rPr>
              <w:t xml:space="preserve">  3'842.5 </w:t>
            </w:r>
          </w:p>
        </w:tc>
        <w:tc>
          <w:tcPr>
            <w:tcW w:w="1250" w:type="dxa"/>
            <w:shd w:val="clear" w:color="auto" w:fill="FBD4B4"/>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Calibri"/>
                <w:b/>
                <w:sz w:val="16"/>
                <w:szCs w:val="16"/>
              </w:rPr>
            </w:pPr>
            <w:r w:rsidRPr="00CA690D">
              <w:rPr>
                <w:rFonts w:ascii="Gill Sans" w:eastAsia="Calibri" w:hAnsi="Gill Sans" w:cs="Calibri"/>
                <w:b/>
                <w:sz w:val="16"/>
                <w:szCs w:val="16"/>
              </w:rPr>
              <w:t xml:space="preserve">              168.5 </w:t>
            </w:r>
          </w:p>
        </w:tc>
      </w:tr>
      <w:tr w:rsidR="00CA690D" w:rsidRPr="00CA690D" w:rsidTr="00BD1D71">
        <w:trPr>
          <w:trHeight w:val="209"/>
        </w:trPr>
        <w:tc>
          <w:tcPr>
            <w:cnfStyle w:val="001000000000" w:firstRow="0" w:lastRow="0" w:firstColumn="1" w:lastColumn="0" w:oddVBand="0" w:evenVBand="0" w:oddHBand="0" w:evenHBand="0" w:firstRowFirstColumn="0" w:firstRowLastColumn="0" w:lastRowFirstColumn="0" w:lastRowLastColumn="0"/>
            <w:tcW w:w="4132" w:type="dxa"/>
            <w:hideMark/>
          </w:tcPr>
          <w:p w:rsidR="00CA690D" w:rsidRPr="00CA690D" w:rsidRDefault="00CA690D" w:rsidP="00CA690D">
            <w:pPr>
              <w:rPr>
                <w:rFonts w:ascii="Gill Sans" w:eastAsia="Calibri" w:hAnsi="Gill Sans" w:cs="Times New Roman"/>
                <w:sz w:val="16"/>
                <w:szCs w:val="16"/>
              </w:rPr>
            </w:pPr>
            <w:r w:rsidRPr="00CA690D">
              <w:rPr>
                <w:rFonts w:ascii="Gill Sans" w:eastAsia="Calibri" w:hAnsi="Gill Sans" w:cs="Times New Roman"/>
                <w:sz w:val="16"/>
                <w:szCs w:val="16"/>
              </w:rPr>
              <w:t>Altre poste straordinarie e prelievi da cap. proprio</w:t>
            </w:r>
          </w:p>
        </w:tc>
        <w:tc>
          <w:tcPr>
            <w:tcW w:w="1250" w:type="dxa"/>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r w:rsidRPr="00CA690D">
              <w:rPr>
                <w:rFonts w:ascii="Gill Sans" w:eastAsia="Calibri" w:hAnsi="Gill Sans" w:cs="Times New Roman"/>
                <w:sz w:val="16"/>
                <w:szCs w:val="16"/>
              </w:rPr>
              <w:t xml:space="preserve"> 1.1 </w:t>
            </w:r>
          </w:p>
        </w:tc>
        <w:tc>
          <w:tcPr>
            <w:tcW w:w="1250" w:type="dxa"/>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r w:rsidRPr="00CA690D">
              <w:rPr>
                <w:rFonts w:ascii="Gill Sans" w:eastAsia="Calibri" w:hAnsi="Gill Sans" w:cs="Calibri"/>
                <w:sz w:val="16"/>
                <w:szCs w:val="16"/>
              </w:rPr>
              <w:t xml:space="preserve">           0.9 </w:t>
            </w:r>
          </w:p>
        </w:tc>
        <w:tc>
          <w:tcPr>
            <w:tcW w:w="1250" w:type="dxa"/>
            <w:shd w:val="clear" w:color="auto" w:fill="FABF8F"/>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r w:rsidRPr="00CA690D">
              <w:rPr>
                <w:rFonts w:ascii="Gill Sans" w:eastAsia="Calibri" w:hAnsi="Gill Sans" w:cs="Calibri"/>
                <w:sz w:val="16"/>
                <w:szCs w:val="16"/>
              </w:rPr>
              <w:t xml:space="preserve">           1.0 </w:t>
            </w:r>
          </w:p>
        </w:tc>
        <w:tc>
          <w:tcPr>
            <w:tcW w:w="1250" w:type="dxa"/>
            <w:shd w:val="clear" w:color="auto" w:fill="FBD4B4"/>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Calibri"/>
                <w:sz w:val="16"/>
                <w:szCs w:val="16"/>
              </w:rPr>
            </w:pPr>
            <w:r w:rsidRPr="00CA690D">
              <w:rPr>
                <w:rFonts w:ascii="Gill Sans" w:eastAsia="Calibri" w:hAnsi="Gill Sans" w:cs="Calibri"/>
                <w:sz w:val="16"/>
                <w:szCs w:val="16"/>
              </w:rPr>
              <w:t xml:space="preserve">                  0.0 </w:t>
            </w:r>
          </w:p>
        </w:tc>
      </w:tr>
      <w:tr w:rsidR="00CA690D" w:rsidRPr="00CA690D" w:rsidTr="00BD1D71">
        <w:trPr>
          <w:trHeight w:val="110"/>
        </w:trPr>
        <w:tc>
          <w:tcPr>
            <w:cnfStyle w:val="001000000000" w:firstRow="0" w:lastRow="0" w:firstColumn="1" w:lastColumn="0" w:oddVBand="0" w:evenVBand="0" w:oddHBand="0" w:evenHBand="0" w:firstRowFirstColumn="0" w:firstRowLastColumn="0" w:lastRowFirstColumn="0" w:lastRowLastColumn="0"/>
            <w:tcW w:w="4132" w:type="dxa"/>
            <w:hideMark/>
          </w:tcPr>
          <w:p w:rsidR="00CA690D" w:rsidRPr="00CA690D" w:rsidRDefault="00CA690D" w:rsidP="00CA690D">
            <w:pPr>
              <w:rPr>
                <w:rFonts w:ascii="Gill Sans" w:eastAsia="Calibri" w:hAnsi="Gill Sans" w:cs="Times New Roman"/>
                <w:sz w:val="16"/>
                <w:szCs w:val="16"/>
              </w:rPr>
            </w:pPr>
            <w:r w:rsidRPr="00CA690D">
              <w:rPr>
                <w:rFonts w:ascii="Gill Sans" w:eastAsia="Calibri" w:hAnsi="Gill Sans" w:cs="Times New Roman"/>
                <w:sz w:val="16"/>
                <w:szCs w:val="16"/>
              </w:rPr>
              <w:t>Contributi da riversare</w:t>
            </w:r>
          </w:p>
        </w:tc>
        <w:tc>
          <w:tcPr>
            <w:tcW w:w="1250" w:type="dxa"/>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r w:rsidRPr="00CA690D">
              <w:rPr>
                <w:rFonts w:ascii="Gill Sans" w:eastAsia="Calibri" w:hAnsi="Gill Sans" w:cs="Times New Roman"/>
                <w:sz w:val="16"/>
                <w:szCs w:val="16"/>
              </w:rPr>
              <w:t xml:space="preserve"> 151.8 </w:t>
            </w:r>
          </w:p>
        </w:tc>
        <w:tc>
          <w:tcPr>
            <w:tcW w:w="1250" w:type="dxa"/>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r w:rsidRPr="00CA690D">
              <w:rPr>
                <w:rFonts w:ascii="Gill Sans" w:eastAsia="Calibri" w:hAnsi="Gill Sans" w:cs="Calibri"/>
                <w:sz w:val="16"/>
                <w:szCs w:val="16"/>
              </w:rPr>
              <w:t xml:space="preserve">       150.4 </w:t>
            </w:r>
          </w:p>
        </w:tc>
        <w:tc>
          <w:tcPr>
            <w:tcW w:w="1250" w:type="dxa"/>
            <w:shd w:val="clear" w:color="auto" w:fill="FABF8F"/>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r w:rsidRPr="00CA690D">
              <w:rPr>
                <w:rFonts w:ascii="Gill Sans" w:eastAsia="Calibri" w:hAnsi="Gill Sans" w:cs="Calibri"/>
                <w:sz w:val="16"/>
                <w:szCs w:val="16"/>
              </w:rPr>
              <w:t xml:space="preserve">       156.4 </w:t>
            </w:r>
          </w:p>
        </w:tc>
        <w:tc>
          <w:tcPr>
            <w:tcW w:w="1250" w:type="dxa"/>
            <w:shd w:val="clear" w:color="auto" w:fill="FBD4B4"/>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Calibri"/>
                <w:sz w:val="16"/>
                <w:szCs w:val="16"/>
              </w:rPr>
            </w:pPr>
            <w:r w:rsidRPr="00CA690D">
              <w:rPr>
                <w:rFonts w:ascii="Gill Sans" w:eastAsia="Calibri" w:hAnsi="Gill Sans" w:cs="Calibri"/>
                <w:sz w:val="16"/>
                <w:szCs w:val="16"/>
              </w:rPr>
              <w:t xml:space="preserve">                  6.1 </w:t>
            </w:r>
          </w:p>
        </w:tc>
      </w:tr>
      <w:tr w:rsidR="00CA690D" w:rsidRPr="00CA690D" w:rsidTr="00BD1D71">
        <w:trPr>
          <w:trHeight w:val="174"/>
        </w:trPr>
        <w:tc>
          <w:tcPr>
            <w:cnfStyle w:val="001000000000" w:firstRow="0" w:lastRow="0" w:firstColumn="1" w:lastColumn="0" w:oddVBand="0" w:evenVBand="0" w:oddHBand="0" w:evenHBand="0" w:firstRowFirstColumn="0" w:firstRowLastColumn="0" w:lastRowFirstColumn="0" w:lastRowLastColumn="0"/>
            <w:tcW w:w="4132" w:type="dxa"/>
            <w:hideMark/>
          </w:tcPr>
          <w:p w:rsidR="00CA690D" w:rsidRPr="00CA690D" w:rsidRDefault="00CA690D" w:rsidP="00CA690D">
            <w:pPr>
              <w:rPr>
                <w:rFonts w:ascii="Gill Sans" w:eastAsia="Calibri" w:hAnsi="Gill Sans" w:cs="Times New Roman"/>
                <w:sz w:val="16"/>
                <w:szCs w:val="16"/>
              </w:rPr>
            </w:pPr>
            <w:r w:rsidRPr="00CA690D">
              <w:rPr>
                <w:rFonts w:ascii="Gill Sans" w:eastAsia="Calibri" w:hAnsi="Gill Sans" w:cs="Times New Roman"/>
                <w:sz w:val="16"/>
                <w:szCs w:val="16"/>
              </w:rPr>
              <w:t>Accrediti interni</w:t>
            </w:r>
          </w:p>
        </w:tc>
        <w:tc>
          <w:tcPr>
            <w:tcW w:w="1250" w:type="dxa"/>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r w:rsidRPr="00CA690D">
              <w:rPr>
                <w:rFonts w:ascii="Gill Sans" w:eastAsia="Calibri" w:hAnsi="Gill Sans" w:cs="Times New Roman"/>
                <w:sz w:val="16"/>
                <w:szCs w:val="16"/>
              </w:rPr>
              <w:t xml:space="preserve"> 205.3 </w:t>
            </w:r>
          </w:p>
        </w:tc>
        <w:tc>
          <w:tcPr>
            <w:tcW w:w="1250" w:type="dxa"/>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r w:rsidRPr="00CA690D">
              <w:rPr>
                <w:rFonts w:ascii="Gill Sans" w:eastAsia="Calibri" w:hAnsi="Gill Sans" w:cs="Calibri"/>
                <w:sz w:val="16"/>
                <w:szCs w:val="16"/>
              </w:rPr>
              <w:t xml:space="preserve">       212.5 </w:t>
            </w:r>
          </w:p>
        </w:tc>
        <w:tc>
          <w:tcPr>
            <w:tcW w:w="1250" w:type="dxa"/>
            <w:shd w:val="clear" w:color="auto" w:fill="FABF8F"/>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r w:rsidRPr="00CA690D">
              <w:rPr>
                <w:rFonts w:ascii="Gill Sans" w:eastAsia="Calibri" w:hAnsi="Gill Sans" w:cs="Calibri"/>
                <w:sz w:val="16"/>
                <w:szCs w:val="16"/>
              </w:rPr>
              <w:t xml:space="preserve">       222.6 </w:t>
            </w:r>
          </w:p>
        </w:tc>
        <w:tc>
          <w:tcPr>
            <w:tcW w:w="1250" w:type="dxa"/>
            <w:shd w:val="clear" w:color="auto" w:fill="FBD4B4"/>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Calibri"/>
                <w:sz w:val="16"/>
                <w:szCs w:val="16"/>
              </w:rPr>
            </w:pPr>
            <w:r w:rsidRPr="00CA690D">
              <w:rPr>
                <w:rFonts w:ascii="Gill Sans" w:eastAsia="Calibri" w:hAnsi="Gill Sans" w:cs="Calibri"/>
                <w:sz w:val="16"/>
                <w:szCs w:val="16"/>
              </w:rPr>
              <w:t xml:space="preserve">                10.1 </w:t>
            </w:r>
          </w:p>
        </w:tc>
      </w:tr>
      <w:tr w:rsidR="00CA690D" w:rsidRPr="00CA690D" w:rsidTr="00BD1D71">
        <w:trPr>
          <w:trHeight w:val="87"/>
        </w:trPr>
        <w:tc>
          <w:tcPr>
            <w:cnfStyle w:val="001000000000" w:firstRow="0" w:lastRow="0" w:firstColumn="1" w:lastColumn="0" w:oddVBand="0" w:evenVBand="0" w:oddHBand="0" w:evenHBand="0" w:firstRowFirstColumn="0" w:firstRowLastColumn="0" w:lastRowFirstColumn="0" w:lastRowLastColumn="0"/>
            <w:tcW w:w="4132" w:type="dxa"/>
            <w:hideMark/>
          </w:tcPr>
          <w:p w:rsidR="00CA690D" w:rsidRPr="00CA690D" w:rsidRDefault="00CA690D" w:rsidP="00CA690D">
            <w:pPr>
              <w:rPr>
                <w:rFonts w:ascii="Gill Sans" w:eastAsia="Calibri" w:hAnsi="Gill Sans" w:cs="Times New Roman"/>
                <w:sz w:val="16"/>
                <w:szCs w:val="16"/>
              </w:rPr>
            </w:pPr>
            <w:r w:rsidRPr="00CA690D">
              <w:rPr>
                <w:rFonts w:ascii="Gill Sans" w:eastAsia="Calibri" w:hAnsi="Gill Sans" w:cs="Times New Roman"/>
                <w:sz w:val="16"/>
                <w:szCs w:val="16"/>
              </w:rPr>
              <w:t>Totale ricavi</w:t>
            </w:r>
          </w:p>
        </w:tc>
        <w:tc>
          <w:tcPr>
            <w:tcW w:w="1250" w:type="dxa"/>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b/>
                <w:sz w:val="16"/>
                <w:szCs w:val="16"/>
              </w:rPr>
            </w:pPr>
            <w:r w:rsidRPr="00CA690D">
              <w:rPr>
                <w:rFonts w:ascii="Gill Sans" w:eastAsia="Calibri" w:hAnsi="Gill Sans" w:cs="Times New Roman"/>
                <w:b/>
                <w:sz w:val="16"/>
                <w:szCs w:val="16"/>
              </w:rPr>
              <w:t xml:space="preserve"> 4'160.4 </w:t>
            </w:r>
          </w:p>
        </w:tc>
        <w:tc>
          <w:tcPr>
            <w:tcW w:w="1250" w:type="dxa"/>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b/>
                <w:sz w:val="16"/>
                <w:szCs w:val="16"/>
              </w:rPr>
            </w:pPr>
            <w:r w:rsidRPr="00CA690D">
              <w:rPr>
                <w:rFonts w:ascii="Gill Sans" w:eastAsia="Calibri" w:hAnsi="Gill Sans" w:cs="Calibri"/>
                <w:b/>
                <w:bCs/>
                <w:sz w:val="16"/>
                <w:szCs w:val="16"/>
              </w:rPr>
              <w:t xml:space="preserve">  4'037.9 </w:t>
            </w:r>
          </w:p>
        </w:tc>
        <w:tc>
          <w:tcPr>
            <w:tcW w:w="1250" w:type="dxa"/>
            <w:shd w:val="clear" w:color="auto" w:fill="FABF8F"/>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b/>
                <w:sz w:val="16"/>
                <w:szCs w:val="16"/>
              </w:rPr>
            </w:pPr>
            <w:r w:rsidRPr="00CA690D">
              <w:rPr>
                <w:rFonts w:ascii="Gill Sans" w:eastAsia="Calibri" w:hAnsi="Gill Sans" w:cs="Calibri"/>
                <w:b/>
                <w:bCs/>
                <w:sz w:val="16"/>
                <w:szCs w:val="16"/>
              </w:rPr>
              <w:t xml:space="preserve">  4'222.5 </w:t>
            </w:r>
          </w:p>
        </w:tc>
        <w:tc>
          <w:tcPr>
            <w:tcW w:w="1250" w:type="dxa"/>
            <w:shd w:val="clear" w:color="auto" w:fill="FBD4B4"/>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Calibri"/>
                <w:b/>
                <w:sz w:val="16"/>
                <w:szCs w:val="16"/>
              </w:rPr>
            </w:pPr>
            <w:r w:rsidRPr="00CA690D">
              <w:rPr>
                <w:rFonts w:ascii="Gill Sans" w:eastAsia="Calibri" w:hAnsi="Gill Sans" w:cs="Calibri"/>
                <w:b/>
                <w:sz w:val="16"/>
                <w:szCs w:val="16"/>
              </w:rPr>
              <w:t xml:space="preserve">              184.6 </w:t>
            </w:r>
          </w:p>
        </w:tc>
      </w:tr>
      <w:tr w:rsidR="00CA690D" w:rsidRPr="00CA690D" w:rsidTr="00BD1D71">
        <w:trPr>
          <w:trHeight w:val="61"/>
        </w:trPr>
        <w:tc>
          <w:tcPr>
            <w:cnfStyle w:val="001000000000" w:firstRow="0" w:lastRow="0" w:firstColumn="1" w:lastColumn="0" w:oddVBand="0" w:evenVBand="0" w:oddHBand="0" w:evenHBand="0" w:firstRowFirstColumn="0" w:firstRowLastColumn="0" w:lastRowFirstColumn="0" w:lastRowLastColumn="0"/>
            <w:tcW w:w="4132" w:type="dxa"/>
            <w:hideMark/>
          </w:tcPr>
          <w:p w:rsidR="00CA690D" w:rsidRPr="00CA690D" w:rsidRDefault="00CA690D" w:rsidP="00CA690D">
            <w:pPr>
              <w:rPr>
                <w:rFonts w:ascii="Gill Sans" w:eastAsia="Calibri" w:hAnsi="Gill Sans" w:cs="Times New Roman"/>
                <w:sz w:val="16"/>
                <w:szCs w:val="16"/>
                <w:u w:val="single"/>
              </w:rPr>
            </w:pPr>
          </w:p>
        </w:tc>
        <w:tc>
          <w:tcPr>
            <w:tcW w:w="1250" w:type="dxa"/>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p>
        </w:tc>
        <w:tc>
          <w:tcPr>
            <w:tcW w:w="1250" w:type="dxa"/>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p>
        </w:tc>
        <w:tc>
          <w:tcPr>
            <w:tcW w:w="1250" w:type="dxa"/>
            <w:shd w:val="clear" w:color="auto" w:fill="FABF8F"/>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b/>
                <w:sz w:val="16"/>
                <w:szCs w:val="16"/>
              </w:rPr>
            </w:pPr>
          </w:p>
        </w:tc>
        <w:tc>
          <w:tcPr>
            <w:tcW w:w="1250" w:type="dxa"/>
            <w:shd w:val="clear" w:color="auto" w:fill="FBD4B4"/>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b/>
                <w:sz w:val="16"/>
                <w:szCs w:val="16"/>
              </w:rPr>
            </w:pPr>
          </w:p>
        </w:tc>
      </w:tr>
      <w:tr w:rsidR="00CA690D" w:rsidRPr="00CA690D" w:rsidTr="00BD1D71">
        <w:trPr>
          <w:trHeight w:val="125"/>
        </w:trPr>
        <w:tc>
          <w:tcPr>
            <w:cnfStyle w:val="001000000000" w:firstRow="0" w:lastRow="0" w:firstColumn="1" w:lastColumn="0" w:oddVBand="0" w:evenVBand="0" w:oddHBand="0" w:evenHBand="0" w:firstRowFirstColumn="0" w:firstRowLastColumn="0" w:lastRowFirstColumn="0" w:lastRowLastColumn="0"/>
            <w:tcW w:w="4132" w:type="dxa"/>
            <w:hideMark/>
          </w:tcPr>
          <w:p w:rsidR="00CA690D" w:rsidRPr="00CA690D" w:rsidRDefault="00CA690D" w:rsidP="00CA690D">
            <w:pPr>
              <w:rPr>
                <w:rFonts w:ascii="Gill Sans" w:eastAsia="Calibri" w:hAnsi="Gill Sans" w:cs="Times New Roman"/>
                <w:sz w:val="16"/>
                <w:szCs w:val="16"/>
              </w:rPr>
            </w:pPr>
            <w:r w:rsidRPr="00CA690D">
              <w:rPr>
                <w:rFonts w:ascii="Gill Sans" w:eastAsia="Calibri" w:hAnsi="Gill Sans" w:cs="Times New Roman"/>
                <w:sz w:val="16"/>
                <w:szCs w:val="16"/>
              </w:rPr>
              <w:t>Risultato d'esercizio</w:t>
            </w:r>
          </w:p>
        </w:tc>
        <w:tc>
          <w:tcPr>
            <w:tcW w:w="1250" w:type="dxa"/>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b/>
                <w:sz w:val="16"/>
                <w:szCs w:val="16"/>
              </w:rPr>
            </w:pPr>
            <w:r w:rsidRPr="00CA690D">
              <w:rPr>
                <w:rFonts w:ascii="Gill Sans" w:eastAsia="Calibri" w:hAnsi="Gill Sans" w:cs="Times New Roman"/>
                <w:b/>
                <w:sz w:val="16"/>
                <w:szCs w:val="16"/>
              </w:rPr>
              <w:t xml:space="preserve"> -58.2 </w:t>
            </w:r>
          </w:p>
        </w:tc>
        <w:tc>
          <w:tcPr>
            <w:tcW w:w="1250" w:type="dxa"/>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b/>
                <w:sz w:val="16"/>
                <w:szCs w:val="16"/>
              </w:rPr>
            </w:pPr>
            <w:r w:rsidRPr="00CA690D">
              <w:rPr>
                <w:rFonts w:ascii="Gill Sans" w:eastAsia="Calibri" w:hAnsi="Gill Sans" w:cs="Calibri"/>
                <w:b/>
                <w:bCs/>
                <w:sz w:val="16"/>
                <w:szCs w:val="16"/>
              </w:rPr>
              <w:t xml:space="preserve">    -134.9 </w:t>
            </w:r>
          </w:p>
        </w:tc>
        <w:tc>
          <w:tcPr>
            <w:tcW w:w="1250" w:type="dxa"/>
            <w:shd w:val="clear" w:color="auto" w:fill="FABF8F"/>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b/>
                <w:sz w:val="16"/>
                <w:szCs w:val="16"/>
              </w:rPr>
            </w:pPr>
            <w:r w:rsidRPr="00CA690D">
              <w:rPr>
                <w:rFonts w:ascii="Gill Sans" w:eastAsia="Calibri" w:hAnsi="Gill Sans" w:cs="Calibri"/>
                <w:b/>
                <w:bCs/>
                <w:sz w:val="16"/>
                <w:szCs w:val="16"/>
              </w:rPr>
              <w:t xml:space="preserve">          3.0 </w:t>
            </w:r>
          </w:p>
        </w:tc>
        <w:tc>
          <w:tcPr>
            <w:tcW w:w="1250" w:type="dxa"/>
            <w:shd w:val="clear" w:color="auto" w:fill="FBD4B4"/>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b/>
                <w:sz w:val="16"/>
                <w:szCs w:val="16"/>
              </w:rPr>
            </w:pPr>
            <w:r w:rsidRPr="00CA690D">
              <w:rPr>
                <w:rFonts w:ascii="Gill Sans" w:eastAsia="Calibri" w:hAnsi="Gill Sans" w:cs="Times New Roman"/>
                <w:b/>
                <w:sz w:val="16"/>
                <w:szCs w:val="16"/>
              </w:rPr>
              <w:t xml:space="preserve">137.9 </w:t>
            </w:r>
          </w:p>
        </w:tc>
      </w:tr>
      <w:tr w:rsidR="00CA690D" w:rsidRPr="00CA690D" w:rsidTr="00BD1D71">
        <w:trPr>
          <w:trHeight w:val="169"/>
        </w:trPr>
        <w:tc>
          <w:tcPr>
            <w:cnfStyle w:val="001000000000" w:firstRow="0" w:lastRow="0" w:firstColumn="1" w:lastColumn="0" w:oddVBand="0" w:evenVBand="0" w:oddHBand="0" w:evenHBand="0" w:firstRowFirstColumn="0" w:firstRowLastColumn="0" w:lastRowFirstColumn="0" w:lastRowLastColumn="0"/>
            <w:tcW w:w="4132" w:type="dxa"/>
            <w:hideMark/>
          </w:tcPr>
          <w:p w:rsidR="00CA690D" w:rsidRPr="00CA690D" w:rsidRDefault="00CA690D" w:rsidP="00CA690D">
            <w:pPr>
              <w:rPr>
                <w:rFonts w:ascii="Gill Sans" w:eastAsia="Calibri" w:hAnsi="Gill Sans" w:cs="Times New Roman"/>
                <w:sz w:val="18"/>
                <w:u w:val="double"/>
              </w:rPr>
            </w:pPr>
          </w:p>
        </w:tc>
        <w:tc>
          <w:tcPr>
            <w:tcW w:w="1250" w:type="dxa"/>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8"/>
              </w:rPr>
            </w:pPr>
          </w:p>
        </w:tc>
        <w:tc>
          <w:tcPr>
            <w:tcW w:w="1250" w:type="dxa"/>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8"/>
              </w:rPr>
            </w:pPr>
          </w:p>
        </w:tc>
        <w:tc>
          <w:tcPr>
            <w:tcW w:w="1250" w:type="dxa"/>
            <w:shd w:val="clear" w:color="auto" w:fill="FABF8F"/>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p>
        </w:tc>
        <w:tc>
          <w:tcPr>
            <w:tcW w:w="1250" w:type="dxa"/>
            <w:shd w:val="clear" w:color="auto" w:fill="FBD4B4"/>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p>
        </w:tc>
      </w:tr>
      <w:tr w:rsidR="00CA690D" w:rsidRPr="00CA690D" w:rsidTr="00BD1D71">
        <w:trPr>
          <w:trHeight w:val="102"/>
        </w:trPr>
        <w:tc>
          <w:tcPr>
            <w:cnfStyle w:val="001000000000" w:firstRow="0" w:lastRow="0" w:firstColumn="1" w:lastColumn="0" w:oddVBand="0" w:evenVBand="0" w:oddHBand="0" w:evenHBand="0" w:firstRowFirstColumn="0" w:firstRowLastColumn="0" w:lastRowFirstColumn="0" w:lastRowLastColumn="0"/>
            <w:tcW w:w="4132" w:type="dxa"/>
            <w:hideMark/>
          </w:tcPr>
          <w:p w:rsidR="00CA690D" w:rsidRPr="00CA690D" w:rsidRDefault="00CA690D" w:rsidP="00CA690D">
            <w:pPr>
              <w:rPr>
                <w:rFonts w:ascii="Gill Sans" w:eastAsia="Calibri" w:hAnsi="Gill Sans" w:cs="Times New Roman"/>
                <w:sz w:val="16"/>
                <w:szCs w:val="16"/>
              </w:rPr>
            </w:pPr>
            <w:r w:rsidRPr="00CA690D">
              <w:rPr>
                <w:rFonts w:ascii="Gill Sans" w:eastAsia="Calibri" w:hAnsi="Gill Sans" w:cs="Times New Roman"/>
                <w:sz w:val="16"/>
                <w:szCs w:val="16"/>
              </w:rPr>
              <w:t>Conto degli investimenti</w:t>
            </w:r>
          </w:p>
        </w:tc>
        <w:tc>
          <w:tcPr>
            <w:tcW w:w="1250" w:type="dxa"/>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p>
        </w:tc>
        <w:tc>
          <w:tcPr>
            <w:tcW w:w="1250" w:type="dxa"/>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p>
        </w:tc>
        <w:tc>
          <w:tcPr>
            <w:tcW w:w="1250" w:type="dxa"/>
            <w:shd w:val="clear" w:color="auto" w:fill="FABF8F"/>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p>
        </w:tc>
        <w:tc>
          <w:tcPr>
            <w:tcW w:w="1250" w:type="dxa"/>
            <w:shd w:val="clear" w:color="auto" w:fill="FBD4B4"/>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p>
        </w:tc>
      </w:tr>
      <w:tr w:rsidR="00CA690D" w:rsidRPr="00CA690D" w:rsidTr="00BD1D71">
        <w:trPr>
          <w:trHeight w:val="61"/>
        </w:trPr>
        <w:tc>
          <w:tcPr>
            <w:cnfStyle w:val="001000000000" w:firstRow="0" w:lastRow="0" w:firstColumn="1" w:lastColumn="0" w:oddVBand="0" w:evenVBand="0" w:oddHBand="0" w:evenHBand="0" w:firstRowFirstColumn="0" w:firstRowLastColumn="0" w:lastRowFirstColumn="0" w:lastRowLastColumn="0"/>
            <w:tcW w:w="4132" w:type="dxa"/>
            <w:hideMark/>
          </w:tcPr>
          <w:p w:rsidR="00CA690D" w:rsidRPr="00CA690D" w:rsidRDefault="00CA690D" w:rsidP="00CA690D">
            <w:pPr>
              <w:rPr>
                <w:rFonts w:ascii="Gill Sans" w:eastAsia="Calibri" w:hAnsi="Gill Sans" w:cs="Times New Roman"/>
                <w:sz w:val="16"/>
                <w:szCs w:val="16"/>
              </w:rPr>
            </w:pPr>
            <w:r w:rsidRPr="00CA690D">
              <w:rPr>
                <w:rFonts w:ascii="Gill Sans" w:eastAsia="Calibri" w:hAnsi="Gill Sans" w:cs="Times New Roman"/>
                <w:sz w:val="16"/>
                <w:szCs w:val="16"/>
              </w:rPr>
              <w:t>Uscite per investimenti</w:t>
            </w:r>
          </w:p>
        </w:tc>
        <w:tc>
          <w:tcPr>
            <w:tcW w:w="1250" w:type="dxa"/>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r w:rsidRPr="00CA690D">
              <w:rPr>
                <w:rFonts w:ascii="Gill Sans" w:eastAsia="Calibri" w:hAnsi="Gill Sans" w:cs="Times New Roman"/>
                <w:sz w:val="16"/>
                <w:szCs w:val="16"/>
              </w:rPr>
              <w:t xml:space="preserve"> 384.7 </w:t>
            </w:r>
          </w:p>
        </w:tc>
        <w:tc>
          <w:tcPr>
            <w:tcW w:w="1250" w:type="dxa"/>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r w:rsidRPr="00CA690D">
              <w:rPr>
                <w:rFonts w:ascii="Gill Sans" w:eastAsia="Calibri" w:hAnsi="Gill Sans" w:cs="Calibri"/>
                <w:sz w:val="16"/>
                <w:szCs w:val="16"/>
              </w:rPr>
              <w:t xml:space="preserve">       413.7 </w:t>
            </w:r>
          </w:p>
        </w:tc>
        <w:tc>
          <w:tcPr>
            <w:tcW w:w="1250" w:type="dxa"/>
            <w:shd w:val="clear" w:color="auto" w:fill="FABF8F"/>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r w:rsidRPr="00CA690D">
              <w:rPr>
                <w:rFonts w:ascii="Gill Sans" w:eastAsia="Calibri" w:hAnsi="Gill Sans" w:cs="Calibri"/>
                <w:sz w:val="16"/>
                <w:szCs w:val="16"/>
              </w:rPr>
              <w:t xml:space="preserve">       445.4 </w:t>
            </w:r>
          </w:p>
        </w:tc>
        <w:tc>
          <w:tcPr>
            <w:tcW w:w="1250" w:type="dxa"/>
            <w:shd w:val="clear" w:color="auto" w:fill="FBD4B4"/>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r w:rsidRPr="00CA690D">
              <w:rPr>
                <w:rFonts w:ascii="Gill Sans" w:eastAsia="Calibri" w:hAnsi="Gill Sans" w:cs="Times New Roman"/>
                <w:sz w:val="16"/>
                <w:szCs w:val="16"/>
              </w:rPr>
              <w:t xml:space="preserve"> 31.7 </w:t>
            </w:r>
          </w:p>
        </w:tc>
      </w:tr>
      <w:tr w:rsidR="00CA690D" w:rsidRPr="00CA690D" w:rsidTr="00BD1D71">
        <w:trPr>
          <w:trHeight w:val="79"/>
        </w:trPr>
        <w:tc>
          <w:tcPr>
            <w:cnfStyle w:val="001000000000" w:firstRow="0" w:lastRow="0" w:firstColumn="1" w:lastColumn="0" w:oddVBand="0" w:evenVBand="0" w:oddHBand="0" w:evenHBand="0" w:firstRowFirstColumn="0" w:firstRowLastColumn="0" w:lastRowFirstColumn="0" w:lastRowLastColumn="0"/>
            <w:tcW w:w="4132" w:type="dxa"/>
            <w:hideMark/>
          </w:tcPr>
          <w:p w:rsidR="00CA690D" w:rsidRPr="00CA690D" w:rsidRDefault="00CA690D" w:rsidP="00CA690D">
            <w:pPr>
              <w:rPr>
                <w:rFonts w:ascii="Gill Sans" w:eastAsia="Calibri" w:hAnsi="Gill Sans" w:cs="Times New Roman"/>
                <w:sz w:val="16"/>
                <w:szCs w:val="16"/>
              </w:rPr>
            </w:pPr>
            <w:r w:rsidRPr="00CA690D">
              <w:rPr>
                <w:rFonts w:ascii="Gill Sans" w:eastAsia="Calibri" w:hAnsi="Gill Sans" w:cs="Times New Roman"/>
                <w:sz w:val="16"/>
                <w:szCs w:val="16"/>
              </w:rPr>
              <w:t>Entrate per investimenti</w:t>
            </w:r>
          </w:p>
        </w:tc>
        <w:tc>
          <w:tcPr>
            <w:tcW w:w="1250" w:type="dxa"/>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r w:rsidRPr="00CA690D">
              <w:rPr>
                <w:rFonts w:ascii="Gill Sans" w:eastAsia="Calibri" w:hAnsi="Gill Sans" w:cs="Times New Roman"/>
                <w:sz w:val="16"/>
                <w:szCs w:val="16"/>
              </w:rPr>
              <w:t xml:space="preserve"> 129.7 </w:t>
            </w:r>
          </w:p>
        </w:tc>
        <w:tc>
          <w:tcPr>
            <w:tcW w:w="1250" w:type="dxa"/>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r w:rsidRPr="00CA690D">
              <w:rPr>
                <w:rFonts w:ascii="Gill Sans" w:eastAsia="Calibri" w:hAnsi="Gill Sans" w:cs="Calibri"/>
                <w:sz w:val="16"/>
                <w:szCs w:val="16"/>
              </w:rPr>
              <w:t xml:space="preserve">       144.9 </w:t>
            </w:r>
          </w:p>
        </w:tc>
        <w:tc>
          <w:tcPr>
            <w:tcW w:w="1250" w:type="dxa"/>
            <w:shd w:val="clear" w:color="auto" w:fill="FABF8F"/>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r w:rsidRPr="00CA690D">
              <w:rPr>
                <w:rFonts w:ascii="Gill Sans" w:eastAsia="Calibri" w:hAnsi="Gill Sans" w:cs="Calibri"/>
                <w:sz w:val="16"/>
                <w:szCs w:val="16"/>
              </w:rPr>
              <w:t xml:space="preserve">       125.4 </w:t>
            </w:r>
          </w:p>
        </w:tc>
        <w:tc>
          <w:tcPr>
            <w:tcW w:w="1250" w:type="dxa"/>
            <w:shd w:val="clear" w:color="auto" w:fill="FBD4B4"/>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r w:rsidRPr="00CA690D">
              <w:rPr>
                <w:rFonts w:ascii="Gill Sans" w:eastAsia="Calibri" w:hAnsi="Gill Sans" w:cs="Times New Roman"/>
                <w:sz w:val="16"/>
                <w:szCs w:val="16"/>
              </w:rPr>
              <w:t xml:space="preserve">-19.5 </w:t>
            </w:r>
          </w:p>
        </w:tc>
      </w:tr>
      <w:tr w:rsidR="00CA690D" w:rsidRPr="00CA690D" w:rsidTr="00BD1D71">
        <w:trPr>
          <w:trHeight w:val="61"/>
        </w:trPr>
        <w:tc>
          <w:tcPr>
            <w:cnfStyle w:val="001000000000" w:firstRow="0" w:lastRow="0" w:firstColumn="1" w:lastColumn="0" w:oddVBand="0" w:evenVBand="0" w:oddHBand="0" w:evenHBand="0" w:firstRowFirstColumn="0" w:firstRowLastColumn="0" w:lastRowFirstColumn="0" w:lastRowLastColumn="0"/>
            <w:tcW w:w="4132" w:type="dxa"/>
            <w:hideMark/>
          </w:tcPr>
          <w:p w:rsidR="00CA690D" w:rsidRPr="00CA690D" w:rsidRDefault="00CA690D" w:rsidP="00CA690D">
            <w:pPr>
              <w:rPr>
                <w:rFonts w:ascii="Gill Sans" w:eastAsia="Calibri" w:hAnsi="Gill Sans" w:cs="Times New Roman"/>
                <w:sz w:val="16"/>
                <w:szCs w:val="16"/>
              </w:rPr>
            </w:pPr>
            <w:r w:rsidRPr="00CA690D">
              <w:rPr>
                <w:rFonts w:ascii="Gill Sans" w:eastAsia="Calibri" w:hAnsi="Gill Sans" w:cs="Times New Roman"/>
                <w:sz w:val="16"/>
                <w:szCs w:val="16"/>
              </w:rPr>
              <w:t> </w:t>
            </w:r>
          </w:p>
        </w:tc>
        <w:tc>
          <w:tcPr>
            <w:tcW w:w="1250" w:type="dxa"/>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p>
        </w:tc>
        <w:tc>
          <w:tcPr>
            <w:tcW w:w="1250" w:type="dxa"/>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p>
        </w:tc>
        <w:tc>
          <w:tcPr>
            <w:tcW w:w="1250" w:type="dxa"/>
            <w:shd w:val="clear" w:color="auto" w:fill="FABF8F"/>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p>
        </w:tc>
        <w:tc>
          <w:tcPr>
            <w:tcW w:w="1250" w:type="dxa"/>
            <w:shd w:val="clear" w:color="auto" w:fill="FBD4B4"/>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p>
        </w:tc>
      </w:tr>
      <w:tr w:rsidR="00CA690D" w:rsidRPr="00CA690D" w:rsidTr="00BD1D71">
        <w:trPr>
          <w:trHeight w:val="69"/>
        </w:trPr>
        <w:tc>
          <w:tcPr>
            <w:cnfStyle w:val="001000000000" w:firstRow="0" w:lastRow="0" w:firstColumn="1" w:lastColumn="0" w:oddVBand="0" w:evenVBand="0" w:oddHBand="0" w:evenHBand="0" w:firstRowFirstColumn="0" w:firstRowLastColumn="0" w:lastRowFirstColumn="0" w:lastRowLastColumn="0"/>
            <w:tcW w:w="4132" w:type="dxa"/>
            <w:hideMark/>
          </w:tcPr>
          <w:p w:rsidR="00CA690D" w:rsidRPr="00CA690D" w:rsidRDefault="00CA690D" w:rsidP="00CA690D">
            <w:pPr>
              <w:rPr>
                <w:rFonts w:ascii="Gill Sans" w:eastAsia="Calibri" w:hAnsi="Gill Sans" w:cs="Times New Roman"/>
                <w:sz w:val="16"/>
                <w:szCs w:val="16"/>
              </w:rPr>
            </w:pPr>
            <w:r w:rsidRPr="00CA690D">
              <w:rPr>
                <w:rFonts w:ascii="Gill Sans" w:eastAsia="Calibri" w:hAnsi="Gill Sans" w:cs="Times New Roman"/>
                <w:sz w:val="16"/>
                <w:szCs w:val="16"/>
              </w:rPr>
              <w:t>Investimenti netti</w:t>
            </w:r>
          </w:p>
        </w:tc>
        <w:tc>
          <w:tcPr>
            <w:tcW w:w="1250" w:type="dxa"/>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b/>
                <w:sz w:val="16"/>
                <w:szCs w:val="16"/>
              </w:rPr>
            </w:pPr>
            <w:r w:rsidRPr="00CA690D">
              <w:rPr>
                <w:rFonts w:ascii="Gill Sans" w:eastAsia="Calibri" w:hAnsi="Gill Sans" w:cs="Times New Roman"/>
                <w:b/>
                <w:sz w:val="16"/>
                <w:szCs w:val="16"/>
              </w:rPr>
              <w:t xml:space="preserve"> 255.0 </w:t>
            </w:r>
          </w:p>
        </w:tc>
        <w:tc>
          <w:tcPr>
            <w:tcW w:w="1250" w:type="dxa"/>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b/>
                <w:sz w:val="16"/>
                <w:szCs w:val="16"/>
              </w:rPr>
            </w:pPr>
            <w:r w:rsidRPr="00CA690D">
              <w:rPr>
                <w:rFonts w:ascii="Gill Sans" w:eastAsia="Calibri" w:hAnsi="Gill Sans" w:cs="Calibri"/>
                <w:b/>
                <w:bCs/>
                <w:sz w:val="16"/>
                <w:szCs w:val="16"/>
              </w:rPr>
              <w:t xml:space="preserve">     268.9 </w:t>
            </w:r>
          </w:p>
        </w:tc>
        <w:tc>
          <w:tcPr>
            <w:tcW w:w="1250" w:type="dxa"/>
            <w:shd w:val="clear" w:color="auto" w:fill="FABF8F"/>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b/>
                <w:sz w:val="16"/>
                <w:szCs w:val="16"/>
              </w:rPr>
            </w:pPr>
            <w:r w:rsidRPr="00CA690D">
              <w:rPr>
                <w:rFonts w:ascii="Gill Sans" w:eastAsia="Calibri" w:hAnsi="Gill Sans" w:cs="Calibri"/>
                <w:b/>
                <w:sz w:val="16"/>
                <w:szCs w:val="16"/>
              </w:rPr>
              <w:t xml:space="preserve"> </w:t>
            </w:r>
            <w:r w:rsidRPr="00CA690D">
              <w:rPr>
                <w:rFonts w:ascii="Gill Sans" w:eastAsia="Calibri" w:hAnsi="Gill Sans" w:cs="Calibri"/>
                <w:b/>
                <w:bCs/>
                <w:sz w:val="16"/>
                <w:szCs w:val="16"/>
              </w:rPr>
              <w:t xml:space="preserve">    320</w:t>
            </w:r>
            <w:r w:rsidRPr="00CA690D">
              <w:rPr>
                <w:rFonts w:ascii="Gill Sans" w:eastAsia="Calibri" w:hAnsi="Gill Sans" w:cs="Calibri"/>
                <w:b/>
                <w:sz w:val="16"/>
                <w:szCs w:val="16"/>
              </w:rPr>
              <w:t xml:space="preserve">.0 </w:t>
            </w:r>
          </w:p>
        </w:tc>
        <w:tc>
          <w:tcPr>
            <w:tcW w:w="1250" w:type="dxa"/>
            <w:shd w:val="clear" w:color="auto" w:fill="FBD4B4"/>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b/>
                <w:sz w:val="16"/>
                <w:szCs w:val="16"/>
              </w:rPr>
            </w:pPr>
            <w:r w:rsidRPr="00CA690D">
              <w:rPr>
                <w:rFonts w:ascii="Gill Sans" w:eastAsia="Calibri" w:hAnsi="Gill Sans" w:cs="Times New Roman"/>
                <w:b/>
                <w:sz w:val="16"/>
                <w:szCs w:val="16"/>
              </w:rPr>
              <w:t>51.1</w:t>
            </w:r>
          </w:p>
        </w:tc>
      </w:tr>
      <w:tr w:rsidR="00CA690D" w:rsidRPr="00CA690D" w:rsidTr="00BD1D71">
        <w:trPr>
          <w:trHeight w:val="134"/>
        </w:trPr>
        <w:tc>
          <w:tcPr>
            <w:cnfStyle w:val="001000000000" w:firstRow="0" w:lastRow="0" w:firstColumn="1" w:lastColumn="0" w:oddVBand="0" w:evenVBand="0" w:oddHBand="0" w:evenHBand="0" w:firstRowFirstColumn="0" w:firstRowLastColumn="0" w:lastRowFirstColumn="0" w:lastRowLastColumn="0"/>
            <w:tcW w:w="4132" w:type="dxa"/>
            <w:hideMark/>
          </w:tcPr>
          <w:p w:rsidR="00CA690D" w:rsidRPr="00CA690D" w:rsidRDefault="00CA690D" w:rsidP="00CA690D">
            <w:pPr>
              <w:rPr>
                <w:rFonts w:ascii="Gill Sans" w:eastAsia="Calibri" w:hAnsi="Gill Sans" w:cs="Times New Roman"/>
                <w:sz w:val="18"/>
                <w:u w:val="double"/>
              </w:rPr>
            </w:pPr>
          </w:p>
        </w:tc>
        <w:tc>
          <w:tcPr>
            <w:tcW w:w="1250" w:type="dxa"/>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b/>
                <w:sz w:val="16"/>
                <w:szCs w:val="16"/>
              </w:rPr>
            </w:pPr>
          </w:p>
        </w:tc>
        <w:tc>
          <w:tcPr>
            <w:tcW w:w="1250" w:type="dxa"/>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b/>
                <w:sz w:val="16"/>
                <w:szCs w:val="16"/>
              </w:rPr>
            </w:pPr>
          </w:p>
        </w:tc>
        <w:tc>
          <w:tcPr>
            <w:tcW w:w="1250" w:type="dxa"/>
            <w:shd w:val="clear" w:color="auto" w:fill="FABF8F"/>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p>
        </w:tc>
        <w:tc>
          <w:tcPr>
            <w:tcW w:w="1250" w:type="dxa"/>
            <w:shd w:val="clear" w:color="auto" w:fill="FBD4B4"/>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p>
        </w:tc>
      </w:tr>
      <w:tr w:rsidR="00CA690D" w:rsidRPr="00CA690D" w:rsidTr="00BD1D71">
        <w:trPr>
          <w:trHeight w:val="149"/>
        </w:trPr>
        <w:tc>
          <w:tcPr>
            <w:cnfStyle w:val="001000000000" w:firstRow="0" w:lastRow="0" w:firstColumn="1" w:lastColumn="0" w:oddVBand="0" w:evenVBand="0" w:oddHBand="0" w:evenHBand="0" w:firstRowFirstColumn="0" w:firstRowLastColumn="0" w:lastRowFirstColumn="0" w:lastRowLastColumn="0"/>
            <w:tcW w:w="4132" w:type="dxa"/>
            <w:hideMark/>
          </w:tcPr>
          <w:p w:rsidR="00CA690D" w:rsidRPr="00CA690D" w:rsidRDefault="00CA690D" w:rsidP="00CA690D">
            <w:pPr>
              <w:rPr>
                <w:rFonts w:ascii="Gill Sans" w:eastAsia="Calibri" w:hAnsi="Gill Sans" w:cs="Times New Roman"/>
                <w:sz w:val="16"/>
                <w:szCs w:val="16"/>
              </w:rPr>
            </w:pPr>
            <w:r w:rsidRPr="00CA690D">
              <w:rPr>
                <w:rFonts w:ascii="Gill Sans" w:eastAsia="Calibri" w:hAnsi="Gill Sans" w:cs="Times New Roman"/>
                <w:sz w:val="16"/>
                <w:szCs w:val="16"/>
              </w:rPr>
              <w:t>Ammortamenti ordinari beni amministrativi</w:t>
            </w:r>
          </w:p>
        </w:tc>
        <w:tc>
          <w:tcPr>
            <w:tcW w:w="1250" w:type="dxa"/>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r w:rsidRPr="00CA690D">
              <w:rPr>
                <w:rFonts w:ascii="Gill Sans" w:eastAsia="Calibri" w:hAnsi="Gill Sans" w:cs="Times New Roman"/>
                <w:sz w:val="16"/>
                <w:szCs w:val="16"/>
              </w:rPr>
              <w:t xml:space="preserve"> 221.2 </w:t>
            </w:r>
          </w:p>
        </w:tc>
        <w:tc>
          <w:tcPr>
            <w:tcW w:w="1250" w:type="dxa"/>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r w:rsidRPr="00CA690D">
              <w:rPr>
                <w:rFonts w:ascii="Gill Sans" w:eastAsia="Calibri" w:hAnsi="Gill Sans" w:cs="Calibri"/>
                <w:sz w:val="16"/>
                <w:szCs w:val="16"/>
              </w:rPr>
              <w:t xml:space="preserve">       198.4 </w:t>
            </w:r>
          </w:p>
        </w:tc>
        <w:tc>
          <w:tcPr>
            <w:tcW w:w="1250" w:type="dxa"/>
            <w:shd w:val="clear" w:color="auto" w:fill="FABF8F"/>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r w:rsidRPr="00CA690D">
              <w:rPr>
                <w:rFonts w:ascii="Gill Sans" w:eastAsia="Calibri" w:hAnsi="Gill Sans" w:cs="Calibri"/>
                <w:sz w:val="16"/>
                <w:szCs w:val="16"/>
              </w:rPr>
              <w:t xml:space="preserve">       223.8 </w:t>
            </w:r>
          </w:p>
        </w:tc>
        <w:tc>
          <w:tcPr>
            <w:tcW w:w="1250" w:type="dxa"/>
            <w:shd w:val="clear" w:color="auto" w:fill="FBD4B4"/>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r w:rsidRPr="00CA690D">
              <w:rPr>
                <w:rFonts w:ascii="Gill Sans" w:eastAsia="Calibri" w:hAnsi="Gill Sans" w:cs="Times New Roman"/>
                <w:sz w:val="16"/>
                <w:szCs w:val="16"/>
              </w:rPr>
              <w:t>25.3</w:t>
            </w:r>
          </w:p>
        </w:tc>
      </w:tr>
      <w:tr w:rsidR="00CA690D" w:rsidRPr="00CA690D" w:rsidTr="00BD1D71">
        <w:trPr>
          <w:trHeight w:val="133"/>
        </w:trPr>
        <w:tc>
          <w:tcPr>
            <w:cnfStyle w:val="001000000000" w:firstRow="0" w:lastRow="0" w:firstColumn="1" w:lastColumn="0" w:oddVBand="0" w:evenVBand="0" w:oddHBand="0" w:evenHBand="0" w:firstRowFirstColumn="0" w:firstRowLastColumn="0" w:lastRowFirstColumn="0" w:lastRowLastColumn="0"/>
            <w:tcW w:w="4132" w:type="dxa"/>
            <w:hideMark/>
          </w:tcPr>
          <w:p w:rsidR="00CA690D" w:rsidRPr="00CA690D" w:rsidRDefault="00CA690D" w:rsidP="00CA690D">
            <w:pPr>
              <w:rPr>
                <w:rFonts w:ascii="Gill Sans" w:eastAsia="Calibri" w:hAnsi="Gill Sans" w:cs="Times New Roman"/>
                <w:sz w:val="16"/>
                <w:szCs w:val="16"/>
              </w:rPr>
            </w:pPr>
            <w:r w:rsidRPr="00CA690D">
              <w:rPr>
                <w:rFonts w:ascii="Gill Sans" w:eastAsia="Calibri" w:hAnsi="Gill Sans" w:cs="Times New Roman"/>
                <w:sz w:val="16"/>
                <w:szCs w:val="16"/>
              </w:rPr>
              <w:t>Vers./Prel. fondi, fin. speciali e capitale proprio</w:t>
            </w:r>
          </w:p>
        </w:tc>
        <w:tc>
          <w:tcPr>
            <w:tcW w:w="1250" w:type="dxa"/>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r w:rsidRPr="00CA690D">
              <w:rPr>
                <w:rFonts w:ascii="Gill Sans" w:eastAsia="Calibri" w:hAnsi="Gill Sans" w:cs="Times New Roman"/>
                <w:sz w:val="16"/>
                <w:szCs w:val="16"/>
              </w:rPr>
              <w:t xml:space="preserve"> 27.5 </w:t>
            </w:r>
          </w:p>
        </w:tc>
        <w:tc>
          <w:tcPr>
            <w:tcW w:w="1250" w:type="dxa"/>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r w:rsidRPr="00CA690D">
              <w:rPr>
                <w:rFonts w:ascii="Gill Sans" w:eastAsia="Calibri" w:hAnsi="Gill Sans" w:cs="Calibri"/>
                <w:sz w:val="16"/>
                <w:szCs w:val="16"/>
              </w:rPr>
              <w:t xml:space="preserve">           9.3 </w:t>
            </w:r>
          </w:p>
        </w:tc>
        <w:tc>
          <w:tcPr>
            <w:tcW w:w="1250" w:type="dxa"/>
            <w:shd w:val="clear" w:color="auto" w:fill="FABF8F"/>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r w:rsidRPr="00CA690D">
              <w:rPr>
                <w:rFonts w:ascii="Gill Sans" w:eastAsia="Calibri" w:hAnsi="Gill Sans" w:cs="Calibri"/>
                <w:sz w:val="16"/>
                <w:szCs w:val="16"/>
              </w:rPr>
              <w:t xml:space="preserve">         27.7 </w:t>
            </w:r>
          </w:p>
        </w:tc>
        <w:tc>
          <w:tcPr>
            <w:tcW w:w="1250" w:type="dxa"/>
            <w:shd w:val="clear" w:color="auto" w:fill="FBD4B4"/>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r w:rsidRPr="00CA690D">
              <w:rPr>
                <w:rFonts w:ascii="Gill Sans" w:eastAsia="Calibri" w:hAnsi="Gill Sans" w:cs="Times New Roman"/>
                <w:sz w:val="16"/>
                <w:szCs w:val="16"/>
              </w:rPr>
              <w:t xml:space="preserve">18.4 </w:t>
            </w:r>
          </w:p>
        </w:tc>
      </w:tr>
      <w:tr w:rsidR="00CA690D" w:rsidRPr="00CA690D" w:rsidTr="00BD1D71">
        <w:trPr>
          <w:trHeight w:val="61"/>
        </w:trPr>
        <w:tc>
          <w:tcPr>
            <w:cnfStyle w:val="001000000000" w:firstRow="0" w:lastRow="0" w:firstColumn="1" w:lastColumn="0" w:oddVBand="0" w:evenVBand="0" w:oddHBand="0" w:evenHBand="0" w:firstRowFirstColumn="0" w:firstRowLastColumn="0" w:lastRowFirstColumn="0" w:lastRowLastColumn="0"/>
            <w:tcW w:w="4132" w:type="dxa"/>
            <w:hideMark/>
          </w:tcPr>
          <w:p w:rsidR="00CA690D" w:rsidRPr="00CA690D" w:rsidRDefault="00CA690D" w:rsidP="00CA690D">
            <w:pPr>
              <w:rPr>
                <w:rFonts w:ascii="Gill Sans" w:eastAsia="Calibri" w:hAnsi="Gill Sans" w:cs="Times New Roman"/>
                <w:sz w:val="16"/>
                <w:szCs w:val="16"/>
              </w:rPr>
            </w:pPr>
            <w:r w:rsidRPr="00CA690D">
              <w:rPr>
                <w:rFonts w:ascii="Gill Sans" w:eastAsia="Calibri" w:hAnsi="Gill Sans" w:cs="Times New Roman"/>
                <w:sz w:val="16"/>
                <w:szCs w:val="16"/>
              </w:rPr>
              <w:t>Risultato d'esercizio</w:t>
            </w:r>
          </w:p>
        </w:tc>
        <w:tc>
          <w:tcPr>
            <w:tcW w:w="1250" w:type="dxa"/>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r w:rsidRPr="00CA690D">
              <w:rPr>
                <w:rFonts w:ascii="Gill Sans" w:eastAsia="Calibri" w:hAnsi="Gill Sans" w:cs="Times New Roman"/>
                <w:sz w:val="16"/>
                <w:szCs w:val="16"/>
              </w:rPr>
              <w:t xml:space="preserve"> -58.2 </w:t>
            </w:r>
          </w:p>
        </w:tc>
        <w:tc>
          <w:tcPr>
            <w:tcW w:w="1250" w:type="dxa"/>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r w:rsidRPr="00CA690D">
              <w:rPr>
                <w:rFonts w:ascii="Gill Sans" w:eastAsia="Calibri" w:hAnsi="Gill Sans" w:cs="Calibri"/>
                <w:sz w:val="16"/>
                <w:szCs w:val="16"/>
              </w:rPr>
              <w:t xml:space="preserve">     -134.9 </w:t>
            </w:r>
          </w:p>
        </w:tc>
        <w:tc>
          <w:tcPr>
            <w:tcW w:w="1250" w:type="dxa"/>
            <w:shd w:val="clear" w:color="auto" w:fill="FABF8F"/>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r w:rsidRPr="00CA690D">
              <w:rPr>
                <w:rFonts w:ascii="Gill Sans" w:eastAsia="Calibri" w:hAnsi="Gill Sans" w:cs="Calibri"/>
                <w:sz w:val="16"/>
                <w:szCs w:val="16"/>
              </w:rPr>
              <w:t xml:space="preserve">           3.0 </w:t>
            </w:r>
          </w:p>
        </w:tc>
        <w:tc>
          <w:tcPr>
            <w:tcW w:w="1250" w:type="dxa"/>
            <w:shd w:val="clear" w:color="auto" w:fill="FBD4B4"/>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r w:rsidRPr="00CA690D">
              <w:rPr>
                <w:rFonts w:ascii="Gill Sans" w:eastAsia="Calibri" w:hAnsi="Gill Sans" w:cs="Times New Roman"/>
                <w:sz w:val="16"/>
                <w:szCs w:val="16"/>
              </w:rPr>
              <w:t xml:space="preserve"> 137.9 </w:t>
            </w:r>
          </w:p>
        </w:tc>
      </w:tr>
      <w:tr w:rsidR="00CA690D" w:rsidRPr="00CA690D" w:rsidTr="00BD1D71">
        <w:trPr>
          <w:trHeight w:val="61"/>
        </w:trPr>
        <w:tc>
          <w:tcPr>
            <w:cnfStyle w:val="001000000000" w:firstRow="0" w:lastRow="0" w:firstColumn="1" w:lastColumn="0" w:oddVBand="0" w:evenVBand="0" w:oddHBand="0" w:evenHBand="0" w:firstRowFirstColumn="0" w:firstRowLastColumn="0" w:lastRowFirstColumn="0" w:lastRowLastColumn="0"/>
            <w:tcW w:w="4132" w:type="dxa"/>
            <w:hideMark/>
          </w:tcPr>
          <w:p w:rsidR="00CA690D" w:rsidRPr="00CA690D" w:rsidRDefault="00CA690D" w:rsidP="00CA690D">
            <w:pPr>
              <w:rPr>
                <w:rFonts w:ascii="Gill Sans" w:eastAsia="Calibri" w:hAnsi="Gill Sans" w:cs="Times New Roman"/>
                <w:sz w:val="16"/>
                <w:szCs w:val="16"/>
              </w:rPr>
            </w:pPr>
            <w:r w:rsidRPr="00CA690D">
              <w:rPr>
                <w:rFonts w:ascii="Gill Sans" w:eastAsia="Calibri" w:hAnsi="Gill Sans" w:cs="Times New Roman"/>
                <w:sz w:val="16"/>
                <w:szCs w:val="16"/>
              </w:rPr>
              <w:t>Autofinanziamento</w:t>
            </w:r>
          </w:p>
        </w:tc>
        <w:tc>
          <w:tcPr>
            <w:tcW w:w="1250" w:type="dxa"/>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b/>
                <w:sz w:val="16"/>
                <w:szCs w:val="16"/>
              </w:rPr>
            </w:pPr>
            <w:r w:rsidRPr="00CA690D">
              <w:rPr>
                <w:rFonts w:ascii="Gill Sans" w:eastAsia="Calibri" w:hAnsi="Gill Sans" w:cs="Times New Roman"/>
                <w:b/>
                <w:sz w:val="16"/>
                <w:szCs w:val="16"/>
              </w:rPr>
              <w:t xml:space="preserve"> 190.4 </w:t>
            </w:r>
          </w:p>
        </w:tc>
        <w:tc>
          <w:tcPr>
            <w:tcW w:w="1250" w:type="dxa"/>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b/>
                <w:sz w:val="16"/>
                <w:szCs w:val="16"/>
              </w:rPr>
            </w:pPr>
            <w:r w:rsidRPr="00CA690D">
              <w:rPr>
                <w:rFonts w:ascii="Gill Sans" w:eastAsia="Calibri" w:hAnsi="Gill Sans" w:cs="Calibri"/>
                <w:b/>
                <w:bCs/>
                <w:sz w:val="16"/>
                <w:szCs w:val="16"/>
              </w:rPr>
              <w:t xml:space="preserve">       72.8 </w:t>
            </w:r>
          </w:p>
        </w:tc>
        <w:tc>
          <w:tcPr>
            <w:tcW w:w="1250" w:type="dxa"/>
            <w:shd w:val="clear" w:color="auto" w:fill="FABF8F"/>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b/>
                <w:sz w:val="16"/>
                <w:szCs w:val="16"/>
              </w:rPr>
            </w:pPr>
            <w:r w:rsidRPr="00CA690D">
              <w:rPr>
                <w:rFonts w:ascii="Gill Sans" w:eastAsia="Calibri" w:hAnsi="Gill Sans" w:cs="Calibri"/>
                <w:b/>
                <w:sz w:val="16"/>
                <w:szCs w:val="16"/>
              </w:rPr>
              <w:t xml:space="preserve"> </w:t>
            </w:r>
            <w:r w:rsidRPr="00CA690D">
              <w:rPr>
                <w:rFonts w:ascii="Gill Sans" w:eastAsia="Calibri" w:hAnsi="Gill Sans" w:cs="Calibri"/>
                <w:b/>
                <w:bCs/>
                <w:sz w:val="16"/>
                <w:szCs w:val="16"/>
              </w:rPr>
              <w:t xml:space="preserve">    254</w:t>
            </w:r>
            <w:r w:rsidRPr="00CA690D">
              <w:rPr>
                <w:rFonts w:ascii="Gill Sans" w:eastAsia="Calibri" w:hAnsi="Gill Sans" w:cs="Calibri"/>
                <w:b/>
                <w:sz w:val="16"/>
                <w:szCs w:val="16"/>
              </w:rPr>
              <w:t xml:space="preserve">.4 </w:t>
            </w:r>
          </w:p>
        </w:tc>
        <w:tc>
          <w:tcPr>
            <w:tcW w:w="1250" w:type="dxa"/>
            <w:shd w:val="clear" w:color="auto" w:fill="FBD4B4"/>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b/>
                <w:sz w:val="16"/>
                <w:szCs w:val="16"/>
              </w:rPr>
            </w:pPr>
            <w:r w:rsidRPr="00CA690D">
              <w:rPr>
                <w:rFonts w:ascii="Gill Sans" w:eastAsia="Calibri" w:hAnsi="Gill Sans" w:cs="Times New Roman"/>
                <w:b/>
                <w:sz w:val="16"/>
                <w:szCs w:val="16"/>
              </w:rPr>
              <w:t xml:space="preserve"> 181.6 </w:t>
            </w:r>
          </w:p>
        </w:tc>
      </w:tr>
      <w:tr w:rsidR="00CA690D" w:rsidRPr="00CA690D" w:rsidTr="00BD1D71">
        <w:trPr>
          <w:trHeight w:val="61"/>
        </w:trPr>
        <w:tc>
          <w:tcPr>
            <w:cnfStyle w:val="001000000000" w:firstRow="0" w:lastRow="0" w:firstColumn="1" w:lastColumn="0" w:oddVBand="0" w:evenVBand="0" w:oddHBand="0" w:evenHBand="0" w:firstRowFirstColumn="0" w:firstRowLastColumn="0" w:lastRowFirstColumn="0" w:lastRowLastColumn="0"/>
            <w:tcW w:w="4132" w:type="dxa"/>
            <w:hideMark/>
          </w:tcPr>
          <w:p w:rsidR="00CA690D" w:rsidRPr="00CA690D" w:rsidRDefault="00CA690D" w:rsidP="00CA690D">
            <w:pPr>
              <w:rPr>
                <w:rFonts w:ascii="Gill Sans" w:eastAsia="Calibri" w:hAnsi="Gill Sans" w:cs="Times New Roman"/>
                <w:sz w:val="18"/>
              </w:rPr>
            </w:pPr>
            <w:r w:rsidRPr="00CA690D">
              <w:rPr>
                <w:rFonts w:ascii="Gill Sans" w:eastAsia="Calibri" w:hAnsi="Gill Sans" w:cs="Times New Roman"/>
                <w:sz w:val="18"/>
              </w:rPr>
              <w:t> </w:t>
            </w:r>
          </w:p>
        </w:tc>
        <w:tc>
          <w:tcPr>
            <w:tcW w:w="1250" w:type="dxa"/>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b/>
                <w:sz w:val="16"/>
                <w:szCs w:val="16"/>
              </w:rPr>
            </w:pPr>
          </w:p>
        </w:tc>
        <w:tc>
          <w:tcPr>
            <w:tcW w:w="1250" w:type="dxa"/>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b/>
                <w:sz w:val="16"/>
                <w:szCs w:val="16"/>
              </w:rPr>
            </w:pPr>
          </w:p>
        </w:tc>
        <w:tc>
          <w:tcPr>
            <w:tcW w:w="1250" w:type="dxa"/>
            <w:shd w:val="clear" w:color="auto" w:fill="FABF8F"/>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b/>
                <w:sz w:val="16"/>
                <w:szCs w:val="16"/>
              </w:rPr>
            </w:pPr>
          </w:p>
        </w:tc>
        <w:tc>
          <w:tcPr>
            <w:tcW w:w="1250" w:type="dxa"/>
            <w:shd w:val="clear" w:color="auto" w:fill="FBD4B4"/>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b/>
                <w:sz w:val="16"/>
                <w:szCs w:val="16"/>
              </w:rPr>
            </w:pPr>
          </w:p>
        </w:tc>
      </w:tr>
      <w:tr w:rsidR="00CA690D" w:rsidRPr="00CA690D" w:rsidTr="00BD1D71">
        <w:trPr>
          <w:trHeight w:val="70"/>
        </w:trPr>
        <w:tc>
          <w:tcPr>
            <w:cnfStyle w:val="001000000000" w:firstRow="0" w:lastRow="0" w:firstColumn="1" w:lastColumn="0" w:oddVBand="0" w:evenVBand="0" w:oddHBand="0" w:evenHBand="0" w:firstRowFirstColumn="0" w:firstRowLastColumn="0" w:lastRowFirstColumn="0" w:lastRowLastColumn="0"/>
            <w:tcW w:w="4132" w:type="dxa"/>
            <w:hideMark/>
          </w:tcPr>
          <w:p w:rsidR="00CA690D" w:rsidRPr="00CA690D" w:rsidRDefault="00CA690D" w:rsidP="00CA690D">
            <w:pPr>
              <w:rPr>
                <w:rFonts w:ascii="Gill Sans" w:eastAsia="Calibri" w:hAnsi="Gill Sans" w:cs="Times New Roman"/>
                <w:sz w:val="16"/>
                <w:szCs w:val="16"/>
              </w:rPr>
            </w:pPr>
            <w:r w:rsidRPr="00CA690D">
              <w:rPr>
                <w:rFonts w:ascii="Gill Sans" w:eastAsia="Calibri" w:hAnsi="Gill Sans" w:cs="Times New Roman"/>
                <w:sz w:val="16"/>
                <w:szCs w:val="16"/>
              </w:rPr>
              <w:t>Risultato totale</w:t>
            </w:r>
          </w:p>
        </w:tc>
        <w:tc>
          <w:tcPr>
            <w:tcW w:w="1250" w:type="dxa"/>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b/>
                <w:sz w:val="16"/>
                <w:szCs w:val="16"/>
              </w:rPr>
            </w:pPr>
            <w:r w:rsidRPr="00CA690D">
              <w:rPr>
                <w:rFonts w:ascii="Gill Sans" w:eastAsia="Calibri" w:hAnsi="Gill Sans" w:cs="Times New Roman"/>
                <w:b/>
                <w:sz w:val="16"/>
                <w:szCs w:val="16"/>
              </w:rPr>
              <w:t xml:space="preserve"> -64.6 </w:t>
            </w:r>
          </w:p>
        </w:tc>
        <w:tc>
          <w:tcPr>
            <w:tcW w:w="1250" w:type="dxa"/>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b/>
                <w:sz w:val="16"/>
                <w:szCs w:val="16"/>
              </w:rPr>
            </w:pPr>
            <w:r w:rsidRPr="00CA690D">
              <w:rPr>
                <w:rFonts w:ascii="Gill Sans" w:eastAsia="Calibri" w:hAnsi="Gill Sans" w:cs="Calibri"/>
                <w:b/>
                <w:bCs/>
                <w:sz w:val="16"/>
                <w:szCs w:val="16"/>
              </w:rPr>
              <w:t xml:space="preserve">    -196.1 </w:t>
            </w:r>
          </w:p>
        </w:tc>
        <w:tc>
          <w:tcPr>
            <w:tcW w:w="1250" w:type="dxa"/>
            <w:shd w:val="clear" w:color="auto" w:fill="FABF8F"/>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b/>
                <w:sz w:val="16"/>
                <w:szCs w:val="16"/>
              </w:rPr>
            </w:pPr>
            <w:r w:rsidRPr="00CA690D">
              <w:rPr>
                <w:rFonts w:ascii="Gill Sans" w:eastAsia="Calibri" w:hAnsi="Gill Sans" w:cs="Calibri"/>
                <w:b/>
                <w:sz w:val="16"/>
                <w:szCs w:val="16"/>
              </w:rPr>
              <w:t xml:space="preserve"> </w:t>
            </w:r>
            <w:r w:rsidRPr="00CA690D">
              <w:rPr>
                <w:rFonts w:ascii="Gill Sans" w:eastAsia="Calibri" w:hAnsi="Gill Sans" w:cs="Calibri"/>
                <w:b/>
                <w:bCs/>
                <w:sz w:val="16"/>
                <w:szCs w:val="16"/>
              </w:rPr>
              <w:t xml:space="preserve">     -65</w:t>
            </w:r>
            <w:r w:rsidRPr="00CA690D">
              <w:rPr>
                <w:rFonts w:ascii="Gill Sans" w:eastAsia="Calibri" w:hAnsi="Gill Sans" w:cs="Calibri"/>
                <w:b/>
                <w:sz w:val="16"/>
                <w:szCs w:val="16"/>
              </w:rPr>
              <w:t xml:space="preserve">.6 </w:t>
            </w:r>
          </w:p>
        </w:tc>
        <w:tc>
          <w:tcPr>
            <w:tcW w:w="1250" w:type="dxa"/>
            <w:shd w:val="clear" w:color="auto" w:fill="FBD4B4"/>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b/>
                <w:sz w:val="16"/>
                <w:szCs w:val="16"/>
              </w:rPr>
            </w:pPr>
            <w:r w:rsidRPr="00CA690D">
              <w:rPr>
                <w:rFonts w:ascii="Gill Sans" w:eastAsia="Calibri" w:hAnsi="Gill Sans" w:cs="Times New Roman"/>
                <w:b/>
                <w:sz w:val="16"/>
                <w:szCs w:val="16"/>
              </w:rPr>
              <w:t xml:space="preserve"> 130.5 </w:t>
            </w:r>
          </w:p>
        </w:tc>
      </w:tr>
      <w:tr w:rsidR="00CA690D" w:rsidRPr="00CA690D" w:rsidTr="00BD1D71">
        <w:trPr>
          <w:trHeight w:val="61"/>
        </w:trPr>
        <w:tc>
          <w:tcPr>
            <w:cnfStyle w:val="001000000000" w:firstRow="0" w:lastRow="0" w:firstColumn="1" w:lastColumn="0" w:oddVBand="0" w:evenVBand="0" w:oddHBand="0" w:evenHBand="0" w:firstRowFirstColumn="0" w:firstRowLastColumn="0" w:lastRowFirstColumn="0" w:lastRowLastColumn="0"/>
            <w:tcW w:w="4132" w:type="dxa"/>
            <w:noWrap/>
            <w:hideMark/>
          </w:tcPr>
          <w:p w:rsidR="00CA690D" w:rsidRPr="00CA690D" w:rsidRDefault="00CA690D" w:rsidP="00CA690D">
            <w:pPr>
              <w:rPr>
                <w:rFonts w:ascii="Gill Sans" w:eastAsia="Calibri" w:hAnsi="Gill Sans" w:cs="Times New Roman"/>
                <w:sz w:val="16"/>
                <w:szCs w:val="16"/>
              </w:rPr>
            </w:pPr>
          </w:p>
        </w:tc>
        <w:tc>
          <w:tcPr>
            <w:tcW w:w="1250" w:type="dxa"/>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b/>
                <w:sz w:val="16"/>
                <w:szCs w:val="16"/>
              </w:rPr>
            </w:pPr>
          </w:p>
        </w:tc>
        <w:tc>
          <w:tcPr>
            <w:tcW w:w="1250" w:type="dxa"/>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b/>
                <w:sz w:val="16"/>
                <w:szCs w:val="16"/>
              </w:rPr>
            </w:pPr>
          </w:p>
        </w:tc>
        <w:tc>
          <w:tcPr>
            <w:tcW w:w="1250" w:type="dxa"/>
            <w:shd w:val="clear" w:color="auto" w:fill="FABF8F"/>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p>
        </w:tc>
        <w:tc>
          <w:tcPr>
            <w:tcW w:w="1250" w:type="dxa"/>
            <w:shd w:val="clear" w:color="auto" w:fill="FBD4B4"/>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p>
        </w:tc>
      </w:tr>
      <w:tr w:rsidR="00CA690D" w:rsidRPr="00CA690D" w:rsidTr="00BD1D71">
        <w:trPr>
          <w:trHeight w:val="62"/>
        </w:trPr>
        <w:tc>
          <w:tcPr>
            <w:cnfStyle w:val="001000000000" w:firstRow="0" w:lastRow="0" w:firstColumn="1" w:lastColumn="0" w:oddVBand="0" w:evenVBand="0" w:oddHBand="0" w:evenHBand="0" w:firstRowFirstColumn="0" w:firstRowLastColumn="0" w:lastRowFirstColumn="0" w:lastRowLastColumn="0"/>
            <w:tcW w:w="4132" w:type="dxa"/>
            <w:hideMark/>
          </w:tcPr>
          <w:p w:rsidR="00CA690D" w:rsidRPr="00CA690D" w:rsidRDefault="00CA690D" w:rsidP="00CA690D">
            <w:pPr>
              <w:rPr>
                <w:rFonts w:ascii="Gill Sans" w:eastAsia="Calibri" w:hAnsi="Gill Sans" w:cs="Times New Roman"/>
                <w:sz w:val="16"/>
                <w:szCs w:val="16"/>
              </w:rPr>
            </w:pPr>
            <w:r w:rsidRPr="00CA690D">
              <w:rPr>
                <w:rFonts w:ascii="Gill Sans" w:eastAsia="Calibri" w:hAnsi="Gill Sans" w:cs="Times New Roman"/>
                <w:sz w:val="16"/>
                <w:szCs w:val="16"/>
              </w:rPr>
              <w:t>Autofinanziamento</w:t>
            </w:r>
          </w:p>
        </w:tc>
        <w:tc>
          <w:tcPr>
            <w:tcW w:w="1250" w:type="dxa"/>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r w:rsidRPr="00CA690D">
              <w:rPr>
                <w:rFonts w:ascii="Gill Sans" w:eastAsia="Calibri" w:hAnsi="Gill Sans" w:cs="Times New Roman"/>
                <w:sz w:val="16"/>
                <w:szCs w:val="16"/>
              </w:rPr>
              <w:t xml:space="preserve"> 190.4 </w:t>
            </w:r>
          </w:p>
        </w:tc>
        <w:tc>
          <w:tcPr>
            <w:tcW w:w="1250" w:type="dxa"/>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r w:rsidRPr="00CA690D">
              <w:rPr>
                <w:rFonts w:ascii="Gill Sans" w:eastAsia="Calibri" w:hAnsi="Gill Sans" w:cs="Calibri"/>
                <w:sz w:val="16"/>
                <w:szCs w:val="16"/>
              </w:rPr>
              <w:t xml:space="preserve">         72.8 </w:t>
            </w:r>
          </w:p>
        </w:tc>
        <w:tc>
          <w:tcPr>
            <w:tcW w:w="1250" w:type="dxa"/>
            <w:shd w:val="clear" w:color="auto" w:fill="FABF8F"/>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r w:rsidRPr="00CA690D">
              <w:rPr>
                <w:rFonts w:ascii="Gill Sans" w:eastAsia="Calibri" w:hAnsi="Gill Sans" w:cs="Calibri"/>
                <w:sz w:val="16"/>
                <w:szCs w:val="16"/>
              </w:rPr>
              <w:t xml:space="preserve">       254.4 </w:t>
            </w:r>
          </w:p>
        </w:tc>
        <w:tc>
          <w:tcPr>
            <w:tcW w:w="1250" w:type="dxa"/>
            <w:shd w:val="clear" w:color="auto" w:fill="FBD4B4"/>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r w:rsidRPr="00CA690D">
              <w:rPr>
                <w:rFonts w:ascii="Gill Sans" w:eastAsia="Calibri" w:hAnsi="Gill Sans" w:cs="Times New Roman"/>
                <w:sz w:val="16"/>
                <w:szCs w:val="16"/>
              </w:rPr>
              <w:t xml:space="preserve">181.6 </w:t>
            </w:r>
          </w:p>
        </w:tc>
      </w:tr>
      <w:tr w:rsidR="00CA690D" w:rsidRPr="00CA690D" w:rsidTr="00BD1D71">
        <w:trPr>
          <w:trHeight w:val="110"/>
        </w:trPr>
        <w:tc>
          <w:tcPr>
            <w:cnfStyle w:val="001000000000" w:firstRow="0" w:lastRow="0" w:firstColumn="1" w:lastColumn="0" w:oddVBand="0" w:evenVBand="0" w:oddHBand="0" w:evenHBand="0" w:firstRowFirstColumn="0" w:firstRowLastColumn="0" w:lastRowFirstColumn="0" w:lastRowLastColumn="0"/>
            <w:tcW w:w="4132" w:type="dxa"/>
            <w:hideMark/>
          </w:tcPr>
          <w:p w:rsidR="00CA690D" w:rsidRPr="00CA690D" w:rsidRDefault="00CA690D" w:rsidP="00CA690D">
            <w:pPr>
              <w:rPr>
                <w:rFonts w:ascii="Gill Sans" w:eastAsia="Calibri" w:hAnsi="Gill Sans" w:cs="Times New Roman"/>
                <w:sz w:val="16"/>
                <w:szCs w:val="16"/>
              </w:rPr>
            </w:pPr>
            <w:r w:rsidRPr="00CA690D">
              <w:rPr>
                <w:rFonts w:ascii="Gill Sans" w:eastAsia="Calibri" w:hAnsi="Gill Sans" w:cs="Times New Roman"/>
                <w:sz w:val="16"/>
                <w:szCs w:val="16"/>
              </w:rPr>
              <w:t>Investimenti netti</w:t>
            </w:r>
          </w:p>
        </w:tc>
        <w:tc>
          <w:tcPr>
            <w:tcW w:w="1250" w:type="dxa"/>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r w:rsidRPr="00CA690D">
              <w:rPr>
                <w:rFonts w:ascii="Gill Sans" w:eastAsia="Calibri" w:hAnsi="Gill Sans" w:cs="Times New Roman"/>
                <w:sz w:val="16"/>
                <w:szCs w:val="16"/>
              </w:rPr>
              <w:t xml:space="preserve"> 255.0 </w:t>
            </w:r>
          </w:p>
        </w:tc>
        <w:tc>
          <w:tcPr>
            <w:tcW w:w="1250" w:type="dxa"/>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r w:rsidRPr="00CA690D">
              <w:rPr>
                <w:rFonts w:ascii="Gill Sans" w:eastAsia="Calibri" w:hAnsi="Gill Sans" w:cs="Calibri"/>
                <w:sz w:val="16"/>
                <w:szCs w:val="16"/>
              </w:rPr>
              <w:t xml:space="preserve">       268.9 </w:t>
            </w:r>
          </w:p>
        </w:tc>
        <w:tc>
          <w:tcPr>
            <w:tcW w:w="1250" w:type="dxa"/>
            <w:shd w:val="clear" w:color="auto" w:fill="FABF8F"/>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r w:rsidRPr="00CA690D">
              <w:rPr>
                <w:rFonts w:ascii="Gill Sans" w:eastAsia="Calibri" w:hAnsi="Gill Sans" w:cs="Calibri"/>
                <w:sz w:val="16"/>
                <w:szCs w:val="16"/>
              </w:rPr>
              <w:t xml:space="preserve">       320.0 </w:t>
            </w:r>
          </w:p>
        </w:tc>
        <w:tc>
          <w:tcPr>
            <w:tcW w:w="1250" w:type="dxa"/>
            <w:shd w:val="clear" w:color="auto" w:fill="FBD4B4"/>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sz w:val="16"/>
                <w:szCs w:val="16"/>
              </w:rPr>
            </w:pPr>
            <w:r w:rsidRPr="00CA690D">
              <w:rPr>
                <w:rFonts w:ascii="Gill Sans" w:eastAsia="Calibri" w:hAnsi="Gill Sans" w:cs="Times New Roman"/>
                <w:sz w:val="16"/>
                <w:szCs w:val="16"/>
              </w:rPr>
              <w:t>51.1</w:t>
            </w:r>
          </w:p>
        </w:tc>
      </w:tr>
      <w:tr w:rsidR="00CA690D" w:rsidRPr="00CA690D" w:rsidTr="00BD1D71">
        <w:trPr>
          <w:trHeight w:val="161"/>
        </w:trPr>
        <w:tc>
          <w:tcPr>
            <w:cnfStyle w:val="001000000000" w:firstRow="0" w:lastRow="0" w:firstColumn="1" w:lastColumn="0" w:oddVBand="0" w:evenVBand="0" w:oddHBand="0" w:evenHBand="0" w:firstRowFirstColumn="0" w:firstRowLastColumn="0" w:lastRowFirstColumn="0" w:lastRowLastColumn="0"/>
            <w:tcW w:w="4132" w:type="dxa"/>
            <w:tcBorders>
              <w:bottom w:val="single" w:sz="2" w:space="0" w:color="auto"/>
            </w:tcBorders>
            <w:noWrap/>
            <w:hideMark/>
          </w:tcPr>
          <w:p w:rsidR="00CA690D" w:rsidRPr="00CA690D" w:rsidRDefault="00CA690D" w:rsidP="00CA690D">
            <w:pPr>
              <w:rPr>
                <w:rFonts w:ascii="Gill Sans" w:eastAsia="Calibri" w:hAnsi="Gill Sans" w:cs="Times New Roman"/>
                <w:sz w:val="16"/>
                <w:szCs w:val="16"/>
              </w:rPr>
            </w:pPr>
            <w:r w:rsidRPr="00CA690D">
              <w:rPr>
                <w:rFonts w:ascii="Gill Sans" w:eastAsia="Calibri" w:hAnsi="Gill Sans" w:cs="Times New Roman"/>
                <w:sz w:val="16"/>
                <w:szCs w:val="16"/>
              </w:rPr>
              <w:t>Grado di autofinanziamento (%)</w:t>
            </w:r>
          </w:p>
        </w:tc>
        <w:tc>
          <w:tcPr>
            <w:tcW w:w="1250" w:type="dxa"/>
            <w:tcBorders>
              <w:bottom w:val="single" w:sz="2" w:space="0" w:color="auto"/>
            </w:tcBorders>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b/>
                <w:sz w:val="16"/>
                <w:szCs w:val="16"/>
              </w:rPr>
            </w:pPr>
            <w:r w:rsidRPr="00CA690D">
              <w:rPr>
                <w:rFonts w:ascii="Gill Sans" w:eastAsia="Calibri" w:hAnsi="Gill Sans" w:cs="Times New Roman"/>
                <w:b/>
                <w:sz w:val="16"/>
                <w:szCs w:val="16"/>
              </w:rPr>
              <w:t xml:space="preserve"> 74.7 </w:t>
            </w:r>
          </w:p>
        </w:tc>
        <w:tc>
          <w:tcPr>
            <w:tcW w:w="1250" w:type="dxa"/>
            <w:tcBorders>
              <w:bottom w:val="single" w:sz="2" w:space="0" w:color="auto"/>
            </w:tcBorders>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b/>
                <w:sz w:val="16"/>
                <w:szCs w:val="16"/>
              </w:rPr>
            </w:pPr>
            <w:r w:rsidRPr="00CA690D">
              <w:rPr>
                <w:rFonts w:ascii="Gill Sans" w:eastAsia="Calibri" w:hAnsi="Gill Sans" w:cs="Calibri"/>
                <w:b/>
                <w:bCs/>
                <w:sz w:val="16"/>
                <w:szCs w:val="16"/>
              </w:rPr>
              <w:t xml:space="preserve">       27.1 </w:t>
            </w:r>
          </w:p>
        </w:tc>
        <w:tc>
          <w:tcPr>
            <w:tcW w:w="1250" w:type="dxa"/>
            <w:tcBorders>
              <w:bottom w:val="single" w:sz="2" w:space="0" w:color="auto"/>
            </w:tcBorders>
            <w:shd w:val="clear" w:color="auto" w:fill="FABF8F"/>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b/>
                <w:sz w:val="16"/>
                <w:szCs w:val="16"/>
              </w:rPr>
            </w:pPr>
            <w:r w:rsidRPr="00CA690D">
              <w:rPr>
                <w:rFonts w:ascii="Gill Sans" w:eastAsia="Calibri" w:hAnsi="Gill Sans" w:cs="Calibri"/>
                <w:b/>
                <w:bCs/>
                <w:sz w:val="16"/>
                <w:szCs w:val="16"/>
              </w:rPr>
              <w:t xml:space="preserve">       79.5 </w:t>
            </w:r>
          </w:p>
        </w:tc>
        <w:tc>
          <w:tcPr>
            <w:tcW w:w="1250" w:type="dxa"/>
            <w:tcBorders>
              <w:bottom w:val="single" w:sz="2" w:space="0" w:color="auto"/>
            </w:tcBorders>
            <w:shd w:val="clear" w:color="auto" w:fill="FBD4B4"/>
            <w:noWrap/>
            <w:hideMark/>
          </w:tcPr>
          <w:p w:rsidR="00CA690D" w:rsidRPr="00CA690D" w:rsidRDefault="00CA690D" w:rsidP="00CA690D">
            <w:pPr>
              <w:jc w:val="right"/>
              <w:cnfStyle w:val="000000000000" w:firstRow="0" w:lastRow="0" w:firstColumn="0" w:lastColumn="0" w:oddVBand="0" w:evenVBand="0" w:oddHBand="0" w:evenHBand="0" w:firstRowFirstColumn="0" w:firstRowLastColumn="0" w:lastRowFirstColumn="0" w:lastRowLastColumn="0"/>
              <w:rPr>
                <w:rFonts w:ascii="Gill Sans" w:eastAsia="Calibri" w:hAnsi="Gill Sans" w:cs="Times New Roman"/>
                <w:b/>
                <w:sz w:val="16"/>
                <w:szCs w:val="16"/>
              </w:rPr>
            </w:pPr>
            <w:r w:rsidRPr="00CA690D">
              <w:rPr>
                <w:rFonts w:ascii="Gill Sans" w:eastAsia="Calibri" w:hAnsi="Gill Sans" w:cs="Times New Roman"/>
                <w:b/>
                <w:sz w:val="16"/>
                <w:szCs w:val="16"/>
              </w:rPr>
              <w:t xml:space="preserve"> 52.4 </w:t>
            </w:r>
          </w:p>
        </w:tc>
      </w:tr>
    </w:tbl>
    <w:p w:rsidR="00CA690D" w:rsidRPr="00CA690D" w:rsidRDefault="00CA690D" w:rsidP="00CA690D">
      <w:pPr>
        <w:autoSpaceDE w:val="0"/>
        <w:autoSpaceDN w:val="0"/>
        <w:adjustRightInd w:val="0"/>
        <w:rPr>
          <w:rFonts w:eastAsia="Calibri" w:cs="Arial"/>
          <w:color w:val="000000"/>
          <w:sz w:val="24"/>
          <w:szCs w:val="24"/>
          <w:lang w:eastAsia="it-CH"/>
        </w:rPr>
      </w:pPr>
    </w:p>
    <w:p w:rsidR="00CA690D" w:rsidRPr="00CA690D" w:rsidRDefault="00CA690D" w:rsidP="00CA690D">
      <w:pPr>
        <w:autoSpaceDE w:val="0"/>
        <w:autoSpaceDN w:val="0"/>
        <w:adjustRightInd w:val="0"/>
        <w:rPr>
          <w:rFonts w:eastAsia="Calibri" w:cs="Arial"/>
          <w:color w:val="000000"/>
          <w:sz w:val="24"/>
          <w:szCs w:val="24"/>
          <w:lang w:eastAsia="it-CH"/>
        </w:rPr>
      </w:pPr>
      <w:r w:rsidRPr="00CA690D">
        <w:rPr>
          <w:rFonts w:eastAsia="Calibri" w:cs="Arial"/>
          <w:noProof/>
          <w:color w:val="000000"/>
          <w:sz w:val="24"/>
          <w:szCs w:val="24"/>
          <w:lang w:eastAsia="it-CH"/>
        </w:rPr>
        <w:drawing>
          <wp:inline distT="0" distB="0" distL="0" distR="0" wp14:anchorId="0A124E6A" wp14:editId="7B56F01A">
            <wp:extent cx="5976509" cy="3436620"/>
            <wp:effectExtent l="19050" t="19050" r="24765" b="11430"/>
            <wp:docPr id="39" name="Immagine 39" descr="Immagine che contiene testo, schermata, Diagramm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magine 39" descr="Immagine che contiene testo, schermata, Diagramma, linea&#10;&#10;Descrizione generata automa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8005" cy="3443230"/>
                    </a:xfrm>
                    <a:prstGeom prst="rect">
                      <a:avLst/>
                    </a:prstGeom>
                    <a:noFill/>
                    <a:ln>
                      <a:solidFill>
                        <a:sysClr val="windowText" lastClr="000000"/>
                      </a:solidFill>
                    </a:ln>
                  </pic:spPr>
                </pic:pic>
              </a:graphicData>
            </a:graphic>
          </wp:inline>
        </w:drawing>
      </w:r>
    </w:p>
    <w:p w:rsidR="00CA690D" w:rsidRPr="00CA690D" w:rsidRDefault="00CA690D" w:rsidP="00CA690D">
      <w:pPr>
        <w:rPr>
          <w:rFonts w:eastAsia="Calibri" w:cs="Times New Roman"/>
          <w:sz w:val="24"/>
        </w:rPr>
      </w:pPr>
    </w:p>
    <w:p w:rsidR="00CA690D" w:rsidRDefault="00CA690D" w:rsidP="00CA690D">
      <w:pPr>
        <w:rPr>
          <w:rFonts w:eastAsia="Calibri" w:cs="Times New Roman"/>
          <w:sz w:val="24"/>
        </w:rPr>
      </w:pPr>
      <w:r w:rsidRPr="00CA690D">
        <w:rPr>
          <w:rFonts w:eastAsia="Calibri" w:cs="Times New Roman"/>
          <w:sz w:val="24"/>
        </w:rPr>
        <w:lastRenderedPageBreak/>
        <w:t xml:space="preserve">Da un confronto intercantonale dei risultati di esercizio, si evince che tutti i Cantoni hanno chiuso i conti in positivo. </w:t>
      </w:r>
    </w:p>
    <w:p w:rsidR="00FA34F0" w:rsidRPr="00CA690D" w:rsidRDefault="00FA34F0" w:rsidP="00CA690D">
      <w:pPr>
        <w:rPr>
          <w:rFonts w:eastAsia="Calibri" w:cs="Times New Roman"/>
          <w:sz w:val="24"/>
        </w:rPr>
      </w:pPr>
    </w:p>
    <w:p w:rsidR="00CA690D" w:rsidRPr="00CA690D" w:rsidRDefault="00CA690D" w:rsidP="00CA690D">
      <w:pPr>
        <w:rPr>
          <w:rFonts w:eastAsia="Calibri" w:cs="Times New Roman"/>
          <w:sz w:val="24"/>
        </w:rPr>
      </w:pPr>
      <w:r w:rsidRPr="00CA690D">
        <w:rPr>
          <w:rFonts w:eastAsia="Calibri" w:cs="Times New Roman"/>
          <w:sz w:val="24"/>
        </w:rPr>
        <w:t>Un dato certamente rilevante che funge da filtro entro cui leggere il risultato qui in discussione: ampiamente migliore rispetto a quanto preventivato.</w:t>
      </w:r>
    </w:p>
    <w:p w:rsidR="00CA690D" w:rsidRPr="00CA690D" w:rsidRDefault="00CA690D" w:rsidP="00CA690D">
      <w:pPr>
        <w:rPr>
          <w:rFonts w:eastAsia="Calibri" w:cs="Times New Roman"/>
          <w:sz w:val="24"/>
        </w:rPr>
      </w:pPr>
    </w:p>
    <w:p w:rsidR="00CA690D" w:rsidRPr="00CA690D" w:rsidRDefault="00CA690D" w:rsidP="00CA690D">
      <w:pPr>
        <w:rPr>
          <w:rFonts w:eastAsia="Calibri" w:cs="Times New Roman"/>
          <w:sz w:val="24"/>
        </w:rPr>
      </w:pPr>
    </w:p>
    <w:p w:rsidR="00CA690D" w:rsidRPr="00CA690D" w:rsidRDefault="00CA690D" w:rsidP="00CA690D">
      <w:pPr>
        <w:autoSpaceDE w:val="0"/>
        <w:autoSpaceDN w:val="0"/>
        <w:adjustRightInd w:val="0"/>
        <w:rPr>
          <w:rFonts w:eastAsia="Calibri" w:cs="Arial"/>
          <w:color w:val="000000"/>
          <w:sz w:val="24"/>
          <w:szCs w:val="24"/>
          <w:lang w:eastAsia="it-CH"/>
        </w:rPr>
      </w:pPr>
      <w:r w:rsidRPr="00CA690D">
        <w:rPr>
          <w:rFonts w:eastAsia="Calibri" w:cs="Arial"/>
          <w:noProof/>
          <w:color w:val="000000"/>
          <w:sz w:val="24"/>
          <w:szCs w:val="24"/>
          <w:lang w:eastAsia="it-CH"/>
        </w:rPr>
        <w:drawing>
          <wp:inline distT="0" distB="0" distL="0" distR="0" wp14:anchorId="51460D1B" wp14:editId="0771A1CC">
            <wp:extent cx="6008158" cy="3133725"/>
            <wp:effectExtent l="19050" t="19050" r="12065" b="9525"/>
            <wp:docPr id="40" name="Immagine 40" descr="Immagine che contiene testo, schermata, Carattere,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descr="Immagine che contiene testo, schermata, Carattere, diagramma&#10;&#10;Descrizione generata automa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0530" cy="3140178"/>
                    </a:xfrm>
                    <a:prstGeom prst="rect">
                      <a:avLst/>
                    </a:prstGeom>
                    <a:noFill/>
                    <a:ln>
                      <a:solidFill>
                        <a:sysClr val="windowText" lastClr="000000"/>
                      </a:solidFill>
                    </a:ln>
                  </pic:spPr>
                </pic:pic>
              </a:graphicData>
            </a:graphic>
          </wp:inline>
        </w:drawing>
      </w:r>
    </w:p>
    <w:p w:rsidR="00CA690D" w:rsidRPr="00CA690D" w:rsidRDefault="00CA690D" w:rsidP="00CA690D">
      <w:pPr>
        <w:autoSpaceDE w:val="0"/>
        <w:autoSpaceDN w:val="0"/>
        <w:adjustRightInd w:val="0"/>
        <w:rPr>
          <w:rFonts w:eastAsia="Calibri" w:cs="Arial"/>
          <w:color w:val="000000"/>
          <w:sz w:val="24"/>
          <w:szCs w:val="24"/>
          <w:lang w:eastAsia="it-CH"/>
        </w:rPr>
      </w:pPr>
    </w:p>
    <w:p w:rsidR="00CA690D" w:rsidRPr="00CA690D" w:rsidRDefault="00CA690D" w:rsidP="00CA690D">
      <w:pPr>
        <w:autoSpaceDE w:val="0"/>
        <w:autoSpaceDN w:val="0"/>
        <w:adjustRightInd w:val="0"/>
        <w:rPr>
          <w:rFonts w:eastAsia="Calibri" w:cs="Arial"/>
          <w:color w:val="000000"/>
          <w:sz w:val="24"/>
          <w:szCs w:val="24"/>
          <w:lang w:eastAsia="it-CH"/>
        </w:rPr>
      </w:pPr>
    </w:p>
    <w:p w:rsidR="00CA690D" w:rsidRPr="00CA690D" w:rsidRDefault="00FA34F0" w:rsidP="00FA34F0">
      <w:pPr>
        <w:pStyle w:val="Titolo2"/>
        <w:tabs>
          <w:tab w:val="left" w:pos="567"/>
        </w:tabs>
        <w:spacing w:before="0" w:after="120"/>
        <w:jc w:val="both"/>
        <w:rPr>
          <w:rFonts w:eastAsia="Calibri" w:cs="Times New Roman"/>
          <w:sz w:val="24"/>
          <w:lang w:val="it-IT" w:eastAsia="it-IT"/>
        </w:rPr>
      </w:pPr>
      <w:r>
        <w:rPr>
          <w:rFonts w:eastAsia="Calibri" w:cs="Times New Roman"/>
          <w:sz w:val="24"/>
          <w:lang w:val="it-IT" w:eastAsia="it-IT"/>
        </w:rPr>
        <w:t>2.2</w:t>
      </w:r>
      <w:r>
        <w:rPr>
          <w:rFonts w:eastAsia="Calibri" w:cs="Times New Roman"/>
          <w:sz w:val="24"/>
          <w:lang w:val="it-IT" w:eastAsia="it-IT"/>
        </w:rPr>
        <w:tab/>
      </w:r>
      <w:r w:rsidR="00CA690D" w:rsidRPr="00CA690D">
        <w:rPr>
          <w:rFonts w:eastAsia="Calibri" w:cs="Times New Roman"/>
          <w:sz w:val="24"/>
          <w:lang w:val="it-IT" w:eastAsia="it-IT"/>
        </w:rPr>
        <w:t>Capitale proprio e debito pubblico</w:t>
      </w:r>
    </w:p>
    <w:p w:rsidR="00CA690D" w:rsidRPr="00CA690D" w:rsidRDefault="00CA690D" w:rsidP="00CA690D">
      <w:pPr>
        <w:rPr>
          <w:rFonts w:eastAsia="Calibri" w:cs="Times New Roman"/>
          <w:sz w:val="24"/>
        </w:rPr>
      </w:pPr>
    </w:p>
    <w:p w:rsidR="00CA690D" w:rsidRPr="00CA690D" w:rsidRDefault="00CA690D" w:rsidP="00CA690D">
      <w:pPr>
        <w:rPr>
          <w:rFonts w:eastAsia="Calibri" w:cs="Times New Roman"/>
          <w:sz w:val="24"/>
        </w:rPr>
      </w:pPr>
      <w:r w:rsidRPr="00CA690D">
        <w:rPr>
          <w:rFonts w:eastAsia="Calibri" w:cs="Times New Roman"/>
          <w:noProof/>
          <w:sz w:val="24"/>
          <w:lang w:eastAsia="it-CH"/>
        </w:rPr>
        <w:drawing>
          <wp:inline distT="0" distB="0" distL="0" distR="0" wp14:anchorId="2D58D28C" wp14:editId="43920A9E">
            <wp:extent cx="6008370" cy="3298607"/>
            <wp:effectExtent l="19050" t="19050" r="11430" b="16510"/>
            <wp:docPr id="41" name="Immagine 41" descr="Immagine che contiene testo, schermata, Diagramm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descr="Immagine che contiene testo, schermata, Diagramma, linea&#10;&#10;Descrizione generata automa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13227" cy="3301273"/>
                    </a:xfrm>
                    <a:prstGeom prst="rect">
                      <a:avLst/>
                    </a:prstGeom>
                    <a:noFill/>
                    <a:ln>
                      <a:solidFill>
                        <a:sysClr val="windowText" lastClr="000000"/>
                      </a:solidFill>
                    </a:ln>
                  </pic:spPr>
                </pic:pic>
              </a:graphicData>
            </a:graphic>
          </wp:inline>
        </w:drawing>
      </w:r>
    </w:p>
    <w:p w:rsidR="00CA690D" w:rsidRPr="00CA690D" w:rsidRDefault="00CA690D" w:rsidP="00CA690D">
      <w:pPr>
        <w:rPr>
          <w:rFonts w:eastAsia="Calibri" w:cs="Times New Roman"/>
          <w:sz w:val="24"/>
        </w:rPr>
      </w:pPr>
    </w:p>
    <w:p w:rsidR="00CA690D" w:rsidRPr="00CA690D" w:rsidRDefault="00CA690D" w:rsidP="00CA690D">
      <w:pPr>
        <w:rPr>
          <w:rFonts w:eastAsia="Calibri" w:cs="Times New Roman"/>
          <w:sz w:val="24"/>
        </w:rPr>
      </w:pPr>
      <w:r w:rsidRPr="00CA690D">
        <w:rPr>
          <w:rFonts w:eastAsia="Calibri" w:cs="Times New Roman"/>
          <w:sz w:val="24"/>
        </w:rPr>
        <w:lastRenderedPageBreak/>
        <w:t xml:space="preserve">Il capitale proprio si attesta a -95.3 milioni di franchi (-98.8 milioni di franchi a fine 2021). Pertanto dopo il suo completo risanamento avvenuto con la manovra avviata per il tramite del Preventivo 2016, si torna a scendere e ad accumulare negativamente. </w:t>
      </w:r>
    </w:p>
    <w:p w:rsidR="00CA690D" w:rsidRPr="00CA690D" w:rsidRDefault="00CA690D" w:rsidP="00CA690D">
      <w:pPr>
        <w:rPr>
          <w:rFonts w:eastAsia="Calibri" w:cs="Times New Roman"/>
          <w:sz w:val="24"/>
        </w:rPr>
      </w:pPr>
    </w:p>
    <w:p w:rsidR="00CA690D" w:rsidRPr="00CA690D" w:rsidRDefault="00CA690D" w:rsidP="00CA690D">
      <w:pPr>
        <w:rPr>
          <w:rFonts w:eastAsia="Calibri" w:cs="Times New Roman"/>
          <w:sz w:val="24"/>
        </w:rPr>
      </w:pPr>
      <w:r w:rsidRPr="00CA690D">
        <w:rPr>
          <w:rFonts w:eastAsia="Calibri" w:cs="Times New Roman"/>
          <w:sz w:val="24"/>
        </w:rPr>
        <w:t xml:space="preserve">Gli investimenti netti effettuati nel 2022 ammontano a 320 milioni di franchi, superiori di 51.1 milioni di franchi rispetto al preventivo; questo livello di investimenti è il più alto registrato da sempre e si ripercuote anche sugli ammortamenti. </w:t>
      </w:r>
    </w:p>
    <w:p w:rsidR="00CA690D" w:rsidRPr="00CA690D" w:rsidRDefault="00CA690D" w:rsidP="00CA690D">
      <w:pPr>
        <w:rPr>
          <w:rFonts w:eastAsia="Calibri" w:cs="Times New Roman"/>
          <w:sz w:val="24"/>
        </w:rPr>
      </w:pPr>
    </w:p>
    <w:p w:rsidR="00CA690D" w:rsidRPr="00CA690D" w:rsidRDefault="00CA690D" w:rsidP="00CA690D">
      <w:pPr>
        <w:rPr>
          <w:rFonts w:eastAsia="Calibri" w:cs="Times New Roman"/>
          <w:sz w:val="24"/>
        </w:rPr>
      </w:pPr>
      <w:r w:rsidRPr="00CA690D">
        <w:rPr>
          <w:rFonts w:eastAsia="Calibri" w:cs="Times New Roman"/>
          <w:sz w:val="24"/>
        </w:rPr>
        <w:t>Deducendo dall'autofinanziamento gli investimenti netti si determina un disavanzo totale di -65.6 milioni di franchi, rispetto al disavanzo totale di -196.1 milioni di franchi del preventivo 2022.</w:t>
      </w:r>
    </w:p>
    <w:p w:rsidR="00CA690D" w:rsidRPr="00CA690D" w:rsidRDefault="00CA690D" w:rsidP="00CA690D">
      <w:pPr>
        <w:rPr>
          <w:rFonts w:eastAsia="Calibri" w:cs="Times New Roman"/>
          <w:sz w:val="24"/>
        </w:rPr>
      </w:pPr>
    </w:p>
    <w:p w:rsidR="00CA690D" w:rsidRPr="00CA690D" w:rsidRDefault="00CA690D" w:rsidP="00CA690D">
      <w:pPr>
        <w:rPr>
          <w:rFonts w:eastAsia="Calibri" w:cs="Times New Roman"/>
          <w:sz w:val="24"/>
        </w:rPr>
      </w:pPr>
      <w:r w:rsidRPr="00CA690D">
        <w:rPr>
          <w:rFonts w:eastAsia="Calibri" w:cs="Times New Roman"/>
          <w:sz w:val="24"/>
        </w:rPr>
        <w:t>Il debito pubblico, corrispondente al capitale di terzi dedotti i beni patrimoniali, evolve in relazione al risultato totale del Cantone ed è tendenzialmente in crescita dal 1990 al 2016. Dal 2017 al 2019, grazie al raggiungimento di un avanzo di esercizio, il debito pubblico è diminuito per poi ricominciare ad aumentare nuovamente a partire dal 2020 sulla spinta dell’importante disavanzo d’esercizio indotto dalla pandemia. Al 31.12.2022 il debito pubblico si attesta a 2'290 milioni di franchi.</w:t>
      </w:r>
    </w:p>
    <w:p w:rsidR="00CA690D" w:rsidRPr="00CA690D" w:rsidRDefault="00CA690D" w:rsidP="00CA690D">
      <w:pPr>
        <w:rPr>
          <w:rFonts w:eastAsia="Calibri" w:cs="Times New Roman"/>
          <w:sz w:val="24"/>
        </w:rPr>
      </w:pPr>
    </w:p>
    <w:p w:rsidR="00CA690D" w:rsidRPr="00CA690D" w:rsidRDefault="00CA690D" w:rsidP="00CA690D">
      <w:pPr>
        <w:rPr>
          <w:rFonts w:eastAsia="Calibri" w:cs="Times New Roman"/>
          <w:sz w:val="24"/>
        </w:rPr>
      </w:pPr>
      <w:r w:rsidRPr="00CA690D">
        <w:rPr>
          <w:rFonts w:eastAsia="Calibri" w:cs="Times New Roman"/>
          <w:sz w:val="24"/>
        </w:rPr>
        <w:t>Aumenta quindi rispetto all’anno precedente, situandosi appena al di sotto della soglia di 2.3 miliardi. Ed anche qui, quindi, il blocco della sua crescita ed il suo appiattimento grafico vissuto – ancora – grazie ai lavori avviati con il Preventivo 2016, viene meno con una ripartenza verso la crescita che segue il trend iniziato con la pandemia.</w:t>
      </w:r>
    </w:p>
    <w:p w:rsidR="00CA690D" w:rsidRPr="00CA690D" w:rsidRDefault="00CA690D" w:rsidP="00CA690D">
      <w:pPr>
        <w:rPr>
          <w:rFonts w:eastAsia="Calibri" w:cs="Times New Roman"/>
          <w:sz w:val="24"/>
        </w:rPr>
      </w:pPr>
    </w:p>
    <w:p w:rsidR="00CA690D" w:rsidRPr="00CA690D" w:rsidRDefault="00CA690D" w:rsidP="00CA690D">
      <w:pPr>
        <w:rPr>
          <w:rFonts w:eastAsia="Calibri" w:cs="Times New Roman"/>
          <w:sz w:val="24"/>
        </w:rPr>
      </w:pPr>
      <w:r w:rsidRPr="00CA690D">
        <w:rPr>
          <w:rFonts w:eastAsia="Calibri" w:cs="Times New Roman"/>
          <w:sz w:val="24"/>
        </w:rPr>
        <w:t>Tanto per il capitale proprio quanto per il debito pubblico il dato deve certamente farci riflettere su quali sarebbero state le conseguenze qualora dal 2016 al 2019 non avessimo condotto un risanamento e non ci fossimo presentati strutturalmente più solidi alla pandemia globale.</w:t>
      </w:r>
    </w:p>
    <w:p w:rsidR="00CA690D" w:rsidRPr="00CA690D" w:rsidRDefault="00CA690D" w:rsidP="00CA690D">
      <w:pPr>
        <w:rPr>
          <w:rFonts w:eastAsia="Calibri" w:cs="Times New Roman"/>
          <w:sz w:val="24"/>
        </w:rPr>
      </w:pPr>
    </w:p>
    <w:p w:rsidR="00CA690D" w:rsidRPr="00CA690D" w:rsidRDefault="00CA690D" w:rsidP="00CA690D">
      <w:pPr>
        <w:rPr>
          <w:rFonts w:eastAsia="Calibri" w:cs="Times New Roman"/>
          <w:sz w:val="24"/>
        </w:rPr>
      </w:pPr>
    </w:p>
    <w:p w:rsidR="00CA690D" w:rsidRPr="00CA690D" w:rsidRDefault="00CA690D" w:rsidP="00CA690D">
      <w:pPr>
        <w:jc w:val="left"/>
        <w:rPr>
          <w:rFonts w:eastAsia="Calibri" w:cs="Arial"/>
          <w:sz w:val="24"/>
          <w:szCs w:val="24"/>
        </w:rPr>
      </w:pPr>
      <w:r w:rsidRPr="00CA690D">
        <w:rPr>
          <w:rFonts w:eastAsia="Calibri" w:cs="Arial"/>
          <w:noProof/>
          <w:sz w:val="24"/>
          <w:szCs w:val="24"/>
          <w:lang w:eastAsia="it-CH"/>
        </w:rPr>
        <w:drawing>
          <wp:inline distT="0" distB="0" distL="0" distR="0" wp14:anchorId="54AE2D5C" wp14:editId="390EF3B8">
            <wp:extent cx="5989320" cy="3353322"/>
            <wp:effectExtent l="19050" t="19050" r="11430" b="19050"/>
            <wp:docPr id="42" name="Immagine 42" descr="Immagine che contiene testo, schermata, Diagramm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descr="Immagine che contiene testo, schermata, Diagramma, linea&#10;&#10;Descrizione generata automa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20689" cy="3370885"/>
                    </a:xfrm>
                    <a:prstGeom prst="rect">
                      <a:avLst/>
                    </a:prstGeom>
                    <a:noFill/>
                    <a:ln>
                      <a:solidFill>
                        <a:sysClr val="windowText" lastClr="000000"/>
                      </a:solidFill>
                    </a:ln>
                  </pic:spPr>
                </pic:pic>
              </a:graphicData>
            </a:graphic>
          </wp:inline>
        </w:drawing>
      </w:r>
    </w:p>
    <w:p w:rsidR="00CA690D" w:rsidRPr="00CA690D" w:rsidRDefault="00FA34F0" w:rsidP="00FA34F0">
      <w:pPr>
        <w:pStyle w:val="Titolo2"/>
        <w:tabs>
          <w:tab w:val="left" w:pos="567"/>
        </w:tabs>
        <w:spacing w:before="0" w:after="120"/>
        <w:jc w:val="both"/>
        <w:rPr>
          <w:rFonts w:eastAsia="Calibri" w:cs="Times New Roman"/>
          <w:sz w:val="24"/>
          <w:lang w:val="it-IT" w:eastAsia="it-IT"/>
        </w:rPr>
      </w:pPr>
      <w:r>
        <w:rPr>
          <w:rFonts w:eastAsia="Calibri" w:cs="Times New Roman"/>
          <w:sz w:val="24"/>
          <w:lang w:val="it-IT" w:eastAsia="it-IT"/>
        </w:rPr>
        <w:lastRenderedPageBreak/>
        <w:t>2.3</w:t>
      </w:r>
      <w:r>
        <w:rPr>
          <w:rFonts w:eastAsia="Calibri" w:cs="Times New Roman"/>
          <w:sz w:val="24"/>
          <w:lang w:val="it-IT" w:eastAsia="it-IT"/>
        </w:rPr>
        <w:tab/>
      </w:r>
      <w:r w:rsidR="00CA690D" w:rsidRPr="00CA690D">
        <w:rPr>
          <w:rFonts w:eastAsia="Calibri" w:cs="Times New Roman"/>
          <w:sz w:val="24"/>
          <w:lang w:val="it-IT" w:eastAsia="it-IT"/>
        </w:rPr>
        <w:t>Spese e ricavi</w:t>
      </w:r>
    </w:p>
    <w:p w:rsidR="00CA690D" w:rsidRPr="00CA690D" w:rsidRDefault="00CA690D" w:rsidP="00CA690D">
      <w:pPr>
        <w:rPr>
          <w:rFonts w:eastAsia="Calibri" w:cs="Times New Roman"/>
          <w:sz w:val="24"/>
        </w:rPr>
      </w:pPr>
    </w:p>
    <w:p w:rsidR="00CA690D" w:rsidRPr="00CA690D" w:rsidRDefault="00CA690D" w:rsidP="00CA690D">
      <w:pPr>
        <w:rPr>
          <w:rFonts w:eastAsia="Calibri" w:cs="Times New Roman"/>
          <w:sz w:val="24"/>
        </w:rPr>
      </w:pPr>
      <w:r w:rsidRPr="00CA690D">
        <w:rPr>
          <w:rFonts w:eastAsia="Calibri" w:cs="Times New Roman"/>
          <w:noProof/>
          <w:sz w:val="24"/>
          <w:lang w:eastAsia="it-CH"/>
        </w:rPr>
        <w:drawing>
          <wp:inline distT="0" distB="0" distL="0" distR="0" wp14:anchorId="0DA8B6C2" wp14:editId="1C77ECF2">
            <wp:extent cx="5989057" cy="3425190"/>
            <wp:effectExtent l="19050" t="19050" r="12065" b="22860"/>
            <wp:docPr id="43" name="Immagine 43" descr="Immagine che contiene testo, schermata, Diagramm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descr="Immagine che contiene testo, schermata, Diagramma, linea&#10;&#10;Descrizione generata automa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6574" cy="3452365"/>
                    </a:xfrm>
                    <a:prstGeom prst="rect">
                      <a:avLst/>
                    </a:prstGeom>
                    <a:noFill/>
                    <a:ln>
                      <a:solidFill>
                        <a:sysClr val="windowText" lastClr="000000"/>
                      </a:solidFill>
                    </a:ln>
                  </pic:spPr>
                </pic:pic>
              </a:graphicData>
            </a:graphic>
          </wp:inline>
        </w:drawing>
      </w:r>
    </w:p>
    <w:p w:rsidR="00CA690D" w:rsidRPr="00CA690D" w:rsidRDefault="00CA690D" w:rsidP="00CA690D">
      <w:pPr>
        <w:rPr>
          <w:rFonts w:eastAsia="Calibri" w:cs="Times New Roman"/>
          <w:sz w:val="24"/>
        </w:rPr>
      </w:pPr>
    </w:p>
    <w:p w:rsidR="00CA690D" w:rsidRPr="00CA690D" w:rsidRDefault="00CA690D" w:rsidP="00CA690D">
      <w:pPr>
        <w:rPr>
          <w:rFonts w:eastAsia="Calibri" w:cs="Times New Roman"/>
          <w:sz w:val="24"/>
        </w:rPr>
      </w:pPr>
      <w:r w:rsidRPr="00CA690D">
        <w:rPr>
          <w:rFonts w:eastAsia="Calibri" w:cs="Times New Roman"/>
          <w:sz w:val="24"/>
        </w:rPr>
        <w:t>Di seguito si presentano i dati principali di scostamento tra C2022 e P2022.</w:t>
      </w:r>
    </w:p>
    <w:p w:rsidR="00CA690D" w:rsidRPr="00CA690D" w:rsidRDefault="00CA690D" w:rsidP="00CA690D">
      <w:pPr>
        <w:rPr>
          <w:rFonts w:eastAsia="Calibri" w:cs="Times New Roman"/>
          <w:sz w:val="24"/>
        </w:rPr>
      </w:pPr>
    </w:p>
    <w:p w:rsidR="00CA690D" w:rsidRPr="00CA690D" w:rsidRDefault="00CA690D" w:rsidP="00FA34F0">
      <w:pPr>
        <w:pStyle w:val="Titolo3"/>
        <w:tabs>
          <w:tab w:val="left" w:pos="709"/>
        </w:tabs>
        <w:spacing w:after="120"/>
        <w:jc w:val="both"/>
        <w:rPr>
          <w:rFonts w:eastAsia="Calibri" w:cs="Times New Roman"/>
          <w:i/>
          <w:sz w:val="23"/>
          <w:szCs w:val="23"/>
          <w:lang w:val="it-IT" w:eastAsia="it-IT"/>
        </w:rPr>
      </w:pPr>
      <w:r w:rsidRPr="00CA690D">
        <w:rPr>
          <w:rFonts w:eastAsia="Calibri" w:cs="Times New Roman"/>
          <w:i/>
          <w:sz w:val="23"/>
          <w:szCs w:val="23"/>
          <w:lang w:val="it-IT" w:eastAsia="it-IT"/>
        </w:rPr>
        <w:t>2.3.1</w:t>
      </w:r>
      <w:r w:rsidRPr="00CA690D">
        <w:rPr>
          <w:rFonts w:eastAsia="Calibri" w:cs="Times New Roman"/>
          <w:i/>
          <w:sz w:val="23"/>
          <w:szCs w:val="23"/>
          <w:lang w:val="it-IT" w:eastAsia="it-IT"/>
        </w:rPr>
        <w:tab/>
        <w:t xml:space="preserve">Spesa </w:t>
      </w:r>
    </w:p>
    <w:p w:rsidR="00CA690D" w:rsidRPr="00CA690D" w:rsidRDefault="00CA690D" w:rsidP="00CA690D">
      <w:pPr>
        <w:rPr>
          <w:rFonts w:eastAsia="Calibri" w:cs="Times New Roman"/>
          <w:sz w:val="24"/>
        </w:rPr>
      </w:pPr>
      <w:r w:rsidRPr="00CA690D">
        <w:rPr>
          <w:rFonts w:eastAsia="Calibri" w:cs="Times New Roman"/>
          <w:sz w:val="24"/>
        </w:rPr>
        <w:t>Rispetto al 2021 le spese sono diminuite: ricordiamo che nel 2021 i conti sono stati influenzati straordinariamente dal programma di sostegno economico ai settori economici particolarmente colpiti dalla Pandemia (casi di rigore) per i quali il Cantone ha stanziato aiuti per 139.1 milioni di franchi, a fronte però di contributi federali per 132.5 milioni di franchi.</w:t>
      </w:r>
    </w:p>
    <w:p w:rsidR="00CA690D" w:rsidRPr="00CA690D" w:rsidRDefault="00CA690D" w:rsidP="00CA690D">
      <w:pPr>
        <w:rPr>
          <w:rFonts w:eastAsia="Calibri" w:cs="Times New Roman"/>
          <w:sz w:val="24"/>
        </w:rPr>
      </w:pPr>
    </w:p>
    <w:p w:rsidR="00CA690D" w:rsidRPr="00CA690D" w:rsidRDefault="00CA690D" w:rsidP="00CA690D">
      <w:pPr>
        <w:rPr>
          <w:rFonts w:eastAsia="Calibri" w:cs="Times New Roman"/>
          <w:sz w:val="24"/>
        </w:rPr>
      </w:pPr>
      <w:r w:rsidRPr="00CA690D">
        <w:rPr>
          <w:rFonts w:eastAsia="Calibri" w:cs="Times New Roman"/>
          <w:sz w:val="24"/>
        </w:rPr>
        <w:t>Le spese di consuntivo 2022 sono invece risultate superiori rispetto al preventivo di 46.8 milioni di franchi a seguito principalmente dell’incremento della spesa per beni e servizi (+28.3 milioni), in particolare le spese per la gestione dei centri per i richiedenti l’asilo ucraini (+8.3 milioni, quasi totalmente compensate dalla Confederazione), le spese per l’organizzazione del soccorso dell’emergenza sanitaria dovuta alla pandemia di COVID-19 (+4.8 milioni) e le spese per l’energia degli stabili, cresciute di 4.5 milioni di franchi a seguito dell’aumento dei prezzi dell’elettricità</w:t>
      </w:r>
      <w:r w:rsidRPr="00CA690D">
        <w:rPr>
          <w:rFonts w:eastAsia="Calibri" w:cs="Times New Roman"/>
          <w:sz w:val="24"/>
          <w:vertAlign w:val="superscript"/>
        </w:rPr>
        <w:footnoteReference w:id="1"/>
      </w:r>
      <w:r w:rsidRPr="00CA690D">
        <w:rPr>
          <w:rFonts w:eastAsia="Calibri" w:cs="Times New Roman"/>
          <w:sz w:val="24"/>
        </w:rPr>
        <w:t xml:space="preserve">. Crescono anche i versamenti a fondi e finanziamenti speciali (+14.7 milioni) principalmente a seguito dei maggiori versamenti ai Fondi e le spese per ammortamenti (+13.4 milioni), conseguenti ai maggiori investimenti effettuati. </w:t>
      </w:r>
    </w:p>
    <w:p w:rsidR="00CA690D" w:rsidRPr="00CA690D" w:rsidRDefault="00CA690D" w:rsidP="00CA690D">
      <w:pPr>
        <w:rPr>
          <w:rFonts w:eastAsia="Calibri" w:cs="Times New Roman"/>
          <w:sz w:val="24"/>
        </w:rPr>
      </w:pPr>
    </w:p>
    <w:p w:rsidR="00CA690D" w:rsidRPr="00CA690D" w:rsidRDefault="00CA690D" w:rsidP="00CA690D">
      <w:pPr>
        <w:rPr>
          <w:rFonts w:eastAsia="Calibri" w:cs="Times New Roman"/>
          <w:sz w:val="24"/>
        </w:rPr>
      </w:pPr>
      <w:r w:rsidRPr="00CA690D">
        <w:rPr>
          <w:rFonts w:eastAsia="Calibri" w:cs="Times New Roman"/>
          <w:sz w:val="24"/>
        </w:rPr>
        <w:t xml:space="preserve">Si registra d’altro canto una riduzione delle spese di trasferimento inferiori di 31.5 milioni rispetto al preventivo. </w:t>
      </w:r>
    </w:p>
    <w:p w:rsidR="00CA690D" w:rsidRPr="00CA690D" w:rsidRDefault="00CA690D" w:rsidP="00CA690D">
      <w:pPr>
        <w:rPr>
          <w:rFonts w:eastAsia="Calibri" w:cs="Times New Roman"/>
          <w:sz w:val="24"/>
        </w:rPr>
      </w:pPr>
      <w:r w:rsidRPr="00CA690D">
        <w:rPr>
          <w:rFonts w:eastAsia="Calibri" w:cs="Times New Roman"/>
          <w:sz w:val="24"/>
        </w:rPr>
        <w:lastRenderedPageBreak/>
        <w:t>Per quanto concerne la struttura della spesa, in un confronto tra il 2001 e il 2021 in termini relativi (in percentuale per capitolo di spesa), rileviamo che è cresciuto il peso dei contributi a enti terzi, passati dal 37% nel 2001 al 47% nel 2022. Le altre voci (in particolare la spesa del personale e le spese per beni e servizi) hanno conosciuto, in termini relativi, un’erosione.</w:t>
      </w:r>
    </w:p>
    <w:p w:rsidR="00CA690D" w:rsidRPr="00CA690D" w:rsidRDefault="00CA690D" w:rsidP="00CA690D">
      <w:pPr>
        <w:rPr>
          <w:rFonts w:eastAsia="Calibri" w:cs="Times New Roman"/>
          <w:sz w:val="24"/>
        </w:rPr>
      </w:pPr>
    </w:p>
    <w:p w:rsidR="00CA690D" w:rsidRPr="00CA690D" w:rsidRDefault="00CA690D" w:rsidP="00CA690D">
      <w:pPr>
        <w:rPr>
          <w:rFonts w:eastAsia="Calibri" w:cs="Times New Roman"/>
          <w:sz w:val="24"/>
        </w:rPr>
      </w:pPr>
      <w:r w:rsidRPr="00CA690D">
        <w:rPr>
          <w:rFonts w:eastAsia="Calibri" w:cs="Times New Roman"/>
          <w:noProof/>
          <w:sz w:val="24"/>
          <w:lang w:eastAsia="it-CH"/>
        </w:rPr>
        <w:drawing>
          <wp:inline distT="0" distB="0" distL="0" distR="0" wp14:anchorId="3FC9C9CB" wp14:editId="3B4F4E55">
            <wp:extent cx="6006069" cy="3337560"/>
            <wp:effectExtent l="19050" t="19050" r="13970" b="15240"/>
            <wp:docPr id="45" name="Immagine 45" descr="Immagine che contiene testo, schermata, diagramm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magine 45" descr="Immagine che contiene testo, schermata, diagramma, Carattere&#10;&#10;Descrizione generata automa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15643" cy="3342880"/>
                    </a:xfrm>
                    <a:prstGeom prst="rect">
                      <a:avLst/>
                    </a:prstGeom>
                    <a:noFill/>
                    <a:ln>
                      <a:solidFill>
                        <a:sysClr val="windowText" lastClr="000000"/>
                      </a:solidFill>
                    </a:ln>
                  </pic:spPr>
                </pic:pic>
              </a:graphicData>
            </a:graphic>
          </wp:inline>
        </w:drawing>
      </w:r>
    </w:p>
    <w:p w:rsidR="00CA690D" w:rsidRPr="00CA690D" w:rsidRDefault="00CA690D" w:rsidP="00CA690D">
      <w:pPr>
        <w:rPr>
          <w:rFonts w:eastAsia="Calibri" w:cs="Times New Roman"/>
          <w:b/>
          <w:sz w:val="24"/>
        </w:rPr>
      </w:pPr>
    </w:p>
    <w:p w:rsidR="00CA690D" w:rsidRPr="00CA690D" w:rsidRDefault="00CA690D" w:rsidP="00CA690D">
      <w:pPr>
        <w:rPr>
          <w:rFonts w:eastAsia="Calibri" w:cs="Times New Roman"/>
          <w:b/>
          <w:sz w:val="24"/>
        </w:rPr>
      </w:pPr>
    </w:p>
    <w:p w:rsidR="00CA690D" w:rsidRPr="00CA690D" w:rsidRDefault="00CA690D" w:rsidP="001F4EF0">
      <w:pPr>
        <w:pStyle w:val="Titolo3"/>
        <w:tabs>
          <w:tab w:val="left" w:pos="709"/>
        </w:tabs>
        <w:spacing w:after="120"/>
        <w:jc w:val="both"/>
        <w:rPr>
          <w:rFonts w:eastAsia="Calibri" w:cs="Times New Roman"/>
          <w:i/>
          <w:sz w:val="23"/>
          <w:szCs w:val="23"/>
          <w:lang w:val="it-IT" w:eastAsia="it-IT"/>
        </w:rPr>
      </w:pPr>
      <w:r w:rsidRPr="00CA690D">
        <w:rPr>
          <w:rFonts w:eastAsia="Calibri" w:cs="Times New Roman"/>
          <w:i/>
          <w:sz w:val="23"/>
          <w:szCs w:val="23"/>
          <w:lang w:val="it-IT" w:eastAsia="it-IT"/>
        </w:rPr>
        <w:t>Spesa per il personale</w:t>
      </w:r>
    </w:p>
    <w:p w:rsidR="001F4EF0" w:rsidRPr="001F4EF0" w:rsidRDefault="001F4EF0" w:rsidP="001F4EF0">
      <w:pPr>
        <w:rPr>
          <w:rFonts w:eastAsia="Calibri" w:cs="Times New Roman"/>
          <w:sz w:val="24"/>
        </w:rPr>
      </w:pPr>
      <w:r w:rsidRPr="001F4EF0">
        <w:rPr>
          <w:rFonts w:eastAsia="Calibri" w:cs="Times New Roman"/>
          <w:sz w:val="24"/>
        </w:rPr>
        <w:t>La spesa per il personale è superiore di 4.1 milioni di franchi (+0.4%) rispetto al preventivo 2022 e di 31.7 milioni rispetto al consuntivo 2021 (+2.9%).</w:t>
      </w:r>
    </w:p>
    <w:p w:rsidR="001F4EF0" w:rsidRPr="001F4EF0" w:rsidRDefault="001F4EF0" w:rsidP="001F4EF0">
      <w:pPr>
        <w:rPr>
          <w:rFonts w:eastAsia="Calibri" w:cs="Times New Roman"/>
          <w:sz w:val="24"/>
        </w:rPr>
      </w:pPr>
    </w:p>
    <w:p w:rsidR="001F4EF0" w:rsidRPr="001F4EF0" w:rsidRDefault="001F4EF0" w:rsidP="001F4EF0">
      <w:pPr>
        <w:rPr>
          <w:rFonts w:eastAsia="Calibri" w:cs="Times New Roman"/>
          <w:sz w:val="24"/>
        </w:rPr>
      </w:pPr>
      <w:r w:rsidRPr="001F4EF0">
        <w:rPr>
          <w:rFonts w:eastAsia="Calibri" w:cs="Times New Roman"/>
          <w:sz w:val="24"/>
        </w:rPr>
        <w:t>La spesa per gli stipendi dei docenti è aumentata di 12.2 milioni di franchi rispetto al preventivo (+3.4%) e di 15.9 milioni di franchi rispetto al consuntivo 2021. L’aumento della spesa rispetto al preventivo è dovuto:</w:t>
      </w:r>
    </w:p>
    <w:p w:rsidR="001F4EF0" w:rsidRPr="001F4EF0" w:rsidRDefault="001F4EF0" w:rsidP="001F4EF0">
      <w:pPr>
        <w:numPr>
          <w:ilvl w:val="0"/>
          <w:numId w:val="22"/>
        </w:numPr>
        <w:spacing w:before="120"/>
        <w:ind w:left="284" w:hanging="284"/>
        <w:rPr>
          <w:rFonts w:eastAsia="Calibri" w:cs="Times New Roman"/>
          <w:sz w:val="24"/>
        </w:rPr>
      </w:pPr>
      <w:r w:rsidRPr="001F4EF0">
        <w:rPr>
          <w:rFonts w:eastAsia="Calibri" w:cs="Times New Roman"/>
          <w:sz w:val="24"/>
        </w:rPr>
        <w:t>alla crescita registrata nell’ambito della Sezione della pedagogia speciale (+4.5 milioni) in relazione all’aumento del numero degli allievi delle scuole speciali, all’accresciuta presa a carico degli alunni che presentano casistiche sempre più complesse, così come all’aumento delle supplenze;</w:t>
      </w:r>
    </w:p>
    <w:p w:rsidR="001F4EF0" w:rsidRPr="001F4EF0" w:rsidRDefault="001F4EF0" w:rsidP="001F4EF0">
      <w:pPr>
        <w:numPr>
          <w:ilvl w:val="0"/>
          <w:numId w:val="22"/>
        </w:numPr>
        <w:spacing w:before="120"/>
        <w:ind w:left="284" w:hanging="284"/>
        <w:rPr>
          <w:rFonts w:eastAsia="Calibri" w:cs="Times New Roman"/>
          <w:sz w:val="24"/>
        </w:rPr>
      </w:pPr>
      <w:r w:rsidRPr="001F4EF0">
        <w:rPr>
          <w:rFonts w:eastAsia="Calibri" w:cs="Times New Roman"/>
          <w:sz w:val="24"/>
        </w:rPr>
        <w:t>all’aumento rispetto al preventivo di 2.7 milioni nel settore della scuola media, riconducibile ad un aumento di sezioni e a un accresciuto bisogno di docenti di lingua e integrazione con l’inserimento in classe di allievi provenienti dall’Ucraina;</w:t>
      </w:r>
    </w:p>
    <w:p w:rsidR="001F4EF0" w:rsidRPr="001F4EF0" w:rsidRDefault="001F4EF0" w:rsidP="001F4EF0">
      <w:pPr>
        <w:numPr>
          <w:ilvl w:val="0"/>
          <w:numId w:val="22"/>
        </w:numPr>
        <w:spacing w:before="120"/>
        <w:ind w:left="284" w:hanging="284"/>
        <w:rPr>
          <w:rFonts w:eastAsia="Calibri" w:cs="Times New Roman"/>
          <w:sz w:val="24"/>
        </w:rPr>
      </w:pPr>
      <w:r w:rsidRPr="001F4EF0">
        <w:rPr>
          <w:rFonts w:eastAsia="Calibri" w:cs="Times New Roman"/>
          <w:sz w:val="24"/>
        </w:rPr>
        <w:t>all’aumento delle sezioni, compresi i corsi passerella, e all’impatto della modifica della griglia oraria nelle scuole medie superiori (+1.9 milioni di franchi);</w:t>
      </w:r>
    </w:p>
    <w:p w:rsidR="001F4EF0" w:rsidRPr="001F4EF0" w:rsidRDefault="001F4EF0" w:rsidP="001F4EF0">
      <w:pPr>
        <w:numPr>
          <w:ilvl w:val="0"/>
          <w:numId w:val="22"/>
        </w:numPr>
        <w:spacing w:before="120"/>
        <w:ind w:left="284" w:hanging="284"/>
        <w:rPr>
          <w:rFonts w:eastAsia="Calibri" w:cs="Times New Roman"/>
          <w:sz w:val="24"/>
        </w:rPr>
      </w:pPr>
      <w:r w:rsidRPr="001F4EF0">
        <w:rPr>
          <w:rFonts w:eastAsia="Calibri" w:cs="Times New Roman"/>
          <w:sz w:val="24"/>
        </w:rPr>
        <w:t>all'aumento del numero delle classi come pure le ore di insegnamento nel settore della formazione professionale conseguente all’evoluzione delle ordinanze federali di formazione (+1.8 milioni di franchi);</w:t>
      </w:r>
    </w:p>
    <w:p w:rsidR="001F4EF0" w:rsidRPr="001F4EF0" w:rsidRDefault="001F4EF0" w:rsidP="001F4EF0">
      <w:pPr>
        <w:numPr>
          <w:ilvl w:val="0"/>
          <w:numId w:val="22"/>
        </w:numPr>
        <w:spacing w:before="120"/>
        <w:ind w:left="284" w:hanging="284"/>
        <w:rPr>
          <w:rFonts w:eastAsia="Calibri" w:cs="Times New Roman"/>
          <w:sz w:val="24"/>
        </w:rPr>
      </w:pPr>
      <w:r w:rsidRPr="001F4EF0">
        <w:rPr>
          <w:rFonts w:eastAsia="Calibri" w:cs="Times New Roman"/>
          <w:sz w:val="24"/>
        </w:rPr>
        <w:lastRenderedPageBreak/>
        <w:t>alla crescita di 1 milione di franchi della spesa del personale dell’Istituto della formazione continua, principalmente a seguito dell’aumento dei corsi erogati.</w:t>
      </w:r>
    </w:p>
    <w:p w:rsidR="001F4EF0" w:rsidRPr="001F4EF0" w:rsidRDefault="001F4EF0" w:rsidP="001F4EF0">
      <w:pPr>
        <w:rPr>
          <w:rFonts w:eastAsia="Calibri" w:cs="Times New Roman"/>
          <w:sz w:val="20"/>
          <w:szCs w:val="20"/>
        </w:rPr>
      </w:pPr>
    </w:p>
    <w:p w:rsidR="001F4EF0" w:rsidRPr="001F4EF0" w:rsidRDefault="001F4EF0" w:rsidP="001F4EF0">
      <w:pPr>
        <w:rPr>
          <w:rFonts w:eastAsia="Calibri" w:cs="Times New Roman"/>
          <w:sz w:val="24"/>
        </w:rPr>
      </w:pPr>
      <w:r w:rsidRPr="001F4EF0">
        <w:rPr>
          <w:rFonts w:eastAsia="Calibri" w:cs="Times New Roman"/>
          <w:sz w:val="24"/>
        </w:rPr>
        <w:t>La spesa per gli stipendi del personale amministrativo è sostanzialmente in linea con il preventivo (-0.4 milioni, pari al -0.08%) e superiore di 9 milioni di franchi rispetto al consuntivo 2021. A fronte di una spesa supplementare di 8.7 milioni di franchi per il personale ausiliario assunto per la gestione dei richiedenti l’asilo ucraini, dell’emergenza sanitaria e dei casi di rigore, si registrano minori spese di 2.9 milioni di franchi sugli stipendi finanziati da terzi degli Uffici di collocamento e del servizio giuridico della Sezione del lavoro e minori spese per 1.4 milioni di franchi del personale dell’Organizzazione sociopsichiatrica cantonale (OSC).</w:t>
      </w:r>
    </w:p>
    <w:p w:rsidR="001F4EF0" w:rsidRPr="001F4EF0" w:rsidRDefault="001F4EF0" w:rsidP="001F4EF0">
      <w:pPr>
        <w:rPr>
          <w:rFonts w:eastAsia="Calibri" w:cs="Times New Roman"/>
          <w:sz w:val="20"/>
          <w:szCs w:val="20"/>
        </w:rPr>
      </w:pPr>
    </w:p>
    <w:p w:rsidR="001F4EF0" w:rsidRPr="001F4EF0" w:rsidRDefault="001F4EF0" w:rsidP="001F4EF0">
      <w:pPr>
        <w:rPr>
          <w:rFonts w:eastAsia="Calibri" w:cs="Times New Roman"/>
          <w:sz w:val="24"/>
        </w:rPr>
      </w:pPr>
      <w:r w:rsidRPr="001F4EF0">
        <w:rPr>
          <w:rFonts w:eastAsia="Calibri" w:cs="Times New Roman"/>
          <w:sz w:val="24"/>
        </w:rPr>
        <w:t>Si riducono poi le spese per gli oneri sociali del datore di lavoro (-5.2 milioni) visto che il contributo all’IPCT previsto a preventivo non è stato versato in relazione alla decisione di procedere con la costituzione di una riserva di contributi del datore di lavoro (RCDL).</w:t>
      </w:r>
    </w:p>
    <w:p w:rsidR="001F4EF0" w:rsidRPr="001F4EF0" w:rsidRDefault="001F4EF0" w:rsidP="001F4EF0">
      <w:pPr>
        <w:rPr>
          <w:rFonts w:eastAsia="Calibri" w:cs="Times New Roman"/>
          <w:sz w:val="20"/>
          <w:szCs w:val="20"/>
        </w:rPr>
      </w:pPr>
    </w:p>
    <w:p w:rsidR="001F4EF0" w:rsidRPr="001F4EF0" w:rsidRDefault="001F4EF0" w:rsidP="001F4EF0">
      <w:pPr>
        <w:pStyle w:val="Titolo3"/>
        <w:tabs>
          <w:tab w:val="left" w:pos="709"/>
        </w:tabs>
        <w:spacing w:after="120"/>
        <w:jc w:val="both"/>
        <w:rPr>
          <w:rFonts w:eastAsia="Calibri" w:cs="Times New Roman"/>
          <w:i/>
          <w:sz w:val="23"/>
          <w:szCs w:val="23"/>
          <w:lang w:val="it-IT" w:eastAsia="it-IT"/>
        </w:rPr>
      </w:pPr>
      <w:r w:rsidRPr="001F4EF0">
        <w:rPr>
          <w:rFonts w:eastAsia="Calibri" w:cs="Times New Roman"/>
          <w:i/>
          <w:sz w:val="23"/>
          <w:szCs w:val="23"/>
          <w:lang w:val="it-IT" w:eastAsia="it-IT"/>
        </w:rPr>
        <w:t>Spese per beni e servizi</w:t>
      </w:r>
    </w:p>
    <w:p w:rsidR="001F4EF0" w:rsidRPr="001F4EF0" w:rsidRDefault="001F4EF0" w:rsidP="001F4EF0">
      <w:pPr>
        <w:rPr>
          <w:rFonts w:eastAsia="Calibri" w:cs="Times New Roman"/>
          <w:sz w:val="24"/>
        </w:rPr>
      </w:pPr>
      <w:r w:rsidRPr="001F4EF0">
        <w:rPr>
          <w:rFonts w:eastAsia="Calibri" w:cs="Times New Roman"/>
          <w:sz w:val="24"/>
        </w:rPr>
        <w:t>Le spese per beni e servizi risultano superiori di 28.3 milioni di franchi (+8.8%) rispetto al preventivo, in particolare a seguito delle spese per la gestione dei centri per i richiedenti l’asilo ucraini (+8.3 milioni; quasi totalmente compensate dalla Confederazione), delle spese per l’organizzazione del soccorso dell’emergenza sanitaria dovuta alla pandemia di COVID-19 (+4.8 milioni) e delle spese per l’energia degli stabili, cresciute di 4.5 milioni di franchi a seguito dell’aumento dei prezzi dell’elettricità. Gli altri scostamenti di spesa sono indicati a pag. 16 del messaggio governativo.</w:t>
      </w:r>
    </w:p>
    <w:p w:rsidR="001F4EF0" w:rsidRPr="001F4EF0" w:rsidRDefault="001F4EF0" w:rsidP="001F4EF0">
      <w:pPr>
        <w:rPr>
          <w:rFonts w:eastAsia="Calibri" w:cs="Times New Roman"/>
          <w:sz w:val="20"/>
          <w:szCs w:val="20"/>
        </w:rPr>
      </w:pPr>
    </w:p>
    <w:p w:rsidR="001F4EF0" w:rsidRPr="001F4EF0" w:rsidRDefault="001F4EF0" w:rsidP="001F4EF0">
      <w:pPr>
        <w:pStyle w:val="Titolo3"/>
        <w:tabs>
          <w:tab w:val="left" w:pos="709"/>
        </w:tabs>
        <w:spacing w:after="120"/>
        <w:jc w:val="both"/>
        <w:rPr>
          <w:rFonts w:eastAsia="Calibri" w:cs="Times New Roman"/>
          <w:sz w:val="24"/>
        </w:rPr>
      </w:pPr>
      <w:r w:rsidRPr="001F4EF0">
        <w:rPr>
          <w:rFonts w:eastAsia="Calibri" w:cs="Times New Roman"/>
          <w:i/>
          <w:sz w:val="23"/>
          <w:szCs w:val="23"/>
          <w:lang w:val="it-IT" w:eastAsia="it-IT"/>
        </w:rPr>
        <w:t>Ammortamenti su beni amministrativi materiali ed immateriali</w:t>
      </w:r>
    </w:p>
    <w:p w:rsidR="001F4EF0" w:rsidRPr="001F4EF0" w:rsidRDefault="001F4EF0" w:rsidP="001F4EF0">
      <w:pPr>
        <w:rPr>
          <w:rFonts w:eastAsia="Calibri" w:cs="Times New Roman"/>
          <w:sz w:val="24"/>
        </w:rPr>
      </w:pPr>
      <w:r w:rsidRPr="001F4EF0">
        <w:rPr>
          <w:rFonts w:eastAsia="Calibri" w:cs="Times New Roman"/>
          <w:sz w:val="24"/>
        </w:rPr>
        <w:t>Sono stati registrati ammortamenti ordinari dei beni amministrativi per 117 milioni di franchi, con un aumento di 13.4 milioni di franchi (+12.9%) rispetto al dato di preventivo e un incremento di 18.8 milioni rispetto a quello del 2021 (98.2 milioni di franchi). Rileviamo come i “fabbricati e altre costruzioni” sono stati ammortizzati al 12% essendo terminata la riduzione temporanea del tasso dal 12% al 9% adottata nell’ambito del preventivo 2014 (vedi messaggio n. 6860 del 15 ottobre 2013). Questo aumento degli ammortamenti è poi legato all’incremento degli investimenti netti realizzati nel 2022, che hanno raggiunto un volume di 320 milioni di franchi, sensibilmente superiore a quello degli anni passati.</w:t>
      </w:r>
    </w:p>
    <w:p w:rsidR="001F4EF0" w:rsidRPr="001F4EF0" w:rsidRDefault="001F4EF0" w:rsidP="001F4EF0">
      <w:pPr>
        <w:rPr>
          <w:rFonts w:eastAsia="Calibri" w:cs="Times New Roman"/>
          <w:sz w:val="20"/>
          <w:szCs w:val="20"/>
        </w:rPr>
      </w:pPr>
    </w:p>
    <w:p w:rsidR="001F4EF0" w:rsidRPr="001F4EF0" w:rsidRDefault="001F4EF0" w:rsidP="001F4EF0">
      <w:pPr>
        <w:pStyle w:val="Titolo3"/>
        <w:tabs>
          <w:tab w:val="left" w:pos="709"/>
        </w:tabs>
        <w:spacing w:after="120"/>
        <w:jc w:val="both"/>
        <w:rPr>
          <w:rFonts w:eastAsia="Calibri" w:cs="Times New Roman"/>
          <w:i/>
          <w:sz w:val="23"/>
          <w:szCs w:val="23"/>
          <w:lang w:val="it-IT" w:eastAsia="it-IT"/>
        </w:rPr>
      </w:pPr>
      <w:r w:rsidRPr="001F4EF0">
        <w:rPr>
          <w:rFonts w:eastAsia="Calibri" w:cs="Times New Roman"/>
          <w:i/>
          <w:sz w:val="23"/>
          <w:szCs w:val="23"/>
          <w:lang w:val="it-IT" w:eastAsia="it-IT"/>
        </w:rPr>
        <w:t>Spese finanziarie</w:t>
      </w:r>
    </w:p>
    <w:p w:rsidR="001F4EF0" w:rsidRPr="001F4EF0" w:rsidRDefault="001F4EF0" w:rsidP="001F4EF0">
      <w:pPr>
        <w:rPr>
          <w:rFonts w:eastAsia="Calibri" w:cs="Times New Roman"/>
          <w:b/>
          <w:sz w:val="24"/>
        </w:rPr>
      </w:pPr>
      <w:r w:rsidRPr="001F4EF0">
        <w:rPr>
          <w:rFonts w:eastAsia="Calibri" w:cs="Times New Roman"/>
          <w:sz w:val="24"/>
        </w:rPr>
        <w:t>Questa voce di spesa risulta sostanzialmente allineata al preventivo.</w:t>
      </w:r>
    </w:p>
    <w:p w:rsidR="001F4EF0" w:rsidRPr="001F4EF0" w:rsidRDefault="001F4EF0" w:rsidP="001F4EF0">
      <w:pPr>
        <w:rPr>
          <w:rFonts w:eastAsia="Calibri" w:cs="Times New Roman"/>
          <w:b/>
          <w:sz w:val="20"/>
          <w:szCs w:val="20"/>
        </w:rPr>
      </w:pPr>
    </w:p>
    <w:p w:rsidR="001F4EF0" w:rsidRPr="001F4EF0" w:rsidRDefault="001F4EF0" w:rsidP="001F4EF0">
      <w:pPr>
        <w:pStyle w:val="Titolo3"/>
        <w:tabs>
          <w:tab w:val="left" w:pos="709"/>
        </w:tabs>
        <w:spacing w:after="120"/>
        <w:jc w:val="both"/>
        <w:rPr>
          <w:rFonts w:eastAsia="Calibri" w:cs="Times New Roman"/>
          <w:i/>
          <w:sz w:val="23"/>
          <w:szCs w:val="23"/>
          <w:lang w:val="it-IT" w:eastAsia="it-IT"/>
        </w:rPr>
      </w:pPr>
      <w:r w:rsidRPr="001F4EF0">
        <w:rPr>
          <w:rFonts w:eastAsia="Calibri" w:cs="Times New Roman"/>
          <w:i/>
          <w:sz w:val="23"/>
          <w:szCs w:val="23"/>
          <w:lang w:val="it-IT" w:eastAsia="it-IT"/>
        </w:rPr>
        <w:t>Versamenti a fondi e finanziamenti speciali</w:t>
      </w:r>
    </w:p>
    <w:p w:rsidR="001F4EF0" w:rsidRPr="001F4EF0" w:rsidRDefault="001F4EF0" w:rsidP="001F4EF0">
      <w:pPr>
        <w:rPr>
          <w:rFonts w:eastAsia="Calibri" w:cs="Times New Roman"/>
          <w:sz w:val="24"/>
        </w:rPr>
      </w:pPr>
      <w:r w:rsidRPr="001F4EF0">
        <w:rPr>
          <w:rFonts w:eastAsia="Calibri" w:cs="Times New Roman"/>
          <w:sz w:val="24"/>
        </w:rPr>
        <w:t>Questa voce di spesa cresce di 14.7 milioni di franchi (+90.5%) rispetto al preventivo 2022, principalmente a seguito del versamento superiore al preventivo di 3.9 milioni di franchi al Fondo per contributi sostitutivi della protezione civile, di 3.5 milioni al Fondo per le energie rinnovabili, di 3.3 milioni al Fondo per le strade nazionali, di 2.6 milioni al Fondo Swisslos e di 1.7 milioni al Fondo Sport-toto. D’altro canto si riduce di 1.4 milioni di franchi rispetto al preventivo 2022 il ver versamento al Fondo di perequazione intercomunale.</w:t>
      </w:r>
    </w:p>
    <w:p w:rsidR="001F4EF0" w:rsidRPr="001F4EF0" w:rsidRDefault="001F4EF0" w:rsidP="001F4EF0">
      <w:pPr>
        <w:rPr>
          <w:rFonts w:eastAsia="Calibri" w:cs="Times New Roman"/>
          <w:sz w:val="24"/>
        </w:rPr>
      </w:pPr>
    </w:p>
    <w:p w:rsidR="001F4EF0" w:rsidRPr="001F4EF0" w:rsidRDefault="001F4EF0" w:rsidP="001F4EF0">
      <w:pPr>
        <w:pStyle w:val="Titolo3"/>
        <w:tabs>
          <w:tab w:val="left" w:pos="709"/>
        </w:tabs>
        <w:spacing w:after="120"/>
        <w:jc w:val="both"/>
        <w:rPr>
          <w:rFonts w:eastAsia="Calibri" w:cs="Times New Roman"/>
          <w:i/>
          <w:sz w:val="23"/>
          <w:szCs w:val="23"/>
          <w:lang w:val="it-IT" w:eastAsia="it-IT"/>
        </w:rPr>
      </w:pPr>
      <w:r w:rsidRPr="001F4EF0">
        <w:rPr>
          <w:rFonts w:eastAsia="Calibri" w:cs="Times New Roman"/>
          <w:i/>
          <w:sz w:val="23"/>
          <w:szCs w:val="23"/>
          <w:lang w:val="it-IT" w:eastAsia="it-IT"/>
        </w:rPr>
        <w:lastRenderedPageBreak/>
        <w:t>Spese di trasferimento</w:t>
      </w:r>
    </w:p>
    <w:p w:rsidR="001F4EF0" w:rsidRPr="001F4EF0" w:rsidRDefault="001F4EF0" w:rsidP="001F4EF0">
      <w:pPr>
        <w:rPr>
          <w:rFonts w:eastAsia="Calibri" w:cs="Times New Roman"/>
          <w:sz w:val="24"/>
        </w:rPr>
      </w:pPr>
      <w:r w:rsidRPr="001F4EF0">
        <w:rPr>
          <w:rFonts w:eastAsia="Calibri" w:cs="Times New Roman"/>
          <w:sz w:val="24"/>
        </w:rPr>
        <w:t xml:space="preserve">Le spese di trasferimento sono spesso l’oggetto principale delle analisi economico/finanziarie condotte in sede di preventivo e consuntivo. Si tratta di una voce di spesa oggettivamente “esplosa” negli ultimi quattro lustri. In questo caso, le spese di trasferimento sono inferiori di 31.4 milioni di franchi rispetto al preventivo 2022 (-1.4%). </w:t>
      </w:r>
      <w:r>
        <w:rPr>
          <w:rFonts w:eastAsia="Calibri" w:cs="Times New Roman"/>
          <w:sz w:val="24"/>
        </w:rPr>
        <w:t xml:space="preserve"> </w:t>
      </w:r>
      <w:r w:rsidRPr="001F4EF0">
        <w:rPr>
          <w:rFonts w:eastAsia="Calibri" w:cs="Times New Roman"/>
          <w:sz w:val="24"/>
        </w:rPr>
        <w:t xml:space="preserve">La variazione è determinata principalmente da una minore spesa di 60.8 milioni di franchi dei contributi a enti pubblici e terzi, in diminuzione rispetto al 2021 di 91.8 milioni (si ricorda che nel consuntivo 2021 figuravano 139 milioni di contributi per casi di rigore). </w:t>
      </w:r>
      <w:r>
        <w:rPr>
          <w:rFonts w:eastAsia="Calibri" w:cs="Times New Roman"/>
          <w:sz w:val="24"/>
        </w:rPr>
        <w:t xml:space="preserve"> </w:t>
      </w:r>
      <w:r w:rsidRPr="001F4EF0">
        <w:rPr>
          <w:rFonts w:eastAsia="Calibri" w:cs="Times New Roman"/>
          <w:sz w:val="24"/>
        </w:rPr>
        <w:t>La riduzione rispetto al preventivo 2022 si è verificata nonostante nel preventivo non fossero previsti i contributi versati per far fronte all’emergenza legata alla guerra in Ucraina (16.1 milioni di franchi). Le variazioni più importanti rispetto a quanto previsto nel preventivo 2022 sono presentate per Dipartimento e settore d’intervento nel messaggio governativo (pag. 17-19).</w:t>
      </w:r>
    </w:p>
    <w:p w:rsidR="001F4EF0" w:rsidRPr="001F4EF0" w:rsidRDefault="001F4EF0" w:rsidP="001F4EF0">
      <w:pPr>
        <w:rPr>
          <w:rFonts w:eastAsia="Calibri" w:cs="Times New Roman"/>
          <w:sz w:val="20"/>
          <w:szCs w:val="20"/>
        </w:rPr>
      </w:pPr>
    </w:p>
    <w:p w:rsidR="001F4EF0" w:rsidRPr="001F4EF0" w:rsidRDefault="001F4EF0" w:rsidP="001F4EF0">
      <w:pPr>
        <w:rPr>
          <w:rFonts w:eastAsia="Calibri" w:cs="Times New Roman"/>
          <w:sz w:val="24"/>
        </w:rPr>
      </w:pPr>
      <w:r w:rsidRPr="001F4EF0">
        <w:rPr>
          <w:rFonts w:eastAsia="Calibri" w:cs="Times New Roman"/>
          <w:sz w:val="24"/>
        </w:rPr>
        <w:t>D’altro canto, sul fronte degli aumenti rispetto al preventivo si registrano:</w:t>
      </w:r>
    </w:p>
    <w:p w:rsidR="001F4EF0" w:rsidRPr="001F4EF0" w:rsidRDefault="001F4EF0" w:rsidP="001F4EF0">
      <w:pPr>
        <w:numPr>
          <w:ilvl w:val="0"/>
          <w:numId w:val="23"/>
        </w:numPr>
        <w:spacing w:before="60"/>
        <w:ind w:left="284" w:hanging="284"/>
        <w:rPr>
          <w:rFonts w:eastAsia="Calibri" w:cs="Times New Roman"/>
          <w:sz w:val="24"/>
        </w:rPr>
      </w:pPr>
      <w:r w:rsidRPr="001F4EF0">
        <w:rPr>
          <w:rFonts w:eastAsia="Calibri" w:cs="Times New Roman"/>
          <w:sz w:val="24"/>
        </w:rPr>
        <w:t>un aumento di 18.9 milioni di franchi degli ammortamenti dei contributi per investimenti (+20.1%, voce 366) a seguito del maggior volume di investimenti sostenuto da enti esterni;</w:t>
      </w:r>
    </w:p>
    <w:p w:rsidR="001F4EF0" w:rsidRPr="001F4EF0" w:rsidRDefault="001F4EF0" w:rsidP="001F4EF0">
      <w:pPr>
        <w:numPr>
          <w:ilvl w:val="0"/>
          <w:numId w:val="23"/>
        </w:numPr>
        <w:spacing w:before="60"/>
        <w:ind w:left="284" w:hanging="284"/>
        <w:rPr>
          <w:rFonts w:eastAsia="Calibri" w:cs="Times New Roman"/>
          <w:sz w:val="24"/>
        </w:rPr>
      </w:pPr>
      <w:r w:rsidRPr="001F4EF0">
        <w:rPr>
          <w:rFonts w:eastAsia="Calibri" w:cs="Times New Roman"/>
          <w:sz w:val="24"/>
        </w:rPr>
        <w:t>una crescita di 4.7 milioni di franchi (+6.4%) dei contributi di perequazione finanziaria e compensazione degli oneri (voce 362) a seguito dell’incremento dei contributi di livellamento della potenzialità fiscale dei comuni.</w:t>
      </w:r>
    </w:p>
    <w:p w:rsidR="001F4EF0" w:rsidRPr="001F4EF0" w:rsidRDefault="001F4EF0" w:rsidP="001F4EF0">
      <w:pPr>
        <w:numPr>
          <w:ilvl w:val="0"/>
          <w:numId w:val="23"/>
        </w:numPr>
        <w:spacing w:before="60"/>
        <w:ind w:left="284" w:hanging="284"/>
        <w:rPr>
          <w:rFonts w:eastAsia="Calibri" w:cs="Times New Roman"/>
          <w:sz w:val="24"/>
        </w:rPr>
      </w:pPr>
      <w:r w:rsidRPr="001F4EF0">
        <w:rPr>
          <w:rFonts w:eastAsia="Calibri" w:cs="Times New Roman"/>
          <w:sz w:val="24"/>
        </w:rPr>
        <w:t xml:space="preserve">un incremento di 3.5 milioni di franchi (+99.3%) delle diverse spese di riversamento (voce 369) a seguito principalmente dei maggiori riversamenti a titolo di computo globale d’imposta per 3.4 milioni (retrocessioni delle trattenute fiscali nell’ambito delle convenzioni contro la doppia imposizione). </w:t>
      </w:r>
    </w:p>
    <w:p w:rsidR="001F4EF0" w:rsidRPr="001F4EF0" w:rsidRDefault="001F4EF0" w:rsidP="001F4EF0">
      <w:pPr>
        <w:numPr>
          <w:ilvl w:val="0"/>
          <w:numId w:val="23"/>
        </w:numPr>
        <w:spacing w:before="60"/>
        <w:ind w:left="284" w:hanging="284"/>
        <w:rPr>
          <w:rFonts w:eastAsia="Calibri" w:cs="Times New Roman"/>
          <w:sz w:val="24"/>
        </w:rPr>
      </w:pPr>
      <w:r w:rsidRPr="001F4EF0">
        <w:rPr>
          <w:rFonts w:eastAsia="Calibri" w:cs="Times New Roman"/>
          <w:sz w:val="24"/>
        </w:rPr>
        <w:t xml:space="preserve">un aumento di 2.2 milioni di franchi (+99.6%) delle quote di ricavo destinate a terzi (voce 360) in seguito all’aumento di 1.7 milioni del riversamento ai Comuni della tassa immobiliare delle persone giuridiche. </w:t>
      </w:r>
    </w:p>
    <w:p w:rsidR="001F4EF0" w:rsidRPr="001F4EF0" w:rsidRDefault="001F4EF0" w:rsidP="001F4EF0">
      <w:pPr>
        <w:rPr>
          <w:rFonts w:eastAsia="Calibri" w:cs="Times New Roman"/>
          <w:sz w:val="24"/>
        </w:rPr>
      </w:pPr>
    </w:p>
    <w:p w:rsidR="001F4EF0" w:rsidRPr="001F4EF0" w:rsidRDefault="001F4EF0" w:rsidP="001F4EF0">
      <w:pPr>
        <w:rPr>
          <w:rFonts w:eastAsia="Calibri" w:cs="Times New Roman"/>
          <w:sz w:val="24"/>
        </w:rPr>
      </w:pPr>
      <w:r w:rsidRPr="001F4EF0">
        <w:rPr>
          <w:rFonts w:eastAsia="Calibri" w:cs="Times New Roman"/>
          <w:sz w:val="24"/>
        </w:rPr>
        <w:t>Il grafico seguente mostra la ripartizione dei contributi a enti pubblici e terzi per settore di attività ma soprattutto dipinge l’esplosione di questa voce di spesa vissuta sugli ultimi quattro lustri.</w:t>
      </w:r>
    </w:p>
    <w:p w:rsidR="001F4EF0" w:rsidRPr="001F4EF0" w:rsidRDefault="001F4EF0" w:rsidP="001F4EF0">
      <w:pPr>
        <w:keepNext/>
        <w:spacing w:before="120" w:after="120"/>
        <w:ind w:left="726" w:hanging="726"/>
        <w:jc w:val="center"/>
        <w:outlineLvl w:val="2"/>
        <w:rPr>
          <w:rFonts w:eastAsia="Calibri" w:cs="Times New Roman"/>
          <w:b/>
          <w:i/>
          <w:sz w:val="24"/>
        </w:rPr>
      </w:pPr>
      <w:r w:rsidRPr="001F4EF0">
        <w:rPr>
          <w:rFonts w:eastAsia="Calibri" w:cs="Times New Roman"/>
          <w:b/>
          <w:i/>
          <w:noProof/>
          <w:sz w:val="24"/>
          <w:lang w:eastAsia="it-CH"/>
        </w:rPr>
        <w:drawing>
          <wp:inline distT="0" distB="0" distL="0" distR="0" wp14:anchorId="78924B13" wp14:editId="1F570DC4">
            <wp:extent cx="4819650" cy="2417475"/>
            <wp:effectExtent l="19050" t="19050" r="9525" b="25400"/>
            <wp:docPr id="3" name="Immagine 47" descr="Immagine che contiene testo, schermata, software, Sistema operativ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7" descr="Immagine che contiene testo, schermata, software, Sistema operativo&#10;&#10;Descrizione generata automa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19650" cy="2417475"/>
                    </a:xfrm>
                    <a:prstGeom prst="rect">
                      <a:avLst/>
                    </a:prstGeom>
                    <a:noFill/>
                    <a:ln w="9525" cmpd="sng">
                      <a:solidFill>
                        <a:srgbClr val="000000"/>
                      </a:solidFill>
                      <a:miter lim="800000"/>
                      <a:headEnd/>
                      <a:tailEnd/>
                    </a:ln>
                    <a:effectLst/>
                  </pic:spPr>
                </pic:pic>
              </a:graphicData>
            </a:graphic>
          </wp:inline>
        </w:drawing>
      </w:r>
    </w:p>
    <w:p w:rsidR="001F4EF0" w:rsidRPr="001F4EF0" w:rsidRDefault="001F4EF0" w:rsidP="001F4EF0">
      <w:pPr>
        <w:rPr>
          <w:rFonts w:eastAsia="Calibri" w:cs="Times New Roman"/>
          <w:sz w:val="24"/>
        </w:rPr>
      </w:pPr>
    </w:p>
    <w:p w:rsidR="001F4EF0" w:rsidRPr="001F4EF0" w:rsidRDefault="001F4EF0" w:rsidP="001F4EF0">
      <w:pPr>
        <w:pStyle w:val="Titolo3"/>
        <w:tabs>
          <w:tab w:val="left" w:pos="709"/>
        </w:tabs>
        <w:spacing w:after="120"/>
        <w:jc w:val="both"/>
        <w:rPr>
          <w:rFonts w:eastAsia="Calibri" w:cs="Times New Roman"/>
          <w:i/>
          <w:sz w:val="23"/>
          <w:szCs w:val="23"/>
          <w:lang w:val="it-IT" w:eastAsia="it-IT"/>
        </w:rPr>
      </w:pPr>
      <w:r w:rsidRPr="001F4EF0">
        <w:rPr>
          <w:rFonts w:eastAsia="Calibri" w:cs="Times New Roman"/>
          <w:i/>
          <w:sz w:val="23"/>
          <w:szCs w:val="23"/>
          <w:lang w:val="it-IT" w:eastAsia="it-IT"/>
        </w:rPr>
        <w:lastRenderedPageBreak/>
        <w:t>2.3.2</w:t>
      </w:r>
      <w:r w:rsidRPr="001F4EF0">
        <w:rPr>
          <w:rFonts w:eastAsia="Calibri" w:cs="Times New Roman"/>
          <w:i/>
          <w:sz w:val="23"/>
          <w:szCs w:val="23"/>
          <w:lang w:val="it-IT" w:eastAsia="it-IT"/>
        </w:rPr>
        <w:tab/>
        <w:t>Ricavi</w:t>
      </w:r>
    </w:p>
    <w:p w:rsidR="001F4EF0" w:rsidRPr="001F4EF0" w:rsidRDefault="001F4EF0" w:rsidP="001F4EF0">
      <w:pPr>
        <w:tabs>
          <w:tab w:val="left" w:pos="5103"/>
        </w:tabs>
        <w:autoSpaceDE w:val="0"/>
        <w:autoSpaceDN w:val="0"/>
        <w:adjustRightInd w:val="0"/>
        <w:rPr>
          <w:rFonts w:eastAsia="Calibri" w:cs="Arial"/>
          <w:sz w:val="24"/>
          <w:szCs w:val="24"/>
        </w:rPr>
      </w:pPr>
      <w:r w:rsidRPr="001F4EF0">
        <w:rPr>
          <w:rFonts w:eastAsia="Calibri" w:cs="Arial"/>
          <w:sz w:val="24"/>
          <w:szCs w:val="24"/>
        </w:rPr>
        <w:t xml:space="preserve">I ricavi correnti sono superiori di </w:t>
      </w:r>
      <w:r w:rsidRPr="001F4EF0">
        <w:rPr>
          <w:rFonts w:eastAsia="Calibri" w:cs="Times New Roman"/>
          <w:sz w:val="24"/>
        </w:rPr>
        <w:t>184.6</w:t>
      </w:r>
      <w:r w:rsidRPr="001F4EF0">
        <w:rPr>
          <w:rFonts w:eastAsia="Calibri" w:cs="Arial"/>
          <w:sz w:val="24"/>
          <w:szCs w:val="24"/>
        </w:rPr>
        <w:t xml:space="preserve"> milioni di franchi rispetto al preventivo 2022. </w:t>
      </w:r>
    </w:p>
    <w:p w:rsidR="001F4EF0" w:rsidRPr="001F4EF0" w:rsidRDefault="001F4EF0" w:rsidP="001F4EF0">
      <w:pPr>
        <w:tabs>
          <w:tab w:val="left" w:pos="5103"/>
        </w:tabs>
        <w:autoSpaceDE w:val="0"/>
        <w:autoSpaceDN w:val="0"/>
        <w:adjustRightInd w:val="0"/>
        <w:rPr>
          <w:rFonts w:eastAsia="Calibri" w:cs="Arial"/>
          <w:sz w:val="24"/>
          <w:szCs w:val="24"/>
        </w:rPr>
      </w:pPr>
    </w:p>
    <w:p w:rsidR="001F4EF0" w:rsidRPr="001F4EF0" w:rsidRDefault="001F4EF0" w:rsidP="001F4EF0">
      <w:pPr>
        <w:pStyle w:val="Titolo3"/>
        <w:tabs>
          <w:tab w:val="left" w:pos="709"/>
        </w:tabs>
        <w:spacing w:after="120"/>
        <w:jc w:val="both"/>
        <w:rPr>
          <w:rFonts w:eastAsia="Calibri" w:cs="Times New Roman"/>
          <w:i/>
          <w:sz w:val="23"/>
          <w:szCs w:val="23"/>
          <w:lang w:val="it-IT" w:eastAsia="it-IT"/>
        </w:rPr>
      </w:pPr>
      <w:r w:rsidRPr="001F4EF0">
        <w:rPr>
          <w:rFonts w:eastAsia="Calibri" w:cs="Times New Roman"/>
          <w:i/>
          <w:sz w:val="23"/>
          <w:szCs w:val="23"/>
          <w:lang w:val="it-IT" w:eastAsia="it-IT"/>
        </w:rPr>
        <w:t>Ricavi fiscali</w:t>
      </w:r>
    </w:p>
    <w:p w:rsidR="001F4EF0" w:rsidRPr="001F4EF0" w:rsidRDefault="001F4EF0" w:rsidP="001F4EF0">
      <w:pPr>
        <w:rPr>
          <w:rFonts w:eastAsia="Calibri" w:cs="Times New Roman"/>
          <w:sz w:val="24"/>
        </w:rPr>
      </w:pPr>
      <w:r w:rsidRPr="001F4EF0">
        <w:rPr>
          <w:rFonts w:eastAsia="Calibri" w:cs="Times New Roman"/>
          <w:sz w:val="24"/>
        </w:rPr>
        <w:t>Rispetto ai dati di preventivo le entrate fiscali cantonali segnano un aumento pari a 125.4 milioni di franchi (+6.2%). Aumentano in particolare:</w:t>
      </w:r>
    </w:p>
    <w:p w:rsidR="001F4EF0" w:rsidRPr="001F4EF0" w:rsidRDefault="001F4EF0" w:rsidP="0083024E">
      <w:pPr>
        <w:numPr>
          <w:ilvl w:val="0"/>
          <w:numId w:val="24"/>
        </w:numPr>
        <w:spacing w:before="60"/>
        <w:ind w:left="284" w:hanging="284"/>
        <w:rPr>
          <w:rFonts w:eastAsia="Calibri" w:cs="Times New Roman"/>
          <w:sz w:val="24"/>
        </w:rPr>
      </w:pPr>
      <w:r w:rsidRPr="001F4EF0">
        <w:rPr>
          <w:rFonts w:eastAsia="Calibri" w:cs="Times New Roman"/>
          <w:sz w:val="24"/>
        </w:rPr>
        <w:t xml:space="preserve">le imposte sul reddito e sulla sostanza delle persone fisiche (+37.7 milioni), </w:t>
      </w:r>
    </w:p>
    <w:p w:rsidR="001F4EF0" w:rsidRPr="001F4EF0" w:rsidRDefault="001F4EF0" w:rsidP="0083024E">
      <w:pPr>
        <w:numPr>
          <w:ilvl w:val="0"/>
          <w:numId w:val="24"/>
        </w:numPr>
        <w:spacing w:before="60"/>
        <w:ind w:left="284" w:hanging="284"/>
        <w:rPr>
          <w:rFonts w:eastAsia="Calibri" w:cs="Times New Roman"/>
          <w:sz w:val="24"/>
        </w:rPr>
      </w:pPr>
      <w:r w:rsidRPr="001F4EF0">
        <w:rPr>
          <w:rFonts w:eastAsia="Calibri" w:cs="Times New Roman"/>
          <w:sz w:val="24"/>
        </w:rPr>
        <w:t xml:space="preserve">le imposte suppletorie e multe (+20.4 milioni), </w:t>
      </w:r>
    </w:p>
    <w:p w:rsidR="001F4EF0" w:rsidRPr="001F4EF0" w:rsidRDefault="001F4EF0" w:rsidP="0083024E">
      <w:pPr>
        <w:numPr>
          <w:ilvl w:val="0"/>
          <w:numId w:val="24"/>
        </w:numPr>
        <w:spacing w:before="60"/>
        <w:ind w:left="284" w:hanging="284"/>
        <w:rPr>
          <w:rFonts w:eastAsia="Calibri" w:cs="Times New Roman"/>
          <w:sz w:val="24"/>
        </w:rPr>
      </w:pPr>
      <w:r w:rsidRPr="001F4EF0">
        <w:rPr>
          <w:rFonts w:eastAsia="Calibri" w:cs="Times New Roman"/>
          <w:sz w:val="24"/>
        </w:rPr>
        <w:t xml:space="preserve">le imposte di successione e donazione (+17.9 milioni), </w:t>
      </w:r>
    </w:p>
    <w:p w:rsidR="001F4EF0" w:rsidRPr="001F4EF0" w:rsidRDefault="001F4EF0" w:rsidP="0083024E">
      <w:pPr>
        <w:numPr>
          <w:ilvl w:val="0"/>
          <w:numId w:val="24"/>
        </w:numPr>
        <w:spacing w:before="60"/>
        <w:ind w:left="284" w:hanging="284"/>
        <w:rPr>
          <w:rFonts w:eastAsia="Calibri" w:cs="Times New Roman"/>
          <w:sz w:val="24"/>
        </w:rPr>
      </w:pPr>
      <w:r w:rsidRPr="001F4EF0">
        <w:rPr>
          <w:rFonts w:eastAsia="Calibri" w:cs="Times New Roman"/>
          <w:sz w:val="24"/>
        </w:rPr>
        <w:t xml:space="preserve">le tasse di iscrizione a registro fondiario (+10.8 milioni), </w:t>
      </w:r>
    </w:p>
    <w:p w:rsidR="001F4EF0" w:rsidRPr="001F4EF0" w:rsidRDefault="001F4EF0" w:rsidP="0083024E">
      <w:pPr>
        <w:numPr>
          <w:ilvl w:val="0"/>
          <w:numId w:val="24"/>
        </w:numPr>
        <w:spacing w:before="60"/>
        <w:ind w:left="284" w:hanging="284"/>
        <w:rPr>
          <w:rFonts w:eastAsia="Calibri" w:cs="Times New Roman"/>
          <w:sz w:val="24"/>
        </w:rPr>
      </w:pPr>
      <w:r w:rsidRPr="001F4EF0">
        <w:rPr>
          <w:rFonts w:eastAsia="Calibri" w:cs="Times New Roman"/>
          <w:sz w:val="24"/>
        </w:rPr>
        <w:t xml:space="preserve">le imposte di circolazione e navigazione (+8.3 milioni), </w:t>
      </w:r>
    </w:p>
    <w:p w:rsidR="001F4EF0" w:rsidRPr="001F4EF0" w:rsidRDefault="001F4EF0" w:rsidP="0083024E">
      <w:pPr>
        <w:numPr>
          <w:ilvl w:val="0"/>
          <w:numId w:val="24"/>
        </w:numPr>
        <w:spacing w:before="60"/>
        <w:ind w:left="284" w:hanging="284"/>
        <w:rPr>
          <w:rFonts w:eastAsia="Calibri" w:cs="Times New Roman"/>
          <w:sz w:val="24"/>
        </w:rPr>
      </w:pPr>
      <w:r w:rsidRPr="001F4EF0">
        <w:rPr>
          <w:rFonts w:eastAsia="Calibri" w:cs="Times New Roman"/>
          <w:sz w:val="24"/>
        </w:rPr>
        <w:t xml:space="preserve">l’imposta sugli utili immobiliari (+8.1 milioni), </w:t>
      </w:r>
    </w:p>
    <w:p w:rsidR="001F4EF0" w:rsidRPr="001F4EF0" w:rsidRDefault="001F4EF0" w:rsidP="0083024E">
      <w:pPr>
        <w:numPr>
          <w:ilvl w:val="0"/>
          <w:numId w:val="24"/>
        </w:numPr>
        <w:spacing w:before="60"/>
        <w:ind w:left="284" w:hanging="284"/>
        <w:rPr>
          <w:rFonts w:eastAsia="Calibri" w:cs="Times New Roman"/>
          <w:sz w:val="24"/>
        </w:rPr>
      </w:pPr>
      <w:r w:rsidRPr="001F4EF0">
        <w:rPr>
          <w:rFonts w:eastAsia="Calibri" w:cs="Times New Roman"/>
          <w:sz w:val="24"/>
        </w:rPr>
        <w:t>l’imposta di bollo (+7.7 milioni),</w:t>
      </w:r>
    </w:p>
    <w:p w:rsidR="001F4EF0" w:rsidRPr="001F4EF0" w:rsidRDefault="001F4EF0" w:rsidP="0083024E">
      <w:pPr>
        <w:numPr>
          <w:ilvl w:val="0"/>
          <w:numId w:val="24"/>
        </w:numPr>
        <w:spacing w:before="60"/>
        <w:ind w:left="284" w:hanging="284"/>
        <w:rPr>
          <w:rFonts w:eastAsia="Calibri" w:cs="Times New Roman"/>
          <w:sz w:val="24"/>
        </w:rPr>
      </w:pPr>
      <w:r w:rsidRPr="001F4EF0">
        <w:rPr>
          <w:rFonts w:eastAsia="Calibri" w:cs="Times New Roman"/>
          <w:sz w:val="24"/>
        </w:rPr>
        <w:t xml:space="preserve">le tasse sulle case da gioco (+6.9). </w:t>
      </w:r>
    </w:p>
    <w:p w:rsidR="001F4EF0" w:rsidRPr="001F4EF0" w:rsidRDefault="001F4EF0" w:rsidP="001F4EF0">
      <w:pPr>
        <w:rPr>
          <w:rFonts w:eastAsia="Calibri" w:cs="Times New Roman"/>
          <w:sz w:val="24"/>
        </w:rPr>
      </w:pPr>
    </w:p>
    <w:p w:rsidR="001F4EF0" w:rsidRPr="001F4EF0" w:rsidRDefault="001F4EF0" w:rsidP="001F4EF0">
      <w:pPr>
        <w:rPr>
          <w:rFonts w:eastAsia="Calibri" w:cs="Times New Roman"/>
          <w:sz w:val="24"/>
        </w:rPr>
      </w:pPr>
      <w:r w:rsidRPr="001F4EF0">
        <w:rPr>
          <w:rFonts w:eastAsia="Calibri" w:cs="Times New Roman"/>
          <w:sz w:val="24"/>
        </w:rPr>
        <w:t>Per quanto concerne i gettiti di competenza 2022, rimangono stabili sugli stessi valori di preventivo le stime riguardanti le imposte delle persone giuridiche mentre la valutazione delle imposte delle persone fisiche è complessivamente superiore di 37.7 milioni. Tale incremento è da ascrivere principalmente al miglioramento delle previsioni congiunturali per il Cantone relative al 2021 e 2022, ma anche – per quanto riguarda le persone fisiche – all’evoluzione positiva delle tassazioni 2020 emesse, le quali registrano un tasso di crescita effettivo migliore rispetto alla stima aggiornata del PIL cantonale per il 2020.</w:t>
      </w:r>
    </w:p>
    <w:p w:rsidR="001F4EF0" w:rsidRPr="001F4EF0" w:rsidRDefault="001F4EF0" w:rsidP="001F4EF0">
      <w:pPr>
        <w:keepNext/>
        <w:keepLines/>
        <w:pBdr>
          <w:bottom w:val="single" w:sz="4" w:space="1" w:color="auto"/>
        </w:pBdr>
        <w:spacing w:before="200" w:after="720" w:line="276" w:lineRule="auto"/>
        <w:jc w:val="left"/>
        <w:outlineLvl w:val="1"/>
        <w:rPr>
          <w:rFonts w:ascii="Gill Sans" w:eastAsia="Times New Roman" w:hAnsi="Gill Sans" w:cs="Times New Roman"/>
          <w:b/>
          <w:bCs/>
          <w:sz w:val="32"/>
          <w:szCs w:val="26"/>
        </w:rPr>
      </w:pPr>
      <w:bookmarkStart w:id="0" w:name="_Toc521680137"/>
      <w:bookmarkStart w:id="1" w:name="_Toc521568169"/>
      <w:bookmarkStart w:id="2" w:name="_Toc521491520"/>
      <w:bookmarkStart w:id="3" w:name="_Toc521338874"/>
      <w:r w:rsidRPr="001F4EF0">
        <w:rPr>
          <w:rFonts w:ascii="Gill Sans" w:eastAsia="Times New Roman" w:hAnsi="Gill Sans" w:cs="Times New Roman"/>
          <w:b/>
          <w:bCs/>
          <w:sz w:val="32"/>
          <w:szCs w:val="26"/>
        </w:rPr>
        <w:t xml:space="preserve">Ricavi fiscali </w:t>
      </w:r>
      <w:bookmarkEnd w:id="0"/>
      <w:bookmarkEnd w:id="1"/>
      <w:bookmarkEnd w:id="2"/>
      <w:bookmarkEnd w:id="3"/>
    </w:p>
    <w:tbl>
      <w:tblPr>
        <w:tblStyle w:val="Stile211"/>
        <w:tblW w:w="9487" w:type="dxa"/>
        <w:tblInd w:w="108" w:type="dxa"/>
        <w:tblLook w:val="04A0" w:firstRow="1" w:lastRow="0" w:firstColumn="1" w:lastColumn="0" w:noHBand="0" w:noVBand="1"/>
      </w:tblPr>
      <w:tblGrid>
        <w:gridCol w:w="5043"/>
        <w:gridCol w:w="1111"/>
        <w:gridCol w:w="1111"/>
        <w:gridCol w:w="1111"/>
        <w:gridCol w:w="1111"/>
      </w:tblGrid>
      <w:tr w:rsidR="001F4EF0" w:rsidRPr="001F4EF0" w:rsidTr="0083024E">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043" w:type="dxa"/>
            <w:noWrap/>
            <w:hideMark/>
          </w:tcPr>
          <w:p w:rsidR="001F4EF0" w:rsidRPr="001F4EF0" w:rsidRDefault="001F4EF0" w:rsidP="001F4EF0">
            <w:pPr>
              <w:rPr>
                <w:rFonts w:ascii="Gill Sans" w:hAnsi="Gill Sans"/>
                <w:sz w:val="12"/>
                <w:szCs w:val="12"/>
              </w:rPr>
            </w:pPr>
            <w:r w:rsidRPr="001F4EF0">
              <w:rPr>
                <w:rFonts w:ascii="Gill Sans" w:hAnsi="Gill Sans"/>
                <w:sz w:val="12"/>
                <w:szCs w:val="12"/>
              </w:rPr>
              <w:t>Importi in milioni di CHF</w:t>
            </w:r>
          </w:p>
        </w:tc>
        <w:tc>
          <w:tcPr>
            <w:tcW w:w="1111" w:type="dxa"/>
            <w:noWrap/>
            <w:vAlign w:val="center"/>
            <w:hideMark/>
          </w:tcPr>
          <w:p w:rsidR="001F4EF0" w:rsidRPr="001F4EF0" w:rsidRDefault="001F4EF0" w:rsidP="001F4EF0">
            <w:pPr>
              <w:jc w:val="right"/>
              <w:cnfStyle w:val="100000000000" w:firstRow="1" w:lastRow="0" w:firstColumn="0" w:lastColumn="0" w:oddVBand="0" w:evenVBand="0" w:oddHBand="0" w:evenHBand="0" w:firstRowFirstColumn="0" w:firstRowLastColumn="0" w:lastRowFirstColumn="0" w:lastRowLastColumn="0"/>
              <w:rPr>
                <w:rFonts w:ascii="Gill Sans" w:hAnsi="Gill Sans"/>
                <w:sz w:val="14"/>
                <w:szCs w:val="14"/>
              </w:rPr>
            </w:pPr>
            <w:r w:rsidRPr="001F4EF0">
              <w:rPr>
                <w:rFonts w:ascii="Gill Sans" w:hAnsi="Gill Sans" w:cs="Calibri"/>
                <w:b/>
                <w:bCs/>
                <w:sz w:val="14"/>
                <w:szCs w:val="14"/>
              </w:rPr>
              <w:t>C2021</w:t>
            </w:r>
          </w:p>
        </w:tc>
        <w:tc>
          <w:tcPr>
            <w:tcW w:w="1111" w:type="dxa"/>
            <w:noWrap/>
            <w:vAlign w:val="center"/>
            <w:hideMark/>
          </w:tcPr>
          <w:p w:rsidR="001F4EF0" w:rsidRPr="001F4EF0" w:rsidRDefault="001F4EF0" w:rsidP="001F4EF0">
            <w:pPr>
              <w:jc w:val="right"/>
              <w:cnfStyle w:val="100000000000" w:firstRow="1" w:lastRow="0" w:firstColumn="0" w:lastColumn="0" w:oddVBand="0" w:evenVBand="0" w:oddHBand="0" w:evenHBand="0" w:firstRowFirstColumn="0" w:firstRowLastColumn="0" w:lastRowFirstColumn="0" w:lastRowLastColumn="0"/>
              <w:rPr>
                <w:rFonts w:ascii="Gill Sans" w:hAnsi="Gill Sans"/>
                <w:sz w:val="14"/>
                <w:szCs w:val="14"/>
              </w:rPr>
            </w:pPr>
            <w:r w:rsidRPr="001F4EF0">
              <w:rPr>
                <w:rFonts w:ascii="Gill Sans" w:hAnsi="Gill Sans" w:cs="Calibri"/>
                <w:b/>
                <w:bCs/>
                <w:sz w:val="14"/>
                <w:szCs w:val="14"/>
              </w:rPr>
              <w:t>P2022</w:t>
            </w:r>
          </w:p>
        </w:tc>
        <w:tc>
          <w:tcPr>
            <w:tcW w:w="1111" w:type="dxa"/>
            <w:shd w:val="clear" w:color="auto" w:fill="FABF8F"/>
            <w:noWrap/>
            <w:vAlign w:val="center"/>
            <w:hideMark/>
          </w:tcPr>
          <w:p w:rsidR="001F4EF0" w:rsidRPr="001F4EF0" w:rsidRDefault="001F4EF0" w:rsidP="001F4EF0">
            <w:pPr>
              <w:jc w:val="right"/>
              <w:cnfStyle w:val="100000000000" w:firstRow="1" w:lastRow="0" w:firstColumn="0" w:lastColumn="0" w:oddVBand="0" w:evenVBand="0" w:oddHBand="0" w:evenHBand="0" w:firstRowFirstColumn="0" w:firstRowLastColumn="0" w:lastRowFirstColumn="0" w:lastRowLastColumn="0"/>
              <w:rPr>
                <w:rFonts w:ascii="Gill Sans" w:hAnsi="Gill Sans"/>
                <w:sz w:val="14"/>
                <w:szCs w:val="14"/>
              </w:rPr>
            </w:pPr>
            <w:r w:rsidRPr="001F4EF0">
              <w:rPr>
                <w:rFonts w:ascii="Gill Sans" w:hAnsi="Gill Sans" w:cs="Calibri"/>
                <w:b/>
                <w:bCs/>
                <w:sz w:val="14"/>
                <w:szCs w:val="14"/>
              </w:rPr>
              <w:t>C2022</w:t>
            </w:r>
          </w:p>
        </w:tc>
        <w:tc>
          <w:tcPr>
            <w:tcW w:w="1111" w:type="dxa"/>
            <w:shd w:val="clear" w:color="auto" w:fill="FBD4B4"/>
            <w:vAlign w:val="center"/>
            <w:hideMark/>
          </w:tcPr>
          <w:p w:rsidR="001F4EF0" w:rsidRPr="001F4EF0" w:rsidRDefault="001F4EF0" w:rsidP="001F4EF0">
            <w:pPr>
              <w:jc w:val="right"/>
              <w:cnfStyle w:val="100000000000" w:firstRow="1" w:lastRow="0" w:firstColumn="0" w:lastColumn="0" w:oddVBand="0" w:evenVBand="0" w:oddHBand="0" w:evenHBand="0" w:firstRowFirstColumn="0" w:firstRowLastColumn="0" w:lastRowFirstColumn="0" w:lastRowLastColumn="0"/>
              <w:rPr>
                <w:rFonts w:ascii="Gill Sans" w:hAnsi="Gill Sans"/>
                <w:sz w:val="14"/>
                <w:szCs w:val="14"/>
              </w:rPr>
            </w:pPr>
            <w:r w:rsidRPr="001F4EF0">
              <w:rPr>
                <w:rFonts w:ascii="Gill Sans" w:hAnsi="Gill Sans" w:cs="Calibri"/>
                <w:b/>
                <w:sz w:val="14"/>
                <w:szCs w:val="14"/>
              </w:rPr>
              <w:t xml:space="preserve">Var </w:t>
            </w:r>
            <w:r w:rsidRPr="001F4EF0">
              <w:rPr>
                <w:rFonts w:ascii="Gill Sans" w:hAnsi="Gill Sans" w:cs="Calibri"/>
                <w:b/>
                <w:bCs/>
                <w:sz w:val="14"/>
                <w:szCs w:val="14"/>
              </w:rPr>
              <w:t>C22-P22</w:t>
            </w:r>
          </w:p>
        </w:tc>
      </w:tr>
      <w:tr w:rsidR="001F4EF0" w:rsidRPr="001F4EF0" w:rsidTr="0083024E">
        <w:trPr>
          <w:trHeight w:val="144"/>
        </w:trPr>
        <w:tc>
          <w:tcPr>
            <w:cnfStyle w:val="001000000000" w:firstRow="0" w:lastRow="0" w:firstColumn="1" w:lastColumn="0" w:oddVBand="0" w:evenVBand="0" w:oddHBand="0" w:evenHBand="0" w:firstRowFirstColumn="0" w:firstRowLastColumn="0" w:lastRowFirstColumn="0" w:lastRowLastColumn="0"/>
            <w:tcW w:w="5043" w:type="dxa"/>
            <w:noWrap/>
            <w:hideMark/>
          </w:tcPr>
          <w:p w:rsidR="001F4EF0" w:rsidRPr="001F4EF0" w:rsidRDefault="001F4EF0" w:rsidP="001F4EF0">
            <w:pPr>
              <w:rPr>
                <w:rFonts w:ascii="Gill Sans" w:hAnsi="Gill Sans"/>
                <w:sz w:val="18"/>
                <w:szCs w:val="18"/>
              </w:rPr>
            </w:pPr>
            <w:r w:rsidRPr="001F4EF0">
              <w:rPr>
                <w:rFonts w:ascii="Gill Sans" w:hAnsi="Gill Sans"/>
                <w:sz w:val="18"/>
                <w:szCs w:val="18"/>
              </w:rPr>
              <w:t>Imposte anno corrente</w:t>
            </w:r>
          </w:p>
        </w:tc>
        <w:tc>
          <w:tcPr>
            <w:tcW w:w="1111" w:type="dxa"/>
            <w:tcBorders>
              <w:top w:val="single" w:sz="2" w:space="0" w:color="auto"/>
              <w:left w:val="nil"/>
              <w:bottom w:val="single" w:sz="2" w:space="0" w:color="auto"/>
              <w:right w:val="nil"/>
            </w:tcBorders>
            <w:noWrap/>
            <w:vAlign w:val="center"/>
            <w:hideMark/>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sz w:val="18"/>
                <w:szCs w:val="18"/>
              </w:rPr>
            </w:pPr>
            <w:r w:rsidRPr="001F4EF0">
              <w:rPr>
                <w:rFonts w:ascii="Gill Sans" w:eastAsia="Times New Roman" w:hAnsi="Gill Sans" w:cs="Arial"/>
                <w:sz w:val="18"/>
                <w:szCs w:val="18"/>
                <w:lang w:eastAsia="it-CH"/>
              </w:rPr>
              <w:t>1'078.9</w:t>
            </w:r>
          </w:p>
        </w:tc>
        <w:tc>
          <w:tcPr>
            <w:tcW w:w="1111" w:type="dxa"/>
            <w:tcBorders>
              <w:top w:val="single" w:sz="2" w:space="0" w:color="auto"/>
              <w:left w:val="nil"/>
              <w:bottom w:val="single" w:sz="2" w:space="0" w:color="auto"/>
              <w:right w:val="nil"/>
            </w:tcBorders>
            <w:noWrap/>
            <w:vAlign w:val="center"/>
            <w:hideMark/>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sz w:val="18"/>
                <w:szCs w:val="18"/>
              </w:rPr>
            </w:pPr>
            <w:r w:rsidRPr="001F4EF0">
              <w:rPr>
                <w:rFonts w:ascii="Gill Sans" w:eastAsia="Times New Roman" w:hAnsi="Gill Sans" w:cs="Arial"/>
                <w:sz w:val="18"/>
                <w:szCs w:val="18"/>
                <w:lang w:eastAsia="it-CH"/>
              </w:rPr>
              <w:t>1'072.0</w:t>
            </w:r>
          </w:p>
        </w:tc>
        <w:tc>
          <w:tcPr>
            <w:tcW w:w="1111" w:type="dxa"/>
            <w:tcBorders>
              <w:top w:val="single" w:sz="2" w:space="0" w:color="auto"/>
              <w:left w:val="nil"/>
              <w:bottom w:val="single" w:sz="2" w:space="0" w:color="auto"/>
              <w:right w:val="nil"/>
            </w:tcBorders>
            <w:shd w:val="clear" w:color="auto" w:fill="FABF8F"/>
            <w:noWrap/>
            <w:vAlign w:val="center"/>
            <w:hideMark/>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sz w:val="18"/>
                <w:szCs w:val="18"/>
              </w:rPr>
            </w:pPr>
            <w:r w:rsidRPr="001F4EF0">
              <w:rPr>
                <w:rFonts w:ascii="Gill Sans" w:eastAsia="Times New Roman" w:hAnsi="Gill Sans" w:cs="Arial"/>
                <w:sz w:val="18"/>
                <w:szCs w:val="18"/>
                <w:lang w:eastAsia="it-CH"/>
              </w:rPr>
              <w:t>1'109.7</w:t>
            </w:r>
          </w:p>
        </w:tc>
        <w:tc>
          <w:tcPr>
            <w:tcW w:w="1111" w:type="dxa"/>
            <w:tcBorders>
              <w:top w:val="single" w:sz="2" w:space="0" w:color="auto"/>
              <w:left w:val="nil"/>
              <w:bottom w:val="single" w:sz="2" w:space="0" w:color="auto"/>
              <w:right w:val="nil"/>
            </w:tcBorders>
            <w:shd w:val="clear" w:color="auto" w:fill="FBD4B4"/>
            <w:vAlign w:val="center"/>
            <w:hideMark/>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sz w:val="18"/>
                <w:szCs w:val="18"/>
              </w:rPr>
            </w:pPr>
            <w:r w:rsidRPr="001F4EF0">
              <w:rPr>
                <w:rFonts w:ascii="Gill Sans" w:eastAsia="Times New Roman" w:hAnsi="Gill Sans" w:cs="Arial"/>
                <w:sz w:val="18"/>
                <w:szCs w:val="18"/>
                <w:lang w:eastAsia="it-CH"/>
              </w:rPr>
              <w:t>37.7</w:t>
            </w:r>
          </w:p>
        </w:tc>
      </w:tr>
      <w:tr w:rsidR="001F4EF0" w:rsidRPr="001F4EF0" w:rsidTr="0083024E">
        <w:trPr>
          <w:trHeight w:val="71"/>
        </w:trPr>
        <w:tc>
          <w:tcPr>
            <w:cnfStyle w:val="001000000000" w:firstRow="0" w:lastRow="0" w:firstColumn="1" w:lastColumn="0" w:oddVBand="0" w:evenVBand="0" w:oddHBand="0" w:evenHBand="0" w:firstRowFirstColumn="0" w:firstRowLastColumn="0" w:lastRowFirstColumn="0" w:lastRowLastColumn="0"/>
            <w:tcW w:w="5043" w:type="dxa"/>
            <w:noWrap/>
            <w:hideMark/>
          </w:tcPr>
          <w:p w:rsidR="001F4EF0" w:rsidRPr="001F4EF0" w:rsidRDefault="001F4EF0" w:rsidP="001F4EF0">
            <w:pPr>
              <w:rPr>
                <w:rFonts w:ascii="Gill Sans" w:hAnsi="Gill Sans"/>
                <w:sz w:val="18"/>
                <w:szCs w:val="18"/>
              </w:rPr>
            </w:pPr>
            <w:r w:rsidRPr="001F4EF0">
              <w:rPr>
                <w:rFonts w:ascii="Gill Sans" w:hAnsi="Gill Sans"/>
                <w:sz w:val="18"/>
                <w:szCs w:val="18"/>
              </w:rPr>
              <w:t>Sopravvenienze anni precedenti</w:t>
            </w:r>
          </w:p>
        </w:tc>
        <w:tc>
          <w:tcPr>
            <w:tcW w:w="1111" w:type="dxa"/>
            <w:tcBorders>
              <w:top w:val="single" w:sz="2" w:space="0" w:color="auto"/>
              <w:left w:val="nil"/>
              <w:bottom w:val="single" w:sz="2" w:space="0" w:color="auto"/>
              <w:right w:val="nil"/>
            </w:tcBorders>
            <w:noWrap/>
            <w:vAlign w:val="center"/>
            <w:hideMark/>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sz w:val="18"/>
                <w:szCs w:val="18"/>
              </w:rPr>
            </w:pPr>
            <w:r w:rsidRPr="001F4EF0">
              <w:rPr>
                <w:rFonts w:ascii="Gill Sans" w:eastAsia="Times New Roman" w:hAnsi="Gill Sans" w:cs="Arial"/>
                <w:sz w:val="18"/>
                <w:szCs w:val="18"/>
                <w:lang w:eastAsia="it-CH"/>
              </w:rPr>
              <w:t>49.6</w:t>
            </w:r>
          </w:p>
        </w:tc>
        <w:tc>
          <w:tcPr>
            <w:tcW w:w="1111" w:type="dxa"/>
            <w:tcBorders>
              <w:top w:val="single" w:sz="2" w:space="0" w:color="auto"/>
              <w:left w:val="nil"/>
              <w:bottom w:val="single" w:sz="2" w:space="0" w:color="auto"/>
              <w:right w:val="nil"/>
            </w:tcBorders>
            <w:noWrap/>
            <w:vAlign w:val="center"/>
            <w:hideMark/>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sz w:val="18"/>
                <w:szCs w:val="18"/>
              </w:rPr>
            </w:pPr>
            <w:r w:rsidRPr="001F4EF0">
              <w:rPr>
                <w:rFonts w:ascii="Gill Sans" w:eastAsia="Times New Roman" w:hAnsi="Gill Sans" w:cs="Arial"/>
                <w:sz w:val="18"/>
                <w:szCs w:val="18"/>
                <w:lang w:eastAsia="it-CH"/>
              </w:rPr>
              <w:t>50.7</w:t>
            </w:r>
          </w:p>
        </w:tc>
        <w:tc>
          <w:tcPr>
            <w:tcW w:w="1111" w:type="dxa"/>
            <w:tcBorders>
              <w:top w:val="single" w:sz="2" w:space="0" w:color="auto"/>
              <w:left w:val="nil"/>
              <w:bottom w:val="single" w:sz="2" w:space="0" w:color="auto"/>
              <w:right w:val="nil"/>
            </w:tcBorders>
            <w:shd w:val="clear" w:color="auto" w:fill="FABF8F"/>
            <w:noWrap/>
            <w:vAlign w:val="center"/>
            <w:hideMark/>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sz w:val="18"/>
                <w:szCs w:val="18"/>
              </w:rPr>
            </w:pPr>
            <w:r w:rsidRPr="001F4EF0">
              <w:rPr>
                <w:rFonts w:ascii="Gill Sans" w:eastAsia="Times New Roman" w:hAnsi="Gill Sans" w:cs="Arial"/>
                <w:sz w:val="18"/>
                <w:szCs w:val="18"/>
                <w:lang w:eastAsia="it-CH"/>
              </w:rPr>
              <w:t>53.9</w:t>
            </w:r>
          </w:p>
        </w:tc>
        <w:tc>
          <w:tcPr>
            <w:tcW w:w="1111" w:type="dxa"/>
            <w:tcBorders>
              <w:top w:val="single" w:sz="2" w:space="0" w:color="auto"/>
              <w:left w:val="nil"/>
              <w:bottom w:val="single" w:sz="2" w:space="0" w:color="auto"/>
              <w:right w:val="nil"/>
            </w:tcBorders>
            <w:shd w:val="clear" w:color="auto" w:fill="FBD4B4"/>
            <w:vAlign w:val="center"/>
            <w:hideMark/>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sz w:val="18"/>
                <w:szCs w:val="18"/>
              </w:rPr>
            </w:pPr>
            <w:r w:rsidRPr="001F4EF0">
              <w:rPr>
                <w:rFonts w:ascii="Gill Sans" w:eastAsia="Times New Roman" w:hAnsi="Gill Sans" w:cs="Arial"/>
                <w:sz w:val="18"/>
                <w:szCs w:val="18"/>
                <w:lang w:eastAsia="it-CH"/>
              </w:rPr>
              <w:t>3.2</w:t>
            </w:r>
          </w:p>
        </w:tc>
      </w:tr>
      <w:tr w:rsidR="001F4EF0" w:rsidRPr="001F4EF0" w:rsidTr="0083024E">
        <w:trPr>
          <w:trHeight w:val="116"/>
        </w:trPr>
        <w:tc>
          <w:tcPr>
            <w:cnfStyle w:val="001000000000" w:firstRow="0" w:lastRow="0" w:firstColumn="1" w:lastColumn="0" w:oddVBand="0" w:evenVBand="0" w:oddHBand="0" w:evenHBand="0" w:firstRowFirstColumn="0" w:firstRowLastColumn="0" w:lastRowFirstColumn="0" w:lastRowLastColumn="0"/>
            <w:tcW w:w="5043" w:type="dxa"/>
            <w:noWrap/>
            <w:hideMark/>
          </w:tcPr>
          <w:p w:rsidR="001F4EF0" w:rsidRPr="001F4EF0" w:rsidRDefault="001F4EF0" w:rsidP="001F4EF0">
            <w:pPr>
              <w:rPr>
                <w:rFonts w:ascii="Gill Sans" w:hAnsi="Gill Sans"/>
                <w:sz w:val="18"/>
                <w:szCs w:val="18"/>
              </w:rPr>
            </w:pPr>
            <w:r w:rsidRPr="001F4EF0">
              <w:rPr>
                <w:rFonts w:ascii="Gill Sans" w:hAnsi="Gill Sans"/>
                <w:sz w:val="18"/>
                <w:szCs w:val="18"/>
              </w:rPr>
              <w:t>Imposte alla fonte</w:t>
            </w:r>
          </w:p>
        </w:tc>
        <w:tc>
          <w:tcPr>
            <w:tcW w:w="1111" w:type="dxa"/>
            <w:tcBorders>
              <w:top w:val="single" w:sz="2" w:space="0" w:color="auto"/>
              <w:left w:val="nil"/>
              <w:bottom w:val="single" w:sz="2" w:space="0" w:color="auto"/>
              <w:right w:val="nil"/>
            </w:tcBorders>
            <w:noWrap/>
            <w:vAlign w:val="center"/>
            <w:hideMark/>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sz w:val="18"/>
                <w:szCs w:val="18"/>
              </w:rPr>
            </w:pPr>
            <w:r w:rsidRPr="001F4EF0">
              <w:rPr>
                <w:rFonts w:ascii="Gill Sans" w:eastAsia="Times New Roman" w:hAnsi="Gill Sans" w:cs="Arial"/>
                <w:sz w:val="18"/>
                <w:szCs w:val="18"/>
                <w:lang w:eastAsia="it-CH"/>
              </w:rPr>
              <w:t>130.9</w:t>
            </w:r>
          </w:p>
        </w:tc>
        <w:tc>
          <w:tcPr>
            <w:tcW w:w="1111" w:type="dxa"/>
            <w:tcBorders>
              <w:top w:val="single" w:sz="2" w:space="0" w:color="auto"/>
              <w:left w:val="nil"/>
              <w:bottom w:val="single" w:sz="2" w:space="0" w:color="auto"/>
              <w:right w:val="nil"/>
            </w:tcBorders>
            <w:noWrap/>
            <w:vAlign w:val="center"/>
            <w:hideMark/>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sz w:val="18"/>
                <w:szCs w:val="18"/>
              </w:rPr>
            </w:pPr>
            <w:r w:rsidRPr="001F4EF0">
              <w:rPr>
                <w:rFonts w:ascii="Gill Sans" w:eastAsia="Times New Roman" w:hAnsi="Gill Sans" w:cs="Arial"/>
                <w:sz w:val="18"/>
                <w:szCs w:val="18"/>
                <w:lang w:eastAsia="it-CH"/>
              </w:rPr>
              <w:t>143.2</w:t>
            </w:r>
          </w:p>
        </w:tc>
        <w:tc>
          <w:tcPr>
            <w:tcW w:w="1111" w:type="dxa"/>
            <w:tcBorders>
              <w:top w:val="single" w:sz="2" w:space="0" w:color="auto"/>
              <w:left w:val="nil"/>
              <w:bottom w:val="single" w:sz="2" w:space="0" w:color="auto"/>
              <w:right w:val="nil"/>
            </w:tcBorders>
            <w:shd w:val="clear" w:color="auto" w:fill="FABF8F"/>
            <w:noWrap/>
            <w:vAlign w:val="center"/>
            <w:hideMark/>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b/>
                <w:sz w:val="18"/>
                <w:szCs w:val="18"/>
              </w:rPr>
            </w:pPr>
            <w:r w:rsidRPr="001F4EF0">
              <w:rPr>
                <w:rFonts w:ascii="Gill Sans" w:eastAsia="Times New Roman" w:hAnsi="Gill Sans" w:cs="Arial"/>
                <w:sz w:val="18"/>
                <w:szCs w:val="18"/>
                <w:lang w:eastAsia="it-CH"/>
              </w:rPr>
              <w:t>144.9</w:t>
            </w:r>
          </w:p>
        </w:tc>
        <w:tc>
          <w:tcPr>
            <w:tcW w:w="1111" w:type="dxa"/>
            <w:tcBorders>
              <w:top w:val="single" w:sz="2" w:space="0" w:color="auto"/>
              <w:left w:val="nil"/>
              <w:bottom w:val="single" w:sz="2" w:space="0" w:color="auto"/>
              <w:right w:val="nil"/>
            </w:tcBorders>
            <w:shd w:val="clear" w:color="auto" w:fill="FBD4B4"/>
            <w:vAlign w:val="center"/>
            <w:hideMark/>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sz w:val="18"/>
                <w:szCs w:val="18"/>
              </w:rPr>
            </w:pPr>
            <w:r w:rsidRPr="001F4EF0">
              <w:rPr>
                <w:rFonts w:ascii="Gill Sans" w:eastAsia="Times New Roman" w:hAnsi="Gill Sans" w:cs="Arial"/>
                <w:sz w:val="18"/>
                <w:szCs w:val="18"/>
                <w:lang w:eastAsia="it-CH"/>
              </w:rPr>
              <w:t>1.7</w:t>
            </w:r>
          </w:p>
        </w:tc>
      </w:tr>
      <w:tr w:rsidR="001F4EF0" w:rsidRPr="001F4EF0" w:rsidTr="0083024E">
        <w:trPr>
          <w:trHeight w:val="213"/>
        </w:trPr>
        <w:tc>
          <w:tcPr>
            <w:cnfStyle w:val="001000000000" w:firstRow="0" w:lastRow="0" w:firstColumn="1" w:lastColumn="0" w:oddVBand="0" w:evenVBand="0" w:oddHBand="0" w:evenHBand="0" w:firstRowFirstColumn="0" w:firstRowLastColumn="0" w:lastRowFirstColumn="0" w:lastRowLastColumn="0"/>
            <w:tcW w:w="5043" w:type="dxa"/>
            <w:tcBorders>
              <w:bottom w:val="single" w:sz="12" w:space="0" w:color="auto"/>
            </w:tcBorders>
            <w:noWrap/>
            <w:hideMark/>
          </w:tcPr>
          <w:p w:rsidR="001F4EF0" w:rsidRPr="001F4EF0" w:rsidRDefault="001F4EF0" w:rsidP="001F4EF0">
            <w:pPr>
              <w:rPr>
                <w:rFonts w:ascii="Gill Sans" w:hAnsi="Gill Sans"/>
                <w:sz w:val="18"/>
                <w:szCs w:val="18"/>
              </w:rPr>
            </w:pPr>
            <w:r w:rsidRPr="001F4EF0">
              <w:rPr>
                <w:rFonts w:ascii="Gill Sans" w:hAnsi="Gill Sans"/>
                <w:sz w:val="18"/>
                <w:szCs w:val="18"/>
              </w:rPr>
              <w:t>Imposte suppletorie e multe</w:t>
            </w:r>
          </w:p>
        </w:tc>
        <w:tc>
          <w:tcPr>
            <w:tcW w:w="1111" w:type="dxa"/>
            <w:tcBorders>
              <w:top w:val="single" w:sz="2" w:space="0" w:color="auto"/>
              <w:left w:val="nil"/>
              <w:bottom w:val="single" w:sz="12" w:space="0" w:color="auto"/>
              <w:right w:val="nil"/>
            </w:tcBorders>
            <w:noWrap/>
            <w:vAlign w:val="center"/>
            <w:hideMark/>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sz w:val="18"/>
                <w:szCs w:val="18"/>
              </w:rPr>
            </w:pPr>
            <w:r w:rsidRPr="001F4EF0">
              <w:rPr>
                <w:rFonts w:ascii="Gill Sans" w:eastAsia="Times New Roman" w:hAnsi="Gill Sans" w:cs="Arial"/>
                <w:sz w:val="18"/>
                <w:szCs w:val="18"/>
                <w:lang w:eastAsia="it-CH"/>
              </w:rPr>
              <w:t>36.5</w:t>
            </w:r>
          </w:p>
        </w:tc>
        <w:tc>
          <w:tcPr>
            <w:tcW w:w="1111" w:type="dxa"/>
            <w:tcBorders>
              <w:top w:val="single" w:sz="2" w:space="0" w:color="auto"/>
              <w:left w:val="nil"/>
              <w:bottom w:val="single" w:sz="12" w:space="0" w:color="auto"/>
              <w:right w:val="nil"/>
            </w:tcBorders>
            <w:noWrap/>
            <w:vAlign w:val="center"/>
            <w:hideMark/>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sz w:val="18"/>
                <w:szCs w:val="18"/>
              </w:rPr>
            </w:pPr>
            <w:r w:rsidRPr="001F4EF0">
              <w:rPr>
                <w:rFonts w:ascii="Gill Sans" w:eastAsia="Times New Roman" w:hAnsi="Gill Sans" w:cs="Arial"/>
                <w:sz w:val="18"/>
                <w:szCs w:val="18"/>
                <w:lang w:eastAsia="it-CH"/>
              </w:rPr>
              <w:t>37.0</w:t>
            </w:r>
          </w:p>
        </w:tc>
        <w:tc>
          <w:tcPr>
            <w:tcW w:w="1111" w:type="dxa"/>
            <w:tcBorders>
              <w:top w:val="single" w:sz="2" w:space="0" w:color="auto"/>
              <w:left w:val="nil"/>
              <w:bottom w:val="single" w:sz="12" w:space="0" w:color="auto"/>
              <w:right w:val="nil"/>
            </w:tcBorders>
            <w:shd w:val="clear" w:color="auto" w:fill="FABF8F"/>
            <w:noWrap/>
            <w:vAlign w:val="center"/>
            <w:hideMark/>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sz w:val="18"/>
                <w:szCs w:val="18"/>
              </w:rPr>
            </w:pPr>
            <w:r w:rsidRPr="001F4EF0">
              <w:rPr>
                <w:rFonts w:ascii="Gill Sans" w:eastAsia="Times New Roman" w:hAnsi="Gill Sans" w:cs="Arial"/>
                <w:sz w:val="18"/>
                <w:szCs w:val="18"/>
                <w:lang w:eastAsia="it-CH"/>
              </w:rPr>
              <w:t>57.4</w:t>
            </w:r>
          </w:p>
        </w:tc>
        <w:tc>
          <w:tcPr>
            <w:tcW w:w="1111" w:type="dxa"/>
            <w:tcBorders>
              <w:top w:val="single" w:sz="2" w:space="0" w:color="auto"/>
              <w:left w:val="nil"/>
              <w:bottom w:val="single" w:sz="12" w:space="0" w:color="auto"/>
              <w:right w:val="nil"/>
            </w:tcBorders>
            <w:shd w:val="clear" w:color="auto" w:fill="FBD4B4"/>
            <w:vAlign w:val="center"/>
            <w:hideMark/>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sz w:val="18"/>
                <w:szCs w:val="18"/>
              </w:rPr>
            </w:pPr>
            <w:r w:rsidRPr="001F4EF0">
              <w:rPr>
                <w:rFonts w:ascii="Gill Sans" w:eastAsia="Times New Roman" w:hAnsi="Gill Sans" w:cs="Arial"/>
                <w:sz w:val="18"/>
                <w:szCs w:val="18"/>
                <w:lang w:eastAsia="it-CH"/>
              </w:rPr>
              <w:t>20.4</w:t>
            </w:r>
          </w:p>
        </w:tc>
      </w:tr>
      <w:tr w:rsidR="001F4EF0" w:rsidRPr="001F4EF0" w:rsidTr="0083024E">
        <w:trPr>
          <w:trHeight w:val="105"/>
        </w:trPr>
        <w:tc>
          <w:tcPr>
            <w:cnfStyle w:val="001000000000" w:firstRow="0" w:lastRow="0" w:firstColumn="1" w:lastColumn="0" w:oddVBand="0" w:evenVBand="0" w:oddHBand="0" w:evenHBand="0" w:firstRowFirstColumn="0" w:firstRowLastColumn="0" w:lastRowFirstColumn="0" w:lastRowLastColumn="0"/>
            <w:tcW w:w="5043" w:type="dxa"/>
            <w:tcBorders>
              <w:top w:val="single" w:sz="12" w:space="0" w:color="auto"/>
            </w:tcBorders>
            <w:noWrap/>
            <w:hideMark/>
          </w:tcPr>
          <w:p w:rsidR="001F4EF0" w:rsidRPr="001F4EF0" w:rsidRDefault="001F4EF0" w:rsidP="001F4EF0">
            <w:pPr>
              <w:rPr>
                <w:rFonts w:ascii="Gill Sans" w:hAnsi="Gill Sans"/>
                <w:sz w:val="18"/>
                <w:szCs w:val="18"/>
              </w:rPr>
            </w:pPr>
            <w:r w:rsidRPr="001F4EF0">
              <w:rPr>
                <w:rFonts w:ascii="Gill Sans" w:hAnsi="Gill Sans"/>
                <w:sz w:val="18"/>
                <w:szCs w:val="18"/>
              </w:rPr>
              <w:t>Totale imposte persone fisiche</w:t>
            </w:r>
          </w:p>
        </w:tc>
        <w:tc>
          <w:tcPr>
            <w:tcW w:w="1111" w:type="dxa"/>
            <w:tcBorders>
              <w:top w:val="single" w:sz="12" w:space="0" w:color="auto"/>
              <w:left w:val="nil"/>
              <w:bottom w:val="single" w:sz="12" w:space="0" w:color="auto"/>
              <w:right w:val="nil"/>
            </w:tcBorders>
            <w:noWrap/>
            <w:vAlign w:val="center"/>
            <w:hideMark/>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b/>
                <w:sz w:val="18"/>
                <w:szCs w:val="18"/>
              </w:rPr>
            </w:pPr>
            <w:r w:rsidRPr="001F4EF0">
              <w:rPr>
                <w:rFonts w:ascii="Gill Sans" w:eastAsia="Times New Roman" w:hAnsi="Gill Sans" w:cs="Arial"/>
                <w:b/>
                <w:bCs/>
                <w:sz w:val="18"/>
                <w:szCs w:val="18"/>
                <w:lang w:eastAsia="it-CH"/>
              </w:rPr>
              <w:t>1'295.9</w:t>
            </w:r>
          </w:p>
        </w:tc>
        <w:tc>
          <w:tcPr>
            <w:tcW w:w="1111" w:type="dxa"/>
            <w:tcBorders>
              <w:top w:val="single" w:sz="12" w:space="0" w:color="auto"/>
              <w:left w:val="nil"/>
              <w:bottom w:val="single" w:sz="12" w:space="0" w:color="auto"/>
              <w:right w:val="nil"/>
            </w:tcBorders>
            <w:noWrap/>
            <w:vAlign w:val="center"/>
            <w:hideMark/>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b/>
                <w:sz w:val="18"/>
                <w:szCs w:val="18"/>
              </w:rPr>
            </w:pPr>
            <w:r w:rsidRPr="001F4EF0">
              <w:rPr>
                <w:rFonts w:ascii="Gill Sans" w:eastAsia="Times New Roman" w:hAnsi="Gill Sans" w:cs="Arial"/>
                <w:b/>
                <w:bCs/>
                <w:sz w:val="18"/>
                <w:szCs w:val="18"/>
                <w:lang w:eastAsia="it-CH"/>
              </w:rPr>
              <w:t>1'302.9</w:t>
            </w:r>
          </w:p>
        </w:tc>
        <w:tc>
          <w:tcPr>
            <w:tcW w:w="1111" w:type="dxa"/>
            <w:tcBorders>
              <w:top w:val="single" w:sz="12" w:space="0" w:color="auto"/>
              <w:left w:val="nil"/>
              <w:bottom w:val="single" w:sz="12" w:space="0" w:color="auto"/>
              <w:right w:val="nil"/>
            </w:tcBorders>
            <w:shd w:val="clear" w:color="auto" w:fill="FABF8F"/>
            <w:noWrap/>
            <w:vAlign w:val="center"/>
            <w:hideMark/>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b/>
                <w:sz w:val="18"/>
                <w:szCs w:val="18"/>
              </w:rPr>
            </w:pPr>
            <w:r w:rsidRPr="001F4EF0">
              <w:rPr>
                <w:rFonts w:ascii="Gill Sans" w:eastAsia="Times New Roman" w:hAnsi="Gill Sans" w:cs="Arial"/>
                <w:b/>
                <w:bCs/>
                <w:sz w:val="18"/>
                <w:szCs w:val="18"/>
                <w:lang w:eastAsia="it-CH"/>
              </w:rPr>
              <w:t>1'365</w:t>
            </w:r>
            <w:r w:rsidRPr="001F4EF0">
              <w:rPr>
                <w:rFonts w:ascii="Gill Sans" w:eastAsia="Times New Roman" w:hAnsi="Gill Sans" w:cs="Arial"/>
                <w:b/>
                <w:sz w:val="18"/>
                <w:szCs w:val="18"/>
                <w:lang w:eastAsia="it-CH"/>
              </w:rPr>
              <w:t>.9</w:t>
            </w:r>
          </w:p>
        </w:tc>
        <w:tc>
          <w:tcPr>
            <w:tcW w:w="1111" w:type="dxa"/>
            <w:tcBorders>
              <w:top w:val="single" w:sz="12" w:space="0" w:color="auto"/>
              <w:left w:val="nil"/>
              <w:bottom w:val="single" w:sz="12" w:space="0" w:color="auto"/>
              <w:right w:val="nil"/>
            </w:tcBorders>
            <w:shd w:val="clear" w:color="auto" w:fill="FBD4B4"/>
            <w:vAlign w:val="center"/>
            <w:hideMark/>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b/>
                <w:sz w:val="18"/>
                <w:szCs w:val="18"/>
              </w:rPr>
            </w:pPr>
            <w:r w:rsidRPr="001F4EF0">
              <w:rPr>
                <w:rFonts w:ascii="Gill Sans" w:eastAsia="Times New Roman" w:hAnsi="Gill Sans" w:cs="Arial"/>
                <w:b/>
                <w:sz w:val="18"/>
                <w:szCs w:val="18"/>
                <w:lang w:eastAsia="it-CH"/>
              </w:rPr>
              <w:t>63.</w:t>
            </w:r>
            <w:r w:rsidRPr="001F4EF0">
              <w:rPr>
                <w:rFonts w:ascii="Gill Sans" w:eastAsia="Times New Roman" w:hAnsi="Gill Sans" w:cs="Arial"/>
                <w:b/>
                <w:bCs/>
                <w:sz w:val="18"/>
                <w:szCs w:val="18"/>
                <w:lang w:eastAsia="it-CH"/>
              </w:rPr>
              <w:t>0</w:t>
            </w:r>
          </w:p>
        </w:tc>
      </w:tr>
      <w:tr w:rsidR="001F4EF0" w:rsidRPr="001F4EF0" w:rsidTr="0083024E">
        <w:trPr>
          <w:trHeight w:val="105"/>
        </w:trPr>
        <w:tc>
          <w:tcPr>
            <w:cnfStyle w:val="001000000000" w:firstRow="0" w:lastRow="0" w:firstColumn="1" w:lastColumn="0" w:oddVBand="0" w:evenVBand="0" w:oddHBand="0" w:evenHBand="0" w:firstRowFirstColumn="0" w:firstRowLastColumn="0" w:lastRowFirstColumn="0" w:lastRowLastColumn="0"/>
            <w:tcW w:w="5043" w:type="dxa"/>
            <w:noWrap/>
          </w:tcPr>
          <w:p w:rsidR="001F4EF0" w:rsidRPr="001F4EF0" w:rsidRDefault="001F4EF0" w:rsidP="001F4EF0">
            <w:pPr>
              <w:rPr>
                <w:rFonts w:ascii="Gill Sans" w:hAnsi="Gill Sans"/>
                <w:sz w:val="18"/>
                <w:szCs w:val="18"/>
              </w:rPr>
            </w:pPr>
          </w:p>
        </w:tc>
        <w:tc>
          <w:tcPr>
            <w:tcW w:w="1111" w:type="dxa"/>
            <w:tcBorders>
              <w:top w:val="single" w:sz="12" w:space="0" w:color="auto"/>
              <w:left w:val="nil"/>
              <w:bottom w:val="single" w:sz="2" w:space="0" w:color="auto"/>
              <w:right w:val="nil"/>
            </w:tcBorders>
            <w:noWrap/>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b/>
                <w:sz w:val="18"/>
                <w:szCs w:val="18"/>
              </w:rPr>
            </w:pPr>
          </w:p>
        </w:tc>
        <w:tc>
          <w:tcPr>
            <w:tcW w:w="1111" w:type="dxa"/>
            <w:tcBorders>
              <w:top w:val="single" w:sz="12" w:space="0" w:color="auto"/>
              <w:left w:val="nil"/>
              <w:bottom w:val="single" w:sz="2" w:space="0" w:color="auto"/>
              <w:right w:val="nil"/>
            </w:tcBorders>
            <w:noWrap/>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b/>
                <w:sz w:val="18"/>
                <w:szCs w:val="18"/>
              </w:rPr>
            </w:pPr>
          </w:p>
        </w:tc>
        <w:tc>
          <w:tcPr>
            <w:tcW w:w="1111" w:type="dxa"/>
            <w:tcBorders>
              <w:top w:val="single" w:sz="12" w:space="0" w:color="auto"/>
              <w:left w:val="nil"/>
              <w:bottom w:val="single" w:sz="2" w:space="0" w:color="auto"/>
              <w:right w:val="nil"/>
            </w:tcBorders>
            <w:shd w:val="clear" w:color="auto" w:fill="FABF8F"/>
            <w:noWrap/>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b/>
                <w:sz w:val="18"/>
                <w:szCs w:val="18"/>
              </w:rPr>
            </w:pPr>
          </w:p>
        </w:tc>
        <w:tc>
          <w:tcPr>
            <w:tcW w:w="1111" w:type="dxa"/>
            <w:tcBorders>
              <w:top w:val="single" w:sz="12" w:space="0" w:color="auto"/>
              <w:left w:val="nil"/>
              <w:bottom w:val="single" w:sz="2" w:space="0" w:color="auto"/>
              <w:right w:val="nil"/>
            </w:tcBorders>
            <w:shd w:val="clear" w:color="auto" w:fill="FBD4B4"/>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b/>
                <w:sz w:val="18"/>
                <w:szCs w:val="18"/>
              </w:rPr>
            </w:pPr>
          </w:p>
        </w:tc>
      </w:tr>
      <w:tr w:rsidR="001F4EF0" w:rsidRPr="001F4EF0" w:rsidTr="0083024E">
        <w:trPr>
          <w:trHeight w:val="184"/>
        </w:trPr>
        <w:tc>
          <w:tcPr>
            <w:cnfStyle w:val="001000000000" w:firstRow="0" w:lastRow="0" w:firstColumn="1" w:lastColumn="0" w:oddVBand="0" w:evenVBand="0" w:oddHBand="0" w:evenHBand="0" w:firstRowFirstColumn="0" w:firstRowLastColumn="0" w:lastRowFirstColumn="0" w:lastRowLastColumn="0"/>
            <w:tcW w:w="5043" w:type="dxa"/>
            <w:tcBorders>
              <w:top w:val="single" w:sz="2" w:space="0" w:color="auto"/>
            </w:tcBorders>
            <w:noWrap/>
            <w:hideMark/>
          </w:tcPr>
          <w:p w:rsidR="001F4EF0" w:rsidRPr="001F4EF0" w:rsidRDefault="001F4EF0" w:rsidP="001F4EF0">
            <w:pPr>
              <w:rPr>
                <w:rFonts w:ascii="Gill Sans" w:hAnsi="Gill Sans"/>
                <w:sz w:val="18"/>
                <w:szCs w:val="18"/>
              </w:rPr>
            </w:pPr>
            <w:r w:rsidRPr="001F4EF0">
              <w:rPr>
                <w:rFonts w:ascii="Gill Sans" w:hAnsi="Gill Sans"/>
                <w:sz w:val="18"/>
                <w:szCs w:val="18"/>
              </w:rPr>
              <w:t>Imposte anno corrente</w:t>
            </w:r>
          </w:p>
        </w:tc>
        <w:tc>
          <w:tcPr>
            <w:tcW w:w="1111" w:type="dxa"/>
            <w:tcBorders>
              <w:top w:val="single" w:sz="2" w:space="0" w:color="auto"/>
              <w:left w:val="nil"/>
              <w:bottom w:val="single" w:sz="2" w:space="0" w:color="auto"/>
              <w:right w:val="nil"/>
            </w:tcBorders>
            <w:noWrap/>
            <w:vAlign w:val="center"/>
            <w:hideMark/>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sz w:val="18"/>
                <w:szCs w:val="18"/>
              </w:rPr>
            </w:pPr>
            <w:r w:rsidRPr="001F4EF0">
              <w:rPr>
                <w:rFonts w:ascii="Gill Sans" w:eastAsia="Times New Roman" w:hAnsi="Gill Sans" w:cs="Arial"/>
                <w:sz w:val="18"/>
                <w:szCs w:val="18"/>
                <w:lang w:eastAsia="it-CH"/>
              </w:rPr>
              <w:t>264.7</w:t>
            </w:r>
          </w:p>
        </w:tc>
        <w:tc>
          <w:tcPr>
            <w:tcW w:w="1111" w:type="dxa"/>
            <w:tcBorders>
              <w:top w:val="single" w:sz="2" w:space="0" w:color="auto"/>
              <w:left w:val="nil"/>
              <w:bottom w:val="single" w:sz="2" w:space="0" w:color="auto"/>
              <w:right w:val="nil"/>
            </w:tcBorders>
            <w:noWrap/>
            <w:vAlign w:val="center"/>
            <w:hideMark/>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sz w:val="18"/>
                <w:szCs w:val="18"/>
              </w:rPr>
            </w:pPr>
            <w:r w:rsidRPr="001F4EF0">
              <w:rPr>
                <w:rFonts w:ascii="Gill Sans" w:eastAsia="Times New Roman" w:hAnsi="Gill Sans" w:cs="Arial"/>
                <w:sz w:val="18"/>
                <w:szCs w:val="18"/>
                <w:lang w:eastAsia="it-CH"/>
              </w:rPr>
              <w:t>285.1</w:t>
            </w:r>
          </w:p>
        </w:tc>
        <w:tc>
          <w:tcPr>
            <w:tcW w:w="1111" w:type="dxa"/>
            <w:tcBorders>
              <w:top w:val="single" w:sz="2" w:space="0" w:color="auto"/>
              <w:left w:val="nil"/>
              <w:bottom w:val="single" w:sz="2" w:space="0" w:color="auto"/>
              <w:right w:val="nil"/>
            </w:tcBorders>
            <w:shd w:val="clear" w:color="auto" w:fill="FABF8F"/>
            <w:noWrap/>
            <w:vAlign w:val="center"/>
            <w:hideMark/>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sz w:val="18"/>
                <w:szCs w:val="18"/>
              </w:rPr>
            </w:pPr>
            <w:r w:rsidRPr="001F4EF0">
              <w:rPr>
                <w:rFonts w:ascii="Gill Sans" w:eastAsia="Times New Roman" w:hAnsi="Gill Sans" w:cs="Arial"/>
                <w:sz w:val="18"/>
                <w:szCs w:val="18"/>
                <w:lang w:eastAsia="it-CH"/>
              </w:rPr>
              <w:t>285.1</w:t>
            </w:r>
          </w:p>
        </w:tc>
        <w:tc>
          <w:tcPr>
            <w:tcW w:w="1111" w:type="dxa"/>
            <w:tcBorders>
              <w:top w:val="single" w:sz="2" w:space="0" w:color="auto"/>
              <w:left w:val="nil"/>
              <w:bottom w:val="single" w:sz="2" w:space="0" w:color="auto"/>
              <w:right w:val="nil"/>
            </w:tcBorders>
            <w:shd w:val="clear" w:color="auto" w:fill="FBD4B4"/>
            <w:vAlign w:val="center"/>
            <w:hideMark/>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sz w:val="18"/>
                <w:szCs w:val="18"/>
              </w:rPr>
            </w:pPr>
            <w:r w:rsidRPr="001F4EF0">
              <w:rPr>
                <w:rFonts w:ascii="Gill Sans" w:eastAsia="Times New Roman" w:hAnsi="Gill Sans" w:cs="Arial"/>
                <w:sz w:val="18"/>
                <w:szCs w:val="18"/>
                <w:lang w:eastAsia="it-CH"/>
              </w:rPr>
              <w:t>0.0</w:t>
            </w:r>
          </w:p>
        </w:tc>
      </w:tr>
      <w:tr w:rsidR="001F4EF0" w:rsidRPr="001F4EF0" w:rsidTr="0083024E">
        <w:trPr>
          <w:trHeight w:val="77"/>
        </w:trPr>
        <w:tc>
          <w:tcPr>
            <w:cnfStyle w:val="001000000000" w:firstRow="0" w:lastRow="0" w:firstColumn="1" w:lastColumn="0" w:oddVBand="0" w:evenVBand="0" w:oddHBand="0" w:evenHBand="0" w:firstRowFirstColumn="0" w:firstRowLastColumn="0" w:lastRowFirstColumn="0" w:lastRowLastColumn="0"/>
            <w:tcW w:w="5043" w:type="dxa"/>
            <w:noWrap/>
            <w:hideMark/>
          </w:tcPr>
          <w:p w:rsidR="001F4EF0" w:rsidRPr="001F4EF0" w:rsidRDefault="001F4EF0" w:rsidP="001F4EF0">
            <w:pPr>
              <w:rPr>
                <w:rFonts w:ascii="Gill Sans" w:hAnsi="Gill Sans"/>
                <w:sz w:val="18"/>
                <w:szCs w:val="18"/>
              </w:rPr>
            </w:pPr>
            <w:r w:rsidRPr="001F4EF0">
              <w:rPr>
                <w:rFonts w:ascii="Gill Sans" w:hAnsi="Gill Sans"/>
                <w:sz w:val="18"/>
                <w:szCs w:val="18"/>
              </w:rPr>
              <w:t>Sopravvenienze anni precedenti</w:t>
            </w:r>
          </w:p>
        </w:tc>
        <w:tc>
          <w:tcPr>
            <w:tcW w:w="1111" w:type="dxa"/>
            <w:tcBorders>
              <w:top w:val="single" w:sz="2" w:space="0" w:color="auto"/>
              <w:left w:val="nil"/>
              <w:bottom w:val="single" w:sz="2" w:space="0" w:color="auto"/>
              <w:right w:val="nil"/>
            </w:tcBorders>
            <w:noWrap/>
            <w:vAlign w:val="center"/>
            <w:hideMark/>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sz w:val="18"/>
                <w:szCs w:val="18"/>
              </w:rPr>
            </w:pPr>
            <w:r w:rsidRPr="001F4EF0">
              <w:rPr>
                <w:rFonts w:ascii="Gill Sans" w:eastAsia="Times New Roman" w:hAnsi="Gill Sans" w:cs="Arial"/>
                <w:sz w:val="18"/>
                <w:szCs w:val="18"/>
                <w:lang w:eastAsia="it-CH"/>
              </w:rPr>
              <w:t>12.0</w:t>
            </w:r>
          </w:p>
        </w:tc>
        <w:tc>
          <w:tcPr>
            <w:tcW w:w="1111" w:type="dxa"/>
            <w:tcBorders>
              <w:top w:val="single" w:sz="2" w:space="0" w:color="auto"/>
              <w:left w:val="nil"/>
              <w:bottom w:val="single" w:sz="2" w:space="0" w:color="auto"/>
              <w:right w:val="nil"/>
            </w:tcBorders>
            <w:noWrap/>
            <w:vAlign w:val="center"/>
            <w:hideMark/>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sz w:val="18"/>
                <w:szCs w:val="18"/>
              </w:rPr>
            </w:pPr>
            <w:r w:rsidRPr="001F4EF0">
              <w:rPr>
                <w:rFonts w:ascii="Gill Sans" w:eastAsia="Times New Roman" w:hAnsi="Gill Sans" w:cs="Arial"/>
                <w:sz w:val="18"/>
                <w:szCs w:val="18"/>
                <w:lang w:eastAsia="it-CH"/>
              </w:rPr>
              <w:t>15.3</w:t>
            </w:r>
          </w:p>
        </w:tc>
        <w:tc>
          <w:tcPr>
            <w:tcW w:w="1111" w:type="dxa"/>
            <w:tcBorders>
              <w:top w:val="single" w:sz="2" w:space="0" w:color="auto"/>
              <w:left w:val="nil"/>
              <w:bottom w:val="single" w:sz="2" w:space="0" w:color="auto"/>
              <w:right w:val="nil"/>
            </w:tcBorders>
            <w:shd w:val="clear" w:color="auto" w:fill="FABF8F"/>
            <w:noWrap/>
            <w:vAlign w:val="center"/>
            <w:hideMark/>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sz w:val="18"/>
                <w:szCs w:val="18"/>
              </w:rPr>
            </w:pPr>
            <w:r w:rsidRPr="001F4EF0">
              <w:rPr>
                <w:rFonts w:ascii="Gill Sans" w:eastAsia="Times New Roman" w:hAnsi="Gill Sans" w:cs="Arial"/>
                <w:sz w:val="18"/>
                <w:szCs w:val="18"/>
                <w:lang w:eastAsia="it-CH"/>
              </w:rPr>
              <w:t>17.7</w:t>
            </w:r>
          </w:p>
        </w:tc>
        <w:tc>
          <w:tcPr>
            <w:tcW w:w="1111" w:type="dxa"/>
            <w:tcBorders>
              <w:top w:val="single" w:sz="2" w:space="0" w:color="auto"/>
              <w:left w:val="nil"/>
              <w:bottom w:val="single" w:sz="2" w:space="0" w:color="auto"/>
              <w:right w:val="nil"/>
            </w:tcBorders>
            <w:shd w:val="clear" w:color="auto" w:fill="FBD4B4"/>
            <w:vAlign w:val="center"/>
            <w:hideMark/>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sz w:val="18"/>
                <w:szCs w:val="18"/>
              </w:rPr>
            </w:pPr>
            <w:r w:rsidRPr="001F4EF0">
              <w:rPr>
                <w:rFonts w:ascii="Gill Sans" w:eastAsia="Times New Roman" w:hAnsi="Gill Sans" w:cs="Arial"/>
                <w:sz w:val="18"/>
                <w:szCs w:val="18"/>
                <w:lang w:eastAsia="it-CH"/>
              </w:rPr>
              <w:t>2.4</w:t>
            </w:r>
          </w:p>
        </w:tc>
      </w:tr>
      <w:tr w:rsidR="001F4EF0" w:rsidRPr="001F4EF0" w:rsidTr="0083024E">
        <w:trPr>
          <w:trHeight w:val="172"/>
        </w:trPr>
        <w:tc>
          <w:tcPr>
            <w:cnfStyle w:val="001000000000" w:firstRow="0" w:lastRow="0" w:firstColumn="1" w:lastColumn="0" w:oddVBand="0" w:evenVBand="0" w:oddHBand="0" w:evenHBand="0" w:firstRowFirstColumn="0" w:firstRowLastColumn="0" w:lastRowFirstColumn="0" w:lastRowLastColumn="0"/>
            <w:tcW w:w="5043" w:type="dxa"/>
            <w:tcBorders>
              <w:bottom w:val="single" w:sz="12" w:space="0" w:color="auto"/>
            </w:tcBorders>
            <w:noWrap/>
            <w:hideMark/>
          </w:tcPr>
          <w:p w:rsidR="001F4EF0" w:rsidRPr="001F4EF0" w:rsidRDefault="001F4EF0" w:rsidP="001F4EF0">
            <w:pPr>
              <w:rPr>
                <w:rFonts w:ascii="Gill Sans" w:hAnsi="Gill Sans"/>
                <w:sz w:val="18"/>
                <w:szCs w:val="18"/>
              </w:rPr>
            </w:pPr>
            <w:r w:rsidRPr="001F4EF0">
              <w:rPr>
                <w:rFonts w:ascii="Gill Sans" w:hAnsi="Gill Sans"/>
                <w:sz w:val="18"/>
                <w:szCs w:val="18"/>
              </w:rPr>
              <w:t>Supplemento imposta immobiliare</w:t>
            </w:r>
          </w:p>
        </w:tc>
        <w:tc>
          <w:tcPr>
            <w:tcW w:w="1111" w:type="dxa"/>
            <w:tcBorders>
              <w:top w:val="single" w:sz="2" w:space="0" w:color="auto"/>
              <w:left w:val="nil"/>
              <w:bottom w:val="single" w:sz="12" w:space="0" w:color="auto"/>
              <w:right w:val="nil"/>
            </w:tcBorders>
            <w:noWrap/>
            <w:vAlign w:val="center"/>
            <w:hideMark/>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sz w:val="18"/>
                <w:szCs w:val="18"/>
              </w:rPr>
            </w:pPr>
            <w:r w:rsidRPr="001F4EF0">
              <w:rPr>
                <w:rFonts w:ascii="Gill Sans" w:eastAsia="Times New Roman" w:hAnsi="Gill Sans" w:cs="Arial"/>
                <w:sz w:val="18"/>
                <w:szCs w:val="18"/>
                <w:lang w:eastAsia="it-CH"/>
              </w:rPr>
              <w:t>15.0</w:t>
            </w:r>
          </w:p>
        </w:tc>
        <w:tc>
          <w:tcPr>
            <w:tcW w:w="1111" w:type="dxa"/>
            <w:tcBorders>
              <w:top w:val="single" w:sz="2" w:space="0" w:color="auto"/>
              <w:left w:val="nil"/>
              <w:bottom w:val="single" w:sz="12" w:space="0" w:color="auto"/>
              <w:right w:val="nil"/>
            </w:tcBorders>
            <w:noWrap/>
            <w:vAlign w:val="center"/>
            <w:hideMark/>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sz w:val="18"/>
                <w:szCs w:val="18"/>
              </w:rPr>
            </w:pPr>
            <w:r w:rsidRPr="001F4EF0">
              <w:rPr>
                <w:rFonts w:ascii="Gill Sans" w:eastAsia="Times New Roman" w:hAnsi="Gill Sans" w:cs="Arial"/>
                <w:sz w:val="18"/>
                <w:szCs w:val="18"/>
                <w:lang w:eastAsia="it-CH"/>
              </w:rPr>
              <w:t>15.0</w:t>
            </w:r>
          </w:p>
        </w:tc>
        <w:tc>
          <w:tcPr>
            <w:tcW w:w="1111" w:type="dxa"/>
            <w:tcBorders>
              <w:top w:val="single" w:sz="2" w:space="0" w:color="auto"/>
              <w:left w:val="nil"/>
              <w:bottom w:val="single" w:sz="12" w:space="0" w:color="auto"/>
              <w:right w:val="nil"/>
            </w:tcBorders>
            <w:shd w:val="clear" w:color="auto" w:fill="FABF8F"/>
            <w:noWrap/>
            <w:vAlign w:val="center"/>
            <w:hideMark/>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sz w:val="18"/>
                <w:szCs w:val="18"/>
              </w:rPr>
            </w:pPr>
            <w:r w:rsidRPr="001F4EF0">
              <w:rPr>
                <w:rFonts w:ascii="Gill Sans" w:eastAsia="Times New Roman" w:hAnsi="Gill Sans" w:cs="Arial"/>
                <w:sz w:val="18"/>
                <w:szCs w:val="18"/>
                <w:lang w:eastAsia="it-CH"/>
              </w:rPr>
              <w:t>15.0</w:t>
            </w:r>
          </w:p>
        </w:tc>
        <w:tc>
          <w:tcPr>
            <w:tcW w:w="1111" w:type="dxa"/>
            <w:tcBorders>
              <w:top w:val="single" w:sz="2" w:space="0" w:color="auto"/>
              <w:left w:val="nil"/>
              <w:bottom w:val="single" w:sz="12" w:space="0" w:color="auto"/>
              <w:right w:val="nil"/>
            </w:tcBorders>
            <w:shd w:val="clear" w:color="auto" w:fill="FBD4B4"/>
            <w:vAlign w:val="center"/>
            <w:hideMark/>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sz w:val="18"/>
                <w:szCs w:val="18"/>
              </w:rPr>
            </w:pPr>
            <w:r w:rsidRPr="001F4EF0">
              <w:rPr>
                <w:rFonts w:ascii="Gill Sans" w:eastAsia="Times New Roman" w:hAnsi="Gill Sans" w:cs="Arial"/>
                <w:sz w:val="18"/>
                <w:szCs w:val="18"/>
                <w:lang w:eastAsia="it-CH"/>
              </w:rPr>
              <w:t>0.0</w:t>
            </w:r>
          </w:p>
        </w:tc>
      </w:tr>
      <w:tr w:rsidR="001F4EF0" w:rsidRPr="001F4EF0" w:rsidTr="0083024E">
        <w:trPr>
          <w:trHeight w:val="71"/>
        </w:trPr>
        <w:tc>
          <w:tcPr>
            <w:cnfStyle w:val="001000000000" w:firstRow="0" w:lastRow="0" w:firstColumn="1" w:lastColumn="0" w:oddVBand="0" w:evenVBand="0" w:oddHBand="0" w:evenHBand="0" w:firstRowFirstColumn="0" w:firstRowLastColumn="0" w:lastRowFirstColumn="0" w:lastRowLastColumn="0"/>
            <w:tcW w:w="5043" w:type="dxa"/>
            <w:tcBorders>
              <w:top w:val="single" w:sz="12" w:space="0" w:color="auto"/>
            </w:tcBorders>
            <w:noWrap/>
            <w:hideMark/>
          </w:tcPr>
          <w:p w:rsidR="001F4EF0" w:rsidRPr="001F4EF0" w:rsidRDefault="001F4EF0" w:rsidP="001F4EF0">
            <w:pPr>
              <w:rPr>
                <w:rFonts w:ascii="Gill Sans" w:hAnsi="Gill Sans"/>
                <w:sz w:val="18"/>
                <w:szCs w:val="18"/>
              </w:rPr>
            </w:pPr>
            <w:r w:rsidRPr="001F4EF0">
              <w:rPr>
                <w:rFonts w:ascii="Gill Sans" w:hAnsi="Gill Sans"/>
                <w:sz w:val="18"/>
                <w:szCs w:val="18"/>
              </w:rPr>
              <w:t>Totale imposte persone giuridiche</w:t>
            </w:r>
          </w:p>
        </w:tc>
        <w:tc>
          <w:tcPr>
            <w:tcW w:w="1111" w:type="dxa"/>
            <w:tcBorders>
              <w:top w:val="single" w:sz="12" w:space="0" w:color="auto"/>
              <w:left w:val="nil"/>
              <w:bottom w:val="single" w:sz="12" w:space="0" w:color="auto"/>
              <w:right w:val="nil"/>
            </w:tcBorders>
            <w:noWrap/>
            <w:vAlign w:val="center"/>
            <w:hideMark/>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b/>
                <w:sz w:val="18"/>
                <w:szCs w:val="18"/>
              </w:rPr>
            </w:pPr>
            <w:r w:rsidRPr="001F4EF0">
              <w:rPr>
                <w:rFonts w:ascii="Gill Sans" w:eastAsia="Times New Roman" w:hAnsi="Gill Sans" w:cs="Arial"/>
                <w:b/>
                <w:bCs/>
                <w:sz w:val="18"/>
                <w:szCs w:val="18"/>
                <w:lang w:eastAsia="it-CH"/>
              </w:rPr>
              <w:t>291.7</w:t>
            </w:r>
          </w:p>
        </w:tc>
        <w:tc>
          <w:tcPr>
            <w:tcW w:w="1111" w:type="dxa"/>
            <w:tcBorders>
              <w:top w:val="single" w:sz="12" w:space="0" w:color="auto"/>
              <w:left w:val="nil"/>
              <w:bottom w:val="single" w:sz="12" w:space="0" w:color="auto"/>
              <w:right w:val="nil"/>
            </w:tcBorders>
            <w:noWrap/>
            <w:vAlign w:val="center"/>
            <w:hideMark/>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b/>
                <w:sz w:val="18"/>
                <w:szCs w:val="18"/>
              </w:rPr>
            </w:pPr>
            <w:r w:rsidRPr="001F4EF0">
              <w:rPr>
                <w:rFonts w:ascii="Gill Sans" w:eastAsia="Times New Roman" w:hAnsi="Gill Sans" w:cs="Arial"/>
                <w:b/>
                <w:bCs/>
                <w:sz w:val="18"/>
                <w:szCs w:val="18"/>
                <w:lang w:eastAsia="it-CH"/>
              </w:rPr>
              <w:t>315.4</w:t>
            </w:r>
          </w:p>
        </w:tc>
        <w:tc>
          <w:tcPr>
            <w:tcW w:w="1111" w:type="dxa"/>
            <w:tcBorders>
              <w:top w:val="single" w:sz="12" w:space="0" w:color="auto"/>
              <w:left w:val="nil"/>
              <w:bottom w:val="single" w:sz="12" w:space="0" w:color="auto"/>
              <w:right w:val="nil"/>
            </w:tcBorders>
            <w:shd w:val="clear" w:color="auto" w:fill="FABF8F"/>
            <w:noWrap/>
            <w:vAlign w:val="center"/>
            <w:hideMark/>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b/>
                <w:sz w:val="18"/>
                <w:szCs w:val="18"/>
              </w:rPr>
            </w:pPr>
            <w:r w:rsidRPr="001F4EF0">
              <w:rPr>
                <w:rFonts w:ascii="Gill Sans" w:eastAsia="Times New Roman" w:hAnsi="Gill Sans" w:cs="Arial"/>
                <w:b/>
                <w:bCs/>
                <w:sz w:val="18"/>
                <w:szCs w:val="18"/>
                <w:lang w:eastAsia="it-CH"/>
              </w:rPr>
              <w:t>317.8</w:t>
            </w:r>
          </w:p>
        </w:tc>
        <w:tc>
          <w:tcPr>
            <w:tcW w:w="1111" w:type="dxa"/>
            <w:tcBorders>
              <w:top w:val="single" w:sz="12" w:space="0" w:color="auto"/>
              <w:left w:val="nil"/>
              <w:bottom w:val="single" w:sz="12" w:space="0" w:color="auto"/>
              <w:right w:val="nil"/>
            </w:tcBorders>
            <w:shd w:val="clear" w:color="auto" w:fill="FBD4B4"/>
            <w:vAlign w:val="center"/>
            <w:hideMark/>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b/>
                <w:sz w:val="18"/>
                <w:szCs w:val="18"/>
              </w:rPr>
            </w:pPr>
            <w:r w:rsidRPr="001F4EF0">
              <w:rPr>
                <w:rFonts w:ascii="Gill Sans" w:eastAsia="Times New Roman" w:hAnsi="Gill Sans" w:cs="Arial"/>
                <w:b/>
                <w:bCs/>
                <w:sz w:val="18"/>
                <w:szCs w:val="18"/>
                <w:lang w:eastAsia="it-CH"/>
              </w:rPr>
              <w:t>2.4</w:t>
            </w:r>
          </w:p>
        </w:tc>
      </w:tr>
      <w:tr w:rsidR="001F4EF0" w:rsidRPr="001F4EF0" w:rsidTr="0083024E">
        <w:trPr>
          <w:trHeight w:val="71"/>
        </w:trPr>
        <w:tc>
          <w:tcPr>
            <w:cnfStyle w:val="001000000000" w:firstRow="0" w:lastRow="0" w:firstColumn="1" w:lastColumn="0" w:oddVBand="0" w:evenVBand="0" w:oddHBand="0" w:evenHBand="0" w:firstRowFirstColumn="0" w:firstRowLastColumn="0" w:lastRowFirstColumn="0" w:lastRowLastColumn="0"/>
            <w:tcW w:w="5043" w:type="dxa"/>
            <w:noWrap/>
          </w:tcPr>
          <w:p w:rsidR="001F4EF0" w:rsidRPr="001F4EF0" w:rsidRDefault="001F4EF0" w:rsidP="001F4EF0">
            <w:pPr>
              <w:rPr>
                <w:rFonts w:ascii="Gill Sans" w:hAnsi="Gill Sans"/>
                <w:sz w:val="18"/>
                <w:szCs w:val="18"/>
              </w:rPr>
            </w:pPr>
          </w:p>
        </w:tc>
        <w:tc>
          <w:tcPr>
            <w:tcW w:w="1111" w:type="dxa"/>
            <w:tcBorders>
              <w:top w:val="single" w:sz="12" w:space="0" w:color="auto"/>
              <w:left w:val="nil"/>
              <w:bottom w:val="single" w:sz="2" w:space="0" w:color="auto"/>
              <w:right w:val="nil"/>
            </w:tcBorders>
            <w:noWrap/>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sz w:val="18"/>
                <w:szCs w:val="18"/>
              </w:rPr>
            </w:pPr>
          </w:p>
        </w:tc>
        <w:tc>
          <w:tcPr>
            <w:tcW w:w="1111" w:type="dxa"/>
            <w:tcBorders>
              <w:top w:val="single" w:sz="12" w:space="0" w:color="auto"/>
              <w:left w:val="nil"/>
              <w:bottom w:val="single" w:sz="2" w:space="0" w:color="auto"/>
              <w:right w:val="nil"/>
            </w:tcBorders>
            <w:noWrap/>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sz w:val="18"/>
                <w:szCs w:val="18"/>
              </w:rPr>
            </w:pPr>
          </w:p>
        </w:tc>
        <w:tc>
          <w:tcPr>
            <w:tcW w:w="1111" w:type="dxa"/>
            <w:tcBorders>
              <w:top w:val="single" w:sz="12" w:space="0" w:color="auto"/>
              <w:left w:val="nil"/>
              <w:bottom w:val="single" w:sz="2" w:space="0" w:color="auto"/>
              <w:right w:val="nil"/>
            </w:tcBorders>
            <w:shd w:val="clear" w:color="auto" w:fill="FABF8F"/>
            <w:noWrap/>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sz w:val="18"/>
                <w:szCs w:val="18"/>
              </w:rPr>
            </w:pPr>
          </w:p>
        </w:tc>
        <w:tc>
          <w:tcPr>
            <w:tcW w:w="1111" w:type="dxa"/>
            <w:tcBorders>
              <w:top w:val="single" w:sz="12" w:space="0" w:color="auto"/>
              <w:left w:val="nil"/>
              <w:bottom w:val="single" w:sz="2" w:space="0" w:color="auto"/>
              <w:right w:val="nil"/>
            </w:tcBorders>
            <w:shd w:val="clear" w:color="auto" w:fill="FBD4B4"/>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sz w:val="18"/>
                <w:szCs w:val="18"/>
              </w:rPr>
            </w:pPr>
          </w:p>
        </w:tc>
      </w:tr>
      <w:tr w:rsidR="001F4EF0" w:rsidRPr="001F4EF0" w:rsidTr="0083024E">
        <w:trPr>
          <w:trHeight w:val="126"/>
        </w:trPr>
        <w:tc>
          <w:tcPr>
            <w:cnfStyle w:val="001000000000" w:firstRow="0" w:lastRow="0" w:firstColumn="1" w:lastColumn="0" w:oddVBand="0" w:evenVBand="0" w:oddHBand="0" w:evenHBand="0" w:firstRowFirstColumn="0" w:firstRowLastColumn="0" w:lastRowFirstColumn="0" w:lastRowLastColumn="0"/>
            <w:tcW w:w="5043" w:type="dxa"/>
            <w:tcBorders>
              <w:top w:val="single" w:sz="2" w:space="0" w:color="auto"/>
            </w:tcBorders>
            <w:noWrap/>
            <w:hideMark/>
          </w:tcPr>
          <w:p w:rsidR="001F4EF0" w:rsidRPr="001F4EF0" w:rsidRDefault="001F4EF0" w:rsidP="001F4EF0">
            <w:pPr>
              <w:rPr>
                <w:rFonts w:ascii="Gill Sans" w:hAnsi="Gill Sans"/>
                <w:sz w:val="18"/>
                <w:szCs w:val="18"/>
              </w:rPr>
            </w:pPr>
            <w:r w:rsidRPr="001F4EF0">
              <w:rPr>
                <w:rFonts w:ascii="Gill Sans" w:hAnsi="Gill Sans"/>
                <w:sz w:val="18"/>
                <w:szCs w:val="18"/>
              </w:rPr>
              <w:t>Imposta sugli utili immobiliari</w:t>
            </w:r>
          </w:p>
        </w:tc>
        <w:tc>
          <w:tcPr>
            <w:tcW w:w="1111" w:type="dxa"/>
            <w:tcBorders>
              <w:top w:val="single" w:sz="2" w:space="0" w:color="auto"/>
              <w:left w:val="nil"/>
              <w:bottom w:val="single" w:sz="2" w:space="0" w:color="auto"/>
              <w:right w:val="nil"/>
            </w:tcBorders>
            <w:noWrap/>
            <w:vAlign w:val="center"/>
            <w:hideMark/>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sz w:val="18"/>
                <w:szCs w:val="18"/>
              </w:rPr>
            </w:pPr>
            <w:r w:rsidRPr="001F4EF0">
              <w:rPr>
                <w:rFonts w:ascii="Gill Sans" w:eastAsia="Times New Roman" w:hAnsi="Gill Sans" w:cs="Arial"/>
                <w:sz w:val="18"/>
                <w:szCs w:val="18"/>
                <w:lang w:eastAsia="it-CH"/>
              </w:rPr>
              <w:t>101.1</w:t>
            </w:r>
          </w:p>
        </w:tc>
        <w:tc>
          <w:tcPr>
            <w:tcW w:w="1111" w:type="dxa"/>
            <w:tcBorders>
              <w:top w:val="single" w:sz="2" w:space="0" w:color="auto"/>
              <w:left w:val="nil"/>
              <w:bottom w:val="single" w:sz="2" w:space="0" w:color="auto"/>
              <w:right w:val="nil"/>
            </w:tcBorders>
            <w:noWrap/>
            <w:vAlign w:val="center"/>
            <w:hideMark/>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sz w:val="18"/>
                <w:szCs w:val="18"/>
              </w:rPr>
            </w:pPr>
            <w:r w:rsidRPr="001F4EF0">
              <w:rPr>
                <w:rFonts w:ascii="Gill Sans" w:eastAsia="Times New Roman" w:hAnsi="Gill Sans" w:cs="Arial"/>
                <w:sz w:val="18"/>
                <w:szCs w:val="18"/>
                <w:lang w:eastAsia="it-CH"/>
              </w:rPr>
              <w:t>85.0</w:t>
            </w:r>
          </w:p>
        </w:tc>
        <w:tc>
          <w:tcPr>
            <w:tcW w:w="1111" w:type="dxa"/>
            <w:tcBorders>
              <w:top w:val="single" w:sz="2" w:space="0" w:color="auto"/>
              <w:left w:val="nil"/>
              <w:bottom w:val="single" w:sz="2" w:space="0" w:color="auto"/>
              <w:right w:val="nil"/>
            </w:tcBorders>
            <w:shd w:val="clear" w:color="auto" w:fill="FABF8F"/>
            <w:noWrap/>
            <w:vAlign w:val="center"/>
            <w:hideMark/>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sz w:val="18"/>
                <w:szCs w:val="18"/>
              </w:rPr>
            </w:pPr>
            <w:r w:rsidRPr="001F4EF0">
              <w:rPr>
                <w:rFonts w:ascii="Gill Sans" w:eastAsia="Times New Roman" w:hAnsi="Gill Sans" w:cs="Arial"/>
                <w:sz w:val="18"/>
                <w:szCs w:val="18"/>
                <w:lang w:eastAsia="it-CH"/>
              </w:rPr>
              <w:t>93.1</w:t>
            </w:r>
          </w:p>
        </w:tc>
        <w:tc>
          <w:tcPr>
            <w:tcW w:w="1111" w:type="dxa"/>
            <w:tcBorders>
              <w:top w:val="single" w:sz="2" w:space="0" w:color="auto"/>
              <w:left w:val="nil"/>
              <w:bottom w:val="single" w:sz="2" w:space="0" w:color="auto"/>
              <w:right w:val="nil"/>
            </w:tcBorders>
            <w:shd w:val="clear" w:color="auto" w:fill="FBD4B4"/>
            <w:vAlign w:val="center"/>
            <w:hideMark/>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sz w:val="18"/>
                <w:szCs w:val="18"/>
              </w:rPr>
            </w:pPr>
            <w:r w:rsidRPr="001F4EF0">
              <w:rPr>
                <w:rFonts w:ascii="Gill Sans" w:eastAsia="Times New Roman" w:hAnsi="Gill Sans" w:cs="Arial"/>
                <w:sz w:val="18"/>
                <w:szCs w:val="18"/>
                <w:lang w:eastAsia="it-CH"/>
              </w:rPr>
              <w:t>8.1</w:t>
            </w:r>
          </w:p>
        </w:tc>
      </w:tr>
      <w:tr w:rsidR="001F4EF0" w:rsidRPr="001F4EF0" w:rsidTr="0083024E">
        <w:trPr>
          <w:trHeight w:val="224"/>
        </w:trPr>
        <w:tc>
          <w:tcPr>
            <w:cnfStyle w:val="001000000000" w:firstRow="0" w:lastRow="0" w:firstColumn="1" w:lastColumn="0" w:oddVBand="0" w:evenVBand="0" w:oddHBand="0" w:evenHBand="0" w:firstRowFirstColumn="0" w:firstRowLastColumn="0" w:lastRowFirstColumn="0" w:lastRowLastColumn="0"/>
            <w:tcW w:w="5043" w:type="dxa"/>
            <w:noWrap/>
            <w:hideMark/>
          </w:tcPr>
          <w:p w:rsidR="001F4EF0" w:rsidRPr="001F4EF0" w:rsidRDefault="001F4EF0" w:rsidP="001F4EF0">
            <w:pPr>
              <w:rPr>
                <w:rFonts w:ascii="Gill Sans" w:hAnsi="Gill Sans"/>
                <w:sz w:val="18"/>
                <w:szCs w:val="18"/>
              </w:rPr>
            </w:pPr>
            <w:r w:rsidRPr="001F4EF0">
              <w:rPr>
                <w:rFonts w:ascii="Gill Sans" w:hAnsi="Gill Sans"/>
                <w:sz w:val="18"/>
                <w:szCs w:val="18"/>
              </w:rPr>
              <w:t>Tasse iscrizione al registro fondiario</w:t>
            </w:r>
          </w:p>
        </w:tc>
        <w:tc>
          <w:tcPr>
            <w:tcW w:w="1111" w:type="dxa"/>
            <w:tcBorders>
              <w:top w:val="single" w:sz="2" w:space="0" w:color="auto"/>
              <w:left w:val="nil"/>
              <w:bottom w:val="single" w:sz="2" w:space="0" w:color="auto"/>
              <w:right w:val="nil"/>
            </w:tcBorders>
            <w:noWrap/>
            <w:vAlign w:val="center"/>
            <w:hideMark/>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sz w:val="18"/>
                <w:szCs w:val="18"/>
              </w:rPr>
            </w:pPr>
            <w:r w:rsidRPr="001F4EF0">
              <w:rPr>
                <w:rFonts w:ascii="Gill Sans" w:eastAsia="Times New Roman" w:hAnsi="Gill Sans" w:cs="Arial"/>
                <w:sz w:val="18"/>
                <w:szCs w:val="18"/>
                <w:lang w:eastAsia="it-CH"/>
              </w:rPr>
              <w:t>85.6</w:t>
            </w:r>
          </w:p>
        </w:tc>
        <w:tc>
          <w:tcPr>
            <w:tcW w:w="1111" w:type="dxa"/>
            <w:tcBorders>
              <w:top w:val="single" w:sz="2" w:space="0" w:color="auto"/>
              <w:left w:val="nil"/>
              <w:bottom w:val="single" w:sz="2" w:space="0" w:color="auto"/>
              <w:right w:val="nil"/>
            </w:tcBorders>
            <w:noWrap/>
            <w:vAlign w:val="center"/>
            <w:hideMark/>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sz w:val="18"/>
                <w:szCs w:val="18"/>
              </w:rPr>
            </w:pPr>
            <w:r w:rsidRPr="001F4EF0">
              <w:rPr>
                <w:rFonts w:ascii="Gill Sans" w:eastAsia="Times New Roman" w:hAnsi="Gill Sans" w:cs="Arial"/>
                <w:sz w:val="18"/>
                <w:szCs w:val="18"/>
                <w:lang w:eastAsia="it-CH"/>
              </w:rPr>
              <w:t>75.0</w:t>
            </w:r>
          </w:p>
        </w:tc>
        <w:tc>
          <w:tcPr>
            <w:tcW w:w="1111" w:type="dxa"/>
            <w:tcBorders>
              <w:top w:val="single" w:sz="2" w:space="0" w:color="auto"/>
              <w:left w:val="nil"/>
              <w:bottom w:val="single" w:sz="2" w:space="0" w:color="auto"/>
              <w:right w:val="nil"/>
            </w:tcBorders>
            <w:shd w:val="clear" w:color="auto" w:fill="FABF8F"/>
            <w:noWrap/>
            <w:vAlign w:val="center"/>
            <w:hideMark/>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sz w:val="18"/>
                <w:szCs w:val="18"/>
              </w:rPr>
            </w:pPr>
            <w:r w:rsidRPr="001F4EF0">
              <w:rPr>
                <w:rFonts w:ascii="Gill Sans" w:eastAsia="Times New Roman" w:hAnsi="Gill Sans" w:cs="Arial"/>
                <w:sz w:val="18"/>
                <w:szCs w:val="18"/>
                <w:lang w:eastAsia="it-CH"/>
              </w:rPr>
              <w:t>85.8</w:t>
            </w:r>
          </w:p>
        </w:tc>
        <w:tc>
          <w:tcPr>
            <w:tcW w:w="1111" w:type="dxa"/>
            <w:tcBorders>
              <w:top w:val="single" w:sz="2" w:space="0" w:color="auto"/>
              <w:left w:val="nil"/>
              <w:bottom w:val="single" w:sz="2" w:space="0" w:color="auto"/>
              <w:right w:val="nil"/>
            </w:tcBorders>
            <w:shd w:val="clear" w:color="auto" w:fill="FBD4B4"/>
            <w:vAlign w:val="center"/>
            <w:hideMark/>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sz w:val="18"/>
                <w:szCs w:val="18"/>
              </w:rPr>
            </w:pPr>
            <w:r w:rsidRPr="001F4EF0">
              <w:rPr>
                <w:rFonts w:ascii="Gill Sans" w:eastAsia="Times New Roman" w:hAnsi="Gill Sans" w:cs="Arial"/>
                <w:sz w:val="18"/>
                <w:szCs w:val="18"/>
                <w:lang w:eastAsia="it-CH"/>
              </w:rPr>
              <w:t>10.8</w:t>
            </w:r>
          </w:p>
        </w:tc>
      </w:tr>
      <w:tr w:rsidR="001F4EF0" w:rsidRPr="001F4EF0" w:rsidTr="0083024E">
        <w:trPr>
          <w:trHeight w:val="116"/>
        </w:trPr>
        <w:tc>
          <w:tcPr>
            <w:cnfStyle w:val="001000000000" w:firstRow="0" w:lastRow="0" w:firstColumn="1" w:lastColumn="0" w:oddVBand="0" w:evenVBand="0" w:oddHBand="0" w:evenHBand="0" w:firstRowFirstColumn="0" w:firstRowLastColumn="0" w:lastRowFirstColumn="0" w:lastRowLastColumn="0"/>
            <w:tcW w:w="5043" w:type="dxa"/>
            <w:noWrap/>
            <w:hideMark/>
          </w:tcPr>
          <w:p w:rsidR="001F4EF0" w:rsidRPr="001F4EF0" w:rsidRDefault="001F4EF0" w:rsidP="001F4EF0">
            <w:pPr>
              <w:rPr>
                <w:rFonts w:ascii="Gill Sans" w:hAnsi="Gill Sans"/>
                <w:sz w:val="18"/>
                <w:szCs w:val="18"/>
              </w:rPr>
            </w:pPr>
            <w:r w:rsidRPr="001F4EF0">
              <w:rPr>
                <w:rFonts w:ascii="Gill Sans" w:hAnsi="Gill Sans"/>
                <w:sz w:val="18"/>
                <w:szCs w:val="18"/>
              </w:rPr>
              <w:t>Imposta di bollo</w:t>
            </w:r>
          </w:p>
        </w:tc>
        <w:tc>
          <w:tcPr>
            <w:tcW w:w="1111" w:type="dxa"/>
            <w:tcBorders>
              <w:top w:val="single" w:sz="2" w:space="0" w:color="auto"/>
              <w:left w:val="nil"/>
              <w:bottom w:val="single" w:sz="2" w:space="0" w:color="auto"/>
              <w:right w:val="nil"/>
            </w:tcBorders>
            <w:noWrap/>
            <w:vAlign w:val="center"/>
            <w:hideMark/>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sz w:val="18"/>
                <w:szCs w:val="18"/>
              </w:rPr>
            </w:pPr>
            <w:r w:rsidRPr="001F4EF0">
              <w:rPr>
                <w:rFonts w:ascii="Gill Sans" w:eastAsia="Times New Roman" w:hAnsi="Gill Sans" w:cs="Arial"/>
                <w:sz w:val="18"/>
                <w:szCs w:val="18"/>
                <w:lang w:eastAsia="it-CH"/>
              </w:rPr>
              <w:t>40.2</w:t>
            </w:r>
          </w:p>
        </w:tc>
        <w:tc>
          <w:tcPr>
            <w:tcW w:w="1111" w:type="dxa"/>
            <w:tcBorders>
              <w:top w:val="single" w:sz="2" w:space="0" w:color="auto"/>
              <w:left w:val="nil"/>
              <w:bottom w:val="single" w:sz="2" w:space="0" w:color="auto"/>
              <w:right w:val="nil"/>
            </w:tcBorders>
            <w:noWrap/>
            <w:vAlign w:val="center"/>
            <w:hideMark/>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sz w:val="18"/>
                <w:szCs w:val="18"/>
              </w:rPr>
            </w:pPr>
            <w:r w:rsidRPr="001F4EF0">
              <w:rPr>
                <w:rFonts w:ascii="Gill Sans" w:eastAsia="Times New Roman" w:hAnsi="Gill Sans" w:cs="Arial"/>
                <w:sz w:val="18"/>
                <w:szCs w:val="18"/>
                <w:lang w:eastAsia="it-CH"/>
              </w:rPr>
              <w:t>35.0</w:t>
            </w:r>
          </w:p>
        </w:tc>
        <w:tc>
          <w:tcPr>
            <w:tcW w:w="1111" w:type="dxa"/>
            <w:tcBorders>
              <w:top w:val="single" w:sz="2" w:space="0" w:color="auto"/>
              <w:left w:val="nil"/>
              <w:bottom w:val="single" w:sz="2" w:space="0" w:color="auto"/>
              <w:right w:val="nil"/>
            </w:tcBorders>
            <w:shd w:val="clear" w:color="auto" w:fill="FABF8F"/>
            <w:noWrap/>
            <w:vAlign w:val="center"/>
            <w:hideMark/>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sz w:val="18"/>
                <w:szCs w:val="18"/>
              </w:rPr>
            </w:pPr>
            <w:r w:rsidRPr="001F4EF0">
              <w:rPr>
                <w:rFonts w:ascii="Gill Sans" w:eastAsia="Times New Roman" w:hAnsi="Gill Sans" w:cs="Arial"/>
                <w:sz w:val="18"/>
                <w:szCs w:val="18"/>
                <w:lang w:eastAsia="it-CH"/>
              </w:rPr>
              <w:t>42.7</w:t>
            </w:r>
          </w:p>
        </w:tc>
        <w:tc>
          <w:tcPr>
            <w:tcW w:w="1111" w:type="dxa"/>
            <w:tcBorders>
              <w:top w:val="single" w:sz="2" w:space="0" w:color="auto"/>
              <w:left w:val="nil"/>
              <w:bottom w:val="single" w:sz="2" w:space="0" w:color="auto"/>
              <w:right w:val="nil"/>
            </w:tcBorders>
            <w:shd w:val="clear" w:color="auto" w:fill="FBD4B4"/>
            <w:vAlign w:val="center"/>
            <w:hideMark/>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sz w:val="18"/>
                <w:szCs w:val="18"/>
              </w:rPr>
            </w:pPr>
            <w:r w:rsidRPr="001F4EF0">
              <w:rPr>
                <w:rFonts w:ascii="Gill Sans" w:eastAsia="Times New Roman" w:hAnsi="Gill Sans" w:cs="Arial"/>
                <w:sz w:val="18"/>
                <w:szCs w:val="18"/>
                <w:lang w:eastAsia="it-CH"/>
              </w:rPr>
              <w:t>7.7</w:t>
            </w:r>
          </w:p>
        </w:tc>
      </w:tr>
      <w:tr w:rsidR="001F4EF0" w:rsidRPr="001F4EF0" w:rsidTr="0083024E">
        <w:trPr>
          <w:trHeight w:val="193"/>
        </w:trPr>
        <w:tc>
          <w:tcPr>
            <w:cnfStyle w:val="001000000000" w:firstRow="0" w:lastRow="0" w:firstColumn="1" w:lastColumn="0" w:oddVBand="0" w:evenVBand="0" w:oddHBand="0" w:evenHBand="0" w:firstRowFirstColumn="0" w:firstRowLastColumn="0" w:lastRowFirstColumn="0" w:lastRowLastColumn="0"/>
            <w:tcW w:w="5043" w:type="dxa"/>
            <w:noWrap/>
            <w:hideMark/>
          </w:tcPr>
          <w:p w:rsidR="001F4EF0" w:rsidRPr="001F4EF0" w:rsidRDefault="001F4EF0" w:rsidP="001F4EF0">
            <w:pPr>
              <w:rPr>
                <w:rFonts w:ascii="Gill Sans" w:hAnsi="Gill Sans"/>
                <w:sz w:val="18"/>
                <w:szCs w:val="18"/>
              </w:rPr>
            </w:pPr>
            <w:r w:rsidRPr="001F4EF0">
              <w:rPr>
                <w:rFonts w:ascii="Gill Sans" w:hAnsi="Gill Sans"/>
                <w:sz w:val="18"/>
                <w:szCs w:val="18"/>
              </w:rPr>
              <w:t>Imposte di successione e donazione</w:t>
            </w:r>
          </w:p>
        </w:tc>
        <w:tc>
          <w:tcPr>
            <w:tcW w:w="1111" w:type="dxa"/>
            <w:tcBorders>
              <w:top w:val="single" w:sz="2" w:space="0" w:color="auto"/>
              <w:left w:val="nil"/>
              <w:bottom w:val="single" w:sz="2" w:space="0" w:color="auto"/>
              <w:right w:val="nil"/>
            </w:tcBorders>
            <w:noWrap/>
            <w:vAlign w:val="center"/>
            <w:hideMark/>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sz w:val="18"/>
                <w:szCs w:val="18"/>
              </w:rPr>
            </w:pPr>
            <w:r w:rsidRPr="001F4EF0">
              <w:rPr>
                <w:rFonts w:ascii="Gill Sans" w:eastAsia="Times New Roman" w:hAnsi="Gill Sans" w:cs="Arial"/>
                <w:sz w:val="18"/>
                <w:szCs w:val="18"/>
                <w:lang w:eastAsia="it-CH"/>
              </w:rPr>
              <w:t>61.4</w:t>
            </w:r>
          </w:p>
        </w:tc>
        <w:tc>
          <w:tcPr>
            <w:tcW w:w="1111" w:type="dxa"/>
            <w:tcBorders>
              <w:top w:val="single" w:sz="2" w:space="0" w:color="auto"/>
              <w:left w:val="nil"/>
              <w:bottom w:val="single" w:sz="2" w:space="0" w:color="auto"/>
              <w:right w:val="nil"/>
            </w:tcBorders>
            <w:noWrap/>
            <w:vAlign w:val="center"/>
            <w:hideMark/>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sz w:val="18"/>
                <w:szCs w:val="18"/>
              </w:rPr>
            </w:pPr>
            <w:r w:rsidRPr="001F4EF0">
              <w:rPr>
                <w:rFonts w:ascii="Gill Sans" w:eastAsia="Times New Roman" w:hAnsi="Gill Sans" w:cs="Arial"/>
                <w:sz w:val="18"/>
                <w:szCs w:val="18"/>
                <w:lang w:eastAsia="it-CH"/>
              </w:rPr>
              <w:t>45.0</w:t>
            </w:r>
          </w:p>
        </w:tc>
        <w:tc>
          <w:tcPr>
            <w:tcW w:w="1111" w:type="dxa"/>
            <w:tcBorders>
              <w:top w:val="single" w:sz="2" w:space="0" w:color="auto"/>
              <w:left w:val="nil"/>
              <w:bottom w:val="single" w:sz="2" w:space="0" w:color="auto"/>
              <w:right w:val="nil"/>
            </w:tcBorders>
            <w:shd w:val="clear" w:color="auto" w:fill="FABF8F"/>
            <w:noWrap/>
            <w:vAlign w:val="center"/>
            <w:hideMark/>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sz w:val="18"/>
                <w:szCs w:val="18"/>
              </w:rPr>
            </w:pPr>
            <w:r w:rsidRPr="001F4EF0">
              <w:rPr>
                <w:rFonts w:ascii="Gill Sans" w:eastAsia="Times New Roman" w:hAnsi="Gill Sans" w:cs="Arial"/>
                <w:sz w:val="18"/>
                <w:szCs w:val="18"/>
                <w:lang w:eastAsia="it-CH"/>
              </w:rPr>
              <w:t>62.9</w:t>
            </w:r>
          </w:p>
        </w:tc>
        <w:tc>
          <w:tcPr>
            <w:tcW w:w="1111" w:type="dxa"/>
            <w:tcBorders>
              <w:top w:val="single" w:sz="2" w:space="0" w:color="auto"/>
              <w:left w:val="nil"/>
              <w:bottom w:val="single" w:sz="2" w:space="0" w:color="auto"/>
              <w:right w:val="nil"/>
            </w:tcBorders>
            <w:shd w:val="clear" w:color="auto" w:fill="FBD4B4"/>
            <w:vAlign w:val="center"/>
            <w:hideMark/>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sz w:val="18"/>
                <w:szCs w:val="18"/>
              </w:rPr>
            </w:pPr>
            <w:r w:rsidRPr="001F4EF0">
              <w:rPr>
                <w:rFonts w:ascii="Gill Sans" w:eastAsia="Times New Roman" w:hAnsi="Gill Sans" w:cs="Arial"/>
                <w:sz w:val="18"/>
                <w:szCs w:val="18"/>
                <w:lang w:eastAsia="it-CH"/>
              </w:rPr>
              <w:t>17.9</w:t>
            </w:r>
          </w:p>
        </w:tc>
      </w:tr>
      <w:tr w:rsidR="001F4EF0" w:rsidRPr="001F4EF0" w:rsidTr="0083024E">
        <w:trPr>
          <w:trHeight w:val="87"/>
        </w:trPr>
        <w:tc>
          <w:tcPr>
            <w:cnfStyle w:val="001000000000" w:firstRow="0" w:lastRow="0" w:firstColumn="1" w:lastColumn="0" w:oddVBand="0" w:evenVBand="0" w:oddHBand="0" w:evenHBand="0" w:firstRowFirstColumn="0" w:firstRowLastColumn="0" w:lastRowFirstColumn="0" w:lastRowLastColumn="0"/>
            <w:tcW w:w="5043" w:type="dxa"/>
            <w:noWrap/>
            <w:hideMark/>
          </w:tcPr>
          <w:p w:rsidR="001F4EF0" w:rsidRPr="001F4EF0" w:rsidRDefault="001F4EF0" w:rsidP="001F4EF0">
            <w:pPr>
              <w:rPr>
                <w:rFonts w:ascii="Gill Sans" w:hAnsi="Gill Sans"/>
                <w:sz w:val="18"/>
                <w:szCs w:val="18"/>
              </w:rPr>
            </w:pPr>
            <w:r w:rsidRPr="001F4EF0">
              <w:rPr>
                <w:rFonts w:ascii="Gill Sans" w:hAnsi="Gill Sans"/>
                <w:sz w:val="18"/>
                <w:szCs w:val="18"/>
              </w:rPr>
              <w:t>Tasse sulle case da gioco</w:t>
            </w:r>
          </w:p>
        </w:tc>
        <w:tc>
          <w:tcPr>
            <w:tcW w:w="1111" w:type="dxa"/>
            <w:tcBorders>
              <w:top w:val="single" w:sz="2" w:space="0" w:color="auto"/>
              <w:left w:val="nil"/>
              <w:bottom w:val="single" w:sz="2" w:space="0" w:color="auto"/>
              <w:right w:val="nil"/>
            </w:tcBorders>
            <w:noWrap/>
            <w:vAlign w:val="center"/>
            <w:hideMark/>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sz w:val="18"/>
                <w:szCs w:val="18"/>
              </w:rPr>
            </w:pPr>
            <w:r w:rsidRPr="001F4EF0">
              <w:rPr>
                <w:rFonts w:ascii="Gill Sans" w:eastAsia="Times New Roman" w:hAnsi="Gill Sans" w:cs="Arial"/>
                <w:sz w:val="18"/>
                <w:szCs w:val="18"/>
                <w:lang w:eastAsia="it-CH"/>
              </w:rPr>
              <w:t>9.3</w:t>
            </w:r>
          </w:p>
        </w:tc>
        <w:tc>
          <w:tcPr>
            <w:tcW w:w="1111" w:type="dxa"/>
            <w:tcBorders>
              <w:top w:val="single" w:sz="2" w:space="0" w:color="auto"/>
              <w:left w:val="nil"/>
              <w:bottom w:val="single" w:sz="2" w:space="0" w:color="auto"/>
              <w:right w:val="nil"/>
            </w:tcBorders>
            <w:noWrap/>
            <w:vAlign w:val="center"/>
            <w:hideMark/>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sz w:val="18"/>
                <w:szCs w:val="18"/>
              </w:rPr>
            </w:pPr>
            <w:r w:rsidRPr="001F4EF0">
              <w:rPr>
                <w:rFonts w:ascii="Gill Sans" w:eastAsia="Times New Roman" w:hAnsi="Gill Sans" w:cs="Arial"/>
                <w:sz w:val="18"/>
                <w:szCs w:val="18"/>
                <w:lang w:eastAsia="it-CH"/>
              </w:rPr>
              <w:t>10.0</w:t>
            </w:r>
          </w:p>
        </w:tc>
        <w:tc>
          <w:tcPr>
            <w:tcW w:w="1111" w:type="dxa"/>
            <w:tcBorders>
              <w:top w:val="single" w:sz="2" w:space="0" w:color="auto"/>
              <w:left w:val="nil"/>
              <w:bottom w:val="single" w:sz="2" w:space="0" w:color="auto"/>
              <w:right w:val="nil"/>
            </w:tcBorders>
            <w:shd w:val="clear" w:color="auto" w:fill="FABF8F"/>
            <w:noWrap/>
            <w:vAlign w:val="center"/>
            <w:hideMark/>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sz w:val="18"/>
                <w:szCs w:val="18"/>
              </w:rPr>
            </w:pPr>
            <w:r w:rsidRPr="001F4EF0">
              <w:rPr>
                <w:rFonts w:ascii="Gill Sans" w:eastAsia="Times New Roman" w:hAnsi="Gill Sans" w:cs="Arial"/>
                <w:sz w:val="18"/>
                <w:szCs w:val="18"/>
                <w:lang w:eastAsia="it-CH"/>
              </w:rPr>
              <w:t>16.9</w:t>
            </w:r>
          </w:p>
        </w:tc>
        <w:tc>
          <w:tcPr>
            <w:tcW w:w="1111" w:type="dxa"/>
            <w:tcBorders>
              <w:top w:val="single" w:sz="2" w:space="0" w:color="auto"/>
              <w:left w:val="nil"/>
              <w:bottom w:val="single" w:sz="2" w:space="0" w:color="auto"/>
              <w:right w:val="nil"/>
            </w:tcBorders>
            <w:shd w:val="clear" w:color="auto" w:fill="FBD4B4"/>
            <w:vAlign w:val="center"/>
            <w:hideMark/>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sz w:val="18"/>
                <w:szCs w:val="18"/>
              </w:rPr>
            </w:pPr>
            <w:r w:rsidRPr="001F4EF0">
              <w:rPr>
                <w:rFonts w:ascii="Gill Sans" w:eastAsia="Times New Roman" w:hAnsi="Gill Sans" w:cs="Arial"/>
                <w:sz w:val="18"/>
                <w:szCs w:val="18"/>
                <w:lang w:eastAsia="it-CH"/>
              </w:rPr>
              <w:t>6.9</w:t>
            </w:r>
          </w:p>
        </w:tc>
      </w:tr>
      <w:tr w:rsidR="001F4EF0" w:rsidRPr="001F4EF0" w:rsidTr="0083024E">
        <w:trPr>
          <w:trHeight w:val="184"/>
        </w:trPr>
        <w:tc>
          <w:tcPr>
            <w:cnfStyle w:val="001000000000" w:firstRow="0" w:lastRow="0" w:firstColumn="1" w:lastColumn="0" w:oddVBand="0" w:evenVBand="0" w:oddHBand="0" w:evenHBand="0" w:firstRowFirstColumn="0" w:firstRowLastColumn="0" w:lastRowFirstColumn="0" w:lastRowLastColumn="0"/>
            <w:tcW w:w="5043" w:type="dxa"/>
            <w:noWrap/>
            <w:hideMark/>
          </w:tcPr>
          <w:p w:rsidR="001F4EF0" w:rsidRPr="001F4EF0" w:rsidRDefault="001F4EF0" w:rsidP="001F4EF0">
            <w:pPr>
              <w:rPr>
                <w:rFonts w:ascii="Gill Sans" w:hAnsi="Gill Sans"/>
                <w:sz w:val="18"/>
                <w:szCs w:val="18"/>
              </w:rPr>
            </w:pPr>
            <w:r w:rsidRPr="001F4EF0">
              <w:rPr>
                <w:rFonts w:ascii="Gill Sans" w:hAnsi="Gill Sans"/>
                <w:sz w:val="18"/>
                <w:szCs w:val="18"/>
              </w:rPr>
              <w:t>Imposte compagnie assicurazioni</w:t>
            </w:r>
          </w:p>
        </w:tc>
        <w:tc>
          <w:tcPr>
            <w:tcW w:w="1111" w:type="dxa"/>
            <w:tcBorders>
              <w:top w:val="single" w:sz="2" w:space="0" w:color="auto"/>
              <w:left w:val="nil"/>
              <w:bottom w:val="single" w:sz="2" w:space="0" w:color="auto"/>
              <w:right w:val="nil"/>
            </w:tcBorders>
            <w:noWrap/>
            <w:vAlign w:val="center"/>
            <w:hideMark/>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sz w:val="18"/>
                <w:szCs w:val="18"/>
              </w:rPr>
            </w:pPr>
            <w:r w:rsidRPr="001F4EF0">
              <w:rPr>
                <w:rFonts w:ascii="Gill Sans" w:eastAsia="Times New Roman" w:hAnsi="Gill Sans" w:cs="Arial"/>
                <w:sz w:val="18"/>
                <w:szCs w:val="18"/>
                <w:lang w:eastAsia="it-CH"/>
              </w:rPr>
              <w:t>9.5</w:t>
            </w:r>
          </w:p>
        </w:tc>
        <w:tc>
          <w:tcPr>
            <w:tcW w:w="1111" w:type="dxa"/>
            <w:tcBorders>
              <w:top w:val="single" w:sz="2" w:space="0" w:color="auto"/>
              <w:left w:val="nil"/>
              <w:bottom w:val="single" w:sz="2" w:space="0" w:color="auto"/>
              <w:right w:val="nil"/>
            </w:tcBorders>
            <w:noWrap/>
            <w:vAlign w:val="center"/>
            <w:hideMark/>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sz w:val="18"/>
                <w:szCs w:val="18"/>
              </w:rPr>
            </w:pPr>
            <w:r w:rsidRPr="001F4EF0">
              <w:rPr>
                <w:rFonts w:ascii="Gill Sans" w:eastAsia="Times New Roman" w:hAnsi="Gill Sans" w:cs="Arial"/>
                <w:sz w:val="18"/>
                <w:szCs w:val="18"/>
                <w:lang w:eastAsia="it-CH"/>
              </w:rPr>
              <w:t>9.4</w:t>
            </w:r>
          </w:p>
        </w:tc>
        <w:tc>
          <w:tcPr>
            <w:tcW w:w="1111" w:type="dxa"/>
            <w:tcBorders>
              <w:top w:val="single" w:sz="2" w:space="0" w:color="auto"/>
              <w:left w:val="nil"/>
              <w:bottom w:val="single" w:sz="2" w:space="0" w:color="auto"/>
              <w:right w:val="nil"/>
            </w:tcBorders>
            <w:shd w:val="clear" w:color="auto" w:fill="FABF8F"/>
            <w:noWrap/>
            <w:vAlign w:val="center"/>
            <w:hideMark/>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sz w:val="18"/>
                <w:szCs w:val="18"/>
              </w:rPr>
            </w:pPr>
            <w:r w:rsidRPr="001F4EF0">
              <w:rPr>
                <w:rFonts w:ascii="Gill Sans" w:eastAsia="Times New Roman" w:hAnsi="Gill Sans" w:cs="Arial"/>
                <w:sz w:val="18"/>
                <w:szCs w:val="18"/>
                <w:lang w:eastAsia="it-CH"/>
              </w:rPr>
              <w:t>9.7</w:t>
            </w:r>
          </w:p>
        </w:tc>
        <w:tc>
          <w:tcPr>
            <w:tcW w:w="1111" w:type="dxa"/>
            <w:tcBorders>
              <w:top w:val="single" w:sz="2" w:space="0" w:color="auto"/>
              <w:left w:val="nil"/>
              <w:bottom w:val="single" w:sz="2" w:space="0" w:color="auto"/>
              <w:right w:val="nil"/>
            </w:tcBorders>
            <w:shd w:val="clear" w:color="auto" w:fill="FBD4B4"/>
            <w:vAlign w:val="center"/>
            <w:hideMark/>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sz w:val="18"/>
                <w:szCs w:val="18"/>
              </w:rPr>
            </w:pPr>
            <w:r w:rsidRPr="001F4EF0">
              <w:rPr>
                <w:rFonts w:ascii="Gill Sans" w:eastAsia="Times New Roman" w:hAnsi="Gill Sans" w:cs="Arial"/>
                <w:sz w:val="18"/>
                <w:szCs w:val="18"/>
                <w:lang w:eastAsia="it-CH"/>
              </w:rPr>
              <w:t>0.3</w:t>
            </w:r>
          </w:p>
        </w:tc>
      </w:tr>
      <w:tr w:rsidR="001F4EF0" w:rsidRPr="001F4EF0" w:rsidTr="0083024E">
        <w:trPr>
          <w:trHeight w:val="71"/>
        </w:trPr>
        <w:tc>
          <w:tcPr>
            <w:cnfStyle w:val="001000000000" w:firstRow="0" w:lastRow="0" w:firstColumn="1" w:lastColumn="0" w:oddVBand="0" w:evenVBand="0" w:oddHBand="0" w:evenHBand="0" w:firstRowFirstColumn="0" w:firstRowLastColumn="0" w:lastRowFirstColumn="0" w:lastRowLastColumn="0"/>
            <w:tcW w:w="5043" w:type="dxa"/>
            <w:tcBorders>
              <w:bottom w:val="single" w:sz="2" w:space="0" w:color="auto"/>
            </w:tcBorders>
            <w:noWrap/>
            <w:hideMark/>
          </w:tcPr>
          <w:p w:rsidR="001F4EF0" w:rsidRPr="001F4EF0" w:rsidRDefault="001F4EF0" w:rsidP="001F4EF0">
            <w:pPr>
              <w:rPr>
                <w:rFonts w:ascii="Gill Sans" w:hAnsi="Gill Sans"/>
                <w:sz w:val="18"/>
                <w:szCs w:val="18"/>
              </w:rPr>
            </w:pPr>
            <w:r w:rsidRPr="001F4EF0">
              <w:rPr>
                <w:rFonts w:ascii="Gill Sans" w:hAnsi="Gill Sans"/>
                <w:sz w:val="18"/>
                <w:szCs w:val="18"/>
              </w:rPr>
              <w:t>Imposte di circolazione e navigazione</w:t>
            </w:r>
          </w:p>
        </w:tc>
        <w:tc>
          <w:tcPr>
            <w:tcW w:w="1111" w:type="dxa"/>
            <w:tcBorders>
              <w:top w:val="single" w:sz="2" w:space="0" w:color="auto"/>
              <w:left w:val="nil"/>
              <w:bottom w:val="single" w:sz="2" w:space="0" w:color="auto"/>
              <w:right w:val="nil"/>
            </w:tcBorders>
            <w:noWrap/>
            <w:vAlign w:val="center"/>
            <w:hideMark/>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sz w:val="18"/>
                <w:szCs w:val="18"/>
              </w:rPr>
            </w:pPr>
            <w:r w:rsidRPr="001F4EF0">
              <w:rPr>
                <w:rFonts w:ascii="Gill Sans" w:eastAsia="Times New Roman" w:hAnsi="Gill Sans" w:cs="Arial"/>
                <w:sz w:val="18"/>
                <w:szCs w:val="18"/>
                <w:lang w:eastAsia="it-CH"/>
              </w:rPr>
              <w:t>140.2</w:t>
            </w:r>
          </w:p>
        </w:tc>
        <w:tc>
          <w:tcPr>
            <w:tcW w:w="1111" w:type="dxa"/>
            <w:tcBorders>
              <w:top w:val="single" w:sz="2" w:space="0" w:color="auto"/>
              <w:left w:val="nil"/>
              <w:bottom w:val="single" w:sz="2" w:space="0" w:color="auto"/>
              <w:right w:val="nil"/>
            </w:tcBorders>
            <w:noWrap/>
            <w:vAlign w:val="center"/>
            <w:hideMark/>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sz w:val="18"/>
                <w:szCs w:val="18"/>
              </w:rPr>
            </w:pPr>
            <w:r w:rsidRPr="001F4EF0">
              <w:rPr>
                <w:rFonts w:ascii="Gill Sans" w:eastAsia="Times New Roman" w:hAnsi="Gill Sans" w:cs="Arial"/>
                <w:sz w:val="18"/>
                <w:szCs w:val="18"/>
                <w:lang w:eastAsia="it-CH"/>
              </w:rPr>
              <w:t>131.9</w:t>
            </w:r>
          </w:p>
        </w:tc>
        <w:tc>
          <w:tcPr>
            <w:tcW w:w="1111" w:type="dxa"/>
            <w:tcBorders>
              <w:top w:val="single" w:sz="2" w:space="0" w:color="auto"/>
              <w:left w:val="nil"/>
              <w:bottom w:val="single" w:sz="2" w:space="0" w:color="auto"/>
              <w:right w:val="nil"/>
            </w:tcBorders>
            <w:shd w:val="clear" w:color="auto" w:fill="FABF8F"/>
            <w:noWrap/>
            <w:vAlign w:val="center"/>
            <w:hideMark/>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sz w:val="18"/>
                <w:szCs w:val="18"/>
              </w:rPr>
            </w:pPr>
            <w:r w:rsidRPr="001F4EF0">
              <w:rPr>
                <w:rFonts w:ascii="Gill Sans" w:eastAsia="Times New Roman" w:hAnsi="Gill Sans" w:cs="Arial"/>
                <w:sz w:val="18"/>
                <w:szCs w:val="18"/>
                <w:lang w:eastAsia="it-CH"/>
              </w:rPr>
              <w:t>140.2</w:t>
            </w:r>
          </w:p>
        </w:tc>
        <w:tc>
          <w:tcPr>
            <w:tcW w:w="1111" w:type="dxa"/>
            <w:tcBorders>
              <w:top w:val="single" w:sz="2" w:space="0" w:color="auto"/>
              <w:left w:val="nil"/>
              <w:bottom w:val="single" w:sz="2" w:space="0" w:color="auto"/>
              <w:right w:val="nil"/>
            </w:tcBorders>
            <w:shd w:val="clear" w:color="auto" w:fill="FBD4B4"/>
            <w:vAlign w:val="center"/>
            <w:hideMark/>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sz w:val="18"/>
                <w:szCs w:val="18"/>
              </w:rPr>
            </w:pPr>
            <w:r w:rsidRPr="001F4EF0">
              <w:rPr>
                <w:rFonts w:ascii="Gill Sans" w:eastAsia="Times New Roman" w:hAnsi="Gill Sans" w:cs="Arial"/>
                <w:sz w:val="18"/>
                <w:szCs w:val="18"/>
                <w:lang w:eastAsia="it-CH"/>
              </w:rPr>
              <w:t>8.3</w:t>
            </w:r>
          </w:p>
        </w:tc>
      </w:tr>
      <w:tr w:rsidR="001F4EF0" w:rsidRPr="001F4EF0" w:rsidTr="0083024E">
        <w:trPr>
          <w:trHeight w:val="155"/>
        </w:trPr>
        <w:tc>
          <w:tcPr>
            <w:cnfStyle w:val="001000000000" w:firstRow="0" w:lastRow="0" w:firstColumn="1" w:lastColumn="0" w:oddVBand="0" w:evenVBand="0" w:oddHBand="0" w:evenHBand="0" w:firstRowFirstColumn="0" w:firstRowLastColumn="0" w:lastRowFirstColumn="0" w:lastRowLastColumn="0"/>
            <w:tcW w:w="5043" w:type="dxa"/>
            <w:tcBorders>
              <w:top w:val="single" w:sz="2" w:space="0" w:color="auto"/>
            </w:tcBorders>
            <w:noWrap/>
            <w:hideMark/>
          </w:tcPr>
          <w:p w:rsidR="001F4EF0" w:rsidRPr="001F4EF0" w:rsidRDefault="001F4EF0" w:rsidP="001F4EF0">
            <w:pPr>
              <w:rPr>
                <w:rFonts w:ascii="Gill Sans" w:hAnsi="Gill Sans"/>
                <w:sz w:val="18"/>
                <w:szCs w:val="18"/>
              </w:rPr>
            </w:pPr>
            <w:r w:rsidRPr="001F4EF0">
              <w:rPr>
                <w:rFonts w:ascii="Gill Sans" w:hAnsi="Gill Sans"/>
                <w:sz w:val="18"/>
                <w:szCs w:val="18"/>
              </w:rPr>
              <w:t>Totale altri ricavi fiscali</w:t>
            </w:r>
          </w:p>
        </w:tc>
        <w:tc>
          <w:tcPr>
            <w:tcW w:w="1111" w:type="dxa"/>
            <w:tcBorders>
              <w:top w:val="single" w:sz="2" w:space="0" w:color="auto"/>
              <w:left w:val="nil"/>
              <w:bottom w:val="single" w:sz="12" w:space="0" w:color="auto"/>
              <w:right w:val="nil"/>
            </w:tcBorders>
            <w:noWrap/>
            <w:vAlign w:val="center"/>
            <w:hideMark/>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b/>
                <w:sz w:val="18"/>
                <w:szCs w:val="18"/>
              </w:rPr>
            </w:pPr>
            <w:r w:rsidRPr="001F4EF0">
              <w:rPr>
                <w:rFonts w:ascii="Gill Sans" w:eastAsia="Times New Roman" w:hAnsi="Gill Sans" w:cs="Arial"/>
                <w:b/>
                <w:bCs/>
                <w:sz w:val="18"/>
                <w:szCs w:val="18"/>
                <w:lang w:eastAsia="it-CH"/>
              </w:rPr>
              <w:t>447.3</w:t>
            </w:r>
          </w:p>
        </w:tc>
        <w:tc>
          <w:tcPr>
            <w:tcW w:w="1111" w:type="dxa"/>
            <w:tcBorders>
              <w:top w:val="single" w:sz="2" w:space="0" w:color="auto"/>
              <w:left w:val="nil"/>
              <w:bottom w:val="single" w:sz="12" w:space="0" w:color="auto"/>
              <w:right w:val="nil"/>
            </w:tcBorders>
            <w:noWrap/>
            <w:vAlign w:val="center"/>
            <w:hideMark/>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b/>
                <w:sz w:val="18"/>
                <w:szCs w:val="18"/>
              </w:rPr>
            </w:pPr>
            <w:r w:rsidRPr="001F4EF0">
              <w:rPr>
                <w:rFonts w:ascii="Gill Sans" w:eastAsia="Times New Roman" w:hAnsi="Gill Sans" w:cs="Arial"/>
                <w:b/>
                <w:bCs/>
                <w:sz w:val="18"/>
                <w:szCs w:val="18"/>
                <w:lang w:eastAsia="it-CH"/>
              </w:rPr>
              <w:t>391</w:t>
            </w:r>
            <w:r w:rsidRPr="001F4EF0">
              <w:rPr>
                <w:rFonts w:ascii="Gill Sans" w:eastAsia="Times New Roman" w:hAnsi="Gill Sans" w:cs="Arial"/>
                <w:b/>
                <w:sz w:val="18"/>
                <w:szCs w:val="18"/>
                <w:lang w:eastAsia="it-CH"/>
              </w:rPr>
              <w:t>.3</w:t>
            </w:r>
          </w:p>
        </w:tc>
        <w:tc>
          <w:tcPr>
            <w:tcW w:w="1111" w:type="dxa"/>
            <w:tcBorders>
              <w:top w:val="single" w:sz="2" w:space="0" w:color="auto"/>
              <w:left w:val="nil"/>
              <w:bottom w:val="single" w:sz="12" w:space="0" w:color="auto"/>
              <w:right w:val="nil"/>
            </w:tcBorders>
            <w:shd w:val="clear" w:color="auto" w:fill="FABF8F"/>
            <w:noWrap/>
            <w:vAlign w:val="center"/>
            <w:hideMark/>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b/>
                <w:sz w:val="18"/>
                <w:szCs w:val="18"/>
              </w:rPr>
            </w:pPr>
            <w:r w:rsidRPr="001F4EF0">
              <w:rPr>
                <w:rFonts w:ascii="Gill Sans" w:eastAsia="Times New Roman" w:hAnsi="Gill Sans" w:cs="Arial"/>
                <w:b/>
                <w:bCs/>
                <w:sz w:val="18"/>
                <w:szCs w:val="18"/>
                <w:lang w:eastAsia="it-CH"/>
              </w:rPr>
              <w:t>451.4</w:t>
            </w:r>
          </w:p>
        </w:tc>
        <w:tc>
          <w:tcPr>
            <w:tcW w:w="1111" w:type="dxa"/>
            <w:tcBorders>
              <w:top w:val="single" w:sz="2" w:space="0" w:color="auto"/>
              <w:left w:val="nil"/>
              <w:bottom w:val="single" w:sz="12" w:space="0" w:color="auto"/>
              <w:right w:val="nil"/>
            </w:tcBorders>
            <w:shd w:val="clear" w:color="auto" w:fill="FBD4B4"/>
            <w:vAlign w:val="center"/>
            <w:hideMark/>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b/>
                <w:sz w:val="18"/>
                <w:szCs w:val="18"/>
              </w:rPr>
            </w:pPr>
            <w:r w:rsidRPr="001F4EF0">
              <w:rPr>
                <w:rFonts w:ascii="Gill Sans" w:eastAsia="Times New Roman" w:hAnsi="Gill Sans" w:cs="Arial"/>
                <w:b/>
                <w:bCs/>
                <w:sz w:val="18"/>
                <w:szCs w:val="18"/>
                <w:lang w:eastAsia="it-CH"/>
              </w:rPr>
              <w:t>60.1</w:t>
            </w:r>
          </w:p>
        </w:tc>
      </w:tr>
      <w:tr w:rsidR="001F4EF0" w:rsidRPr="001F4EF0" w:rsidTr="0083024E">
        <w:trPr>
          <w:trHeight w:val="155"/>
        </w:trPr>
        <w:tc>
          <w:tcPr>
            <w:cnfStyle w:val="001000000000" w:firstRow="0" w:lastRow="0" w:firstColumn="1" w:lastColumn="0" w:oddVBand="0" w:evenVBand="0" w:oddHBand="0" w:evenHBand="0" w:firstRowFirstColumn="0" w:firstRowLastColumn="0" w:lastRowFirstColumn="0" w:lastRowLastColumn="0"/>
            <w:tcW w:w="5043" w:type="dxa"/>
            <w:tcBorders>
              <w:bottom w:val="single" w:sz="12" w:space="0" w:color="auto"/>
            </w:tcBorders>
            <w:noWrap/>
          </w:tcPr>
          <w:p w:rsidR="001F4EF0" w:rsidRPr="001F4EF0" w:rsidRDefault="001F4EF0" w:rsidP="001F4EF0">
            <w:pPr>
              <w:rPr>
                <w:rFonts w:ascii="Gill Sans" w:hAnsi="Gill Sans"/>
                <w:sz w:val="18"/>
                <w:szCs w:val="18"/>
              </w:rPr>
            </w:pPr>
          </w:p>
        </w:tc>
        <w:tc>
          <w:tcPr>
            <w:tcW w:w="1111" w:type="dxa"/>
            <w:tcBorders>
              <w:top w:val="single" w:sz="12" w:space="0" w:color="auto"/>
              <w:left w:val="nil"/>
              <w:bottom w:val="single" w:sz="12" w:space="0" w:color="auto"/>
              <w:right w:val="nil"/>
            </w:tcBorders>
            <w:noWrap/>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b/>
                <w:sz w:val="18"/>
                <w:szCs w:val="18"/>
              </w:rPr>
            </w:pPr>
          </w:p>
        </w:tc>
        <w:tc>
          <w:tcPr>
            <w:tcW w:w="1111" w:type="dxa"/>
            <w:tcBorders>
              <w:top w:val="single" w:sz="12" w:space="0" w:color="auto"/>
              <w:left w:val="nil"/>
              <w:bottom w:val="single" w:sz="12" w:space="0" w:color="auto"/>
              <w:right w:val="nil"/>
            </w:tcBorders>
            <w:noWrap/>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b/>
                <w:sz w:val="18"/>
                <w:szCs w:val="18"/>
              </w:rPr>
            </w:pPr>
          </w:p>
        </w:tc>
        <w:tc>
          <w:tcPr>
            <w:tcW w:w="1111" w:type="dxa"/>
            <w:tcBorders>
              <w:top w:val="single" w:sz="12" w:space="0" w:color="auto"/>
              <w:left w:val="nil"/>
              <w:bottom w:val="single" w:sz="12" w:space="0" w:color="auto"/>
              <w:right w:val="nil"/>
            </w:tcBorders>
            <w:shd w:val="clear" w:color="auto" w:fill="FABF8F"/>
            <w:noWrap/>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b/>
                <w:sz w:val="18"/>
                <w:szCs w:val="18"/>
              </w:rPr>
            </w:pPr>
          </w:p>
        </w:tc>
        <w:tc>
          <w:tcPr>
            <w:tcW w:w="1111" w:type="dxa"/>
            <w:tcBorders>
              <w:top w:val="single" w:sz="12" w:space="0" w:color="auto"/>
              <w:left w:val="nil"/>
              <w:bottom w:val="single" w:sz="12" w:space="0" w:color="auto"/>
              <w:right w:val="nil"/>
            </w:tcBorders>
            <w:shd w:val="clear" w:color="auto" w:fill="FBD4B4"/>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b/>
                <w:sz w:val="18"/>
                <w:szCs w:val="18"/>
              </w:rPr>
            </w:pPr>
          </w:p>
        </w:tc>
      </w:tr>
      <w:tr w:rsidR="001F4EF0" w:rsidRPr="001F4EF0" w:rsidTr="0083024E">
        <w:trPr>
          <w:trHeight w:val="233"/>
        </w:trPr>
        <w:tc>
          <w:tcPr>
            <w:cnfStyle w:val="001000000000" w:firstRow="0" w:lastRow="0" w:firstColumn="1" w:lastColumn="0" w:oddVBand="0" w:evenVBand="0" w:oddHBand="0" w:evenHBand="0" w:firstRowFirstColumn="0" w:firstRowLastColumn="0" w:lastRowFirstColumn="0" w:lastRowLastColumn="0"/>
            <w:tcW w:w="5043" w:type="dxa"/>
            <w:tcBorders>
              <w:top w:val="single" w:sz="12" w:space="0" w:color="auto"/>
            </w:tcBorders>
            <w:noWrap/>
            <w:hideMark/>
          </w:tcPr>
          <w:p w:rsidR="001F4EF0" w:rsidRPr="001F4EF0" w:rsidRDefault="001F4EF0" w:rsidP="001F4EF0">
            <w:pPr>
              <w:rPr>
                <w:rFonts w:ascii="Gill Sans" w:hAnsi="Gill Sans"/>
                <w:sz w:val="18"/>
                <w:szCs w:val="18"/>
              </w:rPr>
            </w:pPr>
            <w:r w:rsidRPr="001F4EF0">
              <w:rPr>
                <w:rFonts w:ascii="Gill Sans" w:hAnsi="Gill Sans"/>
                <w:sz w:val="18"/>
                <w:szCs w:val="18"/>
              </w:rPr>
              <w:t>Totale complessivo</w:t>
            </w:r>
          </w:p>
        </w:tc>
        <w:tc>
          <w:tcPr>
            <w:tcW w:w="1111" w:type="dxa"/>
            <w:tcBorders>
              <w:top w:val="single" w:sz="12" w:space="0" w:color="auto"/>
              <w:left w:val="nil"/>
              <w:bottom w:val="single" w:sz="12" w:space="0" w:color="auto"/>
              <w:right w:val="nil"/>
            </w:tcBorders>
            <w:noWrap/>
            <w:vAlign w:val="center"/>
            <w:hideMark/>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b/>
                <w:sz w:val="18"/>
                <w:szCs w:val="18"/>
              </w:rPr>
            </w:pPr>
            <w:r w:rsidRPr="001F4EF0">
              <w:rPr>
                <w:rFonts w:ascii="Gill Sans" w:eastAsia="Times New Roman" w:hAnsi="Gill Sans" w:cs="Arial"/>
                <w:b/>
                <w:bCs/>
                <w:sz w:val="18"/>
                <w:szCs w:val="18"/>
                <w:lang w:eastAsia="it-CH"/>
              </w:rPr>
              <w:t>2'034.8</w:t>
            </w:r>
          </w:p>
        </w:tc>
        <w:tc>
          <w:tcPr>
            <w:tcW w:w="1111" w:type="dxa"/>
            <w:tcBorders>
              <w:top w:val="single" w:sz="12" w:space="0" w:color="auto"/>
              <w:left w:val="nil"/>
              <w:bottom w:val="single" w:sz="12" w:space="0" w:color="auto"/>
              <w:right w:val="nil"/>
            </w:tcBorders>
            <w:noWrap/>
            <w:vAlign w:val="center"/>
            <w:hideMark/>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b/>
                <w:sz w:val="18"/>
                <w:szCs w:val="18"/>
              </w:rPr>
            </w:pPr>
            <w:r w:rsidRPr="001F4EF0">
              <w:rPr>
                <w:rFonts w:ascii="Gill Sans" w:eastAsia="Times New Roman" w:hAnsi="Gill Sans" w:cs="Arial"/>
                <w:b/>
                <w:bCs/>
                <w:sz w:val="18"/>
                <w:szCs w:val="18"/>
                <w:lang w:eastAsia="it-CH"/>
              </w:rPr>
              <w:t>2'009.6</w:t>
            </w:r>
          </w:p>
        </w:tc>
        <w:tc>
          <w:tcPr>
            <w:tcW w:w="1111" w:type="dxa"/>
            <w:tcBorders>
              <w:top w:val="single" w:sz="12" w:space="0" w:color="auto"/>
              <w:left w:val="nil"/>
              <w:bottom w:val="single" w:sz="12" w:space="0" w:color="auto"/>
              <w:right w:val="nil"/>
            </w:tcBorders>
            <w:shd w:val="clear" w:color="auto" w:fill="FABF8F"/>
            <w:noWrap/>
            <w:vAlign w:val="center"/>
            <w:hideMark/>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b/>
                <w:sz w:val="18"/>
                <w:szCs w:val="18"/>
              </w:rPr>
            </w:pPr>
            <w:r w:rsidRPr="001F4EF0">
              <w:rPr>
                <w:rFonts w:ascii="Gill Sans" w:eastAsia="Times New Roman" w:hAnsi="Gill Sans" w:cs="Arial"/>
                <w:b/>
                <w:bCs/>
                <w:sz w:val="18"/>
                <w:szCs w:val="18"/>
                <w:lang w:eastAsia="it-CH"/>
              </w:rPr>
              <w:t>2'135.0</w:t>
            </w:r>
          </w:p>
        </w:tc>
        <w:tc>
          <w:tcPr>
            <w:tcW w:w="1111" w:type="dxa"/>
            <w:tcBorders>
              <w:top w:val="single" w:sz="12" w:space="0" w:color="auto"/>
              <w:left w:val="nil"/>
              <w:bottom w:val="single" w:sz="12" w:space="0" w:color="auto"/>
              <w:right w:val="nil"/>
            </w:tcBorders>
            <w:shd w:val="clear" w:color="auto" w:fill="FBD4B4"/>
            <w:vAlign w:val="center"/>
            <w:hideMark/>
          </w:tcPr>
          <w:p w:rsidR="001F4EF0" w:rsidRPr="001F4EF0" w:rsidRDefault="001F4EF0" w:rsidP="001F4EF0">
            <w:pPr>
              <w:jc w:val="right"/>
              <w:cnfStyle w:val="000000000000" w:firstRow="0" w:lastRow="0" w:firstColumn="0" w:lastColumn="0" w:oddVBand="0" w:evenVBand="0" w:oddHBand="0" w:evenHBand="0" w:firstRowFirstColumn="0" w:firstRowLastColumn="0" w:lastRowFirstColumn="0" w:lastRowLastColumn="0"/>
              <w:rPr>
                <w:rFonts w:ascii="Gill Sans" w:hAnsi="Gill Sans"/>
                <w:b/>
                <w:sz w:val="18"/>
                <w:szCs w:val="18"/>
              </w:rPr>
            </w:pPr>
            <w:r w:rsidRPr="001F4EF0">
              <w:rPr>
                <w:rFonts w:ascii="Gill Sans" w:eastAsia="Times New Roman" w:hAnsi="Gill Sans" w:cs="Arial"/>
                <w:b/>
                <w:bCs/>
                <w:sz w:val="18"/>
                <w:szCs w:val="18"/>
                <w:lang w:eastAsia="it-CH"/>
              </w:rPr>
              <w:t>125.4</w:t>
            </w:r>
          </w:p>
        </w:tc>
      </w:tr>
    </w:tbl>
    <w:p w:rsidR="001F4EF0" w:rsidRPr="001F4EF0" w:rsidRDefault="001F4EF0" w:rsidP="001F4EF0">
      <w:pPr>
        <w:pStyle w:val="Titolo1"/>
        <w:tabs>
          <w:tab w:val="left" w:pos="567"/>
        </w:tabs>
        <w:spacing w:before="0"/>
        <w:ind w:left="567" w:hanging="567"/>
        <w:jc w:val="both"/>
        <w:rPr>
          <w:rFonts w:eastAsia="Calibri" w:cs="Times New Roman"/>
          <w:caps/>
          <w:sz w:val="24"/>
          <w:szCs w:val="24"/>
          <w:lang w:val="it-IT" w:eastAsia="it-IT"/>
        </w:rPr>
      </w:pPr>
      <w:r>
        <w:rPr>
          <w:rFonts w:eastAsia="Calibri" w:cs="Times New Roman"/>
          <w:caps/>
          <w:sz w:val="24"/>
          <w:szCs w:val="24"/>
          <w:lang w:val="it-IT" w:eastAsia="it-IT"/>
        </w:rPr>
        <w:lastRenderedPageBreak/>
        <w:t>3.</w:t>
      </w:r>
      <w:r>
        <w:rPr>
          <w:rFonts w:eastAsia="Calibri" w:cs="Times New Roman"/>
          <w:caps/>
          <w:sz w:val="24"/>
          <w:szCs w:val="24"/>
          <w:lang w:val="it-IT" w:eastAsia="it-IT"/>
        </w:rPr>
        <w:tab/>
      </w:r>
      <w:r w:rsidRPr="001F4EF0">
        <w:rPr>
          <w:rFonts w:eastAsia="Calibri" w:cs="Times New Roman"/>
          <w:caps/>
          <w:sz w:val="24"/>
          <w:szCs w:val="24"/>
          <w:lang w:val="it-IT" w:eastAsia="it-IT"/>
        </w:rPr>
        <w:t>Conclusioni</w:t>
      </w:r>
    </w:p>
    <w:p w:rsidR="001F4EF0" w:rsidRDefault="001F4EF0" w:rsidP="001F4EF0">
      <w:pPr>
        <w:rPr>
          <w:rFonts w:eastAsia="Calibri" w:cs="Arial"/>
          <w:sz w:val="24"/>
          <w:shd w:val="clear" w:color="auto" w:fill="FFFFFF"/>
        </w:rPr>
      </w:pPr>
      <w:r w:rsidRPr="001F4EF0">
        <w:rPr>
          <w:rFonts w:eastAsia="Calibri" w:cs="Arial"/>
          <w:sz w:val="24"/>
          <w:shd w:val="clear" w:color="auto" w:fill="FFFFFF"/>
        </w:rPr>
        <w:t xml:space="preserve">Sebbene il risultato d’esercizio del 2022 ritorni in cifre positive, la situazione finanziaria del Cantone rimane molto delicata, considerato anche che alcuni fattori che hanno contribuito al miglioramento dei conti non si confermeranno nei prossimi anni. Inoltre, l’incertezza del contesto economico globale, accentuato dal perdurare del conflitto in Ucraina, si ripercuotono negativamente </w:t>
      </w:r>
      <w:r w:rsidRPr="001F4EF0">
        <w:rPr>
          <w:rFonts w:eastAsia="Calibri" w:cs="Times New Roman"/>
          <w:sz w:val="24"/>
        </w:rPr>
        <w:t>sulla crescita dell’economia mondiale.</w:t>
      </w:r>
      <w:r w:rsidRPr="001F4EF0">
        <w:rPr>
          <w:rFonts w:eastAsia="Calibri" w:cs="Arial"/>
          <w:sz w:val="24"/>
          <w:shd w:val="clear" w:color="auto" w:fill="FFFFFF"/>
        </w:rPr>
        <w:t xml:space="preserve"> </w:t>
      </w:r>
    </w:p>
    <w:p w:rsidR="001F4EF0" w:rsidRDefault="001F4EF0" w:rsidP="001F4EF0">
      <w:pPr>
        <w:rPr>
          <w:rFonts w:eastAsia="Calibri" w:cs="Arial"/>
          <w:sz w:val="24"/>
          <w:shd w:val="clear" w:color="auto" w:fill="FFFFFF"/>
        </w:rPr>
      </w:pPr>
    </w:p>
    <w:p w:rsidR="00655F5A" w:rsidRDefault="001F4EF0" w:rsidP="00031905">
      <w:pPr>
        <w:rPr>
          <w:rFonts w:eastAsia="Calibri" w:cs="Arial"/>
          <w:sz w:val="24"/>
          <w:shd w:val="clear" w:color="auto" w:fill="FFFFFF"/>
        </w:rPr>
      </w:pPr>
      <w:r w:rsidRPr="001F4EF0">
        <w:rPr>
          <w:rFonts w:eastAsia="Calibri" w:cs="Arial"/>
          <w:sz w:val="24"/>
          <w:shd w:val="clear" w:color="auto" w:fill="FFFFFF"/>
        </w:rPr>
        <w:t>L’avanzo d’esercizio registrato nel 2022 non deve quindi illudere. Nei prossimi anni sul fronte delle finanze cantonali ci attendono sfide importanti che richiederanno sforzi non indifferenti per riportare i conti del Cantone in equilibr</w:t>
      </w:r>
      <w:r w:rsidR="007D6D71">
        <w:rPr>
          <w:rFonts w:eastAsia="Calibri" w:cs="Arial"/>
          <w:sz w:val="24"/>
          <w:shd w:val="clear" w:color="auto" w:fill="FFFFFF"/>
        </w:rPr>
        <w:t xml:space="preserve">io. </w:t>
      </w:r>
    </w:p>
    <w:p w:rsidR="00655F5A" w:rsidRPr="00655F5A" w:rsidRDefault="00655F5A" w:rsidP="00655F5A">
      <w:pPr>
        <w:spacing w:before="100" w:beforeAutospacing="1" w:after="100" w:afterAutospacing="1"/>
        <w:rPr>
          <w:rFonts w:eastAsia="Calibri" w:cs="Arial"/>
          <w:sz w:val="24"/>
          <w:shd w:val="clear" w:color="auto" w:fill="FFFFFF"/>
        </w:rPr>
      </w:pPr>
      <w:r w:rsidRPr="00655F5A">
        <w:rPr>
          <w:rFonts w:eastAsia="Calibri" w:cs="Arial"/>
          <w:sz w:val="24"/>
          <w:shd w:val="clear" w:color="auto" w:fill="FFFFFF"/>
        </w:rPr>
        <w:t xml:space="preserve">Il prossimo obiettivo rimarrebbe l’elaborazione di un preventivo 2024 </w:t>
      </w:r>
      <w:r w:rsidRPr="00655F5A">
        <w:rPr>
          <w:rFonts w:eastAsia="Calibri" w:cs="Arial"/>
          <w:i/>
          <w:sz w:val="24"/>
          <w:shd w:val="clear" w:color="auto" w:fill="FFFFFF"/>
        </w:rPr>
        <w:t>“con un disavanzo massimo di 40 milioni di franchi in vista del pareggio dei conti entro il 2025, escludendo l’aumento delle imposte, senza incidere sui sussidi alle persone meno abbienti e senza riversamento di oneri finanziari netti sui Comuni”</w:t>
      </w:r>
      <w:r w:rsidRPr="00655F5A">
        <w:rPr>
          <w:rFonts w:eastAsia="Calibri" w:cs="Arial"/>
          <w:sz w:val="24"/>
          <w:shd w:val="clear" w:color="auto" w:fill="FFFFFF"/>
        </w:rPr>
        <w:t> (art</w:t>
      </w:r>
      <w:r w:rsidR="004A1C92">
        <w:rPr>
          <w:rFonts w:eastAsia="Calibri" w:cs="Arial"/>
          <w:sz w:val="24"/>
          <w:shd w:val="clear" w:color="auto" w:fill="FFFFFF"/>
        </w:rPr>
        <w:t>.</w:t>
      </w:r>
      <w:r w:rsidRPr="00655F5A">
        <w:rPr>
          <w:rFonts w:eastAsia="Calibri" w:cs="Arial"/>
          <w:sz w:val="24"/>
          <w:shd w:val="clear" w:color="auto" w:fill="FFFFFF"/>
        </w:rPr>
        <w:t xml:space="preserve"> 3 del DL del P2023).</w:t>
      </w:r>
    </w:p>
    <w:p w:rsidR="001F4EF0" w:rsidRDefault="001F4EF0" w:rsidP="001F4EF0">
      <w:pPr>
        <w:rPr>
          <w:rFonts w:eastAsia="Calibri" w:cs="Arial"/>
          <w:sz w:val="24"/>
          <w:shd w:val="clear" w:color="auto" w:fill="FFFFFF"/>
        </w:rPr>
      </w:pPr>
      <w:r w:rsidRPr="001F4EF0">
        <w:rPr>
          <w:rFonts w:eastAsia="Calibri" w:cs="Arial"/>
          <w:sz w:val="24"/>
          <w:shd w:val="clear" w:color="auto" w:fill="FFFFFF"/>
        </w:rPr>
        <w:t xml:space="preserve">Per raggiungere questi obiettivi Governo e Parlamento sono chiamati a un’assunzione di responsabilità e a una fattiva collaborazione. </w:t>
      </w:r>
    </w:p>
    <w:p w:rsidR="001F4EF0" w:rsidRPr="001F4EF0" w:rsidRDefault="001F4EF0" w:rsidP="001F4EF0">
      <w:pPr>
        <w:rPr>
          <w:rFonts w:eastAsia="Calibri" w:cs="Arial"/>
          <w:sz w:val="24"/>
          <w:shd w:val="clear" w:color="auto" w:fill="FFFFFF"/>
        </w:rPr>
      </w:pPr>
    </w:p>
    <w:p w:rsidR="001F4EF0" w:rsidRPr="001F4EF0" w:rsidRDefault="001F4EF0" w:rsidP="001F4EF0">
      <w:pPr>
        <w:rPr>
          <w:rFonts w:eastAsia="Calibri" w:cs="Arial"/>
          <w:sz w:val="24"/>
          <w:szCs w:val="24"/>
        </w:rPr>
      </w:pPr>
      <w:r w:rsidRPr="001F4EF0">
        <w:rPr>
          <w:rFonts w:eastAsia="Calibri" w:cs="Arial"/>
          <w:sz w:val="24"/>
          <w:szCs w:val="24"/>
        </w:rPr>
        <w:t xml:space="preserve">Tenuto conto di tutto quanto precede e del messaggio del Consiglio di Stato, si invita il Gran Consiglio ad approvare il decreto legislativo concernente il Consuntivo 2022 annesso al messaggio governativo. </w:t>
      </w:r>
    </w:p>
    <w:p w:rsidR="001F4EF0" w:rsidRPr="001F4EF0" w:rsidRDefault="001F4EF0" w:rsidP="001F4EF0">
      <w:pPr>
        <w:rPr>
          <w:rFonts w:eastAsia="Calibri" w:cs="Arial"/>
          <w:sz w:val="24"/>
          <w:szCs w:val="24"/>
        </w:rPr>
      </w:pPr>
    </w:p>
    <w:p w:rsidR="001F4EF0" w:rsidRPr="001F4EF0" w:rsidRDefault="001F4EF0" w:rsidP="001F4EF0">
      <w:pPr>
        <w:rPr>
          <w:rFonts w:eastAsia="Calibri" w:cs="Arial"/>
          <w:sz w:val="24"/>
          <w:szCs w:val="24"/>
        </w:rPr>
      </w:pPr>
    </w:p>
    <w:p w:rsidR="001F4EF0" w:rsidRPr="001F4EF0" w:rsidRDefault="001F4EF0" w:rsidP="0083024E">
      <w:pPr>
        <w:spacing w:after="120"/>
        <w:rPr>
          <w:rFonts w:eastAsia="Calibri" w:cs="Arial"/>
          <w:sz w:val="24"/>
          <w:szCs w:val="24"/>
        </w:rPr>
      </w:pPr>
      <w:r w:rsidRPr="001F4EF0">
        <w:rPr>
          <w:rFonts w:eastAsia="Calibri" w:cs="Arial"/>
          <w:sz w:val="24"/>
          <w:szCs w:val="24"/>
        </w:rPr>
        <w:t xml:space="preserve">Per la </w:t>
      </w:r>
      <w:r w:rsidR="0083024E">
        <w:rPr>
          <w:rFonts w:eastAsia="Calibri" w:cs="Arial"/>
          <w:sz w:val="24"/>
          <w:szCs w:val="24"/>
        </w:rPr>
        <w:t xml:space="preserve">maggioranza della </w:t>
      </w:r>
      <w:r w:rsidRPr="001F4EF0">
        <w:rPr>
          <w:rFonts w:eastAsia="Calibri" w:cs="Arial"/>
          <w:sz w:val="24"/>
          <w:szCs w:val="24"/>
        </w:rPr>
        <w:t>Commissione gestione e finanze</w:t>
      </w:r>
      <w:r w:rsidR="0083024E">
        <w:rPr>
          <w:rFonts w:eastAsia="Calibri" w:cs="Arial"/>
          <w:sz w:val="24"/>
          <w:szCs w:val="24"/>
        </w:rPr>
        <w:t xml:space="preserve">: </w:t>
      </w:r>
    </w:p>
    <w:p w:rsidR="001F4EF0" w:rsidRPr="001F4EF0" w:rsidRDefault="001F4EF0" w:rsidP="001F4EF0">
      <w:pPr>
        <w:rPr>
          <w:rFonts w:eastAsia="Calibri" w:cs="Arial"/>
          <w:sz w:val="24"/>
          <w:szCs w:val="24"/>
        </w:rPr>
      </w:pPr>
      <w:r w:rsidRPr="001F4EF0">
        <w:rPr>
          <w:rFonts w:eastAsia="Calibri" w:cs="Arial"/>
          <w:sz w:val="24"/>
          <w:szCs w:val="24"/>
        </w:rPr>
        <w:t>Michele Guerra, relatore</w:t>
      </w:r>
    </w:p>
    <w:p w:rsidR="001F1386" w:rsidRDefault="001F1386" w:rsidP="00CA690D">
      <w:pPr>
        <w:rPr>
          <w:rFonts w:eastAsia="Calibri" w:cs="Times New Roman"/>
          <w:sz w:val="24"/>
        </w:rPr>
      </w:pPr>
      <w:r>
        <w:rPr>
          <w:rFonts w:eastAsia="Calibri" w:cs="Times New Roman"/>
          <w:sz w:val="24"/>
        </w:rPr>
        <w:t xml:space="preserve">Agustoni (con riserva) - Balli (con riserva) - Bignasca (con riserva) - </w:t>
      </w:r>
    </w:p>
    <w:p w:rsidR="001F1386" w:rsidRDefault="001F1386" w:rsidP="00CA690D">
      <w:pPr>
        <w:rPr>
          <w:rFonts w:eastAsia="Calibri" w:cs="Times New Roman"/>
          <w:sz w:val="24"/>
        </w:rPr>
      </w:pPr>
      <w:r>
        <w:rPr>
          <w:rFonts w:eastAsia="Calibri" w:cs="Times New Roman"/>
          <w:sz w:val="24"/>
        </w:rPr>
        <w:t>Caprara (con riserva) - Dadò (con riserva) - Ferrara (con riserva) -</w:t>
      </w:r>
    </w:p>
    <w:p w:rsidR="001F1386" w:rsidRDefault="001F1386" w:rsidP="00CA690D">
      <w:pPr>
        <w:rPr>
          <w:rFonts w:eastAsia="Calibri" w:cs="Times New Roman"/>
          <w:sz w:val="24"/>
        </w:rPr>
      </w:pPr>
      <w:r>
        <w:rPr>
          <w:rFonts w:eastAsia="Calibri" w:cs="Times New Roman"/>
          <w:sz w:val="24"/>
        </w:rPr>
        <w:t xml:space="preserve">Fonio (con riserva) - Gianella Alessandra (con riserva) - </w:t>
      </w:r>
    </w:p>
    <w:p w:rsidR="00FA34F0" w:rsidRDefault="001F1386" w:rsidP="00CA690D">
      <w:pPr>
        <w:rPr>
          <w:rFonts w:eastAsia="Calibri" w:cs="Times New Roman"/>
          <w:sz w:val="24"/>
        </w:rPr>
      </w:pPr>
      <w:r>
        <w:rPr>
          <w:rFonts w:eastAsia="Calibri" w:cs="Times New Roman"/>
          <w:sz w:val="24"/>
        </w:rPr>
        <w:t xml:space="preserve">Passalia (con riserva) - Pini (con riserva) </w:t>
      </w:r>
      <w:r w:rsidR="00935D84">
        <w:rPr>
          <w:rFonts w:eastAsia="Calibri" w:cs="Times New Roman"/>
          <w:sz w:val="24"/>
        </w:rPr>
        <w:t>-</w:t>
      </w:r>
      <w:r>
        <w:rPr>
          <w:rFonts w:eastAsia="Calibri" w:cs="Times New Roman"/>
          <w:sz w:val="24"/>
        </w:rPr>
        <w:t xml:space="preserve"> Quadranti (con riserva)</w:t>
      </w:r>
    </w:p>
    <w:p w:rsidR="001F1386" w:rsidRDefault="001F1386" w:rsidP="00CA690D">
      <w:pPr>
        <w:rPr>
          <w:rFonts w:eastAsia="Calibri" w:cs="Times New Roman"/>
          <w:sz w:val="24"/>
        </w:rPr>
      </w:pPr>
    </w:p>
    <w:p w:rsidR="00A77F9D" w:rsidRDefault="00A77F9D" w:rsidP="00CA690D">
      <w:pPr>
        <w:rPr>
          <w:rFonts w:eastAsia="Calibri" w:cs="Times New Roman"/>
          <w:sz w:val="24"/>
        </w:rPr>
      </w:pPr>
    </w:p>
    <w:p w:rsidR="00A77F9D" w:rsidRDefault="00A77F9D" w:rsidP="00CA690D">
      <w:pPr>
        <w:rPr>
          <w:rFonts w:eastAsia="Calibri" w:cs="Times New Roman"/>
          <w:sz w:val="24"/>
        </w:rPr>
      </w:pPr>
    </w:p>
    <w:p w:rsidR="00A77F9D" w:rsidRDefault="00A77F9D" w:rsidP="00CA690D">
      <w:pPr>
        <w:rPr>
          <w:rFonts w:eastAsia="Calibri" w:cs="Times New Roman"/>
          <w:sz w:val="24"/>
        </w:rPr>
      </w:pPr>
    </w:p>
    <w:p w:rsidR="00A77F9D" w:rsidRDefault="00A77F9D" w:rsidP="00CA690D">
      <w:pPr>
        <w:rPr>
          <w:rFonts w:eastAsia="Calibri" w:cs="Times New Roman"/>
          <w:sz w:val="24"/>
        </w:rPr>
      </w:pPr>
    </w:p>
    <w:p w:rsidR="00A77F9D" w:rsidRDefault="00A77F9D" w:rsidP="00CA690D">
      <w:pPr>
        <w:rPr>
          <w:rFonts w:eastAsia="Calibri" w:cs="Times New Roman"/>
          <w:sz w:val="24"/>
        </w:rPr>
      </w:pPr>
    </w:p>
    <w:p w:rsidR="00A77F9D" w:rsidRDefault="00A77F9D" w:rsidP="00CA690D">
      <w:pPr>
        <w:rPr>
          <w:rFonts w:eastAsia="Calibri" w:cs="Times New Roman"/>
          <w:sz w:val="24"/>
        </w:rPr>
      </w:pPr>
    </w:p>
    <w:p w:rsidR="00A77F9D" w:rsidRDefault="00A77F9D" w:rsidP="00CA690D">
      <w:pPr>
        <w:rPr>
          <w:rFonts w:eastAsia="Calibri" w:cs="Times New Roman"/>
          <w:sz w:val="24"/>
        </w:rPr>
      </w:pPr>
    </w:p>
    <w:p w:rsidR="00A77F9D" w:rsidRDefault="00A77F9D" w:rsidP="00CA690D">
      <w:pPr>
        <w:rPr>
          <w:rFonts w:eastAsia="Calibri" w:cs="Times New Roman"/>
          <w:sz w:val="24"/>
        </w:rPr>
      </w:pPr>
    </w:p>
    <w:p w:rsidR="00A77F9D" w:rsidRDefault="00A77F9D" w:rsidP="00CA690D">
      <w:pPr>
        <w:rPr>
          <w:rFonts w:eastAsia="Calibri" w:cs="Times New Roman"/>
          <w:sz w:val="24"/>
        </w:rPr>
      </w:pPr>
    </w:p>
    <w:p w:rsidR="00A77F9D" w:rsidRDefault="00A77F9D" w:rsidP="00CA690D">
      <w:pPr>
        <w:rPr>
          <w:rFonts w:eastAsia="Calibri" w:cs="Times New Roman"/>
          <w:sz w:val="24"/>
        </w:rPr>
      </w:pPr>
    </w:p>
    <w:p w:rsidR="00A77F9D" w:rsidRDefault="00A77F9D" w:rsidP="00CA690D">
      <w:pPr>
        <w:rPr>
          <w:rFonts w:eastAsia="Calibri" w:cs="Times New Roman"/>
          <w:sz w:val="24"/>
        </w:rPr>
      </w:pPr>
    </w:p>
    <w:p w:rsidR="00A77F9D" w:rsidRDefault="00A77F9D" w:rsidP="00CA690D">
      <w:pPr>
        <w:rPr>
          <w:rFonts w:eastAsia="Calibri" w:cs="Times New Roman"/>
          <w:sz w:val="24"/>
        </w:rPr>
      </w:pPr>
      <w:bookmarkStart w:id="4" w:name="_GoBack"/>
      <w:r w:rsidRPr="00A77F9D">
        <w:rPr>
          <w:rFonts w:eastAsia="Calibri" w:cs="Times New Roman"/>
          <w:sz w:val="24"/>
          <w:u w:val="single"/>
        </w:rPr>
        <w:t>Allegato</w:t>
      </w:r>
      <w:bookmarkEnd w:id="4"/>
      <w:r>
        <w:rPr>
          <w:rFonts w:eastAsia="Calibri" w:cs="Times New Roman"/>
          <w:sz w:val="24"/>
        </w:rPr>
        <w:t>:</w:t>
      </w:r>
    </w:p>
    <w:p w:rsidR="00A77F9D" w:rsidRPr="00CA690D" w:rsidRDefault="00A77F9D" w:rsidP="00CA690D">
      <w:pPr>
        <w:rPr>
          <w:rFonts w:eastAsia="Calibri" w:cs="Times New Roman"/>
          <w:sz w:val="24"/>
        </w:rPr>
      </w:pPr>
      <w:r>
        <w:rPr>
          <w:rFonts w:eastAsia="Calibri" w:cs="Times New Roman"/>
          <w:sz w:val="24"/>
        </w:rPr>
        <w:t>- risposte del Consiglio di Stato alle domande dei Gruppi</w:t>
      </w:r>
    </w:p>
    <w:sectPr w:rsidR="00A77F9D" w:rsidRPr="00CA690D" w:rsidSect="00375115">
      <w:headerReference w:type="even" r:id="rId21"/>
      <w:headerReference w:type="default" r:id="rId22"/>
      <w:footerReference w:type="even" r:id="rId23"/>
      <w:footerReference w:type="default" r:id="rId24"/>
      <w:headerReference w:type="first" r:id="rId25"/>
      <w:footerReference w:type="first" r:id="rId26"/>
      <w:pgSz w:w="11906" w:h="16838" w:code="9"/>
      <w:pgMar w:top="1985" w:right="861" w:bottom="1134" w:left="1560" w:header="533"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690D" w:rsidRDefault="00CA690D" w:rsidP="00F657BF">
      <w:r>
        <w:separator/>
      </w:r>
    </w:p>
  </w:endnote>
  <w:endnote w:type="continuationSeparator" w:id="0">
    <w:p w:rsidR="00CA690D" w:rsidRDefault="00CA690D" w:rsidP="00F65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Alt One MT Light">
    <w:altName w:val="Calibri"/>
    <w:panose1 w:val="020B0302020104020203"/>
    <w:charset w:val="00"/>
    <w:family w:val="swiss"/>
    <w:pitch w:val="variable"/>
    <w:sig w:usb0="00000003" w:usb1="00000000" w:usb2="00000000" w:usb3="00000000" w:csb0="00000001" w:csb1="00000000"/>
  </w:font>
  <w:font w:name="Gill Sans MT Pro Light">
    <w:altName w:val="Calibri"/>
    <w:panose1 w:val="020B0302020104020203"/>
    <w:charset w:val="00"/>
    <w:family w:val="swiss"/>
    <w:pitch w:val="variable"/>
    <w:sig w:usb0="A00000AF" w:usb1="4000205A" w:usb2="00000000" w:usb3="00000000" w:csb0="00000093" w:csb1="00000000"/>
  </w:font>
  <w:font w:name="Gill Sans Display MT Pro BdCn">
    <w:altName w:val="Calibri"/>
    <w:panose1 w:val="020B0806020104020203"/>
    <w:charset w:val="00"/>
    <w:family w:val="swiss"/>
    <w:pitch w:val="variable"/>
    <w:sig w:usb0="A00000EF" w:usb1="5000205A" w:usb2="00000000" w:usb3="00000000" w:csb0="00000093" w:csb1="00000000"/>
  </w:font>
  <w:font w:name="Gill Sans">
    <w:altName w:val="Calibri"/>
    <w:panose1 w:val="020B0602020204020204"/>
    <w:charset w:val="00"/>
    <w:family w:val="swiss"/>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03B5" w:rsidRDefault="00997D5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1" w:type="dxa"/>
      <w:tblBorders>
        <w:top w:val="single" w:sz="2" w:space="0" w:color="auto"/>
        <w:insideH w:val="single" w:sz="4" w:space="0" w:color="auto"/>
        <w:insideV w:val="single" w:sz="2" w:space="0" w:color="auto"/>
      </w:tblBorders>
      <w:tblLook w:val="04A0" w:firstRow="1" w:lastRow="0" w:firstColumn="1" w:lastColumn="0" w:noHBand="0" w:noVBand="1"/>
    </w:tblPr>
    <w:tblGrid>
      <w:gridCol w:w="4695"/>
      <w:gridCol w:w="721"/>
      <w:gridCol w:w="424"/>
      <w:gridCol w:w="4081"/>
    </w:tblGrid>
    <w:tr w:rsidR="00912E34" w:rsidRPr="003D1008" w:rsidTr="007A3D11">
      <w:trPr>
        <w:trHeight w:hRule="exact" w:val="737"/>
      </w:trPr>
      <w:tc>
        <w:tcPr>
          <w:tcW w:w="4695" w:type="dxa"/>
        </w:tcPr>
        <w:p w:rsidR="00912E34" w:rsidRPr="003D1008" w:rsidRDefault="00997D55" w:rsidP="00912E34">
          <w:pPr>
            <w:tabs>
              <w:tab w:val="center" w:pos="2382"/>
            </w:tabs>
          </w:pPr>
        </w:p>
      </w:tc>
      <w:tc>
        <w:tcPr>
          <w:tcW w:w="721" w:type="dxa"/>
        </w:tcPr>
        <w:p w:rsidR="00912E34" w:rsidRPr="003D1008" w:rsidRDefault="00EC58E5" w:rsidP="00912E34">
          <w:pPr>
            <w:jc w:val="center"/>
          </w:pPr>
          <w:r w:rsidRPr="003D1008">
            <w:rPr>
              <w:noProof/>
              <w:lang w:eastAsia="it-CH"/>
            </w:rPr>
            <w:drawing>
              <wp:anchor distT="0" distB="0" distL="114300" distR="114300" simplePos="0" relativeHeight="251669504" behindDoc="0" locked="1" layoutInCell="1" allowOverlap="1" wp14:anchorId="57A4C8AD" wp14:editId="67B37CFF">
                <wp:simplePos x="0" y="0"/>
                <wp:positionH relativeFrom="column">
                  <wp:posOffset>-46990</wp:posOffset>
                </wp:positionH>
                <wp:positionV relativeFrom="paragraph">
                  <wp:posOffset>4445</wp:posOffset>
                </wp:positionV>
                <wp:extent cx="423929" cy="431800"/>
                <wp:effectExtent l="0" t="0" r="0" b="6350"/>
                <wp:wrapNone/>
                <wp:docPr id="9" name="ooImg_24782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3929" cy="431800"/>
                        </a:xfrm>
                        <a:prstGeom prst="rect">
                          <a:avLst/>
                        </a:prstGeom>
                      </pic:spPr>
                    </pic:pic>
                  </a:graphicData>
                </a:graphic>
                <wp14:sizeRelH relativeFrom="margin">
                  <wp14:pctWidth>0</wp14:pctWidth>
                </wp14:sizeRelH>
                <wp14:sizeRelV relativeFrom="margin">
                  <wp14:pctHeight>0</wp14:pctHeight>
                </wp14:sizeRelV>
              </wp:anchor>
            </w:drawing>
          </w:r>
        </w:p>
      </w:tc>
      <w:tc>
        <w:tcPr>
          <w:tcW w:w="424" w:type="dxa"/>
        </w:tcPr>
        <w:p w:rsidR="00912E34" w:rsidRPr="003D1008" w:rsidRDefault="00EC58E5" w:rsidP="00912E34">
          <w:pPr>
            <w:jc w:val="center"/>
          </w:pPr>
          <w:r w:rsidRPr="003D1008">
            <w:rPr>
              <w:noProof/>
              <w:lang w:eastAsia="it-CH"/>
            </w:rPr>
            <w:drawing>
              <wp:anchor distT="0" distB="0" distL="114300" distR="114300" simplePos="0" relativeHeight="251670528" behindDoc="0" locked="1" layoutInCell="1" allowOverlap="1" wp14:anchorId="6BCF2EE8" wp14:editId="0647662F">
                <wp:simplePos x="0" y="0"/>
                <wp:positionH relativeFrom="column">
                  <wp:posOffset>-57785</wp:posOffset>
                </wp:positionH>
                <wp:positionV relativeFrom="paragraph">
                  <wp:posOffset>4445</wp:posOffset>
                </wp:positionV>
                <wp:extent cx="253247" cy="428400"/>
                <wp:effectExtent l="0" t="0" r="0" b="0"/>
                <wp:wrapNone/>
                <wp:docPr id="10" name="ooImg_1380898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3247" cy="428400"/>
                        </a:xfrm>
                        <a:prstGeom prst="rect">
                          <a:avLst/>
                        </a:prstGeom>
                      </pic:spPr>
                    </pic:pic>
                  </a:graphicData>
                </a:graphic>
                <wp14:sizeRelH relativeFrom="page">
                  <wp14:pctWidth>0</wp14:pctWidth>
                </wp14:sizeRelH>
                <wp14:sizeRelV relativeFrom="page">
                  <wp14:pctHeight>0</wp14:pctHeight>
                </wp14:sizeRelV>
              </wp:anchor>
            </w:drawing>
          </w:r>
        </w:p>
      </w:tc>
      <w:tc>
        <w:tcPr>
          <w:tcW w:w="4081" w:type="dxa"/>
        </w:tcPr>
        <w:p w:rsidR="00912E34" w:rsidRPr="003D1008" w:rsidRDefault="00997D55" w:rsidP="00912E34"/>
      </w:tc>
    </w:tr>
  </w:tbl>
  <w:p w:rsidR="00F657BF" w:rsidRDefault="00F657BF" w:rsidP="00F5689F">
    <w:pPr>
      <w:pStyle w:val="InvisibleLin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BB7" w:rsidRDefault="00997D55">
    <w:pPr>
      <w:pStyle w:val="Pidipagina"/>
      <w:jc w:val="center"/>
    </w:pPr>
  </w:p>
  <w:p w:rsidR="00F657BF" w:rsidRPr="008C6C46" w:rsidRDefault="00F657BF" w:rsidP="00AD7FE7">
    <w:pPr>
      <w:pStyle w:val="InvisibleLin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690D" w:rsidRDefault="00CA690D" w:rsidP="00F657BF">
      <w:r>
        <w:separator/>
      </w:r>
    </w:p>
  </w:footnote>
  <w:footnote w:type="continuationSeparator" w:id="0">
    <w:p w:rsidR="00CA690D" w:rsidRDefault="00CA690D" w:rsidP="00F657BF">
      <w:r>
        <w:continuationSeparator/>
      </w:r>
    </w:p>
  </w:footnote>
  <w:footnote w:id="1">
    <w:p w:rsidR="00CA690D" w:rsidRPr="00206B0E" w:rsidRDefault="00CA690D" w:rsidP="00CA690D">
      <w:pPr>
        <w:pStyle w:val="Testonotaapidipagina"/>
        <w:rPr>
          <w:lang w:val="it-CH"/>
        </w:rPr>
      </w:pPr>
      <w:r>
        <w:rPr>
          <w:rStyle w:val="Rimandonotaapidipagina"/>
        </w:rPr>
        <w:footnoteRef/>
      </w:r>
      <w:r w:rsidRPr="00206B0E">
        <w:rPr>
          <w:lang w:val="it-CH"/>
        </w:rPr>
        <w:t xml:space="preserve"> </w:t>
      </w:r>
      <w:r w:rsidRPr="00FA34F0">
        <w:rPr>
          <w:sz w:val="18"/>
          <w:szCs w:val="18"/>
          <w:lang w:val="it-CH"/>
        </w:rPr>
        <w:t>Si rileva come le spese per la gestione dei centri per i richiedenti l’asilo ucraini e quelle per l’organizzazione del soccorso dell’emergenza sanitaria dovuta alla pandemia di COVID-19 sono coperte, nel primo caso completamente e nel secondo quasi completamente, da entrate della Confederazione.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03B5" w:rsidRDefault="00997D55">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93" w:type="dxa"/>
      <w:tblInd w:w="-159" w:type="dxa"/>
      <w:tblLayout w:type="fixed"/>
      <w:tblCellMar>
        <w:left w:w="0" w:type="dxa"/>
        <w:right w:w="0" w:type="dxa"/>
      </w:tblCellMar>
      <w:tblLook w:val="04A0" w:firstRow="1" w:lastRow="0" w:firstColumn="1" w:lastColumn="0" w:noHBand="0" w:noVBand="1"/>
    </w:tblPr>
    <w:tblGrid>
      <w:gridCol w:w="8383"/>
      <w:gridCol w:w="1710"/>
    </w:tblGrid>
    <w:tr w:rsidR="005012EC" w:rsidRPr="002747E7" w:rsidTr="006B682A">
      <w:trPr>
        <w:trHeight w:val="562"/>
      </w:trPr>
      <w:sdt>
        <w:sdtPr>
          <w:rPr>
            <w:rFonts w:ascii="Gill Alt One MT Light" w:hAnsi="Gill Alt One MT Light"/>
            <w:sz w:val="16"/>
            <w:szCs w:val="16"/>
          </w:rPr>
          <w:alias w:val="CustomElements.Fields.Dipartimenti"/>
          <w:id w:val="1567676091"/>
          <w:dataBinding w:xpath="//Text[@id='CustomElements.Fields.Dipartimenti']" w:storeItemID="{DE24F21B-E8AD-48B3-8C83-139460C5CDC8}"/>
          <w:text w:multiLine="1"/>
        </w:sdtPr>
        <w:sdtEndPr/>
        <w:sdtContent>
          <w:tc>
            <w:tcPr>
              <w:tcW w:w="8383" w:type="dxa"/>
              <w:tcBorders>
                <w:left w:val="single" w:sz="4" w:space="0" w:color="auto"/>
                <w:bottom w:val="single" w:sz="4" w:space="0" w:color="auto"/>
              </w:tcBorders>
              <w:tcMar>
                <w:left w:w="142" w:type="dxa"/>
              </w:tcMar>
              <w:vAlign w:val="bottom"/>
            </w:tcPr>
            <w:p w:rsidR="005012EC" w:rsidRPr="00E8185F" w:rsidRDefault="00BA66A6" w:rsidP="00A532F6">
              <w:pPr>
                <w:pStyle w:val="Page"/>
                <w:rPr>
                  <w:rFonts w:ascii="Gill Alt One MT Light" w:hAnsi="Gill Alt One MT Light"/>
                  <w:sz w:val="16"/>
                  <w:szCs w:val="16"/>
                </w:rPr>
              </w:pPr>
              <w:r>
                <w:rPr>
                  <w:rFonts w:ascii="Gill Alt One MT Light" w:hAnsi="Gill Alt One MT Light"/>
                  <w:sz w:val="16"/>
                  <w:szCs w:val="16"/>
                </w:rPr>
                <w:t>Dipartimento delle finanze e dell’economia</w:t>
              </w:r>
            </w:p>
          </w:tc>
        </w:sdtContent>
      </w:sdt>
      <w:tc>
        <w:tcPr>
          <w:tcW w:w="1710" w:type="dxa"/>
          <w:tcBorders>
            <w:bottom w:val="single" w:sz="4" w:space="0" w:color="auto"/>
          </w:tcBorders>
          <w:vAlign w:val="bottom"/>
        </w:tcPr>
        <w:p w:rsidR="005012EC" w:rsidRPr="004204CB" w:rsidRDefault="00EC58E5" w:rsidP="00662409">
          <w:pPr>
            <w:pStyle w:val="Page"/>
            <w:jc w:val="right"/>
            <w:rPr>
              <w:sz w:val="24"/>
            </w:rPr>
          </w:pPr>
          <w:r w:rsidRPr="004204CB">
            <w:rPr>
              <w:sz w:val="24"/>
            </w:rPr>
            <w:fldChar w:fldCharType="begin"/>
          </w:r>
          <w:r w:rsidRPr="004204CB">
            <w:rPr>
              <w:sz w:val="24"/>
            </w:rPr>
            <w:instrText xml:space="preserve"> PAGE   \* MERGEFORMAT </w:instrText>
          </w:r>
          <w:r w:rsidRPr="004204CB">
            <w:rPr>
              <w:sz w:val="24"/>
            </w:rPr>
            <w:fldChar w:fldCharType="separate"/>
          </w:r>
          <w:r w:rsidR="00255538">
            <w:rPr>
              <w:noProof/>
              <w:sz w:val="24"/>
            </w:rPr>
            <w:t>12</w:t>
          </w:r>
          <w:r w:rsidRPr="004204CB">
            <w:rPr>
              <w:sz w:val="24"/>
            </w:rPr>
            <w:fldChar w:fldCharType="end"/>
          </w:r>
          <w:r w:rsidRPr="004204CB">
            <w:rPr>
              <w:sz w:val="24"/>
            </w:rPr>
            <w:t xml:space="preserve"> di </w:t>
          </w:r>
          <w:r w:rsidRPr="004204CB">
            <w:rPr>
              <w:sz w:val="24"/>
            </w:rPr>
            <w:fldChar w:fldCharType="begin"/>
          </w:r>
          <w:r w:rsidRPr="004204CB">
            <w:rPr>
              <w:sz w:val="24"/>
            </w:rPr>
            <w:instrText xml:space="preserve"> NUMPAGES   \* MERGEFORMAT </w:instrText>
          </w:r>
          <w:r w:rsidRPr="004204CB">
            <w:rPr>
              <w:sz w:val="24"/>
            </w:rPr>
            <w:fldChar w:fldCharType="separate"/>
          </w:r>
          <w:r w:rsidR="00255538">
            <w:rPr>
              <w:noProof/>
              <w:sz w:val="24"/>
            </w:rPr>
            <w:t>12</w:t>
          </w:r>
          <w:r w:rsidRPr="004204CB">
            <w:rPr>
              <w:noProof/>
              <w:sz w:val="24"/>
            </w:rPr>
            <w:fldChar w:fldCharType="end"/>
          </w:r>
        </w:p>
      </w:tc>
    </w:tr>
    <w:tr w:rsidR="005012EC" w:rsidRPr="009E444B" w:rsidTr="006B682A">
      <w:trPr>
        <w:trHeight w:val="334"/>
      </w:trPr>
      <w:sdt>
        <w:sdtPr>
          <w:rPr>
            <w:rFonts w:ascii="Gill Sans Display MT Pro BdCn" w:hAnsi="Gill Sans Display MT Pro BdCn"/>
            <w:sz w:val="18"/>
            <w:szCs w:val="18"/>
          </w:rPr>
          <w:alias w:val="CustomElements.Fields.Titolo2"/>
          <w:id w:val="48588533"/>
          <w:dataBinding w:xpath="//Text[@id='CustomElements.Fields.Titolo2']" w:storeItemID="{DE24F21B-E8AD-48B3-8C83-139460C5CDC8}"/>
          <w:text w:multiLine="1"/>
        </w:sdtPr>
        <w:sdtEndPr/>
        <w:sdtContent>
          <w:tc>
            <w:tcPr>
              <w:tcW w:w="8383" w:type="dxa"/>
              <w:tcBorders>
                <w:left w:val="single" w:sz="4" w:space="0" w:color="auto"/>
              </w:tcBorders>
              <w:tcMar>
                <w:top w:w="0" w:type="dxa"/>
                <w:left w:w="142" w:type="dxa"/>
              </w:tcMar>
            </w:tcPr>
            <w:p w:rsidR="005012EC" w:rsidRPr="00CA690D" w:rsidRDefault="00BA66A6" w:rsidP="00A532F6">
              <w:pPr>
                <w:pStyle w:val="Information"/>
                <w:rPr>
                  <w:rFonts w:ascii="Gill Sans Display MT Pro BdCn" w:hAnsi="Gill Sans Display MT Pro BdCn"/>
                  <w:sz w:val="18"/>
                  <w:szCs w:val="18"/>
                </w:rPr>
              </w:pPr>
              <w:r>
                <w:rPr>
                  <w:rFonts w:ascii="Gill Sans Display MT Pro BdCn" w:hAnsi="Gill Sans Display MT Pro BdCn"/>
                  <w:sz w:val="18"/>
                  <w:szCs w:val="18"/>
                </w:rPr>
                <w:t>Rapporto di maggioranza n. 8258 R1 del 6 giugno 2023</w:t>
              </w:r>
            </w:p>
          </w:tc>
        </w:sdtContent>
      </w:sdt>
      <w:tc>
        <w:tcPr>
          <w:tcW w:w="1710" w:type="dxa"/>
          <w:tcBorders>
            <w:top w:val="single" w:sz="4" w:space="0" w:color="auto"/>
          </w:tcBorders>
        </w:tcPr>
        <w:p w:rsidR="005012EC" w:rsidRPr="00CA690D" w:rsidRDefault="00997D55" w:rsidP="00662409">
          <w:pPr>
            <w:pStyle w:val="InvisibleLine"/>
            <w:rPr>
              <w:lang w:val="it-CH"/>
            </w:rPr>
          </w:pPr>
        </w:p>
      </w:tc>
    </w:tr>
  </w:tbl>
  <w:p w:rsidR="00F657BF" w:rsidRPr="00980362" w:rsidRDefault="00EC58E5" w:rsidP="00980362">
    <w:pPr>
      <w:pStyle w:val="Intestazione"/>
    </w:pPr>
    <w:r>
      <w:rPr>
        <w:noProof/>
        <w:lang w:val="it-CH" w:eastAsia="it-CH"/>
      </w:rPr>
      <mc:AlternateContent>
        <mc:Choice Requires="wps">
          <w:drawing>
            <wp:anchor distT="0" distB="0" distL="114300" distR="114300" simplePos="0" relativeHeight="251665408" behindDoc="1" locked="1" layoutInCell="1" allowOverlap="1" wp14:anchorId="0546BBD1" wp14:editId="731DA234">
              <wp:simplePos x="0" y="0"/>
              <wp:positionH relativeFrom="page">
                <wp:posOffset>-590550</wp:posOffset>
              </wp:positionH>
              <wp:positionV relativeFrom="page">
                <wp:posOffset>-16171545</wp:posOffset>
              </wp:positionV>
              <wp:extent cx="8640000" cy="1800000"/>
              <wp:effectExtent l="1991360" t="0" r="2057400" b="0"/>
              <wp:wrapNone/>
              <wp:docPr id="5" name="###DraftMode###4"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sdt>
                          <w:sdtPr>
                            <w:rPr>
                              <w:lang w:val="it-CH"/>
                            </w:rPr>
                            <w:alias w:val="CustomElements.Texts.Draft"/>
                            <w:id w:val="1849289353"/>
                            <w:dataBinding w:xpath="//Text[@id='CustomElements.Texts.Draft']" w:storeItemID="{DE24F21B-E8AD-48B3-8C83-139460C5CDC8}"/>
                            <w:text w:multiLine="1"/>
                          </w:sdtPr>
                          <w:sdtEndPr/>
                          <w:sdtContent>
                            <w:p w:rsidR="008065E8" w:rsidRPr="00411371" w:rsidRDefault="00EC58E5" w:rsidP="008065E8">
                              <w:pPr>
                                <w:pStyle w:val="DraftText"/>
                                <w:rPr>
                                  <w:lang w:val="it-CH"/>
                                </w:rPr>
                              </w:pPr>
                              <w:r w:rsidRPr="00411371">
                                <w:rPr>
                                  <w:lang w:val="it-CH"/>
                                </w:rPr>
                                <w:t>Bozza</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46BBD1" id="_x0000_t202" coordsize="21600,21600" o:spt="202" path="m,l,21600r21600,l21600,xe">
              <v:stroke joinstyle="miter"/>
              <v:path gradientshapeok="t" o:connecttype="rect"/>
            </v:shapetype>
            <v:shape id="###DraftMode###4" o:spid="_x0000_s1026" type="#_x0000_t202" alt="off" style="position:absolute;left:0;text-align:left;margin-left:-46.5pt;margin-top:-1273.35pt;width:680.3pt;height:141.75pt;rotation:-60;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" filled="f" stroked="f" strokeweight=".5pt">
              <v:textbox inset="0,0,0,0">
                <w:txbxContent>
                  <w:sdt>
                    <w:sdtPr>
                      <w:rPr>
                        <w:lang w:val="it-CH"/>
                      </w:rPr>
                      <w:alias w:val="CustomElements.Texts.Draft"/>
                      <w:id w:val="1849289353"/>
                      <w:dataBinding w:xpath="//Text[@id='CustomElements.Texts.Draft']" w:storeItemID="{E0448AE5-53A9-4C59-9890-8BCBDAAF7044}"/>
                      <w:text w:multiLine="1"/>
                    </w:sdtPr>
                    <w:sdtEndPr/>
                    <w:sdtContent>
                      <w:p w:rsidR="008065E8" w:rsidRPr="00411371" w:rsidRDefault="00EC58E5" w:rsidP="008065E8">
                        <w:pPr>
                          <w:pStyle w:val="DraftText"/>
                          <w:rPr>
                            <w:lang w:val="it-CH"/>
                          </w:rPr>
                        </w:pPr>
                        <w:r w:rsidRPr="00411371">
                          <w:rPr>
                            <w:lang w:val="it-CH"/>
                          </w:rPr>
                          <w:t>Bozza</w:t>
                        </w:r>
                      </w:p>
                    </w:sdtContent>
                  </w:sdt>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21" w:type="pct"/>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0" w:type="dxa"/>
      </w:tblCellMar>
      <w:tblLook w:val="04A0" w:firstRow="1" w:lastRow="0" w:firstColumn="1" w:lastColumn="0" w:noHBand="0" w:noVBand="1"/>
    </w:tblPr>
    <w:tblGrid>
      <w:gridCol w:w="1353"/>
      <w:gridCol w:w="2245"/>
      <w:gridCol w:w="1328"/>
      <w:gridCol w:w="753"/>
      <w:gridCol w:w="422"/>
      <w:gridCol w:w="3993"/>
    </w:tblGrid>
    <w:tr w:rsidR="00912E34" w:rsidRPr="0004624C" w:rsidTr="0098208F">
      <w:trPr>
        <w:trHeight w:val="586"/>
      </w:trPr>
      <w:tc>
        <w:tcPr>
          <w:tcW w:w="2440" w:type="pct"/>
          <w:gridSpan w:val="3"/>
          <w:tcBorders>
            <w:top w:val="nil"/>
            <w:left w:val="nil"/>
            <w:bottom w:val="single" w:sz="4" w:space="0" w:color="auto"/>
          </w:tcBorders>
          <w:vAlign w:val="bottom"/>
        </w:tcPr>
        <w:p w:rsidR="00662409" w:rsidRPr="003108C0" w:rsidRDefault="00997D55" w:rsidP="00D07D6E">
          <w:pPr>
            <w:pStyle w:val="InvisibleLine"/>
            <w:ind w:left="150"/>
            <w:rPr>
              <w:sz w:val="16"/>
            </w:rPr>
          </w:pPr>
        </w:p>
      </w:tc>
      <w:tc>
        <w:tcPr>
          <w:tcW w:w="373" w:type="pct"/>
          <w:tcBorders>
            <w:top w:val="nil"/>
            <w:bottom w:val="single" w:sz="4" w:space="0" w:color="auto"/>
          </w:tcBorders>
          <w:vAlign w:val="bottom"/>
        </w:tcPr>
        <w:p w:rsidR="00662409" w:rsidRPr="003108C0" w:rsidRDefault="00997D55" w:rsidP="00D07D6E">
          <w:pPr>
            <w:pStyle w:val="Level"/>
            <w:ind w:left="150"/>
            <w:rPr>
              <w:sz w:val="16"/>
            </w:rPr>
          </w:pPr>
        </w:p>
      </w:tc>
      <w:tc>
        <w:tcPr>
          <w:tcW w:w="209" w:type="pct"/>
          <w:tcBorders>
            <w:top w:val="nil"/>
            <w:bottom w:val="single" w:sz="4" w:space="0" w:color="auto"/>
          </w:tcBorders>
        </w:tcPr>
        <w:p w:rsidR="00662409" w:rsidRDefault="00EC58E5" w:rsidP="00D07D6E">
          <w:pPr>
            <w:pStyle w:val="InvisibleLine"/>
            <w:ind w:left="150"/>
          </w:pPr>
          <w:r>
            <w:rPr>
              <w:noProof/>
              <w:lang w:val="it-CH" w:eastAsia="it-CH"/>
            </w:rPr>
            <w:drawing>
              <wp:anchor distT="0" distB="0" distL="114300" distR="114300" simplePos="0" relativeHeight="251667456" behindDoc="1" locked="1" layoutInCell="1" allowOverlap="1" wp14:anchorId="62E156CF" wp14:editId="226CACA6">
                <wp:simplePos x="0" y="0"/>
                <wp:positionH relativeFrom="column">
                  <wp:posOffset>-92710</wp:posOffset>
                </wp:positionH>
                <wp:positionV relativeFrom="page">
                  <wp:posOffset>-119380</wp:posOffset>
                </wp:positionV>
                <wp:extent cx="276653" cy="467995"/>
                <wp:effectExtent l="0" t="0" r="0" b="8255"/>
                <wp:wrapNone/>
                <wp:docPr id="6" name="ooImg_70707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6653" cy="467995"/>
                        </a:xfrm>
                        <a:prstGeom prst="rect">
                          <a:avLst/>
                        </a:prstGeom>
                      </pic:spPr>
                    </pic:pic>
                  </a:graphicData>
                </a:graphic>
                <wp14:sizeRelH relativeFrom="margin">
                  <wp14:pctWidth>0</wp14:pctWidth>
                </wp14:sizeRelH>
                <wp14:sizeRelV relativeFrom="margin">
                  <wp14:pctHeight>0</wp14:pctHeight>
                </wp14:sizeRelV>
              </wp:anchor>
            </w:drawing>
          </w:r>
        </w:p>
      </w:tc>
      <w:tc>
        <w:tcPr>
          <w:tcW w:w="1978" w:type="pct"/>
          <w:tcBorders>
            <w:top w:val="nil"/>
            <w:bottom w:val="single" w:sz="4" w:space="0" w:color="auto"/>
            <w:right w:val="nil"/>
          </w:tcBorders>
          <w:vAlign w:val="bottom"/>
        </w:tcPr>
        <w:p w:rsidR="00662409" w:rsidRPr="004204CB" w:rsidRDefault="00EC58E5" w:rsidP="00D07D6E">
          <w:pPr>
            <w:pStyle w:val="HeaderDecisione"/>
            <w:spacing w:after="60"/>
            <w:ind w:left="150"/>
            <w:jc w:val="right"/>
            <w:rPr>
              <w:rFonts w:asciiTheme="minorHAnsi" w:hAnsiTheme="minorHAnsi" w:cstheme="minorHAnsi"/>
              <w:sz w:val="24"/>
            </w:rPr>
          </w:pPr>
          <w:r w:rsidRPr="004204CB">
            <w:rPr>
              <w:rFonts w:asciiTheme="minorHAnsi" w:hAnsiTheme="minorHAnsi" w:cstheme="minorHAnsi"/>
              <w:sz w:val="24"/>
            </w:rPr>
            <w:fldChar w:fldCharType="begin"/>
          </w:r>
          <w:r w:rsidRPr="004204CB">
            <w:rPr>
              <w:rFonts w:asciiTheme="minorHAnsi" w:hAnsiTheme="minorHAnsi" w:cstheme="minorHAnsi"/>
              <w:sz w:val="24"/>
            </w:rPr>
            <w:instrText xml:space="preserve"> PAGE   \* MERGEFORMAT </w:instrText>
          </w:r>
          <w:r w:rsidRPr="004204CB">
            <w:rPr>
              <w:rFonts w:asciiTheme="minorHAnsi" w:hAnsiTheme="minorHAnsi" w:cstheme="minorHAnsi"/>
              <w:sz w:val="24"/>
            </w:rPr>
            <w:fldChar w:fldCharType="separate"/>
          </w:r>
          <w:r w:rsidR="00FE3ABD">
            <w:rPr>
              <w:rFonts w:asciiTheme="minorHAnsi" w:hAnsiTheme="minorHAnsi" w:cstheme="minorHAnsi"/>
              <w:noProof/>
              <w:sz w:val="24"/>
            </w:rPr>
            <w:t>1</w:t>
          </w:r>
          <w:r w:rsidRPr="004204CB">
            <w:rPr>
              <w:rFonts w:asciiTheme="minorHAnsi" w:hAnsiTheme="minorHAnsi" w:cstheme="minorHAnsi"/>
              <w:sz w:val="24"/>
            </w:rPr>
            <w:fldChar w:fldCharType="end"/>
          </w:r>
          <w:r w:rsidRPr="004204CB">
            <w:rPr>
              <w:rFonts w:asciiTheme="minorHAnsi" w:hAnsiTheme="minorHAnsi" w:cstheme="minorHAnsi"/>
              <w:sz w:val="24"/>
            </w:rPr>
            <w:t xml:space="preserve"> di </w:t>
          </w:r>
          <w:r w:rsidRPr="004204CB">
            <w:rPr>
              <w:rFonts w:asciiTheme="minorHAnsi" w:hAnsiTheme="minorHAnsi" w:cstheme="minorHAnsi"/>
              <w:sz w:val="24"/>
            </w:rPr>
            <w:fldChar w:fldCharType="begin"/>
          </w:r>
          <w:r w:rsidRPr="004204CB">
            <w:rPr>
              <w:rFonts w:asciiTheme="minorHAnsi" w:hAnsiTheme="minorHAnsi" w:cstheme="minorHAnsi"/>
              <w:sz w:val="24"/>
            </w:rPr>
            <w:instrText xml:space="preserve"> NUMPAGES   \* MERGEFORMAT </w:instrText>
          </w:r>
          <w:r w:rsidRPr="004204CB">
            <w:rPr>
              <w:rFonts w:asciiTheme="minorHAnsi" w:hAnsiTheme="minorHAnsi" w:cstheme="minorHAnsi"/>
              <w:sz w:val="24"/>
            </w:rPr>
            <w:fldChar w:fldCharType="separate"/>
          </w:r>
          <w:r w:rsidR="00FE3ABD">
            <w:rPr>
              <w:rFonts w:asciiTheme="minorHAnsi" w:hAnsiTheme="minorHAnsi" w:cstheme="minorHAnsi"/>
              <w:noProof/>
              <w:sz w:val="24"/>
            </w:rPr>
            <w:t>12</w:t>
          </w:r>
          <w:r w:rsidRPr="004204CB">
            <w:rPr>
              <w:rFonts w:asciiTheme="minorHAnsi" w:hAnsiTheme="minorHAnsi" w:cstheme="minorHAnsi"/>
              <w:noProof/>
              <w:sz w:val="24"/>
            </w:rPr>
            <w:fldChar w:fldCharType="end"/>
          </w:r>
        </w:p>
      </w:tc>
    </w:tr>
    <w:tr w:rsidR="00912E34" w:rsidRPr="0004624C" w:rsidTr="0098208F">
      <w:trPr>
        <w:trHeight w:val="1097"/>
      </w:trPr>
      <w:sdt>
        <w:sdtPr>
          <w:rPr>
            <w:rFonts w:ascii="Gill Sans Display MT Pro BdCn" w:hAnsi="Gill Sans Display MT Pro BdCn"/>
            <w:sz w:val="44"/>
            <w:szCs w:val="44"/>
          </w:rPr>
          <w:alias w:val="CustomElements.Fields.Titolo1"/>
          <w:id w:val="1596973270"/>
          <w:dataBinding w:xpath="//Text[@id='CustomElements.Fields.Titolo1']" w:storeItemID="{DE24F21B-E8AD-48B3-8C83-139460C5CDC8}"/>
          <w:text w:multiLine="1"/>
        </w:sdtPr>
        <w:sdtEndPr/>
        <w:sdtContent>
          <w:tc>
            <w:tcPr>
              <w:tcW w:w="5000" w:type="pct"/>
              <w:gridSpan w:val="6"/>
              <w:tcBorders>
                <w:left w:val="nil"/>
                <w:right w:val="nil"/>
              </w:tcBorders>
              <w:noWrap/>
              <w:tcMar>
                <w:top w:w="0" w:type="dxa"/>
              </w:tcMar>
              <w:vAlign w:val="bottom"/>
            </w:tcPr>
            <w:p w:rsidR="00662409" w:rsidRPr="008C03B5" w:rsidRDefault="00BA66A6" w:rsidP="00DB7CD8">
              <w:pPr>
                <w:pStyle w:val="HeaderDecisione"/>
                <w:tabs>
                  <w:tab w:val="left" w:pos="1459"/>
                </w:tabs>
                <w:spacing w:after="160" w:line="640" w:lineRule="exact"/>
                <w:rPr>
                  <w:rFonts w:ascii="Gill Sans Display MT Pro BdCn" w:hAnsi="Gill Sans Display MT Pro BdCn"/>
                  <w:sz w:val="44"/>
                  <w:szCs w:val="44"/>
                </w:rPr>
              </w:pPr>
              <w:r>
                <w:rPr>
                  <w:rFonts w:ascii="Gill Sans Display MT Pro BdCn" w:hAnsi="Gill Sans Display MT Pro BdCn"/>
                  <w:sz w:val="44"/>
                  <w:szCs w:val="44"/>
                </w:rPr>
                <w:t>Rapporto di maggioranza</w:t>
              </w:r>
            </w:p>
          </w:tc>
        </w:sdtContent>
      </w:sdt>
    </w:tr>
    <w:tr w:rsidR="008C03B5" w:rsidRPr="0004624C" w:rsidTr="00B76ABD">
      <w:trPr>
        <w:trHeight w:hRule="exact" w:val="306"/>
      </w:trPr>
      <w:tc>
        <w:tcPr>
          <w:tcW w:w="670" w:type="pct"/>
          <w:tcBorders>
            <w:left w:val="nil"/>
            <w:bottom w:val="nil"/>
          </w:tcBorders>
          <w:noWrap/>
          <w:tcMar>
            <w:top w:w="57" w:type="dxa"/>
            <w:left w:w="142" w:type="dxa"/>
          </w:tcMar>
        </w:tcPr>
        <w:p w:rsidR="008C03B5" w:rsidRPr="00C7320A" w:rsidRDefault="00EC58E5" w:rsidP="002B0F22">
          <w:pPr>
            <w:pStyle w:val="Level"/>
            <w:spacing w:before="60"/>
            <w:rPr>
              <w:rFonts w:ascii="Gill Alt One MT Light" w:hAnsi="Gill Alt One MT Light"/>
              <w:sz w:val="16"/>
            </w:rPr>
          </w:pPr>
          <w:r w:rsidRPr="00C7320A">
            <w:rPr>
              <w:rFonts w:ascii="Gill Alt One MT Light" w:hAnsi="Gill Alt One MT Light"/>
              <w:sz w:val="16"/>
            </w:rPr>
            <w:t>numero</w:t>
          </w:r>
        </w:p>
        <w:p w:rsidR="008C03B5" w:rsidRPr="00C7320A" w:rsidRDefault="00997D55" w:rsidP="002B0F22">
          <w:pPr>
            <w:pStyle w:val="InvisibleLine"/>
            <w:spacing w:before="60"/>
            <w:rPr>
              <w:rFonts w:ascii="Gill Alt One MT Light" w:hAnsi="Gill Alt One MT Light"/>
              <w:sz w:val="16"/>
            </w:rPr>
          </w:pPr>
        </w:p>
      </w:tc>
      <w:tc>
        <w:tcPr>
          <w:tcW w:w="1112" w:type="pct"/>
          <w:tcBorders>
            <w:bottom w:val="nil"/>
            <w:right w:val="single" w:sz="4" w:space="0" w:color="auto"/>
          </w:tcBorders>
          <w:noWrap/>
          <w:tcMar>
            <w:top w:w="57" w:type="dxa"/>
            <w:left w:w="142" w:type="dxa"/>
          </w:tcMar>
        </w:tcPr>
        <w:p w:rsidR="008C03B5" w:rsidRPr="00C7320A" w:rsidRDefault="00EC58E5" w:rsidP="002B0F22">
          <w:pPr>
            <w:pStyle w:val="Level"/>
            <w:spacing w:before="60"/>
            <w:rPr>
              <w:rFonts w:ascii="Gill Alt One MT Light" w:hAnsi="Gill Alt One MT Light"/>
              <w:sz w:val="16"/>
            </w:rPr>
          </w:pPr>
          <w:r w:rsidRPr="00C7320A">
            <w:rPr>
              <w:rFonts w:ascii="Gill Alt One MT Light" w:hAnsi="Gill Alt One MT Light"/>
              <w:sz w:val="16"/>
            </w:rPr>
            <w:t>data</w:t>
          </w:r>
        </w:p>
        <w:p w:rsidR="008C03B5" w:rsidRPr="00C7320A" w:rsidRDefault="00997D55" w:rsidP="002B0F22">
          <w:pPr>
            <w:pStyle w:val="InvisibleLine"/>
            <w:spacing w:before="60"/>
            <w:rPr>
              <w:rFonts w:ascii="Gill Alt One MT Light" w:hAnsi="Gill Alt One MT Light"/>
              <w:sz w:val="16"/>
            </w:rPr>
          </w:pPr>
        </w:p>
      </w:tc>
      <w:tc>
        <w:tcPr>
          <w:tcW w:w="3218" w:type="pct"/>
          <w:gridSpan w:val="4"/>
          <w:tcBorders>
            <w:left w:val="single" w:sz="4" w:space="0" w:color="auto"/>
            <w:bottom w:val="nil"/>
            <w:right w:val="nil"/>
          </w:tcBorders>
          <w:noWrap/>
          <w:tcMar>
            <w:top w:w="0" w:type="dxa"/>
            <w:left w:w="142" w:type="dxa"/>
          </w:tcMar>
        </w:tcPr>
        <w:p w:rsidR="008C03B5" w:rsidRPr="00C7320A" w:rsidRDefault="00EC58E5" w:rsidP="002B0F22">
          <w:pPr>
            <w:pStyle w:val="Level"/>
            <w:spacing w:before="60"/>
            <w:rPr>
              <w:rFonts w:ascii="Gill Alt One MT Light" w:hAnsi="Gill Alt One MT Light"/>
              <w:sz w:val="16"/>
            </w:rPr>
          </w:pPr>
          <w:r>
            <w:rPr>
              <w:rFonts w:ascii="Gill Alt One MT Light" w:hAnsi="Gill Alt One MT Light"/>
              <w:sz w:val="16"/>
            </w:rPr>
            <w:t>competenza</w:t>
          </w:r>
        </w:p>
        <w:p w:rsidR="008C03B5" w:rsidRPr="008C03B5" w:rsidRDefault="00997D55" w:rsidP="002B0F22">
          <w:pPr>
            <w:pStyle w:val="Level"/>
            <w:spacing w:before="60" w:line="240" w:lineRule="auto"/>
            <w:rPr>
              <w:rFonts w:ascii="Gill Alt One MT Light" w:hAnsi="Gill Alt One MT Light"/>
              <w:sz w:val="16"/>
            </w:rPr>
          </w:pPr>
        </w:p>
      </w:tc>
    </w:tr>
    <w:tr w:rsidR="008C03B5" w:rsidRPr="0004624C" w:rsidTr="008C03B5">
      <w:trPr>
        <w:trHeight w:hRule="exact" w:val="699"/>
      </w:trPr>
      <w:tc>
        <w:tcPr>
          <w:tcW w:w="670" w:type="pct"/>
          <w:tcBorders>
            <w:top w:val="nil"/>
            <w:left w:val="nil"/>
            <w:bottom w:val="single" w:sz="4" w:space="0" w:color="auto"/>
            <w:right w:val="nil"/>
          </w:tcBorders>
          <w:noWrap/>
          <w:tcMar>
            <w:top w:w="0" w:type="dxa"/>
          </w:tcMar>
        </w:tcPr>
        <w:p w:rsidR="008C03B5" w:rsidRPr="00BE22A2" w:rsidRDefault="00997D55" w:rsidP="00A532F6">
          <w:pPr>
            <w:pStyle w:val="InvisibleLine"/>
            <w:spacing w:line="280" w:lineRule="exact"/>
            <w:rPr>
              <w:rFonts w:cstheme="minorHAnsi"/>
              <w:b/>
              <w:sz w:val="28"/>
              <w:szCs w:val="28"/>
            </w:rPr>
          </w:pPr>
          <w:sdt>
            <w:sdtPr>
              <w:rPr>
                <w:rFonts w:cstheme="minorHAnsi"/>
                <w:b/>
                <w:sz w:val="24"/>
                <w:szCs w:val="24"/>
              </w:rPr>
              <w:alias w:val="DocParam.Number"/>
              <w:id w:val="614175640"/>
              <w:dataBinding w:xpath="//Text[@id='DocParam.Number']" w:storeItemID="{DE24F21B-E8AD-48B3-8C83-139460C5CDC8}"/>
              <w:text w:multiLine="1"/>
            </w:sdtPr>
            <w:sdtEndPr/>
            <w:sdtContent>
              <w:r w:rsidR="00BA66A6">
                <w:rPr>
                  <w:rFonts w:cstheme="minorHAnsi"/>
                  <w:b/>
                  <w:sz w:val="24"/>
                  <w:szCs w:val="24"/>
                </w:rPr>
                <w:t>8258 R1</w:t>
              </w:r>
            </w:sdtContent>
          </w:sdt>
        </w:p>
      </w:tc>
      <w:sdt>
        <w:sdtPr>
          <w:rPr>
            <w:sz w:val="24"/>
          </w:rPr>
          <w:alias w:val="DocParam.Date"/>
          <w:id w:val="-464426178"/>
          <w:dataBinding w:xpath="//DateTime[@id='DocParam.Date']" w:storeItemID="{DE24F21B-E8AD-48B3-8C83-139460C5CDC8}"/>
          <w:date w:fullDate="2023-06-06T02:00:00Z">
            <w:dateFormat w:val="d MMMM yyyy"/>
            <w:lid w:val="it-CH"/>
            <w:storeMappedDataAs w:val="dateTime"/>
            <w:calendar w:val="gregorian"/>
          </w:date>
        </w:sdtPr>
        <w:sdtEndPr>
          <w:rPr>
            <w:sz w:val="22"/>
          </w:rPr>
        </w:sdtEndPr>
        <w:sdtContent>
          <w:tc>
            <w:tcPr>
              <w:tcW w:w="1112" w:type="pct"/>
              <w:tcBorders>
                <w:top w:val="nil"/>
                <w:left w:val="nil"/>
                <w:bottom w:val="single" w:sz="4" w:space="0" w:color="auto"/>
                <w:right w:val="nil"/>
              </w:tcBorders>
              <w:noWrap/>
              <w:tcMar>
                <w:top w:w="0" w:type="dxa"/>
              </w:tcMar>
            </w:tcPr>
            <w:p w:rsidR="008C03B5" w:rsidRPr="002A0371" w:rsidRDefault="00BA66A6" w:rsidP="00A532F6">
              <w:pPr>
                <w:pStyle w:val="Data"/>
              </w:pPr>
              <w:r>
                <w:rPr>
                  <w:sz w:val="24"/>
                </w:rPr>
                <w:t>6 giugno 2023</w:t>
              </w:r>
            </w:p>
          </w:tc>
        </w:sdtContent>
      </w:sdt>
      <w:tc>
        <w:tcPr>
          <w:tcW w:w="3218" w:type="pct"/>
          <w:gridSpan w:val="4"/>
          <w:tcBorders>
            <w:top w:val="nil"/>
            <w:left w:val="nil"/>
            <w:bottom w:val="nil"/>
            <w:right w:val="nil"/>
          </w:tcBorders>
        </w:tcPr>
        <w:p w:rsidR="008C03B5" w:rsidRPr="00BE22A2" w:rsidRDefault="00997D55" w:rsidP="00A532F6">
          <w:pPr>
            <w:pStyle w:val="Data"/>
            <w:rPr>
              <w:rFonts w:asciiTheme="minorHAnsi" w:hAnsiTheme="minorHAnsi" w:cstheme="minorHAnsi"/>
              <w:sz w:val="23"/>
              <w:szCs w:val="23"/>
            </w:rPr>
          </w:pPr>
          <w:sdt>
            <w:sdtPr>
              <w:rPr>
                <w:smallCaps/>
                <w:sz w:val="23"/>
                <w:szCs w:val="23"/>
              </w:rPr>
              <w:alias w:val="CustomElements.Fields.Dipartimenti"/>
              <w:id w:val="-1138097914"/>
              <w:dataBinding w:xpath="//Text[@id='CustomElements.Fields.Dipartimenti']" w:storeItemID="{DE24F21B-E8AD-48B3-8C83-139460C5CDC8}"/>
              <w:text w:multiLine="1"/>
            </w:sdtPr>
            <w:sdtEndPr/>
            <w:sdtContent>
              <w:r w:rsidR="00BA66A6">
                <w:rPr>
                  <w:smallCaps/>
                  <w:sz w:val="23"/>
                  <w:szCs w:val="23"/>
                </w:rPr>
                <w:t>Dipartimento delle finanze e dell’economia</w:t>
              </w:r>
            </w:sdtContent>
          </w:sdt>
        </w:p>
      </w:tc>
    </w:tr>
    <w:tr w:rsidR="00912E34" w:rsidRPr="00C63927" w:rsidTr="0098208F">
      <w:trPr>
        <w:trHeight w:hRule="exact" w:val="198"/>
      </w:trPr>
      <w:tc>
        <w:tcPr>
          <w:tcW w:w="5000" w:type="pct"/>
          <w:gridSpan w:val="6"/>
          <w:tcBorders>
            <w:left w:val="nil"/>
            <w:bottom w:val="nil"/>
            <w:right w:val="nil"/>
          </w:tcBorders>
          <w:noWrap/>
          <w:tcMar>
            <w:top w:w="57" w:type="dxa"/>
            <w:left w:w="85" w:type="dxa"/>
            <w:bottom w:w="170" w:type="dxa"/>
          </w:tcMar>
        </w:tcPr>
        <w:p w:rsidR="00662409" w:rsidRPr="00C7320A" w:rsidRDefault="00997D55" w:rsidP="00D07D6E">
          <w:pPr>
            <w:pStyle w:val="Level"/>
            <w:ind w:left="150"/>
            <w:rPr>
              <w:rFonts w:ascii="Gill Alt One MT Light" w:hAnsi="Gill Alt One MT Light"/>
              <w:sz w:val="16"/>
              <w:szCs w:val="16"/>
            </w:rPr>
          </w:pPr>
        </w:p>
      </w:tc>
    </w:tr>
  </w:tbl>
  <w:p w:rsidR="00F657BF" w:rsidRPr="00DA2879" w:rsidRDefault="00EC58E5" w:rsidP="00C7320A">
    <w:pPr>
      <w:pStyle w:val="Nessunaspaziatura"/>
      <w:spacing w:line="40" w:lineRule="exact"/>
    </w:pPr>
    <w:r>
      <w:rPr>
        <w:noProof/>
        <w:lang w:val="it-CH" w:eastAsia="it-CH"/>
      </w:rPr>
      <w:drawing>
        <wp:anchor distT="0" distB="0" distL="114300" distR="114300" simplePos="0" relativeHeight="251659264" behindDoc="1" locked="1" layoutInCell="1" allowOverlap="1" wp14:anchorId="2AE9A79C" wp14:editId="2D72E6B9">
          <wp:simplePos x="0" y="0"/>
          <wp:positionH relativeFrom="column">
            <wp:posOffset>3042920</wp:posOffset>
          </wp:positionH>
          <wp:positionV relativeFrom="page">
            <wp:posOffset>215265</wp:posOffset>
          </wp:positionV>
          <wp:extent cx="459464" cy="467995"/>
          <wp:effectExtent l="0" t="0" r="0" b="8255"/>
          <wp:wrapNone/>
          <wp:docPr id="7" name="ooImg_1837403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biLevel thresh="75000"/>
                    <a:extLst>
                      <a:ext uri="{28A0092B-C50C-407E-A947-70E740481C1C}">
                        <a14:useLocalDpi xmlns:a14="http://schemas.microsoft.com/office/drawing/2010/main" val="0"/>
                      </a:ext>
                    </a:extLst>
                  </a:blip>
                  <a:stretch>
                    <a:fillRect/>
                  </a:stretch>
                </pic:blipFill>
                <pic:spPr>
                  <a:xfrm>
                    <a:off x="0" y="0"/>
                    <a:ext cx="459464" cy="467995"/>
                  </a:xfrm>
                  <a:prstGeom prst="rect">
                    <a:avLst/>
                  </a:prstGeom>
                </pic:spPr>
              </pic:pic>
            </a:graphicData>
          </a:graphic>
          <wp14:sizeRelH relativeFrom="margin">
            <wp14:pctWidth>0</wp14:pctWidth>
          </wp14:sizeRelH>
          <wp14:sizeRelV relativeFrom="margin">
            <wp14:pctHeight>0</wp14:pctHeight>
          </wp14:sizeRelV>
        </wp:anchor>
      </w:drawing>
    </w:r>
    <w:r>
      <w:rPr>
        <w:noProof/>
        <w:lang w:val="it-CH" w:eastAsia="it-CH"/>
      </w:rPr>
      <mc:AlternateContent>
        <mc:Choice Requires="wps">
          <w:drawing>
            <wp:anchor distT="0" distB="0" distL="114300" distR="114300" simplePos="0" relativeHeight="251655168" behindDoc="1" locked="1" layoutInCell="1" allowOverlap="1" wp14:anchorId="21F82C06" wp14:editId="0F364815">
              <wp:simplePos x="0" y="0"/>
              <wp:positionH relativeFrom="page">
                <wp:align>center</wp:align>
              </wp:positionH>
              <wp:positionV relativeFrom="page">
                <wp:posOffset>-16175990</wp:posOffset>
              </wp:positionV>
              <wp:extent cx="8640000" cy="1800000"/>
              <wp:effectExtent l="1991360" t="0" r="2057400" b="0"/>
              <wp:wrapNone/>
              <wp:docPr id="8" name="###DraftMode###4"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sdt>
                          <w:sdtPr>
                            <w:rPr>
                              <w:lang w:val="it-CH"/>
                            </w:rPr>
                            <w:alias w:val="CustomElements.Texts.Draft"/>
                            <w:id w:val="1582408335"/>
                            <w:dataBinding w:xpath="//Text[@id='CustomElements.Texts.Draft']" w:storeItemID="{DE24F21B-E8AD-48B3-8C83-139460C5CDC8}"/>
                            <w:text w:multiLine="1"/>
                          </w:sdtPr>
                          <w:sdtEndPr/>
                          <w:sdtContent>
                            <w:p w:rsidR="00E93620" w:rsidRPr="00411371" w:rsidRDefault="00EC58E5" w:rsidP="00621AA2">
                              <w:pPr>
                                <w:pStyle w:val="DraftText"/>
                                <w:rPr>
                                  <w:lang w:val="it-CH"/>
                                </w:rPr>
                              </w:pPr>
                              <w:r w:rsidRPr="00411371">
                                <w:rPr>
                                  <w:lang w:val="it-CH"/>
                                </w:rPr>
                                <w:t>Bozza</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F82C06" id="_x0000_t202" coordsize="21600,21600" o:spt="202" path="m,l,21600r21600,l21600,xe">
              <v:stroke joinstyle="miter"/>
              <v:path gradientshapeok="t" o:connecttype="rect"/>
            </v:shapetype>
            <v:shape id="_x0000_s1027" type="#_x0000_t202" alt="off" style="position:absolute;left:0;text-align:left;margin-left:0;margin-top:-1273.7pt;width:680.3pt;height:141.75pt;rotation:-60;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" filled="f" stroked="f" strokeweight=".5pt">
              <v:textbox inset="0,0,0,0">
                <w:txbxContent>
                  <w:sdt>
                    <w:sdtPr>
                      <w:rPr>
                        <w:lang w:val="it-CH"/>
                      </w:rPr>
                      <w:alias w:val="CustomElements.Texts.Draft"/>
                      <w:id w:val="1582408335"/>
                      <w:dataBinding w:xpath="//Text[@id='CustomElements.Texts.Draft']" w:storeItemID="{E0448AE5-53A9-4C59-9890-8BCBDAAF7044}"/>
                      <w:text w:multiLine="1"/>
                    </w:sdtPr>
                    <w:sdtEndPr/>
                    <w:sdtContent>
                      <w:p w:rsidR="00E93620" w:rsidRPr="00411371" w:rsidRDefault="00EC58E5" w:rsidP="00621AA2">
                        <w:pPr>
                          <w:pStyle w:val="DraftText"/>
                          <w:rPr>
                            <w:lang w:val="it-CH"/>
                          </w:rPr>
                        </w:pPr>
                        <w:r w:rsidRPr="00411371">
                          <w:rPr>
                            <w:lang w:val="it-CH"/>
                          </w:rPr>
                          <w:t>Bozza</w:t>
                        </w:r>
                      </w:p>
                    </w:sdtContent>
                  </w:sdt>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3C235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FA2F5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A6E36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0B8A5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E01A8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09A759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6898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D5C919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64C1E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B81CD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B12AE9"/>
    <w:multiLevelType w:val="hybridMultilevel"/>
    <w:tmpl w:val="C1D80DCA"/>
    <w:lvl w:ilvl="0" w:tplc="08100001">
      <w:start w:val="1"/>
      <w:numFmt w:val="bullet"/>
      <w:lvlText w:val=""/>
      <w:lvlJc w:val="left"/>
      <w:pPr>
        <w:ind w:left="9793" w:hanging="360"/>
      </w:pPr>
      <w:rPr>
        <w:rFonts w:ascii="Symbol" w:hAnsi="Symbol" w:hint="default"/>
      </w:rPr>
    </w:lvl>
    <w:lvl w:ilvl="1" w:tplc="08100003" w:tentative="1">
      <w:start w:val="1"/>
      <w:numFmt w:val="bullet"/>
      <w:lvlText w:val="o"/>
      <w:lvlJc w:val="left"/>
      <w:pPr>
        <w:ind w:left="10513" w:hanging="360"/>
      </w:pPr>
      <w:rPr>
        <w:rFonts w:ascii="Courier New" w:hAnsi="Courier New" w:cs="Courier New" w:hint="default"/>
      </w:rPr>
    </w:lvl>
    <w:lvl w:ilvl="2" w:tplc="08100005" w:tentative="1">
      <w:start w:val="1"/>
      <w:numFmt w:val="bullet"/>
      <w:lvlText w:val=""/>
      <w:lvlJc w:val="left"/>
      <w:pPr>
        <w:ind w:left="11233" w:hanging="360"/>
      </w:pPr>
      <w:rPr>
        <w:rFonts w:ascii="Wingdings" w:hAnsi="Wingdings" w:hint="default"/>
      </w:rPr>
    </w:lvl>
    <w:lvl w:ilvl="3" w:tplc="08100001" w:tentative="1">
      <w:start w:val="1"/>
      <w:numFmt w:val="bullet"/>
      <w:lvlText w:val=""/>
      <w:lvlJc w:val="left"/>
      <w:pPr>
        <w:ind w:left="11953" w:hanging="360"/>
      </w:pPr>
      <w:rPr>
        <w:rFonts w:ascii="Symbol" w:hAnsi="Symbol" w:hint="default"/>
      </w:rPr>
    </w:lvl>
    <w:lvl w:ilvl="4" w:tplc="08100003" w:tentative="1">
      <w:start w:val="1"/>
      <w:numFmt w:val="bullet"/>
      <w:lvlText w:val="o"/>
      <w:lvlJc w:val="left"/>
      <w:pPr>
        <w:ind w:left="12673" w:hanging="360"/>
      </w:pPr>
      <w:rPr>
        <w:rFonts w:ascii="Courier New" w:hAnsi="Courier New" w:cs="Courier New" w:hint="default"/>
      </w:rPr>
    </w:lvl>
    <w:lvl w:ilvl="5" w:tplc="08100005" w:tentative="1">
      <w:start w:val="1"/>
      <w:numFmt w:val="bullet"/>
      <w:lvlText w:val=""/>
      <w:lvlJc w:val="left"/>
      <w:pPr>
        <w:ind w:left="13393" w:hanging="360"/>
      </w:pPr>
      <w:rPr>
        <w:rFonts w:ascii="Wingdings" w:hAnsi="Wingdings" w:hint="default"/>
      </w:rPr>
    </w:lvl>
    <w:lvl w:ilvl="6" w:tplc="08100001" w:tentative="1">
      <w:start w:val="1"/>
      <w:numFmt w:val="bullet"/>
      <w:lvlText w:val=""/>
      <w:lvlJc w:val="left"/>
      <w:pPr>
        <w:ind w:left="14113" w:hanging="360"/>
      </w:pPr>
      <w:rPr>
        <w:rFonts w:ascii="Symbol" w:hAnsi="Symbol" w:hint="default"/>
      </w:rPr>
    </w:lvl>
    <w:lvl w:ilvl="7" w:tplc="08100003" w:tentative="1">
      <w:start w:val="1"/>
      <w:numFmt w:val="bullet"/>
      <w:lvlText w:val="o"/>
      <w:lvlJc w:val="left"/>
      <w:pPr>
        <w:ind w:left="14833" w:hanging="360"/>
      </w:pPr>
      <w:rPr>
        <w:rFonts w:ascii="Courier New" w:hAnsi="Courier New" w:cs="Courier New" w:hint="default"/>
      </w:rPr>
    </w:lvl>
    <w:lvl w:ilvl="8" w:tplc="08100005" w:tentative="1">
      <w:start w:val="1"/>
      <w:numFmt w:val="bullet"/>
      <w:lvlText w:val=""/>
      <w:lvlJc w:val="left"/>
      <w:pPr>
        <w:ind w:left="15553" w:hanging="360"/>
      </w:pPr>
      <w:rPr>
        <w:rFonts w:ascii="Wingdings" w:hAnsi="Wingdings" w:hint="default"/>
      </w:rPr>
    </w:lvl>
  </w:abstractNum>
  <w:abstractNum w:abstractNumId="11" w15:restartNumberingAfterBreak="0">
    <w:nsid w:val="0D355C0C"/>
    <w:multiLevelType w:val="multilevel"/>
    <w:tmpl w:val="62E8D550"/>
    <w:lvl w:ilvl="0">
      <w:start w:val="1"/>
      <w:numFmt w:val="decimal"/>
      <w:lvlText w:val="%1."/>
      <w:lvlJc w:val="left"/>
      <w:pPr>
        <w:ind w:left="502"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2" w15:restartNumberingAfterBreak="0">
    <w:nsid w:val="10117EF6"/>
    <w:multiLevelType w:val="multilevel"/>
    <w:tmpl w:val="8C5894EA"/>
    <w:lvl w:ilvl="0">
      <w:start w:val="1"/>
      <w:numFmt w:val="lowerLetter"/>
      <w:pStyle w:val="ListAlphabetic12"/>
      <w:lvlText w:val="%1)"/>
      <w:lvlJc w:val="left"/>
      <w:pPr>
        <w:ind w:left="284" w:hanging="284"/>
      </w:pPr>
      <w:rPr>
        <w:rFonts w:asciiTheme="minorHAnsi" w:hAnsiTheme="minorHAnsi" w:hint="default"/>
      </w:rPr>
    </w:lvl>
    <w:lvl w:ilvl="1">
      <w:start w:val="1"/>
      <w:numFmt w:val="lowerLetter"/>
      <w:lvlText w:val="%2)"/>
      <w:lvlJc w:val="left"/>
      <w:pPr>
        <w:ind w:left="567" w:hanging="283"/>
      </w:pPr>
      <w:rPr>
        <w:rFonts w:hint="default"/>
      </w:rPr>
    </w:lvl>
    <w:lvl w:ilvl="2">
      <w:start w:val="1"/>
      <w:numFmt w:val="lowerLetter"/>
      <w:lvlText w:val="%3)"/>
      <w:lvlJc w:val="left"/>
      <w:pPr>
        <w:ind w:left="851" w:hanging="284"/>
      </w:pPr>
      <w:rPr>
        <w:rFonts w:hint="default"/>
      </w:rPr>
    </w:lvl>
    <w:lvl w:ilvl="3">
      <w:start w:val="1"/>
      <w:numFmt w:val="lowerLetter"/>
      <w:lvlText w:val="%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3" w15:restartNumberingAfterBreak="0">
    <w:nsid w:val="1E3E54B7"/>
    <w:multiLevelType w:val="multilevel"/>
    <w:tmpl w:val="953CA1B2"/>
    <w:styleLink w:val="HeadingList"/>
    <w:lvl w:ilvl="0">
      <w:start w:val="1"/>
      <w:numFmt w:val="decimal"/>
      <w:lvlText w:val="%1"/>
      <w:lvlJc w:val="left"/>
      <w:pPr>
        <w:ind w:left="363" w:hanging="363"/>
      </w:pPr>
      <w:rPr>
        <w:rFonts w:asciiTheme="majorHAnsi" w:hAnsiTheme="majorHAnsi" w:hint="default"/>
      </w:rPr>
    </w:lvl>
    <w:lvl w:ilvl="1">
      <w:start w:val="1"/>
      <w:numFmt w:val="decimal"/>
      <w:lvlText w:val="%1.%2"/>
      <w:lvlJc w:val="left"/>
      <w:pPr>
        <w:ind w:left="544" w:hanging="544"/>
      </w:pPr>
      <w:rPr>
        <w:rFonts w:hint="default"/>
      </w:rPr>
    </w:lvl>
    <w:lvl w:ilvl="2">
      <w:start w:val="1"/>
      <w:numFmt w:val="decimal"/>
      <w:lvlText w:val="%1.%2.%3"/>
      <w:lvlJc w:val="left"/>
      <w:pPr>
        <w:ind w:left="726" w:hanging="726"/>
      </w:pPr>
      <w:rPr>
        <w:rFonts w:hint="default"/>
      </w:rPr>
    </w:lvl>
    <w:lvl w:ilvl="3">
      <w:start w:val="1"/>
      <w:numFmt w:val="decimal"/>
      <w:lvlText w:val="%1.%2.%3.%4"/>
      <w:lvlJc w:val="left"/>
      <w:pPr>
        <w:ind w:left="907" w:hanging="907"/>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4" w15:restartNumberingAfterBreak="0">
    <w:nsid w:val="20173F22"/>
    <w:multiLevelType w:val="multilevel"/>
    <w:tmpl w:val="87C657A2"/>
    <w:styleLink w:val="ListLineList"/>
    <w:lvl w:ilvl="0">
      <w:numFmt w:val="bullet"/>
      <w:pStyle w:val="ListLine"/>
      <w:lvlText w:val="-"/>
      <w:lvlJc w:val="left"/>
      <w:pPr>
        <w:ind w:left="284" w:hanging="284"/>
      </w:pPr>
      <w:rPr>
        <w:rFonts w:ascii="Arial" w:hAnsi="Arial" w:hint="default"/>
      </w:rPr>
    </w:lvl>
    <w:lvl w:ilvl="1">
      <w:numFmt w:val="bullet"/>
      <w:lvlText w:val="-"/>
      <w:lvlJc w:val="left"/>
      <w:pPr>
        <w:ind w:left="567" w:hanging="283"/>
      </w:pPr>
      <w:rPr>
        <w:rFonts w:ascii="Arial" w:hAnsi="Arial" w:hint="default"/>
      </w:rPr>
    </w:lvl>
    <w:lvl w:ilvl="2">
      <w:numFmt w:val="bullet"/>
      <w:lvlText w:val="-"/>
      <w:lvlJc w:val="left"/>
      <w:pPr>
        <w:ind w:left="851" w:hanging="284"/>
      </w:pPr>
      <w:rPr>
        <w:rFonts w:ascii="Arial" w:hAnsi="Arial" w:hint="default"/>
      </w:rPr>
    </w:lvl>
    <w:lvl w:ilvl="3">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5" w15:restartNumberingAfterBreak="0">
    <w:nsid w:val="2AB47336"/>
    <w:multiLevelType w:val="multilevel"/>
    <w:tmpl w:val="C2606BDC"/>
    <w:styleLink w:val="ListNumericList"/>
    <w:lvl w:ilvl="0">
      <w:start w:val="1"/>
      <w:numFmt w:val="decimal"/>
      <w:pStyle w:val="ListNumeric"/>
      <w:lvlText w:val="%1."/>
      <w:lvlJc w:val="left"/>
      <w:pPr>
        <w:ind w:left="284" w:hanging="284"/>
      </w:pPr>
      <w:rPr>
        <w:rFonts w:asciiTheme="minorHAnsi" w:hAnsiTheme="minorHAnsi" w:hint="default"/>
      </w:rPr>
    </w:lvl>
    <w:lvl w:ilvl="1">
      <w:start w:val="1"/>
      <w:numFmt w:val="decimal"/>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lvlText w:val="%1.%2.%3.%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6" w15:restartNumberingAfterBreak="0">
    <w:nsid w:val="2FD66C7F"/>
    <w:multiLevelType w:val="hybridMultilevel"/>
    <w:tmpl w:val="10920B76"/>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7" w15:restartNumberingAfterBreak="0">
    <w:nsid w:val="3618656C"/>
    <w:multiLevelType w:val="multilevel"/>
    <w:tmpl w:val="3B7683D0"/>
    <w:styleLink w:val="ListBulletList"/>
    <w:lvl w:ilvl="0">
      <w:start w:val="1"/>
      <w:numFmt w:val="bullet"/>
      <w:pStyle w:val="ListBullet"/>
      <w:lvlText w:val="●"/>
      <w:lvlJc w:val="left"/>
      <w:pPr>
        <w:ind w:left="284" w:hanging="284"/>
      </w:pPr>
      <w:rPr>
        <w:rFonts w:ascii="Times New Roman" w:hAnsi="Times New Roman" w:cs="Times New Roman"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8" w15:restartNumberingAfterBreak="0">
    <w:nsid w:val="496B532B"/>
    <w:multiLevelType w:val="multilevel"/>
    <w:tmpl w:val="8C5894EA"/>
    <w:styleLink w:val="ListAlphabeticList"/>
    <w:lvl w:ilvl="0">
      <w:start w:val="1"/>
      <w:numFmt w:val="lowerLetter"/>
      <w:pStyle w:val="ListAlphabetic"/>
      <w:lvlText w:val="%1)"/>
      <w:lvlJc w:val="left"/>
      <w:pPr>
        <w:ind w:left="284" w:hanging="284"/>
      </w:pPr>
      <w:rPr>
        <w:rFonts w:asciiTheme="minorHAnsi" w:hAnsiTheme="minorHAnsi" w:hint="default"/>
      </w:rPr>
    </w:lvl>
    <w:lvl w:ilvl="1">
      <w:start w:val="1"/>
      <w:numFmt w:val="lowerLetter"/>
      <w:lvlText w:val="%2)"/>
      <w:lvlJc w:val="left"/>
      <w:pPr>
        <w:ind w:left="567" w:hanging="283"/>
      </w:pPr>
      <w:rPr>
        <w:rFonts w:hint="default"/>
      </w:rPr>
    </w:lvl>
    <w:lvl w:ilvl="2">
      <w:start w:val="1"/>
      <w:numFmt w:val="lowerLetter"/>
      <w:lvlText w:val="%3)"/>
      <w:lvlJc w:val="left"/>
      <w:pPr>
        <w:ind w:left="851" w:hanging="284"/>
      </w:pPr>
      <w:rPr>
        <w:rFonts w:hint="default"/>
      </w:rPr>
    </w:lvl>
    <w:lvl w:ilvl="3">
      <w:start w:val="1"/>
      <w:numFmt w:val="lowerLetter"/>
      <w:lvlText w:val="%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9" w15:restartNumberingAfterBreak="0">
    <w:nsid w:val="49D524CC"/>
    <w:multiLevelType w:val="multilevel"/>
    <w:tmpl w:val="953CA1B2"/>
    <w:numStyleLink w:val="HeadingList"/>
  </w:abstractNum>
  <w:abstractNum w:abstractNumId="20" w15:restartNumberingAfterBreak="0">
    <w:nsid w:val="672B303A"/>
    <w:multiLevelType w:val="hybridMultilevel"/>
    <w:tmpl w:val="B15EF2E6"/>
    <w:lvl w:ilvl="0" w:tplc="08100001">
      <w:start w:val="1"/>
      <w:numFmt w:val="bullet"/>
      <w:lvlText w:val=""/>
      <w:lvlJc w:val="left"/>
      <w:pPr>
        <w:ind w:left="792" w:hanging="360"/>
      </w:pPr>
      <w:rPr>
        <w:rFonts w:ascii="Symbol" w:hAnsi="Symbol" w:hint="default"/>
      </w:rPr>
    </w:lvl>
    <w:lvl w:ilvl="1" w:tplc="08100003" w:tentative="1">
      <w:start w:val="1"/>
      <w:numFmt w:val="bullet"/>
      <w:lvlText w:val="o"/>
      <w:lvlJc w:val="left"/>
      <w:pPr>
        <w:ind w:left="1512" w:hanging="360"/>
      </w:pPr>
      <w:rPr>
        <w:rFonts w:ascii="Courier New" w:hAnsi="Courier New" w:cs="Courier New" w:hint="default"/>
      </w:rPr>
    </w:lvl>
    <w:lvl w:ilvl="2" w:tplc="08100005" w:tentative="1">
      <w:start w:val="1"/>
      <w:numFmt w:val="bullet"/>
      <w:lvlText w:val=""/>
      <w:lvlJc w:val="left"/>
      <w:pPr>
        <w:ind w:left="2232" w:hanging="360"/>
      </w:pPr>
      <w:rPr>
        <w:rFonts w:ascii="Wingdings" w:hAnsi="Wingdings" w:hint="default"/>
      </w:rPr>
    </w:lvl>
    <w:lvl w:ilvl="3" w:tplc="08100001" w:tentative="1">
      <w:start w:val="1"/>
      <w:numFmt w:val="bullet"/>
      <w:lvlText w:val=""/>
      <w:lvlJc w:val="left"/>
      <w:pPr>
        <w:ind w:left="2952" w:hanging="360"/>
      </w:pPr>
      <w:rPr>
        <w:rFonts w:ascii="Symbol" w:hAnsi="Symbol" w:hint="default"/>
      </w:rPr>
    </w:lvl>
    <w:lvl w:ilvl="4" w:tplc="08100003" w:tentative="1">
      <w:start w:val="1"/>
      <w:numFmt w:val="bullet"/>
      <w:lvlText w:val="o"/>
      <w:lvlJc w:val="left"/>
      <w:pPr>
        <w:ind w:left="3672" w:hanging="360"/>
      </w:pPr>
      <w:rPr>
        <w:rFonts w:ascii="Courier New" w:hAnsi="Courier New" w:cs="Courier New" w:hint="default"/>
      </w:rPr>
    </w:lvl>
    <w:lvl w:ilvl="5" w:tplc="08100005" w:tentative="1">
      <w:start w:val="1"/>
      <w:numFmt w:val="bullet"/>
      <w:lvlText w:val=""/>
      <w:lvlJc w:val="left"/>
      <w:pPr>
        <w:ind w:left="4392" w:hanging="360"/>
      </w:pPr>
      <w:rPr>
        <w:rFonts w:ascii="Wingdings" w:hAnsi="Wingdings" w:hint="default"/>
      </w:rPr>
    </w:lvl>
    <w:lvl w:ilvl="6" w:tplc="08100001" w:tentative="1">
      <w:start w:val="1"/>
      <w:numFmt w:val="bullet"/>
      <w:lvlText w:val=""/>
      <w:lvlJc w:val="left"/>
      <w:pPr>
        <w:ind w:left="5112" w:hanging="360"/>
      </w:pPr>
      <w:rPr>
        <w:rFonts w:ascii="Symbol" w:hAnsi="Symbol" w:hint="default"/>
      </w:rPr>
    </w:lvl>
    <w:lvl w:ilvl="7" w:tplc="08100003" w:tentative="1">
      <w:start w:val="1"/>
      <w:numFmt w:val="bullet"/>
      <w:lvlText w:val="o"/>
      <w:lvlJc w:val="left"/>
      <w:pPr>
        <w:ind w:left="5832" w:hanging="360"/>
      </w:pPr>
      <w:rPr>
        <w:rFonts w:ascii="Courier New" w:hAnsi="Courier New" w:cs="Courier New" w:hint="default"/>
      </w:rPr>
    </w:lvl>
    <w:lvl w:ilvl="8" w:tplc="08100005" w:tentative="1">
      <w:start w:val="1"/>
      <w:numFmt w:val="bullet"/>
      <w:lvlText w:val=""/>
      <w:lvlJc w:val="left"/>
      <w:pPr>
        <w:ind w:left="6552" w:hanging="360"/>
      </w:pPr>
      <w:rPr>
        <w:rFonts w:ascii="Wingdings" w:hAnsi="Wingdings" w:hint="default"/>
      </w:rPr>
    </w:lvl>
  </w:abstractNum>
  <w:num w:numId="1">
    <w:abstractNumId w:val="13"/>
  </w:num>
  <w:num w:numId="2">
    <w:abstractNumId w:val="19"/>
    <w:lvlOverride w:ilvl="0">
      <w:lvl w:ilvl="0">
        <w:start w:val="1"/>
        <w:numFmt w:val="decimal"/>
        <w:lvlText w:val="%1"/>
        <w:lvlJc w:val="left"/>
        <w:pPr>
          <w:ind w:left="363" w:hanging="363"/>
        </w:pPr>
        <w:rPr>
          <w:rFonts w:ascii="Arial" w:hAnsi="Arial" w:cs="Arial" w:hint="default"/>
        </w:rPr>
      </w:lvl>
    </w:lvlOverride>
  </w:num>
  <w:num w:numId="3">
    <w:abstractNumId w:val="12"/>
  </w:num>
  <w:num w:numId="4">
    <w:abstractNumId w:val="18"/>
  </w:num>
  <w:num w:numId="5">
    <w:abstractNumId w:val="17"/>
  </w:num>
  <w:num w:numId="6">
    <w:abstractNumId w:val="14"/>
  </w:num>
  <w:num w:numId="7">
    <w:abstractNumId w:val="15"/>
  </w:num>
  <w:num w:numId="8">
    <w:abstractNumId w:val="8"/>
  </w:num>
  <w:num w:numId="9">
    <w:abstractNumId w:val="3"/>
  </w:num>
  <w:num w:numId="10">
    <w:abstractNumId w:val="2"/>
  </w:num>
  <w:num w:numId="11">
    <w:abstractNumId w:val="1"/>
  </w:num>
  <w:num w:numId="12">
    <w:abstractNumId w:val="0"/>
  </w:num>
  <w:num w:numId="13">
    <w:abstractNumId w:val="9"/>
  </w:num>
  <w:num w:numId="14">
    <w:abstractNumId w:val="7"/>
  </w:num>
  <w:num w:numId="15">
    <w:abstractNumId w:val="6"/>
  </w:num>
  <w:num w:numId="16">
    <w:abstractNumId w:val="5"/>
  </w:num>
  <w:num w:numId="17">
    <w:abstractNumId w:val="4"/>
  </w:num>
  <w:num w:numId="18">
    <w:abstractNumId w:val="11"/>
  </w:num>
  <w:num w:numId="19">
    <w:abstractNumId w:val="10"/>
  </w:num>
  <w:num w:numId="20">
    <w:abstractNumId w:val="20"/>
  </w:num>
  <w:num w:numId="21">
    <w:abstractNumId w:val="16"/>
  </w:num>
  <w:num w:numId="22">
    <w:abstractNumId w:val="10"/>
  </w:num>
  <w:num w:numId="23">
    <w:abstractNumId w:val="20"/>
  </w:num>
  <w:num w:numId="24">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690D"/>
    <w:rsid w:val="00031905"/>
    <w:rsid w:val="00043084"/>
    <w:rsid w:val="0008756E"/>
    <w:rsid w:val="000A3D6E"/>
    <w:rsid w:val="000D3359"/>
    <w:rsid w:val="001334F6"/>
    <w:rsid w:val="00151C8A"/>
    <w:rsid w:val="001C48B2"/>
    <w:rsid w:val="001F1386"/>
    <w:rsid w:val="001F4EF0"/>
    <w:rsid w:val="00255538"/>
    <w:rsid w:val="00267A52"/>
    <w:rsid w:val="002931E6"/>
    <w:rsid w:val="00293C1B"/>
    <w:rsid w:val="0029685F"/>
    <w:rsid w:val="002A4F10"/>
    <w:rsid w:val="002B5D9F"/>
    <w:rsid w:val="002E7CE1"/>
    <w:rsid w:val="002F78A7"/>
    <w:rsid w:val="0030734B"/>
    <w:rsid w:val="00337CDD"/>
    <w:rsid w:val="00384FF7"/>
    <w:rsid w:val="003A27E6"/>
    <w:rsid w:val="003B5C35"/>
    <w:rsid w:val="003B756D"/>
    <w:rsid w:val="003D2371"/>
    <w:rsid w:val="003E0DDA"/>
    <w:rsid w:val="00403ADB"/>
    <w:rsid w:val="0041148C"/>
    <w:rsid w:val="0042316C"/>
    <w:rsid w:val="00447AA9"/>
    <w:rsid w:val="004A1C92"/>
    <w:rsid w:val="004E50BA"/>
    <w:rsid w:val="00524985"/>
    <w:rsid w:val="00525F31"/>
    <w:rsid w:val="00555F28"/>
    <w:rsid w:val="00572FD3"/>
    <w:rsid w:val="005C1634"/>
    <w:rsid w:val="00631C0C"/>
    <w:rsid w:val="00655368"/>
    <w:rsid w:val="00655F5A"/>
    <w:rsid w:val="00695195"/>
    <w:rsid w:val="006F0965"/>
    <w:rsid w:val="00716718"/>
    <w:rsid w:val="007D6D71"/>
    <w:rsid w:val="00817B7C"/>
    <w:rsid w:val="0083024E"/>
    <w:rsid w:val="00830907"/>
    <w:rsid w:val="00853EA2"/>
    <w:rsid w:val="00870487"/>
    <w:rsid w:val="008720C4"/>
    <w:rsid w:val="008B0345"/>
    <w:rsid w:val="008F52AF"/>
    <w:rsid w:val="0092749A"/>
    <w:rsid w:val="00935D84"/>
    <w:rsid w:val="00942F02"/>
    <w:rsid w:val="0098391B"/>
    <w:rsid w:val="00997D55"/>
    <w:rsid w:val="009C5E5A"/>
    <w:rsid w:val="009F352D"/>
    <w:rsid w:val="00A06D5A"/>
    <w:rsid w:val="00A24103"/>
    <w:rsid w:val="00A77F9D"/>
    <w:rsid w:val="00AE7D0F"/>
    <w:rsid w:val="00AF0268"/>
    <w:rsid w:val="00BA66A6"/>
    <w:rsid w:val="00BF0A1F"/>
    <w:rsid w:val="00CA690D"/>
    <w:rsid w:val="00D266B3"/>
    <w:rsid w:val="00D33940"/>
    <w:rsid w:val="00D432A7"/>
    <w:rsid w:val="00D600FD"/>
    <w:rsid w:val="00D649A8"/>
    <w:rsid w:val="00DB66E7"/>
    <w:rsid w:val="00DC4200"/>
    <w:rsid w:val="00DC56DC"/>
    <w:rsid w:val="00E02E8E"/>
    <w:rsid w:val="00EB088A"/>
    <w:rsid w:val="00EC2A21"/>
    <w:rsid w:val="00EC58E5"/>
    <w:rsid w:val="00ED2465"/>
    <w:rsid w:val="00F22251"/>
    <w:rsid w:val="00F443AC"/>
    <w:rsid w:val="00F51657"/>
    <w:rsid w:val="00F657BF"/>
    <w:rsid w:val="00F72009"/>
    <w:rsid w:val="00FA34F0"/>
    <w:rsid w:val="00FE3ABD"/>
    <w:rsid w:val="00FF586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BA81A64"/>
  <w15:docId w15:val="{D9BC7A98-84DB-48F7-BE69-E07F3A30F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90C3F"/>
    <w:rPr>
      <w:rFonts w:ascii="Arial" w:hAnsi="Arial"/>
      <w:lang w:val="it-CH"/>
    </w:rPr>
  </w:style>
  <w:style w:type="paragraph" w:styleId="Titolo1">
    <w:name w:val="heading 1"/>
    <w:basedOn w:val="Normale"/>
    <w:next w:val="Normale"/>
    <w:link w:val="Titolo1Carattere"/>
    <w:qFormat/>
    <w:rsid w:val="006F0D42"/>
    <w:pPr>
      <w:keepNext/>
      <w:spacing w:before="240" w:after="120"/>
      <w:jc w:val="left"/>
      <w:outlineLvl w:val="0"/>
    </w:pPr>
    <w:rPr>
      <w:b/>
    </w:rPr>
  </w:style>
  <w:style w:type="paragraph" w:styleId="Titolo2">
    <w:name w:val="heading 2"/>
    <w:basedOn w:val="Titolo1"/>
    <w:next w:val="Normale"/>
    <w:link w:val="Titolo2Carattere"/>
    <w:unhideWhenUsed/>
    <w:qFormat/>
    <w:rsid w:val="006F0D42"/>
    <w:pPr>
      <w:spacing w:before="120" w:after="60"/>
      <w:outlineLvl w:val="1"/>
    </w:pPr>
  </w:style>
  <w:style w:type="paragraph" w:styleId="Titolo3">
    <w:name w:val="heading 3"/>
    <w:basedOn w:val="Titolo1"/>
    <w:next w:val="Normale"/>
    <w:link w:val="Titolo3Carattere"/>
    <w:unhideWhenUsed/>
    <w:qFormat/>
    <w:rsid w:val="006F0D42"/>
    <w:pPr>
      <w:spacing w:before="120" w:after="60"/>
      <w:outlineLvl w:val="2"/>
    </w:pPr>
  </w:style>
  <w:style w:type="paragraph" w:styleId="Titolo4">
    <w:name w:val="heading 4"/>
    <w:basedOn w:val="Titolo1"/>
    <w:next w:val="Normale"/>
    <w:link w:val="Titolo4Carattere"/>
    <w:uiPriority w:val="9"/>
    <w:unhideWhenUsed/>
    <w:qFormat/>
    <w:rsid w:val="006F0D42"/>
    <w:pPr>
      <w:numPr>
        <w:ilvl w:val="3"/>
      </w:numPr>
      <w:spacing w:before="120" w:after="60"/>
      <w:outlineLvl w:val="3"/>
    </w:pPr>
  </w:style>
  <w:style w:type="paragraph" w:styleId="Titolo5">
    <w:name w:val="heading 5"/>
    <w:basedOn w:val="Normale"/>
    <w:next w:val="Normale"/>
    <w:link w:val="Titolo5Carattere"/>
    <w:uiPriority w:val="9"/>
    <w:semiHidden/>
    <w:unhideWhenUsed/>
    <w:rsid w:val="006F0D42"/>
    <w:pPr>
      <w:keepNext/>
      <w:keepLines/>
      <w:spacing w:before="40"/>
      <w:outlineLvl w:val="4"/>
    </w:pPr>
    <w:rPr>
      <w:rFonts w:eastAsiaTheme="majorEastAsia" w:cstheme="majorBidi"/>
      <w:b/>
      <w:color w:val="365F91" w:themeColor="accent1" w:themeShade="BF"/>
    </w:rPr>
  </w:style>
  <w:style w:type="paragraph" w:styleId="Titolo6">
    <w:name w:val="heading 6"/>
    <w:basedOn w:val="Normale"/>
    <w:next w:val="Normale"/>
    <w:link w:val="Titolo6Carattere"/>
    <w:uiPriority w:val="9"/>
    <w:semiHidden/>
    <w:unhideWhenUsed/>
    <w:qFormat/>
    <w:rsid w:val="006F0D42"/>
    <w:pPr>
      <w:keepNext/>
      <w:keepLines/>
      <w:spacing w:before="40"/>
      <w:outlineLvl w:val="5"/>
    </w:pPr>
    <w:rPr>
      <w:rFonts w:eastAsiaTheme="majorEastAsia" w:cstheme="majorBidi"/>
      <w:b/>
      <w:color w:val="243F60" w:themeColor="accent1" w:themeShade="7F"/>
    </w:rPr>
  </w:style>
  <w:style w:type="paragraph" w:styleId="Titolo7">
    <w:name w:val="heading 7"/>
    <w:basedOn w:val="Normale"/>
    <w:next w:val="Normale"/>
    <w:link w:val="Titolo7Carattere"/>
    <w:uiPriority w:val="9"/>
    <w:semiHidden/>
    <w:unhideWhenUsed/>
    <w:qFormat/>
    <w:rsid w:val="006F0D42"/>
    <w:pPr>
      <w:keepNext/>
      <w:keepLines/>
      <w:spacing w:before="40"/>
      <w:outlineLvl w:val="6"/>
    </w:pPr>
    <w:rPr>
      <w:rFonts w:eastAsiaTheme="majorEastAsia" w:cstheme="majorBidi"/>
      <w:b/>
      <w:i/>
      <w:iCs/>
      <w:color w:val="243F60" w:themeColor="accent1" w:themeShade="7F"/>
    </w:rPr>
  </w:style>
  <w:style w:type="paragraph" w:styleId="Titolo8">
    <w:name w:val="heading 8"/>
    <w:basedOn w:val="Normale"/>
    <w:next w:val="Normale"/>
    <w:link w:val="Titolo8Carattere"/>
    <w:uiPriority w:val="9"/>
    <w:semiHidden/>
    <w:unhideWhenUsed/>
    <w:qFormat/>
    <w:rsid w:val="006F0D42"/>
    <w:pPr>
      <w:keepNext/>
      <w:keepLines/>
      <w:spacing w:before="40"/>
      <w:outlineLvl w:val="7"/>
    </w:pPr>
    <w:rPr>
      <w:rFonts w:eastAsiaTheme="majorEastAsia" w:cstheme="majorBidi"/>
      <w:color w:val="272727" w:themeColor="text1" w:themeTint="D8"/>
      <w:szCs w:val="21"/>
    </w:rPr>
  </w:style>
  <w:style w:type="paragraph" w:styleId="Titolo9">
    <w:name w:val="heading 9"/>
    <w:basedOn w:val="Normale"/>
    <w:next w:val="Normale"/>
    <w:link w:val="Titolo9Carattere"/>
    <w:uiPriority w:val="9"/>
    <w:semiHidden/>
    <w:unhideWhenUsed/>
    <w:qFormat/>
    <w:rsid w:val="006F0D42"/>
    <w:pPr>
      <w:keepNext/>
      <w:keepLines/>
      <w:spacing w:before="40"/>
      <w:outlineLvl w:val="8"/>
    </w:pPr>
    <w:rPr>
      <w:rFonts w:eastAsiaTheme="majorEastAsia" w:cstheme="majorBidi"/>
      <w:i/>
      <w:iCs/>
      <w:color w:val="272727" w:themeColor="text1" w:themeTint="D8"/>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ubject">
    <w:name w:val="Subject"/>
    <w:basedOn w:val="Normale"/>
    <w:next w:val="Normale"/>
    <w:link w:val="SubjectZchn"/>
    <w:rsid w:val="00C65DA0"/>
    <w:pPr>
      <w:spacing w:before="80" w:after="240"/>
    </w:pPr>
    <w:rPr>
      <w:b/>
    </w:rPr>
  </w:style>
  <w:style w:type="paragraph" w:styleId="Titolo">
    <w:name w:val="Title"/>
    <w:aliases w:val="NotYetCustomized2178"/>
    <w:basedOn w:val="Normale"/>
    <w:next w:val="Normale"/>
    <w:link w:val="TitoloCarattere"/>
    <w:uiPriority w:val="10"/>
    <w:qFormat/>
    <w:rsid w:val="00BC7BF9"/>
    <w:pPr>
      <w:jc w:val="left"/>
    </w:pPr>
    <w:rPr>
      <w:rFonts w:asciiTheme="majorHAnsi" w:hAnsiTheme="majorHAnsi"/>
      <w:b/>
      <w:sz w:val="32"/>
    </w:rPr>
  </w:style>
  <w:style w:type="character" w:customStyle="1" w:styleId="TitoloCarattere">
    <w:name w:val="Titolo Carattere"/>
    <w:aliases w:val="NotYetCustomized2178 Carattere"/>
    <w:basedOn w:val="Carpredefinitoparagrafo"/>
    <w:link w:val="Titolo"/>
    <w:uiPriority w:val="10"/>
    <w:rsid w:val="00BC7BF9"/>
    <w:rPr>
      <w:rFonts w:asciiTheme="majorHAnsi" w:hAnsiTheme="majorHAnsi"/>
      <w:b/>
      <w:sz w:val="32"/>
      <w:lang w:val="it-CH"/>
    </w:rPr>
  </w:style>
  <w:style w:type="character" w:customStyle="1" w:styleId="Titolo1Carattere">
    <w:name w:val="Titolo 1 Carattere"/>
    <w:basedOn w:val="Carpredefinitoparagrafo"/>
    <w:link w:val="Titolo1"/>
    <w:rsid w:val="006F0D42"/>
    <w:rPr>
      <w:rFonts w:ascii="Arial" w:hAnsi="Arial"/>
      <w:b/>
      <w:lang w:val="it-CH"/>
    </w:rPr>
  </w:style>
  <w:style w:type="paragraph" w:styleId="Sottotitolo">
    <w:name w:val="Subtitle"/>
    <w:aliases w:val="NotYetCustomized3335"/>
    <w:basedOn w:val="Normale"/>
    <w:next w:val="Normale"/>
    <w:link w:val="SottotitoloCarattere"/>
    <w:uiPriority w:val="11"/>
    <w:qFormat/>
    <w:rsid w:val="00BC7BF9"/>
    <w:pPr>
      <w:spacing w:after="200"/>
      <w:jc w:val="left"/>
    </w:pPr>
    <w:rPr>
      <w:rFonts w:asciiTheme="majorHAnsi" w:hAnsiTheme="majorHAnsi"/>
      <w:b/>
    </w:rPr>
  </w:style>
  <w:style w:type="character" w:customStyle="1" w:styleId="SottotitoloCarattere">
    <w:name w:val="Sottotitolo Carattere"/>
    <w:aliases w:val="NotYetCustomized3335 Carattere"/>
    <w:basedOn w:val="Carpredefinitoparagrafo"/>
    <w:link w:val="Sottotitolo"/>
    <w:uiPriority w:val="11"/>
    <w:rsid w:val="00BC7BF9"/>
    <w:rPr>
      <w:rFonts w:asciiTheme="majorHAnsi" w:hAnsiTheme="majorHAnsi"/>
      <w:b/>
      <w:sz w:val="24"/>
      <w:lang w:val="it-CH"/>
    </w:rPr>
  </w:style>
  <w:style w:type="character" w:customStyle="1" w:styleId="Titolo2Carattere">
    <w:name w:val="Titolo 2 Carattere"/>
    <w:basedOn w:val="Carpredefinitoparagrafo"/>
    <w:link w:val="Titolo2"/>
    <w:rsid w:val="006F0D42"/>
    <w:rPr>
      <w:rFonts w:ascii="Arial" w:hAnsi="Arial"/>
      <w:b/>
      <w:lang w:val="it-CH"/>
    </w:rPr>
  </w:style>
  <w:style w:type="character" w:customStyle="1" w:styleId="Titolo3Carattere">
    <w:name w:val="Titolo 3 Carattere"/>
    <w:basedOn w:val="Carpredefinitoparagrafo"/>
    <w:link w:val="Titolo3"/>
    <w:rsid w:val="006F0D42"/>
    <w:rPr>
      <w:rFonts w:ascii="Arial" w:hAnsi="Arial"/>
      <w:b/>
      <w:lang w:val="it-CH"/>
    </w:rPr>
  </w:style>
  <w:style w:type="character" w:customStyle="1" w:styleId="Titolo4Carattere">
    <w:name w:val="Titolo 4 Carattere"/>
    <w:basedOn w:val="Carpredefinitoparagrafo"/>
    <w:link w:val="Titolo4"/>
    <w:uiPriority w:val="9"/>
    <w:rsid w:val="006F0D42"/>
    <w:rPr>
      <w:rFonts w:ascii="Arial" w:hAnsi="Arial"/>
      <w:b/>
      <w:lang w:val="it-CH"/>
    </w:rPr>
  </w:style>
  <w:style w:type="paragraph" w:customStyle="1" w:styleId="ListAlphabetic">
    <w:name w:val="ListAlphabetic"/>
    <w:basedOn w:val="Normale"/>
    <w:rsid w:val="008C0661"/>
    <w:pPr>
      <w:numPr>
        <w:numId w:val="4"/>
      </w:numPr>
      <w:contextualSpacing/>
    </w:pPr>
  </w:style>
  <w:style w:type="paragraph" w:styleId="Paragrafoelenco">
    <w:name w:val="List Paragraph"/>
    <w:basedOn w:val="Normale"/>
    <w:uiPriority w:val="34"/>
    <w:rsid w:val="004D7849"/>
    <w:pPr>
      <w:ind w:left="720"/>
      <w:contextualSpacing/>
    </w:pPr>
  </w:style>
  <w:style w:type="paragraph" w:customStyle="1" w:styleId="ListNumeric">
    <w:name w:val="ListNumeric"/>
    <w:basedOn w:val="Normale"/>
    <w:rsid w:val="008C0661"/>
    <w:pPr>
      <w:numPr>
        <w:numId w:val="7"/>
      </w:numPr>
      <w:contextualSpacing/>
    </w:pPr>
  </w:style>
  <w:style w:type="paragraph" w:customStyle="1" w:styleId="ListLine">
    <w:name w:val="ListLine"/>
    <w:basedOn w:val="Normale"/>
    <w:rsid w:val="008C0661"/>
    <w:pPr>
      <w:numPr>
        <w:numId w:val="6"/>
      </w:numPr>
      <w:contextualSpacing/>
    </w:pPr>
  </w:style>
  <w:style w:type="paragraph" w:customStyle="1" w:styleId="ListBullet">
    <w:name w:val="ListBullet"/>
    <w:basedOn w:val="Normale"/>
    <w:rsid w:val="008C0661"/>
    <w:pPr>
      <w:numPr>
        <w:numId w:val="5"/>
      </w:numPr>
      <w:contextualSpacing/>
    </w:pPr>
  </w:style>
  <w:style w:type="paragraph" w:customStyle="1" w:styleId="Transmission">
    <w:name w:val="Transmission"/>
    <w:aliases w:val="NotYetCustomized1228"/>
    <w:basedOn w:val="Nessunaspaziatura"/>
    <w:link w:val="TransmissionZchn"/>
    <w:rsid w:val="00944FBC"/>
    <w:pPr>
      <w:spacing w:after="120"/>
    </w:pPr>
    <w:rPr>
      <w:b/>
    </w:rPr>
  </w:style>
  <w:style w:type="paragraph" w:customStyle="1" w:styleId="EnclosuresBox">
    <w:name w:val="EnclosuresBox"/>
    <w:basedOn w:val="Nessunaspaziatura"/>
    <w:rsid w:val="003C60F0"/>
    <w:pPr>
      <w:tabs>
        <w:tab w:val="left" w:pos="284"/>
      </w:tabs>
    </w:pPr>
    <w:rPr>
      <w:rFonts w:ascii="Arial" w:hAnsi="Arial"/>
    </w:rPr>
  </w:style>
  <w:style w:type="paragraph" w:styleId="Sommario1">
    <w:name w:val="toc 1"/>
    <w:aliases w:val="NotYetCustomized8649"/>
    <w:basedOn w:val="Normale"/>
    <w:next w:val="Normale"/>
    <w:autoRedefine/>
    <w:uiPriority w:val="39"/>
    <w:unhideWhenUsed/>
    <w:rsid w:val="002B40AC"/>
    <w:pPr>
      <w:tabs>
        <w:tab w:val="left" w:pos="567"/>
        <w:tab w:val="right" w:leader="dot" w:pos="9072"/>
      </w:tabs>
      <w:spacing w:before="240" w:after="120"/>
      <w:ind w:left="567" w:right="567" w:hanging="567"/>
      <w:jc w:val="left"/>
    </w:pPr>
    <w:rPr>
      <w:b/>
    </w:rPr>
  </w:style>
  <w:style w:type="paragraph" w:styleId="Sommario2">
    <w:name w:val="toc 2"/>
    <w:aliases w:val="NotYetCustomized3819"/>
    <w:basedOn w:val="Sommario1"/>
    <w:next w:val="Normale"/>
    <w:autoRedefine/>
    <w:uiPriority w:val="39"/>
    <w:unhideWhenUsed/>
    <w:rsid w:val="00442590"/>
    <w:pPr>
      <w:spacing w:before="0" w:after="80"/>
    </w:pPr>
    <w:rPr>
      <w:b w:val="0"/>
    </w:rPr>
  </w:style>
  <w:style w:type="paragraph" w:styleId="Sommario3">
    <w:name w:val="toc 3"/>
    <w:aliases w:val="NotYetCustomized1834"/>
    <w:basedOn w:val="Sommario2"/>
    <w:next w:val="Normale"/>
    <w:autoRedefine/>
    <w:uiPriority w:val="39"/>
    <w:unhideWhenUsed/>
    <w:rsid w:val="001E2AC6"/>
    <w:pPr>
      <w:spacing w:after="40"/>
    </w:pPr>
  </w:style>
  <w:style w:type="character" w:customStyle="1" w:styleId="Titolo5Carattere">
    <w:name w:val="Titolo 5 Carattere"/>
    <w:basedOn w:val="Carpredefinitoparagrafo"/>
    <w:link w:val="Titolo5"/>
    <w:uiPriority w:val="9"/>
    <w:semiHidden/>
    <w:rsid w:val="006F0D42"/>
    <w:rPr>
      <w:rFonts w:ascii="Arial" w:eastAsiaTheme="majorEastAsia" w:hAnsi="Arial" w:cstheme="majorBidi"/>
      <w:b/>
      <w:color w:val="365F91" w:themeColor="accent1" w:themeShade="BF"/>
      <w:lang w:val="it-CH"/>
    </w:rPr>
  </w:style>
  <w:style w:type="paragraph" w:customStyle="1" w:styleId="DraftText">
    <w:name w:val="DraftText"/>
    <w:rsid w:val="00B33B5E"/>
    <w:pPr>
      <w:widowControl w:val="0"/>
      <w:suppressAutoHyphens/>
      <w:spacing w:line="216" w:lineRule="auto"/>
      <w:jc w:val="center"/>
    </w:pPr>
    <w:rPr>
      <w:rFonts w:ascii="Arial" w:hAnsi="Arial"/>
      <w:b/>
      <w:smallCaps/>
      <w:color w:val="E6E6E6"/>
      <w:sz w:val="300"/>
    </w:rPr>
  </w:style>
  <w:style w:type="paragraph" w:styleId="Titolosommario">
    <w:name w:val="TOC Heading"/>
    <w:aliases w:val="NotYetCustomized7842"/>
    <w:basedOn w:val="Titolo"/>
    <w:next w:val="Normale"/>
    <w:uiPriority w:val="39"/>
    <w:unhideWhenUsed/>
    <w:rsid w:val="003A6C79"/>
  </w:style>
  <w:style w:type="paragraph" w:customStyle="1" w:styleId="InvisibleLine">
    <w:name w:val="InvisibleLine"/>
    <w:basedOn w:val="Nessunaspaziatura"/>
    <w:rsid w:val="00B47829"/>
    <w:pPr>
      <w:spacing w:line="14" w:lineRule="auto"/>
    </w:pPr>
    <w:rPr>
      <w:sz w:val="2"/>
    </w:rPr>
  </w:style>
  <w:style w:type="paragraph" w:styleId="Pidipagina">
    <w:name w:val="footer"/>
    <w:aliases w:val="NotYetCustomized8954"/>
    <w:basedOn w:val="Intestazione"/>
    <w:link w:val="PidipaginaCarattere"/>
    <w:uiPriority w:val="99"/>
    <w:unhideWhenUsed/>
    <w:rsid w:val="009E32DC"/>
  </w:style>
  <w:style w:type="character" w:customStyle="1" w:styleId="PidipaginaCarattere">
    <w:name w:val="Piè di pagina Carattere"/>
    <w:aliases w:val="NotYetCustomized8954 Carattere"/>
    <w:basedOn w:val="Carpredefinitoparagrafo"/>
    <w:link w:val="Pidipagina"/>
    <w:uiPriority w:val="99"/>
    <w:rsid w:val="00D713F1"/>
    <w:rPr>
      <w:sz w:val="20"/>
    </w:rPr>
  </w:style>
  <w:style w:type="paragraph" w:styleId="Testonotaapidipagina">
    <w:name w:val="footnote text"/>
    <w:aliases w:val="NotYetCustomized2879"/>
    <w:basedOn w:val="Nessunaspaziatura"/>
    <w:link w:val="TestonotaapidipaginaCarattere"/>
    <w:uiPriority w:val="99"/>
    <w:unhideWhenUsed/>
    <w:rsid w:val="009E32DC"/>
    <w:pPr>
      <w:spacing w:after="60"/>
    </w:pPr>
    <w:rPr>
      <w:szCs w:val="20"/>
    </w:rPr>
  </w:style>
  <w:style w:type="character" w:customStyle="1" w:styleId="TestonotaapidipaginaCarattere">
    <w:name w:val="Testo nota a piè di pagina Carattere"/>
    <w:aliases w:val="NotYetCustomized2879 Carattere"/>
    <w:basedOn w:val="Carpredefinitoparagrafo"/>
    <w:link w:val="Testonotaapidipagina"/>
    <w:uiPriority w:val="99"/>
    <w:rsid w:val="00F44995"/>
    <w:rPr>
      <w:sz w:val="20"/>
      <w:szCs w:val="20"/>
    </w:rPr>
  </w:style>
  <w:style w:type="character" w:styleId="Enfasicorsivo">
    <w:name w:val="Emphasis"/>
    <w:aliases w:val="NotYetCustomized0913"/>
    <w:basedOn w:val="Carpredefinitoparagrafo"/>
    <w:uiPriority w:val="20"/>
    <w:rsid w:val="000C5980"/>
    <w:rPr>
      <w:b/>
      <w:i w:val="0"/>
      <w:iCs/>
      <w:color w:val="4F81BD" w:themeColor="accent1"/>
    </w:rPr>
  </w:style>
  <w:style w:type="character" w:styleId="Enfasidelicata">
    <w:name w:val="Subtle Emphasis"/>
    <w:basedOn w:val="Carpredefinitoparagrafo"/>
    <w:uiPriority w:val="19"/>
    <w:rsid w:val="0005642B"/>
    <w:rPr>
      <w:i/>
      <w:iCs/>
      <w:color w:val="404040" w:themeColor="text1" w:themeTint="BF"/>
    </w:rPr>
  </w:style>
  <w:style w:type="character" w:styleId="Enfasiintensa">
    <w:name w:val="Intense Emphasis"/>
    <w:basedOn w:val="Carpredefinitoparagrafo"/>
    <w:uiPriority w:val="21"/>
    <w:rsid w:val="0005642B"/>
    <w:rPr>
      <w:i/>
      <w:iCs/>
      <w:color w:val="4F81BD" w:themeColor="accent1"/>
    </w:rPr>
  </w:style>
  <w:style w:type="paragraph" w:styleId="Intestazione">
    <w:name w:val="header"/>
    <w:aliases w:val="NotYetCustomized2561"/>
    <w:basedOn w:val="Nessunaspaziatura"/>
    <w:link w:val="IntestazioneCarattere"/>
    <w:uiPriority w:val="99"/>
    <w:unhideWhenUsed/>
    <w:rsid w:val="00940F45"/>
    <w:pPr>
      <w:tabs>
        <w:tab w:val="center" w:pos="4536"/>
        <w:tab w:val="right" w:pos="9072"/>
      </w:tabs>
    </w:pPr>
  </w:style>
  <w:style w:type="character" w:customStyle="1" w:styleId="IntestazioneCarattere">
    <w:name w:val="Intestazione Carattere"/>
    <w:aliases w:val="NotYetCustomized2561 Carattere"/>
    <w:basedOn w:val="Carpredefinitoparagrafo"/>
    <w:link w:val="Intestazione"/>
    <w:uiPriority w:val="99"/>
    <w:rsid w:val="00EE3591"/>
    <w:rPr>
      <w:sz w:val="20"/>
    </w:rPr>
  </w:style>
  <w:style w:type="paragraph" w:styleId="Formuladiapertura">
    <w:name w:val="Salutation"/>
    <w:aliases w:val="NotYetCustomized3018"/>
    <w:basedOn w:val="Normale"/>
    <w:next w:val="Normale"/>
    <w:link w:val="FormuladiaperturaCarattere"/>
    <w:uiPriority w:val="99"/>
    <w:unhideWhenUsed/>
    <w:rsid w:val="002E7316"/>
    <w:pPr>
      <w:jc w:val="left"/>
    </w:pPr>
  </w:style>
  <w:style w:type="character" w:customStyle="1" w:styleId="FormuladiaperturaCarattere">
    <w:name w:val="Formula di apertura Carattere"/>
    <w:aliases w:val="NotYetCustomized3018 Carattere"/>
    <w:basedOn w:val="Carpredefinitoparagrafo"/>
    <w:link w:val="Formuladiapertura"/>
    <w:uiPriority w:val="99"/>
    <w:rsid w:val="002E7316"/>
    <w:rPr>
      <w:rFonts w:ascii="Arial" w:hAnsi="Arial"/>
      <w:sz w:val="24"/>
      <w:lang w:val="it-CH"/>
    </w:rPr>
  </w:style>
  <w:style w:type="character" w:styleId="Enfasigrassetto">
    <w:name w:val="Strong"/>
    <w:aliases w:val="NotYetCustomized1427"/>
    <w:basedOn w:val="Carpredefinitoparagrafo"/>
    <w:uiPriority w:val="22"/>
    <w:rsid w:val="00940F45"/>
    <w:rPr>
      <w:b/>
      <w:bCs/>
    </w:rPr>
  </w:style>
  <w:style w:type="paragraph" w:styleId="Formuladichiusura">
    <w:name w:val="Closing"/>
    <w:aliases w:val="NotYetCustomized2787"/>
    <w:basedOn w:val="Normale"/>
    <w:link w:val="FormuladichiusuraCarattere"/>
    <w:uiPriority w:val="99"/>
    <w:unhideWhenUsed/>
    <w:rsid w:val="00337DF1"/>
    <w:pPr>
      <w:jc w:val="left"/>
    </w:pPr>
  </w:style>
  <w:style w:type="character" w:customStyle="1" w:styleId="FormuladichiusuraCarattere">
    <w:name w:val="Formula di chiusura Carattere"/>
    <w:aliases w:val="NotYetCustomized2787 Carattere"/>
    <w:basedOn w:val="Carpredefinitoparagrafo"/>
    <w:link w:val="Formuladichiusura"/>
    <w:uiPriority w:val="99"/>
    <w:rsid w:val="00337DF1"/>
    <w:rPr>
      <w:rFonts w:ascii="Arial" w:hAnsi="Arial"/>
      <w:sz w:val="24"/>
      <w:lang w:val="it-CH"/>
    </w:rPr>
  </w:style>
  <w:style w:type="paragraph" w:styleId="Nessunaspaziatura">
    <w:name w:val="No Spacing"/>
    <w:link w:val="NessunaspaziaturaCarattere"/>
    <w:uiPriority w:val="1"/>
    <w:rsid w:val="00B33B5E"/>
    <w:pPr>
      <w:suppressAutoHyphens/>
    </w:pPr>
  </w:style>
  <w:style w:type="character" w:styleId="Numeropagina">
    <w:name w:val="page number"/>
    <w:basedOn w:val="Carpredefinitoparagrafo"/>
    <w:uiPriority w:val="99"/>
    <w:unhideWhenUsed/>
    <w:rsid w:val="00940F45"/>
  </w:style>
  <w:style w:type="paragraph" w:styleId="Firma">
    <w:name w:val="Signature"/>
    <w:aliases w:val="NotYetCustomized3210"/>
    <w:basedOn w:val="Normale"/>
    <w:link w:val="FirmaCarattere"/>
    <w:uiPriority w:val="99"/>
    <w:unhideWhenUsed/>
    <w:rsid w:val="00FD1909"/>
  </w:style>
  <w:style w:type="character" w:customStyle="1" w:styleId="FirmaCarattere">
    <w:name w:val="Firma Carattere"/>
    <w:aliases w:val="NotYetCustomized3210 Carattere"/>
    <w:basedOn w:val="Carpredefinitoparagrafo"/>
    <w:link w:val="Firma"/>
    <w:uiPriority w:val="99"/>
    <w:rsid w:val="001E2AC6"/>
    <w:rPr>
      <w:sz w:val="20"/>
    </w:rPr>
  </w:style>
  <w:style w:type="character" w:customStyle="1" w:styleId="NessunaspaziaturaCarattere">
    <w:name w:val="Nessuna spaziatura Carattere"/>
    <w:basedOn w:val="Carpredefinitoparagrafo"/>
    <w:link w:val="Nessunaspaziatura"/>
    <w:uiPriority w:val="1"/>
    <w:rsid w:val="00B33B5E"/>
  </w:style>
  <w:style w:type="character" w:styleId="Rimandonotaapidipagina">
    <w:name w:val="footnote reference"/>
    <w:basedOn w:val="Carpredefinitoparagrafo"/>
    <w:uiPriority w:val="99"/>
    <w:unhideWhenUsed/>
    <w:rsid w:val="00F811E1"/>
    <w:rPr>
      <w:vertAlign w:val="superscript"/>
    </w:rPr>
  </w:style>
  <w:style w:type="paragraph" w:styleId="Sommario4">
    <w:name w:val="toc 4"/>
    <w:aliases w:val="NotYetCustomized5839"/>
    <w:basedOn w:val="Sommario3"/>
    <w:next w:val="Normale"/>
    <w:autoRedefine/>
    <w:uiPriority w:val="39"/>
    <w:unhideWhenUsed/>
    <w:rsid w:val="00C31BC2"/>
  </w:style>
  <w:style w:type="character" w:customStyle="1" w:styleId="TransmissionZchn">
    <w:name w:val="Transmission Zchn"/>
    <w:aliases w:val="NotYetCustomized1228 Zchn"/>
    <w:basedOn w:val="NessunaspaziaturaCarattere"/>
    <w:link w:val="Transmission"/>
    <w:rsid w:val="00FF52DF"/>
    <w:rPr>
      <w:b/>
      <w:sz w:val="20"/>
    </w:rPr>
  </w:style>
  <w:style w:type="character" w:customStyle="1" w:styleId="SubjectZchn">
    <w:name w:val="Subject Zchn"/>
    <w:basedOn w:val="Carpredefinitoparagrafo"/>
    <w:link w:val="Subject"/>
    <w:rsid w:val="00C65DA0"/>
    <w:rPr>
      <w:rFonts w:ascii="Arial" w:hAnsi="Arial"/>
      <w:b/>
      <w:sz w:val="24"/>
      <w:lang w:val="it-CH"/>
    </w:rPr>
  </w:style>
  <w:style w:type="numbering" w:customStyle="1" w:styleId="ListAlphabeticList">
    <w:name w:val="ListAlphabeticList"/>
    <w:uiPriority w:val="99"/>
    <w:rsid w:val="0040086C"/>
    <w:pPr>
      <w:numPr>
        <w:numId w:val="4"/>
      </w:numPr>
    </w:pPr>
  </w:style>
  <w:style w:type="numbering" w:customStyle="1" w:styleId="ListNumericList">
    <w:name w:val="ListNumericList"/>
    <w:uiPriority w:val="99"/>
    <w:rsid w:val="0040086C"/>
    <w:pPr>
      <w:numPr>
        <w:numId w:val="7"/>
      </w:numPr>
    </w:pPr>
  </w:style>
  <w:style w:type="numbering" w:customStyle="1" w:styleId="ListLineList">
    <w:name w:val="ListLineList"/>
    <w:uiPriority w:val="99"/>
    <w:rsid w:val="0040086C"/>
    <w:pPr>
      <w:numPr>
        <w:numId w:val="6"/>
      </w:numPr>
    </w:pPr>
  </w:style>
  <w:style w:type="numbering" w:customStyle="1" w:styleId="ListBulletList">
    <w:name w:val="ListBulletList"/>
    <w:uiPriority w:val="99"/>
    <w:rsid w:val="0040086C"/>
    <w:pPr>
      <w:numPr>
        <w:numId w:val="5"/>
      </w:numPr>
    </w:pPr>
  </w:style>
  <w:style w:type="numbering" w:customStyle="1" w:styleId="HeadingList">
    <w:name w:val="HeadingList"/>
    <w:uiPriority w:val="99"/>
    <w:rsid w:val="00EC214A"/>
    <w:pPr>
      <w:numPr>
        <w:numId w:val="1"/>
      </w:numPr>
    </w:pPr>
  </w:style>
  <w:style w:type="paragraph" w:customStyle="1" w:styleId="NormalNoSpacing">
    <w:name w:val="NormalNoSpacing"/>
    <w:basedOn w:val="Normale"/>
    <w:rsid w:val="00AC222A"/>
  </w:style>
  <w:style w:type="paragraph" w:customStyle="1" w:styleId="Sender">
    <w:name w:val="Sender"/>
    <w:basedOn w:val="Normale"/>
    <w:rsid w:val="00B33B5E"/>
    <w:pPr>
      <w:spacing w:line="204" w:lineRule="auto"/>
      <w:jc w:val="right"/>
    </w:pPr>
    <w:rPr>
      <w:rFonts w:ascii="Gill Alt One MT Light" w:hAnsi="Gill Alt One MT Light"/>
      <w:sz w:val="16"/>
    </w:rPr>
  </w:style>
  <w:style w:type="paragraph" w:customStyle="1" w:styleId="Level">
    <w:name w:val="Level"/>
    <w:basedOn w:val="Sender"/>
    <w:rsid w:val="00A1759A"/>
    <w:pPr>
      <w:spacing w:line="192" w:lineRule="auto"/>
      <w:contextualSpacing/>
      <w:jc w:val="left"/>
    </w:pPr>
    <w:rPr>
      <w:rFonts w:ascii="Gill Sans MT Pro Light" w:hAnsi="Gill Sans MT Pro Light"/>
      <w:sz w:val="23"/>
    </w:rPr>
  </w:style>
  <w:style w:type="paragraph" w:customStyle="1" w:styleId="Unit">
    <w:name w:val="Unit"/>
    <w:basedOn w:val="Level"/>
    <w:rsid w:val="0020397A"/>
    <w:pPr>
      <w:spacing w:after="40" w:line="240" w:lineRule="exact"/>
    </w:pPr>
    <w:rPr>
      <w:rFonts w:ascii="Gill Sans Display MT Pro BdCn" w:hAnsi="Gill Sans Display MT Pro BdCn"/>
      <w:sz w:val="24"/>
    </w:rPr>
  </w:style>
  <w:style w:type="paragraph" w:customStyle="1" w:styleId="SenderPerson">
    <w:name w:val="SenderPerson"/>
    <w:basedOn w:val="Sender"/>
    <w:rsid w:val="00914AA5"/>
    <w:pPr>
      <w:spacing w:before="200" w:after="100"/>
    </w:pPr>
  </w:style>
  <w:style w:type="paragraph" w:customStyle="1" w:styleId="Recipient">
    <w:name w:val="Recipient"/>
    <w:basedOn w:val="Normale"/>
    <w:link w:val="RecipientZchn"/>
    <w:rsid w:val="006E0CF7"/>
    <w:pPr>
      <w:spacing w:after="240" w:line="240" w:lineRule="exact"/>
      <w:contextualSpacing/>
      <w:jc w:val="left"/>
    </w:pPr>
  </w:style>
  <w:style w:type="paragraph" w:customStyle="1" w:styleId="Prefix">
    <w:name w:val="Prefix"/>
    <w:basedOn w:val="Recipient"/>
    <w:link w:val="PrefixZchn"/>
    <w:rsid w:val="00DC1DC5"/>
    <w:pPr>
      <w:spacing w:after="0"/>
    </w:pPr>
    <w:rPr>
      <w:rFonts w:ascii="Gill Sans MT Pro Light" w:hAnsi="Gill Sans MT Pro Light"/>
      <w:sz w:val="16"/>
    </w:rPr>
  </w:style>
  <w:style w:type="paragraph" w:styleId="Data">
    <w:name w:val="Date"/>
    <w:aliases w:val="Content"/>
    <w:basedOn w:val="Normale"/>
    <w:next w:val="Normale"/>
    <w:link w:val="DataCarattere"/>
    <w:uiPriority w:val="99"/>
    <w:unhideWhenUsed/>
    <w:rsid w:val="004233BD"/>
    <w:pPr>
      <w:jc w:val="left"/>
    </w:pPr>
  </w:style>
  <w:style w:type="character" w:customStyle="1" w:styleId="DataCarattere">
    <w:name w:val="Data Carattere"/>
    <w:aliases w:val="Content Carattere"/>
    <w:basedOn w:val="Carpredefinitoparagrafo"/>
    <w:link w:val="Data"/>
    <w:uiPriority w:val="99"/>
    <w:rsid w:val="004233BD"/>
    <w:rPr>
      <w:rFonts w:ascii="Arial" w:hAnsi="Arial"/>
      <w:sz w:val="24"/>
      <w:lang w:val="it-CH"/>
    </w:rPr>
  </w:style>
  <w:style w:type="character" w:customStyle="1" w:styleId="RecipientZchn">
    <w:name w:val="Recipient Zchn"/>
    <w:basedOn w:val="Carpredefinitoparagrafo"/>
    <w:link w:val="Recipient"/>
    <w:rsid w:val="006E0CF7"/>
    <w:rPr>
      <w:rFonts w:ascii="Arial" w:hAnsi="Arial"/>
      <w:sz w:val="24"/>
      <w:lang w:val="it-CH"/>
    </w:rPr>
  </w:style>
  <w:style w:type="character" w:customStyle="1" w:styleId="PrefixZchn">
    <w:name w:val="Prefix Zchn"/>
    <w:basedOn w:val="RecipientZchn"/>
    <w:link w:val="Prefix"/>
    <w:rsid w:val="00AC2026"/>
    <w:rPr>
      <w:rFonts w:ascii="Gill Sans MT Pro Light" w:hAnsi="Gill Sans MT Pro Light"/>
      <w:sz w:val="16"/>
      <w:lang w:val="it-CH"/>
    </w:rPr>
  </w:style>
  <w:style w:type="paragraph" w:customStyle="1" w:styleId="ShortText">
    <w:name w:val="ShortText"/>
    <w:basedOn w:val="Normale"/>
    <w:link w:val="ShortTextZchn"/>
    <w:rsid w:val="002B3430"/>
    <w:pPr>
      <w:tabs>
        <w:tab w:val="left" w:pos="284"/>
      </w:tabs>
      <w:spacing w:after="240"/>
      <w:ind w:left="425" w:hanging="425"/>
      <w:jc w:val="left"/>
    </w:pPr>
    <w:rPr>
      <w:rFonts w:ascii="Gill Sans MT Pro Light" w:hAnsi="Gill Sans MT Pro Light"/>
      <w:sz w:val="16"/>
    </w:rPr>
  </w:style>
  <w:style w:type="character" w:customStyle="1" w:styleId="ShortTextZchn">
    <w:name w:val="ShortText Zchn"/>
    <w:basedOn w:val="Carpredefinitoparagrafo"/>
    <w:link w:val="ShortText"/>
    <w:rsid w:val="002B3430"/>
    <w:rPr>
      <w:rFonts w:ascii="Gill Sans MT Pro Light" w:hAnsi="Gill Sans MT Pro Light"/>
      <w:sz w:val="16"/>
      <w:lang w:val="it-CH"/>
    </w:rPr>
  </w:style>
  <w:style w:type="paragraph" w:customStyle="1" w:styleId="SubjectMemo">
    <w:name w:val="SubjectMemo"/>
    <w:basedOn w:val="Subject"/>
    <w:rsid w:val="007D4BE3"/>
    <w:pPr>
      <w:spacing w:before="964"/>
    </w:pPr>
  </w:style>
  <w:style w:type="paragraph" w:customStyle="1" w:styleId="HeaderDecisione">
    <w:name w:val="HeaderDecisione"/>
    <w:basedOn w:val="Level"/>
    <w:rsid w:val="00796AED"/>
    <w:pPr>
      <w:spacing w:line="240" w:lineRule="auto"/>
    </w:pPr>
    <w:rPr>
      <w:rFonts w:ascii="Gill Alt One MT Light" w:hAnsi="Gill Alt One MT Light"/>
      <w:sz w:val="16"/>
    </w:rPr>
  </w:style>
  <w:style w:type="paragraph" w:customStyle="1" w:styleId="SenderDecisione">
    <w:name w:val="SenderDecisione"/>
    <w:basedOn w:val="HeaderDecisione"/>
    <w:rsid w:val="00796AED"/>
    <w:pPr>
      <w:contextualSpacing w:val="0"/>
    </w:pPr>
    <w:rPr>
      <w:rFonts w:ascii="Gill Sans MT Pro Light" w:hAnsi="Gill Sans MT Pro Light"/>
    </w:rPr>
  </w:style>
  <w:style w:type="paragraph" w:customStyle="1" w:styleId="SubjectDecisione">
    <w:name w:val="SubjectDecisione"/>
    <w:basedOn w:val="Unit"/>
    <w:rsid w:val="006871EF"/>
    <w:pPr>
      <w:spacing w:after="720" w:line="240" w:lineRule="auto"/>
      <w:contextualSpacing w:val="0"/>
    </w:pPr>
    <w:rPr>
      <w:sz w:val="42"/>
    </w:rPr>
  </w:style>
  <w:style w:type="paragraph" w:customStyle="1" w:styleId="EnclosuresBoxDecisione">
    <w:name w:val="EnclosuresBoxDecisione"/>
    <w:basedOn w:val="EnclosuresBox"/>
    <w:rsid w:val="00B33B5E"/>
    <w:pPr>
      <w:spacing w:before="2400"/>
    </w:pPr>
  </w:style>
  <w:style w:type="paragraph" w:customStyle="1" w:styleId="EtiketteSender">
    <w:name w:val="EtiketteSender"/>
    <w:basedOn w:val="Normale"/>
    <w:rsid w:val="00A93292"/>
    <w:pPr>
      <w:ind w:left="340"/>
      <w:jc w:val="left"/>
    </w:pPr>
    <w:rPr>
      <w:rFonts w:ascii="Gill Sans Display MT Pro BdCn" w:hAnsi="Gill Sans Display MT Pro BdCn"/>
    </w:rPr>
  </w:style>
  <w:style w:type="paragraph" w:customStyle="1" w:styleId="EtiketteRecipient">
    <w:name w:val="EtiketteRecipient"/>
    <w:basedOn w:val="EtiketteSender"/>
    <w:rsid w:val="00DF05C6"/>
    <w:rPr>
      <w:rFonts w:ascii="Arial" w:hAnsi="Arial"/>
    </w:rPr>
  </w:style>
  <w:style w:type="paragraph" w:customStyle="1" w:styleId="SenderPersonContent">
    <w:name w:val="SenderPersonContent"/>
    <w:basedOn w:val="SenderPerson"/>
    <w:rsid w:val="00B33B5E"/>
    <w:pPr>
      <w:jc w:val="left"/>
    </w:pPr>
    <w:rPr>
      <w:lang w:val="de-CH"/>
    </w:rPr>
  </w:style>
  <w:style w:type="paragraph" w:customStyle="1" w:styleId="SenderContent">
    <w:name w:val="SenderContent"/>
    <w:basedOn w:val="Sender"/>
    <w:rsid w:val="00EC0738"/>
    <w:pPr>
      <w:jc w:val="left"/>
    </w:pPr>
  </w:style>
  <w:style w:type="paragraph" w:customStyle="1" w:styleId="EnclosuresBoxDecisione1">
    <w:name w:val="EnclosuresBoxDecisione1"/>
    <w:basedOn w:val="EnclosuresBoxDecisione"/>
    <w:qFormat/>
    <w:rsid w:val="00B33B5E"/>
    <w:pPr>
      <w:ind w:left="153"/>
    </w:pPr>
    <w:rPr>
      <w:u w:val="single"/>
    </w:rPr>
  </w:style>
  <w:style w:type="paragraph" w:customStyle="1" w:styleId="EnclosuresBox1">
    <w:name w:val="EnclosuresBox1"/>
    <w:basedOn w:val="EnclosuresBox"/>
    <w:qFormat/>
    <w:rsid w:val="00BE1F4B"/>
    <w:pPr>
      <w:tabs>
        <w:tab w:val="clear" w:pos="284"/>
        <w:tab w:val="left" w:pos="437"/>
      </w:tabs>
      <w:ind w:left="153"/>
    </w:pPr>
  </w:style>
  <w:style w:type="paragraph" w:customStyle="1" w:styleId="DatumBig">
    <w:name w:val="DatumBig"/>
    <w:basedOn w:val="EnclosuresBox1"/>
    <w:qFormat/>
    <w:rsid w:val="00B33B5E"/>
    <w:rPr>
      <w:lang w:val="it-CH"/>
    </w:rPr>
  </w:style>
  <w:style w:type="paragraph" w:customStyle="1" w:styleId="SubjectRisoluzione">
    <w:name w:val="SubjectRisoluzione"/>
    <w:basedOn w:val="SubjectDecisione"/>
    <w:qFormat/>
    <w:rsid w:val="00BC7C6B"/>
    <w:pPr>
      <w:spacing w:after="240"/>
    </w:pPr>
  </w:style>
  <w:style w:type="paragraph" w:customStyle="1" w:styleId="EnclosuresBoxRisoluzione">
    <w:name w:val="EnclosuresBoxRisoluzione"/>
    <w:basedOn w:val="EnclosuresBoxDecisione"/>
    <w:qFormat/>
    <w:rsid w:val="00792E54"/>
    <w:pPr>
      <w:spacing w:before="0"/>
    </w:pPr>
  </w:style>
  <w:style w:type="paragraph" w:customStyle="1" w:styleId="ProgettoStandard">
    <w:name w:val="ProgettoStandard"/>
    <w:basedOn w:val="Normale"/>
    <w:qFormat/>
    <w:rsid w:val="00771337"/>
    <w:pPr>
      <w:jc w:val="left"/>
    </w:pPr>
  </w:style>
  <w:style w:type="paragraph" w:customStyle="1" w:styleId="StandardRisoluzionedelConsigliodiStato">
    <w:name w:val="StandardRisoluzionedelConsigliodiStato"/>
    <w:basedOn w:val="Normale"/>
    <w:qFormat/>
    <w:rsid w:val="00FA1872"/>
    <w:rPr>
      <w:sz w:val="24"/>
    </w:rPr>
  </w:style>
  <w:style w:type="paragraph" w:customStyle="1" w:styleId="DatumRisoluzionedelConsigliodiStato">
    <w:name w:val="DatumRisoluzionedelConsigliodiStato"/>
    <w:basedOn w:val="StandardRisoluzionedelConsigliodiStato"/>
    <w:qFormat/>
    <w:rsid w:val="00075E78"/>
    <w:pPr>
      <w:spacing w:before="60"/>
      <w:jc w:val="left"/>
    </w:pPr>
  </w:style>
  <w:style w:type="paragraph" w:customStyle="1" w:styleId="EnclosuresBoxRisoluzionedelConsigliodiStato">
    <w:name w:val="EnclosuresBoxRisoluzionedelConsigliodiStato"/>
    <w:basedOn w:val="EnclosuresBox"/>
    <w:qFormat/>
    <w:rsid w:val="003C60F0"/>
    <w:rPr>
      <w:sz w:val="24"/>
      <w:lang w:val="it-CH"/>
    </w:rPr>
  </w:style>
  <w:style w:type="paragraph" w:customStyle="1" w:styleId="Page">
    <w:name w:val="Page"/>
    <w:basedOn w:val="Data"/>
    <w:qFormat/>
    <w:rsid w:val="0029312B"/>
    <w:pPr>
      <w:spacing w:after="60"/>
    </w:pPr>
  </w:style>
  <w:style w:type="paragraph" w:customStyle="1" w:styleId="Information">
    <w:name w:val="Information"/>
    <w:basedOn w:val="Data"/>
    <w:qFormat/>
    <w:rsid w:val="00955039"/>
    <w:pPr>
      <w:spacing w:before="60"/>
    </w:pPr>
  </w:style>
  <w:style w:type="paragraph" w:customStyle="1" w:styleId="PageRisoluzioneConsigliodiStato">
    <w:name w:val="PageRisoluzioneConsigliodiStato"/>
    <w:basedOn w:val="Page"/>
    <w:qFormat/>
    <w:rsid w:val="00075E78"/>
    <w:rPr>
      <w:sz w:val="24"/>
    </w:rPr>
  </w:style>
  <w:style w:type="paragraph" w:customStyle="1" w:styleId="ListAlphabetic12">
    <w:name w:val="ListAlphabetic12"/>
    <w:basedOn w:val="ListAlphabetic"/>
    <w:qFormat/>
    <w:rsid w:val="0040086C"/>
    <w:pPr>
      <w:numPr>
        <w:numId w:val="3"/>
      </w:numPr>
    </w:pPr>
    <w:rPr>
      <w:sz w:val="24"/>
      <w:szCs w:val="24"/>
    </w:rPr>
  </w:style>
  <w:style w:type="paragraph" w:customStyle="1" w:styleId="ListNumeric12">
    <w:name w:val="ListNumeric12"/>
    <w:basedOn w:val="ListNumeric"/>
    <w:qFormat/>
    <w:rsid w:val="0040086C"/>
    <w:rPr>
      <w:sz w:val="24"/>
      <w:szCs w:val="24"/>
    </w:rPr>
  </w:style>
  <w:style w:type="paragraph" w:customStyle="1" w:styleId="ListBullet12">
    <w:name w:val="ListBullet12"/>
    <w:basedOn w:val="ListBullet"/>
    <w:qFormat/>
    <w:rsid w:val="0040086C"/>
    <w:rPr>
      <w:sz w:val="24"/>
      <w:szCs w:val="24"/>
    </w:rPr>
  </w:style>
  <w:style w:type="paragraph" w:customStyle="1" w:styleId="ListLine12">
    <w:name w:val="ListLine12"/>
    <w:basedOn w:val="ListLine"/>
    <w:qFormat/>
    <w:rsid w:val="0040086C"/>
    <w:rPr>
      <w:sz w:val="24"/>
      <w:szCs w:val="24"/>
    </w:rPr>
  </w:style>
  <w:style w:type="character" w:customStyle="1" w:styleId="Titolo6Carattere">
    <w:name w:val="Titolo 6 Carattere"/>
    <w:basedOn w:val="Carpredefinitoparagrafo"/>
    <w:link w:val="Titolo6"/>
    <w:uiPriority w:val="9"/>
    <w:semiHidden/>
    <w:rsid w:val="006F0D42"/>
    <w:rPr>
      <w:rFonts w:ascii="Arial" w:eastAsiaTheme="majorEastAsia" w:hAnsi="Arial" w:cstheme="majorBidi"/>
      <w:b/>
      <w:color w:val="243F60" w:themeColor="accent1" w:themeShade="7F"/>
      <w:lang w:val="it-CH"/>
    </w:rPr>
  </w:style>
  <w:style w:type="character" w:customStyle="1" w:styleId="Titolo7Carattere">
    <w:name w:val="Titolo 7 Carattere"/>
    <w:basedOn w:val="Carpredefinitoparagrafo"/>
    <w:link w:val="Titolo7"/>
    <w:uiPriority w:val="9"/>
    <w:semiHidden/>
    <w:rsid w:val="006F0D42"/>
    <w:rPr>
      <w:rFonts w:ascii="Arial" w:eastAsiaTheme="majorEastAsia" w:hAnsi="Arial" w:cstheme="majorBidi"/>
      <w:b/>
      <w:i/>
      <w:iCs/>
      <w:color w:val="243F60" w:themeColor="accent1" w:themeShade="7F"/>
      <w:lang w:val="it-CH"/>
    </w:rPr>
  </w:style>
  <w:style w:type="character" w:customStyle="1" w:styleId="Titolo8Carattere">
    <w:name w:val="Titolo 8 Carattere"/>
    <w:basedOn w:val="Carpredefinitoparagrafo"/>
    <w:link w:val="Titolo8"/>
    <w:uiPriority w:val="9"/>
    <w:semiHidden/>
    <w:rsid w:val="006F0D42"/>
    <w:rPr>
      <w:rFonts w:ascii="Arial" w:eastAsiaTheme="majorEastAsia" w:hAnsi="Arial" w:cstheme="majorBidi"/>
      <w:color w:val="272727" w:themeColor="text1" w:themeTint="D8"/>
      <w:szCs w:val="21"/>
      <w:lang w:val="it-CH"/>
    </w:rPr>
  </w:style>
  <w:style w:type="character" w:customStyle="1" w:styleId="Titolo9Carattere">
    <w:name w:val="Titolo 9 Carattere"/>
    <w:basedOn w:val="Carpredefinitoparagrafo"/>
    <w:link w:val="Titolo9"/>
    <w:uiPriority w:val="9"/>
    <w:semiHidden/>
    <w:rsid w:val="006F0D42"/>
    <w:rPr>
      <w:rFonts w:ascii="Arial" w:eastAsiaTheme="majorEastAsia" w:hAnsi="Arial" w:cstheme="majorBidi"/>
      <w:i/>
      <w:iCs/>
      <w:color w:val="272727" w:themeColor="text1" w:themeTint="D8"/>
      <w:szCs w:val="21"/>
      <w:lang w:val="it-CH"/>
    </w:rPr>
  </w:style>
  <w:style w:type="paragraph" w:customStyle="1" w:styleId="TitleSubtemplateLandscape">
    <w:name w:val="TitleSubtemplateLandscape"/>
    <w:basedOn w:val="HeaderDecisione"/>
    <w:qFormat/>
    <w:rsid w:val="00A75031"/>
    <w:rPr>
      <w:rFonts w:ascii="Gill Sans Display MT Pro BdCn" w:hAnsi="Gill Sans Display MT Pro BdCn"/>
      <w:sz w:val="18"/>
    </w:rPr>
  </w:style>
  <w:style w:type="table" w:customStyle="1" w:styleId="Stile21">
    <w:name w:val="Stile21"/>
    <w:basedOn w:val="Tabellanormale"/>
    <w:uiPriority w:val="99"/>
    <w:rsid w:val="00CA690D"/>
    <w:pPr>
      <w:jc w:val="left"/>
    </w:pPr>
    <w:rPr>
      <w:lang w:val="it-CH"/>
    </w:rPr>
    <w:tblPr>
      <w:tblBorders>
        <w:insideH w:val="single" w:sz="2" w:space="0" w:color="auto"/>
      </w:tblBorders>
    </w:tblPr>
    <w:tblStylePr w:type="firstRow">
      <w:tblPr/>
      <w:tcPr>
        <w:tcBorders>
          <w:top w:val="single" w:sz="12" w:space="0" w:color="auto"/>
          <w:left w:val="nil"/>
          <w:bottom w:val="nil"/>
          <w:right w:val="nil"/>
          <w:insideH w:val="nil"/>
          <w:insideV w:val="nil"/>
          <w:tl2br w:val="nil"/>
          <w:tr2bl w:val="nil"/>
        </w:tcBorders>
      </w:tcPr>
    </w:tblStylePr>
    <w:tblStylePr w:type="lastRow">
      <w:tblPr/>
      <w:tcPr>
        <w:tcBorders>
          <w:top w:val="nil"/>
          <w:left w:val="nil"/>
          <w:bottom w:val="nil"/>
          <w:right w:val="nil"/>
          <w:insideH w:val="nil"/>
          <w:insideV w:val="nil"/>
          <w:tl2br w:val="nil"/>
          <w:tr2bl w:val="nil"/>
        </w:tcBorders>
      </w:tcPr>
    </w:tblStylePr>
    <w:tblStylePr w:type="firstCol">
      <w:pPr>
        <w:jc w:val="left"/>
      </w:pPr>
      <w:rPr>
        <w:rFonts w:ascii="Gill Sans" w:hAnsi="Gill Sans"/>
        <w:b/>
        <w:sz w:val="22"/>
      </w:rPr>
      <w:tblPr/>
      <w:tcPr>
        <w:tcBorders>
          <w:top w:val="nil"/>
          <w:left w:val="nil"/>
          <w:bottom w:val="nil"/>
          <w:right w:val="nil"/>
          <w:insideH w:val="nil"/>
          <w:insideV w:val="nil"/>
          <w:tl2br w:val="nil"/>
          <w:tr2bl w:val="nil"/>
        </w:tcBorders>
      </w:tcPr>
    </w:tblStylePr>
    <w:tblStylePr w:type="lastCol">
      <w:tblPr/>
      <w:tcPr>
        <w:tcBorders>
          <w:top w:val="nil"/>
          <w:left w:val="nil"/>
          <w:bottom w:val="single" w:sz="2" w:space="0" w:color="auto"/>
          <w:right w:val="nil"/>
          <w:insideH w:val="single" w:sz="2" w:space="0" w:color="auto"/>
          <w:insideV w:val="single" w:sz="2" w:space="0" w:color="auto"/>
          <w:tl2br w:val="nil"/>
          <w:tr2bl w:val="nil"/>
        </w:tcBorders>
      </w:tcPr>
    </w:tblStylePr>
  </w:style>
  <w:style w:type="table" w:customStyle="1" w:styleId="Stile23">
    <w:name w:val="Stile23"/>
    <w:basedOn w:val="Tabellanormale"/>
    <w:uiPriority w:val="99"/>
    <w:rsid w:val="00CA690D"/>
    <w:pPr>
      <w:jc w:val="left"/>
    </w:pPr>
    <w:rPr>
      <w:lang w:val="it-CH"/>
    </w:rPr>
    <w:tblPr>
      <w:tblBorders>
        <w:insideH w:val="single" w:sz="2" w:space="0" w:color="auto"/>
      </w:tblBorders>
    </w:tblPr>
    <w:tblStylePr w:type="firstRow">
      <w:tblPr/>
      <w:tcPr>
        <w:tcBorders>
          <w:top w:val="single" w:sz="12" w:space="0" w:color="auto"/>
          <w:left w:val="nil"/>
          <w:bottom w:val="nil"/>
          <w:right w:val="nil"/>
          <w:insideH w:val="nil"/>
          <w:insideV w:val="nil"/>
          <w:tl2br w:val="nil"/>
          <w:tr2bl w:val="nil"/>
        </w:tcBorders>
      </w:tcPr>
    </w:tblStylePr>
    <w:tblStylePr w:type="lastRow">
      <w:tblPr/>
      <w:tcPr>
        <w:tcBorders>
          <w:top w:val="nil"/>
          <w:left w:val="nil"/>
          <w:bottom w:val="nil"/>
          <w:right w:val="nil"/>
          <w:insideH w:val="nil"/>
          <w:insideV w:val="nil"/>
          <w:tl2br w:val="nil"/>
          <w:tr2bl w:val="nil"/>
        </w:tcBorders>
      </w:tcPr>
    </w:tblStylePr>
    <w:tblStylePr w:type="firstCol">
      <w:pPr>
        <w:jc w:val="left"/>
      </w:pPr>
      <w:rPr>
        <w:rFonts w:ascii="Gill Sans" w:hAnsi="Gill Sans"/>
        <w:b/>
        <w:sz w:val="22"/>
      </w:rPr>
      <w:tblPr/>
      <w:tcPr>
        <w:tcBorders>
          <w:top w:val="nil"/>
          <w:left w:val="nil"/>
          <w:bottom w:val="nil"/>
          <w:right w:val="nil"/>
          <w:insideH w:val="nil"/>
          <w:insideV w:val="nil"/>
          <w:tl2br w:val="nil"/>
          <w:tr2bl w:val="nil"/>
        </w:tcBorders>
      </w:tcPr>
    </w:tblStylePr>
    <w:tblStylePr w:type="lastCol">
      <w:tblPr/>
      <w:tcPr>
        <w:tcBorders>
          <w:top w:val="nil"/>
          <w:left w:val="nil"/>
          <w:bottom w:val="single" w:sz="2" w:space="0" w:color="auto"/>
          <w:right w:val="nil"/>
          <w:insideH w:val="single" w:sz="2" w:space="0" w:color="auto"/>
          <w:insideV w:val="single" w:sz="2" w:space="0" w:color="auto"/>
          <w:tl2br w:val="nil"/>
          <w:tr2bl w:val="nil"/>
        </w:tcBorders>
      </w:tcPr>
    </w:tblStylePr>
  </w:style>
  <w:style w:type="table" w:customStyle="1" w:styleId="Stile211">
    <w:name w:val="Stile211"/>
    <w:basedOn w:val="Tabellanormale"/>
    <w:uiPriority w:val="99"/>
    <w:rsid w:val="001F4EF0"/>
    <w:pPr>
      <w:jc w:val="left"/>
    </w:pPr>
    <w:rPr>
      <w:rFonts w:ascii="Calibri" w:eastAsia="Calibri" w:hAnsi="Calibri" w:cs="Times New Roman"/>
      <w:lang w:val="it-IT"/>
    </w:rPr>
    <w:tblPr>
      <w:tblInd w:w="0" w:type="nil"/>
      <w:tblBorders>
        <w:insideH w:val="single" w:sz="2" w:space="0" w:color="auto"/>
      </w:tblBorders>
    </w:tblPr>
    <w:tblStylePr w:type="firstRow">
      <w:tblPr/>
      <w:tcPr>
        <w:tcBorders>
          <w:top w:val="single" w:sz="12" w:space="0" w:color="auto"/>
          <w:left w:val="nil"/>
          <w:bottom w:val="nil"/>
          <w:right w:val="nil"/>
          <w:insideH w:val="nil"/>
          <w:insideV w:val="nil"/>
          <w:tl2br w:val="nil"/>
          <w:tr2bl w:val="nil"/>
        </w:tcBorders>
      </w:tcPr>
    </w:tblStylePr>
    <w:tblStylePr w:type="lastRow">
      <w:tblPr/>
      <w:tcPr>
        <w:tcBorders>
          <w:top w:val="nil"/>
          <w:left w:val="nil"/>
          <w:bottom w:val="nil"/>
          <w:right w:val="nil"/>
          <w:insideH w:val="nil"/>
          <w:insideV w:val="nil"/>
          <w:tl2br w:val="nil"/>
          <w:tr2bl w:val="nil"/>
        </w:tcBorders>
      </w:tcPr>
    </w:tblStylePr>
    <w:tblStylePr w:type="firstCol">
      <w:pPr>
        <w:jc w:val="left"/>
      </w:pPr>
      <w:rPr>
        <w:rFonts w:ascii="Gill Sans" w:hAnsi="Gill Sans" w:hint="default"/>
        <w:b/>
        <w:sz w:val="22"/>
        <w:szCs w:val="22"/>
      </w:rPr>
      <w:tblPr/>
      <w:tcPr>
        <w:tcBorders>
          <w:top w:val="nil"/>
          <w:left w:val="nil"/>
          <w:bottom w:val="nil"/>
          <w:right w:val="nil"/>
          <w:insideH w:val="nil"/>
          <w:insideV w:val="nil"/>
          <w:tl2br w:val="nil"/>
          <w:tr2bl w:val="nil"/>
        </w:tcBorders>
      </w:tcPr>
    </w:tblStylePr>
    <w:tblStylePr w:type="lastCol">
      <w:tblPr/>
      <w:tcPr>
        <w:tcBorders>
          <w:top w:val="nil"/>
          <w:left w:val="nil"/>
          <w:bottom w:val="single" w:sz="2" w:space="0" w:color="auto"/>
          <w:right w:val="nil"/>
          <w:insideH w:val="single" w:sz="2" w:space="0" w:color="auto"/>
          <w:insideV w:val="single" w:sz="2" w:space="0" w:color="auto"/>
          <w:tl2br w:val="nil"/>
          <w:tr2bl w:val="nil"/>
        </w:tcBorders>
      </w:tcPr>
    </w:tblStylePr>
  </w:style>
  <w:style w:type="paragraph" w:styleId="Testofumetto">
    <w:name w:val="Balloon Text"/>
    <w:basedOn w:val="Normale"/>
    <w:link w:val="TestofumettoCarattere"/>
    <w:uiPriority w:val="99"/>
    <w:semiHidden/>
    <w:unhideWhenUsed/>
    <w:rsid w:val="00F22251"/>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F22251"/>
    <w:rPr>
      <w:rFonts w:ascii="Segoe UI" w:hAnsi="Segoe UI" w:cs="Segoe UI"/>
      <w:sz w:val="18"/>
      <w:szCs w:val="18"/>
      <w:lang w:val="it-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152873">
      <w:bodyDiv w:val="1"/>
      <w:marLeft w:val="0"/>
      <w:marRight w:val="0"/>
      <w:marTop w:val="0"/>
      <w:marBottom w:val="0"/>
      <w:divBdr>
        <w:top w:val="none" w:sz="0" w:space="0" w:color="auto"/>
        <w:left w:val="none" w:sz="0" w:space="0" w:color="auto"/>
        <w:bottom w:val="none" w:sz="0" w:space="0" w:color="auto"/>
        <w:right w:val="none" w:sz="0" w:space="0" w:color="auto"/>
      </w:divBdr>
    </w:div>
    <w:div w:id="272131274">
      <w:bodyDiv w:val="1"/>
      <w:marLeft w:val="0"/>
      <w:marRight w:val="0"/>
      <w:marTop w:val="0"/>
      <w:marBottom w:val="0"/>
      <w:divBdr>
        <w:top w:val="none" w:sz="0" w:space="0" w:color="auto"/>
        <w:left w:val="none" w:sz="0" w:space="0" w:color="auto"/>
        <w:bottom w:val="none" w:sz="0" w:space="0" w:color="auto"/>
        <w:right w:val="none" w:sz="0" w:space="0" w:color="auto"/>
      </w:divBdr>
    </w:div>
    <w:div w:id="1461265373">
      <w:bodyDiv w:val="1"/>
      <w:marLeft w:val="0"/>
      <w:marRight w:val="0"/>
      <w:marTop w:val="0"/>
      <w:marBottom w:val="0"/>
      <w:divBdr>
        <w:top w:val="none" w:sz="0" w:space="0" w:color="auto"/>
        <w:left w:val="none" w:sz="0" w:space="0" w:color="auto"/>
        <w:bottom w:val="none" w:sz="0" w:space="0" w:color="auto"/>
        <w:right w:val="none" w:sz="0" w:space="0" w:color="auto"/>
      </w:divBdr>
    </w:div>
    <w:div w:id="173954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128124\AppData\Local\Temp\OneOffixx\generated\88dfc263-c535-415b-9ad6-2ba9eec691d7.dotx" TargetMode="External"/></Relationships>
</file>

<file path=word/theme/theme1.xml><?xml version="1.0" encoding="utf-8"?>
<a:theme xmlns:a="http://schemas.openxmlformats.org/drawingml/2006/main" name="Tema basis colorato">
  <a:themeElements>
    <a:clrScheme name="Tema basis colorat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ma basis colorato">
      <a:majorFont>
        <a:latin typeface="Calibri Light"/>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OneOffixxExtendedBindingPart xmlns:xsd="http://www.w3.org/2001/XMLSchema" xmlns:xsi="http://www.w3.org/2001/XMLSchema-instance" xmlns="http://schema.oneoffixx.com/OneOffixxExtendedBindingPart/1">
  <ExtendedBindings/>
</OneOffixxExtendedBindingPart>
</file>

<file path=customXml/item2.xml><?xml version="1.0" encoding="utf-8"?>
<OneOffixxFormattingPart xmlns:xsd="http://www.w3.org/2001/XMLSchema" xmlns:xsi="http://www.w3.org/2001/XMLSchema-instance" xmlns="http://schema.oneoffixx.com/OneOffixxFormattingPart/1">
  <Configuration>
    <DocumentFunction xmlns="">
      <!-- Parametrierung der Überschriften -->
      <!-- Parametrierung der Überschriften -->
      <Group name="Headings">
        <Definition type="Heading" level="1" style="Überschrift 1"/>
        <Definition type="Heading" level="2" style="Überschrift 2"/>
        <Definition type="Heading" level="3" style="Überschrift 3"/>
        <Definition type="Heading" level="4" style="Überschrift 4"/>
      </Group>
      <!-- Parametrierung der Tabulatoren -->
      <Group name="Indents" maxListLevels="1">
      </Group>
      <!-- Parametrierung der Listen, Aufzählungen und Nummerierungen -->
      <Group name="NumberingStyles">
        <Definition type="Numeric" tabPosition="1" style="ListNumeric12"/>
        <Definition type="Alphabetic" tabPosition="1" style="ListAlphabetic12"/>
        <Definition type="Bullet" tabPosition="1" style="ListBullet12"/>
        <Definition type="Line" tabPosition="1" style="ListLine12"/>
      </Group>
      <!-- Parametrierung der Nummerierungs-Optionen -->
      <Group name="NumberingBehaviors">
        <Definition type="Increment" style="ListNumeric12"/>
        <Definition type="Decrement"/>
        <!--
          <Definition type="RestartMain"/>
          <Definition type="RestartSub"/>
          -->
        <Definition type="ResetChapter" style="Überschrift 1"/>
        <Definition type="ResetList" style="ListNumeric12"/>
      </Group>
      <!-- Parametrierung der weiteren Formatierungs-Optionen -->
      <Group name="Styles">
        <Definition type="Standard" style="StandardRisoluzionedelConsigliodiStato"/>
        <Definition type="Bold" style=""/>
        <Definition type="Italic" style=""/>
        <Definition type="Underline" style=""/>
      </Group>
      <!-- Parametrierung der weiteren kundenspezifischen Formatierungs-Optionen -->
      <Group name="CustomStyles">
        <Category id="Headings">
          <Label lcid="1042">Überschriften</Label>
          <Definition type="Titel" style="Titel">
            <Label lcid="1042">Titel</Label>
          </Definition>
          <Definition type="Untertitel" style="Untertitel">
            <Label lcid="1042">Untertitel</Label>
          </Definition>
        </Category>
        <Category id="Various">
          <Label lcid="1042">Diverses</Label>
          <Definition type="Hervorhebung" style="Hervorhebung">
            <Label lcid="1042">Hervorhebung</Label>
          </Definition>
        </Category>
        <!--
          <Category id="Formats">
            <Label lcid="1042">div. Formatierungen</Label>
            <Definition type="Intensiv" style="Intensiv">
              <Label lcid="1042">Hervorgehoben</Label>
            </Definition>
            <Definition type="Bold" style="Fett">
              <Label lcid="1042">Fett</Label>
            </Definition>
          </Category>
          -->
      </Group>
    </DocumentFunction>
  </Configuration>
</OneOffixxFormattingPart>
</file>

<file path=customXml/item3.xml><?xml version="1.0" encoding="utf-8"?>
<OneOffixxImageDefinitionPart xmlns:xsd="http://www.w3.org/2001/XMLSchema" xmlns:xsi="http://www.w3.org/2001/XMLSchema-instance" xmlns="http://schema.oneoffixx.com/OneOffixxImageDefinitionPart/1">
  <ImageDefinitions>
    <ImageSizeDefinition>
      <Id>993988235</Id>
      <Width>0</Width>
      <Height>0</Height>
      <XPath>//Image[@id='Profile.Org.Logo']</XPath>
      <ImageHash>c45d7cd7b68e3e6ca57220766e88079c</ImageHash>
    </ImageSizeDefinition>
    <ImageSizeDefinition>
      <Id>1334982032</Id>
      <Width>0</Width>
      <Height>0</Height>
      <XPath>//Image[@id='Profile.Org.WappenSW']</XPath>
      <ImageHash>02f1c0cdac6aeac316213b2e7cb733a0</ImageHash>
    </ImageSizeDefinition>
    <ImageSizeDefinition>
      <Id>707072295</Id>
      <Width>0</Width>
      <Height>0</Height>
      <XPath>//Image[@id='Profile.Org.WappenSW']</XPath>
      <ImageHash>02f1c0cdac6aeac316213b2e7cb733a0</ImageHash>
    </ImageSizeDefinition>
    <ImageSizeDefinition>
      <Id>1837403615</Id>
      <Width>0</Width>
      <Height>0</Height>
      <XPath>//Image[@id='Profile.Org.Logo']</XPath>
      <ImageHash>c45d7cd7b68e3e6ca57220766e88079c</ImageHash>
    </ImageSizeDefinition>
  </ImageDefinitions>
</OneOffixxImageDefinitionPart>
</file>

<file path=customXml/item4.xml>��< ? x m l   v e r s i o n = " 1 . 0 "   e n c o d i n g = " u t f - 1 6 " ? > < O n e O f f i x x D o c u m e n t P a r t   x m l n s : x s d = " h t t p : / / w w w . w 3 . o r g / 2 0 0 1 / X M L S c h e m a "   x m l n s : x s i = " h t t p : / / w w w . w 3 . o r g / 2 0 0 1 / X M L S c h e m a - i n s t a n c e "   i d = " 1 d 1 4 b 9 f 7 - 3 1 a b - 4 8 4 e - 8 b f 7 - e 1 3 0 0 a f 2 e 7 5 6 "   t I d = " a 3 6 2 a 5 d 4 - 9 5 8 9 - 4 1 b f - a 4 e 6 - 4 f 8 7 c 4 e 4 1 2 3 9 "   i n t e r n a l T I d = " 9 0 6 4 c c 7 f - 3 1 6 d - 4 6 b 1 - a 4 a c - 7 4 8 6 0 c 3 f 8 a 5 b "   m t I d = " 2 7 5 a f 3 2 e - b c 4 0 - 4 5 c 2 - 8 5 b 7 - a f b 1 c 0 3 8 2 6 5 3 "   r e v i s i o n = " 0 "   c r e a t e d m a j o r v e r s i o n = " 0 "   c r e a t e d m i n o r v e r s i o n = " 0 "   c r e a t e d = " 2 0 2 3 - 0 6 - 0 6 T 1 1 : 4 7 : 1 9 . 6 2 0 6 3 5 3 Z "   m o d i f i e d m a j o r v e r s i o n = " 0 "   m o d i f i e d m i n o r v e r s i o n = " 0 "   m o d i f i e d = " 0 0 0 1 - 0 1 - 0 1 T 0 0 : 0 0 : 0 0 "   p r o f i l e = " 5 9 5 8 5 8 a 3 - 7 2 4 4 - 4 0 c 7 - b d b 3 - b c 5 b 5 5 b f f 6 f d "   m o d e = " S a v e d D o c u m e n t "   c o l o r m o d e = " C o l o r "   l c i d = " 2 0 6 4 "   x m l n s = " h t t p : / / s c h e m a . o n e o f f i x x . c o m / O n e O f f i x x D o c u m e n t P a r t / 1 " >  
     < C o n t e n t >  
         < D a t a M o d e l   x m l n s = " " >  
             < P r o f i l e >  
                 < T e x t   i d = " P r o f i l e . I d "   l a b e l = " P r o f i l e . I d " > < ! [ C D A T A [ 5 9 5 8 5 8 a 3 - 7 2 4 4 - 4 0 c 7 - b d b 3 - b c 5 b 5 5 b f f 6 f d ] ] > < / T e x t >  
                 < T e x t   i d = " P r o f i l e . O r g a n i z a t i o n U n i t I d "   l a b e l = " P r o f i l e . O r g a n i z a t i o n U n i t I d " > < ! [ C D A T A [ 9 d a a d 4 f f - 6 1 3 7 - 4 d d c - a 8 d 4 - 7 b 3 0 4 6 4 e 8 6 4 a ] ] > < / T e x t >  
                 < T e x t   i d = " P r o f i l e . O r g . E m a i l "   l a b e l = " P r o f i l e . O r g . E m a i l " > < ! [ C D A T A [ s g c @ t i . c h ] ] > < / T e x t >  
                 < T e x t   i d = " P r o f i l e . O r g . F a x "   l a b e l = " P r o f i l e . O r g . F a x " > < ! [ C D A T A [ + 4 1   9 1   8 1 4   4 4   0 6 ] ] > < / T e x t >  
                 < T e x t   i d = " P r o f i l e . O r g . I n f o . S u p p 1 "   l a b e l = " P r o f i l e . O r g . I n f o . S u p p 1 " > < ! [ C D A T A [   ] ] > < / T e x t >  
                 < T e x t   i d = " P r o f i l e . O r g . I n f o . S u p p 2 "   l a b e l = " P r o f i l e . O r g . I n f o . S u p p 2 " > < ! [ C D A T A [   ] ] > < / T e x t >  
                 < T e x t   i d = " P r o f i l e . O r g . L e v e l 1 "   l a b e l = " P r o f i l e . O r g . L e v e l 1 " > < ! [ C D A T A [ R e p u b b l i c a   e   C a n t o n e  
 T i c i n o ] ] > < / T e x t >  
                 < T e x t   i d = " P r o f i l e . O r g . L e v e l 2 "   l a b e l = " P r o f i l e . O r g . L e v e l 2 " > < ! [ C D A T A [   ] ] > < / T e x t >  
                 < T e x t   i d = " P r o f i l e . O r g . L e v e l 3 "   l a b e l = " P r o f i l e . O r g . L e v e l 3 " > < ! [ C D A T A [   ] ] > < / T e x t >  
                 < T e x t   i d = " P r o f i l e . O r g . L e v e l 4 "   l a b e l = " P r o f i l e . O r g . L e v e l 4 " > < ! [ C D A T A [   ] ] > < / T e x t >  
                 < T e x t   i d = " P r o f i l e . O r g . L e v e l 5 "   l a b e l = " P r o f i l e . O r g . L e v e l 5 " > < ! [ C D A T A [   ] ] > < / T e x t >  
                 < T e x t   i d = " P r o f i l e . O r g . L e v e l 6 "   l a b e l = " P r o f i l e . O r g . L e v e l 6 " > < ! [ C D A T A [ G r a n   C o n s i g l i o ] ] > < / T e x t >  
                 < T e x t   i d = " P r o f i l e . O r g . P h o n e "   l a b e l = " P r o f i l e . O r g . P h o n e " > < ! [ C D A T A [ + 4 1   9 1   8 1 4   4 3   2 6 / 2 7 ] ] > < / T e x t >  
                 < T e x t   i d = " P r o f i l e . O r g . P o s t a l . C i t y "   l a b e l = " P r o f i l e . O r g . P o s t a l . C i t y " > < ! [ C D A T A [ B e l l i n z o n a ] ] > < / T e x t >  
                 < T e x t   i d = " P r o f i l e . O r g . P o s t a l . P B o x "   l a b e l = " P r o f i l e . O r g . P o s t a l . P B o x " > < ! [ C D A T A [   ] ] > < / T e x t >  
                 < T e x t   i d = " P r o f i l e . O r g . P o s t a l . P C i t y "   l a b e l = " P r o f i l e . O r g . P o s t a l . P C i t y " > < ! [ C D A T A [   ] ] > < / T e x t >  
                 < T e x t   i d = " P r o f i l e . O r g . P o s t a l . P l a c e "   l a b e l = " P r o f i l e . O r g . P o s t a l . P l a c e " > < ! [ C D A T A [   ] ] > < / T e x t >  
                 < T e x t   i d = " P r o f i l e . O r g . P o s t a l . P Z i p "   l a b e l = " P r o f i l e . O r g . P o s t a l . P Z i p " > < ! [ C D A T A [   ] ] > < / T e x t >  
                 < T e x t   i d = " P r o f i l e . O r g . P o s t a l . S t r e e t "   l a b e l = " P r o f i l e . O r g . P o s t a l . S t r e e t " > < ! [ C D A T A [ P i a z z a   G o v e r n o   6 ] ] > < / T e x t >  
                 < T e x t   i d = " P r o f i l e . O r g . P o s t a l . Z i p "   l a b e l = " P r o f i l e . O r g . P o s t a l . Z i p " > < ! [ C D A T A [ 6 5 0 1 ] ] > < / T e x t >  
                 < T e x t   i d = " P r o f i l e . O r g . W e b "   l a b e l = " P r o f i l e . O r g . W e b " > < ! [ C D A T A [   ] ] > < / T e x t >  
                 < T e x t   i d = " P r o f i l e . U s e r . A l i a s "   l a b e l = " P r o f i l e . U s e r . A l i a s " > < ! [ C D A T A [   ] ] > < / T e x t >  
                 < T e x t   i d = " P r o f i l e . U s e r . E m a i l "   l a b e l = " P r o f i l e . U s e r . E m a i l " > < ! [ C D A T A [ l u c a . v e n t u r i @ t i . c h ] ] > < / T e x t >  
                 < T e x t   i d = " P r o f i l e . U s e r . F i r s t N a m e "   l a b e l = " P r o f i l e . U s e r . F i r s t N a m e " > < ! [ C D A T A [ L u c a ] ] > < / T e x t >  
                 < T e x t   i d = " P r o f i l e . U s e r . F u n c t i o n "   l a b e l = " P r o f i l e . U s e r . F u n c t i o n " > < ! [ C D A T A [ S G C ] ] > < / T e x t >  
                 < T e x t   i d = " P r o f i l e . U s e r . L a s t N a m e "   l a b e l = " P r o f i l e . U s e r . L a s t N a m e " > < ! [ C D A T A [ V e n t u r i ] ] > < / T e x t >  
                 < T e x t   i d = " P r o f i l e . U s e r . M o b i l e "   l a b e l = " P r o f i l e . U s e r . M o b i l e " > < ! [ C D A T A [   ] ] > < / T e x t >  
                 < T e x t   i d = " P r o f i l e . U s e r . P h o n e "   l a b e l = " P r o f i l e . U s e r . P h o n e " > < ! [ C D A T A [ + 4 1 9 1 8 1 4 4 3 2 6 ] ] > < / T e x t >  
                 < T e x t   i d = " P r o f i l e . U s e r . S a l u t a t i o n "   l a b e l = " P r o f i l e . U s e r . S a l u t a t i o n " > < ! [ C D A T A [   ] ] > < / T e x t >  
                 < T e x t   i d = " P r o f i l e . U s e r . T i t l e "   l a b e l = " P r o f i l e . U s e r . T i t l e " > < ! [ C D A T A [   ] ] > < / T e x t >  
             < / P r o f i l e >  
             < A u t h o r >  
                 < T e x t   i d = " A u t h o r . U s e r . A l i a s "   l a b e l = " A u t h o r . U s e r . A l i a s " > < ! [ C D A T A [   ] ] > < / T e x t >  
                 < T e x t   i d = " A u t h o r . U s e r . E m a i l "   l a b e l = " A u t h o r . U s e r . E m a i l " > < ! [ C D A T A [ l u c a . v e n t u r i @ t i . c h ] ] > < / T e x t >  
                 < T e x t   i d = " A u t h o r . U s e r . F i r s t N a m e "   l a b e l = " A u t h o r . U s e r . F i r s t N a m e " > < ! [ C D A T A [ L u c a ] ] > < / T e x t >  
                 < T e x t   i d = " A u t h o r . U s e r . F u n c t i o n "   l a b e l = " A u t h o r . U s e r . F u n c t i o n " > < ! [ C D A T A [ S G C ] ] > < / T e x t >  
                 < T e x t   i d = " A u t h o r . U s e r . L a s t N a m e "   l a b e l = " A u t h o r . U s e r . L a s t N a m e " > < ! [ C D A T A [ V e n t u r i ] ] > < / T e x t >  
                 < T e x t   i d = " A u t h o r . U s e r . M o b i l e "   l a b e l = " A u t h o r . U s e r . M o b i l e " > < ! [ C D A T A [   ] ] > < / T e x t >  
                 < T e x t   i d = " A u t h o r . U s e r . P h o n e "   l a b e l = " A u t h o r . U s e r . P h o n e " > < ! [ C D A T A [ + 4 1 9 1 8 1 4 4 3 2 6 ] ] > < / T e x t >  
                 < T e x t   i d = " A u t h o r . U s e r . S a l u t a t i o n "   l a b e l = " A u t h o r . U s e r . S a l u t a t i o n " > < ! [ C D A T A [   ] ] > < / T e x t >  
                 < T e x t   i d = " A u t h o r . U s e r . T i t l e "   l a b e l = " A u t h o r . U s e r . T i t l e " > < ! [ C D A T A [   ] ] > < / T e x t >  
             < / A u t h o r >  
             < S i g n e r _ 0 >  
                 < T e x t   i d = " S i g n e r _ 0 . I d "   l a b e l = " S i g n e r _ 0 . I d " > < ! [ C D A T A [ 6 8 0 1 a d 3 e - 7 c c d - 4 d d 4 - a b e 3 - 5 8 7 f 4 7 3 6 f 2 b 7 ] ] > < / T e x t >  
                 < T e x t   i d = " S i g n e r _ 0 . O r g a n i z a t i o n U n i t I d "   l a b e l = " S i g n e r _ 0 . O r g a n i z a t i o n U n i t I d " > < ! [ C D A T A [ d c 7 9 3 f c 0 - 4 0 a 3 - 4 a a b - b 1 d e - 7 7 b 2 d f c 5 8 3 c 2 ] ] > < / T e x t >  
                 < T e x t   i d = " S i g n e r _ 0 . O r g . E m a i l "   l a b e l = " S i g n e r _ 0 . O r g . E m a i l " > < ! [ C D A T A [ s g c @ t i . c h ] ] > < / T e x t >  
                 < T e x t   i d = " S i g n e r _ 0 . O r g . F a x "   l a b e l = " S i g n e r _ 0 . O r g . F a x " > < ! [ C D A T A [ + 4 1   9 1   8 1 4   4 4   0 6 ] ] > < / T e x t >  
                 < T e x t   i d = " S i g n e r _ 0 . O r g . I n f o . S u p p 1 "   l a b e l = " S i g n e r _ 0 . O r g . I n f o . S u p p 1 " > < ! [ C D A T A [   ] ] > < / T e x t >  
                 < T e x t   i d = " S i g n e r _ 0 . O r g . I n f o . S u p p 2 "   l a b e l = " S i g n e r _ 0 . O r g . I n f o . S u p p 2 " > < ! [ C D A T A [   ] ] > < / T e x t >  
                 < T e x t   i d = " S i g n e r _ 0 . O r g . L e v e l 1 "   l a b e l = " S i g n e r _ 0 . O r g . L e v e l 1 " > < ! [ C D A T A [ R e p u b b l i c a   e   C a n t o n e  
 T i c i n o ] ] > < / T e x t >  
                 < T e x t   i d = " S i g n e r _ 0 . O r g . L e v e l 2 "   l a b e l = " S i g n e r _ 0 . O r g . L e v e l 2 " > < ! [ C D A T A [   ] ] > < / T e x t >  
                 < T e x t   i d = " S i g n e r _ 0 . O r g . L e v e l 3 "   l a b e l = " S i g n e r _ 0 . O r g . L e v e l 3 " > < ! [ C D A T A [   ] ] > < / T e x t >  
                 < T e x t   i d = " S i g n e r _ 0 . O r g . L e v e l 4 "   l a b e l = " S i g n e r _ 0 . O r g . L e v e l 4 " > < ! [ C D A T A [   ] ] > < / T e x t >  
                 < T e x t   i d = " S i g n e r _ 0 . O r g . L e v e l 5 "   l a b e l = " S i g n e r _ 0 . O r g . L e v e l 5 " > < ! [ C D A T A [   ] ] > < / T e x t >  
                 < T e x t   i d = " S i g n e r _ 0 . O r g . L e v e l 6 "   l a b e l = " S i g n e r _ 0 . O r g . L e v e l 6 " > < ! [ C D A T A [ S e r v i z i   d e l   G r a n   C o n s i g l i o ] ] > < / T e x t >  
                 < T e x t   i d = " S i g n e r _ 0 . O r g . P h o n e "   l a b e l = " S i g n e r _ 0 . O r g . P h o n e " > < ! [ C D A T A [ + 4 1   9 1   8 1 4   4 3   2 6 / 2 7 ] ] > < / T e x t >  
                 < T e x t   i d = " S i g n e r _ 0 . O r g . P o s t a l . C i t y "   l a b e l = " S i g n e r _ 0 . O r g . P o s t a l . C i t y " > < ! [ C D A T A [ B e l l i n z o n a ] ] > < / T e x t >  
                 < T e x t   i d = " S i g n e r _ 0 . O r g . P o s t a l . P B o x "   l a b e l = " S i g n e r _ 0 . O r g . P o s t a l . P B o x " > < ! [ C D A T A [   ] ] > < / T e x t >  
                 < T e x t   i d = " S i g n e r _ 0 . O r g . P o s t a l . P C i t y "   l a b e l = " S i g n e r _ 0 . O r g . P o s t a l . P C i t y " > < ! [ C D A T A [   ] ] > < / T e x t >  
                 < T e x t   i d = " S i g n e r _ 0 . O r g . P o s t a l . P l a c e "   l a b e l = " S i g n e r _ 0 . O r g . P o s t a l . P l a c e " > < ! [ C D A T A [   ] ] > < / T e x t >  
                 < T e x t   i d = " S i g n e r _ 0 . O r g . P o s t a l . P Z i p "   l a b e l = " S i g n e r _ 0 . O r g . P o s t a l . P Z i p " > < ! [ C D A T A [   ] ] > < / T e x t >  
                 < T e x t   i d = " S i g n e r _ 0 . O r g . P o s t a l . S t r e e t "   l a b e l = " S i g n e r _ 0 . O r g . P o s t a l . S t r e e t " > < ! [ C D A T A [ P i a z z a   G o v e r n o   6 ] ] > < / T e x t >  
                 < T e x t   i d = " S i g n e r _ 0 . O r g . P o s t a l . Z i p "   l a b e l = " S i g n e r _ 0 . O r g . P o s t a l . Z i p " > < ! [ C D A T A [ 6 5 0 1 ] ] > < / T e x t >  
                 < T e x t   i d = " S i g n e r _ 0 . O r g . W e b "   l a b e l = " S i g n e r _ 0 . O r g . W e b " > < ! [ C D A T A [   ] ] > < / T e x t >  
                 < T e x t   i d = " S i g n e r _ 0 . U s e r . A l i a s "   l a b e l = " S i g n e r _ 0 . U s e r . A l i a s " > < ! [ C D A T A [   ] ] > < / T e x t >  
                 < T e x t   i d = " S i g n e r _ 0 . U s e r . E m a i l "   l a b e l = " S i g n e r _ 0 . U s e r . E m a i l " > < ! [ C D A T A [ l u c a . v e n t u r i @ t i . c h ] ] > < / T e x t >  
                 < T e x t   i d = " S i g n e r _ 0 . U s e r . F i r s t N a m e "   l a b e l = " S i g n e r _ 0 . U s e r . F i r s t N a m e " > < ! [ C D A T A [ L u c a ] ] > < / T e x t >  
                 < T e x t   i d = " S i g n e r _ 0 . U s e r . F u n c t i o n "   l a b e l = " S i g n e r _ 0 . U s e r . F u n c t i o n " > < ! [ C D A T A [ S G C ] ] > < / T e x t >  
                 < T e x t   i d = " S i g n e r _ 0 . U s e r . L a s t N a m e "   l a b e l = " S i g n e r _ 0 . U s e r . L a s t N a m e " > < ! [ C D A T A [ V e n t u r i ] ] > < / T e x t >  
                 < T e x t   i d = " S i g n e r _ 0 . U s e r . M o b i l e "   l a b e l = " S i g n e r _ 0 . U s e r . M o b i l e " > < ! [ C D A T A [   ] ] > < / T e x t >  
                 < T e x t   i d = " S i g n e r _ 0 . U s e r . P h o n e "   l a b e l = " S i g n e r _ 0 . U s e r . P h o n e " > < ! [ C D A T A [ + 4 1 9 1 8 1 4 4 3 2 6 ] ] > < / T e x t >  
                 < T e x t   i d = " S i g n e r _ 0 . U s e r . S a l u t a t i o n "   l a b e l = " S i g n e r _ 0 . U s e r . S a l u t a t i o n " > < ! [ C D A T A [   ] ] > < / T e x t >  
                 < T e x t   i d = " S i g n e r _ 0 . U s e r . T i t l e "   l a b e l = " S i g n e r _ 0 . U s e r . T i t l e " > < ! [ C D A T A [   ] ] > < / T e x t >  
             < / S i g n e r _ 0 >  
             < S i g n e r _ 1 >  
                 < T e x t   i d = " S i g n e r _ 1 . I d "   l a b e l = " S i g n e r _ 1 . I d " > < ! [ C D A T A [ 0 0 0 0 0 0 0 0 - 0 0 0 0 - 0 0 0 0 - 0 0 0 0 - 0 0 0 0 0 0 0 0 0 0 0 0 ] ] > < / T e x t >  
                 < T e x t   i d = " S i g n e r _ 1 . O r g a n i z a t i o n U n i t I d "   l a b e l = " S i g n e r _ 1 . O r g a n i z a t i o n U n i t I d " > < ! [ C D A T A [   ] ] > < / T e x t >  
                 < T e x t   i d = " S i g n e r _ 1 . O r g . E m a i l "   l a b e l = " S i g n e r _ 1 . O r g . E m a i l " > < ! [ C D A T A [   ] ] > < / T e x t >  
                 < T e x t   i d = " S i g n e r _ 1 . O r g . F a x "   l a b e l = " S i g n e r _ 1 . O r g . F a x " > < ! [ C D A T A [   ] ] > < / T e x t >  
                 < T e x t   i d = " S i g n e r _ 1 . O r g . I n f o . S u p p 1 "   l a b e l = " S i g n e r _ 1 . O r g . I n f o . S u p p 1 " > < ! [ C D A T A [   ] ] > < / T e x t >  
                 < T e x t   i d = " S i g n e r _ 1 . O r g . I n f o . S u p p 2 "   l a b e l = " S i g n e r _ 1 . O r g . I n f o . S u p p 2 " > < ! [ C D A T A [   ] ] > < / T e x t >  
                 < T e x t   i d = " S i g n e r _ 1 . O r g . L e v e l 1 "   l a b e l = " S i g n e r _ 1 . O r g . L e v e l 1 " > < ! [ C D A T A [   ] ] > < / T e x t >  
                 < T e x t   i d = " S i g n e r _ 1 . O r g . L e v e l 2 "   l a b e l = " S i g n e r _ 1 . O r g . L e v e l 2 " > < ! [ C D A T A [   ] ] > < / T e x t >  
                 < T e x t   i d = " S i g n e r _ 1 . O r g . L e v e l 3 "   l a b e l = " S i g n e r _ 1 . O r g . L e v e l 3 " > < ! [ C D A T A [   ] ] > < / T e x t >  
                 < T e x t   i d = " S i g n e r _ 1 . O r g . L e v e l 4 "   l a b e l = " S i g n e r _ 1 . O r g . L e v e l 4 " > < ! [ C D A T A [   ] ] > < / T e x t >  
                 < T e x t   i d = " S i g n e r _ 1 . O r g . L e v e l 5 "   l a b e l = " S i g n e r _ 1 . O r g . L e v e l 5 " > < ! [ C D A T A [   ] ] > < / T e x t >  
                 < T e x t   i d = " S i g n e r _ 1 . O r g . L e v e l 6 "   l a b e l = " S i g n e r _ 1 . O r g . L e v e l 6 " > < ! [ C D A T A [   ] ] > < / T e x t >  
                 < T e x t   i d = " S i g n e r _ 1 . O r g . P h o n e "   l a b e l = " S i g n e r _ 1 . O r g . P h o n e " > < ! [ C D A T A [   ] ] > < / T e x t >  
                 < T e x t   i d = " S i g n e r _ 1 . O r g . P o s t a l . C i t y "   l a b e l = " S i g n e r _ 1 . O r g . P o s t a l . C i t y " > < ! [ C D A T A [   ] ] > < / T e x t >  
                 < T e x t   i d = " S i g n e r _ 1 . O r g . P o s t a l . P B o x "   l a b e l = " S i g n e r _ 1 . O r g . P o s t a l . P B o x " > < ! [ C D A T A [   ] ] > < / T e x t >  
                 < T e x t   i d = " S i g n e r _ 1 . O r g . P o s t a l . P C i t y "   l a b e l = " S i g n e r _ 1 . O r g . P o s t a l . P C i t y " > < ! [ C D A T A [   ] ] > < / T e x t >  
                 < T e x t   i d = " S i g n e r _ 1 . O r g . P o s t a l . P l a c e "   l a b e l = " S i g n e r _ 1 . O r g . P o s t a l . P l a c e " > < ! [ C D A T A [   ] ] > < / T e x t >  
                 < T e x t   i d = " S i g n e r _ 1 . O r g . P o s t a l . P Z i p "   l a b e l = " S i g n e r _ 1 . O r g . P o s t a l . P Z i p " > < ! [ C D A T A [   ] ] > < / T e x t >  
                 < T e x t   i d = " S i g n e r _ 1 . O r g . P o s t a l . S t r e e t "   l a b e l = " S i g n e r _ 1 . O r g . P o s t a l . S t r e e t " > < ! [ C D A T A [   ] ] > < / T e x t >  
                 < T e x t   i d = " S i g n e r _ 1 . O r g . P o s t a l . Z i p "   l a b e l = " S i g n e r _ 1 . O r g . P o s t a l . Z i p " > < ! [ C D A T A [   ] ] > < / T e x t >  
                 < T e x t   i d = " S i g n e r _ 1 . O r g . W e b "   l a b e l = " S i g n e r _ 1 . O r g . W e b " > < ! [ C D A T A [   ] ] > < / T e x t >  
                 < T e x t   i d = " S i g n e r _ 1 . U s e r . A l i a s "   l a b e l = " S i g n e r _ 1 . U s e r . A l i a s " > < ! [ C D A T A [   ] ] > < / T e x t >  
                 < T e x t   i d = " S i g n e r _ 1 . U s e r . E m a i l "   l a b e l = " S i g n e r _ 1 . U s e r . E m a i l " > < ! [ C D A T A [   ] ] > < / T e x t >  
                 < T e x t   i d = " S i g n e r _ 1 . U s e r . F i r s t N a m e "   l a b e l = " S i g n e r _ 1 . U s e r . F i r s t N a m e " > < ! [ C D A T A [   ] ] > < / T e x t >  
                 < T e x t   i d = " S i g n e r _ 1 . U s e r . F u n c t i o n "   l a b e l = " S i g n e r _ 1 . U s e r . F u n c t i o n " > < ! [ C D A T A [   ] ] > < / T e x t >  
                 < T e x t   i d = " S i g n e r _ 1 . U s e r . L a s t N a m e "   l a b e l = " S i g n e r _ 1 . U s e r . L a s t N a m e " > < ! [ C D A T A [   ] ] > < / T e x t >  
                 < T e x t   i d = " S i g n e r _ 1 . U s e r . M o b i l e "   l a b e l = " S i g n e r _ 1 . U s e r . M o b i l e " > < ! [ C D A T A [   ] ] > < / T e x t >  
                 < T e x t   i d = " S i g n e r _ 1 . U s e r . P h o n e "   l a b e l = " S i g n e r _ 1 . U s e r . P h o n e " > < ! [ C D A T A [   ] ] > < / T e x t >  
                 < T e x t   i d = " S i g n e r _ 1 . U s e r . S a l u t a t i o n "   l a b e l = " S i g n e r _ 1 . U s e r . S a l u t a t i o n " > < ! [ C D A T A [   ] ] > < / T e x t >  
                 < T e x t   i d = " S i g n e r _ 1 . U s e r . T i t l e "   l a b e l = " S i g n e r _ 1 . U s e r . T i t l e " > < ! [ C D A T A [   ] ] > < / T e x t >  
             < / S i g n e r _ 1 >  
             < P a r a m e t e r   w i n d o w w i d t h = " 7 5 0 "   w i n d o w h e i g h t = " 4 5 0 " >  
                 < T e x t   i d = " S p e c i a l . C h e c k b o x G r o u p V i e w L i s t "   l a b e l = " S p e c i a l . C h e c k b o x G r o u p V i e w L i s t "   v i s i b l e = " F a l s e " > < ! [ C D A T A [   ] ] > < / T e x t >  
                 < T e x t   i d = " S p e c i a l . C h e c k b o x G r o u p V i e w B o x "   l a b e l = " S p e c i a l . C h e c k b o x G r o u p V i e w B o x "   v i s i b l e = " F a l s e " > < ! [ C D A T A [   ] ] > < / T e x t >  
                 < T e x t   i d = " S p e c i a l . C h e c k b o x G r o u p V i e w T e x t "   l a b e l = " S p e c i a l . C h e c k b o x G r o u p V i e w T e x t "   v i s i b l e = " F a l s e " > < ! [ C D A T A [   ] ] > < / T e x t >  
                 < T e x t   i d = " S p e c i a l . C h e c k b o x G r o u p V i e w B o x A n d T e x t "   l a b e l = " S p e c i a l . C h e c k b o x G r o u p V i e w B o x A n d T e x t "   v i s i b l e = " F a l s e " > < ! [ C D A T A [   ] ] > < / T e x t >  
                 < T e x t   i d = " D o c P a r a m . H i d d e n . T e m p l a t e I d " > < ! [ C D A T A [ a 3 6 2 a 5 d 4 - 9 5 8 9 - 4 1 b f - a 4 e 6 - 4 f 8 7 c 4 e 4 1 2 3 9 ] ] > < / T e x t >  
                 < D a t e T i m e   i d = " D o c P a r a m . D a t e "   l i d = " i t a l i a n o   ( I t a l i a ) "   f o r m a t = " d   M M M M   y y y y "   c a l e n d a r = " G r e g o r " > 2 0 2 3 - 0 6 - 0 6 T 0 0 : 0 0 : 0 0 Z < / D a t e T i m e >  
                 < T e x t   i d = " D o c P a r a m . N u m b e r " > < ! [ C D A T A [ 8 2 5 8   R 1 ] ] > < / T e x t >  
                 < T e x t   i d = " D o c P a r a m . D o c u m e n t o " > < ! [ C D A T A [ R a p p o r t o   d i   m a g g i o r a n z a ] ] > < / T e x t >  
                 < T e x t   i d = " D o c P a r a m . A g g i u n t a D o c "   t o o l t i p = " ( e s .   b i s ,   a g g i u n t i v o ,   a g g i u n t i v o   b i s ,   1 ,   2   e c c . ) " > < ! [ C D A T A [   ] ] > < / T e x t >  
                 < T e x t   i d = " D o c P a r a m . D i p a r t i m e n t i " > < ! [ C D A T A [ D i p a r t i m e n t o   d e l l e   f i n a n z e   e   d e l l  e c o n o m i a ] ] > < / T e x t >  
                 < T e x t   i d = " D o c P a r a m . A l t r i D i p a r t i m e n t i " > < ! [ C D A T A [   ] ] > < / T e x t >  
             < / P a r a m e t e r >  
             < S c r i p t i n g >  
                 < T e x t   i d = " C u s t o m E l e m e n t s . S u b T e m p l a t e . L a n d s c a p e . H e a d e r . O r g I n f o s "   l a b e l = " C u s t o m E l e m e n t s . S u b T e m p l a t e . L a n d s c a p e . H e a d e r . O r g I n f o s " > < ! [ C D A T A [ D i p a r t i m e n t o   d e l l e   f i n a n z e   e   d e l l  e c o n o m i a ] ] > < / T e x t >  
                 < T e x t   i d = " C u s t o m E l e m e n t s . S u b T e m p l a t e . L a n d s c a p e . H e a d e r . T i t o l o "   l a b e l = " C u s t o m E l e m e n t s . S u b T e m p l a t e . L a n d s c a p e . H e a d e r . T i t o l o " > < ! [ C D A T A [ R a p p o r t o   d i   m a g g i o r a n z a   n .   8 2 5 8   R 1   d e l   0 6   g i u g n o   2 0 2 3 ] ] > < / T e x t >  
                 < T e x t   i d = " C u s t o m E l e m e n t s . T e x t s . D r a f t "   l a b e l = " C u s t o m E l e m e n t s . T e x t s . D r a f t " > < ! [ C D A T A [ B o z z a ] ] > < / T e x t >  
                 < T e x t   i d = " C u s t o m E l e m e n t s . F i e l d s . D i p a r t i m e n t i "   l a b e l = " C u s t o m E l e m e n t s . F i e l d s . D i p a r t i m e n t i " > < ! [ C D A T A [ D i p a r t i m e n t o   d e l l e   f i n a n z e   e   d e l l  e c o n o m i a ] ] > < / T e x t >  
                 < T e x t   i d = " C u s t o m E l e m e n t s . F i e l d s . T i t o l o 1 "   l a b e l = " C u s t o m E l e m e n t s . F i e l d s . T i t o l o 1 " > < ! [ C D A T A [ R a p p o r t o   d i   m a g g i o r a n z a ] ] > < / T e x t >  
                 < T e x t   i d = " C u s t o m E l e m e n t s . F i e l d s . T i t o l o 2 "   l a b e l = " C u s t o m E l e m e n t s . F i e l d s . T i t o l o 2 " > < ! [ C D A T A [ R a p p o r t o   d i   m a g g i o r a n z a   n .   8 2 5 8   R 1   d e l   6   g i u g n o   2 0 2 3 ] ] > < / T e x t >  
             < / S c r i p t i n g >  
         < / D a t a M o d e l >  
     < / C o n t e n t >  
     < T e m p l a t e T r e e   C r e a t i o n M o d e = " P u b l i s h e d "   P i p e l i n e V e r s i o n = " V 2 " >  
         < T e m p l a t e   t I d = " a 3 6 2 a 5 d 4 - 9 5 8 9 - 4 1 b f - a 4 e 6 - 4 f 8 7 c 4 e 4 1 2 3 9 "   i n t e r n a l T I d = " 9 0 6 4 c c 7 f - 3 1 6 d - 4 6 b 1 - a 4 a c - 7 4 8 6 0 c 3 f 8 a 5 b " >  
             < B a s e d O n >  
                 < T e m p l a t e   t I d = " 8 0 c 9 8 4 9 b - 2 5 3 a - 4 5 a 8 - 9 5 6 a - 0 1 6 9 2 1 d 4 0 f f d "   i n t e r n a l T I d = " 2 a 3 7 0 8 2 4 - 6 4 a 3 - 4 f 2 e - 9 e 5 3 - 7 7 6 e 0 8 1 d 0 b 6 1 " >  
                     < B a s e d O n >  
                         < T e m p l a t e   t I d = " e 7 b 4 5 b 5 9 - 4 4 b d - 4 7 b f - 9 6 f d - 9 4 4 e b d a f f 6 a c "   i n t e r n a l T I d = " e 7 b 4 5 b 5 9 - 4 4 b d - 4 7 b f - 9 6 f d - 9 4 4 e b d a f f 6 a c " / >  
                     < / B a s e d O n >  
                 < / T e m p l a t e >  
             < / B a s e d O n >  
         < / T e m p l a t e >  
     < / T e m p l a t e T r e e >  
 < / O n e O f f i x x D o c u m e n t P a r t > 
</file>

<file path=customXml/itemProps1.xml><?xml version="1.0" encoding="utf-8"?>
<ds:datastoreItem xmlns:ds="http://schemas.openxmlformats.org/officeDocument/2006/customXml" ds:itemID="{BBD33451-786F-4893-8EC7-C0681C5735DE}">
  <ds:schemaRefs>
    <ds:schemaRef ds:uri="http://www.w3.org/2001/XMLSchema"/>
    <ds:schemaRef ds:uri="http://schema.oneoffixx.com/OneOffixxExtendedBindingPart/1"/>
  </ds:schemaRefs>
</ds:datastoreItem>
</file>

<file path=customXml/itemProps2.xml><?xml version="1.0" encoding="utf-8"?>
<ds:datastoreItem xmlns:ds="http://schemas.openxmlformats.org/officeDocument/2006/customXml" ds:itemID="{2DD9F936-3076-45B6-8C6A-3DF06F61966E}">
  <ds:schemaRefs>
    <ds:schemaRef ds:uri="http://www.w3.org/2001/XMLSchema"/>
    <ds:schemaRef ds:uri="http://schema.oneoffixx.com/OneOffixxFormattingPart/1"/>
    <ds:schemaRef ds:uri=""/>
  </ds:schemaRefs>
</ds:datastoreItem>
</file>

<file path=customXml/itemProps3.xml><?xml version="1.0" encoding="utf-8"?>
<ds:datastoreItem xmlns:ds="http://schemas.openxmlformats.org/officeDocument/2006/customXml" ds:itemID="{EB3AA025-4069-4308-BCEA-4C02AEB29CE8}">
  <ds:schemaRefs>
    <ds:schemaRef ds:uri="http://www.w3.org/2001/XMLSchema"/>
    <ds:schemaRef ds:uri="http://schema.oneoffixx.com/OneOffixxImageDefinitionPart/1"/>
  </ds:schemaRefs>
</ds:datastoreItem>
</file>

<file path=customXml/itemProps4.xml><?xml version="1.0" encoding="utf-8"?>
<ds:datastoreItem xmlns:ds="http://schemas.openxmlformats.org/officeDocument/2006/customXml" ds:itemID="{DE24F21B-E8AD-48B3-8C83-139460C5CDC8}">
  <ds:schemaRefs>
    <ds:schemaRef ds:uri="http://www.w3.org/2001/XMLSchema"/>
    <ds:schemaRef ds:uri="http://schema.oneoffixx.com/OneOffixxDocumentPart/1"/>
    <ds:schemaRef ds:uri=""/>
  </ds:schemaRefs>
</ds:datastoreItem>
</file>

<file path=docProps/app.xml><?xml version="1.0" encoding="utf-8"?>
<Properties xmlns="http://schemas.openxmlformats.org/officeDocument/2006/extended-properties" xmlns:vt="http://schemas.openxmlformats.org/officeDocument/2006/docPropsVTypes">
  <Template>88dfc263-c535-415b-9ad6-2ba9eec691d7.dotx</Template>
  <TotalTime>41</TotalTime>
  <Pages>12</Pages>
  <Words>3093</Words>
  <Characters>17636</Characters>
  <Application>Microsoft Office Word</Application>
  <DocSecurity>0</DocSecurity>
  <Lines>146</Lines>
  <Paragraphs>41</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20688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Venturi Luca / T128124</dc:creator>
  <cp:lastModifiedBy>Venturi Luca</cp:lastModifiedBy>
  <cp:revision>74</cp:revision>
  <cp:lastPrinted>2023-06-07T06:47:00Z</cp:lastPrinted>
  <dcterms:created xsi:type="dcterms:W3CDTF">2023-06-06T11:47:00Z</dcterms:created>
  <dcterms:modified xsi:type="dcterms:W3CDTF">2023-06-15T09:31:00Z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OTrackRevision">
    <vt:bool>false</vt:bool>
  </property>
</Properties>
</file>