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7C" w:rsidRPr="003B21A9" w:rsidRDefault="0075107C" w:rsidP="0075107C">
      <w:pPr>
        <w:rPr>
          <w:rFonts w:cs="Arial"/>
          <w:b/>
          <w:sz w:val="28"/>
          <w:szCs w:val="28"/>
        </w:rPr>
      </w:pPr>
      <w:bookmarkStart w:id="0" w:name="_GoBack"/>
      <w:bookmarkEnd w:id="0"/>
      <w:r w:rsidRPr="003B21A9">
        <w:rPr>
          <w:rFonts w:cs="Arial"/>
          <w:b/>
          <w:sz w:val="28"/>
          <w:szCs w:val="28"/>
        </w:rPr>
        <w:t>della Commissione gestione e finanze</w:t>
      </w:r>
    </w:p>
    <w:p w:rsidR="0075107C" w:rsidRPr="0071083E" w:rsidRDefault="0075107C" w:rsidP="0075107C">
      <w:pPr>
        <w:rPr>
          <w:rFonts w:cs="Arial"/>
          <w:bCs/>
          <w:sz w:val="22"/>
        </w:rPr>
      </w:pPr>
      <w:r w:rsidRPr="003B21A9">
        <w:rPr>
          <w:rFonts w:cs="Arial"/>
          <w:b/>
          <w:sz w:val="28"/>
          <w:szCs w:val="28"/>
        </w:rPr>
        <w:t xml:space="preserve">sul </w:t>
      </w:r>
      <w:r w:rsidRPr="0092268F">
        <w:rPr>
          <w:rFonts w:cs="Arial"/>
          <w:b/>
          <w:sz w:val="28"/>
          <w:szCs w:val="28"/>
        </w:rPr>
        <w:t>messaggio 20 settembre 2023 concernente gli</w:t>
      </w:r>
      <w:r>
        <w:rPr>
          <w:rFonts w:cs="Arial"/>
          <w:b/>
          <w:sz w:val="28"/>
          <w:szCs w:val="28"/>
        </w:rPr>
        <w:t xml:space="preserve"> a</w:t>
      </w:r>
      <w:r w:rsidRPr="0092268F">
        <w:rPr>
          <w:rFonts w:cs="Arial"/>
          <w:b/>
          <w:sz w:val="28"/>
          <w:szCs w:val="28"/>
        </w:rPr>
        <w:t>deguamenti della Legge tributaria del 21 giugno 1994 (LT) al nuovo Accordo sui frontalieri, alla Costituzione Svizzera in merito al nuovo articolo costituzionale sui grandi gruppi di imprese (Pillar 1 e 2), alla legge federale sull’armonizzazione delle imposte dirette dei Cantoni e dei Comuni (LAID) in relazione alla legge federale sulle procedure elettroniche in ambito fiscale come pure alla legge federale sulla lotta contro l’abuso del fallimento e alla modifica di altre disposizioni cantonali”</w:t>
      </w:r>
      <w:r w:rsidRPr="0071083E">
        <w:rPr>
          <w:rFonts w:cs="Arial"/>
          <w:b/>
          <w:bCs/>
          <w:sz w:val="22"/>
        </w:rPr>
        <w:t xml:space="preserve"> </w:t>
      </w:r>
    </w:p>
    <w:p w:rsidR="0075107C" w:rsidRPr="003B21A9" w:rsidRDefault="0075107C" w:rsidP="0075107C">
      <w:pPr>
        <w:rPr>
          <w:rFonts w:cs="Arial"/>
          <w:szCs w:val="24"/>
        </w:rPr>
      </w:pPr>
    </w:p>
    <w:p w:rsidR="0075107C" w:rsidRPr="003B21A9" w:rsidRDefault="0075107C" w:rsidP="0075107C">
      <w:pPr>
        <w:rPr>
          <w:rFonts w:cs="Arial"/>
          <w:szCs w:val="24"/>
        </w:rPr>
      </w:pPr>
    </w:p>
    <w:p w:rsidR="0075107C" w:rsidRPr="003B21A9" w:rsidRDefault="0075107C" w:rsidP="0075107C">
      <w:pPr>
        <w:pStyle w:val="Titolo1"/>
        <w:numPr>
          <w:ilvl w:val="0"/>
          <w:numId w:val="0"/>
        </w:numPr>
        <w:ind w:left="363" w:hanging="363"/>
        <w:jc w:val="both"/>
      </w:pPr>
      <w:r>
        <w:t>I</w:t>
      </w:r>
      <w:r w:rsidRPr="003B21A9">
        <w:t>.</w:t>
      </w:r>
      <w:r w:rsidRPr="003B21A9">
        <w:tab/>
        <w:t>VISIONE D’INSIEME</w:t>
      </w:r>
    </w:p>
    <w:p w:rsidR="0075107C" w:rsidRPr="003B21A9" w:rsidRDefault="0075107C" w:rsidP="0075107C">
      <w:pPr>
        <w:spacing w:after="200"/>
        <w:rPr>
          <w:rFonts w:eastAsia="Times New Roman"/>
          <w:szCs w:val="20"/>
          <w:lang w:eastAsia="it-IT"/>
        </w:rPr>
      </w:pPr>
      <w:r w:rsidRPr="003B21A9">
        <w:rPr>
          <w:rFonts w:eastAsia="Times New Roman"/>
          <w:szCs w:val="20"/>
          <w:lang w:eastAsia="it-IT"/>
        </w:rPr>
        <w:t xml:space="preserve">Il messaggio </w:t>
      </w:r>
      <w:r>
        <w:rPr>
          <w:rFonts w:eastAsia="Times New Roman"/>
          <w:szCs w:val="20"/>
          <w:lang w:eastAsia="it-IT"/>
        </w:rPr>
        <w:t xml:space="preserve">n. 8329 del 20 settembre 2023 </w:t>
      </w:r>
      <w:r w:rsidRPr="003B21A9">
        <w:rPr>
          <w:rFonts w:eastAsia="Times New Roman"/>
          <w:szCs w:val="20"/>
          <w:lang w:eastAsia="it-IT"/>
        </w:rPr>
        <w:t>propone di adeguare la LT</w:t>
      </w:r>
      <w:r w:rsidRPr="003B21A9">
        <w:rPr>
          <w:rFonts w:eastAsia="Times New Roman"/>
          <w:szCs w:val="20"/>
          <w:vertAlign w:val="superscript"/>
          <w:lang w:eastAsia="it-IT"/>
        </w:rPr>
        <w:footnoteReference w:id="1"/>
      </w:r>
      <w:r w:rsidRPr="003B21A9">
        <w:rPr>
          <w:rFonts w:eastAsia="Times New Roman"/>
          <w:szCs w:val="20"/>
          <w:lang w:eastAsia="it-IT"/>
        </w:rPr>
        <w:t xml:space="preserve"> </w:t>
      </w:r>
      <w:r>
        <w:rPr>
          <w:rFonts w:eastAsia="Times New Roman"/>
          <w:szCs w:val="20"/>
          <w:lang w:eastAsia="it-IT"/>
        </w:rPr>
        <w:t xml:space="preserve">al diritto internazionale, al diritto federale </w:t>
      </w:r>
      <w:r w:rsidRPr="003B21A9">
        <w:rPr>
          <w:rFonts w:eastAsia="Times New Roman"/>
          <w:szCs w:val="20"/>
          <w:lang w:eastAsia="it-IT"/>
        </w:rPr>
        <w:t xml:space="preserve">nonché </w:t>
      </w:r>
      <w:r w:rsidRPr="00306E6D">
        <w:t>all’evoluzione in ambito cantonale.</w:t>
      </w:r>
    </w:p>
    <w:p w:rsidR="0075107C" w:rsidRPr="002C618B" w:rsidRDefault="0075107C" w:rsidP="0075107C">
      <w:pPr>
        <w:spacing w:after="120"/>
        <w:rPr>
          <w:rFonts w:eastAsia="Times New Roman"/>
          <w:szCs w:val="20"/>
          <w:lang w:eastAsia="it-IT"/>
        </w:rPr>
      </w:pPr>
      <w:r w:rsidRPr="002C618B">
        <w:rPr>
          <w:rFonts w:eastAsia="Times New Roman"/>
          <w:szCs w:val="20"/>
          <w:lang w:eastAsia="it-IT"/>
        </w:rPr>
        <w:t>Le modifiche proposte riguardano i seguenti articoli di legge:</w:t>
      </w:r>
    </w:p>
    <w:p w:rsidR="0075107C" w:rsidRPr="002C618B" w:rsidRDefault="0075107C" w:rsidP="00FB0FCC">
      <w:pPr>
        <w:numPr>
          <w:ilvl w:val="0"/>
          <w:numId w:val="18"/>
        </w:numPr>
        <w:spacing w:before="80"/>
        <w:ind w:left="425" w:hanging="425"/>
        <w:rPr>
          <w:rFonts w:eastAsia="Times New Roman"/>
          <w:szCs w:val="20"/>
          <w:lang w:eastAsia="it-IT"/>
        </w:rPr>
      </w:pPr>
      <w:r w:rsidRPr="002C618B">
        <w:rPr>
          <w:rFonts w:eastAsia="Times New Roman"/>
          <w:szCs w:val="20"/>
          <w:lang w:eastAsia="it-IT"/>
        </w:rPr>
        <w:t xml:space="preserve">adeguamento </w:t>
      </w:r>
      <w:r w:rsidRPr="002C618B">
        <w:rPr>
          <w:rFonts w:eastAsia="Times New Roman" w:cs="Arial"/>
          <w:lang w:val="it-IT" w:eastAsia="it-IT"/>
        </w:rPr>
        <w:t>dell’art. 323 LT alla nuova imposizione speciale dei grandi gruppi di imprese secondo l’art. 129a della Costituzione federale (attuazione del progetto dell’OCSE e del G20 sull’imposizione dell’economia digitale - Pillar 1 e 2)</w:t>
      </w:r>
      <w:r w:rsidRPr="002C618B">
        <w:rPr>
          <w:rFonts w:eastAsia="Times New Roman"/>
          <w:szCs w:val="20"/>
          <w:lang w:eastAsia="it-IT"/>
        </w:rPr>
        <w:t xml:space="preserve"> (ampliamento campo di applicazione dell’</w:t>
      </w:r>
      <w:r w:rsidRPr="002C618B">
        <w:rPr>
          <w:rFonts w:eastAsia="Times New Roman"/>
          <w:b/>
          <w:bCs/>
          <w:szCs w:val="20"/>
          <w:lang w:eastAsia="it-IT"/>
        </w:rPr>
        <w:t xml:space="preserve">art. 323 cpv. 1 LT </w:t>
      </w:r>
      <w:r w:rsidRPr="00FE26CE">
        <w:rPr>
          <w:rFonts w:eastAsia="Times New Roman"/>
          <w:bCs/>
          <w:szCs w:val="20"/>
          <w:lang w:eastAsia="it-IT"/>
        </w:rPr>
        <w:t>e nuovo</w:t>
      </w:r>
      <w:r w:rsidRPr="00FE26CE">
        <w:rPr>
          <w:rFonts w:eastAsia="Times New Roman"/>
          <w:b/>
          <w:bCs/>
          <w:szCs w:val="20"/>
          <w:lang w:eastAsia="it-IT"/>
        </w:rPr>
        <w:t xml:space="preserve"> Decreto legislativo</w:t>
      </w:r>
      <w:r w:rsidRPr="002C618B">
        <w:rPr>
          <w:rFonts w:eastAsia="Times New Roman"/>
          <w:szCs w:val="20"/>
          <w:lang w:eastAsia="it-IT"/>
        </w:rPr>
        <w:t>);</w:t>
      </w:r>
    </w:p>
    <w:p w:rsidR="0075107C" w:rsidRPr="00FE26CE" w:rsidRDefault="0075107C" w:rsidP="00FB0FCC">
      <w:pPr>
        <w:numPr>
          <w:ilvl w:val="0"/>
          <w:numId w:val="18"/>
        </w:numPr>
        <w:spacing w:before="80"/>
        <w:ind w:left="425" w:hanging="425"/>
        <w:rPr>
          <w:rFonts w:eastAsia="Times New Roman"/>
          <w:b/>
          <w:szCs w:val="20"/>
          <w:lang w:eastAsia="it-IT"/>
        </w:rPr>
      </w:pPr>
      <w:r w:rsidRPr="002C618B">
        <w:rPr>
          <w:rFonts w:eastAsia="Times New Roman"/>
          <w:szCs w:val="20"/>
          <w:lang w:eastAsia="it-IT"/>
        </w:rPr>
        <w:t xml:space="preserve">adeguamento delle normative della LT </w:t>
      </w:r>
      <w:r w:rsidRPr="002C618B">
        <w:rPr>
          <w:rFonts w:eastAsia="Times New Roman" w:cs="Arial"/>
          <w:lang w:val="it-IT" w:eastAsia="it-IT"/>
        </w:rPr>
        <w:t xml:space="preserve">sull’imposta alla fonte in relazione all’entrata in vigore del nuovo Accordo sui frontalieri con l’Italia (modifica </w:t>
      </w:r>
      <w:r w:rsidRPr="002C618B">
        <w:rPr>
          <w:rFonts w:eastAsia="Times New Roman" w:cs="Arial"/>
          <w:b/>
          <w:lang w:val="it-IT" w:eastAsia="it-IT"/>
        </w:rPr>
        <w:t>art. 107 cpv</w:t>
      </w:r>
      <w:r w:rsidRPr="00FE26CE">
        <w:rPr>
          <w:rFonts w:eastAsia="Times New Roman" w:cs="Arial"/>
          <w:b/>
          <w:lang w:val="it-IT" w:eastAsia="it-IT"/>
        </w:rPr>
        <w:t xml:space="preserve">. 1 </w:t>
      </w:r>
      <w:proofErr w:type="spellStart"/>
      <w:r w:rsidRPr="00FE26CE">
        <w:rPr>
          <w:rFonts w:eastAsia="Times New Roman" w:cs="Arial"/>
          <w:b/>
          <w:lang w:val="it-IT" w:eastAsia="it-IT"/>
        </w:rPr>
        <w:t>let</w:t>
      </w:r>
      <w:proofErr w:type="spellEnd"/>
      <w:r w:rsidRPr="00FE26CE">
        <w:rPr>
          <w:rFonts w:eastAsia="Times New Roman" w:cs="Arial"/>
          <w:b/>
          <w:lang w:val="it-IT" w:eastAsia="it-IT"/>
        </w:rPr>
        <w:t xml:space="preserve">. </w:t>
      </w:r>
      <w:r w:rsidRPr="00FE26CE">
        <w:rPr>
          <w:rFonts w:eastAsia="Times New Roman" w:cs="Arial"/>
          <w:b/>
          <w:i/>
          <w:lang w:val="it-IT" w:eastAsia="it-IT"/>
        </w:rPr>
        <w:t>b)</w:t>
      </w:r>
      <w:r w:rsidRPr="00FE26CE">
        <w:rPr>
          <w:b/>
          <w:bCs/>
          <w:sz w:val="20"/>
          <w:szCs w:val="20"/>
          <w:lang w:eastAsia="it-IT"/>
        </w:rPr>
        <w:t xml:space="preserve"> </w:t>
      </w:r>
      <w:r w:rsidRPr="00FE26CE">
        <w:rPr>
          <w:rFonts w:eastAsia="Times New Roman" w:cs="Arial"/>
          <w:b/>
          <w:lang w:val="it-IT" w:eastAsia="it-IT"/>
        </w:rPr>
        <w:t xml:space="preserve">LT, </w:t>
      </w:r>
      <w:r w:rsidRPr="00FE26CE">
        <w:rPr>
          <w:rFonts w:eastAsia="Times New Roman" w:cs="Arial"/>
          <w:lang w:val="it-IT" w:eastAsia="it-IT"/>
        </w:rPr>
        <w:t xml:space="preserve">modifica </w:t>
      </w:r>
      <w:r w:rsidRPr="00FE26CE">
        <w:rPr>
          <w:rFonts w:eastAsia="Times New Roman" w:cs="Arial"/>
          <w:b/>
          <w:lang w:val="it-IT" w:eastAsia="it-IT"/>
        </w:rPr>
        <w:t xml:space="preserve">art. 111 cpv. 3, 4 e 5 </w:t>
      </w:r>
      <w:proofErr w:type="spellStart"/>
      <w:r w:rsidRPr="00FE26CE">
        <w:rPr>
          <w:rFonts w:eastAsia="Times New Roman" w:cs="Arial"/>
          <w:b/>
          <w:lang w:val="it-IT" w:eastAsia="it-IT"/>
        </w:rPr>
        <w:t>lett</w:t>
      </w:r>
      <w:proofErr w:type="spellEnd"/>
      <w:r w:rsidRPr="00FE26CE">
        <w:rPr>
          <w:rFonts w:eastAsia="Times New Roman" w:cs="Arial"/>
          <w:b/>
          <w:lang w:val="it-IT" w:eastAsia="it-IT"/>
        </w:rPr>
        <w:t>.</w:t>
      </w:r>
      <w:r w:rsidRPr="00FE26CE">
        <w:rPr>
          <w:rFonts w:eastAsia="Times New Roman" w:cs="Arial"/>
          <w:b/>
          <w:i/>
          <w:lang w:val="it-IT" w:eastAsia="it-IT"/>
        </w:rPr>
        <w:t xml:space="preserve"> b)</w:t>
      </w:r>
      <w:r w:rsidRPr="00FE26CE">
        <w:rPr>
          <w:rFonts w:eastAsia="Times New Roman" w:cs="Arial"/>
          <w:b/>
          <w:lang w:val="it-IT" w:eastAsia="it-IT"/>
        </w:rPr>
        <w:t xml:space="preserve"> LT, </w:t>
      </w:r>
      <w:r w:rsidRPr="00FE26CE">
        <w:rPr>
          <w:rFonts w:eastAsia="Times New Roman" w:cs="Arial"/>
          <w:lang w:val="it-IT" w:eastAsia="it-IT"/>
        </w:rPr>
        <w:t>nuovo cpv. 4 all’</w:t>
      </w:r>
      <w:r w:rsidRPr="00FE26CE">
        <w:rPr>
          <w:rFonts w:eastAsia="Times New Roman" w:cs="Arial"/>
          <w:b/>
          <w:lang w:val="it-IT" w:eastAsia="it-IT"/>
        </w:rPr>
        <w:t>art. 118</w:t>
      </w:r>
      <w:r w:rsidRPr="00FE26CE">
        <w:rPr>
          <w:rFonts w:eastAsia="Times New Roman" w:cs="Arial"/>
          <w:lang w:val="it-IT" w:eastAsia="it-IT"/>
        </w:rPr>
        <w:t>; nuovo cpv. 3 all’</w:t>
      </w:r>
      <w:r w:rsidRPr="00FE26CE">
        <w:rPr>
          <w:rFonts w:eastAsia="Times New Roman" w:cs="Arial"/>
          <w:b/>
          <w:lang w:val="it-IT" w:eastAsia="it-IT"/>
        </w:rPr>
        <w:t>art. 119 LT</w:t>
      </w:r>
      <w:r w:rsidRPr="00FE26CE">
        <w:rPr>
          <w:rFonts w:eastAsia="Times New Roman" w:cs="Arial"/>
          <w:lang w:val="it-IT" w:eastAsia="it-IT"/>
        </w:rPr>
        <w:t xml:space="preserve"> e modifica </w:t>
      </w:r>
      <w:r w:rsidRPr="00FE26CE">
        <w:rPr>
          <w:rFonts w:eastAsia="Times New Roman" w:cs="Arial"/>
          <w:b/>
          <w:lang w:val="it-IT" w:eastAsia="it-IT"/>
        </w:rPr>
        <w:t>art. 276 cpv. 2 LT</w:t>
      </w:r>
      <w:r w:rsidRPr="00FE26CE">
        <w:rPr>
          <w:rFonts w:eastAsia="Times New Roman" w:cs="Arial"/>
          <w:lang w:val="it-IT" w:eastAsia="it-IT"/>
        </w:rPr>
        <w:t>);</w:t>
      </w:r>
    </w:p>
    <w:p w:rsidR="0075107C" w:rsidRPr="002C618B" w:rsidRDefault="0075107C" w:rsidP="00FB0FCC">
      <w:pPr>
        <w:numPr>
          <w:ilvl w:val="0"/>
          <w:numId w:val="18"/>
        </w:numPr>
        <w:spacing w:before="80"/>
        <w:ind w:left="425" w:hanging="425"/>
        <w:rPr>
          <w:rFonts w:eastAsia="Times New Roman" w:cs="Arial"/>
          <w:lang w:eastAsia="it-IT"/>
        </w:rPr>
      </w:pPr>
      <w:r w:rsidRPr="002C618B">
        <w:rPr>
          <w:rFonts w:eastAsia="Times New Roman" w:cs="Arial"/>
          <w:lang w:val="it-IT" w:eastAsia="it-IT"/>
        </w:rPr>
        <w:t>adeguamento della LT alla LAID</w:t>
      </w:r>
      <w:r>
        <w:rPr>
          <w:rStyle w:val="Rimandonotaapidipagina"/>
          <w:rFonts w:eastAsia="Times New Roman" w:cs="Arial"/>
          <w:lang w:val="it-IT" w:eastAsia="it-IT"/>
        </w:rPr>
        <w:footnoteReference w:id="2"/>
      </w:r>
      <w:r w:rsidRPr="002C618B">
        <w:rPr>
          <w:rFonts w:eastAsia="Times New Roman" w:cs="Arial"/>
          <w:lang w:val="it-IT" w:eastAsia="it-IT"/>
        </w:rPr>
        <w:t xml:space="preserve"> in relazione alla legge federale sulle procedure elettroniche in ambito fiscale del 18 giugno 2021</w:t>
      </w:r>
      <w:r w:rsidRPr="002C618B">
        <w:rPr>
          <w:rFonts w:eastAsia="Times New Roman" w:cs="Arial"/>
          <w:lang w:eastAsia="it-IT"/>
        </w:rPr>
        <w:t xml:space="preserve"> (nuovo </w:t>
      </w:r>
      <w:r w:rsidRPr="002C618B">
        <w:rPr>
          <w:rFonts w:eastAsia="Times New Roman" w:cs="Arial"/>
          <w:b/>
          <w:bCs/>
          <w:lang w:eastAsia="it-IT"/>
        </w:rPr>
        <w:t xml:space="preserve">art. 185a LT; </w:t>
      </w:r>
      <w:r w:rsidRPr="002C618B">
        <w:rPr>
          <w:rFonts w:eastAsia="Times New Roman" w:cs="Arial"/>
          <w:lang w:eastAsia="it-IT"/>
        </w:rPr>
        <w:t>nuovo</w:t>
      </w:r>
      <w:r w:rsidRPr="002C618B">
        <w:rPr>
          <w:rFonts w:eastAsia="Times New Roman" w:cs="Arial"/>
          <w:bCs/>
          <w:lang w:eastAsia="it-IT"/>
        </w:rPr>
        <w:t xml:space="preserve"> </w:t>
      </w:r>
      <w:r w:rsidRPr="002C618B">
        <w:rPr>
          <w:rFonts w:eastAsia="Times New Roman" w:cs="Arial"/>
          <w:b/>
          <w:bCs/>
          <w:lang w:eastAsia="it-IT"/>
        </w:rPr>
        <w:t xml:space="preserve">art. 185b </w:t>
      </w:r>
      <w:r w:rsidRPr="002C618B">
        <w:rPr>
          <w:rFonts w:eastAsia="Times New Roman" w:cs="Arial"/>
          <w:bCs/>
          <w:lang w:eastAsia="it-IT"/>
        </w:rPr>
        <w:t xml:space="preserve">ex art. </w:t>
      </w:r>
      <w:r w:rsidRPr="002C618B">
        <w:rPr>
          <w:rFonts w:cs="Arial"/>
          <w:bCs/>
        </w:rPr>
        <w:t>185a e modifica del cpv. 1</w:t>
      </w:r>
      <w:r w:rsidRPr="002C618B">
        <w:rPr>
          <w:rFonts w:cs="Arial"/>
          <w:b/>
          <w:bCs/>
        </w:rPr>
        <w:t xml:space="preserve">; </w:t>
      </w:r>
      <w:r w:rsidRPr="002C618B">
        <w:rPr>
          <w:rFonts w:cs="Arial"/>
          <w:bCs/>
        </w:rPr>
        <w:t>modifica</w:t>
      </w:r>
      <w:r w:rsidRPr="002C618B">
        <w:rPr>
          <w:rFonts w:cs="Arial"/>
          <w:b/>
          <w:bCs/>
        </w:rPr>
        <w:t xml:space="preserve"> art. 198 cpv. 1, 2, 2bis e 3 LT</w:t>
      </w:r>
      <w:r w:rsidRPr="002C618B">
        <w:rPr>
          <w:rFonts w:eastAsia="Times New Roman" w:cs="Arial"/>
          <w:lang w:eastAsia="it-IT"/>
        </w:rPr>
        <w:t>);</w:t>
      </w:r>
    </w:p>
    <w:p w:rsidR="0075107C" w:rsidRPr="002C618B" w:rsidRDefault="0075107C" w:rsidP="00FB0FCC">
      <w:pPr>
        <w:numPr>
          <w:ilvl w:val="0"/>
          <w:numId w:val="18"/>
        </w:numPr>
        <w:spacing w:before="80"/>
        <w:ind w:left="425" w:hanging="425"/>
        <w:rPr>
          <w:rFonts w:eastAsia="Times New Roman"/>
          <w:szCs w:val="20"/>
          <w:lang w:eastAsia="it-IT"/>
        </w:rPr>
      </w:pPr>
      <w:r w:rsidRPr="002C618B">
        <w:rPr>
          <w:rFonts w:eastAsia="Times New Roman" w:cs="Arial"/>
          <w:lang w:eastAsia="it-IT"/>
        </w:rPr>
        <w:t xml:space="preserve">adeguamento </w:t>
      </w:r>
      <w:r w:rsidRPr="002C618B">
        <w:rPr>
          <w:rFonts w:eastAsia="Times New Roman" w:cs="Arial"/>
          <w:lang w:val="it-IT" w:eastAsia="it-IT"/>
        </w:rPr>
        <w:t>dell’art. 185 LT all’art. 112 LIFD</w:t>
      </w:r>
      <w:r>
        <w:rPr>
          <w:rStyle w:val="Rimandonotaapidipagina"/>
          <w:rFonts w:eastAsia="Times New Roman" w:cs="Arial"/>
          <w:lang w:val="it-IT" w:eastAsia="it-IT"/>
        </w:rPr>
        <w:footnoteReference w:id="3"/>
      </w:r>
      <w:r w:rsidRPr="002C618B">
        <w:rPr>
          <w:rFonts w:eastAsia="Times New Roman" w:cs="Arial"/>
          <w:lang w:val="it-IT" w:eastAsia="it-IT"/>
        </w:rPr>
        <w:t xml:space="preserve">, in particolare in relazione alla legge federale sulla lotta contro l’abuso del fallimento del 18 marzo 2022 </w:t>
      </w:r>
      <w:r w:rsidRPr="002C618B">
        <w:rPr>
          <w:rFonts w:eastAsia="Times New Roman" w:cs="Arial"/>
          <w:lang w:eastAsia="it-IT"/>
        </w:rPr>
        <w:t>e all’obbligo di assistenza all’autorità fiscale da parte di organi di corporazioni e stabilimenti che provvedono a compiti dell’amministrazione pubblica, così come da parte di enti sussidiati e della Posta Svizzera (nuovo cpv. 2 e cpv. 4, nonché modifica cpv. 3 all’</w:t>
      </w:r>
      <w:r w:rsidRPr="002C618B">
        <w:rPr>
          <w:rFonts w:eastAsia="Times New Roman" w:cs="Arial"/>
          <w:b/>
          <w:lang w:eastAsia="it-IT"/>
        </w:rPr>
        <w:t>art. 185 LT</w:t>
      </w:r>
      <w:r w:rsidRPr="002C618B">
        <w:rPr>
          <w:rFonts w:eastAsia="Times New Roman" w:cs="Arial"/>
          <w:lang w:eastAsia="it-IT"/>
        </w:rPr>
        <w:t>);</w:t>
      </w:r>
    </w:p>
    <w:p w:rsidR="0075107C" w:rsidRPr="002C618B" w:rsidRDefault="0075107C" w:rsidP="00FB0FCC">
      <w:pPr>
        <w:numPr>
          <w:ilvl w:val="0"/>
          <w:numId w:val="18"/>
        </w:numPr>
        <w:spacing w:before="80"/>
        <w:ind w:left="425" w:hanging="425"/>
        <w:rPr>
          <w:rFonts w:eastAsia="Times New Roman" w:cs="Arial"/>
          <w:lang w:val="it-IT" w:eastAsia="it-IT"/>
        </w:rPr>
      </w:pPr>
      <w:r w:rsidRPr="002C618B">
        <w:rPr>
          <w:rFonts w:eastAsia="Times New Roman" w:cs="Arial"/>
          <w:lang w:val="it-IT" w:eastAsia="it-IT"/>
        </w:rPr>
        <w:lastRenderedPageBreak/>
        <w:t>adeguamento dell’art. 49a LT concernente il freno all’imposta sulla sostanza (</w:t>
      </w:r>
      <w:r w:rsidRPr="002C618B">
        <w:rPr>
          <w:rFonts w:eastAsia="Times New Roman" w:cs="Arial"/>
          <w:lang w:eastAsia="it-IT"/>
        </w:rPr>
        <w:t>nuovo cpv. 2bis all’</w:t>
      </w:r>
      <w:r w:rsidRPr="002C618B">
        <w:rPr>
          <w:rFonts w:eastAsia="Times New Roman" w:cs="Arial"/>
          <w:b/>
          <w:lang w:eastAsia="it-IT"/>
        </w:rPr>
        <w:t>art. 49a LT)</w:t>
      </w:r>
      <w:r w:rsidRPr="002C618B">
        <w:rPr>
          <w:rFonts w:eastAsia="Times New Roman" w:cs="Arial"/>
          <w:lang w:val="it-IT" w:eastAsia="it-IT"/>
        </w:rPr>
        <w:t>;</w:t>
      </w:r>
    </w:p>
    <w:p w:rsidR="0075107C" w:rsidRPr="002C618B" w:rsidRDefault="0075107C" w:rsidP="00FB0FCC">
      <w:pPr>
        <w:numPr>
          <w:ilvl w:val="0"/>
          <w:numId w:val="18"/>
        </w:numPr>
        <w:spacing w:before="80"/>
        <w:ind w:left="425" w:hanging="425"/>
        <w:rPr>
          <w:rFonts w:eastAsia="Times New Roman" w:cs="Arial"/>
          <w:lang w:val="it-IT" w:eastAsia="it-IT"/>
        </w:rPr>
      </w:pPr>
      <w:r w:rsidRPr="002C618B">
        <w:rPr>
          <w:rFonts w:eastAsia="Times New Roman" w:cs="Arial"/>
          <w:lang w:val="it-IT" w:eastAsia="it-IT"/>
        </w:rPr>
        <w:t>proroga del supplemento transitorio dell’imposta immobiliare cantonale delle persone giuridiche (nuovo cpv. 2sexies all’</w:t>
      </w:r>
      <w:r w:rsidRPr="002C618B">
        <w:rPr>
          <w:rFonts w:eastAsia="Times New Roman" w:cs="Arial"/>
          <w:b/>
          <w:lang w:val="it-IT" w:eastAsia="it-IT"/>
        </w:rPr>
        <w:t>art. 314c LT</w:t>
      </w:r>
      <w:r w:rsidRPr="002C618B">
        <w:rPr>
          <w:rFonts w:eastAsia="Times New Roman" w:cs="Arial"/>
          <w:lang w:val="it-IT" w:eastAsia="it-IT"/>
        </w:rPr>
        <w:t>).</w:t>
      </w:r>
    </w:p>
    <w:p w:rsidR="0075107C" w:rsidRPr="003B21A9" w:rsidRDefault="0075107C" w:rsidP="0075107C">
      <w:pPr>
        <w:rPr>
          <w:lang w:eastAsia="it-IT"/>
        </w:rPr>
      </w:pPr>
    </w:p>
    <w:p w:rsidR="0075107C" w:rsidRPr="003B21A9" w:rsidRDefault="0075107C" w:rsidP="0075107C">
      <w:pPr>
        <w:pStyle w:val="Titolo1"/>
        <w:numPr>
          <w:ilvl w:val="0"/>
          <w:numId w:val="0"/>
        </w:numPr>
        <w:ind w:left="363" w:hanging="363"/>
        <w:jc w:val="both"/>
      </w:pPr>
      <w:r>
        <w:t>II</w:t>
      </w:r>
      <w:r w:rsidRPr="003B21A9">
        <w:t>.</w:t>
      </w:r>
      <w:r w:rsidRPr="003B21A9">
        <w:tab/>
        <w:t>COMPARATIVO DELLE MODIFICHE PROPOSTE E APPROFONDIMENTI COMMISSIONALI</w:t>
      </w:r>
    </w:p>
    <w:p w:rsidR="0075107C" w:rsidRPr="0079095C" w:rsidRDefault="0075107C" w:rsidP="0075107C">
      <w:pPr>
        <w:rPr>
          <w:rFonts w:eastAsia="Times New Roman"/>
          <w:szCs w:val="24"/>
          <w:lang w:eastAsia="it-IT"/>
        </w:rPr>
      </w:pPr>
      <w:r w:rsidRPr="0079095C">
        <w:rPr>
          <w:rFonts w:eastAsia="Times New Roman"/>
          <w:szCs w:val="24"/>
          <w:lang w:eastAsia="it-IT"/>
        </w:rPr>
        <w:t xml:space="preserve">La Commissione gestione e finanze, sulla base dei lavori preparatori svolti dalla sua Sottocommissione Fisco, non ha particolari commenti da aggiungere a quanto esposto nel testo del messaggio, salvo per quanto attiene all’introduzione del nuovo cpv. 2sexies dell’art. 314c LT, di cui si dirà meglio in seguito. </w:t>
      </w:r>
      <w:r w:rsidRPr="0079095C">
        <w:rPr>
          <w:szCs w:val="24"/>
        </w:rPr>
        <w:t>La presente sezione espone in modo sinottico le proposte di modifica confrontando il testo di legge attualmente in vigore (</w:t>
      </w:r>
      <w:r w:rsidRPr="0079095C">
        <w:rPr>
          <w:i/>
          <w:iCs/>
          <w:szCs w:val="24"/>
        </w:rPr>
        <w:t xml:space="preserve">de </w:t>
      </w:r>
      <w:proofErr w:type="spellStart"/>
      <w:r w:rsidRPr="0079095C">
        <w:rPr>
          <w:i/>
          <w:iCs/>
          <w:szCs w:val="24"/>
        </w:rPr>
        <w:t>lege</w:t>
      </w:r>
      <w:proofErr w:type="spellEnd"/>
      <w:r w:rsidRPr="0079095C">
        <w:rPr>
          <w:i/>
          <w:iCs/>
          <w:szCs w:val="24"/>
        </w:rPr>
        <w:t xml:space="preserve"> lata</w:t>
      </w:r>
      <w:r w:rsidRPr="0079095C">
        <w:rPr>
          <w:szCs w:val="24"/>
        </w:rPr>
        <w:t>) con quello che si propone di porre in essere dal 1° gennaio 2024 (</w:t>
      </w:r>
      <w:r w:rsidRPr="0079095C">
        <w:rPr>
          <w:i/>
          <w:iCs/>
          <w:szCs w:val="24"/>
        </w:rPr>
        <w:t xml:space="preserve">de </w:t>
      </w:r>
      <w:proofErr w:type="spellStart"/>
      <w:r w:rsidRPr="0079095C">
        <w:rPr>
          <w:i/>
          <w:iCs/>
          <w:szCs w:val="24"/>
        </w:rPr>
        <w:t>lege</w:t>
      </w:r>
      <w:proofErr w:type="spellEnd"/>
      <w:r w:rsidRPr="0079095C">
        <w:rPr>
          <w:i/>
          <w:iCs/>
          <w:szCs w:val="24"/>
        </w:rPr>
        <w:t xml:space="preserve"> </w:t>
      </w:r>
      <w:proofErr w:type="spellStart"/>
      <w:r w:rsidRPr="0079095C">
        <w:rPr>
          <w:i/>
          <w:iCs/>
          <w:szCs w:val="24"/>
        </w:rPr>
        <w:t>ferenda</w:t>
      </w:r>
      <w:proofErr w:type="spellEnd"/>
      <w:r w:rsidRPr="0079095C">
        <w:rPr>
          <w:szCs w:val="24"/>
        </w:rPr>
        <w:t xml:space="preserve">), </w:t>
      </w:r>
      <w:r w:rsidRPr="0079095C">
        <w:rPr>
          <w:rFonts w:cs="Arial"/>
          <w:szCs w:val="24"/>
        </w:rPr>
        <w:t>riservata la disposizione di cui all’articolo 185 capoverso 2, la quale entra retroattivamente in vigore il 1° gennaio 2021 e la disposizione di cui all’articolo 185 capoverso 4, la quale entra in vigore contestualmente all’articolo 112 capoverso 4 della legge federale sull’imposta federale diretta del 14 dicembre 1990 (LIFD).</w:t>
      </w:r>
      <w:r w:rsidRPr="0079095C">
        <w:rPr>
          <w:rFonts w:eastAsia="Times New Roman"/>
          <w:szCs w:val="24"/>
          <w:lang w:eastAsia="it-IT"/>
        </w:rPr>
        <w:t xml:space="preserve"> Si rimanda in generale al messaggio per quanto attiene ai commenti di dettaglio, nonché alle eventuali precisazioni sull’interpretazione.</w:t>
      </w:r>
    </w:p>
    <w:p w:rsidR="0075107C" w:rsidRDefault="0075107C" w:rsidP="0075107C">
      <w:pPr>
        <w:rPr>
          <w:rFonts w:eastAsia="Times New Roman"/>
          <w:i/>
          <w:iCs/>
          <w:szCs w:val="20"/>
          <w:lang w:eastAsia="it-IT"/>
        </w:rPr>
      </w:pPr>
    </w:p>
    <w:p w:rsidR="00FB0FCC" w:rsidRPr="003B21A9" w:rsidRDefault="00FB0FCC" w:rsidP="0075107C">
      <w:pPr>
        <w:rPr>
          <w:rFonts w:eastAsia="Times New Roman"/>
          <w:i/>
          <w:iCs/>
          <w:szCs w:val="20"/>
          <w:lang w:eastAsia="it-IT"/>
        </w:rPr>
      </w:pPr>
    </w:p>
    <w:p w:rsidR="0075107C" w:rsidRPr="00EC2096" w:rsidRDefault="0075107C" w:rsidP="00FB0FCC">
      <w:pPr>
        <w:pStyle w:val="Titolo2"/>
        <w:numPr>
          <w:ilvl w:val="0"/>
          <w:numId w:val="0"/>
        </w:numPr>
        <w:spacing w:before="0"/>
        <w:ind w:left="544" w:hanging="544"/>
        <w:jc w:val="both"/>
      </w:pPr>
      <w:r w:rsidRPr="003B21A9">
        <w:t>1.</w:t>
      </w:r>
      <w:r w:rsidRPr="003B21A9">
        <w:tab/>
      </w:r>
      <w:r>
        <w:t>IMPOSIZIONE SPECIALE DEI GRANDI GRUPPI DI IMPRESE (ATTUAZIONE DEL PROGETTO DELL’OCSE E DEL G20 SULL’IMPOSIZIONE DELL’ECONOMIA DIGITALE – PILLAR 1 E 2)</w:t>
      </w:r>
    </w:p>
    <w:p w:rsidR="0075107C" w:rsidRDefault="0075107C" w:rsidP="0075107C">
      <w:pPr>
        <w:rPr>
          <w:szCs w:val="24"/>
        </w:rPr>
      </w:pPr>
    </w:p>
    <w:tbl>
      <w:tblPr>
        <w:tblStyle w:val="Grigliatabella1"/>
        <w:tblW w:w="0" w:type="auto"/>
        <w:tblLook w:val="04A0" w:firstRow="1" w:lastRow="0" w:firstColumn="1" w:lastColumn="0" w:noHBand="0" w:noVBand="1"/>
      </w:tblPr>
      <w:tblGrid>
        <w:gridCol w:w="4737"/>
        <w:gridCol w:w="4738"/>
      </w:tblGrid>
      <w:tr w:rsidR="0075107C" w:rsidRPr="00512DF8" w:rsidTr="00072520">
        <w:tc>
          <w:tcPr>
            <w:tcW w:w="9628" w:type="dxa"/>
            <w:gridSpan w:val="2"/>
            <w:shd w:val="clear" w:color="auto" w:fill="7F7F7F" w:themeFill="text1" w:themeFillTint="80"/>
          </w:tcPr>
          <w:p w:rsidR="0075107C" w:rsidRPr="00512DF8" w:rsidRDefault="0075107C" w:rsidP="0075107C">
            <w:pPr>
              <w:spacing w:line="276" w:lineRule="auto"/>
              <w:jc w:val="both"/>
              <w:rPr>
                <w:b/>
                <w:bCs/>
                <w:color w:val="FFFFFF"/>
                <w:lang w:val="en-AU" w:eastAsia="it-IT"/>
              </w:rPr>
            </w:pPr>
            <w:r w:rsidRPr="00512DF8">
              <w:rPr>
                <w:b/>
                <w:bCs/>
                <w:color w:val="FFFFFF"/>
                <w:sz w:val="20"/>
                <w:szCs w:val="20"/>
                <w:lang w:val="en-AU" w:eastAsia="it-IT"/>
              </w:rPr>
              <w:t xml:space="preserve">Art. 323 </w:t>
            </w:r>
            <w:proofErr w:type="spellStart"/>
            <w:r w:rsidRPr="00512DF8">
              <w:rPr>
                <w:b/>
                <w:bCs/>
                <w:color w:val="FFFFFF"/>
                <w:sz w:val="20"/>
                <w:szCs w:val="20"/>
                <w:lang w:val="en-AU" w:eastAsia="it-IT"/>
              </w:rPr>
              <w:t>cpv</w:t>
            </w:r>
            <w:proofErr w:type="spellEnd"/>
            <w:r w:rsidRPr="00512DF8">
              <w:rPr>
                <w:b/>
                <w:bCs/>
                <w:color w:val="FFFFFF"/>
                <w:sz w:val="20"/>
                <w:szCs w:val="20"/>
                <w:lang w:val="en-AU" w:eastAsia="it-IT"/>
              </w:rPr>
              <w:t>. 1 LT (</w:t>
            </w:r>
            <w:proofErr w:type="spellStart"/>
            <w:r w:rsidRPr="00512DF8">
              <w:rPr>
                <w:b/>
                <w:bCs/>
                <w:color w:val="FFFFFF"/>
                <w:sz w:val="20"/>
                <w:szCs w:val="20"/>
                <w:lang w:val="en-AU" w:eastAsia="it-IT"/>
              </w:rPr>
              <w:t>modifica</w:t>
            </w:r>
            <w:proofErr w:type="spellEnd"/>
            <w:r w:rsidRPr="00512DF8">
              <w:rPr>
                <w:b/>
                <w:bCs/>
                <w:color w:val="FFFFFF"/>
                <w:sz w:val="20"/>
                <w:szCs w:val="20"/>
                <w:lang w:val="en-AU" w:eastAsia="it-IT"/>
              </w:rPr>
              <w:t>)</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Pr="00512DF8" w:rsidRDefault="0075107C" w:rsidP="0075107C">
            <w:pPr>
              <w:spacing w:after="240" w:line="276" w:lineRule="auto"/>
              <w:jc w:val="both"/>
              <w:rPr>
                <w:sz w:val="20"/>
                <w:szCs w:val="20"/>
                <w:lang w:eastAsia="it-IT"/>
              </w:rPr>
            </w:pPr>
            <w:r w:rsidRPr="00512DF8">
              <w:rPr>
                <w:sz w:val="20"/>
                <w:szCs w:val="20"/>
                <w:lang w:eastAsia="it-IT"/>
              </w:rPr>
              <w:t>Attualmente, il Consiglio di Stato è autorizzato a designare le autorità competenti a stabilire le ne</w:t>
            </w:r>
            <w:r>
              <w:rPr>
                <w:sz w:val="20"/>
                <w:szCs w:val="20"/>
                <w:lang w:eastAsia="it-IT"/>
              </w:rPr>
              <w:t>cessarie disposizioni esecutive</w:t>
            </w:r>
            <w:r w:rsidRPr="00512DF8">
              <w:rPr>
                <w:sz w:val="20"/>
                <w:szCs w:val="20"/>
                <w:lang w:eastAsia="it-IT"/>
              </w:rPr>
              <w:t xml:space="preserve"> in materia di imposta preventiva, di tassa d’esenzione dall’obbligo militare e di convenzioni internazionali di doppia imposizione.</w:t>
            </w:r>
          </w:p>
          <w:p w:rsidR="0075107C" w:rsidRPr="003B21A9" w:rsidRDefault="0075107C" w:rsidP="0075107C">
            <w:pPr>
              <w:spacing w:after="240" w:line="276" w:lineRule="auto"/>
              <w:jc w:val="both"/>
              <w:rPr>
                <w:sz w:val="20"/>
                <w:szCs w:val="20"/>
                <w:lang w:eastAsia="it-IT"/>
              </w:rPr>
            </w:pPr>
          </w:p>
        </w:tc>
        <w:tc>
          <w:tcPr>
            <w:tcW w:w="4814" w:type="dxa"/>
            <w:tcBorders>
              <w:bottom w:val="single" w:sz="4" w:space="0" w:color="auto"/>
            </w:tcBorders>
          </w:tcPr>
          <w:p w:rsidR="0075107C" w:rsidRPr="003B21A9" w:rsidRDefault="0075107C" w:rsidP="0075107C">
            <w:pPr>
              <w:spacing w:line="276" w:lineRule="auto"/>
              <w:jc w:val="both"/>
              <w:rPr>
                <w:sz w:val="20"/>
                <w:szCs w:val="20"/>
              </w:rPr>
            </w:pPr>
            <w:r w:rsidRPr="00512DF8">
              <w:rPr>
                <w:sz w:val="20"/>
                <w:szCs w:val="20"/>
                <w:lang w:eastAsia="it-IT"/>
              </w:rPr>
              <w:t xml:space="preserve">Per implementare nel nostro Cantone il prelievo </w:t>
            </w:r>
            <w:r>
              <w:rPr>
                <w:sz w:val="20"/>
                <w:szCs w:val="20"/>
                <w:lang w:eastAsia="it-IT"/>
              </w:rPr>
              <w:t xml:space="preserve">dell’imposta integrativa (nuovo </w:t>
            </w:r>
            <w:r w:rsidRPr="00EC2096">
              <w:rPr>
                <w:sz w:val="20"/>
                <w:szCs w:val="20"/>
                <w:lang w:eastAsia="it-IT"/>
              </w:rPr>
              <w:t>art</w:t>
            </w:r>
            <w:r>
              <w:rPr>
                <w:sz w:val="20"/>
                <w:szCs w:val="20"/>
                <w:lang w:eastAsia="it-IT"/>
              </w:rPr>
              <w:t>.</w:t>
            </w:r>
            <w:r w:rsidRPr="00EC2096">
              <w:rPr>
                <w:sz w:val="20"/>
                <w:szCs w:val="20"/>
                <w:lang w:eastAsia="it-IT"/>
              </w:rPr>
              <w:t xml:space="preserve"> 129a </w:t>
            </w:r>
            <w:proofErr w:type="spellStart"/>
            <w:r w:rsidRPr="00EC2096">
              <w:rPr>
                <w:sz w:val="20"/>
                <w:szCs w:val="20"/>
                <w:lang w:eastAsia="it-IT"/>
              </w:rPr>
              <w:t>Cost</w:t>
            </w:r>
            <w:proofErr w:type="spellEnd"/>
            <w:r w:rsidRPr="00EC2096">
              <w:rPr>
                <w:sz w:val="20"/>
                <w:szCs w:val="20"/>
                <w:lang w:eastAsia="it-IT"/>
              </w:rPr>
              <w:t xml:space="preserve">. </w:t>
            </w:r>
            <w:proofErr w:type="spellStart"/>
            <w:r w:rsidRPr="00EC2096">
              <w:rPr>
                <w:sz w:val="20"/>
                <w:szCs w:val="20"/>
                <w:lang w:eastAsia="it-IT"/>
              </w:rPr>
              <w:t>fed</w:t>
            </w:r>
            <w:proofErr w:type="spellEnd"/>
            <w:r w:rsidRPr="00EC2096">
              <w:rPr>
                <w:sz w:val="20"/>
                <w:szCs w:val="20"/>
                <w:lang w:eastAsia="it-IT"/>
              </w:rPr>
              <w:t xml:space="preserve">. e nuova disposizione transitoria di cui all’art. 197 n. 15 </w:t>
            </w:r>
            <w:proofErr w:type="spellStart"/>
            <w:r w:rsidRPr="00EC2096">
              <w:rPr>
                <w:sz w:val="20"/>
                <w:szCs w:val="20"/>
                <w:lang w:eastAsia="it-IT"/>
              </w:rPr>
              <w:t>Cost</w:t>
            </w:r>
            <w:proofErr w:type="spellEnd"/>
            <w:r w:rsidRPr="00EC2096">
              <w:rPr>
                <w:sz w:val="20"/>
                <w:szCs w:val="20"/>
                <w:lang w:eastAsia="it-IT"/>
              </w:rPr>
              <w:t xml:space="preserve">. </w:t>
            </w:r>
            <w:proofErr w:type="spellStart"/>
            <w:r w:rsidRPr="00EC2096">
              <w:rPr>
                <w:sz w:val="20"/>
                <w:szCs w:val="20"/>
                <w:lang w:eastAsia="it-IT"/>
              </w:rPr>
              <w:t>fed</w:t>
            </w:r>
            <w:proofErr w:type="spellEnd"/>
            <w:r w:rsidRPr="00EC2096">
              <w:rPr>
                <w:sz w:val="20"/>
                <w:szCs w:val="20"/>
                <w:lang w:eastAsia="it-IT"/>
              </w:rPr>
              <w:t>.)</w:t>
            </w:r>
            <w:r>
              <w:rPr>
                <w:sz w:val="20"/>
                <w:szCs w:val="20"/>
                <w:lang w:eastAsia="it-IT"/>
              </w:rPr>
              <w:t>, trattandosi di un’</w:t>
            </w:r>
            <w:r w:rsidRPr="00512DF8">
              <w:rPr>
                <w:sz w:val="20"/>
                <w:szCs w:val="20"/>
                <w:lang w:eastAsia="it-IT"/>
              </w:rPr>
              <w:t>imposta federale</w:t>
            </w:r>
            <w:r>
              <w:rPr>
                <w:sz w:val="20"/>
                <w:szCs w:val="20"/>
                <w:lang w:eastAsia="it-IT"/>
              </w:rPr>
              <w:t xml:space="preserve"> applicata dai Cantoni,</w:t>
            </w:r>
            <w:r w:rsidRPr="00512DF8">
              <w:rPr>
                <w:sz w:val="20"/>
                <w:szCs w:val="20"/>
                <w:lang w:eastAsia="it-IT"/>
              </w:rPr>
              <w:t xml:space="preserve"> </w:t>
            </w:r>
            <w:r>
              <w:rPr>
                <w:sz w:val="20"/>
                <w:szCs w:val="20"/>
                <w:lang w:eastAsia="it-IT"/>
              </w:rPr>
              <w:t>è</w:t>
            </w:r>
            <w:r w:rsidRPr="00512DF8">
              <w:rPr>
                <w:sz w:val="20"/>
                <w:szCs w:val="20"/>
                <w:lang w:eastAsia="it-IT"/>
              </w:rPr>
              <w:t xml:space="preserve"> necessario ampliare la portata dell’art. 323 cpv. 1 LT</w:t>
            </w:r>
            <w:r w:rsidRPr="00512DF8">
              <w:rPr>
                <w:sz w:val="20"/>
                <w:szCs w:val="20"/>
              </w:rPr>
              <w:t xml:space="preserve"> al prelievo </w:t>
            </w:r>
            <w:r>
              <w:rPr>
                <w:sz w:val="20"/>
                <w:szCs w:val="20"/>
              </w:rPr>
              <w:t>di questa imposta</w:t>
            </w:r>
            <w:r w:rsidRPr="00512DF8">
              <w:rPr>
                <w:sz w:val="20"/>
                <w:szCs w:val="20"/>
              </w:rPr>
              <w:t>, cosicché al Consiglio di Stato venga attribuita la facoltà di emanare uno specifi</w:t>
            </w:r>
            <w:r>
              <w:rPr>
                <w:sz w:val="20"/>
                <w:szCs w:val="20"/>
              </w:rPr>
              <w:t>co regolamento di applicazione.</w:t>
            </w:r>
          </w:p>
        </w:tc>
      </w:tr>
    </w:tbl>
    <w:p w:rsidR="0075107C" w:rsidRDefault="0075107C" w:rsidP="0075107C">
      <w:pPr>
        <w:rPr>
          <w:rFonts w:eastAsia="Times New Roman"/>
          <w:sz w:val="20"/>
          <w:szCs w:val="20"/>
          <w:lang w:eastAsia="it-IT"/>
        </w:rPr>
      </w:pPr>
    </w:p>
    <w:tbl>
      <w:tblPr>
        <w:tblStyle w:val="Grigliatabella1"/>
        <w:tblW w:w="0" w:type="auto"/>
        <w:tblLook w:val="04A0" w:firstRow="1" w:lastRow="0" w:firstColumn="1" w:lastColumn="0" w:noHBand="0" w:noVBand="1"/>
      </w:tblPr>
      <w:tblGrid>
        <w:gridCol w:w="4732"/>
        <w:gridCol w:w="4743"/>
      </w:tblGrid>
      <w:tr w:rsidR="0075107C" w:rsidRPr="00DF17F9" w:rsidTr="00072520">
        <w:tc>
          <w:tcPr>
            <w:tcW w:w="9628" w:type="dxa"/>
            <w:gridSpan w:val="2"/>
            <w:shd w:val="clear" w:color="auto" w:fill="7F7F7F" w:themeFill="text1" w:themeFillTint="80"/>
          </w:tcPr>
          <w:p w:rsidR="0075107C" w:rsidRPr="00DF17F9" w:rsidRDefault="0075107C" w:rsidP="0075107C">
            <w:pPr>
              <w:spacing w:line="276" w:lineRule="auto"/>
              <w:jc w:val="both"/>
              <w:rPr>
                <w:b/>
                <w:bCs/>
                <w:color w:val="FFFFFF"/>
                <w:lang w:eastAsia="it-IT"/>
              </w:rPr>
            </w:pPr>
            <w:r w:rsidRPr="00DF17F9">
              <w:rPr>
                <w:b/>
                <w:bCs/>
                <w:color w:val="FFFFFF"/>
                <w:sz w:val="20"/>
                <w:szCs w:val="20"/>
                <w:lang w:eastAsia="it-IT"/>
              </w:rPr>
              <w:t>Decreto legislativo  concernente la ripartizione tra i Comuni di un montante parti al 10 per cento del versamento delle quote del gettito lordo dell’imposta integrative spettanti al Cantone in applicazione de</w:t>
            </w:r>
            <w:r>
              <w:rPr>
                <w:b/>
                <w:bCs/>
                <w:color w:val="FFFFFF"/>
                <w:sz w:val="20"/>
                <w:szCs w:val="20"/>
                <w:lang w:eastAsia="it-IT"/>
              </w:rPr>
              <w:t>l</w:t>
            </w:r>
            <w:r w:rsidRPr="00DF17F9">
              <w:rPr>
                <w:b/>
                <w:bCs/>
                <w:color w:val="FFFFFF"/>
                <w:sz w:val="20"/>
                <w:szCs w:val="20"/>
                <w:lang w:eastAsia="it-IT"/>
              </w:rPr>
              <w:t>l’articolo 197 numero 15 capoverso 6 della Costituzione federale</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Pr="00512DF8" w:rsidRDefault="0075107C" w:rsidP="0075107C">
            <w:pPr>
              <w:spacing w:after="240" w:line="276" w:lineRule="auto"/>
              <w:jc w:val="both"/>
              <w:rPr>
                <w:sz w:val="20"/>
                <w:szCs w:val="20"/>
                <w:lang w:eastAsia="it-IT"/>
              </w:rPr>
            </w:pPr>
            <w:r>
              <w:rPr>
                <w:sz w:val="20"/>
                <w:szCs w:val="20"/>
                <w:lang w:eastAsia="it-IT"/>
              </w:rPr>
              <w:t>Nessuna normativa.</w:t>
            </w:r>
          </w:p>
          <w:p w:rsidR="0075107C" w:rsidRPr="003B21A9" w:rsidRDefault="0075107C" w:rsidP="0075107C">
            <w:pPr>
              <w:spacing w:after="240" w:line="276" w:lineRule="auto"/>
              <w:jc w:val="both"/>
              <w:rPr>
                <w:sz w:val="20"/>
                <w:szCs w:val="20"/>
                <w:lang w:eastAsia="it-IT"/>
              </w:rPr>
            </w:pPr>
          </w:p>
        </w:tc>
        <w:tc>
          <w:tcPr>
            <w:tcW w:w="4814" w:type="dxa"/>
            <w:tcBorders>
              <w:bottom w:val="single" w:sz="4" w:space="0" w:color="auto"/>
            </w:tcBorders>
          </w:tcPr>
          <w:p w:rsidR="0075107C" w:rsidRPr="00D86A7D" w:rsidRDefault="0075107C" w:rsidP="0075107C">
            <w:pPr>
              <w:spacing w:line="276" w:lineRule="auto"/>
              <w:jc w:val="both"/>
              <w:rPr>
                <w:rFonts w:cs="Arial"/>
                <w:color w:val="000000"/>
                <w:sz w:val="20"/>
                <w:szCs w:val="20"/>
                <w:shd w:val="clear" w:color="auto" w:fill="FFFFFF"/>
              </w:rPr>
            </w:pPr>
            <w:r w:rsidRPr="00EC2096">
              <w:rPr>
                <w:rFonts w:cs="Arial"/>
                <w:color w:val="000000"/>
                <w:sz w:val="20"/>
                <w:szCs w:val="20"/>
                <w:shd w:val="clear" w:color="auto" w:fill="FFFFFF"/>
              </w:rPr>
              <w:t xml:space="preserve">La norma transitoria di cui all’art. 197 n. 15 cpv. 6 </w:t>
            </w:r>
            <w:proofErr w:type="spellStart"/>
            <w:r w:rsidRPr="00EC2096">
              <w:rPr>
                <w:rFonts w:cs="Arial"/>
                <w:color w:val="000000"/>
                <w:sz w:val="20"/>
                <w:szCs w:val="20"/>
                <w:shd w:val="clear" w:color="auto" w:fill="FFFFFF"/>
              </w:rPr>
              <w:t>Cost</w:t>
            </w:r>
            <w:proofErr w:type="spellEnd"/>
            <w:r w:rsidRPr="00EC2096">
              <w:rPr>
                <w:rFonts w:cs="Arial"/>
                <w:color w:val="000000"/>
                <w:sz w:val="20"/>
                <w:szCs w:val="20"/>
                <w:shd w:val="clear" w:color="auto" w:fill="FFFFFF"/>
              </w:rPr>
              <w:t xml:space="preserve">. </w:t>
            </w:r>
            <w:proofErr w:type="spellStart"/>
            <w:r w:rsidRPr="00EC2096">
              <w:rPr>
                <w:rFonts w:cs="Arial"/>
                <w:color w:val="000000"/>
                <w:sz w:val="20"/>
                <w:szCs w:val="20"/>
                <w:shd w:val="clear" w:color="auto" w:fill="FFFFFF"/>
              </w:rPr>
              <w:t>fed</w:t>
            </w:r>
            <w:proofErr w:type="spellEnd"/>
            <w:r w:rsidRPr="00EC2096">
              <w:rPr>
                <w:rFonts w:cs="Arial"/>
                <w:color w:val="000000"/>
                <w:sz w:val="20"/>
                <w:szCs w:val="20"/>
                <w:shd w:val="clear" w:color="auto" w:fill="FFFFFF"/>
              </w:rPr>
              <w:t>., prevede che il gettito lordo dell’imposta integrativa spetti per il 75 per cento ai Cantoni cui le unità operative appartengono fiscalmente. La disposizione prevede</w:t>
            </w:r>
            <w:r>
              <w:rPr>
                <w:rFonts w:cs="Arial"/>
                <w:color w:val="000000"/>
                <w:sz w:val="20"/>
                <w:szCs w:val="20"/>
                <w:shd w:val="clear" w:color="auto" w:fill="FFFFFF"/>
              </w:rPr>
              <w:t xml:space="preserve"> </w:t>
            </w:r>
            <w:r w:rsidRPr="00EC2096">
              <w:rPr>
                <w:rFonts w:cs="Arial"/>
                <w:color w:val="000000"/>
                <w:sz w:val="20"/>
                <w:szCs w:val="20"/>
                <w:shd w:val="clear" w:color="auto" w:fill="FFFFFF"/>
              </w:rPr>
              <w:t>che i Cantoni tengano adeguatamente conto dei Comuni</w:t>
            </w:r>
            <w:r>
              <w:rPr>
                <w:rFonts w:cs="Arial"/>
                <w:color w:val="000000"/>
                <w:sz w:val="20"/>
                <w:szCs w:val="20"/>
                <w:shd w:val="clear" w:color="auto" w:fill="FFFFFF"/>
              </w:rPr>
              <w:t>. S</w:t>
            </w:r>
            <w:r w:rsidRPr="000206C6">
              <w:rPr>
                <w:rFonts w:cs="Arial"/>
                <w:color w:val="000000"/>
                <w:sz w:val="20"/>
                <w:szCs w:val="20"/>
                <w:shd w:val="clear" w:color="auto" w:fill="FFFFFF"/>
              </w:rPr>
              <w:t xml:space="preserve">i propone l’attribuzione </w:t>
            </w:r>
            <w:r>
              <w:rPr>
                <w:rFonts w:cs="Arial"/>
                <w:color w:val="000000"/>
                <w:sz w:val="20"/>
                <w:szCs w:val="20"/>
                <w:shd w:val="clear" w:color="auto" w:fill="FFFFFF"/>
              </w:rPr>
              <w:t xml:space="preserve">ai Comuni </w:t>
            </w:r>
            <w:r w:rsidRPr="000206C6">
              <w:rPr>
                <w:rFonts w:cs="Arial"/>
                <w:color w:val="000000"/>
                <w:sz w:val="20"/>
                <w:szCs w:val="20"/>
                <w:shd w:val="clear" w:color="auto" w:fill="FFFFFF"/>
              </w:rPr>
              <w:t xml:space="preserve">di una quota complessiva </w:t>
            </w:r>
            <w:r w:rsidRPr="000206C6">
              <w:rPr>
                <w:rFonts w:cs="Arial"/>
                <w:color w:val="000000"/>
                <w:sz w:val="20"/>
                <w:szCs w:val="20"/>
                <w:shd w:val="clear" w:color="auto" w:fill="FFFFFF"/>
              </w:rPr>
              <w:lastRenderedPageBreak/>
              <w:t>del 10 per cento del versamento delle quote del gettito lordo dell’imposta integrativa spettanti al Cantone, dedotta l’indennità trattenuta dal Cantone competente per la tassazione.</w:t>
            </w:r>
          </w:p>
        </w:tc>
      </w:tr>
    </w:tbl>
    <w:p w:rsidR="0075107C" w:rsidRDefault="0075107C" w:rsidP="0075107C">
      <w:pPr>
        <w:pStyle w:val="Titolo2"/>
        <w:numPr>
          <w:ilvl w:val="0"/>
          <w:numId w:val="0"/>
        </w:numPr>
        <w:ind w:left="544" w:hanging="544"/>
        <w:jc w:val="both"/>
      </w:pPr>
    </w:p>
    <w:p w:rsidR="0075107C" w:rsidRPr="003B21A9" w:rsidRDefault="0075107C" w:rsidP="0075107C">
      <w:pPr>
        <w:pStyle w:val="Titolo2"/>
        <w:numPr>
          <w:ilvl w:val="0"/>
          <w:numId w:val="0"/>
        </w:numPr>
        <w:ind w:left="544" w:hanging="544"/>
        <w:jc w:val="both"/>
      </w:pPr>
      <w:r>
        <w:t>2</w:t>
      </w:r>
      <w:r w:rsidRPr="003B21A9">
        <w:t>.</w:t>
      </w:r>
      <w:r w:rsidRPr="003B21A9">
        <w:tab/>
      </w:r>
      <w:r>
        <w:t>NUOVO ACCORDO SUI LAVORATORI FRONTALIERI CH-I</w:t>
      </w:r>
    </w:p>
    <w:p w:rsidR="0075107C" w:rsidRPr="00FE26CE" w:rsidRDefault="0075107C" w:rsidP="0075107C">
      <w:pPr>
        <w:spacing w:after="240"/>
      </w:pPr>
      <w:r>
        <w:rPr>
          <w:rFonts w:eastAsia="Times New Roman"/>
          <w:szCs w:val="20"/>
          <w:lang w:eastAsia="it-IT"/>
        </w:rPr>
        <w:t>Le</w:t>
      </w:r>
      <w:r w:rsidRPr="003B21A9">
        <w:rPr>
          <w:rFonts w:eastAsia="Times New Roman"/>
          <w:szCs w:val="20"/>
          <w:lang w:eastAsia="it-IT"/>
        </w:rPr>
        <w:t xml:space="preserve"> </w:t>
      </w:r>
      <w:r>
        <w:rPr>
          <w:rFonts w:eastAsia="Times New Roman"/>
          <w:szCs w:val="20"/>
          <w:lang w:eastAsia="it-IT"/>
        </w:rPr>
        <w:t xml:space="preserve">seguenti </w:t>
      </w:r>
      <w:r w:rsidRPr="003B21A9">
        <w:rPr>
          <w:rFonts w:eastAsia="Times New Roman"/>
          <w:szCs w:val="20"/>
          <w:lang w:eastAsia="it-IT"/>
        </w:rPr>
        <w:t>propost</w:t>
      </w:r>
      <w:r>
        <w:rPr>
          <w:rFonts w:eastAsia="Times New Roman"/>
          <w:szCs w:val="20"/>
          <w:lang w:eastAsia="it-IT"/>
        </w:rPr>
        <w:t>e</w:t>
      </w:r>
      <w:r w:rsidRPr="003B21A9">
        <w:rPr>
          <w:rFonts w:eastAsia="Times New Roman"/>
          <w:szCs w:val="20"/>
          <w:lang w:eastAsia="it-IT"/>
        </w:rPr>
        <w:t xml:space="preserve"> </w:t>
      </w:r>
      <w:r>
        <w:rPr>
          <w:rFonts w:eastAsia="Times New Roman"/>
          <w:szCs w:val="20"/>
          <w:lang w:eastAsia="it-IT"/>
        </w:rPr>
        <w:t xml:space="preserve">di </w:t>
      </w:r>
      <w:r w:rsidRPr="003B21A9">
        <w:rPr>
          <w:rFonts w:eastAsia="Times New Roman"/>
          <w:szCs w:val="20"/>
          <w:lang w:eastAsia="it-IT"/>
        </w:rPr>
        <w:t>modific</w:t>
      </w:r>
      <w:r>
        <w:rPr>
          <w:rFonts w:eastAsia="Times New Roman"/>
          <w:szCs w:val="20"/>
          <w:lang w:eastAsia="it-IT"/>
        </w:rPr>
        <w:t>a</w:t>
      </w:r>
      <w:r w:rsidRPr="003B21A9">
        <w:rPr>
          <w:rFonts w:eastAsia="Times New Roman"/>
          <w:szCs w:val="20"/>
          <w:lang w:eastAsia="it-IT"/>
        </w:rPr>
        <w:t xml:space="preserve"> della LT </w:t>
      </w:r>
      <w:r>
        <w:rPr>
          <w:rFonts w:eastAsia="Times New Roman"/>
          <w:szCs w:val="20"/>
          <w:lang w:eastAsia="it-IT"/>
        </w:rPr>
        <w:t xml:space="preserve">discendono dall’entrata in vigore </w:t>
      </w:r>
      <w:r w:rsidRPr="00792EF4">
        <w:rPr>
          <w:szCs w:val="24"/>
        </w:rPr>
        <w:t xml:space="preserve">al 1° gennaio 2024 </w:t>
      </w:r>
      <w:r>
        <w:rPr>
          <w:rFonts w:eastAsia="Times New Roman"/>
          <w:szCs w:val="20"/>
          <w:lang w:eastAsia="it-IT"/>
        </w:rPr>
        <w:t xml:space="preserve">del nuovo Accordo tra la Confederazione Svizzera e la Repubblica Italiana relativo all’imposizione dei lavoratori frontalieri </w:t>
      </w:r>
      <w:r w:rsidRPr="00FA4690">
        <w:rPr>
          <w:szCs w:val="24"/>
        </w:rPr>
        <w:t xml:space="preserve">del 23 dicembre 2020 </w:t>
      </w:r>
      <w:r>
        <w:rPr>
          <w:rFonts w:eastAsia="Times New Roman"/>
          <w:szCs w:val="20"/>
          <w:lang w:eastAsia="it-IT"/>
        </w:rPr>
        <w:t xml:space="preserve">(in seguito: </w:t>
      </w:r>
      <w:r w:rsidRPr="00E751BF">
        <w:rPr>
          <w:i/>
        </w:rPr>
        <w:t>Accordo sui frontalieri CH-I</w:t>
      </w:r>
      <w:r>
        <w:t xml:space="preserve">) </w:t>
      </w:r>
      <w:r>
        <w:rPr>
          <w:rFonts w:eastAsia="Times New Roman"/>
          <w:szCs w:val="20"/>
          <w:lang w:eastAsia="it-IT"/>
        </w:rPr>
        <w:t>e del</w:t>
      </w:r>
      <w:r>
        <w:t xml:space="preserve"> Protocollo che modifica la Convenzione tra la Svizzera e l’Italia per evitare le doppie imposizioni (CDI-I). </w:t>
      </w:r>
    </w:p>
    <w:tbl>
      <w:tblPr>
        <w:tblStyle w:val="Grigliatabella1"/>
        <w:tblW w:w="0" w:type="auto"/>
        <w:tblLook w:val="04A0" w:firstRow="1" w:lastRow="0" w:firstColumn="1" w:lastColumn="0" w:noHBand="0" w:noVBand="1"/>
      </w:tblPr>
      <w:tblGrid>
        <w:gridCol w:w="4733"/>
        <w:gridCol w:w="4742"/>
      </w:tblGrid>
      <w:tr w:rsidR="0075107C" w:rsidRPr="00DF4202" w:rsidTr="00072520">
        <w:tc>
          <w:tcPr>
            <w:tcW w:w="9628" w:type="dxa"/>
            <w:gridSpan w:val="2"/>
            <w:shd w:val="clear" w:color="auto" w:fill="7F7F7F" w:themeFill="text1" w:themeFillTint="80"/>
          </w:tcPr>
          <w:p w:rsidR="0075107C" w:rsidRPr="008F5363" w:rsidRDefault="0075107C" w:rsidP="0075107C">
            <w:pPr>
              <w:spacing w:line="276" w:lineRule="auto"/>
              <w:jc w:val="both"/>
              <w:rPr>
                <w:b/>
                <w:bCs/>
                <w:color w:val="FFFFFF"/>
                <w:lang w:val="en-AU" w:eastAsia="it-IT"/>
              </w:rPr>
            </w:pPr>
            <w:r w:rsidRPr="008F5363">
              <w:rPr>
                <w:b/>
                <w:bCs/>
                <w:color w:val="FFFFFF"/>
                <w:sz w:val="20"/>
                <w:szCs w:val="20"/>
                <w:lang w:val="en-AU" w:eastAsia="it-IT"/>
              </w:rPr>
              <w:t xml:space="preserve">Art. 107 </w:t>
            </w:r>
            <w:proofErr w:type="spellStart"/>
            <w:r w:rsidRPr="008F5363">
              <w:rPr>
                <w:b/>
                <w:bCs/>
                <w:color w:val="FFFFFF"/>
                <w:sz w:val="20"/>
                <w:szCs w:val="20"/>
                <w:lang w:val="en-AU" w:eastAsia="it-IT"/>
              </w:rPr>
              <w:t>cpv</w:t>
            </w:r>
            <w:proofErr w:type="spellEnd"/>
            <w:r w:rsidRPr="008F5363">
              <w:rPr>
                <w:b/>
                <w:bCs/>
                <w:color w:val="FFFFFF"/>
                <w:sz w:val="20"/>
                <w:szCs w:val="20"/>
                <w:lang w:val="en-AU" w:eastAsia="it-IT"/>
              </w:rPr>
              <w:t xml:space="preserve">. 1 let. </w:t>
            </w:r>
            <w:r w:rsidRPr="008F5363">
              <w:rPr>
                <w:b/>
                <w:bCs/>
                <w:i/>
                <w:color w:val="FFFFFF"/>
                <w:sz w:val="20"/>
                <w:szCs w:val="20"/>
                <w:lang w:val="en-AU" w:eastAsia="it-IT"/>
              </w:rPr>
              <w:t>b)</w:t>
            </w:r>
            <w:r w:rsidRPr="008F5363">
              <w:rPr>
                <w:b/>
                <w:bCs/>
                <w:color w:val="FFFFFF"/>
                <w:sz w:val="20"/>
                <w:szCs w:val="20"/>
                <w:lang w:val="en-AU" w:eastAsia="it-IT"/>
              </w:rPr>
              <w:t xml:space="preserve"> </w:t>
            </w:r>
            <w:proofErr w:type="spellStart"/>
            <w:proofErr w:type="gramStart"/>
            <w:r w:rsidRPr="008F5363">
              <w:rPr>
                <w:b/>
                <w:bCs/>
                <w:color w:val="FFFFFF"/>
                <w:sz w:val="20"/>
                <w:szCs w:val="20"/>
                <w:lang w:val="en-AU" w:eastAsia="it-IT"/>
              </w:rPr>
              <w:t>cifra</w:t>
            </w:r>
            <w:proofErr w:type="spellEnd"/>
            <w:proofErr w:type="gramEnd"/>
            <w:r w:rsidRPr="008F5363">
              <w:rPr>
                <w:b/>
                <w:bCs/>
                <w:color w:val="FFFFFF"/>
                <w:sz w:val="20"/>
                <w:szCs w:val="20"/>
                <w:lang w:val="en-AU" w:eastAsia="it-IT"/>
              </w:rPr>
              <w:t xml:space="preserve"> 6 LT (</w:t>
            </w:r>
            <w:proofErr w:type="spellStart"/>
            <w:r w:rsidRPr="008F5363">
              <w:rPr>
                <w:b/>
                <w:bCs/>
                <w:color w:val="FFFFFF"/>
                <w:sz w:val="20"/>
                <w:szCs w:val="20"/>
                <w:lang w:val="en-AU" w:eastAsia="it-IT"/>
              </w:rPr>
              <w:t>abrogato</w:t>
            </w:r>
            <w:proofErr w:type="spellEnd"/>
            <w:r w:rsidRPr="008F5363">
              <w:rPr>
                <w:b/>
                <w:bCs/>
                <w:color w:val="FFFFFF"/>
                <w:sz w:val="20"/>
                <w:szCs w:val="20"/>
                <w:lang w:val="en-AU" w:eastAsia="it-IT"/>
              </w:rPr>
              <w:t xml:space="preserve">) e </w:t>
            </w:r>
            <w:proofErr w:type="spellStart"/>
            <w:r w:rsidRPr="00D86A7D">
              <w:rPr>
                <w:b/>
                <w:bCs/>
                <w:color w:val="FFFFFF" w:themeColor="background1"/>
                <w:sz w:val="20"/>
                <w:szCs w:val="20"/>
                <w:lang w:val="en-AU" w:eastAsia="it-IT"/>
              </w:rPr>
              <w:t>cpv</w:t>
            </w:r>
            <w:proofErr w:type="spellEnd"/>
            <w:r w:rsidRPr="00D86A7D">
              <w:rPr>
                <w:b/>
                <w:bCs/>
                <w:color w:val="FFFFFF" w:themeColor="background1"/>
                <w:sz w:val="20"/>
                <w:szCs w:val="20"/>
                <w:lang w:val="en-AU" w:eastAsia="it-IT"/>
              </w:rPr>
              <w:t xml:space="preserve">. 1 let. </w:t>
            </w:r>
            <w:r w:rsidRPr="00D86A7D">
              <w:rPr>
                <w:b/>
                <w:bCs/>
                <w:i/>
                <w:color w:val="FFFFFF" w:themeColor="background1"/>
                <w:sz w:val="20"/>
                <w:szCs w:val="20"/>
                <w:lang w:val="en-AU" w:eastAsia="it-IT"/>
              </w:rPr>
              <w:t>b)</w:t>
            </w:r>
            <w:r w:rsidRPr="00D86A7D">
              <w:rPr>
                <w:b/>
                <w:bCs/>
                <w:color w:val="FFFFFF" w:themeColor="background1"/>
                <w:sz w:val="20"/>
                <w:szCs w:val="20"/>
                <w:lang w:val="en-AU" w:eastAsia="it-IT"/>
              </w:rPr>
              <w:t xml:space="preserve"> (</w:t>
            </w:r>
            <w:proofErr w:type="spellStart"/>
            <w:r w:rsidRPr="00D86A7D">
              <w:rPr>
                <w:b/>
                <w:bCs/>
                <w:color w:val="FFFFFF" w:themeColor="background1"/>
                <w:sz w:val="20"/>
                <w:szCs w:val="20"/>
                <w:lang w:val="en-AU" w:eastAsia="it-IT"/>
              </w:rPr>
              <w:t>modifica</w:t>
            </w:r>
            <w:proofErr w:type="spellEnd"/>
            <w:r w:rsidRPr="008F5363">
              <w:rPr>
                <w:b/>
                <w:bCs/>
                <w:color w:val="FFFFFF"/>
                <w:sz w:val="20"/>
                <w:szCs w:val="20"/>
                <w:lang w:val="en-AU" w:eastAsia="it-IT"/>
              </w:rPr>
              <w:t>)</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FE26CE" w:rsidTr="00072520">
        <w:tc>
          <w:tcPr>
            <w:tcW w:w="4814" w:type="dxa"/>
            <w:tcBorders>
              <w:bottom w:val="single" w:sz="4" w:space="0" w:color="auto"/>
            </w:tcBorders>
          </w:tcPr>
          <w:p w:rsidR="0075107C" w:rsidRPr="00FE26CE" w:rsidRDefault="0075107C" w:rsidP="0075107C">
            <w:pPr>
              <w:spacing w:line="276" w:lineRule="auto"/>
              <w:jc w:val="both"/>
              <w:rPr>
                <w:sz w:val="20"/>
                <w:szCs w:val="20"/>
                <w:lang w:eastAsia="it-IT"/>
              </w:rPr>
            </w:pPr>
            <w:r w:rsidRPr="00FE26CE">
              <w:rPr>
                <w:sz w:val="20"/>
                <w:szCs w:val="20"/>
                <w:lang w:eastAsia="it-IT"/>
              </w:rPr>
              <w:t xml:space="preserve">Attualmente è prevista la </w:t>
            </w:r>
            <w:r w:rsidRPr="00FE26CE">
              <w:rPr>
                <w:i/>
                <w:sz w:val="20"/>
                <w:szCs w:val="20"/>
                <w:lang w:eastAsia="it-IT"/>
              </w:rPr>
              <w:t>tabella F</w:t>
            </w:r>
            <w:r w:rsidRPr="00FE26CE">
              <w:rPr>
                <w:sz w:val="20"/>
                <w:szCs w:val="20"/>
                <w:lang w:eastAsia="it-IT"/>
              </w:rPr>
              <w:t xml:space="preserve"> concernente i lavoratori frontalieri che risiedono in un Comune italiano di confine e il cui coniuge esercita un’attività lucrativa al di fuori della Svizzera.</w:t>
            </w:r>
          </w:p>
          <w:p w:rsidR="0075107C" w:rsidRPr="00FE26CE" w:rsidRDefault="0075107C" w:rsidP="0075107C">
            <w:pPr>
              <w:spacing w:after="240" w:line="276" w:lineRule="auto"/>
              <w:jc w:val="both"/>
              <w:rPr>
                <w:sz w:val="20"/>
                <w:szCs w:val="20"/>
                <w:lang w:eastAsia="it-IT"/>
              </w:rPr>
            </w:pPr>
          </w:p>
        </w:tc>
        <w:tc>
          <w:tcPr>
            <w:tcW w:w="4814" w:type="dxa"/>
            <w:tcBorders>
              <w:bottom w:val="single" w:sz="4" w:space="0" w:color="auto"/>
            </w:tcBorders>
          </w:tcPr>
          <w:p w:rsidR="0075107C" w:rsidRPr="00FE26CE" w:rsidRDefault="0075107C" w:rsidP="0075107C">
            <w:pPr>
              <w:spacing w:line="276" w:lineRule="auto"/>
              <w:jc w:val="both"/>
              <w:rPr>
                <w:iCs/>
                <w:sz w:val="20"/>
                <w:szCs w:val="20"/>
                <w:lang w:eastAsia="it-IT"/>
              </w:rPr>
            </w:pPr>
            <w:r w:rsidRPr="00FE26CE">
              <w:rPr>
                <w:iCs/>
                <w:sz w:val="20"/>
                <w:szCs w:val="20"/>
                <w:lang w:eastAsia="it-IT"/>
              </w:rPr>
              <w:t xml:space="preserve">La </w:t>
            </w:r>
            <w:r w:rsidRPr="00FE26CE">
              <w:rPr>
                <w:i/>
                <w:iCs/>
                <w:sz w:val="20"/>
                <w:szCs w:val="20"/>
                <w:lang w:eastAsia="it-IT"/>
              </w:rPr>
              <w:t>tabella F</w:t>
            </w:r>
            <w:r w:rsidRPr="00FE26CE">
              <w:rPr>
                <w:iCs/>
                <w:sz w:val="20"/>
                <w:szCs w:val="20"/>
                <w:lang w:eastAsia="it-IT"/>
              </w:rPr>
              <w:t xml:space="preserve"> è abrogata in virtù delle disposizioni dell’</w:t>
            </w:r>
            <w:r w:rsidRPr="00FE26CE">
              <w:rPr>
                <w:i/>
                <w:sz w:val="20"/>
                <w:szCs w:val="20"/>
              </w:rPr>
              <w:t>Accordo sui frontalieri CH-I</w:t>
            </w:r>
            <w:r w:rsidRPr="00FE26CE">
              <w:rPr>
                <w:iCs/>
                <w:sz w:val="20"/>
                <w:szCs w:val="20"/>
                <w:lang w:eastAsia="it-IT"/>
              </w:rPr>
              <w:t xml:space="preserve"> (cfr. art. 4 concernente il divieto di discriminazione).</w:t>
            </w:r>
          </w:p>
          <w:p w:rsidR="0075107C" w:rsidRPr="00FE26CE" w:rsidRDefault="0075107C" w:rsidP="0075107C">
            <w:pPr>
              <w:spacing w:line="276" w:lineRule="auto"/>
              <w:jc w:val="both"/>
              <w:rPr>
                <w:iCs/>
                <w:sz w:val="20"/>
                <w:szCs w:val="20"/>
                <w:lang w:eastAsia="it-IT"/>
              </w:rPr>
            </w:pPr>
            <w:r w:rsidRPr="00FE26CE">
              <w:rPr>
                <w:iCs/>
                <w:sz w:val="20"/>
                <w:szCs w:val="20"/>
                <w:lang w:eastAsia="it-IT"/>
              </w:rPr>
              <w:t>I tariffari sono riformulati per una migliore lettura e comprensione.</w:t>
            </w:r>
          </w:p>
          <w:p w:rsidR="0075107C" w:rsidRPr="00FE26CE" w:rsidRDefault="0075107C" w:rsidP="0075107C">
            <w:pPr>
              <w:spacing w:line="276" w:lineRule="auto"/>
              <w:jc w:val="both"/>
              <w:rPr>
                <w:sz w:val="20"/>
                <w:szCs w:val="20"/>
              </w:rPr>
            </w:pPr>
          </w:p>
        </w:tc>
      </w:tr>
    </w:tbl>
    <w:p w:rsidR="0075107C" w:rsidRPr="00FE26CE" w:rsidRDefault="0075107C" w:rsidP="0075107C">
      <w:pPr>
        <w:rPr>
          <w:rFonts w:eastAsia="Times New Roman"/>
          <w:sz w:val="20"/>
          <w:szCs w:val="20"/>
          <w:lang w:eastAsia="it-IT"/>
        </w:rPr>
      </w:pPr>
    </w:p>
    <w:tbl>
      <w:tblPr>
        <w:tblStyle w:val="Grigliatabella1"/>
        <w:tblW w:w="0" w:type="auto"/>
        <w:tblLook w:val="04A0" w:firstRow="1" w:lastRow="0" w:firstColumn="1" w:lastColumn="0" w:noHBand="0" w:noVBand="1"/>
      </w:tblPr>
      <w:tblGrid>
        <w:gridCol w:w="4737"/>
        <w:gridCol w:w="4738"/>
      </w:tblGrid>
      <w:tr w:rsidR="0075107C" w:rsidRPr="00FE26CE" w:rsidTr="00072520">
        <w:tc>
          <w:tcPr>
            <w:tcW w:w="9628" w:type="dxa"/>
            <w:gridSpan w:val="2"/>
            <w:shd w:val="clear" w:color="auto" w:fill="7F7F7F" w:themeFill="text1" w:themeFillTint="80"/>
          </w:tcPr>
          <w:p w:rsidR="0075107C" w:rsidRPr="00FE26CE" w:rsidRDefault="0075107C" w:rsidP="0075107C">
            <w:pPr>
              <w:spacing w:line="276" w:lineRule="auto"/>
              <w:jc w:val="both"/>
              <w:rPr>
                <w:b/>
                <w:bCs/>
                <w:color w:val="FFFFFF"/>
                <w:lang w:eastAsia="it-IT"/>
              </w:rPr>
            </w:pPr>
            <w:r w:rsidRPr="00FE26CE">
              <w:rPr>
                <w:b/>
                <w:bCs/>
                <w:color w:val="FFFFFF"/>
                <w:sz w:val="20"/>
                <w:szCs w:val="20"/>
                <w:lang w:eastAsia="it-IT"/>
              </w:rPr>
              <w:t xml:space="preserve">Art. 111 cpv. 3, </w:t>
            </w:r>
            <w:r w:rsidRPr="00FE26CE">
              <w:rPr>
                <w:b/>
                <w:bCs/>
                <w:color w:val="FFFFFF" w:themeColor="background1"/>
                <w:sz w:val="20"/>
                <w:szCs w:val="20"/>
                <w:lang w:eastAsia="it-IT"/>
              </w:rPr>
              <w:t xml:space="preserve">4 e 5 </w:t>
            </w:r>
            <w:proofErr w:type="spellStart"/>
            <w:r w:rsidRPr="00FE26CE">
              <w:rPr>
                <w:b/>
                <w:bCs/>
                <w:color w:val="FFFFFF" w:themeColor="background1"/>
                <w:sz w:val="20"/>
                <w:szCs w:val="20"/>
                <w:lang w:eastAsia="it-IT"/>
              </w:rPr>
              <w:t>lett</w:t>
            </w:r>
            <w:proofErr w:type="spellEnd"/>
            <w:r w:rsidRPr="00FE26CE">
              <w:rPr>
                <w:b/>
                <w:bCs/>
                <w:i/>
                <w:color w:val="FFFFFF" w:themeColor="background1"/>
                <w:sz w:val="20"/>
                <w:szCs w:val="20"/>
                <w:lang w:eastAsia="it-IT"/>
              </w:rPr>
              <w:t>. b)</w:t>
            </w:r>
            <w:r w:rsidRPr="00FE26CE">
              <w:rPr>
                <w:b/>
                <w:bCs/>
                <w:color w:val="FFFFFF" w:themeColor="background1"/>
                <w:sz w:val="20"/>
                <w:szCs w:val="20"/>
                <w:lang w:eastAsia="it-IT"/>
              </w:rPr>
              <w:t xml:space="preserve"> LT </w:t>
            </w:r>
            <w:r w:rsidRPr="00FE26CE">
              <w:rPr>
                <w:b/>
                <w:bCs/>
                <w:color w:val="FFFFFF"/>
                <w:sz w:val="20"/>
                <w:szCs w:val="20"/>
                <w:lang w:eastAsia="it-IT"/>
              </w:rPr>
              <w:t>(modifica)</w:t>
            </w:r>
          </w:p>
        </w:tc>
      </w:tr>
      <w:tr w:rsidR="0075107C" w:rsidRPr="00FE26CE" w:rsidTr="00072520">
        <w:tc>
          <w:tcPr>
            <w:tcW w:w="4814" w:type="dxa"/>
            <w:shd w:val="clear" w:color="auto" w:fill="7F7F7F" w:themeFill="text1" w:themeFillTint="80"/>
          </w:tcPr>
          <w:p w:rsidR="0075107C" w:rsidRPr="00FE26CE" w:rsidRDefault="0075107C" w:rsidP="0075107C">
            <w:pPr>
              <w:spacing w:line="276" w:lineRule="auto"/>
              <w:jc w:val="both"/>
              <w:rPr>
                <w:b/>
                <w:bCs/>
                <w:i/>
                <w:iCs/>
                <w:color w:val="FFFFFF"/>
                <w:sz w:val="20"/>
                <w:szCs w:val="20"/>
                <w:lang w:eastAsia="it-IT"/>
              </w:rPr>
            </w:pPr>
            <w:r w:rsidRPr="00FE26CE">
              <w:rPr>
                <w:b/>
                <w:bCs/>
                <w:i/>
                <w:iCs/>
                <w:color w:val="FFFFFF"/>
                <w:sz w:val="20"/>
                <w:szCs w:val="20"/>
                <w:lang w:eastAsia="it-IT"/>
              </w:rPr>
              <w:t xml:space="preserve">De </w:t>
            </w:r>
            <w:proofErr w:type="spellStart"/>
            <w:r w:rsidRPr="00FE26CE">
              <w:rPr>
                <w:b/>
                <w:bCs/>
                <w:i/>
                <w:iCs/>
                <w:color w:val="FFFFFF"/>
                <w:sz w:val="20"/>
                <w:szCs w:val="20"/>
                <w:lang w:eastAsia="it-IT"/>
              </w:rPr>
              <w:t>lege</w:t>
            </w:r>
            <w:proofErr w:type="spellEnd"/>
            <w:r w:rsidRPr="00FE26CE">
              <w:rPr>
                <w:b/>
                <w:bCs/>
                <w:i/>
                <w:iCs/>
                <w:color w:val="FFFFFF"/>
                <w:sz w:val="20"/>
                <w:szCs w:val="20"/>
                <w:lang w:eastAsia="it-IT"/>
              </w:rPr>
              <w:t xml:space="preserve"> lata</w:t>
            </w:r>
          </w:p>
        </w:tc>
        <w:tc>
          <w:tcPr>
            <w:tcW w:w="4814" w:type="dxa"/>
            <w:shd w:val="clear" w:color="auto" w:fill="7F7F7F" w:themeFill="text1" w:themeFillTint="80"/>
          </w:tcPr>
          <w:p w:rsidR="0075107C" w:rsidRPr="00FE26CE" w:rsidRDefault="0075107C" w:rsidP="0075107C">
            <w:pPr>
              <w:spacing w:line="276" w:lineRule="auto"/>
              <w:jc w:val="both"/>
              <w:rPr>
                <w:b/>
                <w:bCs/>
                <w:i/>
                <w:iCs/>
                <w:color w:val="FFFFFF"/>
                <w:sz w:val="20"/>
                <w:szCs w:val="20"/>
                <w:lang w:eastAsia="it-IT"/>
              </w:rPr>
            </w:pPr>
            <w:r w:rsidRPr="00FE26CE">
              <w:rPr>
                <w:b/>
                <w:bCs/>
                <w:i/>
                <w:iCs/>
                <w:color w:val="FFFFFF"/>
                <w:sz w:val="20"/>
                <w:szCs w:val="20"/>
                <w:lang w:eastAsia="it-IT"/>
              </w:rPr>
              <w:t xml:space="preserve">De </w:t>
            </w:r>
            <w:proofErr w:type="spellStart"/>
            <w:r w:rsidRPr="00FE26CE">
              <w:rPr>
                <w:b/>
                <w:bCs/>
                <w:i/>
                <w:iCs/>
                <w:color w:val="FFFFFF"/>
                <w:sz w:val="20"/>
                <w:szCs w:val="20"/>
                <w:lang w:eastAsia="it-IT"/>
              </w:rPr>
              <w:t>lege</w:t>
            </w:r>
            <w:proofErr w:type="spellEnd"/>
            <w:r w:rsidRPr="00FE26CE">
              <w:rPr>
                <w:b/>
                <w:bCs/>
                <w:i/>
                <w:iCs/>
                <w:color w:val="FFFFFF"/>
                <w:sz w:val="20"/>
                <w:szCs w:val="20"/>
                <w:lang w:eastAsia="it-IT"/>
              </w:rPr>
              <w:t xml:space="preserve"> </w:t>
            </w:r>
            <w:proofErr w:type="spellStart"/>
            <w:r w:rsidRPr="00FE26CE">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Pr="00FE26CE" w:rsidRDefault="0075107C" w:rsidP="0075107C">
            <w:pPr>
              <w:pStyle w:val="NormaleWeb"/>
              <w:shd w:val="clear" w:color="auto" w:fill="FFFFFF"/>
              <w:spacing w:before="0" w:beforeAutospacing="0" w:after="0" w:afterAutospacing="0" w:line="276" w:lineRule="auto"/>
              <w:ind w:left="22" w:right="187"/>
              <w:jc w:val="both"/>
              <w:rPr>
                <w:rFonts w:ascii="Arial" w:hAnsi="Arial" w:cs="Arial"/>
                <w:sz w:val="20"/>
                <w:szCs w:val="20"/>
              </w:rPr>
            </w:pPr>
            <w:r w:rsidRPr="00FE26CE">
              <w:rPr>
                <w:rFonts w:ascii="Arial" w:hAnsi="Arial" w:cs="Arial"/>
                <w:sz w:val="20"/>
                <w:szCs w:val="20"/>
              </w:rPr>
              <w:t>Attualmente per le categorie di contribuenti di cui al capoverso 5 lettera b, numero I, l’imposta comunale è calcolata secondo l’onere fiscale medio del Cantone. Mentre, per le categorie di contribuenti di cui al capoverso 5 lettera b, numero II, l’imposta comunale corrisponde all’ammontare dell’imposta cantonale base.</w:t>
            </w:r>
          </w:p>
          <w:p w:rsidR="0075107C" w:rsidRPr="00FE26CE" w:rsidRDefault="0075107C" w:rsidP="0075107C">
            <w:pPr>
              <w:spacing w:line="276" w:lineRule="auto"/>
              <w:jc w:val="both"/>
              <w:rPr>
                <w:sz w:val="20"/>
                <w:szCs w:val="20"/>
                <w:lang w:eastAsia="it-IT"/>
              </w:rPr>
            </w:pPr>
            <w:r w:rsidRPr="00FE26CE">
              <w:rPr>
                <w:sz w:val="20"/>
                <w:szCs w:val="20"/>
                <w:lang w:eastAsia="it-IT"/>
              </w:rPr>
              <w:t xml:space="preserve">Come all’attuale art. 107 LT, è prevista la </w:t>
            </w:r>
            <w:r w:rsidRPr="00FE26CE">
              <w:rPr>
                <w:i/>
                <w:sz w:val="20"/>
                <w:szCs w:val="20"/>
                <w:lang w:eastAsia="it-IT"/>
              </w:rPr>
              <w:t>tabella F</w:t>
            </w:r>
            <w:r w:rsidRPr="00FE26CE">
              <w:rPr>
                <w:sz w:val="20"/>
                <w:szCs w:val="20"/>
                <w:lang w:eastAsia="it-IT"/>
              </w:rPr>
              <w:t xml:space="preserve"> concernente i lavoratori frontalieri che risiedono in un Comune italiano di confine e il cui coniuge esercita un’attività lucrativa al di fuori della Svizzera.</w:t>
            </w:r>
          </w:p>
          <w:p w:rsidR="0075107C" w:rsidRPr="00FE26CE" w:rsidRDefault="0075107C" w:rsidP="0075107C">
            <w:pPr>
              <w:pStyle w:val="NormaleWeb"/>
              <w:shd w:val="clear" w:color="auto" w:fill="FFFFFF"/>
              <w:spacing w:before="0" w:beforeAutospacing="0" w:after="0" w:afterAutospacing="0" w:line="276" w:lineRule="auto"/>
              <w:ind w:left="22" w:right="187"/>
              <w:jc w:val="both"/>
              <w:rPr>
                <w:rFonts w:ascii="Arial" w:hAnsi="Arial" w:cs="Arial"/>
                <w:sz w:val="20"/>
                <w:szCs w:val="20"/>
                <w:lang w:val="it-CH" w:eastAsia="it-CH"/>
              </w:rPr>
            </w:pPr>
          </w:p>
          <w:p w:rsidR="0075107C" w:rsidRPr="00FE26CE" w:rsidRDefault="0075107C" w:rsidP="0075107C">
            <w:pPr>
              <w:spacing w:line="276" w:lineRule="auto"/>
              <w:jc w:val="both"/>
              <w:rPr>
                <w:sz w:val="20"/>
                <w:szCs w:val="20"/>
                <w:lang w:val="it-IT" w:eastAsia="it-IT"/>
              </w:rPr>
            </w:pPr>
          </w:p>
        </w:tc>
        <w:tc>
          <w:tcPr>
            <w:tcW w:w="4814" w:type="dxa"/>
            <w:tcBorders>
              <w:bottom w:val="single" w:sz="4" w:space="0" w:color="auto"/>
            </w:tcBorders>
          </w:tcPr>
          <w:p w:rsidR="0075107C" w:rsidRPr="00FE26CE" w:rsidRDefault="0075107C" w:rsidP="0075107C">
            <w:pPr>
              <w:pStyle w:val="Default"/>
              <w:shd w:val="clear" w:color="auto" w:fill="FFFFFF" w:themeFill="background1"/>
              <w:spacing w:line="276" w:lineRule="auto"/>
              <w:jc w:val="both"/>
              <w:rPr>
                <w:sz w:val="20"/>
                <w:szCs w:val="20"/>
                <w:shd w:val="clear" w:color="auto" w:fill="FFFFFF"/>
              </w:rPr>
            </w:pPr>
            <w:r w:rsidRPr="00FE26CE">
              <w:rPr>
                <w:sz w:val="20"/>
                <w:szCs w:val="20"/>
                <w:shd w:val="clear" w:color="auto" w:fill="FFFFFF"/>
              </w:rPr>
              <w:t>Si rende necessaria la modifica del cpv. 3 e l’abrogazione del cpv. 4 per quanto attiene alla commisurazione dell’imposta comunale, poiché secondo l’</w:t>
            </w:r>
            <w:r w:rsidRPr="00FE26CE">
              <w:rPr>
                <w:i/>
                <w:sz w:val="20"/>
                <w:szCs w:val="20"/>
                <w:shd w:val="clear" w:color="auto" w:fill="FFFFFF"/>
              </w:rPr>
              <w:t>art. 3 par. 1 Accordo sui frontalieri</w:t>
            </w:r>
            <w:r w:rsidRPr="00FE26CE">
              <w:rPr>
                <w:sz w:val="20"/>
                <w:szCs w:val="20"/>
                <w:shd w:val="clear" w:color="auto" w:fill="FFFFFF"/>
              </w:rPr>
              <w:t>, l’imposta applicata non può eccedere l’80 per cento dell'imposta risultante dall’applicazione dell’imposta sui redditi delle persone fisiche applicabile nel luogo in cui l’attività di lavoro dipendente viene svolta.</w:t>
            </w:r>
          </w:p>
          <w:p w:rsidR="0075107C" w:rsidRPr="00FE26CE" w:rsidRDefault="0075107C" w:rsidP="0075107C">
            <w:pPr>
              <w:spacing w:line="276" w:lineRule="auto"/>
              <w:jc w:val="both"/>
              <w:rPr>
                <w:iCs/>
                <w:sz w:val="20"/>
                <w:szCs w:val="20"/>
                <w:lang w:eastAsia="it-IT"/>
              </w:rPr>
            </w:pPr>
            <w:r w:rsidRPr="00FE26CE">
              <w:rPr>
                <w:iCs/>
                <w:sz w:val="20"/>
                <w:szCs w:val="20"/>
                <w:lang w:eastAsia="it-IT"/>
              </w:rPr>
              <w:t xml:space="preserve">La </w:t>
            </w:r>
            <w:r w:rsidRPr="00D91E88">
              <w:rPr>
                <w:i/>
                <w:iCs/>
                <w:sz w:val="20"/>
                <w:szCs w:val="20"/>
                <w:lang w:eastAsia="it-IT"/>
              </w:rPr>
              <w:t>tabella F</w:t>
            </w:r>
            <w:r w:rsidRPr="00FE26CE">
              <w:rPr>
                <w:iCs/>
                <w:sz w:val="20"/>
                <w:szCs w:val="20"/>
                <w:lang w:eastAsia="it-IT"/>
              </w:rPr>
              <w:t xml:space="preserve"> è abrogata in virtù delle disposizioni dell’</w:t>
            </w:r>
            <w:r w:rsidRPr="00FE26CE">
              <w:rPr>
                <w:i/>
                <w:sz w:val="20"/>
                <w:szCs w:val="20"/>
              </w:rPr>
              <w:t>Accordo sui frontalieri CH-I</w:t>
            </w:r>
            <w:r w:rsidRPr="00FE26CE">
              <w:rPr>
                <w:iCs/>
                <w:sz w:val="20"/>
                <w:szCs w:val="20"/>
                <w:lang w:eastAsia="it-IT"/>
              </w:rPr>
              <w:t xml:space="preserve"> (cfr. art. 4 concernente il divieto di discriminazione).</w:t>
            </w:r>
          </w:p>
          <w:p w:rsidR="0075107C" w:rsidRPr="00FE26CE" w:rsidRDefault="0075107C" w:rsidP="0075107C">
            <w:pPr>
              <w:pStyle w:val="Default"/>
              <w:spacing w:line="276" w:lineRule="auto"/>
              <w:jc w:val="both"/>
              <w:rPr>
                <w:sz w:val="20"/>
                <w:szCs w:val="20"/>
                <w:shd w:val="clear" w:color="auto" w:fill="FFFFFF"/>
              </w:rPr>
            </w:pPr>
            <w:r w:rsidRPr="00FE26CE">
              <w:rPr>
                <w:sz w:val="20"/>
                <w:szCs w:val="20"/>
                <w:shd w:val="clear" w:color="auto" w:fill="FFFFFF"/>
              </w:rPr>
              <w:t xml:space="preserve"> I tariffari sono riformulati per una migliore lettura e comprensione.</w:t>
            </w:r>
          </w:p>
          <w:p w:rsidR="0075107C" w:rsidRPr="00FE26CE" w:rsidRDefault="0075107C" w:rsidP="0075107C">
            <w:pPr>
              <w:spacing w:line="276" w:lineRule="auto"/>
              <w:jc w:val="both"/>
              <w:rPr>
                <w:rFonts w:eastAsia="Times New Roman" w:cs="Arial"/>
                <w:color w:val="000000"/>
                <w:sz w:val="20"/>
                <w:szCs w:val="20"/>
                <w:shd w:val="clear" w:color="auto" w:fill="FFFFFF"/>
              </w:rPr>
            </w:pPr>
          </w:p>
        </w:tc>
      </w:tr>
    </w:tbl>
    <w:p w:rsidR="0075107C" w:rsidRDefault="0075107C" w:rsidP="0075107C">
      <w:pPr>
        <w:rPr>
          <w:rFonts w:eastAsia="Times New Roman"/>
          <w:sz w:val="20"/>
          <w:szCs w:val="20"/>
          <w:lang w:eastAsia="it-IT"/>
        </w:rPr>
      </w:pPr>
    </w:p>
    <w:tbl>
      <w:tblPr>
        <w:tblStyle w:val="Grigliatabella1"/>
        <w:tblW w:w="0" w:type="auto"/>
        <w:tblLook w:val="04A0" w:firstRow="1" w:lastRow="0" w:firstColumn="1" w:lastColumn="0" w:noHBand="0" w:noVBand="1"/>
      </w:tblPr>
      <w:tblGrid>
        <w:gridCol w:w="4736"/>
        <w:gridCol w:w="4739"/>
      </w:tblGrid>
      <w:tr w:rsidR="0075107C" w:rsidRPr="00236DA8" w:rsidTr="00072520">
        <w:tc>
          <w:tcPr>
            <w:tcW w:w="9628" w:type="dxa"/>
            <w:gridSpan w:val="2"/>
            <w:shd w:val="clear" w:color="auto" w:fill="7F7F7F" w:themeFill="text1" w:themeFillTint="80"/>
          </w:tcPr>
          <w:p w:rsidR="0075107C" w:rsidRPr="00236DA8" w:rsidRDefault="0075107C" w:rsidP="0075107C">
            <w:pPr>
              <w:spacing w:line="276" w:lineRule="auto"/>
              <w:jc w:val="both"/>
              <w:rPr>
                <w:b/>
                <w:bCs/>
                <w:color w:val="FFFFFF"/>
                <w:lang w:eastAsia="it-IT"/>
              </w:rPr>
            </w:pPr>
            <w:r w:rsidRPr="00B422A9">
              <w:rPr>
                <w:b/>
                <w:bCs/>
                <w:color w:val="FFFFFF"/>
                <w:sz w:val="20"/>
                <w:szCs w:val="20"/>
                <w:lang w:eastAsia="it-IT"/>
              </w:rPr>
              <w:t>Art. 1</w:t>
            </w:r>
            <w:r>
              <w:rPr>
                <w:b/>
                <w:bCs/>
                <w:color w:val="FFFFFF"/>
                <w:sz w:val="20"/>
                <w:szCs w:val="20"/>
                <w:lang w:eastAsia="it-IT"/>
              </w:rPr>
              <w:t>18</w:t>
            </w:r>
            <w:r w:rsidRPr="00B422A9">
              <w:rPr>
                <w:b/>
                <w:bCs/>
                <w:color w:val="FFFFFF"/>
                <w:sz w:val="20"/>
                <w:szCs w:val="20"/>
                <w:lang w:eastAsia="it-IT"/>
              </w:rPr>
              <w:t xml:space="preserve"> cpv. </w:t>
            </w:r>
            <w:r>
              <w:rPr>
                <w:b/>
                <w:bCs/>
                <w:color w:val="FFFFFF"/>
                <w:sz w:val="20"/>
                <w:szCs w:val="20"/>
                <w:lang w:eastAsia="it-IT"/>
              </w:rPr>
              <w:t>4</w:t>
            </w:r>
            <w:r w:rsidRPr="00B422A9">
              <w:rPr>
                <w:b/>
                <w:bCs/>
                <w:color w:val="FFFFFF"/>
                <w:sz w:val="20"/>
                <w:szCs w:val="20"/>
                <w:lang w:eastAsia="it-IT"/>
              </w:rPr>
              <w:t xml:space="preserve"> LT</w:t>
            </w:r>
            <w:r>
              <w:rPr>
                <w:b/>
                <w:bCs/>
                <w:color w:val="FFFFFF"/>
                <w:sz w:val="20"/>
                <w:szCs w:val="20"/>
                <w:lang w:eastAsia="it-IT"/>
              </w:rPr>
              <w:t xml:space="preserve"> (nuovo)</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Pr="003B21A9" w:rsidRDefault="0075107C" w:rsidP="0075107C">
            <w:pPr>
              <w:spacing w:line="276" w:lineRule="auto"/>
              <w:jc w:val="both"/>
              <w:rPr>
                <w:sz w:val="20"/>
                <w:szCs w:val="20"/>
                <w:lang w:eastAsia="it-IT"/>
              </w:rPr>
            </w:pPr>
            <w:r w:rsidRPr="00AA4EE7">
              <w:rPr>
                <w:sz w:val="20"/>
                <w:szCs w:val="20"/>
                <w:lang w:eastAsia="it-IT"/>
              </w:rPr>
              <w:t xml:space="preserve">Attualmente </w:t>
            </w:r>
            <w:r>
              <w:rPr>
                <w:sz w:val="20"/>
                <w:szCs w:val="20"/>
                <w:lang w:eastAsia="it-IT"/>
              </w:rPr>
              <w:t>è prevista la tassazione ordinaria ulteriore su richiesta.</w:t>
            </w:r>
          </w:p>
        </w:tc>
        <w:tc>
          <w:tcPr>
            <w:tcW w:w="4814" w:type="dxa"/>
            <w:tcBorders>
              <w:bottom w:val="single" w:sz="4" w:space="0" w:color="auto"/>
            </w:tcBorders>
          </w:tcPr>
          <w:p w:rsidR="0075107C" w:rsidRPr="00AD5C54" w:rsidRDefault="0075107C" w:rsidP="0075107C">
            <w:pPr>
              <w:pStyle w:val="Default"/>
              <w:jc w:val="both"/>
              <w:rPr>
                <w:sz w:val="20"/>
                <w:szCs w:val="20"/>
              </w:rPr>
            </w:pPr>
            <w:r>
              <w:rPr>
                <w:sz w:val="20"/>
                <w:szCs w:val="20"/>
              </w:rPr>
              <w:t xml:space="preserve">L’art. </w:t>
            </w:r>
            <w:r w:rsidRPr="00AD5C54">
              <w:rPr>
                <w:sz w:val="20"/>
                <w:szCs w:val="20"/>
              </w:rPr>
              <w:t>3 par</w:t>
            </w:r>
            <w:r>
              <w:rPr>
                <w:sz w:val="20"/>
                <w:szCs w:val="20"/>
              </w:rPr>
              <w:t>.</w:t>
            </w:r>
            <w:r w:rsidRPr="00AD5C54">
              <w:rPr>
                <w:sz w:val="20"/>
                <w:szCs w:val="20"/>
              </w:rPr>
              <w:t xml:space="preserve"> 3 </w:t>
            </w:r>
            <w:r>
              <w:rPr>
                <w:sz w:val="20"/>
                <w:szCs w:val="20"/>
              </w:rPr>
              <w:t>del</w:t>
            </w:r>
            <w:r w:rsidRPr="00AD5C54">
              <w:rPr>
                <w:sz w:val="20"/>
                <w:szCs w:val="20"/>
              </w:rPr>
              <w:t>l’</w:t>
            </w:r>
            <w:r w:rsidRPr="00F33359">
              <w:rPr>
                <w:i/>
                <w:sz w:val="20"/>
                <w:szCs w:val="20"/>
              </w:rPr>
              <w:t xml:space="preserve">Accordo sui frontalieri CH-I </w:t>
            </w:r>
            <w:r w:rsidRPr="00AD5C54">
              <w:rPr>
                <w:sz w:val="20"/>
                <w:szCs w:val="20"/>
              </w:rPr>
              <w:t>stabilisce che l’imposizione dei lavoratori frontalieri nello Stato contraente in cui l’attività di lavoro dipendente viene svolta è effettuata mediante imposizione alla fonte e che qualsiasi altro metodo di imposizione è escluso ai fini dell’Accordo.</w:t>
            </w:r>
          </w:p>
          <w:p w:rsidR="0075107C" w:rsidRPr="00AD5C54" w:rsidRDefault="0075107C" w:rsidP="0075107C">
            <w:pPr>
              <w:pStyle w:val="Default"/>
              <w:jc w:val="both"/>
              <w:rPr>
                <w:sz w:val="20"/>
                <w:szCs w:val="20"/>
              </w:rPr>
            </w:pPr>
            <w:r>
              <w:rPr>
                <w:sz w:val="20"/>
                <w:szCs w:val="20"/>
              </w:rPr>
              <w:t>È quindi prevista l’introduzione di un nuovo capoverso secondo cui per i lavoratori frontalieri di cui all’</w:t>
            </w:r>
            <w:r w:rsidRPr="00AD5C54">
              <w:rPr>
                <w:sz w:val="20"/>
                <w:szCs w:val="20"/>
              </w:rPr>
              <w:t xml:space="preserve">art. 2 </w:t>
            </w:r>
            <w:proofErr w:type="spellStart"/>
            <w:r w:rsidRPr="00AD5C54">
              <w:rPr>
                <w:sz w:val="20"/>
                <w:szCs w:val="20"/>
              </w:rPr>
              <w:t>lett</w:t>
            </w:r>
            <w:proofErr w:type="spellEnd"/>
            <w:r w:rsidRPr="00AD5C54">
              <w:rPr>
                <w:sz w:val="20"/>
                <w:szCs w:val="20"/>
              </w:rPr>
              <w:t xml:space="preserve">. b </w:t>
            </w:r>
            <w:r w:rsidRPr="00AD5C54">
              <w:rPr>
                <w:i/>
                <w:iCs/>
                <w:sz w:val="20"/>
                <w:szCs w:val="20"/>
              </w:rPr>
              <w:t>Accordo sui frontalieri</w:t>
            </w:r>
            <w:r>
              <w:rPr>
                <w:i/>
                <w:iCs/>
                <w:sz w:val="20"/>
                <w:szCs w:val="20"/>
              </w:rPr>
              <w:t xml:space="preserve"> CH-I </w:t>
            </w:r>
            <w:r w:rsidRPr="00AD5C54">
              <w:rPr>
                <w:sz w:val="20"/>
                <w:szCs w:val="20"/>
              </w:rPr>
              <w:t xml:space="preserve">non </w:t>
            </w:r>
            <w:proofErr w:type="spellStart"/>
            <w:r w:rsidRPr="00AD5C54">
              <w:rPr>
                <w:sz w:val="20"/>
                <w:szCs w:val="20"/>
              </w:rPr>
              <w:t>puo</w:t>
            </w:r>
            <w:proofErr w:type="spellEnd"/>
            <w:r w:rsidRPr="00AD5C54">
              <w:rPr>
                <w:sz w:val="20"/>
                <w:szCs w:val="20"/>
              </w:rPr>
              <w:t xml:space="preserve">̀ essere effettuata né una tassazione ordinaria ulteriore in caso di quasi residenza (su richiesta del </w:t>
            </w:r>
            <w:r w:rsidRPr="00AD5C54">
              <w:rPr>
                <w:sz w:val="20"/>
                <w:szCs w:val="20"/>
              </w:rPr>
              <w:lastRenderedPageBreak/>
              <w:t xml:space="preserve">contribuente) né una tassazione ordinaria ulteriore d’ufficio (da parte dell’autorità̀ fiscale cantonale competente). </w:t>
            </w:r>
          </w:p>
          <w:p w:rsidR="0075107C" w:rsidRPr="003B21A9" w:rsidRDefault="0075107C" w:rsidP="0075107C">
            <w:pPr>
              <w:spacing w:line="276" w:lineRule="auto"/>
              <w:jc w:val="both"/>
              <w:rPr>
                <w:sz w:val="20"/>
                <w:szCs w:val="20"/>
                <w:lang w:eastAsia="it-IT"/>
              </w:rPr>
            </w:pPr>
          </w:p>
        </w:tc>
      </w:tr>
    </w:tbl>
    <w:p w:rsidR="0075107C" w:rsidRPr="003B21A9" w:rsidRDefault="0075107C" w:rsidP="0075107C">
      <w:pPr>
        <w:rPr>
          <w:rFonts w:eastAsia="Times New Roman"/>
          <w:sz w:val="20"/>
          <w:szCs w:val="20"/>
          <w:lang w:eastAsia="it-IT"/>
        </w:rPr>
      </w:pPr>
    </w:p>
    <w:tbl>
      <w:tblPr>
        <w:tblStyle w:val="Grigliatabella1"/>
        <w:tblW w:w="0" w:type="auto"/>
        <w:tblLook w:val="04A0" w:firstRow="1" w:lastRow="0" w:firstColumn="1" w:lastColumn="0" w:noHBand="0" w:noVBand="1"/>
      </w:tblPr>
      <w:tblGrid>
        <w:gridCol w:w="4736"/>
        <w:gridCol w:w="4739"/>
      </w:tblGrid>
      <w:tr w:rsidR="0075107C" w:rsidRPr="00236DA8" w:rsidTr="00072520">
        <w:tc>
          <w:tcPr>
            <w:tcW w:w="9628" w:type="dxa"/>
            <w:gridSpan w:val="2"/>
            <w:shd w:val="clear" w:color="auto" w:fill="7F7F7F" w:themeFill="text1" w:themeFillTint="80"/>
          </w:tcPr>
          <w:p w:rsidR="0075107C" w:rsidRPr="00236DA8" w:rsidRDefault="0075107C" w:rsidP="0075107C">
            <w:pPr>
              <w:spacing w:line="276" w:lineRule="auto"/>
              <w:jc w:val="both"/>
              <w:rPr>
                <w:b/>
                <w:bCs/>
                <w:color w:val="FFFFFF"/>
                <w:lang w:eastAsia="it-IT"/>
              </w:rPr>
            </w:pPr>
            <w:r w:rsidRPr="00B422A9">
              <w:rPr>
                <w:b/>
                <w:bCs/>
                <w:color w:val="FFFFFF"/>
                <w:sz w:val="20"/>
                <w:szCs w:val="20"/>
                <w:lang w:eastAsia="it-IT"/>
              </w:rPr>
              <w:t>Art. 1</w:t>
            </w:r>
            <w:r>
              <w:rPr>
                <w:b/>
                <w:bCs/>
                <w:color w:val="FFFFFF"/>
                <w:sz w:val="20"/>
                <w:szCs w:val="20"/>
                <w:lang w:eastAsia="it-IT"/>
              </w:rPr>
              <w:t>19</w:t>
            </w:r>
            <w:r w:rsidRPr="00B422A9">
              <w:rPr>
                <w:b/>
                <w:bCs/>
                <w:color w:val="FFFFFF"/>
                <w:sz w:val="20"/>
                <w:szCs w:val="20"/>
                <w:lang w:eastAsia="it-IT"/>
              </w:rPr>
              <w:t xml:space="preserve"> cpv.</w:t>
            </w:r>
            <w:r>
              <w:rPr>
                <w:b/>
                <w:bCs/>
                <w:color w:val="FFFFFF"/>
                <w:sz w:val="20"/>
                <w:szCs w:val="20"/>
                <w:lang w:eastAsia="it-IT"/>
              </w:rPr>
              <w:t xml:space="preserve"> </w:t>
            </w:r>
            <w:r w:rsidRPr="00B422A9">
              <w:rPr>
                <w:b/>
                <w:bCs/>
                <w:color w:val="FFFFFF"/>
                <w:sz w:val="20"/>
                <w:szCs w:val="20"/>
                <w:lang w:eastAsia="it-IT"/>
              </w:rPr>
              <w:t xml:space="preserve"> </w:t>
            </w:r>
            <w:r>
              <w:rPr>
                <w:b/>
                <w:bCs/>
                <w:color w:val="FFFFFF"/>
                <w:sz w:val="20"/>
                <w:szCs w:val="20"/>
                <w:lang w:eastAsia="it-IT"/>
              </w:rPr>
              <w:t xml:space="preserve">3 </w:t>
            </w:r>
            <w:r w:rsidRPr="00B422A9">
              <w:rPr>
                <w:b/>
                <w:bCs/>
                <w:color w:val="FFFFFF"/>
                <w:sz w:val="20"/>
                <w:szCs w:val="20"/>
                <w:lang w:eastAsia="it-IT"/>
              </w:rPr>
              <w:t>LT</w:t>
            </w:r>
            <w:r>
              <w:rPr>
                <w:b/>
                <w:bCs/>
                <w:color w:val="FFFFFF"/>
                <w:sz w:val="20"/>
                <w:szCs w:val="20"/>
                <w:lang w:eastAsia="it-IT"/>
              </w:rPr>
              <w:t xml:space="preserve"> (nuovo)</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Default="0075107C" w:rsidP="0075107C">
            <w:pPr>
              <w:spacing w:line="276" w:lineRule="auto"/>
              <w:jc w:val="both"/>
              <w:rPr>
                <w:sz w:val="20"/>
                <w:szCs w:val="20"/>
                <w:lang w:eastAsia="it-IT"/>
              </w:rPr>
            </w:pPr>
            <w:r w:rsidRPr="00AA4EE7">
              <w:rPr>
                <w:sz w:val="20"/>
                <w:szCs w:val="20"/>
                <w:lang w:eastAsia="it-IT"/>
              </w:rPr>
              <w:t xml:space="preserve">Attualmente </w:t>
            </w:r>
            <w:r>
              <w:rPr>
                <w:sz w:val="20"/>
                <w:szCs w:val="20"/>
                <w:lang w:eastAsia="it-IT"/>
              </w:rPr>
              <w:t>è prevista la tassazione ordinaria ulteriore d’ufficio.</w:t>
            </w:r>
          </w:p>
          <w:p w:rsidR="0075107C" w:rsidRPr="003B21A9" w:rsidRDefault="0075107C" w:rsidP="0075107C">
            <w:pPr>
              <w:spacing w:line="276" w:lineRule="auto"/>
              <w:jc w:val="both"/>
              <w:rPr>
                <w:sz w:val="20"/>
                <w:szCs w:val="20"/>
                <w:lang w:eastAsia="it-IT"/>
              </w:rPr>
            </w:pPr>
          </w:p>
        </w:tc>
        <w:tc>
          <w:tcPr>
            <w:tcW w:w="4814" w:type="dxa"/>
            <w:tcBorders>
              <w:bottom w:val="single" w:sz="4" w:space="0" w:color="auto"/>
            </w:tcBorders>
          </w:tcPr>
          <w:p w:rsidR="0075107C" w:rsidRPr="00AD5C54" w:rsidRDefault="0075107C" w:rsidP="0075107C">
            <w:pPr>
              <w:pStyle w:val="Default"/>
              <w:jc w:val="both"/>
              <w:rPr>
                <w:sz w:val="20"/>
                <w:szCs w:val="20"/>
              </w:rPr>
            </w:pPr>
            <w:r>
              <w:rPr>
                <w:sz w:val="20"/>
                <w:szCs w:val="20"/>
              </w:rPr>
              <w:t xml:space="preserve">L’art. </w:t>
            </w:r>
            <w:r w:rsidRPr="00AD5C54">
              <w:rPr>
                <w:sz w:val="20"/>
                <w:szCs w:val="20"/>
              </w:rPr>
              <w:t>3 par</w:t>
            </w:r>
            <w:r>
              <w:rPr>
                <w:sz w:val="20"/>
                <w:szCs w:val="20"/>
              </w:rPr>
              <w:t>.</w:t>
            </w:r>
            <w:r w:rsidRPr="00AD5C54">
              <w:rPr>
                <w:sz w:val="20"/>
                <w:szCs w:val="20"/>
              </w:rPr>
              <w:t xml:space="preserve"> 3 </w:t>
            </w:r>
            <w:r>
              <w:rPr>
                <w:sz w:val="20"/>
                <w:szCs w:val="20"/>
              </w:rPr>
              <w:t>del</w:t>
            </w:r>
            <w:r w:rsidRPr="00AD5C54">
              <w:rPr>
                <w:sz w:val="20"/>
                <w:szCs w:val="20"/>
              </w:rPr>
              <w:t>l’</w:t>
            </w:r>
            <w:r w:rsidRPr="00BA6FE4">
              <w:rPr>
                <w:i/>
                <w:sz w:val="20"/>
                <w:szCs w:val="20"/>
              </w:rPr>
              <w:t xml:space="preserve">Accordo sui frontalieri CH-I </w:t>
            </w:r>
            <w:r w:rsidRPr="00AD5C54">
              <w:rPr>
                <w:sz w:val="20"/>
                <w:szCs w:val="20"/>
              </w:rPr>
              <w:t>stabilisce che l’imposizione dei lavoratori frontalieri nello Stato contraente in cui l’attività di lavoro dipendente viene svolta è effettuata mediante imposizione alla fonte e che qualsiasi altro metodo di imposizione è escluso ai fini dell’Accordo.</w:t>
            </w:r>
          </w:p>
          <w:p w:rsidR="0075107C" w:rsidRPr="00AD5C54" w:rsidRDefault="0075107C" w:rsidP="0075107C">
            <w:pPr>
              <w:pStyle w:val="Default"/>
              <w:jc w:val="both"/>
              <w:rPr>
                <w:sz w:val="20"/>
                <w:szCs w:val="20"/>
              </w:rPr>
            </w:pPr>
            <w:r>
              <w:rPr>
                <w:sz w:val="20"/>
                <w:szCs w:val="20"/>
              </w:rPr>
              <w:t xml:space="preserve">È quindi prevista l’introduzione di un nuovo capoverso secondo cui per i lavoratori frontalieri (cfr. </w:t>
            </w:r>
            <w:r w:rsidRPr="00AD5C54">
              <w:rPr>
                <w:sz w:val="20"/>
                <w:szCs w:val="20"/>
              </w:rPr>
              <w:t xml:space="preserve">art. 2 </w:t>
            </w:r>
            <w:proofErr w:type="spellStart"/>
            <w:r w:rsidRPr="00AD5C54">
              <w:rPr>
                <w:sz w:val="20"/>
                <w:szCs w:val="20"/>
              </w:rPr>
              <w:t>lett</w:t>
            </w:r>
            <w:proofErr w:type="spellEnd"/>
            <w:r w:rsidRPr="00AD5C54">
              <w:rPr>
                <w:sz w:val="20"/>
                <w:szCs w:val="20"/>
              </w:rPr>
              <w:t xml:space="preserve">. b </w:t>
            </w:r>
            <w:r w:rsidRPr="00AD5C54">
              <w:rPr>
                <w:i/>
                <w:iCs/>
                <w:sz w:val="20"/>
                <w:szCs w:val="20"/>
              </w:rPr>
              <w:t>Accordo sui frontalieri</w:t>
            </w:r>
            <w:r>
              <w:rPr>
                <w:sz w:val="20"/>
                <w:szCs w:val="20"/>
              </w:rPr>
              <w:t xml:space="preserve">) </w:t>
            </w:r>
            <w:r w:rsidRPr="00AD5C54">
              <w:rPr>
                <w:sz w:val="20"/>
                <w:szCs w:val="20"/>
              </w:rPr>
              <w:t xml:space="preserve">non </w:t>
            </w:r>
            <w:proofErr w:type="spellStart"/>
            <w:r w:rsidRPr="00AD5C54">
              <w:rPr>
                <w:sz w:val="20"/>
                <w:szCs w:val="20"/>
              </w:rPr>
              <w:t>puo</w:t>
            </w:r>
            <w:proofErr w:type="spellEnd"/>
            <w:r w:rsidRPr="00AD5C54">
              <w:rPr>
                <w:sz w:val="20"/>
                <w:szCs w:val="20"/>
              </w:rPr>
              <w:t xml:space="preserve">̀ essere effettuata né una tassazione ordinaria ulteriore in caso di quasi residenza (su richiesta del contribuente) né una tassazione ordinaria ulteriore d’ufficio (da parte dell’autorità̀ fiscale cantonale competente). </w:t>
            </w:r>
          </w:p>
          <w:p w:rsidR="0075107C" w:rsidRPr="003B21A9" w:rsidRDefault="0075107C" w:rsidP="0075107C">
            <w:pPr>
              <w:spacing w:line="276" w:lineRule="auto"/>
              <w:jc w:val="both"/>
              <w:rPr>
                <w:sz w:val="20"/>
                <w:szCs w:val="20"/>
                <w:lang w:eastAsia="it-IT"/>
              </w:rPr>
            </w:pPr>
          </w:p>
        </w:tc>
      </w:tr>
    </w:tbl>
    <w:p w:rsidR="0075107C" w:rsidRDefault="0075107C" w:rsidP="0075107C">
      <w:pPr>
        <w:pStyle w:val="Default"/>
        <w:shd w:val="clear" w:color="auto" w:fill="FFFFFF" w:themeFill="background1"/>
        <w:spacing w:line="276" w:lineRule="auto"/>
        <w:jc w:val="both"/>
        <w:rPr>
          <w:rFonts w:eastAsia="Calibri" w:cs="Times New Roman"/>
          <w:color w:val="auto"/>
          <w:lang w:eastAsia="en-US"/>
        </w:rPr>
      </w:pPr>
    </w:p>
    <w:tbl>
      <w:tblPr>
        <w:tblStyle w:val="Grigliatabella1"/>
        <w:tblW w:w="0" w:type="auto"/>
        <w:tblLook w:val="04A0" w:firstRow="1" w:lastRow="0" w:firstColumn="1" w:lastColumn="0" w:noHBand="0" w:noVBand="1"/>
      </w:tblPr>
      <w:tblGrid>
        <w:gridCol w:w="4741"/>
        <w:gridCol w:w="4734"/>
      </w:tblGrid>
      <w:tr w:rsidR="0075107C" w:rsidRPr="00236DA8" w:rsidTr="00072520">
        <w:tc>
          <w:tcPr>
            <w:tcW w:w="9628" w:type="dxa"/>
            <w:gridSpan w:val="2"/>
            <w:shd w:val="clear" w:color="auto" w:fill="7F7F7F" w:themeFill="text1" w:themeFillTint="80"/>
          </w:tcPr>
          <w:p w:rsidR="0075107C" w:rsidRPr="00236DA8" w:rsidRDefault="0075107C" w:rsidP="0075107C">
            <w:pPr>
              <w:spacing w:line="276" w:lineRule="auto"/>
              <w:jc w:val="both"/>
              <w:rPr>
                <w:b/>
                <w:bCs/>
                <w:color w:val="FFFFFF"/>
                <w:lang w:eastAsia="it-IT"/>
              </w:rPr>
            </w:pPr>
            <w:r w:rsidRPr="00B422A9">
              <w:rPr>
                <w:b/>
                <w:bCs/>
                <w:color w:val="FFFFFF"/>
                <w:sz w:val="20"/>
                <w:szCs w:val="20"/>
                <w:lang w:eastAsia="it-IT"/>
              </w:rPr>
              <w:t xml:space="preserve">Art. </w:t>
            </w:r>
            <w:r>
              <w:rPr>
                <w:b/>
                <w:bCs/>
                <w:color w:val="FFFFFF"/>
                <w:sz w:val="20"/>
                <w:szCs w:val="20"/>
                <w:lang w:eastAsia="it-IT"/>
              </w:rPr>
              <w:t>276</w:t>
            </w:r>
            <w:r w:rsidRPr="00B422A9">
              <w:rPr>
                <w:b/>
                <w:bCs/>
                <w:color w:val="FFFFFF"/>
                <w:sz w:val="20"/>
                <w:szCs w:val="20"/>
                <w:lang w:eastAsia="it-IT"/>
              </w:rPr>
              <w:t xml:space="preserve"> cpv.</w:t>
            </w:r>
            <w:r>
              <w:rPr>
                <w:b/>
                <w:bCs/>
                <w:color w:val="FFFFFF"/>
                <w:sz w:val="20"/>
                <w:szCs w:val="20"/>
                <w:lang w:eastAsia="it-IT"/>
              </w:rPr>
              <w:t xml:space="preserve"> </w:t>
            </w:r>
            <w:r w:rsidRPr="00B422A9">
              <w:rPr>
                <w:b/>
                <w:bCs/>
                <w:color w:val="FFFFFF"/>
                <w:sz w:val="20"/>
                <w:szCs w:val="20"/>
                <w:lang w:eastAsia="it-IT"/>
              </w:rPr>
              <w:t xml:space="preserve"> </w:t>
            </w:r>
            <w:r>
              <w:rPr>
                <w:b/>
                <w:bCs/>
                <w:color w:val="FFFFFF"/>
                <w:sz w:val="20"/>
                <w:szCs w:val="20"/>
                <w:lang w:eastAsia="it-IT"/>
              </w:rPr>
              <w:t xml:space="preserve">2 </w:t>
            </w:r>
            <w:r w:rsidRPr="00B422A9">
              <w:rPr>
                <w:b/>
                <w:bCs/>
                <w:color w:val="FFFFFF"/>
                <w:sz w:val="20"/>
                <w:szCs w:val="20"/>
                <w:lang w:eastAsia="it-IT"/>
              </w:rPr>
              <w:t>LT</w:t>
            </w:r>
            <w:r>
              <w:rPr>
                <w:b/>
                <w:bCs/>
                <w:color w:val="FFFFFF"/>
                <w:sz w:val="20"/>
                <w:szCs w:val="20"/>
                <w:lang w:eastAsia="it-IT"/>
              </w:rPr>
              <w:t xml:space="preserve"> (modifica)</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Pr="00D86A7D" w:rsidRDefault="0075107C" w:rsidP="0075107C">
            <w:pPr>
              <w:pStyle w:val="NormaleWeb"/>
              <w:shd w:val="clear" w:color="auto" w:fill="FFFFFF"/>
              <w:spacing w:before="0" w:beforeAutospacing="0" w:after="0" w:afterAutospacing="0" w:line="276" w:lineRule="auto"/>
              <w:ind w:left="22" w:right="187"/>
              <w:jc w:val="both"/>
              <w:rPr>
                <w:rFonts w:ascii="Arial" w:hAnsi="Arial" w:cs="Arial"/>
                <w:color w:val="000000"/>
                <w:sz w:val="20"/>
                <w:szCs w:val="20"/>
                <w:shd w:val="clear" w:color="auto" w:fill="FFFFFF"/>
                <w:lang w:val="it-CH" w:eastAsia="en-US"/>
              </w:rPr>
            </w:pPr>
            <w:r w:rsidRPr="00D86A7D">
              <w:rPr>
                <w:rFonts w:ascii="Arial" w:hAnsi="Arial" w:cs="Arial"/>
                <w:color w:val="000000"/>
                <w:sz w:val="20"/>
                <w:szCs w:val="20"/>
                <w:shd w:val="clear" w:color="auto" w:fill="FFFFFF"/>
                <w:lang w:val="it-CH" w:eastAsia="en-US"/>
              </w:rPr>
              <w:t>Attualmente, la disposizione riserva per il calcolo dell’imposta comunale l’articolo 111 capoverso 4 per l’imposizione alla fonte e l’imposizione ordinaria ulteriore delle categorie di contribuenti di cui all’articolo 111 capoverso 5 lettera b numero II.</w:t>
            </w:r>
          </w:p>
          <w:p w:rsidR="0075107C" w:rsidRPr="00D86A7D" w:rsidRDefault="0075107C" w:rsidP="0075107C">
            <w:pPr>
              <w:spacing w:line="276" w:lineRule="auto"/>
              <w:jc w:val="both"/>
              <w:rPr>
                <w:sz w:val="20"/>
                <w:szCs w:val="20"/>
                <w:lang w:val="it-IT" w:eastAsia="it-IT"/>
              </w:rPr>
            </w:pPr>
          </w:p>
        </w:tc>
        <w:tc>
          <w:tcPr>
            <w:tcW w:w="4814" w:type="dxa"/>
            <w:tcBorders>
              <w:bottom w:val="single" w:sz="4" w:space="0" w:color="auto"/>
            </w:tcBorders>
          </w:tcPr>
          <w:p w:rsidR="0075107C" w:rsidRPr="00AD5C54" w:rsidRDefault="0075107C" w:rsidP="0075107C">
            <w:pPr>
              <w:pStyle w:val="Default"/>
              <w:ind w:left="43"/>
              <w:jc w:val="both"/>
              <w:rPr>
                <w:sz w:val="20"/>
                <w:szCs w:val="20"/>
              </w:rPr>
            </w:pPr>
            <w:r>
              <w:rPr>
                <w:sz w:val="20"/>
                <w:szCs w:val="20"/>
                <w:shd w:val="clear" w:color="auto" w:fill="FFFFFF"/>
              </w:rPr>
              <w:t>Si propongono delle</w:t>
            </w:r>
            <w:r w:rsidRPr="00AD5C54">
              <w:rPr>
                <w:sz w:val="20"/>
                <w:szCs w:val="20"/>
                <w:shd w:val="clear" w:color="auto" w:fill="FFFFFF"/>
              </w:rPr>
              <w:t xml:space="preserve"> modifiche di riporto riconducibili alle nuove disposizioni dell’art. 111 LT. </w:t>
            </w:r>
          </w:p>
          <w:p w:rsidR="0075107C" w:rsidRPr="003B21A9" w:rsidRDefault="0075107C" w:rsidP="0075107C">
            <w:pPr>
              <w:spacing w:line="276" w:lineRule="auto"/>
              <w:jc w:val="both"/>
              <w:rPr>
                <w:sz w:val="20"/>
                <w:szCs w:val="20"/>
                <w:lang w:eastAsia="it-IT"/>
              </w:rPr>
            </w:pPr>
          </w:p>
        </w:tc>
      </w:tr>
    </w:tbl>
    <w:p w:rsidR="0075107C" w:rsidRDefault="0075107C" w:rsidP="0075107C">
      <w:pPr>
        <w:rPr>
          <w:rFonts w:eastAsia="Times New Roman"/>
          <w:sz w:val="20"/>
          <w:szCs w:val="20"/>
          <w:lang w:eastAsia="it-IT"/>
        </w:rPr>
      </w:pPr>
    </w:p>
    <w:p w:rsidR="0075107C" w:rsidRDefault="0075107C" w:rsidP="0075107C">
      <w:pPr>
        <w:rPr>
          <w:rFonts w:eastAsia="Times New Roman"/>
          <w:sz w:val="20"/>
          <w:szCs w:val="20"/>
          <w:lang w:eastAsia="it-IT"/>
        </w:rPr>
      </w:pPr>
    </w:p>
    <w:p w:rsidR="0075107C" w:rsidRDefault="0075107C" w:rsidP="0075107C">
      <w:pPr>
        <w:rPr>
          <w:rFonts w:eastAsia="Times New Roman"/>
          <w:szCs w:val="20"/>
          <w:lang w:eastAsia="it-IT"/>
        </w:rPr>
      </w:pPr>
    </w:p>
    <w:p w:rsidR="0075107C" w:rsidRPr="007F7E00" w:rsidRDefault="0075107C" w:rsidP="007F7E00">
      <w:pPr>
        <w:pStyle w:val="Titolo2"/>
        <w:numPr>
          <w:ilvl w:val="0"/>
          <w:numId w:val="0"/>
        </w:numPr>
        <w:ind w:left="544" w:hanging="544"/>
        <w:jc w:val="both"/>
      </w:pPr>
      <w:r>
        <w:t>3</w:t>
      </w:r>
      <w:r w:rsidRPr="003B21A9">
        <w:t>.</w:t>
      </w:r>
      <w:r w:rsidRPr="003B21A9">
        <w:tab/>
      </w:r>
      <w:r>
        <w:t xml:space="preserve">PROCEDURE ELETTRONICHE </w:t>
      </w:r>
    </w:p>
    <w:p w:rsidR="0075107C" w:rsidRDefault="0075107C" w:rsidP="0075107C">
      <w:pPr>
        <w:suppressAutoHyphens/>
        <w:contextualSpacing/>
        <w:rPr>
          <w:szCs w:val="24"/>
        </w:rPr>
      </w:pPr>
      <w:r w:rsidRPr="0022283B">
        <w:rPr>
          <w:rFonts w:eastAsia="Times New Roman"/>
          <w:szCs w:val="20"/>
          <w:lang w:eastAsia="it-IT"/>
        </w:rPr>
        <w:t xml:space="preserve">Le modifiche proposte si configurano come </w:t>
      </w:r>
      <w:r>
        <w:rPr>
          <w:rFonts w:eastAsia="Times New Roman"/>
          <w:szCs w:val="20"/>
          <w:lang w:eastAsia="it-IT"/>
        </w:rPr>
        <w:t>un a</w:t>
      </w:r>
      <w:r w:rsidRPr="0022283B">
        <w:rPr>
          <w:rFonts w:eastAsia="Times New Roman"/>
          <w:szCs w:val="20"/>
          <w:lang w:eastAsia="it-IT"/>
        </w:rPr>
        <w:t xml:space="preserve">deguamento della LT alla LAID in relazione alla legge federale </w:t>
      </w:r>
      <w:r w:rsidRPr="001056BD">
        <w:rPr>
          <w:rFonts w:eastAsia="Times New Roman"/>
          <w:szCs w:val="20"/>
          <w:lang w:eastAsia="it-IT"/>
        </w:rPr>
        <w:t xml:space="preserve">sulle procedure elettroniche in ambito fiscale del 18 giugno 2021. </w:t>
      </w:r>
    </w:p>
    <w:p w:rsidR="0075107C" w:rsidRPr="0022283B" w:rsidRDefault="0075107C" w:rsidP="0075107C">
      <w:pPr>
        <w:rPr>
          <w:szCs w:val="24"/>
        </w:rPr>
      </w:pPr>
    </w:p>
    <w:tbl>
      <w:tblPr>
        <w:tblStyle w:val="Grigliatabella1"/>
        <w:tblW w:w="0" w:type="auto"/>
        <w:tblLook w:val="04A0" w:firstRow="1" w:lastRow="0" w:firstColumn="1" w:lastColumn="0" w:noHBand="0" w:noVBand="1"/>
      </w:tblPr>
      <w:tblGrid>
        <w:gridCol w:w="4739"/>
        <w:gridCol w:w="4736"/>
      </w:tblGrid>
      <w:tr w:rsidR="0075107C" w:rsidRPr="00236DA8" w:rsidTr="00072520">
        <w:tc>
          <w:tcPr>
            <w:tcW w:w="9628" w:type="dxa"/>
            <w:gridSpan w:val="2"/>
            <w:shd w:val="clear" w:color="auto" w:fill="7F7F7F" w:themeFill="text1" w:themeFillTint="80"/>
          </w:tcPr>
          <w:p w:rsidR="0075107C" w:rsidRPr="00236DA8" w:rsidRDefault="0075107C" w:rsidP="0075107C">
            <w:pPr>
              <w:spacing w:line="276" w:lineRule="auto"/>
              <w:jc w:val="both"/>
              <w:rPr>
                <w:b/>
                <w:bCs/>
                <w:color w:val="FFFFFF"/>
                <w:lang w:eastAsia="it-IT"/>
              </w:rPr>
            </w:pPr>
            <w:r w:rsidRPr="00B422A9">
              <w:rPr>
                <w:b/>
                <w:bCs/>
                <w:color w:val="FFFFFF"/>
                <w:sz w:val="20"/>
                <w:szCs w:val="20"/>
                <w:lang w:eastAsia="it-IT"/>
              </w:rPr>
              <w:t xml:space="preserve">Art. </w:t>
            </w:r>
            <w:r>
              <w:rPr>
                <w:b/>
                <w:bCs/>
                <w:color w:val="FFFFFF"/>
                <w:sz w:val="20"/>
                <w:szCs w:val="20"/>
                <w:lang w:eastAsia="it-IT"/>
              </w:rPr>
              <w:t>185a</w:t>
            </w:r>
            <w:r w:rsidRPr="00B422A9">
              <w:rPr>
                <w:b/>
                <w:bCs/>
                <w:color w:val="FFFFFF"/>
                <w:sz w:val="20"/>
                <w:szCs w:val="20"/>
                <w:lang w:eastAsia="it-IT"/>
              </w:rPr>
              <w:t xml:space="preserve"> LT</w:t>
            </w:r>
            <w:r>
              <w:rPr>
                <w:b/>
                <w:bCs/>
                <w:color w:val="FFFFFF"/>
                <w:sz w:val="20"/>
                <w:szCs w:val="20"/>
                <w:lang w:eastAsia="it-IT"/>
              </w:rPr>
              <w:t xml:space="preserve"> (nuovo)</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Default="0075107C" w:rsidP="0075107C">
            <w:pPr>
              <w:spacing w:line="276" w:lineRule="auto"/>
              <w:jc w:val="both"/>
              <w:rPr>
                <w:sz w:val="20"/>
                <w:szCs w:val="20"/>
                <w:lang w:eastAsia="it-IT"/>
              </w:rPr>
            </w:pPr>
            <w:r w:rsidRPr="00AA4EE7">
              <w:rPr>
                <w:sz w:val="20"/>
                <w:szCs w:val="20"/>
                <w:lang w:eastAsia="it-IT"/>
              </w:rPr>
              <w:t xml:space="preserve">Attualmente </w:t>
            </w:r>
            <w:r>
              <w:rPr>
                <w:sz w:val="20"/>
                <w:szCs w:val="20"/>
                <w:lang w:eastAsia="it-IT"/>
              </w:rPr>
              <w:t xml:space="preserve">l’articolo tratta dell’assistenza di altre autorità. </w:t>
            </w:r>
          </w:p>
          <w:p w:rsidR="0075107C" w:rsidRPr="003B21A9" w:rsidRDefault="0075107C" w:rsidP="0075107C">
            <w:pPr>
              <w:spacing w:line="276" w:lineRule="auto"/>
              <w:jc w:val="both"/>
              <w:rPr>
                <w:sz w:val="20"/>
                <w:szCs w:val="20"/>
                <w:lang w:eastAsia="it-IT"/>
              </w:rPr>
            </w:pPr>
          </w:p>
        </w:tc>
        <w:tc>
          <w:tcPr>
            <w:tcW w:w="4814" w:type="dxa"/>
            <w:tcBorders>
              <w:bottom w:val="single" w:sz="4" w:space="0" w:color="auto"/>
            </w:tcBorders>
          </w:tcPr>
          <w:p w:rsidR="0075107C" w:rsidRDefault="0075107C" w:rsidP="0075107C">
            <w:pPr>
              <w:pStyle w:val="Default"/>
              <w:jc w:val="both"/>
              <w:rPr>
                <w:bCs/>
                <w:color w:val="auto"/>
                <w:sz w:val="20"/>
                <w:szCs w:val="20"/>
              </w:rPr>
            </w:pPr>
            <w:r w:rsidRPr="0022283B">
              <w:rPr>
                <w:color w:val="auto"/>
                <w:sz w:val="20"/>
                <w:szCs w:val="20"/>
                <w:lang w:eastAsia="it-IT"/>
              </w:rPr>
              <w:t xml:space="preserve">Si recepisce nel diritto cantonale l’obbligo sancito nella LAID di </w:t>
            </w:r>
            <w:r w:rsidRPr="00FE26CE">
              <w:rPr>
                <w:color w:val="auto"/>
                <w:sz w:val="20"/>
                <w:szCs w:val="20"/>
                <w:lang w:eastAsia="it-IT"/>
              </w:rPr>
              <w:t xml:space="preserve">istituire delle procedure elettroniche in ambito fiscale. </w:t>
            </w:r>
            <w:r w:rsidRPr="00FE26CE">
              <w:rPr>
                <w:bCs/>
                <w:color w:val="auto"/>
                <w:sz w:val="20"/>
                <w:szCs w:val="20"/>
              </w:rPr>
              <w:t>I dettagli relativi all’attuazione di questo obbligo saranno specificati in un apposito regolamento.</w:t>
            </w:r>
          </w:p>
          <w:p w:rsidR="0075107C" w:rsidRPr="00D86A7D" w:rsidRDefault="0075107C" w:rsidP="0075107C">
            <w:pPr>
              <w:pStyle w:val="Default"/>
              <w:jc w:val="both"/>
              <w:rPr>
                <w:bCs/>
                <w:color w:val="auto"/>
                <w:sz w:val="20"/>
                <w:szCs w:val="20"/>
              </w:rPr>
            </w:pPr>
            <w:r w:rsidRPr="0022283B">
              <w:rPr>
                <w:color w:val="auto"/>
                <w:sz w:val="20"/>
                <w:szCs w:val="20"/>
                <w:lang w:eastAsia="it-IT"/>
              </w:rPr>
              <w:t xml:space="preserve">Per una migliore sistematica nella legge, la base legale </w:t>
            </w:r>
            <w:r w:rsidRPr="0022283B">
              <w:rPr>
                <w:bCs/>
                <w:color w:val="auto"/>
                <w:sz w:val="20"/>
                <w:szCs w:val="20"/>
              </w:rPr>
              <w:t>in senso formale per le procedure elettroniche (tra contribuenti e/o terzi e il fisco e viceversa) viene rubricata all’art. 185a LT. La precedente disposizione diventa quindi il nuovo art. 185b LT.</w:t>
            </w:r>
          </w:p>
        </w:tc>
      </w:tr>
    </w:tbl>
    <w:p w:rsidR="0075107C" w:rsidRDefault="0075107C" w:rsidP="0075107C">
      <w:pPr>
        <w:rPr>
          <w:rFonts w:eastAsia="Times New Roman"/>
          <w:szCs w:val="20"/>
          <w:lang w:eastAsia="it-IT"/>
        </w:rPr>
      </w:pPr>
    </w:p>
    <w:p w:rsidR="007F7E00" w:rsidRDefault="007F7E00" w:rsidP="0075107C">
      <w:pPr>
        <w:rPr>
          <w:rFonts w:eastAsia="Times New Roman"/>
          <w:szCs w:val="20"/>
          <w:lang w:eastAsia="it-IT"/>
        </w:rPr>
      </w:pPr>
    </w:p>
    <w:tbl>
      <w:tblPr>
        <w:tblStyle w:val="Grigliatabella1"/>
        <w:tblW w:w="0" w:type="auto"/>
        <w:tblLook w:val="04A0" w:firstRow="1" w:lastRow="0" w:firstColumn="1" w:lastColumn="0" w:noHBand="0" w:noVBand="1"/>
      </w:tblPr>
      <w:tblGrid>
        <w:gridCol w:w="4736"/>
        <w:gridCol w:w="4739"/>
      </w:tblGrid>
      <w:tr w:rsidR="0075107C" w:rsidRPr="00236DA8" w:rsidTr="00072520">
        <w:tc>
          <w:tcPr>
            <w:tcW w:w="9628" w:type="dxa"/>
            <w:gridSpan w:val="2"/>
            <w:shd w:val="clear" w:color="auto" w:fill="7F7F7F" w:themeFill="text1" w:themeFillTint="80"/>
          </w:tcPr>
          <w:p w:rsidR="0075107C" w:rsidRPr="00236DA8" w:rsidRDefault="0075107C" w:rsidP="0075107C">
            <w:pPr>
              <w:spacing w:line="276" w:lineRule="auto"/>
              <w:jc w:val="both"/>
              <w:rPr>
                <w:b/>
                <w:bCs/>
                <w:color w:val="FFFFFF"/>
                <w:lang w:eastAsia="it-IT"/>
              </w:rPr>
            </w:pPr>
            <w:r w:rsidRPr="00B422A9">
              <w:rPr>
                <w:b/>
                <w:bCs/>
                <w:color w:val="FFFFFF"/>
                <w:sz w:val="20"/>
                <w:szCs w:val="20"/>
                <w:lang w:eastAsia="it-IT"/>
              </w:rPr>
              <w:lastRenderedPageBreak/>
              <w:t xml:space="preserve">Art. </w:t>
            </w:r>
            <w:r>
              <w:rPr>
                <w:b/>
                <w:bCs/>
                <w:color w:val="FFFFFF"/>
                <w:sz w:val="20"/>
                <w:szCs w:val="20"/>
                <w:lang w:eastAsia="it-IT"/>
              </w:rPr>
              <w:t>185b</w:t>
            </w:r>
            <w:r w:rsidRPr="00B422A9">
              <w:rPr>
                <w:b/>
                <w:bCs/>
                <w:color w:val="FFFFFF"/>
                <w:sz w:val="20"/>
                <w:szCs w:val="20"/>
                <w:lang w:eastAsia="it-IT"/>
              </w:rPr>
              <w:t xml:space="preserve"> LT</w:t>
            </w:r>
            <w:r>
              <w:rPr>
                <w:b/>
                <w:bCs/>
                <w:color w:val="FFFFFF"/>
                <w:sz w:val="20"/>
                <w:szCs w:val="20"/>
                <w:lang w:eastAsia="it-IT"/>
              </w:rPr>
              <w:t xml:space="preserve"> (ex art. 185a e modifica del cpv. 1)</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Default="0075107C" w:rsidP="0075107C">
            <w:pPr>
              <w:spacing w:line="276" w:lineRule="auto"/>
              <w:jc w:val="both"/>
              <w:rPr>
                <w:sz w:val="20"/>
                <w:szCs w:val="20"/>
                <w:lang w:eastAsia="it-IT"/>
              </w:rPr>
            </w:pPr>
            <w:r w:rsidRPr="00EF1F49">
              <w:rPr>
                <w:sz w:val="20"/>
                <w:szCs w:val="20"/>
                <w:lang w:eastAsia="it-IT"/>
              </w:rPr>
              <w:t>Attualmente la disposizione non esiste</w:t>
            </w:r>
            <w:r>
              <w:rPr>
                <w:sz w:val="20"/>
                <w:szCs w:val="20"/>
                <w:lang w:eastAsia="it-IT"/>
              </w:rPr>
              <w:t>.</w:t>
            </w:r>
          </w:p>
          <w:p w:rsidR="0075107C" w:rsidRPr="003B21A9" w:rsidRDefault="0075107C" w:rsidP="0075107C">
            <w:pPr>
              <w:spacing w:line="276" w:lineRule="auto"/>
              <w:jc w:val="both"/>
              <w:rPr>
                <w:sz w:val="20"/>
                <w:szCs w:val="20"/>
                <w:lang w:eastAsia="it-IT"/>
              </w:rPr>
            </w:pPr>
          </w:p>
        </w:tc>
        <w:tc>
          <w:tcPr>
            <w:tcW w:w="4814" w:type="dxa"/>
            <w:tcBorders>
              <w:bottom w:val="single" w:sz="4" w:space="0" w:color="auto"/>
            </w:tcBorders>
          </w:tcPr>
          <w:p w:rsidR="0075107C" w:rsidRDefault="0075107C" w:rsidP="0075107C">
            <w:pPr>
              <w:jc w:val="both"/>
              <w:rPr>
                <w:sz w:val="20"/>
                <w:szCs w:val="20"/>
                <w:lang w:eastAsia="it-IT"/>
              </w:rPr>
            </w:pPr>
            <w:r w:rsidRPr="00CA69F1">
              <w:rPr>
                <w:sz w:val="20"/>
                <w:szCs w:val="20"/>
                <w:lang w:eastAsia="it-IT"/>
              </w:rPr>
              <w:t>Per una migliore sistematica nella legge, il precedente art. 185a LT diventa il nuovo art. 185b LT. Il contenuto del precedente art. 185a LT viene quindi integralmente ripreso all’art. 185b LT</w:t>
            </w:r>
            <w:r>
              <w:rPr>
                <w:sz w:val="20"/>
                <w:szCs w:val="20"/>
                <w:lang w:eastAsia="it-IT"/>
              </w:rPr>
              <w:t>.</w:t>
            </w:r>
          </w:p>
          <w:p w:rsidR="0075107C" w:rsidRDefault="0075107C" w:rsidP="0075107C">
            <w:pPr>
              <w:jc w:val="both"/>
              <w:rPr>
                <w:sz w:val="20"/>
                <w:szCs w:val="20"/>
                <w:lang w:eastAsia="it-IT"/>
              </w:rPr>
            </w:pPr>
            <w:r w:rsidRPr="00CA69F1">
              <w:rPr>
                <w:sz w:val="20"/>
                <w:szCs w:val="20"/>
                <w:lang w:eastAsia="it-IT"/>
              </w:rPr>
              <w:t>La disposizione viene completata prevedendo la possibilità per il fisco cantonale di conservare i dati anche in forma unicamente elettronica.</w:t>
            </w:r>
          </w:p>
          <w:p w:rsidR="0075107C" w:rsidRPr="003B21A9" w:rsidRDefault="0075107C" w:rsidP="0075107C">
            <w:pPr>
              <w:jc w:val="both"/>
              <w:rPr>
                <w:sz w:val="20"/>
                <w:szCs w:val="20"/>
                <w:lang w:eastAsia="it-IT"/>
              </w:rPr>
            </w:pPr>
            <w:r>
              <w:rPr>
                <w:sz w:val="20"/>
                <w:szCs w:val="20"/>
                <w:lang w:eastAsia="it-IT"/>
              </w:rPr>
              <w:t>Ritenuto come il cpv. 2 del precedente art. 185a LT era già stato abrogato (L 18.10.2022; in vigore dal 1.1.2023 – BU 2022, 335) si propone una nuova numerazione dei capoversi.</w:t>
            </w:r>
          </w:p>
        </w:tc>
      </w:tr>
    </w:tbl>
    <w:p w:rsidR="0075107C" w:rsidRDefault="0075107C" w:rsidP="0075107C">
      <w:pPr>
        <w:rPr>
          <w:rFonts w:eastAsia="Times New Roman"/>
          <w:szCs w:val="20"/>
          <w:lang w:eastAsia="it-IT"/>
        </w:rPr>
      </w:pPr>
    </w:p>
    <w:tbl>
      <w:tblPr>
        <w:tblStyle w:val="Grigliatabella1"/>
        <w:tblW w:w="0" w:type="auto"/>
        <w:tblLook w:val="04A0" w:firstRow="1" w:lastRow="0" w:firstColumn="1" w:lastColumn="0" w:noHBand="0" w:noVBand="1"/>
      </w:tblPr>
      <w:tblGrid>
        <w:gridCol w:w="4740"/>
        <w:gridCol w:w="4735"/>
      </w:tblGrid>
      <w:tr w:rsidR="0075107C" w:rsidRPr="00236DA8" w:rsidTr="00072520">
        <w:tc>
          <w:tcPr>
            <w:tcW w:w="9628" w:type="dxa"/>
            <w:gridSpan w:val="2"/>
            <w:shd w:val="clear" w:color="auto" w:fill="7F7F7F" w:themeFill="text1" w:themeFillTint="80"/>
          </w:tcPr>
          <w:p w:rsidR="0075107C" w:rsidRPr="00236DA8" w:rsidRDefault="0075107C" w:rsidP="0075107C">
            <w:pPr>
              <w:spacing w:line="276" w:lineRule="auto"/>
              <w:jc w:val="both"/>
              <w:rPr>
                <w:b/>
                <w:bCs/>
                <w:color w:val="FFFFFF"/>
                <w:lang w:eastAsia="it-IT"/>
              </w:rPr>
            </w:pPr>
            <w:r w:rsidRPr="00B422A9">
              <w:rPr>
                <w:b/>
                <w:bCs/>
                <w:color w:val="FFFFFF"/>
                <w:sz w:val="20"/>
                <w:szCs w:val="20"/>
                <w:lang w:eastAsia="it-IT"/>
              </w:rPr>
              <w:t xml:space="preserve">Art. </w:t>
            </w:r>
            <w:r>
              <w:rPr>
                <w:b/>
                <w:bCs/>
                <w:color w:val="FFFFFF"/>
                <w:sz w:val="20"/>
                <w:szCs w:val="20"/>
                <w:lang w:eastAsia="it-IT"/>
              </w:rPr>
              <w:t>198</w:t>
            </w:r>
            <w:r w:rsidRPr="00B422A9">
              <w:rPr>
                <w:b/>
                <w:bCs/>
                <w:color w:val="FFFFFF"/>
                <w:sz w:val="20"/>
                <w:szCs w:val="20"/>
                <w:lang w:eastAsia="it-IT"/>
              </w:rPr>
              <w:t xml:space="preserve"> LT</w:t>
            </w:r>
            <w:r>
              <w:rPr>
                <w:b/>
                <w:bCs/>
                <w:color w:val="FFFFFF"/>
                <w:sz w:val="20"/>
                <w:szCs w:val="20"/>
                <w:lang w:eastAsia="it-IT"/>
              </w:rPr>
              <w:t xml:space="preserve"> (modifica del cpv. 1, 2, 2bis e 3)</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Default="0075107C" w:rsidP="0075107C">
            <w:pPr>
              <w:spacing w:line="276" w:lineRule="auto"/>
              <w:jc w:val="both"/>
              <w:rPr>
                <w:rFonts w:cs="Arial"/>
                <w:color w:val="000000"/>
                <w:sz w:val="20"/>
                <w:szCs w:val="20"/>
              </w:rPr>
            </w:pPr>
            <w:r w:rsidRPr="00AA4EE7">
              <w:rPr>
                <w:sz w:val="20"/>
                <w:szCs w:val="20"/>
                <w:lang w:eastAsia="it-IT"/>
              </w:rPr>
              <w:t>Attualmente</w:t>
            </w:r>
            <w:r>
              <w:rPr>
                <w:sz w:val="20"/>
                <w:szCs w:val="20"/>
                <w:lang w:eastAsia="it-IT"/>
              </w:rPr>
              <w:t xml:space="preserve"> per le persone </w:t>
            </w:r>
            <w:r w:rsidRPr="0022283B">
              <w:rPr>
                <w:sz w:val="20"/>
                <w:szCs w:val="20"/>
                <w:lang w:eastAsia="it-IT"/>
              </w:rPr>
              <w:t xml:space="preserve">giuridiche è già previsto che le stesse compilino </w:t>
            </w:r>
            <w:r w:rsidRPr="0022283B">
              <w:rPr>
                <w:rFonts w:cs="Arial"/>
                <w:sz w:val="20"/>
                <w:szCs w:val="20"/>
              </w:rPr>
              <w:t xml:space="preserve">i moduli della dichiarazione d’imposta in formato elettronico, tuttavia, il modulo relativo al codice </w:t>
            </w:r>
            <w:r>
              <w:rPr>
                <w:rFonts w:cs="Arial"/>
                <w:color w:val="000000"/>
                <w:sz w:val="20"/>
                <w:szCs w:val="20"/>
              </w:rPr>
              <w:t>a barre deve essere ancora stampato, firmato e inviato all’autorità fiscale, congiuntamente ai relativi allegati prescritti</w:t>
            </w:r>
            <w:r>
              <w:rPr>
                <w:rFonts w:cs="Arial"/>
                <w:color w:val="FF0000"/>
                <w:sz w:val="20"/>
                <w:szCs w:val="20"/>
                <w:shd w:val="clear" w:color="auto" w:fill="FFFFFF"/>
              </w:rPr>
              <w:t>.</w:t>
            </w:r>
          </w:p>
          <w:p w:rsidR="0075107C" w:rsidRPr="003B21A9" w:rsidRDefault="0075107C" w:rsidP="0075107C">
            <w:pPr>
              <w:spacing w:line="276" w:lineRule="auto"/>
              <w:jc w:val="both"/>
              <w:rPr>
                <w:sz w:val="20"/>
                <w:szCs w:val="20"/>
                <w:lang w:eastAsia="it-IT"/>
              </w:rPr>
            </w:pPr>
          </w:p>
        </w:tc>
        <w:tc>
          <w:tcPr>
            <w:tcW w:w="4814" w:type="dxa"/>
            <w:tcBorders>
              <w:bottom w:val="single" w:sz="4" w:space="0" w:color="auto"/>
            </w:tcBorders>
          </w:tcPr>
          <w:p w:rsidR="0075107C" w:rsidRDefault="0075107C" w:rsidP="0075107C">
            <w:pPr>
              <w:pStyle w:val="Default"/>
              <w:spacing w:line="276" w:lineRule="auto"/>
              <w:ind w:left="43"/>
              <w:jc w:val="both"/>
              <w:rPr>
                <w:rFonts w:eastAsia="Calibri" w:cs="Times New Roman"/>
                <w:color w:val="auto"/>
                <w:sz w:val="20"/>
                <w:szCs w:val="20"/>
                <w:lang w:eastAsia="it-IT"/>
              </w:rPr>
            </w:pPr>
            <w:r w:rsidRPr="00FE26CE">
              <w:rPr>
                <w:rFonts w:eastAsia="Calibri" w:cs="Times New Roman"/>
                <w:color w:val="auto"/>
                <w:sz w:val="20"/>
                <w:szCs w:val="20"/>
                <w:lang w:eastAsia="it-IT"/>
              </w:rPr>
              <w:t>La modifica più rilevante riguarda</w:t>
            </w:r>
            <w:r>
              <w:rPr>
                <w:rFonts w:eastAsia="Calibri" w:cs="Times New Roman"/>
                <w:color w:val="auto"/>
                <w:sz w:val="20"/>
                <w:szCs w:val="20"/>
                <w:lang w:eastAsia="it-IT"/>
              </w:rPr>
              <w:t xml:space="preserve"> il</w:t>
            </w:r>
            <w:r w:rsidRPr="0022283B">
              <w:rPr>
                <w:rFonts w:eastAsia="Calibri" w:cs="Times New Roman"/>
                <w:color w:val="auto"/>
                <w:sz w:val="20"/>
                <w:szCs w:val="20"/>
                <w:lang w:eastAsia="it-IT"/>
              </w:rPr>
              <w:t xml:space="preserve"> cpv. 2bis </w:t>
            </w:r>
            <w:r>
              <w:rPr>
                <w:rFonts w:eastAsia="Calibri" w:cs="Times New Roman"/>
                <w:color w:val="auto"/>
                <w:sz w:val="20"/>
                <w:szCs w:val="20"/>
                <w:lang w:eastAsia="it-IT"/>
              </w:rPr>
              <w:t>che codifica l</w:t>
            </w:r>
            <w:r w:rsidRPr="0022283B">
              <w:rPr>
                <w:rFonts w:eastAsia="Calibri" w:cs="Times New Roman"/>
                <w:color w:val="auto"/>
                <w:sz w:val="20"/>
                <w:szCs w:val="20"/>
                <w:lang w:eastAsia="it-IT"/>
              </w:rPr>
              <w:t>’obbligo, per le persone giuridiche, di compilare ed inviare la dichiarazione fiscale e tutti gli allegati in formato elettronico.</w:t>
            </w:r>
          </w:p>
          <w:p w:rsidR="0075107C" w:rsidRPr="003B21A9" w:rsidRDefault="0075107C" w:rsidP="0075107C">
            <w:pPr>
              <w:pStyle w:val="Default"/>
              <w:jc w:val="both"/>
              <w:rPr>
                <w:sz w:val="20"/>
                <w:szCs w:val="20"/>
                <w:lang w:eastAsia="it-IT"/>
              </w:rPr>
            </w:pPr>
          </w:p>
        </w:tc>
      </w:tr>
    </w:tbl>
    <w:p w:rsidR="0075107C" w:rsidRDefault="0075107C" w:rsidP="0075107C">
      <w:pPr>
        <w:rPr>
          <w:rFonts w:eastAsia="Times New Roman"/>
          <w:szCs w:val="20"/>
          <w:lang w:eastAsia="it-IT"/>
        </w:rPr>
      </w:pPr>
    </w:p>
    <w:p w:rsidR="0075107C" w:rsidRDefault="0075107C" w:rsidP="0075107C">
      <w:pPr>
        <w:rPr>
          <w:rFonts w:eastAsia="Times New Roman"/>
          <w:szCs w:val="20"/>
          <w:lang w:eastAsia="it-IT"/>
        </w:rPr>
      </w:pPr>
    </w:p>
    <w:p w:rsidR="0075107C" w:rsidRDefault="0075107C" w:rsidP="0075107C">
      <w:pPr>
        <w:pStyle w:val="Titolo2"/>
        <w:numPr>
          <w:ilvl w:val="0"/>
          <w:numId w:val="0"/>
        </w:numPr>
        <w:ind w:left="544" w:hanging="544"/>
        <w:jc w:val="both"/>
      </w:pPr>
      <w:r>
        <w:t>4</w:t>
      </w:r>
      <w:r w:rsidRPr="003B21A9">
        <w:t>.</w:t>
      </w:r>
      <w:r w:rsidRPr="003B21A9">
        <w:tab/>
      </w:r>
      <w:r>
        <w:t xml:space="preserve">ASSISTENZA CON ALTRE </w:t>
      </w:r>
      <w:r w:rsidRPr="000C6270">
        <w:rPr>
          <w:caps/>
        </w:rPr>
        <w:t>Autorità</w:t>
      </w:r>
      <w:r>
        <w:t xml:space="preserve"> E LOTTA CONTRO L’ABUSO DEL FALLIMENTO</w:t>
      </w:r>
    </w:p>
    <w:p w:rsidR="0075107C" w:rsidRDefault="0075107C" w:rsidP="0075107C">
      <w:pPr>
        <w:rPr>
          <w:szCs w:val="24"/>
        </w:rPr>
      </w:pPr>
    </w:p>
    <w:tbl>
      <w:tblPr>
        <w:tblStyle w:val="Grigliatabella1"/>
        <w:tblW w:w="0" w:type="auto"/>
        <w:tblLook w:val="04A0" w:firstRow="1" w:lastRow="0" w:firstColumn="1" w:lastColumn="0" w:noHBand="0" w:noVBand="1"/>
      </w:tblPr>
      <w:tblGrid>
        <w:gridCol w:w="4743"/>
        <w:gridCol w:w="4732"/>
      </w:tblGrid>
      <w:tr w:rsidR="0075107C" w:rsidRPr="00236DA8" w:rsidTr="00072520">
        <w:tc>
          <w:tcPr>
            <w:tcW w:w="9628" w:type="dxa"/>
            <w:gridSpan w:val="2"/>
            <w:shd w:val="clear" w:color="auto" w:fill="7F7F7F" w:themeFill="text1" w:themeFillTint="80"/>
          </w:tcPr>
          <w:p w:rsidR="0075107C" w:rsidRPr="00236DA8" w:rsidRDefault="0075107C" w:rsidP="0075107C">
            <w:pPr>
              <w:spacing w:line="276" w:lineRule="auto"/>
              <w:jc w:val="both"/>
              <w:rPr>
                <w:b/>
                <w:bCs/>
                <w:color w:val="FFFFFF"/>
                <w:lang w:eastAsia="it-IT"/>
              </w:rPr>
            </w:pPr>
            <w:r w:rsidRPr="00B422A9">
              <w:rPr>
                <w:b/>
                <w:bCs/>
                <w:color w:val="FFFFFF"/>
                <w:sz w:val="20"/>
                <w:szCs w:val="20"/>
                <w:lang w:eastAsia="it-IT"/>
              </w:rPr>
              <w:t xml:space="preserve">Art. </w:t>
            </w:r>
            <w:r>
              <w:rPr>
                <w:b/>
                <w:bCs/>
                <w:color w:val="FFFFFF"/>
                <w:sz w:val="20"/>
                <w:szCs w:val="20"/>
                <w:lang w:eastAsia="it-IT"/>
              </w:rPr>
              <w:t>185</w:t>
            </w:r>
            <w:r w:rsidRPr="00B422A9">
              <w:rPr>
                <w:b/>
                <w:bCs/>
                <w:color w:val="FFFFFF"/>
                <w:sz w:val="20"/>
                <w:szCs w:val="20"/>
                <w:lang w:eastAsia="it-IT"/>
              </w:rPr>
              <w:t xml:space="preserve"> LT</w:t>
            </w:r>
            <w:r>
              <w:rPr>
                <w:b/>
                <w:bCs/>
                <w:color w:val="FFFFFF"/>
                <w:sz w:val="20"/>
                <w:szCs w:val="20"/>
                <w:lang w:eastAsia="it-IT"/>
              </w:rPr>
              <w:t xml:space="preserve"> (nuovo cpv. 2, modifica cpv. 3, nuovo cpv. 4)</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Default="0075107C" w:rsidP="0075107C">
            <w:pPr>
              <w:pStyle w:val="NormaleWeb"/>
              <w:shd w:val="clear" w:color="auto" w:fill="FFFFFF"/>
              <w:spacing w:before="0" w:beforeAutospacing="0" w:after="0" w:afterAutospacing="0" w:line="276" w:lineRule="auto"/>
              <w:ind w:left="22" w:right="187"/>
              <w:jc w:val="both"/>
              <w:rPr>
                <w:rFonts w:ascii="Arial" w:hAnsi="Arial" w:cs="Arial"/>
                <w:sz w:val="20"/>
                <w:szCs w:val="20"/>
              </w:rPr>
            </w:pPr>
            <w:r w:rsidRPr="000C06A9">
              <w:rPr>
                <w:rFonts w:ascii="Arial" w:hAnsi="Arial" w:cs="Arial"/>
                <w:sz w:val="20"/>
                <w:szCs w:val="20"/>
              </w:rPr>
              <w:t>Attualmente il cpv. 2 prevede che la Divisione delle contribuzioni e le autorità di cui all’art. 184 LT sono autorizzate ad utilizzare sistematicamente il numero d’assicurato dell’assicurazione per la vecchiaia</w:t>
            </w:r>
            <w:r>
              <w:rPr>
                <w:rFonts w:cs="Arial"/>
                <w:sz w:val="20"/>
                <w:szCs w:val="20"/>
              </w:rPr>
              <w:t xml:space="preserve"> </w:t>
            </w:r>
            <w:r w:rsidRPr="000C06A9">
              <w:rPr>
                <w:rFonts w:ascii="Arial" w:hAnsi="Arial" w:cs="Arial"/>
                <w:sz w:val="20"/>
                <w:szCs w:val="20"/>
              </w:rPr>
              <w:t>e per i superstiti conformement</w:t>
            </w:r>
            <w:r>
              <w:rPr>
                <w:rFonts w:ascii="Arial" w:hAnsi="Arial" w:cs="Arial"/>
                <w:sz w:val="20"/>
                <w:szCs w:val="20"/>
              </w:rPr>
              <w:t>e alle disposizioni della LAVS.</w:t>
            </w:r>
          </w:p>
          <w:p w:rsidR="0075107C" w:rsidRDefault="0075107C" w:rsidP="0075107C">
            <w:pPr>
              <w:pStyle w:val="NormaleWeb"/>
              <w:shd w:val="clear" w:color="auto" w:fill="FFFFFF"/>
              <w:spacing w:before="0" w:beforeAutospacing="0" w:after="0" w:afterAutospacing="0" w:line="276" w:lineRule="auto"/>
              <w:ind w:left="22" w:right="187"/>
              <w:jc w:val="both"/>
              <w:rPr>
                <w:rFonts w:ascii="Arial" w:eastAsia="Calibri" w:hAnsi="Arial"/>
                <w:sz w:val="20"/>
                <w:szCs w:val="20"/>
                <w:lang w:val="it-CH"/>
              </w:rPr>
            </w:pPr>
            <w:r w:rsidRPr="00D86A7D">
              <w:rPr>
                <w:rFonts w:ascii="Arial" w:eastAsia="Calibri" w:hAnsi="Arial"/>
                <w:sz w:val="20"/>
                <w:szCs w:val="20"/>
                <w:lang w:val="it-CH"/>
              </w:rPr>
              <w:t>Al cpv. 3 la Posta Svizzera viene citata quale autorità esonerata dall’obbligo di assistenza.</w:t>
            </w:r>
          </w:p>
          <w:p w:rsidR="0075107C" w:rsidRPr="00D86A7D" w:rsidRDefault="0075107C" w:rsidP="0075107C">
            <w:pPr>
              <w:pStyle w:val="NormaleWeb"/>
              <w:shd w:val="clear" w:color="auto" w:fill="FFFFFF"/>
              <w:spacing w:before="0" w:beforeAutospacing="0" w:after="0" w:afterAutospacing="0" w:line="276" w:lineRule="auto"/>
              <w:ind w:left="22" w:right="187"/>
              <w:jc w:val="both"/>
              <w:rPr>
                <w:rFonts w:ascii="Arial" w:eastAsia="Calibri" w:hAnsi="Arial"/>
                <w:sz w:val="20"/>
                <w:szCs w:val="20"/>
                <w:lang w:val="it-CH"/>
              </w:rPr>
            </w:pPr>
          </w:p>
          <w:p w:rsidR="0075107C" w:rsidRPr="000C06A9" w:rsidRDefault="0075107C" w:rsidP="0075107C">
            <w:pPr>
              <w:pStyle w:val="NormaleWeb"/>
              <w:shd w:val="clear" w:color="auto" w:fill="FFFFFF"/>
              <w:spacing w:before="0" w:beforeAutospacing="0" w:after="0" w:afterAutospacing="0" w:line="276" w:lineRule="auto"/>
              <w:ind w:left="22" w:right="187"/>
              <w:jc w:val="both"/>
              <w:rPr>
                <w:rFonts w:ascii="Arial" w:hAnsi="Arial" w:cs="Arial"/>
                <w:sz w:val="20"/>
                <w:szCs w:val="20"/>
              </w:rPr>
            </w:pPr>
          </w:p>
        </w:tc>
        <w:tc>
          <w:tcPr>
            <w:tcW w:w="4814" w:type="dxa"/>
            <w:tcBorders>
              <w:bottom w:val="single" w:sz="4" w:space="0" w:color="auto"/>
            </w:tcBorders>
          </w:tcPr>
          <w:p w:rsidR="0075107C" w:rsidRPr="0022283B" w:rsidRDefault="0075107C" w:rsidP="0075107C">
            <w:pPr>
              <w:jc w:val="both"/>
              <w:rPr>
                <w:sz w:val="20"/>
                <w:szCs w:val="20"/>
                <w:lang w:eastAsia="it-IT"/>
              </w:rPr>
            </w:pPr>
            <w:r w:rsidRPr="000C06A9">
              <w:rPr>
                <w:sz w:val="20"/>
                <w:szCs w:val="20"/>
                <w:lang w:eastAsia="it-IT"/>
              </w:rPr>
              <w:t>La base legale di cui all’art. 185 cpv. 2 LT risulta superflua (come già rilevato nel Messaggio n. 8183 del 24 agosto 2022, p. 7, per quanto attiene al vecchio art. 185a cpv. 2 LT</w:t>
            </w:r>
            <w:r>
              <w:rPr>
                <w:sz w:val="20"/>
                <w:szCs w:val="20"/>
                <w:lang w:eastAsia="it-IT"/>
              </w:rPr>
              <w:t xml:space="preserve"> di simile tenore</w:t>
            </w:r>
            <w:r w:rsidRPr="000C06A9">
              <w:rPr>
                <w:sz w:val="20"/>
                <w:szCs w:val="20"/>
                <w:lang w:eastAsia="it-IT"/>
              </w:rPr>
              <w:t>) e può essere sostituita</w:t>
            </w:r>
            <w:r>
              <w:rPr>
                <w:sz w:val="20"/>
                <w:szCs w:val="20"/>
                <w:lang w:eastAsia="it-IT"/>
              </w:rPr>
              <w:t xml:space="preserve"> con la reintroduzione dell</w:t>
            </w:r>
            <w:r w:rsidRPr="0022283B">
              <w:rPr>
                <w:sz w:val="20"/>
                <w:szCs w:val="20"/>
                <w:lang w:eastAsia="it-IT"/>
              </w:rPr>
              <w:t>’</w:t>
            </w:r>
            <w:r>
              <w:rPr>
                <w:sz w:val="20"/>
                <w:szCs w:val="20"/>
                <w:lang w:eastAsia="it-IT"/>
              </w:rPr>
              <w:t>art. 185 cpv. 2 LT, già in vigore fino al 31.12.2020, riprendendo</w:t>
            </w:r>
            <w:r w:rsidRPr="0022283B">
              <w:rPr>
                <w:sz w:val="20"/>
                <w:szCs w:val="20"/>
                <w:lang w:eastAsia="it-IT"/>
              </w:rPr>
              <w:t xml:space="preserve"> e completa</w:t>
            </w:r>
            <w:r>
              <w:rPr>
                <w:sz w:val="20"/>
                <w:szCs w:val="20"/>
                <w:lang w:eastAsia="it-IT"/>
              </w:rPr>
              <w:t>ndo</w:t>
            </w:r>
            <w:r w:rsidRPr="0022283B">
              <w:rPr>
                <w:sz w:val="20"/>
                <w:szCs w:val="20"/>
                <w:lang w:eastAsia="it-IT"/>
              </w:rPr>
              <w:t xml:space="preserve"> il testo dell’art. 112 cpv. 2 LIFD.</w:t>
            </w:r>
          </w:p>
          <w:p w:rsidR="0075107C" w:rsidRPr="00486F3E" w:rsidRDefault="0075107C" w:rsidP="0075107C">
            <w:pPr>
              <w:jc w:val="both"/>
              <w:rPr>
                <w:sz w:val="20"/>
                <w:szCs w:val="20"/>
                <w:lang w:eastAsia="it-IT"/>
              </w:rPr>
            </w:pPr>
            <w:r>
              <w:rPr>
                <w:sz w:val="20"/>
                <w:szCs w:val="20"/>
                <w:lang w:eastAsia="it-IT"/>
              </w:rPr>
              <w:t xml:space="preserve">Al cpv. 3 viene stralciata la Posta Svizzera, </w:t>
            </w:r>
            <w:r w:rsidRPr="00486F3E">
              <w:rPr>
                <w:sz w:val="20"/>
                <w:szCs w:val="20"/>
                <w:lang w:eastAsia="it-IT"/>
              </w:rPr>
              <w:t xml:space="preserve">di modo che </w:t>
            </w:r>
            <w:r>
              <w:rPr>
                <w:sz w:val="20"/>
                <w:szCs w:val="20"/>
                <w:lang w:eastAsia="it-IT"/>
              </w:rPr>
              <w:t>quest’ultima</w:t>
            </w:r>
            <w:r w:rsidRPr="00486F3E">
              <w:rPr>
                <w:sz w:val="20"/>
                <w:szCs w:val="20"/>
                <w:lang w:eastAsia="it-IT"/>
              </w:rPr>
              <w:t xml:space="preserve"> rilasci all’Autorità fiscale le informazioni necessarie, atte a permettere un corretto accertamento della fattispecie ai fini della tassazione dei contribuenti e della riscossione delle imposte, così come previsto al cpv. 1 dell’art. 185 LT. </w:t>
            </w:r>
          </w:p>
          <w:p w:rsidR="0075107C" w:rsidRPr="00D86A7D" w:rsidRDefault="0075107C" w:rsidP="0075107C">
            <w:pPr>
              <w:spacing w:line="276" w:lineRule="auto"/>
              <w:jc w:val="both"/>
              <w:rPr>
                <w:sz w:val="20"/>
                <w:szCs w:val="20"/>
                <w:lang w:eastAsia="it-IT"/>
              </w:rPr>
            </w:pPr>
            <w:r w:rsidRPr="00486F3E">
              <w:rPr>
                <w:sz w:val="20"/>
                <w:szCs w:val="20"/>
                <w:lang w:eastAsia="it-IT"/>
              </w:rPr>
              <w:t>Al fine di prevenire i fallimenti abusivi, a</w:t>
            </w:r>
            <w:r>
              <w:rPr>
                <w:sz w:val="20"/>
                <w:szCs w:val="20"/>
                <w:lang w:eastAsia="it-IT"/>
              </w:rPr>
              <w:t>l cpv. 4 viene introdotto l’obbligo per l’autorità fiscale di segnalare all’Ufficio del registro di commercio s</w:t>
            </w:r>
            <w:r w:rsidRPr="000C06A9">
              <w:rPr>
                <w:sz w:val="20"/>
                <w:szCs w:val="20"/>
                <w:lang w:eastAsia="it-IT"/>
              </w:rPr>
              <w:t>e una persona giuridica non ha prodotto i suoi conti annuali conformemente all’art. 198 LT.</w:t>
            </w:r>
          </w:p>
        </w:tc>
      </w:tr>
    </w:tbl>
    <w:p w:rsidR="0075107C" w:rsidRDefault="0075107C" w:rsidP="0075107C">
      <w:pPr>
        <w:rPr>
          <w:lang w:eastAsia="it-IT"/>
        </w:rPr>
      </w:pPr>
    </w:p>
    <w:p w:rsidR="0075107C" w:rsidRDefault="0075107C" w:rsidP="0075107C">
      <w:pPr>
        <w:rPr>
          <w:lang w:eastAsia="it-IT"/>
        </w:rPr>
      </w:pPr>
    </w:p>
    <w:p w:rsidR="0075107C" w:rsidRPr="00A74D37" w:rsidRDefault="0075107C" w:rsidP="0075107C">
      <w:pPr>
        <w:rPr>
          <w:lang w:eastAsia="it-IT"/>
        </w:rPr>
      </w:pPr>
    </w:p>
    <w:p w:rsidR="0075107C" w:rsidRDefault="0075107C" w:rsidP="0075107C">
      <w:pPr>
        <w:pStyle w:val="Titolo2"/>
        <w:numPr>
          <w:ilvl w:val="0"/>
          <w:numId w:val="0"/>
        </w:numPr>
        <w:ind w:left="544" w:hanging="544"/>
        <w:jc w:val="both"/>
      </w:pPr>
      <w:r>
        <w:lastRenderedPageBreak/>
        <w:t>5</w:t>
      </w:r>
      <w:r w:rsidRPr="003B21A9">
        <w:t>.</w:t>
      </w:r>
      <w:r w:rsidRPr="003B21A9">
        <w:tab/>
      </w:r>
      <w:r>
        <w:t>FRENO ALL’IMPOSTA SULLA SOSTANZA</w:t>
      </w:r>
    </w:p>
    <w:p w:rsidR="0075107C" w:rsidRDefault="0075107C" w:rsidP="0075107C">
      <w:pPr>
        <w:rPr>
          <w:lang w:eastAsia="it-IT"/>
        </w:rPr>
      </w:pPr>
    </w:p>
    <w:tbl>
      <w:tblPr>
        <w:tblStyle w:val="Grigliatabella1"/>
        <w:tblW w:w="0" w:type="auto"/>
        <w:tblLook w:val="04A0" w:firstRow="1" w:lastRow="0" w:firstColumn="1" w:lastColumn="0" w:noHBand="0" w:noVBand="1"/>
      </w:tblPr>
      <w:tblGrid>
        <w:gridCol w:w="4741"/>
        <w:gridCol w:w="4734"/>
      </w:tblGrid>
      <w:tr w:rsidR="0075107C" w:rsidRPr="0079095C" w:rsidTr="00072520">
        <w:tc>
          <w:tcPr>
            <w:tcW w:w="9628" w:type="dxa"/>
            <w:gridSpan w:val="2"/>
            <w:shd w:val="clear" w:color="auto" w:fill="7F7F7F" w:themeFill="text1" w:themeFillTint="80"/>
          </w:tcPr>
          <w:p w:rsidR="0075107C" w:rsidRPr="003D30F6" w:rsidRDefault="0075107C" w:rsidP="0075107C">
            <w:pPr>
              <w:spacing w:line="276" w:lineRule="auto"/>
              <w:jc w:val="both"/>
              <w:rPr>
                <w:b/>
                <w:bCs/>
                <w:color w:val="FFFFFF"/>
                <w:lang w:val="de-CH" w:eastAsia="it-IT"/>
              </w:rPr>
            </w:pPr>
            <w:r w:rsidRPr="00E45B9D">
              <w:rPr>
                <w:b/>
                <w:bCs/>
                <w:color w:val="FFFFFF"/>
                <w:sz w:val="20"/>
                <w:szCs w:val="20"/>
                <w:lang w:val="de-CH" w:eastAsia="it-IT"/>
              </w:rPr>
              <w:t>Art.</w:t>
            </w:r>
            <w:r>
              <w:rPr>
                <w:b/>
                <w:bCs/>
                <w:color w:val="FFFFFF"/>
                <w:sz w:val="20"/>
                <w:szCs w:val="20"/>
                <w:lang w:val="de-CH" w:eastAsia="it-IT"/>
              </w:rPr>
              <w:t xml:space="preserve"> </w:t>
            </w:r>
            <w:r w:rsidRPr="00E45B9D">
              <w:rPr>
                <w:b/>
                <w:bCs/>
                <w:color w:val="FFFFFF"/>
                <w:sz w:val="20"/>
                <w:szCs w:val="20"/>
                <w:lang w:val="de-CH" w:eastAsia="it-IT"/>
              </w:rPr>
              <w:t>49a LT (</w:t>
            </w:r>
            <w:proofErr w:type="spellStart"/>
            <w:r w:rsidRPr="00E45B9D">
              <w:rPr>
                <w:b/>
                <w:bCs/>
                <w:color w:val="FFFFFF"/>
                <w:sz w:val="20"/>
                <w:szCs w:val="20"/>
                <w:lang w:val="de-CH" w:eastAsia="it-IT"/>
              </w:rPr>
              <w:t>nuovo</w:t>
            </w:r>
            <w:proofErr w:type="spellEnd"/>
            <w:r w:rsidRPr="00E45B9D">
              <w:rPr>
                <w:b/>
                <w:bCs/>
                <w:color w:val="FFFFFF"/>
                <w:sz w:val="20"/>
                <w:szCs w:val="20"/>
                <w:lang w:val="de-CH" w:eastAsia="it-IT"/>
              </w:rPr>
              <w:t xml:space="preserve"> </w:t>
            </w:r>
            <w:proofErr w:type="spellStart"/>
            <w:r w:rsidRPr="00E45B9D">
              <w:rPr>
                <w:b/>
                <w:bCs/>
                <w:color w:val="FFFFFF"/>
                <w:sz w:val="20"/>
                <w:szCs w:val="20"/>
                <w:lang w:val="de-CH" w:eastAsia="it-IT"/>
              </w:rPr>
              <w:t>cpv</w:t>
            </w:r>
            <w:proofErr w:type="spellEnd"/>
            <w:r w:rsidRPr="00E45B9D">
              <w:rPr>
                <w:b/>
                <w:bCs/>
                <w:color w:val="FFFFFF"/>
                <w:sz w:val="20"/>
                <w:szCs w:val="20"/>
                <w:lang w:val="de-CH" w:eastAsia="it-IT"/>
              </w:rPr>
              <w:t>. 2bis)</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Pr="003B21A9" w:rsidRDefault="0075107C" w:rsidP="0075107C">
            <w:pPr>
              <w:spacing w:line="276" w:lineRule="auto"/>
              <w:jc w:val="both"/>
              <w:rPr>
                <w:sz w:val="20"/>
                <w:szCs w:val="20"/>
                <w:lang w:eastAsia="it-IT"/>
              </w:rPr>
            </w:pPr>
            <w:r>
              <w:rPr>
                <w:sz w:val="20"/>
                <w:szCs w:val="20"/>
                <w:lang w:eastAsia="it-IT"/>
              </w:rPr>
              <w:t>Attualmente, ai fini dell’applicazione del meccanismo del freno all’imposta sulla sostanza, non è previsto un reddito imponibile complessivo minimo.</w:t>
            </w:r>
          </w:p>
        </w:tc>
        <w:tc>
          <w:tcPr>
            <w:tcW w:w="4814" w:type="dxa"/>
            <w:tcBorders>
              <w:bottom w:val="single" w:sz="4" w:space="0" w:color="auto"/>
            </w:tcBorders>
          </w:tcPr>
          <w:p w:rsidR="0075107C" w:rsidRPr="00DD1F3A" w:rsidRDefault="0075107C" w:rsidP="0075107C">
            <w:pPr>
              <w:spacing w:line="276" w:lineRule="auto"/>
              <w:jc w:val="both"/>
              <w:rPr>
                <w:rFonts w:cs="Arial"/>
                <w:sz w:val="20"/>
                <w:szCs w:val="20"/>
              </w:rPr>
            </w:pPr>
            <w:r w:rsidRPr="008E403E">
              <w:rPr>
                <w:rFonts w:cs="Arial"/>
                <w:sz w:val="20"/>
                <w:szCs w:val="20"/>
              </w:rPr>
              <w:t xml:space="preserve">Si propone l’introduzione </w:t>
            </w:r>
            <w:r>
              <w:rPr>
                <w:rFonts w:cs="Arial"/>
                <w:sz w:val="20"/>
                <w:szCs w:val="20"/>
              </w:rPr>
              <w:t>di</w:t>
            </w:r>
            <w:r w:rsidRPr="008E403E">
              <w:rPr>
                <w:rFonts w:cs="Arial"/>
                <w:sz w:val="20"/>
                <w:szCs w:val="20"/>
              </w:rPr>
              <w:t xml:space="preserve"> un reddito imponibile complessivo non inferiore all’1</w:t>
            </w:r>
            <w:r>
              <w:rPr>
                <w:rFonts w:cs="Arial"/>
                <w:sz w:val="20"/>
                <w:szCs w:val="20"/>
              </w:rPr>
              <w:t xml:space="preserve"> per cento della sostanza netta al nuovo cpv. 2</w:t>
            </w:r>
            <w:r w:rsidRPr="00E174E6">
              <w:rPr>
                <w:rFonts w:cs="Arial"/>
                <w:sz w:val="20"/>
                <w:szCs w:val="20"/>
                <w:vertAlign w:val="superscript"/>
              </w:rPr>
              <w:t>bis</w:t>
            </w:r>
            <w:r>
              <w:rPr>
                <w:rFonts w:cs="Arial"/>
                <w:sz w:val="20"/>
                <w:szCs w:val="20"/>
              </w:rPr>
              <w:t xml:space="preserve">, al fine </w:t>
            </w:r>
            <w:r w:rsidRPr="00FE26CE">
              <w:rPr>
                <w:rFonts w:cs="Arial"/>
                <w:sz w:val="20"/>
                <w:szCs w:val="20"/>
              </w:rPr>
              <w:t>di rispettare la ratio originaria del calcolo del freno</w:t>
            </w:r>
            <w:r>
              <w:rPr>
                <w:rFonts w:cs="Arial"/>
                <w:sz w:val="20"/>
                <w:szCs w:val="20"/>
              </w:rPr>
              <w:t xml:space="preserve"> all’imposta sulla sostanza.</w:t>
            </w:r>
          </w:p>
        </w:tc>
      </w:tr>
    </w:tbl>
    <w:p w:rsidR="0075107C" w:rsidRDefault="0075107C" w:rsidP="0075107C">
      <w:pPr>
        <w:rPr>
          <w:lang w:eastAsia="it-IT"/>
        </w:rPr>
      </w:pPr>
    </w:p>
    <w:p w:rsidR="0075107C" w:rsidRDefault="0075107C" w:rsidP="0075107C">
      <w:pPr>
        <w:rPr>
          <w:lang w:eastAsia="it-IT"/>
        </w:rPr>
      </w:pPr>
    </w:p>
    <w:p w:rsidR="0075107C" w:rsidRDefault="0075107C" w:rsidP="0075107C">
      <w:pPr>
        <w:pStyle w:val="Titolo2"/>
        <w:numPr>
          <w:ilvl w:val="0"/>
          <w:numId w:val="0"/>
        </w:numPr>
        <w:ind w:left="544" w:hanging="544"/>
        <w:jc w:val="both"/>
      </w:pPr>
      <w:r>
        <w:t>6</w:t>
      </w:r>
      <w:r w:rsidRPr="003B21A9">
        <w:t>.</w:t>
      </w:r>
      <w:r w:rsidRPr="003B21A9">
        <w:tab/>
      </w:r>
      <w:r>
        <w:t>SUPPLEMENTO TRANSITORIO DELL’IMPOSTA IMMOBILIARE CANTONALE DELLE PERSONE GIURIDICHE</w:t>
      </w:r>
    </w:p>
    <w:p w:rsidR="0075107C" w:rsidRPr="0079095C" w:rsidRDefault="0075107C" w:rsidP="0075107C">
      <w:pPr>
        <w:rPr>
          <w:lang w:eastAsia="it-IT"/>
        </w:rPr>
      </w:pPr>
      <w:r w:rsidRPr="0079095C">
        <w:rPr>
          <w:lang w:eastAsia="it-IT"/>
        </w:rPr>
        <w:t xml:space="preserve">Il Consiglio di Stato, con l’introduzione del nuovo cpv. 2sexies all’art. 314c LT, propone di prorogare per ulteriori 4 anni l’applicazione del supplemento d’imposta del 50% stabilito attualmente mediante norma transitoria al cpv. 2quinquies </w:t>
      </w:r>
      <w:proofErr w:type="spellStart"/>
      <w:r w:rsidRPr="0079095C">
        <w:rPr>
          <w:i/>
          <w:lang w:eastAsia="it-IT"/>
        </w:rPr>
        <w:t>cum</w:t>
      </w:r>
      <w:proofErr w:type="spellEnd"/>
      <w:r w:rsidRPr="0079095C">
        <w:rPr>
          <w:i/>
          <w:lang w:eastAsia="it-IT"/>
        </w:rPr>
        <w:t xml:space="preserve"> </w:t>
      </w:r>
      <w:r w:rsidRPr="0079095C">
        <w:rPr>
          <w:lang w:eastAsia="it-IT"/>
        </w:rPr>
        <w:t xml:space="preserve">cpv. 2 della summenzionata disposizione. La Commissione gestione e finanze ritiene che tale supplemento, che si fonda su una norma transitoria - applicata dal 2005 e prorogata a scadenze quadriennali dal 2008 fino al 2023 – la cui applicazione permette allo Stato di beneficiare di entrate fiscali stimate in circa 15 milioni di franchi annui, meriti ulteriori e approfondite riflessioni, in particolare per quanto attiene alla natura transitoria della norma che istituisce il prelievo di tale supplemento. </w:t>
      </w:r>
    </w:p>
    <w:p w:rsidR="0075107C" w:rsidRPr="0079095C" w:rsidRDefault="0075107C" w:rsidP="0075107C">
      <w:pPr>
        <w:rPr>
          <w:lang w:eastAsia="it-IT"/>
        </w:rPr>
      </w:pPr>
    </w:p>
    <w:p w:rsidR="0075107C" w:rsidRPr="0079095C" w:rsidRDefault="0075107C" w:rsidP="0075107C">
      <w:pPr>
        <w:rPr>
          <w:lang w:eastAsia="it-IT"/>
        </w:rPr>
      </w:pPr>
      <w:r w:rsidRPr="0079095C">
        <w:rPr>
          <w:lang w:eastAsia="it-IT"/>
        </w:rPr>
        <w:t>Tenuto nondimeno conto dell’importanza dei summenzionati introiti, la Commissione propone di prorogare il supplemento d’imposta del 50% per un ulteriore anno, ovvero per l’anno 2024. Si propone pertanto la conseguente modifica del Disegno di legge.</w:t>
      </w:r>
    </w:p>
    <w:p w:rsidR="0075107C" w:rsidRDefault="0075107C" w:rsidP="0075107C">
      <w:pPr>
        <w:rPr>
          <w:lang w:eastAsia="it-IT"/>
        </w:rPr>
      </w:pPr>
    </w:p>
    <w:tbl>
      <w:tblPr>
        <w:tblStyle w:val="Grigliatabella1"/>
        <w:tblW w:w="0" w:type="auto"/>
        <w:tblLook w:val="04A0" w:firstRow="1" w:lastRow="0" w:firstColumn="1" w:lastColumn="0" w:noHBand="0" w:noVBand="1"/>
      </w:tblPr>
      <w:tblGrid>
        <w:gridCol w:w="4737"/>
        <w:gridCol w:w="4738"/>
      </w:tblGrid>
      <w:tr w:rsidR="0075107C" w:rsidRPr="0079095C" w:rsidTr="00072520">
        <w:tc>
          <w:tcPr>
            <w:tcW w:w="9628" w:type="dxa"/>
            <w:gridSpan w:val="2"/>
            <w:shd w:val="clear" w:color="auto" w:fill="7F7F7F" w:themeFill="text1" w:themeFillTint="80"/>
          </w:tcPr>
          <w:p w:rsidR="0075107C" w:rsidRPr="003D30F6" w:rsidRDefault="0075107C" w:rsidP="0075107C">
            <w:pPr>
              <w:spacing w:line="276" w:lineRule="auto"/>
              <w:jc w:val="both"/>
              <w:rPr>
                <w:b/>
                <w:bCs/>
                <w:color w:val="FFFFFF"/>
                <w:lang w:val="de-CH" w:eastAsia="it-IT"/>
              </w:rPr>
            </w:pPr>
            <w:r w:rsidRPr="00E45B9D">
              <w:rPr>
                <w:b/>
                <w:bCs/>
                <w:color w:val="FFFFFF"/>
                <w:sz w:val="20"/>
                <w:szCs w:val="20"/>
                <w:lang w:val="de-CH" w:eastAsia="it-IT"/>
              </w:rPr>
              <w:t>Art.</w:t>
            </w:r>
            <w:r>
              <w:rPr>
                <w:b/>
                <w:bCs/>
                <w:color w:val="FFFFFF"/>
                <w:sz w:val="20"/>
                <w:szCs w:val="20"/>
                <w:lang w:val="de-CH" w:eastAsia="it-IT"/>
              </w:rPr>
              <w:t xml:space="preserve"> 314c</w:t>
            </w:r>
            <w:r w:rsidRPr="00E45B9D">
              <w:rPr>
                <w:b/>
                <w:bCs/>
                <w:color w:val="FFFFFF"/>
                <w:sz w:val="20"/>
                <w:szCs w:val="20"/>
                <w:lang w:val="de-CH" w:eastAsia="it-IT"/>
              </w:rPr>
              <w:t xml:space="preserve"> (</w:t>
            </w:r>
            <w:proofErr w:type="spellStart"/>
            <w:r w:rsidRPr="00E45B9D">
              <w:rPr>
                <w:b/>
                <w:bCs/>
                <w:color w:val="FFFFFF"/>
                <w:sz w:val="20"/>
                <w:szCs w:val="20"/>
                <w:lang w:val="de-CH" w:eastAsia="it-IT"/>
              </w:rPr>
              <w:t>nuovo</w:t>
            </w:r>
            <w:proofErr w:type="spellEnd"/>
            <w:r w:rsidRPr="00E45B9D">
              <w:rPr>
                <w:b/>
                <w:bCs/>
                <w:color w:val="FFFFFF"/>
                <w:sz w:val="20"/>
                <w:szCs w:val="20"/>
                <w:lang w:val="de-CH" w:eastAsia="it-IT"/>
              </w:rPr>
              <w:t xml:space="preserve"> </w:t>
            </w:r>
            <w:proofErr w:type="spellStart"/>
            <w:r w:rsidRPr="00E45B9D">
              <w:rPr>
                <w:b/>
                <w:bCs/>
                <w:color w:val="FFFFFF"/>
                <w:sz w:val="20"/>
                <w:szCs w:val="20"/>
                <w:lang w:val="de-CH" w:eastAsia="it-IT"/>
              </w:rPr>
              <w:t>cpv</w:t>
            </w:r>
            <w:proofErr w:type="spellEnd"/>
            <w:r w:rsidRPr="00E45B9D">
              <w:rPr>
                <w:b/>
                <w:bCs/>
                <w:color w:val="FFFFFF"/>
                <w:sz w:val="20"/>
                <w:szCs w:val="20"/>
                <w:lang w:val="de-CH" w:eastAsia="it-IT"/>
              </w:rPr>
              <w:t>. 2</w:t>
            </w:r>
            <w:r>
              <w:rPr>
                <w:b/>
                <w:bCs/>
                <w:color w:val="FFFFFF"/>
                <w:sz w:val="20"/>
                <w:szCs w:val="20"/>
                <w:lang w:val="de-CH" w:eastAsia="it-IT"/>
              </w:rPr>
              <w:t>sexies</w:t>
            </w:r>
            <w:r w:rsidRPr="00E45B9D">
              <w:rPr>
                <w:b/>
                <w:bCs/>
                <w:color w:val="FFFFFF"/>
                <w:sz w:val="20"/>
                <w:szCs w:val="20"/>
                <w:lang w:val="de-CH" w:eastAsia="it-IT"/>
              </w:rPr>
              <w:t>)</w:t>
            </w:r>
          </w:p>
        </w:tc>
      </w:tr>
      <w:tr w:rsidR="0075107C" w:rsidRPr="003B21A9" w:rsidTr="00072520">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lata</w:t>
            </w:r>
          </w:p>
        </w:tc>
        <w:tc>
          <w:tcPr>
            <w:tcW w:w="4814" w:type="dxa"/>
            <w:shd w:val="clear" w:color="auto" w:fill="7F7F7F" w:themeFill="text1" w:themeFillTint="80"/>
          </w:tcPr>
          <w:p w:rsidR="0075107C" w:rsidRPr="003B21A9" w:rsidRDefault="0075107C" w:rsidP="0075107C">
            <w:pPr>
              <w:spacing w:line="276" w:lineRule="auto"/>
              <w:jc w:val="both"/>
              <w:rPr>
                <w:b/>
                <w:bCs/>
                <w:i/>
                <w:iCs/>
                <w:color w:val="FFFFFF"/>
                <w:sz w:val="20"/>
                <w:szCs w:val="20"/>
                <w:lang w:eastAsia="it-IT"/>
              </w:rPr>
            </w:pPr>
            <w:r w:rsidRPr="003B21A9">
              <w:rPr>
                <w:b/>
                <w:bCs/>
                <w:i/>
                <w:iCs/>
                <w:color w:val="FFFFFF"/>
                <w:sz w:val="20"/>
                <w:szCs w:val="20"/>
                <w:lang w:eastAsia="it-IT"/>
              </w:rPr>
              <w:t xml:space="preserve">De </w:t>
            </w:r>
            <w:proofErr w:type="spellStart"/>
            <w:r w:rsidRPr="003B21A9">
              <w:rPr>
                <w:b/>
                <w:bCs/>
                <w:i/>
                <w:iCs/>
                <w:color w:val="FFFFFF"/>
                <w:sz w:val="20"/>
                <w:szCs w:val="20"/>
                <w:lang w:eastAsia="it-IT"/>
              </w:rPr>
              <w:t>lege</w:t>
            </w:r>
            <w:proofErr w:type="spellEnd"/>
            <w:r w:rsidRPr="003B21A9">
              <w:rPr>
                <w:b/>
                <w:bCs/>
                <w:i/>
                <w:iCs/>
                <w:color w:val="FFFFFF"/>
                <w:sz w:val="20"/>
                <w:szCs w:val="20"/>
                <w:lang w:eastAsia="it-IT"/>
              </w:rPr>
              <w:t xml:space="preserve"> </w:t>
            </w:r>
            <w:proofErr w:type="spellStart"/>
            <w:r w:rsidRPr="003B21A9">
              <w:rPr>
                <w:b/>
                <w:bCs/>
                <w:i/>
                <w:iCs/>
                <w:color w:val="FFFFFF"/>
                <w:sz w:val="20"/>
                <w:szCs w:val="20"/>
                <w:lang w:eastAsia="it-IT"/>
              </w:rPr>
              <w:t>ferenda</w:t>
            </w:r>
            <w:proofErr w:type="spellEnd"/>
          </w:p>
        </w:tc>
      </w:tr>
      <w:tr w:rsidR="0075107C" w:rsidRPr="003B21A9" w:rsidTr="00072520">
        <w:tc>
          <w:tcPr>
            <w:tcW w:w="4814" w:type="dxa"/>
            <w:tcBorders>
              <w:bottom w:val="single" w:sz="4" w:space="0" w:color="auto"/>
            </w:tcBorders>
          </w:tcPr>
          <w:p w:rsidR="0075107C" w:rsidRPr="003B21A9" w:rsidRDefault="0075107C" w:rsidP="0075107C">
            <w:pPr>
              <w:spacing w:line="276" w:lineRule="auto"/>
              <w:jc w:val="both"/>
              <w:rPr>
                <w:sz w:val="20"/>
                <w:szCs w:val="20"/>
                <w:lang w:eastAsia="it-IT"/>
              </w:rPr>
            </w:pPr>
            <w:r>
              <w:rPr>
                <w:sz w:val="20"/>
                <w:szCs w:val="20"/>
                <w:lang w:eastAsia="it-IT"/>
              </w:rPr>
              <w:t xml:space="preserve">Attualmente, </w:t>
            </w:r>
            <w:r w:rsidRPr="00E174E6">
              <w:rPr>
                <w:sz w:val="20"/>
                <w:szCs w:val="20"/>
                <w:lang w:eastAsia="it-IT"/>
              </w:rPr>
              <w:t>le persone giuridiche pag</w:t>
            </w:r>
            <w:r>
              <w:rPr>
                <w:sz w:val="20"/>
                <w:szCs w:val="20"/>
                <w:lang w:eastAsia="it-IT"/>
              </w:rPr>
              <w:t>a</w:t>
            </w:r>
            <w:r w:rsidRPr="00E174E6">
              <w:rPr>
                <w:sz w:val="20"/>
                <w:szCs w:val="20"/>
                <w:lang w:eastAsia="it-IT"/>
              </w:rPr>
              <w:t>no un’imposta immobiliare cantonale dell’1‰ del valore di stima per gli immobili appartenenti alle associazioni e fondazioni e del 2‰ del valore di stima per gli immobili appartenenti alle società di capitali e cooperative. Dal 2005, a queste aliquote ordinarie è applicato - tramite una norma transitoria - un supplemento d’imposta del 50%. I</w:t>
            </w:r>
            <w:r>
              <w:rPr>
                <w:sz w:val="20"/>
                <w:szCs w:val="20"/>
                <w:lang w:eastAsia="it-IT"/>
              </w:rPr>
              <w:t>l supplemento transitorio è prorogato fino al 2023.</w:t>
            </w:r>
          </w:p>
        </w:tc>
        <w:tc>
          <w:tcPr>
            <w:tcW w:w="4814" w:type="dxa"/>
            <w:tcBorders>
              <w:bottom w:val="single" w:sz="4" w:space="0" w:color="auto"/>
            </w:tcBorders>
          </w:tcPr>
          <w:p w:rsidR="0075107C" w:rsidRPr="0079095C" w:rsidRDefault="0075107C" w:rsidP="0075107C">
            <w:pPr>
              <w:spacing w:line="276" w:lineRule="auto"/>
              <w:jc w:val="both"/>
              <w:rPr>
                <w:rFonts w:eastAsia="Times New Roman" w:cs="Arial"/>
                <w:sz w:val="20"/>
                <w:szCs w:val="20"/>
                <w:lang w:val="it-IT" w:eastAsia="it-IT"/>
              </w:rPr>
            </w:pPr>
            <w:r w:rsidRPr="0079095C">
              <w:rPr>
                <w:rFonts w:eastAsia="Times New Roman" w:cs="Arial"/>
                <w:sz w:val="20"/>
                <w:szCs w:val="20"/>
                <w:lang w:val="it-IT" w:eastAsia="it-IT"/>
              </w:rPr>
              <w:t>Mediante l’introduzione del nuovo cpv. 2sexies, si intende prorogare di un ulteriore anno (quindi per l’anno 2024) il prelievo del supplemento d’imposta del 50% di cui al cpv. 2.</w:t>
            </w:r>
          </w:p>
          <w:p w:rsidR="0075107C" w:rsidRDefault="0075107C" w:rsidP="0075107C">
            <w:pPr>
              <w:spacing w:line="276" w:lineRule="auto"/>
              <w:jc w:val="both"/>
              <w:rPr>
                <w:sz w:val="20"/>
                <w:szCs w:val="20"/>
                <w:lang w:eastAsia="it-IT"/>
              </w:rPr>
            </w:pPr>
          </w:p>
          <w:p w:rsidR="0075107C" w:rsidRPr="003B21A9" w:rsidRDefault="0075107C" w:rsidP="0075107C">
            <w:pPr>
              <w:spacing w:line="276" w:lineRule="auto"/>
              <w:jc w:val="both"/>
              <w:rPr>
                <w:sz w:val="20"/>
                <w:szCs w:val="20"/>
                <w:lang w:eastAsia="it-IT"/>
              </w:rPr>
            </w:pPr>
          </w:p>
        </w:tc>
      </w:tr>
    </w:tbl>
    <w:p w:rsidR="0075107C" w:rsidRDefault="0075107C" w:rsidP="0075107C">
      <w:pPr>
        <w:rPr>
          <w:lang w:eastAsia="it-IT"/>
        </w:rPr>
      </w:pPr>
    </w:p>
    <w:p w:rsidR="007F7E00" w:rsidRDefault="007F7E00">
      <w:pPr>
        <w:rPr>
          <w:lang w:eastAsia="it-IT"/>
        </w:rPr>
      </w:pPr>
      <w:r>
        <w:rPr>
          <w:lang w:eastAsia="it-IT"/>
        </w:rPr>
        <w:br w:type="page"/>
      </w:r>
    </w:p>
    <w:p w:rsidR="0075107C" w:rsidRPr="00E04BCB" w:rsidRDefault="0075107C" w:rsidP="0075107C">
      <w:pPr>
        <w:pStyle w:val="Titolo1"/>
        <w:numPr>
          <w:ilvl w:val="0"/>
          <w:numId w:val="0"/>
        </w:numPr>
        <w:ind w:left="363" w:hanging="363"/>
        <w:jc w:val="both"/>
      </w:pPr>
      <w:r w:rsidRPr="00E04BCB">
        <w:lastRenderedPageBreak/>
        <w:t>III.</w:t>
      </w:r>
      <w:r w:rsidRPr="00E04BCB">
        <w:tab/>
        <w:t>CONCLUSIONI</w:t>
      </w:r>
    </w:p>
    <w:p w:rsidR="0075107C" w:rsidRPr="0079095C" w:rsidRDefault="0075107C" w:rsidP="008C04FB">
      <w:pPr>
        <w:rPr>
          <w:szCs w:val="24"/>
        </w:rPr>
      </w:pPr>
      <w:r w:rsidRPr="0079095C">
        <w:rPr>
          <w:rFonts w:eastAsia="Times New Roman" w:cs="Arial"/>
          <w:szCs w:val="24"/>
          <w:lang w:eastAsia="it-IT"/>
        </w:rPr>
        <w:t xml:space="preserve">Tutto ciò premesso, la Commissione gestione e finanze invita il </w:t>
      </w:r>
      <w:r w:rsidR="007F7E00">
        <w:rPr>
          <w:rFonts w:eastAsia="Times New Roman" w:cs="Arial"/>
          <w:szCs w:val="24"/>
          <w:lang w:eastAsia="it-IT"/>
        </w:rPr>
        <w:t>Gran Consiglio ad approvare il d</w:t>
      </w:r>
      <w:r w:rsidRPr="0079095C">
        <w:rPr>
          <w:rFonts w:eastAsia="Times New Roman" w:cs="Arial"/>
          <w:szCs w:val="24"/>
          <w:lang w:eastAsia="it-IT"/>
        </w:rPr>
        <w:t xml:space="preserve">isegno </w:t>
      </w:r>
      <w:r w:rsidRPr="0079095C">
        <w:rPr>
          <w:szCs w:val="24"/>
        </w:rPr>
        <w:t xml:space="preserve">di legge </w:t>
      </w:r>
      <w:r w:rsidR="007F7E00">
        <w:rPr>
          <w:szCs w:val="24"/>
        </w:rPr>
        <w:t>e il decreto legislativo annesso al presente r</w:t>
      </w:r>
      <w:r w:rsidRPr="0079095C">
        <w:rPr>
          <w:szCs w:val="24"/>
        </w:rPr>
        <w:t>apporto.</w:t>
      </w:r>
    </w:p>
    <w:p w:rsidR="0075107C" w:rsidRDefault="0075107C" w:rsidP="008C04FB">
      <w:pPr>
        <w:keepNext/>
        <w:tabs>
          <w:tab w:val="left" w:pos="709"/>
        </w:tabs>
        <w:outlineLvl w:val="3"/>
        <w:rPr>
          <w:rFonts w:eastAsia="Times New Roman" w:cs="Arial"/>
          <w:szCs w:val="24"/>
          <w:lang w:eastAsia="it-IT"/>
        </w:rPr>
      </w:pPr>
    </w:p>
    <w:p w:rsidR="008C04FB" w:rsidRPr="003B21A9" w:rsidRDefault="008C04FB" w:rsidP="008C04FB">
      <w:pPr>
        <w:keepNext/>
        <w:tabs>
          <w:tab w:val="left" w:pos="709"/>
        </w:tabs>
        <w:outlineLvl w:val="3"/>
        <w:rPr>
          <w:rFonts w:eastAsia="Times New Roman" w:cs="Arial"/>
          <w:szCs w:val="24"/>
          <w:lang w:eastAsia="it-IT"/>
        </w:rPr>
      </w:pPr>
    </w:p>
    <w:p w:rsidR="0075107C" w:rsidRPr="003B21A9" w:rsidRDefault="0075107C" w:rsidP="0075107C">
      <w:pPr>
        <w:spacing w:after="120"/>
        <w:rPr>
          <w:rFonts w:cs="Arial"/>
          <w:szCs w:val="24"/>
        </w:rPr>
      </w:pPr>
      <w:r w:rsidRPr="003B21A9">
        <w:rPr>
          <w:rFonts w:cs="Arial"/>
          <w:szCs w:val="24"/>
        </w:rPr>
        <w:t>Per la Commissione gestione e finanze:</w:t>
      </w:r>
    </w:p>
    <w:p w:rsidR="0075107C" w:rsidRPr="0075107C" w:rsidRDefault="0075107C" w:rsidP="0075107C">
      <w:pPr>
        <w:rPr>
          <w:rFonts w:cs="Arial"/>
          <w:szCs w:val="24"/>
        </w:rPr>
      </w:pPr>
      <w:r w:rsidRPr="0075107C">
        <w:rPr>
          <w:rFonts w:cs="Arial"/>
          <w:szCs w:val="24"/>
        </w:rPr>
        <w:t>Alessandra Gianella, relatrice</w:t>
      </w:r>
    </w:p>
    <w:p w:rsidR="008C04FB" w:rsidRDefault="008C04FB" w:rsidP="0075107C">
      <w:pPr>
        <w:rPr>
          <w:rFonts w:cs="Arial"/>
          <w:szCs w:val="24"/>
        </w:rPr>
      </w:pPr>
      <w:r w:rsidRPr="008C04FB">
        <w:rPr>
          <w:rFonts w:cs="Arial"/>
          <w:szCs w:val="24"/>
        </w:rPr>
        <w:t xml:space="preserve">Agustoni </w:t>
      </w:r>
      <w:r>
        <w:rPr>
          <w:rFonts w:cs="Arial"/>
          <w:szCs w:val="24"/>
        </w:rPr>
        <w:t>-</w:t>
      </w:r>
      <w:r w:rsidRPr="008C04FB">
        <w:rPr>
          <w:rFonts w:cs="Arial"/>
          <w:szCs w:val="24"/>
        </w:rPr>
        <w:t xml:space="preserve"> </w:t>
      </w:r>
      <w:r>
        <w:rPr>
          <w:rFonts w:cs="Arial"/>
          <w:szCs w:val="24"/>
        </w:rPr>
        <w:t xml:space="preserve">Balli - Bignasca - Bourgoin (con riserva) - </w:t>
      </w:r>
    </w:p>
    <w:p w:rsidR="008C04FB" w:rsidRDefault="008C04FB" w:rsidP="0075107C">
      <w:pPr>
        <w:rPr>
          <w:rFonts w:cs="Arial"/>
          <w:szCs w:val="24"/>
        </w:rPr>
      </w:pPr>
      <w:r>
        <w:rPr>
          <w:rFonts w:cs="Arial"/>
          <w:szCs w:val="24"/>
        </w:rPr>
        <w:t xml:space="preserve">Caprara - Dadò - Durisch (con riserva) - Ferrara - Fonio - </w:t>
      </w:r>
    </w:p>
    <w:p w:rsidR="008C04FB" w:rsidRDefault="008C04FB" w:rsidP="0075107C">
      <w:pPr>
        <w:rPr>
          <w:rFonts w:cs="Arial"/>
          <w:szCs w:val="24"/>
        </w:rPr>
      </w:pPr>
      <w:r>
        <w:rPr>
          <w:rFonts w:cs="Arial"/>
          <w:szCs w:val="24"/>
        </w:rPr>
        <w:t>Galeazzi - Guerra - Pamini - Passalia - Quadranti</w:t>
      </w:r>
    </w:p>
    <w:p w:rsidR="008C04FB" w:rsidRPr="008C04FB" w:rsidRDefault="008C04FB" w:rsidP="0075107C">
      <w:pPr>
        <w:rPr>
          <w:rFonts w:cs="Arial"/>
          <w:szCs w:val="24"/>
        </w:rPr>
      </w:pPr>
    </w:p>
    <w:p w:rsidR="0075107C" w:rsidRDefault="0075107C" w:rsidP="0075107C">
      <w:pPr>
        <w:rPr>
          <w:rFonts w:cs="Arial"/>
          <w:szCs w:val="24"/>
          <w:highlight w:val="yellow"/>
        </w:rPr>
      </w:pPr>
    </w:p>
    <w:p w:rsidR="0075107C" w:rsidRDefault="0075107C" w:rsidP="0075107C">
      <w:pPr>
        <w:rPr>
          <w:rFonts w:cs="Arial"/>
          <w:szCs w:val="24"/>
          <w:highlight w:val="yellow"/>
        </w:rPr>
      </w:pPr>
    </w:p>
    <w:p w:rsidR="0075107C" w:rsidRDefault="0075107C" w:rsidP="0075107C">
      <w:pPr>
        <w:rPr>
          <w:rFonts w:eastAsiaTheme="minorHAnsi" w:cs="Arial"/>
          <w:szCs w:val="24"/>
        </w:rPr>
      </w:pPr>
      <w:r>
        <w:rPr>
          <w:rFonts w:eastAsiaTheme="minorHAnsi" w:cs="Arial"/>
          <w:szCs w:val="24"/>
        </w:rPr>
        <w:br w:type="page"/>
      </w:r>
    </w:p>
    <w:p w:rsidR="0075107C" w:rsidRPr="00845D00" w:rsidRDefault="0075107C" w:rsidP="0075107C">
      <w:pPr>
        <w:rPr>
          <w:rFonts w:eastAsiaTheme="minorHAnsi" w:cs="Arial"/>
          <w:szCs w:val="24"/>
        </w:rPr>
      </w:pPr>
      <w:r w:rsidRPr="00845D00">
        <w:rPr>
          <w:rFonts w:eastAsiaTheme="minorHAnsi" w:cs="Arial"/>
          <w:szCs w:val="24"/>
        </w:rPr>
        <w:lastRenderedPageBreak/>
        <w:t>Disegno di</w:t>
      </w:r>
    </w:p>
    <w:p w:rsidR="0075107C" w:rsidRPr="00845D00" w:rsidRDefault="0075107C" w:rsidP="0075107C">
      <w:pPr>
        <w:rPr>
          <w:rFonts w:eastAsiaTheme="minorHAnsi" w:cs="Arial"/>
          <w:szCs w:val="24"/>
        </w:rPr>
      </w:pPr>
    </w:p>
    <w:p w:rsidR="0075107C" w:rsidRPr="00845D00" w:rsidRDefault="0075107C" w:rsidP="0075107C">
      <w:pPr>
        <w:rPr>
          <w:rFonts w:eastAsiaTheme="minorHAnsi" w:cs="Arial"/>
          <w:b/>
          <w:szCs w:val="24"/>
        </w:rPr>
      </w:pPr>
      <w:r w:rsidRPr="00845D00">
        <w:rPr>
          <w:rFonts w:eastAsiaTheme="minorHAnsi" w:cs="Arial"/>
          <w:b/>
          <w:szCs w:val="24"/>
        </w:rPr>
        <w:t>Legge</w:t>
      </w:r>
    </w:p>
    <w:p w:rsidR="0075107C" w:rsidRPr="00845D00" w:rsidRDefault="0075107C" w:rsidP="0075107C">
      <w:pPr>
        <w:rPr>
          <w:rFonts w:eastAsiaTheme="minorHAnsi" w:cs="Arial"/>
          <w:b/>
          <w:szCs w:val="24"/>
        </w:rPr>
      </w:pPr>
      <w:r w:rsidRPr="00845D00">
        <w:rPr>
          <w:rFonts w:eastAsiaTheme="minorHAnsi" w:cs="Arial"/>
          <w:b/>
          <w:szCs w:val="24"/>
        </w:rPr>
        <w:t>tributaria</w:t>
      </w:r>
    </w:p>
    <w:p w:rsidR="0075107C" w:rsidRPr="00845D00" w:rsidRDefault="0075107C" w:rsidP="0075107C">
      <w:pPr>
        <w:rPr>
          <w:rFonts w:eastAsiaTheme="minorHAnsi" w:cs="Arial"/>
          <w:b/>
          <w:szCs w:val="24"/>
        </w:rPr>
      </w:pPr>
      <w:r w:rsidRPr="00845D00">
        <w:rPr>
          <w:rFonts w:eastAsiaTheme="minorHAnsi" w:cs="Arial"/>
          <w:b/>
          <w:szCs w:val="24"/>
        </w:rPr>
        <w:t>(LT)</w:t>
      </w:r>
    </w:p>
    <w:p w:rsidR="0075107C" w:rsidRPr="00845D00" w:rsidRDefault="0075107C" w:rsidP="0075107C">
      <w:pPr>
        <w:rPr>
          <w:rFonts w:eastAsiaTheme="minorHAnsi" w:cs="Arial"/>
          <w:szCs w:val="24"/>
        </w:rPr>
      </w:pPr>
      <w:r w:rsidRPr="00845D00">
        <w:rPr>
          <w:rFonts w:eastAsiaTheme="minorHAnsi" w:cs="Arial"/>
          <w:szCs w:val="24"/>
        </w:rPr>
        <w:t>modifica del ....................</w:t>
      </w:r>
    </w:p>
    <w:p w:rsidR="0075107C" w:rsidRPr="00845D00" w:rsidRDefault="0075107C" w:rsidP="0075107C">
      <w:pPr>
        <w:rPr>
          <w:rFonts w:eastAsiaTheme="minorHAnsi" w:cs="Arial"/>
          <w:szCs w:val="24"/>
        </w:rPr>
      </w:pPr>
    </w:p>
    <w:p w:rsidR="0075107C" w:rsidRPr="00845D00" w:rsidRDefault="0075107C" w:rsidP="0075107C">
      <w:pPr>
        <w:rPr>
          <w:rFonts w:eastAsiaTheme="minorHAnsi" w:cs="Arial"/>
          <w:szCs w:val="24"/>
        </w:rPr>
      </w:pPr>
      <w:r w:rsidRPr="00845D00">
        <w:rPr>
          <w:rFonts w:eastAsiaTheme="minorHAnsi" w:cs="Arial"/>
          <w:szCs w:val="24"/>
        </w:rPr>
        <w:t>IL GRAN CONSIGLIO</w:t>
      </w:r>
    </w:p>
    <w:p w:rsidR="0075107C" w:rsidRPr="00845D00" w:rsidRDefault="0075107C" w:rsidP="0075107C">
      <w:pPr>
        <w:rPr>
          <w:rFonts w:eastAsiaTheme="minorHAnsi" w:cs="Arial"/>
          <w:szCs w:val="24"/>
        </w:rPr>
      </w:pPr>
      <w:r w:rsidRPr="00845D00">
        <w:rPr>
          <w:rFonts w:eastAsiaTheme="minorHAnsi" w:cs="Arial"/>
          <w:szCs w:val="24"/>
        </w:rPr>
        <w:t>DELLA REPUBBLICA E CANTONE TICINO</w:t>
      </w:r>
    </w:p>
    <w:p w:rsidR="0075107C" w:rsidRPr="00845D00" w:rsidRDefault="0075107C" w:rsidP="0075107C">
      <w:pPr>
        <w:rPr>
          <w:rFonts w:cs="Arial"/>
          <w:szCs w:val="24"/>
        </w:rPr>
      </w:pPr>
    </w:p>
    <w:p w:rsidR="0075107C" w:rsidRPr="00845D00" w:rsidRDefault="0075107C" w:rsidP="0075107C">
      <w:pPr>
        <w:rPr>
          <w:rFonts w:cs="Arial"/>
          <w:szCs w:val="24"/>
        </w:rPr>
      </w:pPr>
      <w:r w:rsidRPr="00845D00">
        <w:rPr>
          <w:rFonts w:cs="Arial"/>
          <w:szCs w:val="24"/>
        </w:rPr>
        <w:t>visto il messaggio del Consiglio di Stat</w:t>
      </w:r>
      <w:r w:rsidR="00694C30">
        <w:rPr>
          <w:rFonts w:cs="Arial"/>
          <w:szCs w:val="24"/>
        </w:rPr>
        <w:t>o n. 8329 del 20 settembre 2023,</w:t>
      </w:r>
    </w:p>
    <w:p w:rsidR="007F7E00" w:rsidRPr="00845D00" w:rsidRDefault="007F7E00" w:rsidP="007F7E00">
      <w:pPr>
        <w:rPr>
          <w:rFonts w:cs="Arial"/>
          <w:szCs w:val="24"/>
        </w:rPr>
      </w:pPr>
      <w:r w:rsidRPr="00845D00">
        <w:rPr>
          <w:rFonts w:cs="Arial"/>
          <w:szCs w:val="24"/>
        </w:rPr>
        <w:t xml:space="preserve">visto il </w:t>
      </w:r>
      <w:r>
        <w:rPr>
          <w:rFonts w:cs="Arial"/>
          <w:szCs w:val="24"/>
        </w:rPr>
        <w:t xml:space="preserve">rapporto della Commissione gestione e finanze </w:t>
      </w:r>
      <w:r w:rsidRPr="00845D00">
        <w:rPr>
          <w:rFonts w:cs="Arial"/>
          <w:szCs w:val="24"/>
        </w:rPr>
        <w:t>n. 8329</w:t>
      </w:r>
      <w:r>
        <w:rPr>
          <w:rFonts w:cs="Arial"/>
          <w:szCs w:val="24"/>
        </w:rPr>
        <w:t xml:space="preserve"> R</w:t>
      </w:r>
      <w:r w:rsidRPr="00845D00">
        <w:rPr>
          <w:rFonts w:cs="Arial"/>
          <w:szCs w:val="24"/>
        </w:rPr>
        <w:t xml:space="preserve"> del </w:t>
      </w:r>
      <w:r>
        <w:rPr>
          <w:rFonts w:cs="Arial"/>
          <w:szCs w:val="24"/>
        </w:rPr>
        <w:t xml:space="preserve">3 ottobre </w:t>
      </w:r>
      <w:r w:rsidRPr="00845D00">
        <w:rPr>
          <w:rFonts w:cs="Arial"/>
          <w:szCs w:val="24"/>
        </w:rPr>
        <w:t>2023,</w:t>
      </w:r>
    </w:p>
    <w:p w:rsidR="0075107C" w:rsidRPr="00845D00" w:rsidRDefault="0075107C" w:rsidP="0075107C">
      <w:pPr>
        <w:rPr>
          <w:rFonts w:cs="Arial"/>
          <w:szCs w:val="24"/>
        </w:rPr>
      </w:pPr>
    </w:p>
    <w:p w:rsidR="0075107C" w:rsidRPr="00845D00" w:rsidRDefault="0075107C" w:rsidP="0075107C">
      <w:pPr>
        <w:rPr>
          <w:rFonts w:cs="Arial"/>
          <w:szCs w:val="24"/>
        </w:rPr>
      </w:pPr>
      <w:r w:rsidRPr="00845D00">
        <w:rPr>
          <w:rFonts w:cs="Arial"/>
          <w:szCs w:val="24"/>
        </w:rPr>
        <w:t>decreta:</w:t>
      </w:r>
    </w:p>
    <w:p w:rsidR="0075107C" w:rsidRPr="00845D00" w:rsidRDefault="0075107C" w:rsidP="0075107C">
      <w:pPr>
        <w:rPr>
          <w:rFonts w:cs="Arial"/>
          <w:szCs w:val="24"/>
        </w:rPr>
      </w:pPr>
    </w:p>
    <w:p w:rsidR="0075107C" w:rsidRPr="00845D00" w:rsidRDefault="0075107C" w:rsidP="0075107C">
      <w:pPr>
        <w:rPr>
          <w:rFonts w:cs="Arial"/>
          <w:b/>
          <w:bCs/>
          <w:szCs w:val="24"/>
        </w:rPr>
      </w:pPr>
      <w:r w:rsidRPr="00845D00">
        <w:rPr>
          <w:rFonts w:cs="Arial"/>
          <w:b/>
          <w:bCs/>
          <w:szCs w:val="24"/>
        </w:rPr>
        <w:t>I</w:t>
      </w:r>
    </w:p>
    <w:p w:rsidR="0075107C" w:rsidRPr="00845D00" w:rsidRDefault="0075107C" w:rsidP="0075107C">
      <w:pPr>
        <w:rPr>
          <w:rFonts w:cs="Arial"/>
          <w:szCs w:val="24"/>
        </w:rPr>
      </w:pPr>
      <w:r w:rsidRPr="00845D00">
        <w:rPr>
          <w:rFonts w:cs="Arial"/>
          <w:szCs w:val="24"/>
        </w:rPr>
        <w:t>La legge tributaria del 21 giugno 1994 (LT) è modificata come segue:</w:t>
      </w:r>
    </w:p>
    <w:p w:rsidR="0075107C" w:rsidRPr="00845D00" w:rsidRDefault="0075107C" w:rsidP="0075107C">
      <w:pPr>
        <w:rPr>
          <w:rFonts w:cs="Arial"/>
          <w:szCs w:val="24"/>
        </w:rPr>
      </w:pPr>
    </w:p>
    <w:p w:rsidR="0075107C" w:rsidRPr="00845D00" w:rsidRDefault="0075107C" w:rsidP="0075107C">
      <w:pPr>
        <w:rPr>
          <w:rFonts w:cs="Arial"/>
          <w:b/>
          <w:szCs w:val="24"/>
        </w:rPr>
      </w:pPr>
      <w:r w:rsidRPr="00845D00">
        <w:rPr>
          <w:rFonts w:cs="Arial"/>
          <w:b/>
          <w:szCs w:val="24"/>
        </w:rPr>
        <w:t>Art. 49a cpv. 2</w:t>
      </w:r>
      <w:r w:rsidRPr="00845D00">
        <w:rPr>
          <w:rFonts w:cs="Arial"/>
          <w:b/>
          <w:szCs w:val="24"/>
          <w:vertAlign w:val="superscript"/>
        </w:rPr>
        <w:t>bis</w:t>
      </w:r>
    </w:p>
    <w:p w:rsidR="0075107C" w:rsidRPr="00845D00" w:rsidRDefault="0075107C" w:rsidP="0075107C">
      <w:pPr>
        <w:rPr>
          <w:rFonts w:cs="Arial"/>
          <w:szCs w:val="24"/>
        </w:rPr>
      </w:pPr>
      <w:r w:rsidRPr="00845D00">
        <w:rPr>
          <w:rFonts w:cs="Arial"/>
          <w:szCs w:val="24"/>
          <w:vertAlign w:val="superscript"/>
        </w:rPr>
        <w:t>2bis</w:t>
      </w:r>
      <w:r w:rsidRPr="00845D00">
        <w:rPr>
          <w:rFonts w:cs="Arial"/>
          <w:szCs w:val="24"/>
        </w:rPr>
        <w:t>Il reddito imponibile complessivo non può essere inferiore all’1 per cento della sostanza netta.</w:t>
      </w:r>
    </w:p>
    <w:p w:rsidR="0075107C" w:rsidRPr="00845D00" w:rsidRDefault="0075107C" w:rsidP="0075107C">
      <w:pPr>
        <w:rPr>
          <w:rFonts w:cs="Arial"/>
          <w:szCs w:val="24"/>
        </w:rPr>
      </w:pPr>
    </w:p>
    <w:p w:rsidR="0075107C" w:rsidRPr="00845D00" w:rsidRDefault="0075107C" w:rsidP="0075107C">
      <w:pPr>
        <w:rPr>
          <w:rFonts w:cs="Arial"/>
          <w:b/>
          <w:szCs w:val="24"/>
        </w:rPr>
      </w:pPr>
      <w:r w:rsidRPr="00845D00">
        <w:rPr>
          <w:rFonts w:cs="Arial"/>
          <w:b/>
          <w:szCs w:val="24"/>
        </w:rPr>
        <w:t xml:space="preserve">Art. 107 cpv. 1 </w:t>
      </w:r>
    </w:p>
    <w:p w:rsidR="0075107C" w:rsidRPr="00845D00" w:rsidRDefault="0075107C" w:rsidP="0075107C">
      <w:pPr>
        <w:shd w:val="clear" w:color="auto" w:fill="FFFFFF"/>
        <w:autoSpaceDE w:val="0"/>
        <w:autoSpaceDN w:val="0"/>
        <w:adjustRightInd w:val="0"/>
        <w:rPr>
          <w:rFonts w:cs="Arial"/>
          <w:szCs w:val="24"/>
        </w:rPr>
      </w:pPr>
      <w:r w:rsidRPr="00845D00">
        <w:rPr>
          <w:rFonts w:cs="Arial"/>
          <w:szCs w:val="24"/>
          <w:vertAlign w:val="superscript"/>
        </w:rPr>
        <w:t>1</w:t>
      </w:r>
      <w:r w:rsidRPr="00845D00">
        <w:rPr>
          <w:rFonts w:cs="Arial"/>
          <w:szCs w:val="24"/>
        </w:rPr>
        <w:t>Per i contribuenti imposti secondo l’articolo 104, per il calcolo delle aliquote della ritenuta d’imposta, il Consiglio di Stato considera (cumulativamente):</w:t>
      </w:r>
    </w:p>
    <w:p w:rsidR="0075107C" w:rsidRPr="00845D00" w:rsidRDefault="0075107C" w:rsidP="0075107C">
      <w:pPr>
        <w:numPr>
          <w:ilvl w:val="0"/>
          <w:numId w:val="20"/>
        </w:numPr>
        <w:autoSpaceDE w:val="0"/>
        <w:autoSpaceDN w:val="0"/>
        <w:adjustRightInd w:val="0"/>
        <w:ind w:left="426" w:hanging="426"/>
        <w:rPr>
          <w:rFonts w:cs="Arial"/>
          <w:color w:val="000000"/>
          <w:szCs w:val="24"/>
        </w:rPr>
      </w:pPr>
      <w:r w:rsidRPr="00845D00">
        <w:rPr>
          <w:rFonts w:cs="Arial"/>
          <w:szCs w:val="24"/>
        </w:rPr>
        <w:t>le aliquote dell’imposta federale diretta che devono essere inglobate nella ritenuta;</w:t>
      </w:r>
    </w:p>
    <w:p w:rsidR="0075107C" w:rsidRPr="00845D00" w:rsidRDefault="0075107C" w:rsidP="0075107C">
      <w:pPr>
        <w:numPr>
          <w:ilvl w:val="0"/>
          <w:numId w:val="20"/>
        </w:numPr>
        <w:autoSpaceDE w:val="0"/>
        <w:autoSpaceDN w:val="0"/>
        <w:adjustRightInd w:val="0"/>
        <w:ind w:left="426" w:hanging="426"/>
        <w:rPr>
          <w:rFonts w:cs="Arial"/>
          <w:color w:val="000000"/>
          <w:szCs w:val="24"/>
        </w:rPr>
      </w:pPr>
      <w:r w:rsidRPr="00845D00">
        <w:rPr>
          <w:rFonts w:cs="Arial"/>
          <w:szCs w:val="24"/>
        </w:rPr>
        <w:t>le seguenti categorie di contribuenti (singolarmente):</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t xml:space="preserve">tabella A: persone celibi o nubili, divorziate, separate legalmente o di fatto o vedove, che non vivono in comunione domestica con figli o persone bisognose di sostentamento; </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t xml:space="preserve">tabella B: coniugi non separati legalmente o di fatto, nel caso in cui uno solo dei coniugi eserciti un’attività lucrativa; </w:t>
      </w:r>
    </w:p>
    <w:p w:rsidR="0075107C" w:rsidRPr="00845D00" w:rsidRDefault="0075107C" w:rsidP="0075107C">
      <w:pPr>
        <w:numPr>
          <w:ilvl w:val="0"/>
          <w:numId w:val="19"/>
        </w:numPr>
        <w:autoSpaceDE w:val="0"/>
        <w:autoSpaceDN w:val="0"/>
        <w:adjustRightInd w:val="0"/>
        <w:ind w:left="709" w:hanging="283"/>
        <w:rPr>
          <w:rFonts w:cs="Arial"/>
          <w:szCs w:val="24"/>
        </w:rPr>
      </w:pPr>
      <w:r w:rsidRPr="00845D00">
        <w:rPr>
          <w:rFonts w:cs="Arial"/>
          <w:szCs w:val="24"/>
        </w:rPr>
        <w:t>tabella C: coniugi non separati legalmente o di fatto che esercitano entrambi un’attività lucrativa;</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t>tabella D: persone che ricevono prestazioni ai sensi dell’articolo 18 capoverso 3 LAVS;</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t xml:space="preserve">tabella E: persone con imposizione secondo la procedura di conteggio semplificata di cui all’articolo 37a; </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t>…;</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t xml:space="preserve">tabella G: persone assoggettate all’imposta alla fonte che percepiscono proventi compensativi di cui al capoverso 6 che non sono versati tramite il datore di lavoro; </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t xml:space="preserve">tabella H: persone celibi o nubili, divorziate, separate legalmente o di fatto o vedove, che vivono in comunione domestica con figli o persone bisognose al cui sostentamento provvedono in modo essenziale; </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t xml:space="preserve">tabella L: frontalieri secondo la convenzione tra la Confederazione Svizzera e la Repubblica federale di Germania per evitare la doppia imposizione in materia di imposte sul reddito e sulla sostanza dell’11 agosto 1971 (CDI-D) che adempiono le condizioni richieste per la tabella A; </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lastRenderedPageBreak/>
        <w:t xml:space="preserve">tabella M: frontalieri secondo la CDI-D che adempiono le condizioni richieste per la tabella B; </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t xml:space="preserve">tabella N: frontalieri secondo la CDI-D che adempiono le condizioni richieste per la tabella C; </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t xml:space="preserve">tabella P: frontalieri secondo la CDI-D che adempiono le condizioni richieste per la tabella H; </w:t>
      </w:r>
    </w:p>
    <w:p w:rsidR="0075107C" w:rsidRPr="00845D00" w:rsidRDefault="0075107C" w:rsidP="0075107C">
      <w:pPr>
        <w:numPr>
          <w:ilvl w:val="0"/>
          <w:numId w:val="19"/>
        </w:numPr>
        <w:shd w:val="clear" w:color="auto" w:fill="FFFFFF"/>
        <w:autoSpaceDE w:val="0"/>
        <w:autoSpaceDN w:val="0"/>
        <w:adjustRightInd w:val="0"/>
        <w:ind w:left="709" w:hanging="283"/>
        <w:rPr>
          <w:rFonts w:cs="Arial"/>
          <w:szCs w:val="24"/>
        </w:rPr>
      </w:pPr>
      <w:r w:rsidRPr="00845D00">
        <w:rPr>
          <w:rFonts w:cs="Arial"/>
          <w:szCs w:val="24"/>
        </w:rPr>
        <w:t>tabella Q: frontalieri secondo la CDI-D che adempiono le condizioni richieste per la tabella G.</w:t>
      </w:r>
    </w:p>
    <w:p w:rsidR="0075107C" w:rsidRPr="00845D00" w:rsidRDefault="0075107C" w:rsidP="0075107C">
      <w:pPr>
        <w:numPr>
          <w:ilvl w:val="0"/>
          <w:numId w:val="20"/>
        </w:numPr>
        <w:shd w:val="clear" w:color="auto" w:fill="FFFFFF"/>
        <w:autoSpaceDE w:val="0"/>
        <w:autoSpaceDN w:val="0"/>
        <w:adjustRightInd w:val="0"/>
        <w:ind w:left="426" w:hanging="426"/>
        <w:rPr>
          <w:rFonts w:cs="Arial"/>
          <w:szCs w:val="24"/>
        </w:rPr>
      </w:pPr>
      <w:r w:rsidRPr="00845D00">
        <w:rPr>
          <w:rFonts w:cs="Arial"/>
          <w:szCs w:val="24"/>
        </w:rPr>
        <w:t xml:space="preserve">gli importi forfettari per le spese professionali (art. 25), i premi d’assicurazioni (art. 32 cpv. 1 </w:t>
      </w:r>
      <w:proofErr w:type="spellStart"/>
      <w:r w:rsidRPr="00845D00">
        <w:rPr>
          <w:rFonts w:cs="Arial"/>
          <w:szCs w:val="24"/>
        </w:rPr>
        <w:t>lett</w:t>
      </w:r>
      <w:proofErr w:type="spellEnd"/>
      <w:r w:rsidRPr="00845D00">
        <w:rPr>
          <w:rFonts w:cs="Arial"/>
          <w:szCs w:val="24"/>
        </w:rPr>
        <w:t>. d, f e g) e le deduzioni sociali (art. 34).</w:t>
      </w:r>
    </w:p>
    <w:p w:rsidR="0075107C" w:rsidRPr="00845D00" w:rsidRDefault="0075107C" w:rsidP="0075107C">
      <w:pPr>
        <w:shd w:val="clear" w:color="auto" w:fill="FFFFFF"/>
        <w:autoSpaceDE w:val="0"/>
        <w:autoSpaceDN w:val="0"/>
        <w:adjustRightInd w:val="0"/>
        <w:rPr>
          <w:rFonts w:cs="Arial"/>
          <w:b/>
          <w:szCs w:val="24"/>
        </w:rPr>
      </w:pPr>
    </w:p>
    <w:p w:rsidR="0075107C" w:rsidRPr="00845D00" w:rsidRDefault="0075107C" w:rsidP="0075107C">
      <w:pPr>
        <w:shd w:val="clear" w:color="auto" w:fill="FFFFFF"/>
        <w:autoSpaceDE w:val="0"/>
        <w:autoSpaceDN w:val="0"/>
        <w:adjustRightInd w:val="0"/>
        <w:rPr>
          <w:rFonts w:cs="Arial"/>
          <w:b/>
          <w:szCs w:val="24"/>
        </w:rPr>
      </w:pPr>
      <w:r w:rsidRPr="00845D00">
        <w:rPr>
          <w:rFonts w:cs="Arial"/>
          <w:b/>
          <w:szCs w:val="24"/>
        </w:rPr>
        <w:t>Art. 111 cpv. 3, 4 e 5</w:t>
      </w:r>
    </w:p>
    <w:p w:rsidR="0075107C" w:rsidRPr="00845D00" w:rsidRDefault="0075107C" w:rsidP="0075107C">
      <w:pPr>
        <w:shd w:val="clear" w:color="auto" w:fill="FFFFFF"/>
        <w:autoSpaceDE w:val="0"/>
        <w:autoSpaceDN w:val="0"/>
        <w:adjustRightInd w:val="0"/>
        <w:rPr>
          <w:rFonts w:cs="Arial"/>
          <w:szCs w:val="24"/>
        </w:rPr>
      </w:pPr>
      <w:r w:rsidRPr="00845D00">
        <w:rPr>
          <w:rFonts w:cs="Arial"/>
          <w:szCs w:val="24"/>
          <w:vertAlign w:val="superscript"/>
        </w:rPr>
        <w:t>3</w:t>
      </w:r>
      <w:r w:rsidRPr="00845D00">
        <w:rPr>
          <w:rFonts w:cs="Arial"/>
          <w:szCs w:val="24"/>
        </w:rPr>
        <w:t xml:space="preserve">L’imposta comunale è calcolata secondo l’onere fiscale medio del Cantone. </w:t>
      </w:r>
    </w:p>
    <w:p w:rsidR="0075107C" w:rsidRPr="00845D00" w:rsidRDefault="0075107C" w:rsidP="0075107C">
      <w:pPr>
        <w:shd w:val="clear" w:color="auto" w:fill="FFFFFF"/>
        <w:autoSpaceDE w:val="0"/>
        <w:autoSpaceDN w:val="0"/>
        <w:adjustRightInd w:val="0"/>
        <w:rPr>
          <w:rFonts w:cs="Arial"/>
          <w:szCs w:val="24"/>
        </w:rPr>
      </w:pPr>
      <w:r w:rsidRPr="00845D00">
        <w:rPr>
          <w:rFonts w:cs="Arial"/>
          <w:szCs w:val="24"/>
          <w:vertAlign w:val="superscript"/>
        </w:rPr>
        <w:t>4</w:t>
      </w:r>
      <w:r w:rsidRPr="00845D00">
        <w:rPr>
          <w:rFonts w:cs="Arial"/>
          <w:szCs w:val="24"/>
        </w:rPr>
        <w:t xml:space="preserve"> </w:t>
      </w:r>
      <w:r w:rsidRPr="00845D00">
        <w:rPr>
          <w:rFonts w:cs="Arial"/>
          <w:i/>
          <w:szCs w:val="24"/>
        </w:rPr>
        <w:t>abrogato</w:t>
      </w:r>
    </w:p>
    <w:p w:rsidR="0075107C" w:rsidRPr="00845D00" w:rsidRDefault="0075107C" w:rsidP="0075107C">
      <w:pPr>
        <w:shd w:val="clear" w:color="auto" w:fill="FFFFFF"/>
        <w:autoSpaceDE w:val="0"/>
        <w:autoSpaceDN w:val="0"/>
        <w:adjustRightInd w:val="0"/>
        <w:rPr>
          <w:rFonts w:cs="Arial"/>
          <w:szCs w:val="24"/>
        </w:rPr>
      </w:pPr>
      <w:r w:rsidRPr="00845D00">
        <w:rPr>
          <w:rFonts w:cs="Arial"/>
          <w:szCs w:val="24"/>
          <w:vertAlign w:val="superscript"/>
        </w:rPr>
        <w:t>5</w:t>
      </w:r>
      <w:r w:rsidRPr="00845D00">
        <w:rPr>
          <w:rFonts w:cs="Arial"/>
          <w:szCs w:val="24"/>
        </w:rPr>
        <w:t>Per il calcolo delle aliquote della ritenuta d’imposta, il Consiglio di Stato considera (cumulativamente):</w:t>
      </w:r>
    </w:p>
    <w:p w:rsidR="0075107C" w:rsidRPr="00845D00" w:rsidRDefault="0075107C" w:rsidP="0075107C">
      <w:pPr>
        <w:numPr>
          <w:ilvl w:val="0"/>
          <w:numId w:val="21"/>
        </w:numPr>
        <w:shd w:val="clear" w:color="auto" w:fill="FFFFFF"/>
        <w:autoSpaceDE w:val="0"/>
        <w:autoSpaceDN w:val="0"/>
        <w:adjustRightInd w:val="0"/>
        <w:rPr>
          <w:rFonts w:cs="Arial"/>
          <w:szCs w:val="24"/>
        </w:rPr>
      </w:pPr>
      <w:r w:rsidRPr="00845D00">
        <w:rPr>
          <w:rFonts w:cs="Arial"/>
          <w:szCs w:val="24"/>
        </w:rPr>
        <w:t>le aliquote dell’imposta federale diretta che devono essere inglobate nella ritenuta;</w:t>
      </w:r>
    </w:p>
    <w:p w:rsidR="0075107C" w:rsidRPr="00845D00" w:rsidRDefault="0075107C" w:rsidP="0075107C">
      <w:pPr>
        <w:numPr>
          <w:ilvl w:val="0"/>
          <w:numId w:val="21"/>
        </w:numPr>
        <w:shd w:val="clear" w:color="auto" w:fill="FFFFFF"/>
        <w:autoSpaceDE w:val="0"/>
        <w:autoSpaceDN w:val="0"/>
        <w:adjustRightInd w:val="0"/>
        <w:rPr>
          <w:rFonts w:cs="Arial"/>
          <w:szCs w:val="24"/>
        </w:rPr>
      </w:pPr>
      <w:r w:rsidRPr="00845D00">
        <w:rPr>
          <w:rFonts w:cs="Arial"/>
          <w:szCs w:val="24"/>
        </w:rPr>
        <w:t>le seguenti categorie di contribuenti (singolarmente):</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 xml:space="preserve">tabella A: persone celibi o nubili, divorziate, separate legalmente o di fatto o vedove, che non vivono in comunione domestica con figli o persone bisognose di sostentamento; </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 xml:space="preserve">tabella B: coniugi non separati legalmente o di fatto, nel caso in cui uno solo dei coniugi eserciti un’attività lucrativa; </w:t>
      </w:r>
    </w:p>
    <w:p w:rsidR="0075107C" w:rsidRPr="00845D00" w:rsidRDefault="0075107C" w:rsidP="0075107C">
      <w:pPr>
        <w:numPr>
          <w:ilvl w:val="0"/>
          <w:numId w:val="19"/>
        </w:numPr>
        <w:autoSpaceDE w:val="0"/>
        <w:autoSpaceDN w:val="0"/>
        <w:adjustRightInd w:val="0"/>
        <w:ind w:left="567" w:hanging="283"/>
        <w:rPr>
          <w:rFonts w:cs="Arial"/>
          <w:szCs w:val="24"/>
        </w:rPr>
      </w:pPr>
      <w:r w:rsidRPr="00845D00">
        <w:rPr>
          <w:rFonts w:cs="Arial"/>
          <w:szCs w:val="24"/>
        </w:rPr>
        <w:t>tabella C: coniugi non separati legalmente o di fatto che esercitano entrambi un’attività lucrativa;</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tabella D: persone che ricevono prestazioni ai sensi dell’articolo 18 capoverso 3 LAVS;</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 xml:space="preserve">tabella E: persone con imposizione secondo la procedura di conteggio semplificata di cui all’articolo 37a; </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 xml:space="preserve">tabella G: persone assoggettate all’imposta alla fonte che percepiscono proventi compensativi di cui al capoverso 10 che non sono versati tramite il datore di lavoro; </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 xml:space="preserve">tabella H: persone celibi o nubili, divorziate, separate legalmente o di fatto o vedove, che vivono in comunione domestica con figli o persone bisognose al cui sostentamento provvedono in modo essenziale; </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 xml:space="preserve">tabella L: frontalieri secondo la convenzione tra la Confederazione Svizzera e la Repubblica federale di Germania per evitare la doppia imposizione in materia di imposte sul reddito e sulla sostanza dell’11 agosto 1971 (CDI-D) che adempiono le condizioni richieste per la tabella A; </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 xml:space="preserve">tabella M: frontalieri secondo la CDI-D che adempiono le condizioni richieste per la tabella B; </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 xml:space="preserve">tabella N: frontalieri secondo la CDI-D che adempiono le condizioni richieste per la tabella C; </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 xml:space="preserve">tabella P: frontalieri secondo la CDI-D che adempiono le condizioni richieste per la tabella H; </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tabella Q: frontalieri secondo la CDI-D che adempiono le condizioni richieste per la tabella G;</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 xml:space="preserve">tabella R: lavoratori frontalieri imponibili secondo l’articolo 3 paragrafo 1 dell’accordo tra la Confederazione Svizzera e la Repubblica Italiana relativo all’imposizione dei </w:t>
      </w:r>
      <w:r w:rsidRPr="00845D00">
        <w:rPr>
          <w:rFonts w:cs="Arial"/>
          <w:szCs w:val="24"/>
        </w:rPr>
        <w:lastRenderedPageBreak/>
        <w:t>lavoratori frontalieri del 23 dicembre 2020 (accordo sui frontalieri CH</w:t>
      </w:r>
      <w:r w:rsidRPr="00845D00">
        <w:rPr>
          <w:rFonts w:cs="Arial"/>
          <w:szCs w:val="24"/>
        </w:rPr>
        <w:noBreakHyphen/>
        <w:t>I) che adempiono le condizioni richieste per la tabella A;</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tabella S: lavoratori frontalieri imponibili secondo l’articolo 3 paragrafo 1 dell’accordo sui frontalieri CH</w:t>
      </w:r>
      <w:r w:rsidRPr="00845D00">
        <w:rPr>
          <w:rFonts w:cs="Arial"/>
          <w:szCs w:val="24"/>
        </w:rPr>
        <w:noBreakHyphen/>
        <w:t>I che adempiono le condizioni richieste per la tabella B;</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tabella T: lavoratori frontalieri imponibili secondo l’articolo 3 paragrafo 1 dell’accordo sui frontalieri CH</w:t>
      </w:r>
      <w:r w:rsidRPr="00845D00">
        <w:rPr>
          <w:rFonts w:cs="Arial"/>
          <w:szCs w:val="24"/>
        </w:rPr>
        <w:noBreakHyphen/>
        <w:t>I che adempiono le condizioni richieste per la tabella C;</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tabella U: lavoratori frontalieri imponibili secondo l’articolo 3 paragrafo 1 dell’accordo sui frontalieri CH</w:t>
      </w:r>
      <w:r w:rsidRPr="00845D00">
        <w:rPr>
          <w:rFonts w:cs="Arial"/>
          <w:szCs w:val="24"/>
        </w:rPr>
        <w:noBreakHyphen/>
        <w:t>I che adempiono le condizioni richieste per la tabella H;</w:t>
      </w:r>
    </w:p>
    <w:p w:rsidR="0075107C" w:rsidRPr="00845D00" w:rsidRDefault="0075107C" w:rsidP="0075107C">
      <w:pPr>
        <w:numPr>
          <w:ilvl w:val="0"/>
          <w:numId w:val="19"/>
        </w:numPr>
        <w:shd w:val="clear" w:color="auto" w:fill="FFFFFF"/>
        <w:autoSpaceDE w:val="0"/>
        <w:autoSpaceDN w:val="0"/>
        <w:adjustRightInd w:val="0"/>
        <w:ind w:left="567" w:hanging="283"/>
        <w:rPr>
          <w:rFonts w:cs="Arial"/>
          <w:szCs w:val="24"/>
        </w:rPr>
      </w:pPr>
      <w:r w:rsidRPr="00845D00">
        <w:rPr>
          <w:rFonts w:cs="Arial"/>
          <w:szCs w:val="24"/>
        </w:rPr>
        <w:t>tabella V: lavoratori frontalieri imponibili secondo l’articolo 3 paragrafo 1 dell’accordo sui frontalieri CH</w:t>
      </w:r>
      <w:r w:rsidRPr="00845D00">
        <w:rPr>
          <w:rFonts w:cs="Arial"/>
          <w:szCs w:val="24"/>
        </w:rPr>
        <w:noBreakHyphen/>
        <w:t>I che adempiono le condizioni richieste per la tabella G.</w:t>
      </w:r>
    </w:p>
    <w:p w:rsidR="0075107C" w:rsidRPr="00845D00" w:rsidRDefault="0075107C" w:rsidP="0075107C">
      <w:pPr>
        <w:shd w:val="clear" w:color="auto" w:fill="FFFFFF"/>
        <w:autoSpaceDE w:val="0"/>
        <w:autoSpaceDN w:val="0"/>
        <w:adjustRightInd w:val="0"/>
        <w:ind w:left="426" w:hanging="426"/>
        <w:rPr>
          <w:rFonts w:cs="Arial"/>
          <w:szCs w:val="24"/>
        </w:rPr>
      </w:pPr>
      <w:r w:rsidRPr="00845D00">
        <w:rPr>
          <w:rFonts w:cs="Arial"/>
          <w:szCs w:val="24"/>
        </w:rPr>
        <w:t xml:space="preserve">c) </w:t>
      </w:r>
      <w:r w:rsidRPr="00845D00">
        <w:rPr>
          <w:rFonts w:cs="Arial"/>
          <w:szCs w:val="24"/>
        </w:rPr>
        <w:tab/>
        <w:t xml:space="preserve">gli importi forfettari per le spese professionali (art. 25), i premi d’assicurazioni (art. 32 cpv. 1 </w:t>
      </w:r>
      <w:proofErr w:type="spellStart"/>
      <w:r w:rsidRPr="00845D00">
        <w:rPr>
          <w:rFonts w:cs="Arial"/>
          <w:szCs w:val="24"/>
        </w:rPr>
        <w:t>lett</w:t>
      </w:r>
      <w:proofErr w:type="spellEnd"/>
      <w:r w:rsidRPr="00845D00">
        <w:rPr>
          <w:rFonts w:cs="Arial"/>
          <w:szCs w:val="24"/>
        </w:rPr>
        <w:t>. d, f e g) e le deduzioni sociali (art. 34).</w:t>
      </w:r>
    </w:p>
    <w:p w:rsidR="0075107C" w:rsidRPr="00845D00" w:rsidRDefault="0075107C" w:rsidP="0075107C">
      <w:pPr>
        <w:rPr>
          <w:rFonts w:cs="Arial"/>
          <w:szCs w:val="24"/>
        </w:rPr>
      </w:pPr>
    </w:p>
    <w:p w:rsidR="0075107C" w:rsidRPr="00845D00" w:rsidRDefault="0075107C" w:rsidP="0075107C">
      <w:pPr>
        <w:autoSpaceDE w:val="0"/>
        <w:autoSpaceDN w:val="0"/>
        <w:adjustRightInd w:val="0"/>
        <w:rPr>
          <w:rFonts w:cs="Arial"/>
          <w:b/>
          <w:color w:val="000000"/>
          <w:szCs w:val="24"/>
        </w:rPr>
      </w:pPr>
      <w:r w:rsidRPr="00845D00">
        <w:rPr>
          <w:rFonts w:cs="Arial"/>
          <w:b/>
          <w:color w:val="000000"/>
          <w:szCs w:val="24"/>
        </w:rPr>
        <w:t>Art. 118 cpv. 4</w:t>
      </w:r>
    </w:p>
    <w:p w:rsidR="0075107C" w:rsidRPr="00845D00" w:rsidRDefault="0075107C" w:rsidP="0075107C">
      <w:pPr>
        <w:autoSpaceDE w:val="0"/>
        <w:autoSpaceDN w:val="0"/>
        <w:adjustRightInd w:val="0"/>
        <w:rPr>
          <w:rFonts w:cs="Arial"/>
          <w:color w:val="000000"/>
          <w:szCs w:val="24"/>
          <w:shd w:val="clear" w:color="auto" w:fill="FFFFFF"/>
        </w:rPr>
      </w:pPr>
      <w:r w:rsidRPr="00845D00">
        <w:rPr>
          <w:rFonts w:cs="Arial"/>
          <w:color w:val="000000"/>
          <w:szCs w:val="24"/>
          <w:vertAlign w:val="superscript"/>
        </w:rPr>
        <w:t>4</w:t>
      </w:r>
      <w:r w:rsidRPr="00845D00">
        <w:rPr>
          <w:rFonts w:cs="Arial"/>
          <w:color w:val="000000"/>
          <w:szCs w:val="24"/>
          <w:shd w:val="clear" w:color="auto" w:fill="FFFFFF"/>
        </w:rPr>
        <w:t>Per i lavoratori frontalieri secondo l’articolo 2 lettera b dell’accordo sui frontalieri CH</w:t>
      </w:r>
      <w:r w:rsidRPr="00845D00">
        <w:rPr>
          <w:rFonts w:cs="Arial"/>
          <w:color w:val="000000"/>
          <w:szCs w:val="24"/>
          <w:shd w:val="clear" w:color="auto" w:fill="FFFFFF"/>
        </w:rPr>
        <w:noBreakHyphen/>
        <w:t>I non può essere effettuata una tassazione ordinaria ulteriore in caso di quasi residenza.</w:t>
      </w:r>
    </w:p>
    <w:p w:rsidR="0075107C" w:rsidRPr="00845D00" w:rsidRDefault="0075107C" w:rsidP="0075107C">
      <w:pPr>
        <w:rPr>
          <w:rFonts w:cs="Arial"/>
          <w:szCs w:val="24"/>
        </w:rPr>
      </w:pPr>
    </w:p>
    <w:p w:rsidR="0075107C" w:rsidRPr="00845D00" w:rsidRDefault="0075107C" w:rsidP="0075107C">
      <w:pPr>
        <w:autoSpaceDE w:val="0"/>
        <w:autoSpaceDN w:val="0"/>
        <w:adjustRightInd w:val="0"/>
        <w:rPr>
          <w:rFonts w:cs="Arial"/>
          <w:b/>
          <w:color w:val="000000"/>
          <w:szCs w:val="24"/>
        </w:rPr>
      </w:pPr>
      <w:r w:rsidRPr="00845D00">
        <w:rPr>
          <w:rFonts w:cs="Arial"/>
          <w:b/>
          <w:color w:val="000000"/>
          <w:szCs w:val="24"/>
        </w:rPr>
        <w:t>Art. 119 cpv. 3</w:t>
      </w:r>
    </w:p>
    <w:p w:rsidR="0075107C" w:rsidRPr="00845D00" w:rsidRDefault="0075107C" w:rsidP="0075107C">
      <w:pPr>
        <w:autoSpaceDE w:val="0"/>
        <w:autoSpaceDN w:val="0"/>
        <w:adjustRightInd w:val="0"/>
        <w:rPr>
          <w:rFonts w:cs="Arial"/>
          <w:color w:val="000000"/>
          <w:szCs w:val="24"/>
          <w:shd w:val="clear" w:color="auto" w:fill="FFFFFF"/>
        </w:rPr>
      </w:pPr>
      <w:r w:rsidRPr="00845D00">
        <w:rPr>
          <w:rFonts w:cs="Arial"/>
          <w:color w:val="000000"/>
          <w:szCs w:val="24"/>
          <w:vertAlign w:val="superscript"/>
        </w:rPr>
        <w:t>3</w:t>
      </w:r>
      <w:r w:rsidRPr="00845D00">
        <w:rPr>
          <w:rFonts w:cs="Arial"/>
          <w:color w:val="000000"/>
          <w:szCs w:val="24"/>
          <w:shd w:val="clear" w:color="auto" w:fill="FFFFFF"/>
        </w:rPr>
        <w:t>Per i lavoratori frontalieri secondo l’articolo 2 lettera b dell’accordo sui frontalieri CH-I non può essere effettuata una tassazione ordinaria ulteriore d’ufficio.</w:t>
      </w:r>
    </w:p>
    <w:p w:rsidR="0075107C" w:rsidRPr="00845D00" w:rsidRDefault="0075107C" w:rsidP="0075107C">
      <w:pPr>
        <w:rPr>
          <w:rFonts w:cs="Arial"/>
          <w:szCs w:val="24"/>
        </w:rPr>
      </w:pPr>
    </w:p>
    <w:p w:rsidR="0075107C" w:rsidRPr="00845D00" w:rsidRDefault="0075107C" w:rsidP="0075107C">
      <w:pPr>
        <w:rPr>
          <w:rFonts w:cs="Arial"/>
          <w:b/>
          <w:szCs w:val="24"/>
        </w:rPr>
      </w:pPr>
      <w:r w:rsidRPr="00845D00">
        <w:rPr>
          <w:rFonts w:cs="Arial"/>
          <w:b/>
          <w:szCs w:val="24"/>
        </w:rPr>
        <w:t>Assistenza con altre autorità</w:t>
      </w:r>
    </w:p>
    <w:p w:rsidR="0075107C" w:rsidRPr="00845D00" w:rsidRDefault="0075107C" w:rsidP="0075107C">
      <w:pPr>
        <w:rPr>
          <w:rFonts w:cs="Arial"/>
          <w:b/>
          <w:bCs/>
          <w:szCs w:val="24"/>
        </w:rPr>
      </w:pPr>
      <w:r w:rsidRPr="00845D00">
        <w:rPr>
          <w:rFonts w:cs="Arial"/>
          <w:b/>
          <w:bCs/>
          <w:szCs w:val="24"/>
        </w:rPr>
        <w:t>Art. 185 cpv. 2, 3 e 4</w:t>
      </w:r>
    </w:p>
    <w:p w:rsidR="0075107C" w:rsidRPr="00845D00" w:rsidRDefault="0075107C" w:rsidP="0075107C">
      <w:pPr>
        <w:rPr>
          <w:rFonts w:cs="Arial"/>
          <w:bCs/>
          <w:szCs w:val="24"/>
        </w:rPr>
      </w:pPr>
      <w:r w:rsidRPr="00845D00">
        <w:rPr>
          <w:rFonts w:cs="Arial"/>
          <w:bCs/>
          <w:szCs w:val="24"/>
          <w:vertAlign w:val="superscript"/>
        </w:rPr>
        <w:t>2</w:t>
      </w:r>
      <w:r w:rsidRPr="00845D00">
        <w:rPr>
          <w:rFonts w:cs="Arial"/>
          <w:bCs/>
          <w:szCs w:val="24"/>
        </w:rPr>
        <w:t>Gli organi di corporazioni e stabilimenti, nella misura in cui provvedono a compiti dell’amministrazione pubblica, come pure gli enti sussidiati, soggiacciono allo stesso obbligo d’assistenza.</w:t>
      </w:r>
    </w:p>
    <w:p w:rsidR="0075107C" w:rsidRPr="00845D00" w:rsidRDefault="0075107C" w:rsidP="0075107C">
      <w:pPr>
        <w:rPr>
          <w:rFonts w:cs="Arial"/>
          <w:bCs/>
          <w:szCs w:val="24"/>
        </w:rPr>
      </w:pPr>
      <w:r w:rsidRPr="00845D00">
        <w:rPr>
          <w:rFonts w:cs="Arial"/>
          <w:bCs/>
          <w:szCs w:val="24"/>
          <w:vertAlign w:val="superscript"/>
        </w:rPr>
        <w:t>3</w:t>
      </w:r>
      <w:r w:rsidRPr="00845D00">
        <w:rPr>
          <w:rFonts w:cs="Arial"/>
          <w:bCs/>
          <w:szCs w:val="24"/>
        </w:rPr>
        <w:t xml:space="preserve">Sono esonerati dall’obbligo d’informare e di comunicare gli organi dell’amministrazione degli istituti pubblici di credito, per fatti vincolati a un segreto speciale imposto dalla legge. </w:t>
      </w:r>
    </w:p>
    <w:p w:rsidR="0075107C" w:rsidRPr="00845D00" w:rsidRDefault="0075107C" w:rsidP="0075107C">
      <w:pPr>
        <w:rPr>
          <w:rFonts w:cs="Arial"/>
          <w:bCs/>
          <w:szCs w:val="24"/>
        </w:rPr>
      </w:pPr>
      <w:r w:rsidRPr="00845D00">
        <w:rPr>
          <w:rFonts w:cs="Arial"/>
          <w:bCs/>
          <w:szCs w:val="24"/>
          <w:vertAlign w:val="superscript"/>
        </w:rPr>
        <w:t>4</w:t>
      </w:r>
      <w:r w:rsidRPr="00845D00">
        <w:rPr>
          <w:rFonts w:cs="Arial"/>
          <w:bCs/>
          <w:szCs w:val="24"/>
        </w:rPr>
        <w:t>Se una persona giuridica non ha prodotto i suoi conti annuali secondo l’articolo 198, le autorità fiscali lo comunicano all’ufficio cantonale del registro di commercio entro tre mesi dalla scadenza dei rispettivi termini.</w:t>
      </w:r>
    </w:p>
    <w:p w:rsidR="0075107C" w:rsidRPr="00845D00" w:rsidRDefault="0075107C" w:rsidP="0075107C">
      <w:pPr>
        <w:rPr>
          <w:rFonts w:cs="Arial"/>
          <w:szCs w:val="24"/>
        </w:rPr>
      </w:pPr>
    </w:p>
    <w:p w:rsidR="0075107C" w:rsidRPr="00845D00" w:rsidRDefault="0075107C" w:rsidP="0075107C">
      <w:pPr>
        <w:rPr>
          <w:rFonts w:cs="Arial"/>
          <w:b/>
          <w:bCs/>
          <w:szCs w:val="24"/>
        </w:rPr>
      </w:pPr>
      <w:r w:rsidRPr="00845D00">
        <w:rPr>
          <w:rFonts w:cs="Arial"/>
          <w:b/>
          <w:bCs/>
          <w:szCs w:val="24"/>
        </w:rPr>
        <w:t>Procedure elettroniche</w:t>
      </w:r>
    </w:p>
    <w:p w:rsidR="0075107C" w:rsidRPr="00845D00" w:rsidRDefault="0075107C" w:rsidP="0075107C">
      <w:pPr>
        <w:rPr>
          <w:rFonts w:cs="Arial"/>
          <w:b/>
          <w:bCs/>
          <w:szCs w:val="24"/>
        </w:rPr>
      </w:pPr>
      <w:r w:rsidRPr="00845D00">
        <w:rPr>
          <w:rFonts w:cs="Arial"/>
          <w:b/>
          <w:bCs/>
          <w:szCs w:val="24"/>
        </w:rPr>
        <w:t>Art. 185a</w:t>
      </w:r>
    </w:p>
    <w:p w:rsidR="0075107C" w:rsidRPr="00845D00" w:rsidRDefault="0075107C" w:rsidP="0075107C">
      <w:pPr>
        <w:rPr>
          <w:rFonts w:cs="Arial"/>
          <w:szCs w:val="24"/>
        </w:rPr>
      </w:pPr>
      <w:r w:rsidRPr="00845D00">
        <w:rPr>
          <w:rFonts w:cs="Arial"/>
          <w:szCs w:val="24"/>
          <w:vertAlign w:val="superscript"/>
        </w:rPr>
        <w:t>1</w:t>
      </w:r>
      <w:r w:rsidRPr="00845D00">
        <w:rPr>
          <w:rFonts w:cs="Arial"/>
          <w:szCs w:val="24"/>
        </w:rPr>
        <w:t>La trasmissione di dati prevista dalla presente legge tra autorità fiscale e contribuente, rispettivamente terzi legittimati, e viceversa, è possibile anche per via elettronica. Il Consiglio di Stato definisce le condizioni affinché l’autenticità e l’integrità dei dati trasmessi sia garantita.</w:t>
      </w:r>
    </w:p>
    <w:p w:rsidR="0075107C" w:rsidRPr="00845D00" w:rsidRDefault="0075107C" w:rsidP="0075107C">
      <w:pPr>
        <w:rPr>
          <w:rFonts w:cs="Arial"/>
          <w:szCs w:val="24"/>
        </w:rPr>
      </w:pPr>
      <w:r w:rsidRPr="00845D00">
        <w:rPr>
          <w:rFonts w:cs="Arial"/>
          <w:szCs w:val="24"/>
          <w:vertAlign w:val="superscript"/>
        </w:rPr>
        <w:t>2</w:t>
      </w:r>
      <w:r w:rsidRPr="00845D00">
        <w:rPr>
          <w:rFonts w:cs="Arial"/>
          <w:szCs w:val="24"/>
        </w:rPr>
        <w:t>In caso di presentazione per via elettronica di atti scritti per i quali è prevista per legge la firma, l’autorità fiscale può rinunciare a tale firma e prevedere l’obbligo per il contribuente o terzi legittimati di confermare i dati per via elettronica. Il Consiglio di Stato regola i dettagli.</w:t>
      </w:r>
    </w:p>
    <w:p w:rsidR="0075107C" w:rsidRPr="00845D00" w:rsidRDefault="0075107C" w:rsidP="0075107C">
      <w:pPr>
        <w:rPr>
          <w:rFonts w:cs="Arial"/>
          <w:i/>
          <w:szCs w:val="24"/>
        </w:rPr>
      </w:pPr>
      <w:r w:rsidRPr="00845D00">
        <w:rPr>
          <w:rFonts w:cs="Arial"/>
          <w:szCs w:val="24"/>
          <w:vertAlign w:val="superscript"/>
        </w:rPr>
        <w:t>3</w:t>
      </w:r>
      <w:r w:rsidRPr="00845D00">
        <w:rPr>
          <w:rFonts w:cs="Arial"/>
          <w:szCs w:val="24"/>
        </w:rPr>
        <w:t>Al contribuente che adempie le condizioni stabilite dal Consiglio di Stato, l’autorità fiscale può notificare documenti in formato elettronico, previo suo assenso</w:t>
      </w:r>
      <w:r w:rsidRPr="00845D00">
        <w:rPr>
          <w:rFonts w:cs="Arial"/>
          <w:i/>
          <w:szCs w:val="24"/>
        </w:rPr>
        <w:t>.</w:t>
      </w:r>
    </w:p>
    <w:p w:rsidR="0075107C" w:rsidRPr="00845D00" w:rsidRDefault="0075107C" w:rsidP="0075107C">
      <w:pPr>
        <w:rPr>
          <w:rFonts w:cs="Arial"/>
          <w:szCs w:val="24"/>
        </w:rPr>
      </w:pPr>
    </w:p>
    <w:p w:rsidR="0075107C" w:rsidRPr="00845D00" w:rsidRDefault="0075107C" w:rsidP="0075107C">
      <w:pPr>
        <w:rPr>
          <w:rFonts w:cs="Arial"/>
          <w:b/>
          <w:bCs/>
          <w:szCs w:val="24"/>
        </w:rPr>
      </w:pPr>
      <w:r w:rsidRPr="00845D00">
        <w:rPr>
          <w:rFonts w:cs="Arial"/>
          <w:b/>
          <w:bCs/>
          <w:szCs w:val="24"/>
        </w:rPr>
        <w:t>Trattamento e conservazione dei dati</w:t>
      </w:r>
    </w:p>
    <w:p w:rsidR="0075107C" w:rsidRPr="00845D00" w:rsidRDefault="0075107C" w:rsidP="0075107C">
      <w:pPr>
        <w:rPr>
          <w:rFonts w:cs="Arial"/>
          <w:bCs/>
          <w:i/>
          <w:szCs w:val="24"/>
        </w:rPr>
      </w:pPr>
      <w:r w:rsidRPr="00845D00">
        <w:rPr>
          <w:rFonts w:cs="Arial"/>
          <w:b/>
          <w:bCs/>
          <w:szCs w:val="24"/>
        </w:rPr>
        <w:t>Art. 185b</w:t>
      </w:r>
    </w:p>
    <w:p w:rsidR="0075107C" w:rsidRPr="00845D00" w:rsidRDefault="0075107C" w:rsidP="0075107C">
      <w:pPr>
        <w:rPr>
          <w:rFonts w:cs="Arial"/>
          <w:szCs w:val="24"/>
        </w:rPr>
      </w:pPr>
      <w:r w:rsidRPr="00845D00">
        <w:rPr>
          <w:rFonts w:cs="Arial"/>
          <w:szCs w:val="24"/>
          <w:vertAlign w:val="superscript"/>
        </w:rPr>
        <w:t>1</w:t>
      </w:r>
      <w:r w:rsidRPr="00845D00">
        <w:rPr>
          <w:rFonts w:cs="Arial"/>
          <w:szCs w:val="24"/>
        </w:rPr>
        <w:t xml:space="preserve">La Divisione delle contribuzioni gestisce, per l’adempimento dei compiti in virtù della presente legge, un sistema d’informazione. Quest’ultimo può contenere dati personali degni di particolare protezione riguardanti segnatamente sanzioni amministrative e penali </w:t>
      </w:r>
      <w:r w:rsidRPr="00845D00">
        <w:rPr>
          <w:rFonts w:cs="Arial"/>
          <w:szCs w:val="24"/>
        </w:rPr>
        <w:lastRenderedPageBreak/>
        <w:t xml:space="preserve">rilevanti in materia fiscale. La conservazione dei dati può avvenire anche in forma unicamente elettronica. </w:t>
      </w:r>
    </w:p>
    <w:p w:rsidR="0075107C" w:rsidRPr="00845D00" w:rsidRDefault="0075107C" w:rsidP="0075107C">
      <w:pPr>
        <w:rPr>
          <w:rFonts w:cs="Arial"/>
          <w:szCs w:val="24"/>
        </w:rPr>
      </w:pPr>
      <w:r w:rsidRPr="00845D00">
        <w:rPr>
          <w:rFonts w:cs="Arial"/>
          <w:b/>
          <w:szCs w:val="24"/>
          <w:vertAlign w:val="superscript"/>
        </w:rPr>
        <w:t>2</w:t>
      </w:r>
      <w:r w:rsidRPr="00845D00">
        <w:rPr>
          <w:rFonts w:cs="Arial"/>
          <w:szCs w:val="24"/>
        </w:rPr>
        <w:t>Alfine di garantire l’assistenza amministrativa di cui agli articoli 184 e 185, i dati sono trasmessi singolarmente, mediante liste o su supporti elettronici di dati. Possono essere resi accessibili anche mediante una procedura di richiamo. L’assistenza amministrativa è gratuita.</w:t>
      </w:r>
    </w:p>
    <w:p w:rsidR="0075107C" w:rsidRPr="00845D00" w:rsidRDefault="0075107C" w:rsidP="0075107C">
      <w:pPr>
        <w:rPr>
          <w:rFonts w:cs="Arial"/>
          <w:szCs w:val="24"/>
        </w:rPr>
      </w:pPr>
      <w:r w:rsidRPr="00845D00">
        <w:rPr>
          <w:rFonts w:cs="Arial"/>
          <w:szCs w:val="24"/>
          <w:vertAlign w:val="superscript"/>
        </w:rPr>
        <w:t>3</w:t>
      </w:r>
      <w:r w:rsidRPr="00845D00">
        <w:rPr>
          <w:rFonts w:cs="Arial"/>
          <w:szCs w:val="24"/>
        </w:rPr>
        <w:t>Devono essere trasmessi tutti i dati dei contribuenti che possono servire alla tassazione e alla riscossione delle imposte, segnatamente:</w:t>
      </w:r>
    </w:p>
    <w:p w:rsidR="0075107C" w:rsidRPr="00845D00" w:rsidRDefault="0075107C" w:rsidP="0075107C">
      <w:pPr>
        <w:rPr>
          <w:rFonts w:cs="Arial"/>
          <w:szCs w:val="24"/>
        </w:rPr>
      </w:pPr>
      <w:r w:rsidRPr="00845D00">
        <w:rPr>
          <w:rFonts w:cs="Arial"/>
          <w:szCs w:val="24"/>
        </w:rPr>
        <w:t>a) l’identità;</w:t>
      </w:r>
    </w:p>
    <w:p w:rsidR="0075107C" w:rsidRPr="00845D00" w:rsidRDefault="0075107C" w:rsidP="0075107C">
      <w:pPr>
        <w:rPr>
          <w:rFonts w:cs="Arial"/>
          <w:szCs w:val="24"/>
        </w:rPr>
      </w:pPr>
      <w:r w:rsidRPr="00845D00">
        <w:rPr>
          <w:rFonts w:cs="Arial"/>
          <w:szCs w:val="24"/>
        </w:rPr>
        <w:t>b) lo stato civile, il luogo di domicilio e di dimora, il permesso di dimora e l’attività lucrativa;</w:t>
      </w:r>
    </w:p>
    <w:p w:rsidR="0075107C" w:rsidRPr="00845D00" w:rsidRDefault="0075107C" w:rsidP="0075107C">
      <w:pPr>
        <w:rPr>
          <w:rFonts w:cs="Arial"/>
          <w:szCs w:val="24"/>
        </w:rPr>
      </w:pPr>
      <w:r w:rsidRPr="00845D00">
        <w:rPr>
          <w:rFonts w:cs="Arial"/>
          <w:szCs w:val="24"/>
        </w:rPr>
        <w:t>c) gli atti giuridici;</w:t>
      </w:r>
    </w:p>
    <w:p w:rsidR="0075107C" w:rsidRPr="00845D00" w:rsidRDefault="0075107C" w:rsidP="0075107C">
      <w:pPr>
        <w:rPr>
          <w:rFonts w:cs="Arial"/>
          <w:szCs w:val="24"/>
        </w:rPr>
      </w:pPr>
      <w:r w:rsidRPr="00845D00">
        <w:rPr>
          <w:rFonts w:cs="Arial"/>
          <w:szCs w:val="24"/>
        </w:rPr>
        <w:t>d) le prestazioni di un ente pubblico.</w:t>
      </w:r>
    </w:p>
    <w:p w:rsidR="0075107C" w:rsidRPr="00182A45" w:rsidRDefault="0075107C" w:rsidP="0075107C">
      <w:pPr>
        <w:rPr>
          <w:rFonts w:cs="Arial"/>
          <w:sz w:val="20"/>
          <w:szCs w:val="20"/>
        </w:rPr>
      </w:pPr>
    </w:p>
    <w:p w:rsidR="0075107C" w:rsidRPr="00845D00" w:rsidRDefault="0075107C" w:rsidP="0075107C">
      <w:pPr>
        <w:rPr>
          <w:rFonts w:cs="Arial"/>
          <w:b/>
          <w:szCs w:val="24"/>
        </w:rPr>
      </w:pPr>
      <w:r w:rsidRPr="00845D00">
        <w:rPr>
          <w:rFonts w:cs="Arial"/>
          <w:b/>
          <w:szCs w:val="24"/>
        </w:rPr>
        <w:t>Art. 198 cpv. 1-3</w:t>
      </w:r>
    </w:p>
    <w:p w:rsidR="0075107C" w:rsidRPr="00845D00" w:rsidRDefault="0075107C" w:rsidP="0075107C">
      <w:pPr>
        <w:rPr>
          <w:rFonts w:cs="Arial"/>
          <w:szCs w:val="24"/>
        </w:rPr>
      </w:pPr>
      <w:r w:rsidRPr="00845D00">
        <w:rPr>
          <w:rFonts w:cs="Arial"/>
          <w:szCs w:val="24"/>
          <w:vertAlign w:val="superscript"/>
        </w:rPr>
        <w:t>1</w:t>
      </w:r>
      <w:r w:rsidRPr="00845D00">
        <w:rPr>
          <w:rFonts w:cs="Arial"/>
          <w:szCs w:val="24"/>
        </w:rPr>
        <w:t>L’autorità fiscale competente invita i contribuenti, mediante notificazione pubblica, comunicazione personale o invio del modulo, a presentare la dichiarazione d’imposta. Anche i contribuenti che non hanno ricevuto né una comunicazione personale né un modulo devono presentare la dichiarazione d’imposta.</w:t>
      </w:r>
    </w:p>
    <w:p w:rsidR="0075107C" w:rsidRPr="00845D00" w:rsidRDefault="0075107C" w:rsidP="0075107C">
      <w:pPr>
        <w:rPr>
          <w:rFonts w:cs="Arial"/>
          <w:szCs w:val="24"/>
        </w:rPr>
      </w:pPr>
      <w:r w:rsidRPr="00845D00">
        <w:rPr>
          <w:rFonts w:cs="Arial"/>
          <w:szCs w:val="24"/>
          <w:vertAlign w:val="superscript"/>
        </w:rPr>
        <w:t>2</w:t>
      </w:r>
      <w:r w:rsidRPr="00845D00">
        <w:rPr>
          <w:rFonts w:cs="Arial"/>
          <w:szCs w:val="24"/>
        </w:rPr>
        <w:t>Il contribuente deve compilare la dichiarazione d’imposta in modo completo e veritiero, firmarla personalmente e inviarla, con gli allegati prescritti, all’autorità competente entro il termine stabilito.</w:t>
      </w:r>
    </w:p>
    <w:p w:rsidR="0075107C" w:rsidRPr="00845D00" w:rsidRDefault="0075107C" w:rsidP="0075107C">
      <w:pPr>
        <w:rPr>
          <w:rFonts w:cs="Arial"/>
          <w:szCs w:val="24"/>
        </w:rPr>
      </w:pPr>
      <w:r w:rsidRPr="00845D00">
        <w:rPr>
          <w:rFonts w:cs="Arial"/>
          <w:szCs w:val="24"/>
          <w:vertAlign w:val="superscript"/>
        </w:rPr>
        <w:t>2bis</w:t>
      </w:r>
      <w:r w:rsidRPr="00845D00">
        <w:rPr>
          <w:rFonts w:cs="Arial"/>
          <w:szCs w:val="24"/>
        </w:rPr>
        <w:t>In deroga al capoverso 2, le persone giuridiche devono compilare, in modo completo e veritiero, la dichiarazione d’imposta e inviarla, congiuntamente agli allegati prescritti, in formato elettronico. I capoversi 3-5 si applicano per analogia.</w:t>
      </w:r>
    </w:p>
    <w:p w:rsidR="0075107C" w:rsidRPr="00845D00" w:rsidRDefault="0075107C" w:rsidP="0075107C">
      <w:pPr>
        <w:rPr>
          <w:rFonts w:cs="Arial"/>
          <w:szCs w:val="24"/>
        </w:rPr>
      </w:pPr>
      <w:r w:rsidRPr="00845D00">
        <w:rPr>
          <w:rFonts w:cs="Arial"/>
          <w:szCs w:val="24"/>
          <w:vertAlign w:val="superscript"/>
        </w:rPr>
        <w:t>3</w:t>
      </w:r>
      <w:r w:rsidRPr="00845D00">
        <w:rPr>
          <w:rFonts w:cs="Arial"/>
          <w:szCs w:val="24"/>
        </w:rPr>
        <w:t>Il contribuente che omette di inviare la dichiarazione d’imposta o che presenta una dichiarazione d’imposta incompleta è diffidato a rimediarvi entro un congruo termine.</w:t>
      </w:r>
    </w:p>
    <w:p w:rsidR="0075107C" w:rsidRPr="00182A45" w:rsidRDefault="0075107C" w:rsidP="0075107C">
      <w:pPr>
        <w:rPr>
          <w:rFonts w:cs="Arial"/>
          <w:sz w:val="20"/>
          <w:szCs w:val="20"/>
        </w:rPr>
      </w:pPr>
    </w:p>
    <w:p w:rsidR="0075107C" w:rsidRPr="00845D00" w:rsidRDefault="0075107C" w:rsidP="0075107C">
      <w:pPr>
        <w:autoSpaceDE w:val="0"/>
        <w:autoSpaceDN w:val="0"/>
        <w:adjustRightInd w:val="0"/>
        <w:rPr>
          <w:rFonts w:cs="Arial"/>
          <w:b/>
          <w:szCs w:val="24"/>
        </w:rPr>
      </w:pPr>
      <w:r w:rsidRPr="00845D00">
        <w:rPr>
          <w:rFonts w:cs="Arial"/>
          <w:b/>
          <w:szCs w:val="24"/>
        </w:rPr>
        <w:t xml:space="preserve">Art. 276 cpv. 2 </w:t>
      </w:r>
    </w:p>
    <w:p w:rsidR="0075107C" w:rsidRPr="00845D00" w:rsidRDefault="0075107C" w:rsidP="0075107C">
      <w:pPr>
        <w:autoSpaceDE w:val="0"/>
        <w:autoSpaceDN w:val="0"/>
        <w:adjustRightInd w:val="0"/>
        <w:rPr>
          <w:rFonts w:cs="Arial"/>
          <w:color w:val="000000"/>
          <w:szCs w:val="24"/>
          <w:shd w:val="clear" w:color="auto" w:fill="FFFFFF"/>
        </w:rPr>
      </w:pPr>
      <w:r w:rsidRPr="00845D00">
        <w:rPr>
          <w:rFonts w:cs="Arial"/>
          <w:color w:val="000000"/>
          <w:szCs w:val="24"/>
          <w:vertAlign w:val="superscript"/>
        </w:rPr>
        <w:t>2</w:t>
      </w:r>
      <w:r w:rsidRPr="00845D00">
        <w:rPr>
          <w:rFonts w:cs="Arial"/>
          <w:color w:val="000000"/>
          <w:szCs w:val="24"/>
          <w:shd w:val="clear" w:color="auto" w:fill="FFFFFF"/>
        </w:rPr>
        <w:t>Essa è calcolata applicando il moltiplicatore comunale all’imposta cantonale base.</w:t>
      </w:r>
    </w:p>
    <w:p w:rsidR="0075107C" w:rsidRPr="00845D00" w:rsidRDefault="0075107C" w:rsidP="0075107C">
      <w:pPr>
        <w:rPr>
          <w:rFonts w:cs="Arial"/>
          <w:szCs w:val="24"/>
        </w:rPr>
      </w:pPr>
    </w:p>
    <w:p w:rsidR="0075107C" w:rsidRPr="0079095C" w:rsidRDefault="0075107C" w:rsidP="0075107C">
      <w:pPr>
        <w:rPr>
          <w:rFonts w:cs="Arial"/>
          <w:b/>
          <w:szCs w:val="24"/>
        </w:rPr>
      </w:pPr>
      <w:r w:rsidRPr="0079095C">
        <w:rPr>
          <w:rFonts w:cs="Arial"/>
          <w:b/>
          <w:szCs w:val="24"/>
        </w:rPr>
        <w:t>Art. 314c cpv. 2</w:t>
      </w:r>
      <w:r w:rsidRPr="0079095C">
        <w:rPr>
          <w:rFonts w:cs="Arial"/>
          <w:b/>
          <w:szCs w:val="24"/>
          <w:vertAlign w:val="superscript"/>
        </w:rPr>
        <w:t>sexies</w:t>
      </w:r>
      <w:r w:rsidRPr="0079095C">
        <w:rPr>
          <w:rFonts w:cs="Arial"/>
          <w:b/>
          <w:szCs w:val="24"/>
        </w:rPr>
        <w:t xml:space="preserve"> (nuovo)</w:t>
      </w:r>
    </w:p>
    <w:p w:rsidR="0075107C" w:rsidRPr="0079095C" w:rsidRDefault="0075107C" w:rsidP="0075107C">
      <w:pPr>
        <w:rPr>
          <w:rFonts w:cs="Arial"/>
          <w:szCs w:val="24"/>
        </w:rPr>
      </w:pPr>
      <w:r w:rsidRPr="0079095C">
        <w:rPr>
          <w:rFonts w:cs="Arial"/>
          <w:szCs w:val="24"/>
          <w:vertAlign w:val="superscript"/>
        </w:rPr>
        <w:t>2sexies</w:t>
      </w:r>
      <w:r w:rsidRPr="0079095C">
        <w:rPr>
          <w:rFonts w:cs="Arial"/>
          <w:szCs w:val="24"/>
        </w:rPr>
        <w:t>Per il periodo fiscale 2024, ai fini delle aliquote dell’imposta immobiliare cantonale delle persone giuridiche previste dall’articolo 98 si applicano i supplementi d’imposta di cui al capoverso 2.</w:t>
      </w:r>
    </w:p>
    <w:p w:rsidR="0075107C" w:rsidRPr="00845D00" w:rsidRDefault="0075107C" w:rsidP="0075107C">
      <w:pPr>
        <w:rPr>
          <w:rFonts w:cs="Arial"/>
          <w:szCs w:val="24"/>
        </w:rPr>
      </w:pPr>
    </w:p>
    <w:p w:rsidR="0075107C" w:rsidRPr="00845D00" w:rsidRDefault="0075107C" w:rsidP="0075107C">
      <w:pPr>
        <w:rPr>
          <w:rFonts w:cs="Arial"/>
          <w:b/>
          <w:szCs w:val="24"/>
        </w:rPr>
      </w:pPr>
      <w:r w:rsidRPr="00845D00">
        <w:rPr>
          <w:rFonts w:cs="Arial"/>
          <w:b/>
          <w:szCs w:val="24"/>
        </w:rPr>
        <w:t>Collaborazione in materia di imposte federali</w:t>
      </w:r>
    </w:p>
    <w:p w:rsidR="0075107C" w:rsidRPr="00845D00" w:rsidRDefault="0075107C" w:rsidP="0075107C">
      <w:pPr>
        <w:rPr>
          <w:rFonts w:cs="Arial"/>
          <w:b/>
          <w:szCs w:val="24"/>
        </w:rPr>
      </w:pPr>
      <w:r w:rsidRPr="00845D00">
        <w:rPr>
          <w:rFonts w:cs="Arial"/>
          <w:b/>
          <w:szCs w:val="24"/>
        </w:rPr>
        <w:t>Art. 323 cpv. 1</w:t>
      </w:r>
    </w:p>
    <w:p w:rsidR="0075107C" w:rsidRPr="00845D00" w:rsidRDefault="0075107C" w:rsidP="0075107C">
      <w:pPr>
        <w:rPr>
          <w:rFonts w:cs="Arial"/>
          <w:szCs w:val="24"/>
        </w:rPr>
      </w:pPr>
      <w:r w:rsidRPr="00845D00">
        <w:rPr>
          <w:rFonts w:cs="Arial"/>
          <w:szCs w:val="24"/>
          <w:vertAlign w:val="superscript"/>
        </w:rPr>
        <w:t>1</w:t>
      </w:r>
      <w:r w:rsidRPr="00845D00">
        <w:rPr>
          <w:rFonts w:cs="Arial"/>
          <w:szCs w:val="24"/>
        </w:rPr>
        <w:t>Quando in materia di imposta federale diretta, di imposta preventiva, di tassa d’esenzione dall’obbligo militare, di imposta speciale dei grandi gruppi di imprese o di convenzioni internazionali di doppia imposizione è prevista la collaborazione delle autorità cantonali, il Consiglio di Stato è autorizzato a designare le autorità competenti e a stabilire, entro i limiti del diritto federale, le necessarie disposizioni esecutive.</w:t>
      </w:r>
    </w:p>
    <w:p w:rsidR="0075107C" w:rsidRPr="00845D00" w:rsidRDefault="0075107C" w:rsidP="0075107C">
      <w:pPr>
        <w:rPr>
          <w:rFonts w:cs="Arial"/>
          <w:szCs w:val="24"/>
        </w:rPr>
      </w:pPr>
    </w:p>
    <w:p w:rsidR="0075107C" w:rsidRPr="00845D00" w:rsidRDefault="0075107C" w:rsidP="0075107C">
      <w:pPr>
        <w:rPr>
          <w:rFonts w:cs="Arial"/>
          <w:b/>
          <w:bCs/>
          <w:szCs w:val="24"/>
        </w:rPr>
      </w:pPr>
      <w:r w:rsidRPr="00845D00">
        <w:rPr>
          <w:rFonts w:cs="Arial"/>
          <w:b/>
          <w:bCs/>
          <w:szCs w:val="24"/>
        </w:rPr>
        <w:t>II</w:t>
      </w:r>
    </w:p>
    <w:p w:rsidR="0075107C" w:rsidRPr="00845D00" w:rsidRDefault="0075107C" w:rsidP="0075107C">
      <w:pPr>
        <w:rPr>
          <w:rFonts w:cs="Arial"/>
          <w:szCs w:val="24"/>
        </w:rPr>
      </w:pPr>
      <w:r w:rsidRPr="00845D00">
        <w:rPr>
          <w:rFonts w:cs="Arial"/>
          <w:szCs w:val="24"/>
          <w:vertAlign w:val="superscript"/>
        </w:rPr>
        <w:t>1</w:t>
      </w:r>
      <w:r w:rsidRPr="00845D00">
        <w:rPr>
          <w:rFonts w:cs="Arial"/>
          <w:szCs w:val="24"/>
        </w:rPr>
        <w:t>La presente legge sottostà a referendum facoltativo.</w:t>
      </w:r>
    </w:p>
    <w:p w:rsidR="0075107C" w:rsidRPr="00845D00" w:rsidRDefault="0075107C" w:rsidP="0075107C">
      <w:pPr>
        <w:rPr>
          <w:rFonts w:cs="Arial"/>
          <w:szCs w:val="24"/>
        </w:rPr>
      </w:pPr>
      <w:r w:rsidRPr="00845D00">
        <w:rPr>
          <w:rFonts w:cs="Arial"/>
          <w:szCs w:val="24"/>
          <w:vertAlign w:val="superscript"/>
        </w:rPr>
        <w:t>2</w:t>
      </w:r>
      <w:r w:rsidRPr="00845D00">
        <w:rPr>
          <w:rFonts w:cs="Arial"/>
          <w:szCs w:val="24"/>
        </w:rPr>
        <w:t>Essa entra in vigore il 1° gennaio 2024, riservata la disposizione di cui all’articolo 185 capoverso 2, la quale entra retroattivamente in vigore il 1° gennaio 2021 e la disposizione di cui all’articolo 185 capoverso 4, la quale entra in vigore contestualmente all’articolo 112 capoverso 4 della legge federale sull’imposta federale diretta del 14 dicembre 1990 (LIFD).</w:t>
      </w:r>
      <w:r w:rsidRPr="00845D00">
        <w:rPr>
          <w:rFonts w:cs="Arial"/>
          <w:szCs w:val="24"/>
        </w:rPr>
        <w:br/>
      </w:r>
    </w:p>
    <w:p w:rsidR="0075107C" w:rsidRPr="00845D00" w:rsidRDefault="0075107C" w:rsidP="0075107C">
      <w:pPr>
        <w:rPr>
          <w:rFonts w:cs="Arial"/>
          <w:szCs w:val="24"/>
        </w:rPr>
      </w:pPr>
      <w:r w:rsidRPr="00845D00">
        <w:rPr>
          <w:rFonts w:cs="Arial"/>
          <w:szCs w:val="24"/>
        </w:rPr>
        <w:lastRenderedPageBreak/>
        <w:t>Disegno di</w:t>
      </w:r>
    </w:p>
    <w:p w:rsidR="0075107C" w:rsidRPr="00845D00" w:rsidRDefault="0075107C" w:rsidP="0075107C">
      <w:pPr>
        <w:rPr>
          <w:rFonts w:cs="Arial"/>
          <w:szCs w:val="24"/>
        </w:rPr>
      </w:pPr>
    </w:p>
    <w:p w:rsidR="0075107C" w:rsidRPr="00845D00" w:rsidRDefault="0075107C" w:rsidP="0075107C">
      <w:pPr>
        <w:rPr>
          <w:rFonts w:cs="Arial"/>
          <w:b/>
          <w:szCs w:val="24"/>
        </w:rPr>
      </w:pPr>
      <w:r w:rsidRPr="00845D00">
        <w:rPr>
          <w:rFonts w:cs="Arial"/>
          <w:b/>
          <w:szCs w:val="24"/>
        </w:rPr>
        <w:t>Decreto legislativo</w:t>
      </w:r>
    </w:p>
    <w:p w:rsidR="0075107C" w:rsidRPr="00845D00" w:rsidRDefault="0075107C" w:rsidP="0075107C">
      <w:pPr>
        <w:rPr>
          <w:rFonts w:cs="Arial"/>
          <w:b/>
          <w:szCs w:val="24"/>
        </w:rPr>
      </w:pPr>
      <w:r w:rsidRPr="00845D00">
        <w:rPr>
          <w:rFonts w:cs="Arial"/>
          <w:b/>
          <w:szCs w:val="24"/>
        </w:rPr>
        <w:t>concernente la ripartizione tra i Comuni di un montante pari al 10 per cento del versamento delle quote del gettito lordo dell’imposta integrativa spettanti al Cantone in applicazione dell’articolo 197 numero 15 capoverso 6 della Costituzione federale</w:t>
      </w:r>
    </w:p>
    <w:p w:rsidR="0075107C" w:rsidRPr="00845D00" w:rsidRDefault="0075107C" w:rsidP="0075107C">
      <w:pPr>
        <w:rPr>
          <w:rFonts w:cs="Arial"/>
          <w:szCs w:val="24"/>
        </w:rPr>
      </w:pPr>
    </w:p>
    <w:p w:rsidR="0075107C" w:rsidRPr="00845D00" w:rsidRDefault="0075107C" w:rsidP="0075107C">
      <w:pPr>
        <w:rPr>
          <w:rFonts w:cs="Arial"/>
          <w:szCs w:val="24"/>
        </w:rPr>
      </w:pPr>
      <w:r w:rsidRPr="00845D00">
        <w:rPr>
          <w:rFonts w:cs="Arial"/>
          <w:szCs w:val="24"/>
        </w:rPr>
        <w:t xml:space="preserve">IL GRAN CONSIGLIO </w:t>
      </w:r>
    </w:p>
    <w:p w:rsidR="0075107C" w:rsidRPr="00845D00" w:rsidRDefault="0075107C" w:rsidP="0075107C">
      <w:pPr>
        <w:rPr>
          <w:rFonts w:cs="Arial"/>
          <w:szCs w:val="24"/>
        </w:rPr>
      </w:pPr>
      <w:r w:rsidRPr="00845D00">
        <w:rPr>
          <w:rFonts w:cs="Arial"/>
          <w:szCs w:val="24"/>
        </w:rPr>
        <w:t>DELLA REPUBBLICA E CANTONE TICINO</w:t>
      </w:r>
    </w:p>
    <w:p w:rsidR="0075107C" w:rsidRPr="00845D00" w:rsidRDefault="0075107C" w:rsidP="0075107C">
      <w:pPr>
        <w:rPr>
          <w:rFonts w:cs="Arial"/>
          <w:szCs w:val="24"/>
        </w:rPr>
      </w:pPr>
    </w:p>
    <w:p w:rsidR="0075107C" w:rsidRPr="00845D00" w:rsidRDefault="0075107C" w:rsidP="0075107C">
      <w:pPr>
        <w:rPr>
          <w:rFonts w:cs="Arial"/>
          <w:szCs w:val="24"/>
        </w:rPr>
      </w:pPr>
      <w:r w:rsidRPr="00845D00">
        <w:rPr>
          <w:rFonts w:cs="Arial"/>
          <w:szCs w:val="24"/>
        </w:rPr>
        <w:t>visto il messaggio del Consiglio di Stato n. 8329 del 20 settembre 2023,</w:t>
      </w:r>
    </w:p>
    <w:p w:rsidR="0075107C" w:rsidRPr="00845D00" w:rsidRDefault="0075107C" w:rsidP="0075107C">
      <w:pPr>
        <w:rPr>
          <w:rFonts w:cs="Arial"/>
          <w:szCs w:val="24"/>
        </w:rPr>
      </w:pPr>
    </w:p>
    <w:p w:rsidR="0075107C" w:rsidRPr="00845D00" w:rsidRDefault="0075107C" w:rsidP="0075107C">
      <w:pPr>
        <w:rPr>
          <w:rFonts w:cs="Arial"/>
          <w:szCs w:val="24"/>
        </w:rPr>
      </w:pPr>
      <w:r w:rsidRPr="00845D00">
        <w:rPr>
          <w:rFonts w:cs="Arial"/>
          <w:szCs w:val="24"/>
        </w:rPr>
        <w:t>decreta:</w:t>
      </w:r>
    </w:p>
    <w:p w:rsidR="0075107C" w:rsidRPr="00845D00" w:rsidRDefault="0075107C" w:rsidP="0075107C">
      <w:pPr>
        <w:rPr>
          <w:rFonts w:cs="Arial"/>
          <w:szCs w:val="24"/>
        </w:rPr>
      </w:pPr>
    </w:p>
    <w:p w:rsidR="0075107C" w:rsidRPr="00845D00" w:rsidRDefault="0075107C" w:rsidP="0075107C">
      <w:pPr>
        <w:autoSpaceDE w:val="0"/>
        <w:autoSpaceDN w:val="0"/>
        <w:adjustRightInd w:val="0"/>
        <w:rPr>
          <w:rFonts w:cs="Arial"/>
          <w:b/>
          <w:bCs/>
          <w:szCs w:val="24"/>
        </w:rPr>
      </w:pPr>
      <w:r w:rsidRPr="00845D00">
        <w:rPr>
          <w:rFonts w:cs="Arial"/>
          <w:b/>
          <w:bCs/>
          <w:szCs w:val="24"/>
        </w:rPr>
        <w:t>Art. 1</w:t>
      </w:r>
    </w:p>
    <w:p w:rsidR="0075107C" w:rsidRPr="00845D00" w:rsidRDefault="0075107C" w:rsidP="0075107C">
      <w:pPr>
        <w:rPr>
          <w:rFonts w:cs="Arial"/>
          <w:szCs w:val="24"/>
        </w:rPr>
      </w:pPr>
      <w:r w:rsidRPr="00845D00">
        <w:rPr>
          <w:rFonts w:cs="Arial"/>
          <w:szCs w:val="24"/>
          <w:vertAlign w:val="superscript"/>
        </w:rPr>
        <w:t>1</w:t>
      </w:r>
      <w:r w:rsidRPr="00845D00">
        <w:rPr>
          <w:rFonts w:cs="Arial"/>
          <w:szCs w:val="24"/>
        </w:rPr>
        <w:t xml:space="preserve">In applicazione dell’articolo 197 numero 15 capoverso 6 della Costituzione federale è ripartito in favore dei comuni un montante pari al dieci per cento del versamento delle quote del gettito lordo dell’imposta integrativa spettanti al Cantone, dedotta l’indennità trattenuta dal Cantone competente per la tassazione. </w:t>
      </w:r>
    </w:p>
    <w:p w:rsidR="0075107C" w:rsidRPr="00845D00" w:rsidRDefault="0075107C" w:rsidP="0075107C">
      <w:pPr>
        <w:rPr>
          <w:rFonts w:cs="Arial"/>
          <w:szCs w:val="24"/>
        </w:rPr>
      </w:pPr>
      <w:r w:rsidRPr="00845D00">
        <w:rPr>
          <w:rFonts w:cs="Arial"/>
          <w:szCs w:val="24"/>
          <w:vertAlign w:val="superscript"/>
        </w:rPr>
        <w:t>2</w:t>
      </w:r>
      <w:r w:rsidRPr="00845D00">
        <w:rPr>
          <w:rFonts w:cs="Arial"/>
          <w:szCs w:val="24"/>
        </w:rPr>
        <w:t>L’importo è attribuito ai Comuni dove sono assoggettate le unità organizzative e ripartito in funzione delle norme sul riparto intercomunale sull’utile della legge tributaria del 21 giugno 1994 (art. 282 LT).</w:t>
      </w:r>
    </w:p>
    <w:p w:rsidR="0075107C" w:rsidRPr="00845D00" w:rsidRDefault="0075107C" w:rsidP="0075107C">
      <w:pPr>
        <w:rPr>
          <w:rFonts w:cs="Arial"/>
          <w:szCs w:val="24"/>
        </w:rPr>
      </w:pPr>
      <w:r w:rsidRPr="00845D00">
        <w:rPr>
          <w:rFonts w:cs="Arial"/>
          <w:szCs w:val="24"/>
          <w:vertAlign w:val="superscript"/>
        </w:rPr>
        <w:t>3</w:t>
      </w:r>
      <w:r w:rsidRPr="00845D00">
        <w:rPr>
          <w:rFonts w:cs="Arial"/>
          <w:szCs w:val="24"/>
        </w:rPr>
        <w:t xml:space="preserve">Il Consiglio di Stato è competente per regolare i dettagli. </w:t>
      </w:r>
    </w:p>
    <w:p w:rsidR="0075107C" w:rsidRPr="00845D00" w:rsidRDefault="0075107C" w:rsidP="0075107C">
      <w:pPr>
        <w:rPr>
          <w:rFonts w:cs="Arial"/>
          <w:szCs w:val="24"/>
        </w:rPr>
      </w:pPr>
    </w:p>
    <w:p w:rsidR="0075107C" w:rsidRPr="00845D00" w:rsidRDefault="0075107C" w:rsidP="0075107C">
      <w:pPr>
        <w:rPr>
          <w:rFonts w:cs="Arial"/>
          <w:b/>
          <w:bCs/>
          <w:szCs w:val="24"/>
        </w:rPr>
      </w:pPr>
      <w:r w:rsidRPr="00845D00">
        <w:rPr>
          <w:rFonts w:cs="Arial"/>
          <w:b/>
          <w:bCs/>
          <w:szCs w:val="24"/>
        </w:rPr>
        <w:t>Art. 2</w:t>
      </w:r>
    </w:p>
    <w:p w:rsidR="0075107C" w:rsidRPr="00845D00" w:rsidRDefault="0075107C" w:rsidP="0075107C">
      <w:pPr>
        <w:rPr>
          <w:rFonts w:cs="Arial"/>
          <w:szCs w:val="24"/>
        </w:rPr>
      </w:pPr>
      <w:r w:rsidRPr="00845D00">
        <w:rPr>
          <w:rFonts w:cs="Arial"/>
          <w:szCs w:val="24"/>
        </w:rPr>
        <w:t xml:space="preserve">Il versamento delle quote del gettito lordo dell’imposta integrativa spettanti ai comuni avviene in funzione delle decisioni di tassazione cresciute in giudicato e delle imposte incassate dal Cantone. Il versamento è eseguito annualmente. </w:t>
      </w:r>
    </w:p>
    <w:p w:rsidR="0075107C" w:rsidRPr="00845D00" w:rsidRDefault="0075107C" w:rsidP="0075107C">
      <w:pPr>
        <w:rPr>
          <w:rFonts w:cs="Arial"/>
          <w:szCs w:val="24"/>
        </w:rPr>
      </w:pPr>
    </w:p>
    <w:p w:rsidR="0075107C" w:rsidRPr="00845D00" w:rsidRDefault="0075107C" w:rsidP="0075107C">
      <w:pPr>
        <w:rPr>
          <w:rFonts w:cs="Arial"/>
          <w:b/>
          <w:bCs/>
          <w:szCs w:val="24"/>
        </w:rPr>
      </w:pPr>
      <w:r w:rsidRPr="00845D00">
        <w:rPr>
          <w:rFonts w:cs="Arial"/>
          <w:b/>
          <w:bCs/>
          <w:szCs w:val="24"/>
        </w:rPr>
        <w:t>Art. 3</w:t>
      </w:r>
    </w:p>
    <w:p w:rsidR="0075107C" w:rsidRPr="00845D00" w:rsidRDefault="0075107C" w:rsidP="0075107C">
      <w:pPr>
        <w:rPr>
          <w:rFonts w:cs="Arial"/>
          <w:szCs w:val="24"/>
        </w:rPr>
      </w:pPr>
      <w:r w:rsidRPr="00845D00">
        <w:rPr>
          <w:rFonts w:cs="Arial"/>
          <w:szCs w:val="24"/>
          <w:vertAlign w:val="superscript"/>
        </w:rPr>
        <w:t>1</w:t>
      </w:r>
      <w:r w:rsidRPr="00845D00">
        <w:rPr>
          <w:rFonts w:cs="Arial"/>
          <w:szCs w:val="24"/>
        </w:rPr>
        <w:t>La presente legge sottostà a referendum facoltativo.</w:t>
      </w:r>
    </w:p>
    <w:p w:rsidR="0075107C" w:rsidRPr="00845D00" w:rsidRDefault="0075107C" w:rsidP="0075107C">
      <w:pPr>
        <w:rPr>
          <w:rFonts w:cs="Arial"/>
          <w:szCs w:val="24"/>
        </w:rPr>
      </w:pPr>
      <w:r w:rsidRPr="00845D00">
        <w:rPr>
          <w:rFonts w:cs="Arial"/>
          <w:szCs w:val="24"/>
          <w:vertAlign w:val="superscript"/>
        </w:rPr>
        <w:t>2</w:t>
      </w:r>
      <w:r w:rsidRPr="00845D00">
        <w:rPr>
          <w:rFonts w:cs="Arial"/>
          <w:szCs w:val="24"/>
        </w:rPr>
        <w:t>Essa entra in vigore il 1° gennaio 2024.</w:t>
      </w:r>
    </w:p>
    <w:p w:rsidR="0075107C" w:rsidRPr="00845D00" w:rsidRDefault="0075107C" w:rsidP="0075107C">
      <w:pPr>
        <w:rPr>
          <w:rFonts w:cs="Arial"/>
          <w:szCs w:val="24"/>
          <w:highlight w:val="yellow"/>
        </w:rPr>
      </w:pPr>
    </w:p>
    <w:p w:rsidR="00D649A8" w:rsidRPr="00D649A8" w:rsidRDefault="00D649A8" w:rsidP="0075107C">
      <w:pPr>
        <w:pStyle w:val="StandardRisoluzionedelConsigliodiStato"/>
        <w:ind w:right="-1"/>
      </w:pPr>
    </w:p>
    <w:sectPr w:rsidR="00D649A8" w:rsidRPr="00D649A8"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220" w:rsidRDefault="00B84220" w:rsidP="00F657BF">
      <w:r>
        <w:separator/>
      </w:r>
    </w:p>
  </w:endnote>
  <w:endnote w:type="continuationSeparator" w:id="0">
    <w:p w:rsidR="00B84220" w:rsidRDefault="00B8422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E00" w:rsidRDefault="007F7E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707AE3" w:rsidP="00912E34">
          <w:pPr>
            <w:tabs>
              <w:tab w:val="center" w:pos="2382"/>
            </w:tabs>
          </w:pPr>
        </w:p>
      </w:tc>
      <w:tc>
        <w:tcPr>
          <w:tcW w:w="721" w:type="dxa"/>
        </w:tcPr>
        <w:p w:rsidR="00912E34" w:rsidRPr="003D1008" w:rsidRDefault="00F14D43"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F14D43"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707AE3"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707AE3">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220" w:rsidRDefault="00B84220" w:rsidP="00F657BF">
      <w:r>
        <w:separator/>
      </w:r>
    </w:p>
  </w:footnote>
  <w:footnote w:type="continuationSeparator" w:id="0">
    <w:p w:rsidR="00B84220" w:rsidRDefault="00B84220" w:rsidP="00F657BF">
      <w:r>
        <w:continuationSeparator/>
      </w:r>
    </w:p>
  </w:footnote>
  <w:footnote w:id="1">
    <w:p w:rsidR="0075107C" w:rsidRPr="00FB0FCC" w:rsidRDefault="0075107C" w:rsidP="0075107C">
      <w:pPr>
        <w:pStyle w:val="Testonotaapidipagina"/>
        <w:rPr>
          <w:sz w:val="18"/>
          <w:szCs w:val="18"/>
          <w:lang w:val="it-CH"/>
        </w:rPr>
      </w:pPr>
      <w:r w:rsidRPr="00FB0FCC">
        <w:rPr>
          <w:rStyle w:val="Rimandonotaapidipagina"/>
          <w:sz w:val="18"/>
          <w:szCs w:val="18"/>
        </w:rPr>
        <w:footnoteRef/>
      </w:r>
      <w:r w:rsidRPr="00FB0FCC">
        <w:rPr>
          <w:sz w:val="18"/>
          <w:szCs w:val="18"/>
          <w:lang w:val="it-CH"/>
        </w:rPr>
        <w:t xml:space="preserve"> Legge tributaria del 21 giugno 1994, RL 640.100.</w:t>
      </w:r>
    </w:p>
  </w:footnote>
  <w:footnote w:id="2">
    <w:p w:rsidR="0075107C" w:rsidRPr="00FB0FCC" w:rsidRDefault="0075107C" w:rsidP="0075107C">
      <w:pPr>
        <w:pStyle w:val="Testonotaapidipagina"/>
        <w:rPr>
          <w:sz w:val="18"/>
          <w:szCs w:val="18"/>
          <w:lang w:val="it-CH"/>
        </w:rPr>
      </w:pPr>
      <w:r w:rsidRPr="00FB0FCC">
        <w:rPr>
          <w:rStyle w:val="Rimandonotaapidipagina"/>
          <w:sz w:val="18"/>
          <w:szCs w:val="18"/>
        </w:rPr>
        <w:footnoteRef/>
      </w:r>
      <w:r w:rsidRPr="00FB0FCC">
        <w:rPr>
          <w:sz w:val="18"/>
          <w:szCs w:val="18"/>
          <w:lang w:val="it-CH"/>
        </w:rPr>
        <w:t xml:space="preserve"> Legge federale del 14 dicembre 1990 sull’armonizzazione delle imposte dirette dei Cantoni e dei Comuni, RS 642.14.</w:t>
      </w:r>
    </w:p>
  </w:footnote>
  <w:footnote w:id="3">
    <w:p w:rsidR="0075107C" w:rsidRPr="007F7E00" w:rsidRDefault="0075107C" w:rsidP="0075107C">
      <w:pPr>
        <w:pStyle w:val="Testonotaapidipagina"/>
        <w:rPr>
          <w:lang w:val="it-CH"/>
        </w:rPr>
      </w:pPr>
      <w:r w:rsidRPr="00FB0FCC">
        <w:rPr>
          <w:rStyle w:val="Rimandonotaapidipagina"/>
          <w:sz w:val="18"/>
          <w:szCs w:val="18"/>
        </w:rPr>
        <w:footnoteRef/>
      </w:r>
      <w:r w:rsidRPr="00FB0FCC">
        <w:rPr>
          <w:sz w:val="18"/>
          <w:szCs w:val="18"/>
          <w:lang w:val="it-CH"/>
        </w:rPr>
        <w:t xml:space="preserve"> Legge federale del 14 dicembre 1990 sull’imposta federale diretta, RS 642.11.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E00" w:rsidRDefault="007F7E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5F045AFB-DC5F-43C5-971B-9FF2BD748A58}"/>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252BB9"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rsidR="005012EC" w:rsidRPr="004204CB" w:rsidRDefault="00F14D43" w:rsidP="00662409">
          <w:pPr>
            <w:pStyle w:val="Page"/>
            <w:jc w:val="right"/>
          </w:pPr>
          <w:r w:rsidRPr="004204CB">
            <w:fldChar w:fldCharType="begin"/>
          </w:r>
          <w:r w:rsidRPr="004204CB">
            <w:instrText xml:space="preserve"> PAGE   \* MERGEFORMAT </w:instrText>
          </w:r>
          <w:r w:rsidRPr="004204CB">
            <w:fldChar w:fldCharType="separate"/>
          </w:r>
          <w:r w:rsidR="004103A0">
            <w:rPr>
              <w:noProof/>
            </w:rPr>
            <w:t>12</w:t>
          </w:r>
          <w:r w:rsidRPr="004204CB">
            <w:fldChar w:fldCharType="end"/>
          </w:r>
          <w:r w:rsidRPr="004204CB">
            <w:t xml:space="preserve"> di </w:t>
          </w:r>
          <w:fldSimple w:instr=" NUMPAGES   \* MERGEFORMAT ">
            <w:r w:rsidR="004103A0">
              <w:rPr>
                <w:noProof/>
              </w:rPr>
              <w:t>12</w:t>
            </w:r>
          </w:fldSimple>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F045AFB-DC5F-43C5-971B-9FF2BD748A58}"/>
          <w:text w:multiLine="1"/>
        </w:sdtPr>
        <w:sdtEndPr/>
        <w:sdtContent>
          <w:tc>
            <w:tcPr>
              <w:tcW w:w="8383" w:type="dxa"/>
              <w:tcBorders>
                <w:left w:val="single" w:sz="4" w:space="0" w:color="auto"/>
              </w:tcBorders>
              <w:tcMar>
                <w:top w:w="0" w:type="dxa"/>
                <w:left w:w="142" w:type="dxa"/>
              </w:tcMar>
            </w:tcPr>
            <w:p w:rsidR="005012EC" w:rsidRPr="007F7E00" w:rsidRDefault="007F7E00"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8329 R del 3 ottobre 2023</w:t>
              </w:r>
            </w:p>
          </w:tc>
        </w:sdtContent>
      </w:sdt>
      <w:tc>
        <w:tcPr>
          <w:tcW w:w="1710" w:type="dxa"/>
          <w:tcBorders>
            <w:top w:val="single" w:sz="4" w:space="0" w:color="auto"/>
          </w:tcBorders>
        </w:tcPr>
        <w:p w:rsidR="005012EC" w:rsidRPr="007F7E00" w:rsidRDefault="00707AE3" w:rsidP="00662409">
          <w:pPr>
            <w:pStyle w:val="InvisibleLine"/>
            <w:rPr>
              <w:lang w:val="it-CH"/>
            </w:rPr>
          </w:pPr>
        </w:p>
      </w:tc>
    </w:tr>
  </w:tbl>
  <w:p w:rsidR="00F657BF" w:rsidRPr="00980362" w:rsidRDefault="00F14D43"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F045AFB-DC5F-43C5-971B-9FF2BD748A58}"/>
                            <w:text w:multiLine="1"/>
                          </w:sdtPr>
                          <w:sdtEndPr/>
                          <w:sdtContent>
                            <w:p w:rsidR="008065E8" w:rsidRPr="00411371" w:rsidRDefault="00F14D43"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2DF686EF-EAC5-4604-9E9B-8F322D09F586}"/>
                      <w:text w:multiLine="1"/>
                    </w:sdtPr>
                    <w:sdtEndPr/>
                    <w:sdtContent>
                      <w:p w:rsidR="008065E8" w:rsidRPr="00411371" w:rsidRDefault="00F14D43"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707AE3" w:rsidP="00D07D6E">
          <w:pPr>
            <w:pStyle w:val="InvisibleLine"/>
            <w:ind w:left="150"/>
            <w:rPr>
              <w:sz w:val="16"/>
            </w:rPr>
          </w:pPr>
        </w:p>
      </w:tc>
      <w:tc>
        <w:tcPr>
          <w:tcW w:w="373" w:type="pct"/>
          <w:tcBorders>
            <w:top w:val="nil"/>
            <w:bottom w:val="single" w:sz="4" w:space="0" w:color="auto"/>
          </w:tcBorders>
          <w:vAlign w:val="bottom"/>
        </w:tcPr>
        <w:p w:rsidR="00662409" w:rsidRPr="003108C0" w:rsidRDefault="00707AE3" w:rsidP="00D07D6E">
          <w:pPr>
            <w:pStyle w:val="Level"/>
            <w:ind w:left="150"/>
            <w:rPr>
              <w:sz w:val="16"/>
            </w:rPr>
          </w:pPr>
        </w:p>
      </w:tc>
      <w:tc>
        <w:tcPr>
          <w:tcW w:w="209" w:type="pct"/>
          <w:tcBorders>
            <w:top w:val="nil"/>
            <w:bottom w:val="single" w:sz="4" w:space="0" w:color="auto"/>
          </w:tcBorders>
        </w:tcPr>
        <w:p w:rsidR="00662409" w:rsidRDefault="00F14D43"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68914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F14D43"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4103A0">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4103A0">
            <w:rPr>
              <w:rFonts w:asciiTheme="minorHAnsi" w:hAnsiTheme="minorHAnsi" w:cstheme="minorHAnsi"/>
              <w:noProof/>
              <w:sz w:val="24"/>
            </w:rPr>
            <w:t>12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F045AFB-DC5F-43C5-971B-9FF2BD748A58}"/>
          <w:text w:multiLine="1"/>
        </w:sdtPr>
        <w:sdtEndPr/>
        <w:sdtContent>
          <w:tc>
            <w:tcPr>
              <w:tcW w:w="5000" w:type="pct"/>
              <w:gridSpan w:val="6"/>
              <w:tcBorders>
                <w:left w:val="nil"/>
                <w:right w:val="nil"/>
              </w:tcBorders>
              <w:noWrap/>
              <w:tcMar>
                <w:top w:w="0" w:type="dxa"/>
              </w:tcMar>
              <w:vAlign w:val="bottom"/>
            </w:tcPr>
            <w:p w:rsidR="00662409" w:rsidRPr="008C03B5" w:rsidRDefault="00252BB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F14D43"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707AE3"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F14D43"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707AE3"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F14D43"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707AE3"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707AE3"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F045AFB-DC5F-43C5-971B-9FF2BD748A58}"/>
              <w:text w:multiLine="1"/>
            </w:sdtPr>
            <w:sdtEndPr/>
            <w:sdtContent>
              <w:r w:rsidR="007F7E00">
                <w:rPr>
                  <w:rFonts w:cstheme="minorHAnsi"/>
                  <w:b/>
                  <w:sz w:val="24"/>
                  <w:szCs w:val="24"/>
                </w:rPr>
                <w:t>8329 R</w:t>
              </w:r>
            </w:sdtContent>
          </w:sdt>
        </w:p>
      </w:tc>
      <w:sdt>
        <w:sdtPr>
          <w:alias w:val="DocParam.Date"/>
          <w:id w:val="-464426178"/>
          <w:dataBinding w:xpath="//DateTime[@id='DocParam.Date']" w:storeItemID="{5F045AFB-DC5F-43C5-971B-9FF2BD748A58}"/>
          <w:date w:fullDate="2023-10-03T02: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2A0371" w:rsidRDefault="007F7E00" w:rsidP="00A532F6">
              <w:pPr>
                <w:pStyle w:val="Data"/>
              </w:pPr>
              <w:r>
                <w:t>3 ottobre 2023</w:t>
              </w:r>
            </w:p>
          </w:tc>
        </w:sdtContent>
      </w:sdt>
      <w:tc>
        <w:tcPr>
          <w:tcW w:w="3218" w:type="pct"/>
          <w:gridSpan w:val="4"/>
          <w:tcBorders>
            <w:top w:val="nil"/>
            <w:left w:val="nil"/>
            <w:bottom w:val="nil"/>
            <w:right w:val="nil"/>
          </w:tcBorders>
        </w:tcPr>
        <w:p w:rsidR="008C03B5" w:rsidRPr="00BE22A2" w:rsidRDefault="00707AE3"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F045AFB-DC5F-43C5-971B-9FF2BD748A58}"/>
              <w:text w:multiLine="1"/>
            </w:sdtPr>
            <w:sdtEndPr/>
            <w:sdtContent>
              <w:r w:rsidR="00252BB9">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707AE3" w:rsidP="00D07D6E">
          <w:pPr>
            <w:pStyle w:val="Level"/>
            <w:ind w:left="150"/>
            <w:rPr>
              <w:rFonts w:ascii="Gill Alt One MT Light" w:hAnsi="Gill Alt One MT Light"/>
              <w:sz w:val="16"/>
              <w:szCs w:val="16"/>
            </w:rPr>
          </w:pPr>
        </w:p>
      </w:tc>
    </w:tr>
  </w:tbl>
  <w:p w:rsidR="00F657BF" w:rsidRPr="00DA2879" w:rsidRDefault="00F14D43"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4985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F045AFB-DC5F-43C5-971B-9FF2BD748A58}"/>
                            <w:text w:multiLine="1"/>
                          </w:sdtPr>
                          <w:sdtEndPr/>
                          <w:sdtContent>
                            <w:p w:rsidR="00E93620" w:rsidRPr="00411371" w:rsidRDefault="00F14D43"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2DF686EF-EAC5-4604-9E9B-8F322D09F586}"/>
                      <w:text w:multiLine="1"/>
                    </w:sdtPr>
                    <w:sdtEndPr/>
                    <w:sdtContent>
                      <w:p w:rsidR="00E93620" w:rsidRPr="00411371" w:rsidRDefault="00F14D43"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C095E63"/>
    <w:multiLevelType w:val="hybridMultilevel"/>
    <w:tmpl w:val="895ABC52"/>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40D620C3"/>
    <w:multiLevelType w:val="hybridMultilevel"/>
    <w:tmpl w:val="CBFC3304"/>
    <w:lvl w:ilvl="0" w:tplc="AFC6EF16">
      <w:start w:val="1"/>
      <w:numFmt w:val="decimal"/>
      <w:lvlText w:val="%1."/>
      <w:lvlJc w:val="left"/>
      <w:pPr>
        <w:ind w:left="720" w:hanging="360"/>
      </w:pPr>
      <w:rPr>
        <w:b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42345D8"/>
    <w:multiLevelType w:val="hybridMultilevel"/>
    <w:tmpl w:val="B5B6AA92"/>
    <w:lvl w:ilvl="0" w:tplc="08100017">
      <w:start w:val="1"/>
      <w:numFmt w:val="lowerLetter"/>
      <w:lvlText w:val="%1)"/>
      <w:lvlJc w:val="left"/>
      <w:pPr>
        <w:ind w:left="1637" w:hanging="360"/>
      </w:pPr>
      <w:rPr>
        <w:rFonts w:hint="default"/>
        <w:color w:val="auto"/>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7F9A02DB"/>
    <w:multiLevelType w:val="hybridMultilevel"/>
    <w:tmpl w:val="3A4009F0"/>
    <w:lvl w:ilvl="0" w:tplc="254657CC">
      <w:start w:val="1"/>
      <w:numFmt w:val="bullet"/>
      <w:lvlText w:val="-"/>
      <w:lvlJc w:val="left"/>
      <w:pPr>
        <w:ind w:left="994" w:hanging="360"/>
      </w:pPr>
      <w:rPr>
        <w:rFonts w:ascii="Arial" w:eastAsia="Times New Roman" w:hAnsi="Arial" w:cs="Arial" w:hint="default"/>
      </w:rPr>
    </w:lvl>
    <w:lvl w:ilvl="1" w:tplc="04100019" w:tentative="1">
      <w:start w:val="1"/>
      <w:numFmt w:val="lowerLetter"/>
      <w:lvlText w:val="%2."/>
      <w:lvlJc w:val="left"/>
      <w:pPr>
        <w:ind w:left="1714" w:hanging="360"/>
      </w:pPr>
    </w:lvl>
    <w:lvl w:ilvl="2" w:tplc="0410001B">
      <w:start w:val="1"/>
      <w:numFmt w:val="lowerRoman"/>
      <w:lvlText w:val="%3."/>
      <w:lvlJc w:val="right"/>
      <w:pPr>
        <w:ind w:left="2434" w:hanging="180"/>
      </w:pPr>
    </w:lvl>
    <w:lvl w:ilvl="3" w:tplc="0410000F" w:tentative="1">
      <w:start w:val="1"/>
      <w:numFmt w:val="decimal"/>
      <w:lvlText w:val="%4."/>
      <w:lvlJc w:val="left"/>
      <w:pPr>
        <w:ind w:left="3154" w:hanging="360"/>
      </w:pPr>
    </w:lvl>
    <w:lvl w:ilvl="4" w:tplc="04100019" w:tentative="1">
      <w:start w:val="1"/>
      <w:numFmt w:val="lowerLetter"/>
      <w:lvlText w:val="%5."/>
      <w:lvlJc w:val="left"/>
      <w:pPr>
        <w:ind w:left="3874" w:hanging="360"/>
      </w:pPr>
    </w:lvl>
    <w:lvl w:ilvl="5" w:tplc="0410001B" w:tentative="1">
      <w:start w:val="1"/>
      <w:numFmt w:val="lowerRoman"/>
      <w:lvlText w:val="%6."/>
      <w:lvlJc w:val="right"/>
      <w:pPr>
        <w:ind w:left="4594" w:hanging="180"/>
      </w:pPr>
    </w:lvl>
    <w:lvl w:ilvl="6" w:tplc="0410000F" w:tentative="1">
      <w:start w:val="1"/>
      <w:numFmt w:val="decimal"/>
      <w:lvlText w:val="%7."/>
      <w:lvlJc w:val="left"/>
      <w:pPr>
        <w:ind w:left="5314" w:hanging="360"/>
      </w:pPr>
    </w:lvl>
    <w:lvl w:ilvl="7" w:tplc="04100019" w:tentative="1">
      <w:start w:val="1"/>
      <w:numFmt w:val="lowerLetter"/>
      <w:lvlText w:val="%8."/>
      <w:lvlJc w:val="left"/>
      <w:pPr>
        <w:ind w:left="6034" w:hanging="360"/>
      </w:pPr>
    </w:lvl>
    <w:lvl w:ilvl="8" w:tplc="0410001B" w:tentative="1">
      <w:start w:val="1"/>
      <w:numFmt w:val="lowerRoman"/>
      <w:lvlText w:val="%9."/>
      <w:lvlJc w:val="right"/>
      <w:pPr>
        <w:ind w:left="6754" w:hanging="180"/>
      </w:pPr>
    </w:lvl>
  </w:abstractNum>
  <w:num w:numId="1">
    <w:abstractNumId w:val="11"/>
  </w:num>
  <w:num w:numId="2">
    <w:abstractNumId w:val="19"/>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8"/>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6"/>
  </w:num>
  <w:num w:numId="19">
    <w:abstractNumId w:val="20"/>
  </w:num>
  <w:num w:numId="20">
    <w:abstractNumId w:val="17"/>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7C"/>
    <w:rsid w:val="00182A45"/>
    <w:rsid w:val="001D2548"/>
    <w:rsid w:val="001E1E3D"/>
    <w:rsid w:val="00252BB9"/>
    <w:rsid w:val="002B5D9F"/>
    <w:rsid w:val="002C226C"/>
    <w:rsid w:val="003B756D"/>
    <w:rsid w:val="003E4141"/>
    <w:rsid w:val="00403ADB"/>
    <w:rsid w:val="004103A0"/>
    <w:rsid w:val="00572FD3"/>
    <w:rsid w:val="005E0B74"/>
    <w:rsid w:val="00661B9D"/>
    <w:rsid w:val="00694C30"/>
    <w:rsid w:val="00707AE3"/>
    <w:rsid w:val="0075107C"/>
    <w:rsid w:val="007F7E00"/>
    <w:rsid w:val="00811183"/>
    <w:rsid w:val="00815FED"/>
    <w:rsid w:val="008720C4"/>
    <w:rsid w:val="00876351"/>
    <w:rsid w:val="008C04FB"/>
    <w:rsid w:val="008F52AF"/>
    <w:rsid w:val="00947EA5"/>
    <w:rsid w:val="009C5E5A"/>
    <w:rsid w:val="00A64076"/>
    <w:rsid w:val="00A8154A"/>
    <w:rsid w:val="00AF0268"/>
    <w:rsid w:val="00AF689D"/>
    <w:rsid w:val="00B84220"/>
    <w:rsid w:val="00BF0A1F"/>
    <w:rsid w:val="00BF439D"/>
    <w:rsid w:val="00C1752D"/>
    <w:rsid w:val="00C66464"/>
    <w:rsid w:val="00C74D17"/>
    <w:rsid w:val="00D33940"/>
    <w:rsid w:val="00D600FD"/>
    <w:rsid w:val="00D649A8"/>
    <w:rsid w:val="00EA44D0"/>
    <w:rsid w:val="00EB088A"/>
    <w:rsid w:val="00EB4B97"/>
    <w:rsid w:val="00ED5EED"/>
    <w:rsid w:val="00EF4EFE"/>
    <w:rsid w:val="00F14D43"/>
    <w:rsid w:val="00F3512B"/>
    <w:rsid w:val="00F657BF"/>
    <w:rsid w:val="00FB0F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A65CC1C-F6F7-4899-872B-CFE1AA58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107C"/>
    <w:rPr>
      <w:rFonts w:ascii="Arial" w:eastAsia="Calibri" w:hAnsi="Arial" w:cs="Times New Roman"/>
      <w:sz w:val="24"/>
      <w:lang w:val="it-CH"/>
    </w:rPr>
  </w:style>
  <w:style w:type="paragraph" w:styleId="Titolo1">
    <w:name w:val="heading 1"/>
    <w:basedOn w:val="Normale"/>
    <w:next w:val="Normale"/>
    <w:link w:val="Titolo1Carattere"/>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rPr>
      <w:szCs w:val="24"/>
    </w:rPr>
  </w:style>
  <w:style w:type="paragraph" w:customStyle="1" w:styleId="ListNumeric12">
    <w:name w:val="ListNumeric12"/>
    <w:basedOn w:val="ListNumeric"/>
    <w:qFormat/>
    <w:rsid w:val="0040086C"/>
    <w:rPr>
      <w:szCs w:val="24"/>
    </w:rPr>
  </w:style>
  <w:style w:type="paragraph" w:customStyle="1" w:styleId="ListBullet12">
    <w:name w:val="ListBullet12"/>
    <w:basedOn w:val="ListBullet"/>
    <w:qFormat/>
    <w:rsid w:val="0040086C"/>
    <w:rPr>
      <w:szCs w:val="24"/>
    </w:rPr>
  </w:style>
  <w:style w:type="paragraph" w:customStyle="1" w:styleId="ListLine12">
    <w:name w:val="ListLine12"/>
    <w:basedOn w:val="ListLine"/>
    <w:qFormat/>
    <w:rsid w:val="0040086C"/>
    <w:rPr>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Default">
    <w:name w:val="Default"/>
    <w:rsid w:val="0075107C"/>
    <w:pPr>
      <w:autoSpaceDE w:val="0"/>
      <w:autoSpaceDN w:val="0"/>
      <w:adjustRightInd w:val="0"/>
      <w:jc w:val="left"/>
    </w:pPr>
    <w:rPr>
      <w:rFonts w:ascii="Arial" w:eastAsia="Times New Roman" w:hAnsi="Arial" w:cs="Arial"/>
      <w:color w:val="000000"/>
      <w:sz w:val="24"/>
      <w:szCs w:val="24"/>
      <w:lang w:val="it-CH" w:eastAsia="it-CH"/>
    </w:rPr>
  </w:style>
  <w:style w:type="table" w:customStyle="1" w:styleId="Grigliatabella1">
    <w:name w:val="Griglia tabella1"/>
    <w:basedOn w:val="Tabellanormale"/>
    <w:next w:val="Grigliatabella"/>
    <w:uiPriority w:val="59"/>
    <w:rsid w:val="0075107C"/>
    <w:pPr>
      <w:jc w:val="left"/>
    </w:pPr>
    <w:rPr>
      <w:rFonts w:ascii="Calibri" w:eastAsia="Calibri" w:hAnsi="Calibri" w:cs="Times New Roman"/>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75107C"/>
    <w:pPr>
      <w:spacing w:before="100" w:beforeAutospacing="1" w:after="100" w:afterAutospacing="1"/>
      <w:jc w:val="left"/>
    </w:pPr>
    <w:rPr>
      <w:rFonts w:ascii="Times New Roman" w:eastAsia="Times New Roman" w:hAnsi="Times New Roman"/>
      <w:szCs w:val="24"/>
      <w:lang w:val="it-IT" w:eastAsia="it-IT"/>
    </w:rPr>
  </w:style>
  <w:style w:type="table" w:styleId="Grigliatabella">
    <w:name w:val="Table Grid"/>
    <w:basedOn w:val="Tabellanormale"/>
    <w:uiPriority w:val="59"/>
    <w:rsid w:val="0075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F7E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7E00"/>
    <w:rPr>
      <w:rFonts w:ascii="Segoe UI" w:eastAsia="Calibr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54037\AppData\Local\Temp\OneOffixx\generated\ba3e5c7a-6ff0-48c3-b647-d262dd47858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1689140393</Id>
      <Width>0</Width>
      <Height>0</Height>
      <XPath>//Image[@id='Profile.Org.WappenSW']</XPath>
      <ImageHash>02f1c0cdac6aeac316213b2e7cb733a0</ImageHash>
    </ImageSizeDefinition>
    <ImageSizeDefinition>
      <Id>349854314</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0 3 3 9 f 7 f 8 - 9 0 2 4 - 4 4 b 7 - 8 8 5 a - 0 f e 5 e e 8 b 3 0 e 4 "   t I d = " a 3 6 2 a 5 d 4 - 9 5 8 9 - 4 1 b f - a 4 e 6 - 4 f 8 7 c 4 e 4 1 2 3 9 "   i n t e r n a l T I d = " 9 0 6 4 c c 7 f - 3 1 6 d - 4 6 b 1 - a 4 a c - 7 4 8 6 0 c 3 f 8 a 5 b "   m t I d = " 2 7 5 a f 3 2 e - b c 4 0 - 4 5 c 2 - 8 5 b 7 - a f b 1 c 0 3 8 2 6 5 3 "   r e v i s i o n = " 0 "   c r e a t e d m a j o r v e r s i o n = " 0 "   c r e a t e d m i n o r v e r s i o n = " 0 "   c r e a t e d = " 2 0 2 3 - 1 0 - 0 3 T 1 3 : 0 6 : 0 3 . 1 7 0 0 2 8 6 Z "   m o d i f i e d m a j o r v e r s i o n = " 0 "   m o d i f i e d m i n o r v e r s i o n = " 0 "   m o d i f i e d = " 0 0 0 1 - 0 1 - 0 1 T 0 0 : 0 0 : 0 0 "   p r o f i l e = " f 1 8 3 3 c d b - 6 0 3 6 - 4 1 8 d - a 7 7 e - 0 a c 7 a 9 a d 2 8 c 9 "   m o d e = " S a v e d D o c u m e n t "   c o l o r m o d e = " C o l o r "   l c i d = " 2 0 6 4 "   x m l n s = " h t t p : / / s c h e m a . o n e o f f i x x . c o m / O n e O f f i x x D o c u m e n t P a r t / 1 " >  
     < C o n t e n t >  
         < D a t a M o d e l   x m l n s = " " >  
             < P r o f i l e >  
                 < T e x t   i d = " P r o f i l e . I d "   l a b e l = " P r o f i l e . I d " > < ! [ C D A T A [ f 1 8 3 3 c d b - 6 0 3 6 - 4 1 8 d - a 7 7 e - 0 a c 7 a 9 a d 2 8 c 9 ] ] > < / 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t t e o . G i o t t o n i n i @ t i . c h ] ] > < / T e x t >  
                 < T e x t   i d = " P r o f i l e . U s e r . F i r s t N a m e "   l a b e l = " P r o f i l e . U s e r . F i r s t N a m e " > < ! [ C D A T A [ M a t t e o ] ] > < / T e x t >  
                 < T e x t   i d = " P r o f i l e . U s e r . F u n c t i o n "   l a b e l = " P r o f i l e . U s e r . F u n c t i o n " > < ! [ C D A T A [ S G C ] ] > < / T e x t >  
                 < T e x t   i d = " P r o f i l e . U s e r . L a s t N a m e "   l a b e l = " P r o f i l e . U s e r . L a s t N a m e " > < ! [ C D A T A [ G i o t t o n i n i ] ] > < / T e x t >  
                 < T e x t   i d = " P r o f i l e . U s e r . M o b i l e "   l a b e l = " P r o f i l e . U s e r . M o b i l e " > < ! [ C D A T A [   ] ] > < / T e x t >  
                 < T e x t   i d = " P r o f i l e . U s e r . P h o n e "   l a b e l = " P r o f i l e . U s e r . P h o n e " > < ! [ C D A T A [ + 4 1 9 1 8 1 4 4 3 6 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t t e o . G i o t t o n i n i @ t i . c h ] ] > < / T e x t >  
                 < T e x t   i d = " A u t h o r . U s e r . F i r s t N a m e "   l a b e l = " A u t h o r . U s e r . F i r s t N a m e " > < ! [ C D A T A [ M a t t e o ] ] > < / T e x t >  
                 < T e x t   i d = " A u t h o r . U s e r . F u n c t i o n "   l a b e l = " A u t h o r . U s e r . F u n c t i o n " > < ! [ C D A T A [ S G C ] ] > < / T e x t >  
                 < T e x t   i d = " A u t h o r . U s e r . L a s t N a m e "   l a b e l = " A u t h o r . U s e r . L a s t N a m e " > < ! [ C D A T A [ G i o t t o n i n i ] ] > < / T e x t >  
                 < T e x t   i d = " A u t h o r . U s e r . M o b i l e "   l a b e l = " A u t h o r . U s e r . M o b i l e " > < ! [ C D A T A [   ] ] > < / T e x t >  
                 < T e x t   i d = " A u t h o r . U s e r . P h o n e "   l a b e l = " A u t h o r . U s e r . P h o n e " > < ! [ C D A T A [ + 4 1 9 1 8 1 4 4 3 6 8 ] ] > < / T e x t >  
                 < T e x t   i d = " A u t h o r . U s e r . S a l u t a t i o n "   l a b e l = " A u t h o r . U s e r . S a l u t a t i o n " > < ! [ C D A T A [   ] ] > < / T e x t >  
                 < T e x t   i d = " A u t h o r . U s e r . T i t l e "   l a b e l = " A u t h o r . U s e r . T i t l e " > < ! [ C D A T A [   ] ] > < / T e x t >  
             < / A u t h o r >  
             < S i g n e r _ 0 >  
                 < T e x t   i d = " S i g n e r _ 0 . I d "   l a b e l = " S i g n e r _ 0 . I d " > < ! [ C D A T A [ f 1 8 3 3 c d b - 6 0 3 6 - 4 1 8 d - a 7 7 e - 0 a c 7 a 9 a d 2 8 c 9 ] ] > < / 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M a t t e o . G i o t t o n i n i @ t i . c h ] ] > < / T e x t >  
                 < T e x t   i d = " S i g n e r _ 0 . U s e r . F i r s t N a m e "   l a b e l = " S i g n e r _ 0 . U s e r . F i r s t N a m e " > < ! [ C D A T A [ M a t t e o ] ] > < / T e x t >  
                 < T e x t   i d = " S i g n e r _ 0 . U s e r . F u n c t i o n "   l a b e l = " S i g n e r _ 0 . U s e r . F u n c t i o n " > < ! [ C D A T A [ S G C ] ] > < / T e x t >  
                 < T e x t   i d = " S i g n e r _ 0 . U s e r . L a s t N a m e "   l a b e l = " S i g n e r _ 0 . U s e r . L a s t N a m e " > < ! [ C D A T A [ G i o t t o n i n i ] ] > < / T e x t >  
                 < T e x t   i d = " S i g n e r _ 0 . U s e r . M o b i l e "   l a b e l = " S i g n e r _ 0 . U s e r . M o b i l e " > < ! [ C D A T A [   ] ] > < / T e x t >  
                 < T e x t   i d = " S i g n e r _ 0 . U s e r . P h o n e "   l a b e l = " S i g n e r _ 0 . U s e r . P h o n e " > < ! [ C D A T A [ + 4 1 9 1 8 1 4 4 3 6 8 ] ] > < / 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n .   8 3 2 9   R   d e l   0 3   o t t o b r e 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T e x t >  
                 < T e x t   i d = " C u s t o m E l e m e n t s . F i e l d s . T i t o l o 2 "   l a b e l = " C u s t o m E l e m e n t s . F i e l d s . T i t o l o 2 " > < ! [ C D A T A [ R a p p o r t o   n .   8 3 2 9   R   d e l   3   o t t o b r e   2 0 2 3 ] ] > < / 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 2 0 2 3 - 1 0 - 0 3 T 0 0 : 0 0 : 0 0 Z < / D a t e T i m e >  
                 < T e x t   i d = " D o c P a r a m . N u m b e r " > < ! [ C D A T A [ 8 3 2 9 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A4CC4C8-C79D-425B-BADE-50EE4A8D6A69}">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5F045AFB-DC5F-43C5-971B-9FF2BD748A58}">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ba3e5c7a-6ff0-48c3-b647-d262dd478586.dotx</Template>
  <TotalTime>19</TotalTime>
  <Pages>12</Pages>
  <Words>4181</Words>
  <Characters>23667</Characters>
  <Application>Microsoft Office Word</Application>
  <DocSecurity>0</DocSecurity>
  <Lines>622</Lines>
  <Paragraphs>253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Giottonini Matteo / T154037</dc:creator>
  <cp:lastModifiedBy>Venturi Luca</cp:lastModifiedBy>
  <cp:revision>29</cp:revision>
  <cp:lastPrinted>2023-10-03T14:16:00Z</cp:lastPrinted>
  <dcterms:created xsi:type="dcterms:W3CDTF">2023-10-03T13:58:00Z</dcterms:created>
  <dcterms:modified xsi:type="dcterms:W3CDTF">2023-10-03T14:23:00Z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