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867318" w:rsidRDefault="00867318" w:rsidP="00D33940">
      <w:pPr>
        <w:pStyle w:val="StandardRisoluzionedelConsigliodiStato"/>
        <w:ind w:right="-1"/>
        <w:rPr>
          <w:b/>
          <w:sz w:val="28"/>
          <w:szCs w:val="28"/>
        </w:rPr>
      </w:pPr>
      <w:bookmarkStart w:id="0" w:name="_GoBack"/>
      <w:bookmarkEnd w:id="0"/>
      <w:r w:rsidRPr="00867318">
        <w:rPr>
          <w:b/>
          <w:sz w:val="28"/>
          <w:szCs w:val="28"/>
        </w:rPr>
        <w:t>della Commissione Costituzione e leggi</w:t>
      </w:r>
    </w:p>
    <w:p w:rsidR="00867318" w:rsidRDefault="00867318" w:rsidP="00867318">
      <w:pPr>
        <w:spacing w:after="57"/>
        <w:rPr>
          <w:rFonts w:cs="Arial"/>
          <w:b/>
          <w:sz w:val="28"/>
          <w:szCs w:val="28"/>
          <w:lang w:val="it-IT"/>
        </w:rPr>
      </w:pPr>
      <w:r w:rsidRPr="00867318">
        <w:rPr>
          <w:rFonts w:cs="Arial"/>
          <w:b/>
          <w:sz w:val="28"/>
          <w:szCs w:val="28"/>
          <w:lang w:val="it-IT"/>
        </w:rPr>
        <w:t>s</w:t>
      </w:r>
      <w:r>
        <w:rPr>
          <w:rFonts w:cs="Arial"/>
          <w:b/>
          <w:sz w:val="28"/>
          <w:szCs w:val="28"/>
          <w:lang w:val="it-IT"/>
        </w:rPr>
        <w:t xml:space="preserve">ulla mozione 25 gennaio 2022 presentata da </w:t>
      </w:r>
      <w:r w:rsidRPr="00867318">
        <w:rPr>
          <w:rFonts w:cs="Arial"/>
          <w:b/>
          <w:sz w:val="28"/>
          <w:szCs w:val="28"/>
          <w:lang w:val="it-IT"/>
        </w:rPr>
        <w:t xml:space="preserve">Matteo Pronzini </w:t>
      </w:r>
      <w:r>
        <w:rPr>
          <w:rFonts w:cs="Arial"/>
          <w:b/>
          <w:sz w:val="28"/>
          <w:szCs w:val="28"/>
          <w:lang w:val="it-IT"/>
        </w:rPr>
        <w:t>e cofirmatarie per MPS-POP-Indipendenti “</w:t>
      </w:r>
      <w:r w:rsidRPr="00867318">
        <w:rPr>
          <w:rFonts w:cs="Arial"/>
          <w:b/>
          <w:sz w:val="28"/>
          <w:szCs w:val="28"/>
          <w:lang w:val="it-IT"/>
        </w:rPr>
        <w:t>Censura delle prese di posizione dei collegi dei docenti sul superamento dei livelli: logica autoritaria di Bertoli e de</w:t>
      </w:r>
      <w:r>
        <w:rPr>
          <w:rFonts w:cs="Arial"/>
          <w:b/>
          <w:sz w:val="28"/>
          <w:szCs w:val="28"/>
          <w:lang w:val="it-IT"/>
        </w:rPr>
        <w:t>l Governo deve essere bloccata!”</w:t>
      </w:r>
    </w:p>
    <w:p w:rsidR="00867318" w:rsidRPr="00867318" w:rsidRDefault="00867318" w:rsidP="00867318">
      <w:pPr>
        <w:spacing w:before="120"/>
        <w:rPr>
          <w:rFonts w:cs="Arial"/>
          <w:b/>
          <w:sz w:val="26"/>
          <w:szCs w:val="26"/>
          <w:lang w:val="it-IT"/>
        </w:rPr>
      </w:pPr>
      <w:r w:rsidRPr="00867318">
        <w:rPr>
          <w:rFonts w:cs="Arial"/>
          <w:b/>
          <w:sz w:val="26"/>
          <w:szCs w:val="26"/>
          <w:lang w:val="it-IT"/>
        </w:rPr>
        <w:t>(v. messaggio 23 febbraio 2022 n. 8120)</w:t>
      </w:r>
    </w:p>
    <w:p w:rsidR="00867318" w:rsidRPr="00867318" w:rsidRDefault="00867318" w:rsidP="00867318">
      <w:pPr>
        <w:spacing w:after="57"/>
        <w:rPr>
          <w:b/>
          <w:sz w:val="28"/>
          <w:szCs w:val="28"/>
          <w:lang w:val="it-IT"/>
        </w:rPr>
      </w:pPr>
    </w:p>
    <w:p w:rsidR="00867318" w:rsidRPr="00867318" w:rsidRDefault="00867318" w:rsidP="00867318">
      <w:pPr>
        <w:spacing w:after="57"/>
        <w:rPr>
          <w:sz w:val="24"/>
          <w:szCs w:val="24"/>
          <w:lang w:val="it-IT"/>
        </w:rPr>
      </w:pPr>
    </w:p>
    <w:p w:rsidR="00867318" w:rsidRPr="00867318" w:rsidRDefault="00867318" w:rsidP="00B22E16">
      <w:pPr>
        <w:pStyle w:val="Titolo1"/>
        <w:tabs>
          <w:tab w:val="left" w:pos="567"/>
        </w:tabs>
        <w:spacing w:before="0"/>
        <w:ind w:left="567" w:hanging="567"/>
        <w:jc w:val="both"/>
        <w:rPr>
          <w:rFonts w:eastAsia="Calibri" w:cs="Times New Roman"/>
          <w:caps/>
          <w:sz w:val="24"/>
          <w:szCs w:val="24"/>
          <w:lang w:val="it-IT" w:eastAsia="it-IT"/>
        </w:rPr>
      </w:pPr>
      <w:r w:rsidRPr="00867318">
        <w:rPr>
          <w:rFonts w:eastAsia="Calibri" w:cs="Times New Roman"/>
          <w:caps/>
          <w:sz w:val="24"/>
          <w:szCs w:val="24"/>
          <w:lang w:val="it-IT" w:eastAsia="it-IT"/>
        </w:rPr>
        <w:t xml:space="preserve">1. </w:t>
      </w:r>
      <w:r w:rsidR="00B22E16">
        <w:rPr>
          <w:rFonts w:eastAsia="Calibri" w:cs="Times New Roman"/>
          <w:caps/>
          <w:sz w:val="24"/>
          <w:szCs w:val="24"/>
          <w:lang w:val="it-IT" w:eastAsia="it-IT"/>
        </w:rPr>
        <w:tab/>
      </w:r>
      <w:r w:rsidRPr="00867318">
        <w:rPr>
          <w:rFonts w:eastAsia="Calibri" w:cs="Times New Roman"/>
          <w:caps/>
          <w:sz w:val="24"/>
          <w:szCs w:val="24"/>
          <w:lang w:val="it-IT" w:eastAsia="it-IT"/>
        </w:rPr>
        <w:t>LA RICHIESTA DELLA MOZIONE</w:t>
      </w:r>
    </w:p>
    <w:p w:rsidR="00867318" w:rsidRPr="00867318" w:rsidRDefault="00867318" w:rsidP="00B22E16">
      <w:pPr>
        <w:spacing w:after="120"/>
        <w:rPr>
          <w:rFonts w:cs="Arial"/>
          <w:color w:val="000000"/>
          <w:sz w:val="24"/>
          <w:szCs w:val="24"/>
          <w:lang w:val="it-IT"/>
        </w:rPr>
      </w:pPr>
      <w:r w:rsidRPr="00867318">
        <w:rPr>
          <w:rFonts w:cs="Arial"/>
          <w:color w:val="000000"/>
          <w:sz w:val="24"/>
          <w:szCs w:val="24"/>
          <w:lang w:val="it-IT"/>
        </w:rPr>
        <w:t>La mozione del MPS con Matteo Pronzini come primo firmatario chiede al Consiglio di Stato di elaborare:</w:t>
      </w:r>
    </w:p>
    <w:p w:rsidR="00867318" w:rsidRPr="00867318" w:rsidRDefault="00867318" w:rsidP="00E20DB8">
      <w:pPr>
        <w:spacing w:after="240"/>
        <w:ind w:right="414"/>
        <w:rPr>
          <w:i/>
          <w:sz w:val="24"/>
          <w:szCs w:val="24"/>
          <w:lang w:val="it-IT"/>
        </w:rPr>
      </w:pPr>
      <w:r w:rsidRPr="00867318">
        <w:rPr>
          <w:rFonts w:cs="Arial"/>
          <w:i/>
          <w:color w:val="000000"/>
          <w:sz w:val="24"/>
          <w:szCs w:val="24"/>
          <w:lang w:val="it-IT"/>
        </w:rPr>
        <w:t xml:space="preserve">«una proposta di legge con la quale venga sancito l’obbligo alla pubblicazione delle prese di posizioni su consultazioni promosse dal Governo e dai suoi Dipartimenti. Tale obbligo deve riguardare anche le prese di posizioni di organismi interni all’Amministrazione cantonale e agli istituti scolastici». </w:t>
      </w:r>
    </w:p>
    <w:p w:rsidR="00867318" w:rsidRPr="00867318" w:rsidRDefault="00867318" w:rsidP="00B22E16">
      <w:pPr>
        <w:rPr>
          <w:sz w:val="24"/>
          <w:szCs w:val="24"/>
          <w:lang w:val="it-IT"/>
        </w:rPr>
      </w:pPr>
      <w:r w:rsidRPr="00867318">
        <w:rPr>
          <w:rFonts w:cs="Arial"/>
          <w:color w:val="000000"/>
          <w:sz w:val="24"/>
          <w:szCs w:val="24"/>
          <w:lang w:val="it-IT"/>
        </w:rPr>
        <w:t>L'atto parlamentare è scaturito a seguito della consultazione promossa nel settembre 2021 dal DECS sul progetto pilota dei laboratori e il superamento dei livelli A e B in terza media.</w:t>
      </w:r>
    </w:p>
    <w:p w:rsidR="00867318" w:rsidRDefault="00867318" w:rsidP="00867318">
      <w:pPr>
        <w:spacing w:after="57"/>
        <w:rPr>
          <w:sz w:val="24"/>
          <w:szCs w:val="24"/>
          <w:lang w:val="it-IT"/>
        </w:rPr>
      </w:pPr>
    </w:p>
    <w:p w:rsidR="00B22E16" w:rsidRPr="00867318" w:rsidRDefault="00B22E16" w:rsidP="00867318">
      <w:pPr>
        <w:spacing w:after="57"/>
        <w:rPr>
          <w:sz w:val="24"/>
          <w:szCs w:val="24"/>
          <w:lang w:val="it-IT"/>
        </w:rPr>
      </w:pPr>
    </w:p>
    <w:p w:rsidR="00867318" w:rsidRPr="00867318" w:rsidRDefault="00867318" w:rsidP="00B22E16">
      <w:pPr>
        <w:pStyle w:val="Titolo1"/>
        <w:tabs>
          <w:tab w:val="left" w:pos="567"/>
        </w:tabs>
        <w:spacing w:before="0"/>
        <w:ind w:left="567" w:hanging="567"/>
        <w:jc w:val="both"/>
        <w:rPr>
          <w:rFonts w:eastAsia="Calibri" w:cs="Times New Roman"/>
          <w:caps/>
          <w:sz w:val="24"/>
          <w:szCs w:val="24"/>
          <w:lang w:val="it-IT" w:eastAsia="it-IT"/>
        </w:rPr>
      </w:pPr>
      <w:r w:rsidRPr="00867318">
        <w:rPr>
          <w:rFonts w:eastAsia="Calibri" w:cs="Times New Roman"/>
          <w:caps/>
          <w:sz w:val="24"/>
          <w:szCs w:val="24"/>
          <w:lang w:val="it-IT" w:eastAsia="it-IT"/>
        </w:rPr>
        <w:t xml:space="preserve">2. </w:t>
      </w:r>
      <w:r w:rsidR="00B22E16">
        <w:rPr>
          <w:rFonts w:eastAsia="Calibri" w:cs="Times New Roman"/>
          <w:caps/>
          <w:sz w:val="24"/>
          <w:szCs w:val="24"/>
          <w:lang w:val="it-IT" w:eastAsia="it-IT"/>
        </w:rPr>
        <w:tab/>
      </w:r>
      <w:r w:rsidRPr="00867318">
        <w:rPr>
          <w:rFonts w:eastAsia="Calibri" w:cs="Times New Roman"/>
          <w:caps/>
          <w:sz w:val="24"/>
          <w:szCs w:val="24"/>
          <w:lang w:val="it-IT" w:eastAsia="it-IT"/>
        </w:rPr>
        <w:t>LA RISPOSTA DEL GOVERNO</w:t>
      </w:r>
    </w:p>
    <w:p w:rsidR="00867318" w:rsidRPr="00867318" w:rsidRDefault="00867318" w:rsidP="00B22E16">
      <w:pPr>
        <w:rPr>
          <w:sz w:val="24"/>
          <w:szCs w:val="24"/>
          <w:lang w:val="it-IT"/>
        </w:rPr>
      </w:pPr>
      <w:r w:rsidRPr="00867318">
        <w:rPr>
          <w:rFonts w:cs="Arial"/>
          <w:color w:val="000000"/>
          <w:sz w:val="24"/>
          <w:szCs w:val="24"/>
          <w:lang w:val="it-IT"/>
        </w:rPr>
        <w:t>Nel suo rapporto sulla mozione (</w:t>
      </w:r>
      <w:hyperlink r:id="rId11" w:history="1">
        <w:r w:rsidR="00B22E16" w:rsidRPr="00B22E16">
          <w:rPr>
            <w:rFonts w:cs="Arial"/>
            <w:sz w:val="24"/>
            <w:szCs w:val="24"/>
            <w:lang w:val="it-IT"/>
          </w:rPr>
          <w:t xml:space="preserve">messaggio n. </w:t>
        </w:r>
        <w:r w:rsidRPr="00B22E16">
          <w:rPr>
            <w:rFonts w:cs="Arial"/>
            <w:sz w:val="24"/>
            <w:szCs w:val="24"/>
            <w:lang w:val="it-IT"/>
          </w:rPr>
          <w:t>8120</w:t>
        </w:r>
      </w:hyperlink>
      <w:r w:rsidRPr="00867318">
        <w:rPr>
          <w:rFonts w:cs="Arial"/>
          <w:color w:val="000000"/>
          <w:sz w:val="24"/>
          <w:szCs w:val="24"/>
          <w:lang w:val="it-IT"/>
        </w:rPr>
        <w:t xml:space="preserve"> del 23 febbraio 2022), il Consiglio di Stato rileva innanzitutto che il titolo dell'atto parlamentare è fuorviante e in secondo luogo che la mozione non è lo strumento per proporre nuove leggi o decreti (l’articolo 105 LGC). Aggiunge poi che «</w:t>
      </w:r>
      <w:r w:rsidRPr="00867318">
        <w:rPr>
          <w:rFonts w:cs="Arial"/>
          <w:i/>
          <w:color w:val="000000"/>
          <w:sz w:val="24"/>
          <w:szCs w:val="24"/>
          <w:lang w:val="it-IT"/>
        </w:rPr>
        <w:t>secondo l’articolo 71 capoverso 2 della Costituzione cantonale, nell’esercizio delle sue competenze legislative, il Consiglio di Stato può consultare i Comuni, i partiti politici e altre organizzazioni. Tale norma è già di per sé sufficiente per svolgere le consultazioni e ciò rende superflua l’adozione di una base legale specifica</w:t>
      </w:r>
      <w:r w:rsidRPr="00867318">
        <w:rPr>
          <w:rFonts w:cs="Arial"/>
          <w:color w:val="000000"/>
          <w:sz w:val="24"/>
          <w:szCs w:val="24"/>
          <w:lang w:val="it-IT"/>
        </w:rPr>
        <w:t xml:space="preserve">». </w:t>
      </w:r>
    </w:p>
    <w:p w:rsidR="00867318" w:rsidRPr="00867318" w:rsidRDefault="00867318" w:rsidP="00B22E16">
      <w:pPr>
        <w:rPr>
          <w:sz w:val="24"/>
          <w:szCs w:val="24"/>
          <w:lang w:val="it-IT"/>
        </w:rPr>
      </w:pPr>
    </w:p>
    <w:p w:rsidR="00867318" w:rsidRPr="00867318" w:rsidRDefault="00867318" w:rsidP="00B22E16">
      <w:pPr>
        <w:rPr>
          <w:sz w:val="24"/>
          <w:szCs w:val="24"/>
          <w:lang w:val="it-IT"/>
        </w:rPr>
      </w:pPr>
      <w:r w:rsidRPr="00867318">
        <w:rPr>
          <w:rFonts w:cs="Arial"/>
          <w:color w:val="000000"/>
          <w:sz w:val="24"/>
          <w:szCs w:val="24"/>
          <w:lang w:val="it-IT"/>
        </w:rPr>
        <w:t xml:space="preserve">Di seguito il Governo annuncia di aver contemporaneamente licenziato, mediante il messaggio n. 8121 del 23 febbraio 2022, un rapporto su un’altra mozione riguardante le procedure di consultazione su progetti cantonali. Si tratta dell’atto parlamentare di Giovanni Berardi per PPD+GG, inoltrato il giorno successivo a quello di Matteo Pronzini. Questa seconda mozione chiedeva al Consiglio di Stato di elaborare direttive che disciplinano la pubblicazione in forma elettronica dei pareri presentati dai partecipanti alle procedure di consultazione su progetti cantonali. </w:t>
      </w:r>
    </w:p>
    <w:p w:rsidR="00867318" w:rsidRPr="00867318" w:rsidRDefault="00867318" w:rsidP="00B22E16">
      <w:pPr>
        <w:rPr>
          <w:sz w:val="24"/>
          <w:szCs w:val="24"/>
          <w:lang w:val="it-IT"/>
        </w:rPr>
      </w:pPr>
    </w:p>
    <w:p w:rsidR="00867318" w:rsidRPr="00867318" w:rsidRDefault="00867318" w:rsidP="00B22E16">
      <w:pPr>
        <w:rPr>
          <w:sz w:val="24"/>
          <w:szCs w:val="24"/>
          <w:lang w:val="it-IT"/>
        </w:rPr>
      </w:pPr>
      <w:r w:rsidRPr="00867318">
        <w:rPr>
          <w:rFonts w:cs="Arial"/>
          <w:color w:val="000000"/>
          <w:sz w:val="24"/>
          <w:szCs w:val="24"/>
          <w:lang w:val="it-IT"/>
        </w:rPr>
        <w:t>Poiché il Consiglio di Stato ha accolto le proposte formulate nella mozione Berardi esso conclude scrivendo che «</w:t>
      </w:r>
      <w:r w:rsidRPr="00867318">
        <w:rPr>
          <w:rFonts w:cs="Arial"/>
          <w:i/>
          <w:color w:val="000000"/>
          <w:sz w:val="24"/>
          <w:szCs w:val="24"/>
          <w:lang w:val="it-IT"/>
        </w:rPr>
        <w:t>questa è divenuta vincolante riguardo alla pubblicazione dei pareri, riservata una decisione diversa del Gran Consiglio</w:t>
      </w:r>
      <w:r w:rsidRPr="00867318">
        <w:rPr>
          <w:rFonts w:cs="Arial"/>
          <w:color w:val="000000"/>
          <w:sz w:val="24"/>
          <w:szCs w:val="24"/>
          <w:lang w:val="it-IT"/>
        </w:rPr>
        <w:t xml:space="preserve">» e spiega di aver elaborato delle </w:t>
      </w:r>
      <w:r w:rsidRPr="00867318">
        <w:rPr>
          <w:rFonts w:cs="Arial"/>
          <w:color w:val="000000"/>
          <w:sz w:val="24"/>
          <w:szCs w:val="24"/>
          <w:lang w:val="it-IT"/>
        </w:rPr>
        <w:lastRenderedPageBreak/>
        <w:t>direttive che stabiliscono la pubblicazione dei pareri presentati e di una loro sintesi. Pertanto nelle sue conclusioni, il Consiglio di Stato «</w:t>
      </w:r>
      <w:r w:rsidRPr="00867318">
        <w:rPr>
          <w:rFonts w:cs="Arial"/>
          <w:i/>
          <w:color w:val="000000"/>
          <w:sz w:val="24"/>
          <w:szCs w:val="24"/>
          <w:lang w:val="it-IT"/>
        </w:rPr>
        <w:t>invita il Gran Consiglio a respingere la mozione del 25 gennaio 2022, rilevando che l’obiettivo della trasparenza perseguito dalla mozione è raggiunto mediante l’adozione delle direttive che stabiliscono la pubblicazione dei pareri presentati</w:t>
      </w:r>
      <w:r w:rsidRPr="00867318">
        <w:rPr>
          <w:rFonts w:cs="Arial"/>
          <w:color w:val="000000"/>
          <w:sz w:val="24"/>
          <w:szCs w:val="24"/>
          <w:lang w:val="it-IT"/>
        </w:rPr>
        <w:t>».</w:t>
      </w:r>
    </w:p>
    <w:p w:rsidR="00867318" w:rsidRDefault="00867318" w:rsidP="00B22E16">
      <w:pPr>
        <w:rPr>
          <w:sz w:val="24"/>
          <w:szCs w:val="24"/>
          <w:lang w:val="it-IT"/>
        </w:rPr>
      </w:pPr>
    </w:p>
    <w:p w:rsidR="00B22E16" w:rsidRPr="00867318" w:rsidRDefault="00B22E16" w:rsidP="00B22E16">
      <w:pPr>
        <w:rPr>
          <w:sz w:val="24"/>
          <w:szCs w:val="24"/>
          <w:lang w:val="it-IT"/>
        </w:rPr>
      </w:pPr>
    </w:p>
    <w:p w:rsidR="00867318" w:rsidRPr="00867318" w:rsidRDefault="00867318" w:rsidP="00E20DB8">
      <w:pPr>
        <w:pStyle w:val="Titolo1"/>
        <w:tabs>
          <w:tab w:val="left" w:pos="567"/>
        </w:tabs>
        <w:spacing w:before="0"/>
        <w:ind w:left="567" w:hanging="567"/>
        <w:jc w:val="both"/>
        <w:rPr>
          <w:rFonts w:eastAsia="Calibri" w:cs="Times New Roman"/>
          <w:caps/>
          <w:sz w:val="24"/>
          <w:szCs w:val="24"/>
          <w:lang w:val="it-IT" w:eastAsia="it-IT"/>
        </w:rPr>
      </w:pPr>
      <w:r w:rsidRPr="00867318">
        <w:rPr>
          <w:rFonts w:eastAsia="Calibri" w:cs="Times New Roman"/>
          <w:caps/>
          <w:sz w:val="24"/>
          <w:szCs w:val="24"/>
          <w:lang w:val="it-IT" w:eastAsia="it-IT"/>
        </w:rPr>
        <w:t xml:space="preserve">3. </w:t>
      </w:r>
      <w:r w:rsidR="00B22E16" w:rsidRPr="00E20DB8">
        <w:rPr>
          <w:rFonts w:eastAsia="Calibri" w:cs="Times New Roman"/>
          <w:caps/>
          <w:sz w:val="24"/>
          <w:szCs w:val="24"/>
          <w:lang w:val="it-IT" w:eastAsia="it-IT"/>
        </w:rPr>
        <w:tab/>
      </w:r>
      <w:r w:rsidRPr="00867318">
        <w:rPr>
          <w:rFonts w:eastAsia="Calibri" w:cs="Times New Roman"/>
          <w:caps/>
          <w:sz w:val="24"/>
          <w:szCs w:val="24"/>
          <w:lang w:val="it-IT" w:eastAsia="it-IT"/>
        </w:rPr>
        <w:t>ANALISI COMMISSIONALE</w:t>
      </w:r>
    </w:p>
    <w:p w:rsidR="00867318" w:rsidRPr="00867318" w:rsidRDefault="00867318" w:rsidP="00B22E16">
      <w:pPr>
        <w:pStyle w:val="Titolo2"/>
        <w:numPr>
          <w:ilvl w:val="0"/>
          <w:numId w:val="0"/>
        </w:numPr>
        <w:tabs>
          <w:tab w:val="left" w:pos="567"/>
        </w:tabs>
        <w:spacing w:before="0" w:after="120"/>
        <w:jc w:val="both"/>
        <w:rPr>
          <w:rFonts w:eastAsia="Calibri" w:cs="Times New Roman"/>
          <w:sz w:val="24"/>
          <w:lang w:val="it-IT" w:eastAsia="it-IT"/>
        </w:rPr>
      </w:pPr>
      <w:r w:rsidRPr="00867318">
        <w:rPr>
          <w:rFonts w:eastAsia="Calibri" w:cs="Times New Roman"/>
          <w:sz w:val="24"/>
          <w:lang w:val="it-IT" w:eastAsia="it-IT"/>
        </w:rPr>
        <w:t xml:space="preserve">3.1 </w:t>
      </w:r>
      <w:r w:rsidR="00B22E16">
        <w:rPr>
          <w:rFonts w:eastAsia="Calibri" w:cs="Times New Roman"/>
          <w:sz w:val="24"/>
          <w:lang w:val="it-IT" w:eastAsia="it-IT"/>
        </w:rPr>
        <w:tab/>
      </w:r>
      <w:r w:rsidRPr="00867318">
        <w:rPr>
          <w:rFonts w:eastAsia="Calibri" w:cs="Times New Roman"/>
          <w:sz w:val="24"/>
          <w:lang w:val="it-IT" w:eastAsia="it-IT"/>
        </w:rPr>
        <w:t>Antefatti</w:t>
      </w:r>
    </w:p>
    <w:p w:rsidR="00867318" w:rsidRPr="00867318" w:rsidRDefault="00867318" w:rsidP="00B22E16">
      <w:pPr>
        <w:rPr>
          <w:sz w:val="24"/>
          <w:szCs w:val="24"/>
          <w:lang w:val="it-IT"/>
        </w:rPr>
      </w:pPr>
      <w:r w:rsidRPr="00867318">
        <w:rPr>
          <w:rFonts w:cs="Arial"/>
          <w:color w:val="000000"/>
          <w:sz w:val="24"/>
          <w:szCs w:val="24"/>
          <w:lang w:val="it-IT"/>
        </w:rPr>
        <w:t>Le consultazioni sono un elemento tipico e importante della</w:t>
      </w:r>
      <w:r w:rsidRPr="00867318">
        <w:rPr>
          <w:rFonts w:cs="Helvetica"/>
          <w:sz w:val="24"/>
          <w:szCs w:val="24"/>
          <w:lang w:val="it-IT"/>
        </w:rPr>
        <w:t xml:space="preserve"> </w:t>
      </w:r>
      <w:r w:rsidRPr="00867318">
        <w:rPr>
          <w:rFonts w:cs="Arial"/>
          <w:color w:val="000000"/>
          <w:sz w:val="24"/>
          <w:szCs w:val="24"/>
          <w:lang w:val="it-IT"/>
        </w:rPr>
        <w:t>cultura politica svizzera, sia per garantire la necessaria partecipazione dei cittadini alle decisioni dello Stato, sia per la sua struttura di democrazia semi-diretta. Esse hanno lo scopo di far partecipare i Comuni, i partiti politici e la società civile, al processo di formazione dell’opinione del Consiglio di Stato. L’informazione e le consultazioni sono un compito istituzionale, previsto dalla Costituzione e dalla Legge sull’informazione e sulla trasparenza.</w:t>
      </w:r>
    </w:p>
    <w:p w:rsidR="00867318" w:rsidRPr="00867318" w:rsidRDefault="00867318" w:rsidP="00B22E16">
      <w:pPr>
        <w:rPr>
          <w:rFonts w:cs="Arial"/>
          <w:color w:val="000000"/>
          <w:sz w:val="24"/>
          <w:szCs w:val="24"/>
          <w:lang w:val="it-IT"/>
        </w:rPr>
      </w:pPr>
    </w:p>
    <w:p w:rsidR="00867318" w:rsidRDefault="00867318" w:rsidP="00B22E16">
      <w:pPr>
        <w:shd w:val="clear" w:color="auto" w:fill="FFFFFF" w:themeFill="background1"/>
        <w:rPr>
          <w:rFonts w:cs="Arial"/>
          <w:color w:val="000000"/>
          <w:sz w:val="24"/>
          <w:szCs w:val="24"/>
          <w:lang w:val="it-IT"/>
        </w:rPr>
      </w:pPr>
      <w:r w:rsidRPr="00867318">
        <w:rPr>
          <w:rFonts w:cs="Arial"/>
          <w:color w:val="000000"/>
          <w:sz w:val="24"/>
          <w:szCs w:val="24"/>
          <w:lang w:val="it-IT"/>
        </w:rPr>
        <w:t xml:space="preserve">Prima del 2015 le procedure di consultazione non erano regolamentate ma lasciate alla decisione autonoma dei Dipartimenti. Poi, nell’ambito dell’esame della petizione del 24 novembre 2014 presentata dall’associazione dei Comuni Ticinesi (ACT) “Regolamento per la procedura di consultazione”, la Commissione petizioni e ricorsi era giunta alla conclusione, nel suo rapporto del 9 marzo 2015 all’indirizzo del Gran Consiglio, di darvi seguito. </w:t>
      </w:r>
    </w:p>
    <w:p w:rsidR="00B22E16" w:rsidRPr="00867318" w:rsidRDefault="00B22E16" w:rsidP="00B22E16">
      <w:pPr>
        <w:shd w:val="clear" w:color="auto" w:fill="FFFFFF" w:themeFill="background1"/>
        <w:rPr>
          <w:sz w:val="24"/>
          <w:szCs w:val="24"/>
          <w:lang w:val="it-IT"/>
        </w:rPr>
      </w:pPr>
    </w:p>
    <w:p w:rsidR="00867318" w:rsidRDefault="00867318" w:rsidP="00B22E16">
      <w:pPr>
        <w:rPr>
          <w:rFonts w:cs="Arial"/>
          <w:color w:val="000000"/>
          <w:sz w:val="24"/>
          <w:szCs w:val="24"/>
          <w:lang w:val="it-IT"/>
        </w:rPr>
      </w:pPr>
      <w:r w:rsidRPr="00867318">
        <w:rPr>
          <w:rFonts w:cs="Arial"/>
          <w:color w:val="000000"/>
          <w:sz w:val="24"/>
          <w:szCs w:val="24"/>
          <w:lang w:val="it-IT"/>
        </w:rPr>
        <w:t xml:space="preserve">Fu pertanto proposta la mozione 1095 del 24 marzo 2015 “Per un regolamento delle procedure di consultazione”, in cui si chiedeva (v. messaggio </w:t>
      </w:r>
      <w:r w:rsidR="00B22E16">
        <w:rPr>
          <w:rFonts w:cs="Arial"/>
          <w:color w:val="000000"/>
          <w:sz w:val="24"/>
          <w:szCs w:val="24"/>
          <w:lang w:val="it-IT"/>
        </w:rPr>
        <w:t xml:space="preserve">n. 7166 </w:t>
      </w:r>
      <w:r w:rsidRPr="00867318">
        <w:rPr>
          <w:rFonts w:cs="Arial"/>
          <w:color w:val="000000"/>
          <w:sz w:val="24"/>
          <w:szCs w:val="24"/>
          <w:lang w:val="it-IT"/>
        </w:rPr>
        <w:t>del 3 febbraio 2016) «</w:t>
      </w:r>
      <w:r w:rsidRPr="00867318">
        <w:rPr>
          <w:rFonts w:cs="Arial"/>
          <w:i/>
          <w:color w:val="000000"/>
          <w:sz w:val="24"/>
          <w:szCs w:val="24"/>
          <w:lang w:val="it-IT"/>
        </w:rPr>
        <w:t>di introdurre, come discusso nelle audizioni, alcuni principi che regolino le consultazioni per il tramite di un regolamento o in altra forma</w:t>
      </w:r>
      <w:r w:rsidRPr="00867318">
        <w:rPr>
          <w:rFonts w:cs="Arial"/>
          <w:color w:val="000000"/>
          <w:sz w:val="24"/>
          <w:szCs w:val="24"/>
          <w:lang w:val="it-IT"/>
        </w:rPr>
        <w:t xml:space="preserve">». </w:t>
      </w:r>
    </w:p>
    <w:p w:rsidR="00B22E16" w:rsidRPr="00867318" w:rsidRDefault="00B22E16" w:rsidP="00B22E16">
      <w:pPr>
        <w:rPr>
          <w:rFonts w:cs="Arial"/>
          <w:color w:val="000000"/>
          <w:sz w:val="24"/>
          <w:szCs w:val="24"/>
          <w:lang w:val="it-IT"/>
        </w:rPr>
      </w:pPr>
    </w:p>
    <w:p w:rsidR="00867318" w:rsidRPr="00867318" w:rsidRDefault="00867318" w:rsidP="00B22E16">
      <w:pPr>
        <w:spacing w:after="120"/>
        <w:rPr>
          <w:rFonts w:cs="Arial"/>
          <w:color w:val="000000"/>
          <w:sz w:val="24"/>
          <w:szCs w:val="24"/>
          <w:lang w:val="it-IT"/>
        </w:rPr>
      </w:pPr>
      <w:r w:rsidRPr="00867318">
        <w:rPr>
          <w:rFonts w:cs="Arial"/>
          <w:color w:val="000000"/>
          <w:sz w:val="24"/>
          <w:szCs w:val="24"/>
          <w:lang w:val="it-IT"/>
        </w:rPr>
        <w:t>Poco dopo, con la risoluzione governativa n. 2470 del 17 giugno 2015, preso atto delle sopra citate conclusioni del rapporto della Commissione petizioni e ricorsi - in particolare dell’ultima frase in cui si lasciava all’Esecutivo la scelta se regolare le consultazioni tramite un regolamento o in altra forma, nonché tenuto conto dei principi elencati dalla stessa Commissione - il Consiglio di Stato ha emanato le prime direttive sulle procedure di consultazione cantonali (allegato 1). Già esse indicavano al punto 7:</w:t>
      </w:r>
    </w:p>
    <w:p w:rsidR="00867318" w:rsidRPr="00867318" w:rsidRDefault="00867318" w:rsidP="00E20DB8">
      <w:pPr>
        <w:tabs>
          <w:tab w:val="left" w:pos="0"/>
        </w:tabs>
        <w:spacing w:after="80"/>
        <w:ind w:right="1418"/>
        <w:rPr>
          <w:sz w:val="24"/>
          <w:szCs w:val="24"/>
          <w:lang w:val="it-IT"/>
        </w:rPr>
      </w:pPr>
      <w:r w:rsidRPr="00867318">
        <w:rPr>
          <w:rFonts w:cs="Arial"/>
          <w:color w:val="000000"/>
          <w:sz w:val="24"/>
          <w:szCs w:val="24"/>
          <w:lang w:val="it-IT"/>
        </w:rPr>
        <w:t>«Il Dipartimento competente o la Cancelleria dello Stato:</w:t>
      </w:r>
    </w:p>
    <w:p w:rsidR="00867318" w:rsidRPr="00E20DB8" w:rsidRDefault="00867318" w:rsidP="00E20DB8">
      <w:pPr>
        <w:pStyle w:val="Paragrafoelenco"/>
        <w:numPr>
          <w:ilvl w:val="0"/>
          <w:numId w:val="23"/>
        </w:numPr>
        <w:tabs>
          <w:tab w:val="left" w:pos="0"/>
        </w:tabs>
        <w:spacing w:after="80"/>
        <w:ind w:left="284" w:right="1418" w:hanging="284"/>
        <w:contextualSpacing w:val="0"/>
        <w:rPr>
          <w:sz w:val="24"/>
          <w:szCs w:val="24"/>
          <w:lang w:val="it-IT"/>
        </w:rPr>
      </w:pPr>
      <w:r w:rsidRPr="00E20DB8">
        <w:rPr>
          <w:rFonts w:cs="Arial"/>
          <w:color w:val="000000"/>
          <w:sz w:val="24"/>
          <w:szCs w:val="24"/>
          <w:lang w:val="it-IT"/>
        </w:rPr>
        <w:t>invitano a partecipare alla procedura i destinatari interessati dai progetti posti in consultazione:</w:t>
      </w:r>
    </w:p>
    <w:p w:rsidR="00867318" w:rsidRPr="00E20DB8" w:rsidRDefault="00867318" w:rsidP="00E20DB8">
      <w:pPr>
        <w:pStyle w:val="Paragrafoelenco"/>
        <w:numPr>
          <w:ilvl w:val="0"/>
          <w:numId w:val="23"/>
        </w:numPr>
        <w:tabs>
          <w:tab w:val="left" w:pos="0"/>
        </w:tabs>
        <w:spacing w:after="80"/>
        <w:ind w:left="284" w:right="1418" w:hanging="284"/>
        <w:contextualSpacing w:val="0"/>
        <w:rPr>
          <w:sz w:val="24"/>
          <w:szCs w:val="24"/>
          <w:lang w:val="it-IT"/>
        </w:rPr>
      </w:pPr>
      <w:r w:rsidRPr="00E20DB8">
        <w:rPr>
          <w:rFonts w:cs="Arial"/>
          <w:color w:val="000000"/>
          <w:sz w:val="24"/>
          <w:szCs w:val="24"/>
          <w:lang w:val="it-IT"/>
        </w:rPr>
        <w:t>nelle pagine Internet del cantone, informano la popolazione dell'apertura della procedura, pubblicano la relativa documentazione e presentano una sintesi dei risultati».</w:t>
      </w:r>
    </w:p>
    <w:p w:rsidR="00867318" w:rsidRPr="00867318" w:rsidRDefault="00867318" w:rsidP="00E20DB8">
      <w:pPr>
        <w:rPr>
          <w:sz w:val="24"/>
          <w:szCs w:val="24"/>
          <w:shd w:val="clear" w:color="auto" w:fill="FFFF00"/>
        </w:rPr>
      </w:pPr>
    </w:p>
    <w:p w:rsidR="00867318" w:rsidRPr="00867318" w:rsidRDefault="00867318" w:rsidP="00B22E16">
      <w:pPr>
        <w:rPr>
          <w:rFonts w:cs="Arial"/>
          <w:color w:val="000000"/>
          <w:sz w:val="24"/>
          <w:szCs w:val="24"/>
          <w:lang w:val="it-IT"/>
        </w:rPr>
      </w:pPr>
      <w:r w:rsidRPr="00867318">
        <w:rPr>
          <w:rFonts w:cs="Arial"/>
          <w:color w:val="000000"/>
          <w:sz w:val="24"/>
          <w:szCs w:val="24"/>
          <w:lang w:val="it-IT"/>
        </w:rPr>
        <w:t xml:space="preserve">Finalmente, la mozione </w:t>
      </w:r>
      <w:r w:rsidR="00B22E16">
        <w:rPr>
          <w:rFonts w:cs="Arial"/>
          <w:color w:val="000000"/>
          <w:sz w:val="24"/>
          <w:szCs w:val="24"/>
          <w:lang w:val="it-IT"/>
        </w:rPr>
        <w:t xml:space="preserve">n. </w:t>
      </w:r>
      <w:r w:rsidRPr="00867318">
        <w:rPr>
          <w:rFonts w:cs="Arial"/>
          <w:color w:val="000000"/>
          <w:sz w:val="24"/>
          <w:szCs w:val="24"/>
          <w:lang w:val="it-IT"/>
        </w:rPr>
        <w:t>1095 fu evasa dal Parlamento il 21 marzo 2016 tramite procedura scritta.</w:t>
      </w:r>
    </w:p>
    <w:p w:rsidR="00E20DB8" w:rsidRDefault="00E20DB8" w:rsidP="00B22E16">
      <w:pPr>
        <w:rPr>
          <w:rFonts w:cs="Arial"/>
          <w:color w:val="000000"/>
          <w:sz w:val="24"/>
          <w:szCs w:val="24"/>
          <w:lang w:val="it-IT"/>
        </w:rPr>
      </w:pPr>
    </w:p>
    <w:p w:rsidR="00867318" w:rsidRPr="00867318" w:rsidRDefault="00867318" w:rsidP="00B22E16">
      <w:pPr>
        <w:rPr>
          <w:sz w:val="24"/>
          <w:szCs w:val="24"/>
          <w:lang w:val="it-IT"/>
        </w:rPr>
      </w:pPr>
      <w:r w:rsidRPr="00867318">
        <w:rPr>
          <w:rFonts w:cs="Arial"/>
          <w:color w:val="000000"/>
          <w:sz w:val="24"/>
          <w:szCs w:val="24"/>
          <w:lang w:val="it-IT"/>
        </w:rPr>
        <w:t xml:space="preserve">Come visto in precedenza ora sono pubblicate sul sito del Cantone, a seguito del </w:t>
      </w:r>
      <w:hyperlink r:id="rId12" w:history="1">
        <w:r w:rsidR="00B22E16" w:rsidRPr="00B22E16">
          <w:rPr>
            <w:rFonts w:cs="Arial"/>
            <w:sz w:val="24"/>
            <w:szCs w:val="24"/>
            <w:u w:val="single"/>
            <w:lang w:val="it-IT"/>
          </w:rPr>
          <w:t xml:space="preserve">messaggio n. </w:t>
        </w:r>
        <w:r w:rsidRPr="00B22E16">
          <w:rPr>
            <w:rFonts w:cs="Arial"/>
            <w:sz w:val="24"/>
            <w:szCs w:val="24"/>
            <w:u w:val="single"/>
            <w:lang w:val="it-IT"/>
          </w:rPr>
          <w:t>8121</w:t>
        </w:r>
      </w:hyperlink>
      <w:r w:rsidRPr="00867318">
        <w:rPr>
          <w:rFonts w:cs="Arial"/>
          <w:color w:val="000000"/>
          <w:sz w:val="24"/>
          <w:szCs w:val="24"/>
          <w:lang w:val="it-IT"/>
        </w:rPr>
        <w:t xml:space="preserve"> del 23 febbraio 2022, </w:t>
      </w:r>
      <w:hyperlink r:id="rId13" w:history="1">
        <w:r w:rsidRPr="00867318">
          <w:rPr>
            <w:rFonts w:cs="Arial"/>
            <w:sz w:val="24"/>
            <w:szCs w:val="24"/>
            <w:u w:val="single"/>
            <w:lang w:val="it-IT"/>
          </w:rPr>
          <w:t>le nuove direttive</w:t>
        </w:r>
      </w:hyperlink>
      <w:r w:rsidRPr="00867318">
        <w:rPr>
          <w:rFonts w:cs="Arial"/>
          <w:color w:val="000000"/>
          <w:sz w:val="24"/>
          <w:szCs w:val="24"/>
          <w:lang w:val="it-IT"/>
        </w:rPr>
        <w:t xml:space="preserve"> che annullano quelle in vigore </w:t>
      </w:r>
      <w:r w:rsidRPr="00867318">
        <w:rPr>
          <w:rFonts w:cs="Arial"/>
          <w:color w:val="000000"/>
          <w:sz w:val="24"/>
          <w:szCs w:val="24"/>
          <w:lang w:val="it-IT"/>
        </w:rPr>
        <w:lastRenderedPageBreak/>
        <w:t>dal 2015.</w:t>
      </w:r>
      <w:r w:rsidRPr="00867318">
        <w:rPr>
          <w:sz w:val="24"/>
          <w:szCs w:val="24"/>
          <w:lang w:val="it-IT"/>
        </w:rPr>
        <w:t xml:space="preserve"> Il tema della pubblicazione dei risultati è trattato da quattro articoli, in maniera più completa se paragonata alla versione del 2015:</w:t>
      </w:r>
    </w:p>
    <w:p w:rsidR="00867318" w:rsidRPr="00867318" w:rsidRDefault="00867318" w:rsidP="00B22E16">
      <w:pPr>
        <w:widowControl w:val="0"/>
        <w:suppressAutoHyphens/>
        <w:ind w:left="680" w:right="1587"/>
        <w:rPr>
          <w:rFonts w:eastAsia="Songti SC" w:cs="Arial Unicode MS"/>
          <w:b/>
          <w:bCs/>
          <w:kern w:val="2"/>
          <w:sz w:val="16"/>
          <w:szCs w:val="16"/>
          <w:lang w:val="it-IT" w:eastAsia="zh-CN" w:bidi="hi-IN"/>
        </w:rPr>
      </w:pPr>
    </w:p>
    <w:p w:rsidR="00867318" w:rsidRPr="00867318" w:rsidRDefault="00867318" w:rsidP="00B22E16">
      <w:pPr>
        <w:widowControl w:val="0"/>
        <w:suppressAutoHyphens/>
        <w:spacing w:after="120"/>
        <w:ind w:right="-13"/>
        <w:rPr>
          <w:rFonts w:eastAsia="Songti SC" w:cs="Arial Unicode MS"/>
          <w:b/>
          <w:bCs/>
          <w:kern w:val="2"/>
          <w:sz w:val="24"/>
          <w:szCs w:val="24"/>
          <w:lang w:val="it-IT" w:eastAsia="zh-CN" w:bidi="hi-IN"/>
        </w:rPr>
      </w:pPr>
      <w:r w:rsidRPr="00867318">
        <w:rPr>
          <w:rFonts w:eastAsia="Songti SC" w:cs="Arial Unicode MS"/>
          <w:b/>
          <w:bCs/>
          <w:kern w:val="2"/>
          <w:sz w:val="24"/>
          <w:szCs w:val="24"/>
          <w:lang w:val="it-IT" w:eastAsia="zh-CN" w:bidi="hi-IN"/>
        </w:rPr>
        <w:t xml:space="preserve">Art. 13 </w:t>
      </w:r>
    </w:p>
    <w:p w:rsidR="00867318" w:rsidRDefault="00867318" w:rsidP="00B22E16">
      <w:pPr>
        <w:widowControl w:val="0"/>
        <w:suppressAutoHyphens/>
        <w:ind w:right="-13"/>
        <w:rPr>
          <w:rFonts w:eastAsia="Songti SC" w:cs="Arial Unicode MS"/>
          <w:kern w:val="2"/>
          <w:sz w:val="24"/>
          <w:szCs w:val="24"/>
          <w:lang w:val="it-IT" w:eastAsia="zh-CN" w:bidi="hi-IN"/>
        </w:rPr>
      </w:pPr>
      <w:r w:rsidRPr="00867318">
        <w:rPr>
          <w:rFonts w:eastAsia="Songti SC" w:cs="Arial Unicode MS"/>
          <w:kern w:val="2"/>
          <w:sz w:val="24"/>
          <w:szCs w:val="24"/>
          <w:lang w:val="it-IT" w:eastAsia="zh-CN" w:bidi="hi-IN"/>
        </w:rPr>
        <w:t xml:space="preserve">L’autorità competente presenta un rapporto con la sintesi dei pareri. Il rapporto è pubblicato in forma elettronica. </w:t>
      </w:r>
    </w:p>
    <w:p w:rsidR="00B22E16" w:rsidRPr="00867318" w:rsidRDefault="00B22E16" w:rsidP="00B22E16">
      <w:pPr>
        <w:widowControl w:val="0"/>
        <w:suppressAutoHyphens/>
        <w:ind w:right="-13"/>
        <w:rPr>
          <w:rFonts w:eastAsia="Songti SC" w:cs="Arial Unicode MS"/>
          <w:kern w:val="2"/>
          <w:sz w:val="16"/>
          <w:szCs w:val="16"/>
          <w:lang w:val="it-IT" w:eastAsia="zh-CN" w:bidi="hi-IN"/>
        </w:rPr>
      </w:pPr>
    </w:p>
    <w:p w:rsidR="00867318" w:rsidRPr="00867318" w:rsidRDefault="00867318" w:rsidP="00B22E16">
      <w:pPr>
        <w:widowControl w:val="0"/>
        <w:suppressAutoHyphens/>
        <w:spacing w:after="120"/>
        <w:ind w:right="-13"/>
        <w:rPr>
          <w:rFonts w:eastAsia="Songti SC" w:cs="Arial Unicode MS"/>
          <w:kern w:val="2"/>
          <w:sz w:val="24"/>
          <w:szCs w:val="24"/>
          <w:lang w:val="it-IT" w:eastAsia="zh-CN" w:bidi="hi-IN"/>
        </w:rPr>
      </w:pPr>
      <w:r w:rsidRPr="00867318">
        <w:rPr>
          <w:rFonts w:eastAsia="Songti SC" w:cs="Arial Unicode MS"/>
          <w:b/>
          <w:bCs/>
          <w:kern w:val="2"/>
          <w:sz w:val="24"/>
          <w:szCs w:val="24"/>
          <w:lang w:val="it-IT" w:eastAsia="zh-CN" w:bidi="hi-IN"/>
        </w:rPr>
        <w:t>Art. 14</w:t>
      </w:r>
      <w:r w:rsidRPr="00867318">
        <w:rPr>
          <w:rFonts w:eastAsia="Songti SC" w:cs="Arial Unicode MS"/>
          <w:kern w:val="2"/>
          <w:sz w:val="24"/>
          <w:szCs w:val="24"/>
          <w:lang w:val="it-IT" w:eastAsia="zh-CN" w:bidi="hi-IN"/>
        </w:rPr>
        <w:t xml:space="preserve"> </w:t>
      </w:r>
    </w:p>
    <w:p w:rsidR="00867318" w:rsidRPr="00867318" w:rsidRDefault="00867318" w:rsidP="00B22E16">
      <w:pPr>
        <w:widowControl w:val="0"/>
        <w:suppressAutoHyphens/>
        <w:ind w:right="-13"/>
        <w:rPr>
          <w:rFonts w:eastAsia="Songti SC" w:cs="Arial Unicode MS"/>
          <w:kern w:val="2"/>
          <w:sz w:val="24"/>
          <w:szCs w:val="24"/>
          <w:lang w:val="it-IT" w:eastAsia="zh-CN" w:bidi="hi-IN"/>
        </w:rPr>
      </w:pPr>
      <w:r w:rsidRPr="00867318">
        <w:rPr>
          <w:rFonts w:eastAsia="Songti SC" w:cs="Arial Unicode MS"/>
          <w:kern w:val="2"/>
          <w:sz w:val="24"/>
          <w:szCs w:val="24"/>
          <w:lang w:val="it-IT" w:eastAsia="zh-CN" w:bidi="hi-IN"/>
        </w:rPr>
        <w:t xml:space="preserve">Nella lettera di invito a partecipare e nella pagina internet deve essere indicato in modo esplicito che i pareri saranno pubblicati. </w:t>
      </w:r>
    </w:p>
    <w:p w:rsidR="00B22E16" w:rsidRPr="00B22E16" w:rsidRDefault="00B22E16" w:rsidP="00B22E16">
      <w:pPr>
        <w:widowControl w:val="0"/>
        <w:suppressAutoHyphens/>
        <w:ind w:right="-11"/>
        <w:rPr>
          <w:rFonts w:eastAsia="Songti SC" w:cs="Arial Unicode MS"/>
          <w:b/>
          <w:bCs/>
          <w:kern w:val="2"/>
          <w:sz w:val="16"/>
          <w:szCs w:val="16"/>
          <w:lang w:val="it-IT" w:eastAsia="zh-CN" w:bidi="hi-IN"/>
        </w:rPr>
      </w:pPr>
    </w:p>
    <w:p w:rsidR="00867318" w:rsidRPr="00867318" w:rsidRDefault="00867318" w:rsidP="00B22E16">
      <w:pPr>
        <w:widowControl w:val="0"/>
        <w:suppressAutoHyphens/>
        <w:spacing w:after="120"/>
        <w:ind w:right="-13"/>
        <w:rPr>
          <w:rFonts w:eastAsia="Songti SC" w:cs="Arial Unicode MS"/>
          <w:b/>
          <w:bCs/>
          <w:kern w:val="2"/>
          <w:sz w:val="24"/>
          <w:szCs w:val="24"/>
          <w:lang w:val="it-IT" w:eastAsia="zh-CN" w:bidi="hi-IN"/>
        </w:rPr>
      </w:pPr>
      <w:r w:rsidRPr="00867318">
        <w:rPr>
          <w:rFonts w:eastAsia="Songti SC" w:cs="Arial Unicode MS"/>
          <w:b/>
          <w:bCs/>
          <w:kern w:val="2"/>
          <w:sz w:val="24"/>
          <w:szCs w:val="24"/>
          <w:lang w:val="it-IT" w:eastAsia="zh-CN" w:bidi="hi-IN"/>
        </w:rPr>
        <w:t xml:space="preserve">Art. 15 </w:t>
      </w:r>
    </w:p>
    <w:p w:rsidR="00867318" w:rsidRPr="00867318" w:rsidRDefault="00867318" w:rsidP="00B22E16">
      <w:pPr>
        <w:widowControl w:val="0"/>
        <w:suppressAutoHyphens/>
        <w:ind w:right="-13"/>
        <w:rPr>
          <w:rFonts w:eastAsia="Songti SC" w:cs="Arial Unicode MS"/>
          <w:kern w:val="2"/>
          <w:sz w:val="24"/>
          <w:szCs w:val="24"/>
          <w:lang w:val="it-IT" w:eastAsia="zh-CN" w:bidi="hi-IN"/>
        </w:rPr>
      </w:pPr>
      <w:r w:rsidRPr="00867318">
        <w:rPr>
          <w:rFonts w:eastAsia="Songti SC" w:cs="Arial Unicode MS"/>
          <w:kern w:val="2"/>
          <w:sz w:val="24"/>
          <w:szCs w:val="24"/>
          <w:lang w:val="it-IT" w:eastAsia="zh-CN" w:bidi="hi-IN"/>
        </w:rPr>
        <w:t xml:space="preserve">La pubblicazione di parte del parere può essere omessa nel caso in cui un interesse pubblico o privato preponderante lo giustifichi. </w:t>
      </w:r>
    </w:p>
    <w:p w:rsidR="00B22E16" w:rsidRPr="00B22E16" w:rsidRDefault="00B22E16" w:rsidP="00B22E16">
      <w:pPr>
        <w:widowControl w:val="0"/>
        <w:suppressAutoHyphens/>
        <w:ind w:right="-13"/>
        <w:rPr>
          <w:rFonts w:eastAsia="Songti SC" w:cs="Arial Unicode MS"/>
          <w:b/>
          <w:bCs/>
          <w:kern w:val="2"/>
          <w:sz w:val="16"/>
          <w:szCs w:val="16"/>
          <w:lang w:val="it-IT" w:eastAsia="zh-CN" w:bidi="hi-IN"/>
        </w:rPr>
      </w:pPr>
    </w:p>
    <w:p w:rsidR="00867318" w:rsidRPr="00867318" w:rsidRDefault="00867318" w:rsidP="00B22E16">
      <w:pPr>
        <w:widowControl w:val="0"/>
        <w:suppressAutoHyphens/>
        <w:spacing w:after="120"/>
        <w:ind w:right="-11"/>
        <w:rPr>
          <w:rFonts w:eastAsia="Songti SC" w:cs="Arial Unicode MS"/>
          <w:b/>
          <w:bCs/>
          <w:kern w:val="2"/>
          <w:sz w:val="24"/>
          <w:szCs w:val="24"/>
          <w:lang w:val="it-IT" w:eastAsia="zh-CN" w:bidi="hi-IN"/>
        </w:rPr>
      </w:pPr>
      <w:r w:rsidRPr="00867318">
        <w:rPr>
          <w:rFonts w:eastAsia="Songti SC" w:cs="Arial Unicode MS"/>
          <w:b/>
          <w:bCs/>
          <w:kern w:val="2"/>
          <w:sz w:val="24"/>
          <w:szCs w:val="24"/>
          <w:lang w:val="it-IT" w:eastAsia="zh-CN" w:bidi="hi-IN"/>
        </w:rPr>
        <w:t xml:space="preserve">Art. 16 </w:t>
      </w:r>
    </w:p>
    <w:p w:rsidR="00867318" w:rsidRPr="00867318" w:rsidRDefault="00867318" w:rsidP="00B22E16">
      <w:pPr>
        <w:widowControl w:val="0"/>
        <w:suppressAutoHyphens/>
        <w:ind w:right="-13"/>
        <w:rPr>
          <w:rFonts w:ascii="Calibri" w:eastAsia="Songti SC" w:hAnsi="Calibri" w:cs="Arial Unicode MS"/>
          <w:kern w:val="2"/>
          <w:sz w:val="24"/>
          <w:szCs w:val="24"/>
          <w:lang w:val="it-IT" w:eastAsia="zh-CN" w:bidi="hi-IN"/>
        </w:rPr>
      </w:pPr>
      <w:r w:rsidRPr="00867318">
        <w:rPr>
          <w:rFonts w:eastAsia="Songti SC" w:cs="Arial Unicode MS"/>
          <w:kern w:val="2"/>
          <w:sz w:val="24"/>
          <w:szCs w:val="24"/>
          <w:lang w:val="it-IT" w:eastAsia="zh-CN" w:bidi="hi-IN"/>
        </w:rPr>
        <w:t>I pareri sono pubblicati in forma elettronica al più tardi al momento del licenziamento del messaggio, dell’adozione del regolamento o della decisione di non dare seguito al progetto posto in consultazione.</w:t>
      </w:r>
    </w:p>
    <w:p w:rsidR="00B22E16" w:rsidRPr="00867318" w:rsidRDefault="00B22E16" w:rsidP="00B22E16">
      <w:pPr>
        <w:widowControl w:val="0"/>
        <w:suppressAutoHyphens/>
        <w:ind w:left="680" w:right="1587"/>
        <w:rPr>
          <w:rFonts w:eastAsia="Songti SC" w:cs="Arial Unicode MS"/>
          <w:kern w:val="2"/>
          <w:sz w:val="24"/>
          <w:szCs w:val="24"/>
          <w:lang w:val="it-IT" w:eastAsia="zh-CN" w:bidi="hi-IN"/>
        </w:rPr>
      </w:pPr>
    </w:p>
    <w:p w:rsidR="00867318" w:rsidRPr="00867318" w:rsidRDefault="00867318" w:rsidP="00B22E16">
      <w:pPr>
        <w:pStyle w:val="Titolo2"/>
        <w:numPr>
          <w:ilvl w:val="0"/>
          <w:numId w:val="0"/>
        </w:numPr>
        <w:tabs>
          <w:tab w:val="left" w:pos="567"/>
        </w:tabs>
        <w:spacing w:before="0" w:after="120"/>
        <w:jc w:val="both"/>
        <w:rPr>
          <w:rFonts w:eastAsia="Calibri" w:cs="Times New Roman"/>
          <w:sz w:val="24"/>
          <w:lang w:val="it-IT" w:eastAsia="it-IT"/>
        </w:rPr>
      </w:pPr>
      <w:r w:rsidRPr="00867318">
        <w:rPr>
          <w:rFonts w:eastAsia="Calibri" w:cs="Times New Roman"/>
          <w:sz w:val="24"/>
          <w:lang w:val="it-IT" w:eastAsia="it-IT"/>
        </w:rPr>
        <w:t xml:space="preserve">3.2 </w:t>
      </w:r>
      <w:r w:rsidR="00B22E16">
        <w:rPr>
          <w:rFonts w:eastAsia="Calibri" w:cs="Times New Roman"/>
          <w:sz w:val="24"/>
          <w:lang w:val="it-IT" w:eastAsia="it-IT"/>
        </w:rPr>
        <w:tab/>
      </w:r>
      <w:r w:rsidRPr="00867318">
        <w:rPr>
          <w:rFonts w:eastAsia="Calibri" w:cs="Times New Roman"/>
          <w:sz w:val="24"/>
          <w:lang w:val="it-IT" w:eastAsia="it-IT"/>
        </w:rPr>
        <w:t>Audizione del mozionante</w:t>
      </w:r>
    </w:p>
    <w:p w:rsidR="00867318" w:rsidRPr="00867318" w:rsidRDefault="00867318" w:rsidP="00B22E16">
      <w:pPr>
        <w:spacing w:after="120"/>
        <w:rPr>
          <w:sz w:val="24"/>
          <w:szCs w:val="24"/>
          <w:lang w:val="it-IT"/>
        </w:rPr>
      </w:pPr>
      <w:r w:rsidRPr="00867318">
        <w:rPr>
          <w:rFonts w:cs="Arial"/>
          <w:color w:val="000000"/>
          <w:sz w:val="24"/>
          <w:szCs w:val="24"/>
          <w:lang w:val="it-IT"/>
        </w:rPr>
        <w:t>La relatrice ha incontrato Matteo Pronzini, martedì 31 maggio 2022. Egli ha preso atto del Messaggio governativo M8121 in risposta alla mozione Berardi e delle nuove direttive, a quel momento già pubblicate in forma elettronica sul sito del Cantone nelle pagine concernenti le procedure di consultazione e si è detto in buona sostanza soddisfatto. Egli ha tuttavia messo in evidenza che, nel caso di una consultazione che riguarda la scuola, anche le prese di posizione dei suoi attori (direttori, docenti, istituti scolastici) siano rese pubbli</w:t>
      </w:r>
      <w:r w:rsidR="00B22E16">
        <w:rPr>
          <w:rFonts w:cs="Arial"/>
          <w:color w:val="000000"/>
          <w:sz w:val="24"/>
          <w:szCs w:val="24"/>
          <w:lang w:val="it-IT"/>
        </w:rPr>
        <w:t>che e che non ricadano sotto l'a</w:t>
      </w:r>
      <w:r w:rsidRPr="00867318">
        <w:rPr>
          <w:rFonts w:cs="Arial"/>
          <w:color w:val="000000"/>
          <w:sz w:val="24"/>
          <w:szCs w:val="24"/>
          <w:lang w:val="it-IT"/>
        </w:rPr>
        <w:t>rt. 3 che:</w:t>
      </w:r>
    </w:p>
    <w:p w:rsidR="00867318" w:rsidRPr="00867318" w:rsidRDefault="00B22E16" w:rsidP="00B22E16">
      <w:pPr>
        <w:widowControl w:val="0"/>
        <w:suppressAutoHyphens/>
        <w:rPr>
          <w:rFonts w:eastAsia="Songti SC" w:cs="Arial Unicode MS"/>
          <w:kern w:val="2"/>
          <w:sz w:val="24"/>
          <w:szCs w:val="24"/>
          <w:lang w:val="it-IT" w:eastAsia="zh-CN" w:bidi="hi-IN"/>
        </w:rPr>
      </w:pPr>
      <w:r>
        <w:rPr>
          <w:rFonts w:eastAsia="Songti SC" w:cs="Arial"/>
          <w:color w:val="000000"/>
          <w:kern w:val="2"/>
          <w:sz w:val="24"/>
          <w:szCs w:val="24"/>
          <w:lang w:val="it-IT" w:eastAsia="zh-CN" w:bidi="hi-IN"/>
        </w:rPr>
        <w:t>“</w:t>
      </w:r>
      <w:r w:rsidR="00867318" w:rsidRPr="00867318">
        <w:rPr>
          <w:rFonts w:eastAsia="Songti SC" w:cs="Arial Unicode MS"/>
          <w:kern w:val="2"/>
          <w:sz w:val="24"/>
          <w:szCs w:val="24"/>
          <w:lang w:val="it-IT" w:eastAsia="zh-CN" w:bidi="hi-IN"/>
        </w:rPr>
        <w:t xml:space="preserve">Le presenti direttive non si applicano: </w:t>
      </w:r>
    </w:p>
    <w:p w:rsidR="00867318" w:rsidRPr="00867318" w:rsidRDefault="00867318" w:rsidP="00B22E16">
      <w:pPr>
        <w:widowControl w:val="0"/>
        <w:numPr>
          <w:ilvl w:val="0"/>
          <w:numId w:val="18"/>
        </w:numPr>
        <w:tabs>
          <w:tab w:val="clear" w:pos="720"/>
          <w:tab w:val="num" w:pos="284"/>
        </w:tabs>
        <w:suppressAutoHyphens/>
        <w:spacing w:before="120"/>
        <w:ind w:left="284" w:hanging="284"/>
        <w:rPr>
          <w:rFonts w:eastAsia="Songti SC" w:cs="Arial Unicode MS"/>
          <w:kern w:val="2"/>
          <w:sz w:val="24"/>
          <w:szCs w:val="24"/>
          <w:lang w:val="it-IT" w:eastAsia="zh-CN" w:bidi="hi-IN"/>
        </w:rPr>
      </w:pPr>
      <w:r w:rsidRPr="00867318">
        <w:rPr>
          <w:rFonts w:eastAsia="Songti SC" w:cs="Arial Unicode MS"/>
          <w:kern w:val="2"/>
          <w:sz w:val="24"/>
          <w:szCs w:val="24"/>
          <w:lang w:val="it-IT" w:eastAsia="zh-CN" w:bidi="hi-IN"/>
        </w:rPr>
        <w:t xml:space="preserve">alla consultazione di servizi interni all’Amministrazione cantonale; </w:t>
      </w:r>
    </w:p>
    <w:p w:rsidR="00867318" w:rsidRPr="00867318" w:rsidRDefault="00867318" w:rsidP="00B22E16">
      <w:pPr>
        <w:widowControl w:val="0"/>
        <w:numPr>
          <w:ilvl w:val="0"/>
          <w:numId w:val="18"/>
        </w:numPr>
        <w:tabs>
          <w:tab w:val="clear" w:pos="720"/>
          <w:tab w:val="num" w:pos="284"/>
        </w:tabs>
        <w:suppressAutoHyphens/>
        <w:spacing w:before="120"/>
        <w:ind w:left="284" w:hanging="284"/>
        <w:rPr>
          <w:rFonts w:eastAsia="Songti SC" w:cs="Arial Unicode MS"/>
          <w:kern w:val="2"/>
          <w:sz w:val="24"/>
          <w:szCs w:val="24"/>
          <w:lang w:val="it-IT" w:eastAsia="zh-CN" w:bidi="hi-IN"/>
        </w:rPr>
      </w:pPr>
      <w:r w:rsidRPr="00867318">
        <w:rPr>
          <w:rFonts w:eastAsia="Songti SC" w:cs="Arial Unicode MS"/>
          <w:kern w:val="2"/>
          <w:sz w:val="24"/>
          <w:szCs w:val="24"/>
          <w:lang w:val="it-IT" w:eastAsia="zh-CN" w:bidi="hi-IN"/>
        </w:rPr>
        <w:t xml:space="preserve">alla raccolta di pareri su temi circoscritti e che coinvolgono </w:t>
      </w:r>
      <w:r w:rsidR="00B22E16">
        <w:rPr>
          <w:rFonts w:eastAsia="Songti SC" w:cs="Arial Unicode MS"/>
          <w:kern w:val="2"/>
          <w:sz w:val="24"/>
          <w:szCs w:val="24"/>
          <w:lang w:val="it-IT" w:eastAsia="zh-CN" w:bidi="hi-IN"/>
        </w:rPr>
        <w:t>un numero esiguo di destinatari”.</w:t>
      </w:r>
    </w:p>
    <w:p w:rsidR="00867318" w:rsidRPr="00867318" w:rsidRDefault="00867318" w:rsidP="00B22E16">
      <w:pPr>
        <w:rPr>
          <w:sz w:val="24"/>
          <w:szCs w:val="24"/>
          <w:lang w:val="it-IT"/>
        </w:rPr>
      </w:pPr>
    </w:p>
    <w:p w:rsidR="00B22E16" w:rsidRDefault="00B22E16" w:rsidP="00B22E16">
      <w:pPr>
        <w:rPr>
          <w:rFonts w:cs="Arial"/>
          <w:b/>
          <w:sz w:val="24"/>
          <w:szCs w:val="24"/>
          <w:lang w:val="it-IT"/>
        </w:rPr>
      </w:pPr>
    </w:p>
    <w:p w:rsidR="00867318" w:rsidRPr="00867318" w:rsidRDefault="00867318" w:rsidP="00B22E16">
      <w:pPr>
        <w:pStyle w:val="Titolo1"/>
        <w:tabs>
          <w:tab w:val="left" w:pos="567"/>
        </w:tabs>
        <w:spacing w:before="0"/>
        <w:ind w:left="567" w:hanging="567"/>
        <w:jc w:val="both"/>
        <w:rPr>
          <w:rFonts w:eastAsia="Calibri" w:cs="Times New Roman"/>
          <w:caps/>
          <w:sz w:val="24"/>
          <w:szCs w:val="24"/>
          <w:lang w:val="it-IT" w:eastAsia="it-IT"/>
        </w:rPr>
      </w:pPr>
      <w:r w:rsidRPr="00867318">
        <w:rPr>
          <w:rFonts w:eastAsia="Calibri" w:cs="Times New Roman"/>
          <w:caps/>
          <w:sz w:val="24"/>
          <w:szCs w:val="24"/>
          <w:lang w:val="it-IT" w:eastAsia="it-IT"/>
        </w:rPr>
        <w:t xml:space="preserve">4. </w:t>
      </w:r>
      <w:r w:rsidR="00B22E16">
        <w:rPr>
          <w:rFonts w:eastAsia="Calibri" w:cs="Times New Roman"/>
          <w:caps/>
          <w:sz w:val="24"/>
          <w:szCs w:val="24"/>
          <w:lang w:val="it-IT" w:eastAsia="it-IT"/>
        </w:rPr>
        <w:tab/>
      </w:r>
      <w:r w:rsidRPr="00867318">
        <w:rPr>
          <w:rFonts w:eastAsia="Calibri" w:cs="Times New Roman"/>
          <w:caps/>
          <w:sz w:val="24"/>
          <w:szCs w:val="24"/>
          <w:lang w:val="it-IT" w:eastAsia="it-IT"/>
        </w:rPr>
        <w:t>CONSIDERAZIONI DELLA COMMISSIONE</w:t>
      </w:r>
    </w:p>
    <w:p w:rsidR="00867318" w:rsidRPr="00867318" w:rsidRDefault="00867318" w:rsidP="00B22E16">
      <w:pPr>
        <w:pStyle w:val="Titolo2"/>
        <w:numPr>
          <w:ilvl w:val="0"/>
          <w:numId w:val="0"/>
        </w:numPr>
        <w:tabs>
          <w:tab w:val="left" w:pos="567"/>
        </w:tabs>
        <w:spacing w:before="0" w:after="120"/>
        <w:jc w:val="both"/>
        <w:rPr>
          <w:rFonts w:eastAsia="Calibri" w:cs="Times New Roman"/>
          <w:sz w:val="24"/>
          <w:lang w:val="it-IT" w:eastAsia="it-IT"/>
        </w:rPr>
      </w:pPr>
      <w:r w:rsidRPr="00867318">
        <w:rPr>
          <w:rFonts w:eastAsia="Calibri" w:cs="Times New Roman"/>
          <w:sz w:val="24"/>
          <w:lang w:val="it-IT" w:eastAsia="it-IT"/>
        </w:rPr>
        <w:t xml:space="preserve">4.1 </w:t>
      </w:r>
      <w:r w:rsidR="00B22E16">
        <w:rPr>
          <w:rFonts w:eastAsia="Calibri" w:cs="Times New Roman"/>
          <w:sz w:val="24"/>
          <w:lang w:val="it-IT" w:eastAsia="it-IT"/>
        </w:rPr>
        <w:tab/>
      </w:r>
      <w:r w:rsidRPr="00867318">
        <w:rPr>
          <w:rFonts w:eastAsia="Calibri" w:cs="Times New Roman"/>
          <w:sz w:val="24"/>
          <w:lang w:val="it-IT" w:eastAsia="it-IT"/>
        </w:rPr>
        <w:t>Quesiti sollevati all'atto parlamentare</w:t>
      </w:r>
    </w:p>
    <w:p w:rsidR="00867318" w:rsidRPr="00867318" w:rsidRDefault="00867318" w:rsidP="00E20DB8">
      <w:pPr>
        <w:spacing w:after="120"/>
        <w:rPr>
          <w:sz w:val="24"/>
          <w:szCs w:val="24"/>
          <w:lang w:val="it-IT"/>
        </w:rPr>
      </w:pPr>
      <w:r w:rsidRPr="00867318">
        <w:rPr>
          <w:rFonts w:cs="Arial"/>
          <w:sz w:val="24"/>
          <w:szCs w:val="24"/>
          <w:lang w:val="it-IT"/>
        </w:rPr>
        <w:t>La Commissione ha preso atto che, al quesito su «</w:t>
      </w:r>
      <w:r w:rsidRPr="00867318">
        <w:rPr>
          <w:rFonts w:cs="Arial"/>
          <w:i/>
          <w:sz w:val="24"/>
          <w:szCs w:val="24"/>
          <w:lang w:val="it-IT"/>
        </w:rPr>
        <w:t>che cosa sia da pubblicare</w:t>
      </w:r>
      <w:r w:rsidRPr="00867318">
        <w:rPr>
          <w:rFonts w:cs="Arial"/>
          <w:sz w:val="24"/>
          <w:szCs w:val="24"/>
          <w:lang w:val="it-IT"/>
        </w:rPr>
        <w:t>», danno risposta i seguenti articoli delle Direttive:</w:t>
      </w:r>
    </w:p>
    <w:p w:rsidR="00867318" w:rsidRPr="00867318" w:rsidRDefault="00867318" w:rsidP="00E20DB8">
      <w:pPr>
        <w:spacing w:before="120"/>
        <w:rPr>
          <w:sz w:val="24"/>
          <w:szCs w:val="24"/>
          <w:lang w:val="it-IT"/>
        </w:rPr>
      </w:pPr>
      <w:r w:rsidRPr="00867318">
        <w:rPr>
          <w:rFonts w:cs="Arial"/>
          <w:b/>
          <w:bCs/>
          <w:sz w:val="24"/>
          <w:szCs w:val="24"/>
          <w:lang w:val="it-IT"/>
        </w:rPr>
        <w:t>Art. 13</w:t>
      </w:r>
      <w:r w:rsidRPr="00867318">
        <w:rPr>
          <w:rFonts w:cs="Arial"/>
          <w:sz w:val="24"/>
          <w:szCs w:val="24"/>
          <w:lang w:val="it-IT"/>
        </w:rPr>
        <w:t xml:space="preserve"> - L’autorità competente presenta un rapporto con la sintesi dei pareri. Il rapporto è pubblicato in forma elettronica.</w:t>
      </w:r>
    </w:p>
    <w:p w:rsidR="00E20DB8" w:rsidRDefault="00867318" w:rsidP="00E20DB8">
      <w:pPr>
        <w:spacing w:before="120"/>
        <w:rPr>
          <w:rFonts w:cs="Arial"/>
          <w:sz w:val="24"/>
          <w:szCs w:val="24"/>
          <w:lang w:val="it-IT"/>
        </w:rPr>
      </w:pPr>
      <w:r w:rsidRPr="00867318">
        <w:rPr>
          <w:rFonts w:cs="Arial"/>
          <w:b/>
          <w:bCs/>
          <w:sz w:val="24"/>
          <w:szCs w:val="24"/>
          <w:lang w:val="it-IT"/>
        </w:rPr>
        <w:t>Art. 16</w:t>
      </w:r>
      <w:r w:rsidRPr="00867318">
        <w:rPr>
          <w:rFonts w:cs="Arial"/>
          <w:sz w:val="24"/>
          <w:szCs w:val="24"/>
          <w:lang w:val="it-IT"/>
        </w:rPr>
        <w:t xml:space="preserve"> - I pareri sono pubblicati in forma elettronica al più tardi al momento del licenziamento del messaggio, dell’adozione del regolamento o della decisione di non dare seguito al progetto posto in consultazione.</w:t>
      </w:r>
    </w:p>
    <w:p w:rsidR="00E20DB8" w:rsidRDefault="00E20DB8">
      <w:pPr>
        <w:rPr>
          <w:rFonts w:cs="Arial"/>
          <w:sz w:val="24"/>
          <w:szCs w:val="24"/>
          <w:lang w:val="it-IT"/>
        </w:rPr>
      </w:pPr>
      <w:r>
        <w:rPr>
          <w:rFonts w:cs="Arial"/>
          <w:sz w:val="24"/>
          <w:szCs w:val="24"/>
          <w:lang w:val="it-IT"/>
        </w:rPr>
        <w:br w:type="page"/>
      </w:r>
    </w:p>
    <w:p w:rsidR="00867318" w:rsidRPr="00867318" w:rsidRDefault="00867318" w:rsidP="00B22E16">
      <w:pPr>
        <w:rPr>
          <w:b/>
          <w:bCs/>
          <w:sz w:val="24"/>
          <w:szCs w:val="24"/>
          <w:lang w:val="it-IT"/>
        </w:rPr>
      </w:pPr>
      <w:r w:rsidRPr="00867318">
        <w:rPr>
          <w:rFonts w:cs="Arial"/>
          <w:b/>
          <w:bCs/>
          <w:sz w:val="24"/>
          <w:szCs w:val="24"/>
          <w:lang w:val="it-IT"/>
        </w:rPr>
        <w:lastRenderedPageBreak/>
        <w:t>Pertanto i documenti relativi a una procedura di consultazione pubblicati risultano essere: il rapporto di sintesi e tutti i pareri.</w:t>
      </w:r>
    </w:p>
    <w:p w:rsidR="00867318" w:rsidRPr="00867318" w:rsidRDefault="00867318" w:rsidP="00B22E16">
      <w:pPr>
        <w:rPr>
          <w:sz w:val="24"/>
          <w:szCs w:val="24"/>
          <w:lang w:val="it-IT"/>
        </w:rPr>
      </w:pPr>
    </w:p>
    <w:p w:rsidR="00867318" w:rsidRPr="00867318" w:rsidRDefault="00867318" w:rsidP="00E20DB8">
      <w:pPr>
        <w:spacing w:after="120"/>
        <w:rPr>
          <w:sz w:val="24"/>
          <w:szCs w:val="24"/>
          <w:lang w:val="it-IT"/>
        </w:rPr>
      </w:pPr>
      <w:r w:rsidRPr="00867318">
        <w:rPr>
          <w:rFonts w:cs="Arial"/>
          <w:sz w:val="24"/>
          <w:szCs w:val="24"/>
          <w:lang w:val="it-IT"/>
        </w:rPr>
        <w:t>Al quesito se «</w:t>
      </w:r>
      <w:r w:rsidRPr="00867318">
        <w:rPr>
          <w:rFonts w:cs="Arial"/>
          <w:i/>
          <w:sz w:val="24"/>
          <w:szCs w:val="24"/>
          <w:lang w:val="it-IT"/>
        </w:rPr>
        <w:t>gli istituti scolastici siano da considerare servizi interni dell'Amministrazione cantonale</w:t>
      </w:r>
      <w:r w:rsidRPr="00867318">
        <w:rPr>
          <w:rFonts w:cs="Arial"/>
          <w:sz w:val="24"/>
          <w:szCs w:val="24"/>
          <w:lang w:val="it-IT"/>
        </w:rPr>
        <w:t>» la Commissione evidenzia due elementi:</w:t>
      </w:r>
    </w:p>
    <w:p w:rsidR="00867318" w:rsidRPr="00867318" w:rsidRDefault="00867318" w:rsidP="00E20DB8">
      <w:pPr>
        <w:widowControl w:val="0"/>
        <w:numPr>
          <w:ilvl w:val="0"/>
          <w:numId w:val="19"/>
        </w:numPr>
        <w:tabs>
          <w:tab w:val="clear" w:pos="720"/>
          <w:tab w:val="num" w:pos="426"/>
        </w:tabs>
        <w:suppressAutoHyphens/>
        <w:ind w:left="426" w:hanging="426"/>
        <w:rPr>
          <w:sz w:val="24"/>
          <w:szCs w:val="24"/>
          <w:lang w:val="it-IT"/>
        </w:rPr>
      </w:pPr>
      <w:r w:rsidRPr="00867318">
        <w:rPr>
          <w:rFonts w:cs="Arial"/>
          <w:sz w:val="24"/>
          <w:szCs w:val="24"/>
          <w:lang w:val="it-IT"/>
        </w:rPr>
        <w:t>ri</w:t>
      </w:r>
      <w:r w:rsidR="00E20DB8">
        <w:rPr>
          <w:rFonts w:cs="Arial"/>
          <w:sz w:val="24"/>
          <w:szCs w:val="24"/>
          <w:lang w:val="it-IT"/>
        </w:rPr>
        <w:t xml:space="preserve">guardo a questa richiesta, nel messaggio n. </w:t>
      </w:r>
      <w:r w:rsidRPr="00867318">
        <w:rPr>
          <w:rFonts w:cs="Arial"/>
          <w:sz w:val="24"/>
          <w:szCs w:val="24"/>
          <w:lang w:val="it-IT"/>
        </w:rPr>
        <w:t xml:space="preserve">8121 che accoglie la mozione Berardi, l'esecutivo ha precisato che: </w:t>
      </w:r>
      <w:r w:rsidRPr="00867318">
        <w:rPr>
          <w:rFonts w:cs="Times"/>
          <w:sz w:val="24"/>
          <w:szCs w:val="24"/>
          <w:lang w:val="it-IT"/>
        </w:rPr>
        <w:t>«</w:t>
      </w:r>
      <w:r w:rsidRPr="00867318">
        <w:rPr>
          <w:rFonts w:cs="Arial"/>
          <w:i/>
          <w:sz w:val="24"/>
          <w:szCs w:val="24"/>
          <w:lang w:val="it-IT"/>
        </w:rPr>
        <w:t>Nemmeno la Confederazione pubblica i pareri e i contributi interni all'amministrazione federale.</w:t>
      </w:r>
      <w:r w:rsidRPr="00867318">
        <w:rPr>
          <w:rFonts w:cs="Arial"/>
          <w:i/>
          <w:color w:val="000000"/>
          <w:sz w:val="24"/>
          <w:szCs w:val="24"/>
          <w:lang w:val="it-IT"/>
        </w:rPr>
        <w:t xml:space="preserve"> Questi documenti fanno parte della fase di formazione dell’opinione del Consiglio di Stato e pertanto non sono pubblici</w:t>
      </w:r>
      <w:r w:rsidRPr="00867318">
        <w:rPr>
          <w:rFonts w:cs="Arial"/>
          <w:color w:val="000000"/>
          <w:sz w:val="24"/>
          <w:szCs w:val="24"/>
          <w:lang w:val="it-IT"/>
        </w:rPr>
        <w:t>»;</w:t>
      </w:r>
    </w:p>
    <w:p w:rsidR="00867318" w:rsidRPr="00867318" w:rsidRDefault="00867318" w:rsidP="00E20DB8">
      <w:pPr>
        <w:widowControl w:val="0"/>
        <w:numPr>
          <w:ilvl w:val="0"/>
          <w:numId w:val="19"/>
        </w:numPr>
        <w:tabs>
          <w:tab w:val="clear" w:pos="720"/>
          <w:tab w:val="num" w:pos="426"/>
        </w:tabs>
        <w:suppressAutoHyphens/>
        <w:ind w:left="426" w:hanging="426"/>
        <w:rPr>
          <w:sz w:val="24"/>
          <w:szCs w:val="24"/>
          <w:lang w:val="it-IT"/>
        </w:rPr>
      </w:pPr>
      <w:r w:rsidRPr="00867318">
        <w:rPr>
          <w:rFonts w:cs="Arial"/>
          <w:sz w:val="24"/>
          <w:szCs w:val="24"/>
          <w:lang w:val="it-IT"/>
        </w:rPr>
        <w:t>il Governo, sollecitato dalla scrivente, risponde al quesito con la RG n. 3814 del 23 agosto 2023 (allegato 2), in questo tenore:</w:t>
      </w:r>
    </w:p>
    <w:p w:rsidR="00867318" w:rsidRPr="00867318" w:rsidRDefault="00E20DB8" w:rsidP="00E20DB8">
      <w:pPr>
        <w:tabs>
          <w:tab w:val="num" w:pos="426"/>
        </w:tabs>
        <w:autoSpaceDE w:val="0"/>
        <w:autoSpaceDN w:val="0"/>
        <w:adjustRightInd w:val="0"/>
        <w:ind w:left="426" w:hanging="426"/>
        <w:rPr>
          <w:rFonts w:cs="Arial"/>
          <w:i/>
          <w:color w:val="000000"/>
          <w:sz w:val="24"/>
          <w:szCs w:val="24"/>
        </w:rPr>
      </w:pPr>
      <w:r>
        <w:rPr>
          <w:rFonts w:cs="Arial"/>
          <w:color w:val="000000"/>
          <w:sz w:val="24"/>
          <w:szCs w:val="24"/>
          <w:lang w:val="it-IT"/>
        </w:rPr>
        <w:tab/>
      </w:r>
      <w:r w:rsidR="00867318" w:rsidRPr="00867318">
        <w:rPr>
          <w:rFonts w:cs="Arial"/>
          <w:color w:val="000000"/>
          <w:sz w:val="24"/>
          <w:szCs w:val="24"/>
          <w:lang w:val="it-IT"/>
        </w:rPr>
        <w:t>«</w:t>
      </w:r>
      <w:r w:rsidR="00867318" w:rsidRPr="00867318">
        <w:rPr>
          <w:rFonts w:cs="Arial"/>
          <w:i/>
          <w:color w:val="000000"/>
          <w:sz w:val="24"/>
          <w:szCs w:val="24"/>
        </w:rPr>
        <w:t xml:space="preserve">Premesso che unicamente gli istituti comunali non sono servizi dell’AC, anche se sottostanno alla supervisione cantonale, confermiamo che gli istituti scolastici cantonali sono di regola preventivamente consultati su progetti cantonali riguardanti la scuola essendo parte integrante della fase di formazione dell’opinione del Consiglio di Stato. Le relative prese di posizione non sono pertanto documenti pubblici. </w:t>
      </w:r>
    </w:p>
    <w:p w:rsidR="00867318" w:rsidRPr="00867318" w:rsidRDefault="00E20DB8" w:rsidP="00E20DB8">
      <w:pPr>
        <w:tabs>
          <w:tab w:val="num" w:pos="426"/>
        </w:tabs>
        <w:ind w:left="426" w:right="47" w:hanging="426"/>
        <w:rPr>
          <w:sz w:val="24"/>
          <w:szCs w:val="24"/>
          <w:lang w:val="it-IT"/>
        </w:rPr>
      </w:pPr>
      <w:r>
        <w:rPr>
          <w:i/>
          <w:sz w:val="24"/>
          <w:szCs w:val="24"/>
        </w:rPr>
        <w:tab/>
      </w:r>
      <w:r w:rsidR="00867318" w:rsidRPr="00867318">
        <w:rPr>
          <w:i/>
          <w:sz w:val="24"/>
          <w:szCs w:val="24"/>
        </w:rPr>
        <w:t>Infatti, le direttive sulle procedure di consultazione cantonali, adottate dal Governo il 23 febbraio 2022 e pubblicate in forma elettronica nelle pagine riguardanti le procedure di consultazione (</w:t>
      </w:r>
      <w:hyperlink r:id="rId14" w:history="1">
        <w:r w:rsidR="00867318" w:rsidRPr="00867318">
          <w:rPr>
            <w:i/>
            <w:sz w:val="24"/>
            <w:szCs w:val="24"/>
            <w:u w:val="single"/>
          </w:rPr>
          <w:t>Direttive_consultazioni_cantonali</w:t>
        </w:r>
      </w:hyperlink>
      <w:r w:rsidR="00867318" w:rsidRPr="00867318">
        <w:rPr>
          <w:i/>
          <w:sz w:val="24"/>
          <w:szCs w:val="24"/>
        </w:rPr>
        <w:t>), precisano all’articolo 3 che esse non sono applicabili alla consultazione interna dei servizi dell’AC</w:t>
      </w:r>
      <w:r w:rsidR="00867318" w:rsidRPr="00867318">
        <w:rPr>
          <w:sz w:val="24"/>
          <w:szCs w:val="24"/>
        </w:rPr>
        <w:t>.</w:t>
      </w:r>
      <w:r w:rsidR="00867318" w:rsidRPr="00867318">
        <w:rPr>
          <w:rFonts w:cs="Arial"/>
          <w:sz w:val="24"/>
          <w:szCs w:val="24"/>
          <w:lang w:val="it-IT"/>
        </w:rPr>
        <w:t>».</w:t>
      </w:r>
    </w:p>
    <w:p w:rsidR="00867318" w:rsidRPr="00867318" w:rsidRDefault="00867318" w:rsidP="00B22E16">
      <w:pPr>
        <w:rPr>
          <w:rFonts w:cs="Arial"/>
          <w:b/>
          <w:bCs/>
          <w:sz w:val="24"/>
          <w:szCs w:val="24"/>
          <w:lang w:val="it-IT"/>
        </w:rPr>
      </w:pPr>
    </w:p>
    <w:p w:rsidR="00867318" w:rsidRPr="00867318" w:rsidRDefault="00867318" w:rsidP="00B22E16">
      <w:pPr>
        <w:rPr>
          <w:rFonts w:cs="Arial"/>
          <w:sz w:val="24"/>
          <w:szCs w:val="24"/>
          <w:lang w:val="it-IT"/>
        </w:rPr>
      </w:pPr>
      <w:r w:rsidRPr="00867318">
        <w:rPr>
          <w:rFonts w:cs="Arial"/>
          <w:b/>
          <w:bCs/>
          <w:sz w:val="24"/>
          <w:szCs w:val="24"/>
          <w:lang w:val="it-IT"/>
        </w:rPr>
        <w:t>Pertanto, nel caso di una consultazione che riguarda la scuola, anche le prese di posizione dei suoi attori (direttori, docenti, istituti scolastici) non sono rese pubbliche.</w:t>
      </w:r>
    </w:p>
    <w:p w:rsidR="00867318" w:rsidRPr="00867318" w:rsidRDefault="00867318" w:rsidP="00B22E16">
      <w:pPr>
        <w:rPr>
          <w:sz w:val="24"/>
          <w:szCs w:val="24"/>
          <w:lang w:val="it-IT"/>
        </w:rPr>
      </w:pPr>
    </w:p>
    <w:p w:rsidR="00867318" w:rsidRPr="00867318" w:rsidRDefault="00867318" w:rsidP="00E20DB8">
      <w:pPr>
        <w:pStyle w:val="Titolo2"/>
        <w:numPr>
          <w:ilvl w:val="0"/>
          <w:numId w:val="0"/>
        </w:numPr>
        <w:tabs>
          <w:tab w:val="left" w:pos="567"/>
        </w:tabs>
        <w:spacing w:before="0" w:after="120"/>
        <w:jc w:val="both"/>
        <w:rPr>
          <w:rFonts w:eastAsia="Calibri" w:cs="Times New Roman"/>
          <w:sz w:val="24"/>
          <w:lang w:val="it-IT" w:eastAsia="it-IT"/>
        </w:rPr>
      </w:pPr>
      <w:r w:rsidRPr="00867318">
        <w:rPr>
          <w:rFonts w:eastAsia="Calibri" w:cs="Times New Roman"/>
          <w:sz w:val="24"/>
          <w:lang w:val="it-IT" w:eastAsia="it-IT"/>
        </w:rPr>
        <w:t xml:space="preserve">4. 2 </w:t>
      </w:r>
      <w:r w:rsidR="00E20DB8">
        <w:rPr>
          <w:rFonts w:eastAsia="Calibri" w:cs="Times New Roman"/>
          <w:sz w:val="24"/>
          <w:lang w:val="it-IT" w:eastAsia="it-IT"/>
        </w:rPr>
        <w:tab/>
      </w:r>
      <w:r w:rsidRPr="00867318">
        <w:rPr>
          <w:rFonts w:eastAsia="Calibri" w:cs="Times New Roman"/>
          <w:sz w:val="24"/>
          <w:lang w:val="it-IT" w:eastAsia="it-IT"/>
        </w:rPr>
        <w:t>La pubblicazione in internet</w:t>
      </w:r>
    </w:p>
    <w:p w:rsidR="00867318" w:rsidRPr="00867318" w:rsidRDefault="00867318" w:rsidP="00B22E16">
      <w:pPr>
        <w:rPr>
          <w:sz w:val="24"/>
          <w:szCs w:val="24"/>
          <w:lang w:val="it-IT"/>
        </w:rPr>
      </w:pPr>
      <w:r w:rsidRPr="00867318">
        <w:rPr>
          <w:rFonts w:cs="Arial"/>
          <w:sz w:val="24"/>
          <w:szCs w:val="24"/>
          <w:lang w:val="it-IT"/>
        </w:rPr>
        <w:t>Seppure le direttive siano state emanate più di un anno fa, per la sua analisi, la relatrice non ha potuto utilizzare in maniera soddisfacente la pagina internet del Cantone dedicata alle procedure di consultazione per rendersi conto del modo con cui i risultati delle consultazioni sono resi pubblici.</w:t>
      </w:r>
      <w:r w:rsidRPr="00867318">
        <w:rPr>
          <w:sz w:val="24"/>
          <w:szCs w:val="24"/>
          <w:lang w:val="it-IT"/>
        </w:rPr>
        <w:t xml:space="preserve"> </w:t>
      </w:r>
      <w:r w:rsidRPr="00867318">
        <w:rPr>
          <w:rFonts w:cs="Arial"/>
          <w:sz w:val="24"/>
          <w:szCs w:val="24"/>
          <w:lang w:val="it-IT"/>
        </w:rPr>
        <w:t xml:space="preserve">Non è infatti stato possibile accedere in maniera semplice e intuitiva ai risultati delle consultazioni sin qui eseguite. A titolo di paragone si veda il </w:t>
      </w:r>
      <w:r w:rsidRPr="00867318">
        <w:rPr>
          <w:rFonts w:cs="Arial"/>
          <w:sz w:val="24"/>
          <w:szCs w:val="24"/>
          <w:u w:val="single"/>
          <w:lang w:val="it-IT"/>
        </w:rPr>
        <w:t>sito della Confederazione</w:t>
      </w:r>
      <w:r w:rsidRPr="00867318">
        <w:rPr>
          <w:rFonts w:cs="Arial"/>
          <w:sz w:val="24"/>
          <w:szCs w:val="24"/>
          <w:u w:val="single"/>
          <w:vertAlign w:val="superscript"/>
          <w:lang w:val="it-IT"/>
        </w:rPr>
        <w:footnoteReference w:id="1"/>
      </w:r>
      <w:r w:rsidRPr="00867318">
        <w:rPr>
          <w:rFonts w:cs="Arial"/>
          <w:sz w:val="24"/>
          <w:szCs w:val="24"/>
          <w:lang w:val="it-IT"/>
        </w:rPr>
        <w:t>, dove sono eccellenti le funzionalità in particolare per quanto riguarda la sistematica e la catalogazione.</w:t>
      </w:r>
    </w:p>
    <w:p w:rsidR="00867318" w:rsidRDefault="00867318" w:rsidP="00B22E16">
      <w:pPr>
        <w:rPr>
          <w:sz w:val="24"/>
          <w:szCs w:val="24"/>
          <w:lang w:val="it-IT"/>
        </w:rPr>
      </w:pPr>
    </w:p>
    <w:p w:rsidR="00E20DB8" w:rsidRPr="00867318" w:rsidRDefault="00E20DB8" w:rsidP="00B22E16">
      <w:pPr>
        <w:rPr>
          <w:sz w:val="24"/>
          <w:szCs w:val="24"/>
          <w:lang w:val="it-IT"/>
        </w:rPr>
      </w:pPr>
    </w:p>
    <w:p w:rsidR="00867318" w:rsidRPr="00867318" w:rsidRDefault="00867318" w:rsidP="00E20DB8">
      <w:pPr>
        <w:pStyle w:val="Titolo1"/>
        <w:tabs>
          <w:tab w:val="left" w:pos="567"/>
        </w:tabs>
        <w:spacing w:before="0"/>
        <w:ind w:left="567" w:hanging="567"/>
        <w:jc w:val="both"/>
        <w:rPr>
          <w:rFonts w:eastAsia="Calibri" w:cs="Times New Roman"/>
          <w:caps/>
          <w:sz w:val="24"/>
          <w:szCs w:val="24"/>
          <w:lang w:val="it-IT" w:eastAsia="it-IT"/>
        </w:rPr>
      </w:pPr>
      <w:r w:rsidRPr="00867318">
        <w:rPr>
          <w:rFonts w:eastAsia="Calibri" w:cs="Times New Roman"/>
          <w:caps/>
          <w:sz w:val="24"/>
          <w:szCs w:val="24"/>
          <w:lang w:val="it-IT" w:eastAsia="it-IT"/>
        </w:rPr>
        <w:t xml:space="preserve">5. </w:t>
      </w:r>
      <w:r w:rsidR="00E20DB8" w:rsidRPr="00E20DB8">
        <w:rPr>
          <w:rFonts w:eastAsia="Calibri" w:cs="Times New Roman"/>
          <w:caps/>
          <w:sz w:val="24"/>
          <w:szCs w:val="24"/>
          <w:lang w:val="it-IT" w:eastAsia="it-IT"/>
        </w:rPr>
        <w:tab/>
      </w:r>
      <w:r w:rsidRPr="00867318">
        <w:rPr>
          <w:rFonts w:eastAsia="Calibri" w:cs="Times New Roman"/>
          <w:caps/>
          <w:sz w:val="24"/>
          <w:szCs w:val="24"/>
          <w:lang w:val="it-IT" w:eastAsia="it-IT"/>
        </w:rPr>
        <w:t>CONCLUSIONI</w:t>
      </w:r>
    </w:p>
    <w:p w:rsidR="00867318" w:rsidRDefault="00867318" w:rsidP="00B22E16">
      <w:pPr>
        <w:rPr>
          <w:rFonts w:cs="Arial"/>
          <w:color w:val="000000"/>
          <w:sz w:val="24"/>
          <w:szCs w:val="24"/>
          <w:lang w:val="it-IT"/>
        </w:rPr>
      </w:pPr>
      <w:r w:rsidRPr="00867318">
        <w:rPr>
          <w:rFonts w:cs="Arial"/>
          <w:color w:val="000000"/>
          <w:sz w:val="24"/>
          <w:szCs w:val="24"/>
          <w:lang w:val="it-IT"/>
        </w:rPr>
        <w:t xml:space="preserve">La Commissione invita a respingere la mozione MPS con primo firmatario Matteo Pronzini ricordando che, secondo l’articolo 71 capoverso 2 della Costituzione cantonale, nell’esercizio delle sue competenze legislative, il Consiglio di Stato può consultare i Comuni, i partiti politici e altre organizzazioni. Tale norma è già di per sé sufficiente per svolgere le consultazioni e ciò rende superflua l’adozione di una base legale specifica, </w:t>
      </w:r>
      <w:r w:rsidRPr="00867318">
        <w:rPr>
          <w:rFonts w:cs="Arial"/>
          <w:color w:val="000000"/>
          <w:sz w:val="24"/>
          <w:szCs w:val="24"/>
          <w:lang w:val="it-IT"/>
        </w:rPr>
        <w:lastRenderedPageBreak/>
        <w:t>come richiede la mozione. Inoltre la mozione non è lo strumento per proporre nuove leggi o decreti (l’articolo 105 LGC).</w:t>
      </w:r>
    </w:p>
    <w:p w:rsidR="00E20DB8" w:rsidRPr="00867318" w:rsidRDefault="00E20DB8" w:rsidP="00B22E16">
      <w:pPr>
        <w:rPr>
          <w:rFonts w:cs="Arial"/>
          <w:color w:val="000000"/>
          <w:sz w:val="24"/>
          <w:szCs w:val="24"/>
          <w:lang w:val="it-IT"/>
        </w:rPr>
      </w:pPr>
    </w:p>
    <w:p w:rsidR="00867318" w:rsidRPr="00867318" w:rsidRDefault="00867318" w:rsidP="00B22E16">
      <w:pPr>
        <w:rPr>
          <w:sz w:val="24"/>
          <w:szCs w:val="24"/>
          <w:lang w:val="it-IT"/>
        </w:rPr>
      </w:pPr>
      <w:r w:rsidRPr="00867318">
        <w:rPr>
          <w:rFonts w:cs="Arial"/>
          <w:color w:val="000000"/>
          <w:sz w:val="24"/>
          <w:szCs w:val="24"/>
          <w:lang w:val="it-IT"/>
        </w:rPr>
        <w:t>La Commissione auspica altresì che al più presto sia possibile accedere in maniera intuitiva ai risultati delle procedure di consultazione pubblicate online e non solo alle procedure stesse.</w:t>
      </w:r>
    </w:p>
    <w:p w:rsidR="00867318" w:rsidRDefault="00867318" w:rsidP="00B22E16">
      <w:pPr>
        <w:rPr>
          <w:sz w:val="24"/>
          <w:szCs w:val="24"/>
          <w:lang w:val="it-IT"/>
        </w:rPr>
      </w:pPr>
    </w:p>
    <w:p w:rsidR="00E20DB8" w:rsidRDefault="00E20DB8" w:rsidP="00B22E16">
      <w:pPr>
        <w:rPr>
          <w:sz w:val="24"/>
          <w:szCs w:val="24"/>
          <w:lang w:val="it-IT"/>
        </w:rPr>
      </w:pPr>
    </w:p>
    <w:p w:rsidR="00E20DB8" w:rsidRPr="00867318" w:rsidRDefault="00E20DB8" w:rsidP="00B22E16">
      <w:pPr>
        <w:rPr>
          <w:sz w:val="24"/>
          <w:szCs w:val="24"/>
          <w:lang w:val="it-IT"/>
        </w:rPr>
      </w:pPr>
    </w:p>
    <w:p w:rsidR="00867318" w:rsidRPr="00867318" w:rsidRDefault="00867318" w:rsidP="00E20DB8">
      <w:pPr>
        <w:spacing w:after="120"/>
        <w:rPr>
          <w:sz w:val="24"/>
          <w:szCs w:val="24"/>
          <w:lang w:val="it-IT"/>
        </w:rPr>
      </w:pPr>
      <w:r w:rsidRPr="00867318">
        <w:rPr>
          <w:rFonts w:cs="Arial"/>
          <w:color w:val="000000"/>
          <w:sz w:val="24"/>
          <w:szCs w:val="24"/>
          <w:lang w:val="it-IT"/>
        </w:rPr>
        <w:t>Per la Commissione Costituzione e leggi:</w:t>
      </w:r>
    </w:p>
    <w:p w:rsidR="00867318" w:rsidRPr="00867318" w:rsidRDefault="00867318" w:rsidP="00B22E16">
      <w:pPr>
        <w:rPr>
          <w:rFonts w:cs="Arial"/>
          <w:color w:val="000000"/>
          <w:sz w:val="24"/>
          <w:szCs w:val="24"/>
          <w:lang w:val="it-IT"/>
        </w:rPr>
      </w:pPr>
      <w:r w:rsidRPr="00867318">
        <w:rPr>
          <w:rFonts w:cs="Arial"/>
          <w:color w:val="000000"/>
          <w:sz w:val="24"/>
          <w:szCs w:val="24"/>
          <w:lang w:val="it-IT"/>
        </w:rPr>
        <w:t>Daria Lepori, relatrice</w:t>
      </w:r>
    </w:p>
    <w:p w:rsidR="00E20DB8" w:rsidRDefault="00867318" w:rsidP="00B22E16">
      <w:pPr>
        <w:rPr>
          <w:sz w:val="24"/>
          <w:szCs w:val="24"/>
          <w:lang w:val="it-IT"/>
        </w:rPr>
      </w:pPr>
      <w:r w:rsidRPr="00867318">
        <w:rPr>
          <w:sz w:val="24"/>
          <w:szCs w:val="24"/>
          <w:lang w:val="it-IT"/>
        </w:rPr>
        <w:t>Aldi - Boscolo - Caroni - Censi - Filippini</w:t>
      </w:r>
      <w:r w:rsidRPr="00867318">
        <w:rPr>
          <w:sz w:val="24"/>
          <w:szCs w:val="24"/>
          <w:lang w:val="it-IT"/>
        </w:rPr>
        <w:tab/>
      </w:r>
      <w:r w:rsidR="00E20DB8">
        <w:rPr>
          <w:sz w:val="24"/>
          <w:szCs w:val="24"/>
          <w:lang w:val="it-IT"/>
        </w:rPr>
        <w:t xml:space="preserve"> - </w:t>
      </w:r>
      <w:r w:rsidRPr="00867318">
        <w:rPr>
          <w:sz w:val="24"/>
          <w:szCs w:val="24"/>
          <w:lang w:val="it-IT"/>
        </w:rPr>
        <w:t xml:space="preserve">Gendotti </w:t>
      </w:r>
      <w:r w:rsidR="00E20DB8">
        <w:rPr>
          <w:sz w:val="24"/>
          <w:szCs w:val="24"/>
          <w:lang w:val="it-IT"/>
        </w:rPr>
        <w:t>-</w:t>
      </w:r>
      <w:r w:rsidRPr="00867318">
        <w:rPr>
          <w:sz w:val="24"/>
          <w:szCs w:val="24"/>
          <w:lang w:val="it-IT"/>
        </w:rPr>
        <w:t xml:space="preserve"> </w:t>
      </w:r>
    </w:p>
    <w:p w:rsidR="00E20DB8" w:rsidRDefault="00867318" w:rsidP="00B22E16">
      <w:pPr>
        <w:rPr>
          <w:sz w:val="24"/>
          <w:szCs w:val="24"/>
          <w:lang w:val="it-IT"/>
        </w:rPr>
      </w:pPr>
      <w:r w:rsidRPr="00867318">
        <w:rPr>
          <w:sz w:val="24"/>
          <w:szCs w:val="24"/>
          <w:lang w:val="it-IT"/>
        </w:rPr>
        <w:t xml:space="preserve">Simona Genini - Sem Genini - Ghisolfi - Giudici </w:t>
      </w:r>
      <w:r w:rsidR="00E20DB8">
        <w:rPr>
          <w:sz w:val="24"/>
          <w:szCs w:val="24"/>
          <w:lang w:val="it-IT"/>
        </w:rPr>
        <w:t xml:space="preserve">- </w:t>
      </w:r>
      <w:r w:rsidRPr="00867318">
        <w:rPr>
          <w:sz w:val="24"/>
          <w:szCs w:val="24"/>
          <w:lang w:val="it-IT"/>
        </w:rPr>
        <w:t xml:space="preserve">Ortelli </w:t>
      </w:r>
      <w:r w:rsidR="00E20DB8">
        <w:rPr>
          <w:sz w:val="24"/>
          <w:szCs w:val="24"/>
          <w:lang w:val="it-IT"/>
        </w:rPr>
        <w:t>P. -</w:t>
      </w:r>
      <w:r w:rsidRPr="00867318">
        <w:rPr>
          <w:sz w:val="24"/>
          <w:szCs w:val="24"/>
          <w:lang w:val="it-IT"/>
        </w:rPr>
        <w:t xml:space="preserve"> </w:t>
      </w:r>
    </w:p>
    <w:p w:rsidR="00867318" w:rsidRPr="00867318" w:rsidRDefault="00867318" w:rsidP="00B22E16">
      <w:pPr>
        <w:rPr>
          <w:sz w:val="24"/>
          <w:szCs w:val="24"/>
          <w:lang w:val="it-IT"/>
        </w:rPr>
      </w:pPr>
      <w:r w:rsidRPr="00867318">
        <w:rPr>
          <w:sz w:val="24"/>
          <w:szCs w:val="24"/>
          <w:lang w:val="it-IT"/>
        </w:rPr>
        <w:t xml:space="preserve">Padlina - Passardi - Petralli - Ponti - Terraneo </w:t>
      </w: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867318" w:rsidRPr="00867318" w:rsidRDefault="00867318" w:rsidP="00B22E16">
      <w:pPr>
        <w:rPr>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lang w:val="it-IT"/>
        </w:rPr>
      </w:pPr>
    </w:p>
    <w:p w:rsidR="00E20DB8" w:rsidRDefault="00E20DB8" w:rsidP="00B22E16">
      <w:pPr>
        <w:suppressAutoHyphens/>
        <w:rPr>
          <w:rFonts w:asciiTheme="minorHAnsi" w:hAnsiTheme="minorHAnsi" w:cstheme="minorHAnsi"/>
          <w:sz w:val="24"/>
          <w:szCs w:val="24"/>
          <w:u w:val="single"/>
          <w:lang w:val="it-IT"/>
        </w:rPr>
      </w:pPr>
    </w:p>
    <w:p w:rsidR="00E20DB8" w:rsidRDefault="00E20DB8" w:rsidP="00B22E16">
      <w:pPr>
        <w:suppressAutoHyphens/>
        <w:rPr>
          <w:rFonts w:asciiTheme="minorHAnsi" w:hAnsiTheme="minorHAnsi" w:cstheme="minorHAnsi"/>
          <w:sz w:val="24"/>
          <w:szCs w:val="24"/>
          <w:u w:val="single"/>
          <w:lang w:val="it-IT"/>
        </w:rPr>
      </w:pPr>
    </w:p>
    <w:p w:rsidR="00E20DB8" w:rsidRDefault="00E20DB8" w:rsidP="00B22E16">
      <w:pPr>
        <w:suppressAutoHyphens/>
        <w:rPr>
          <w:rFonts w:asciiTheme="minorHAnsi" w:hAnsiTheme="minorHAnsi" w:cstheme="minorHAnsi"/>
          <w:sz w:val="24"/>
          <w:szCs w:val="24"/>
          <w:u w:val="single"/>
          <w:lang w:val="it-IT"/>
        </w:rPr>
      </w:pPr>
    </w:p>
    <w:p w:rsidR="00822F39" w:rsidRDefault="00822F39" w:rsidP="00E20DB8">
      <w:pPr>
        <w:suppressAutoHyphens/>
        <w:spacing w:after="120"/>
        <w:rPr>
          <w:rFonts w:asciiTheme="minorHAnsi" w:hAnsiTheme="minorHAnsi" w:cstheme="minorHAnsi"/>
          <w:sz w:val="24"/>
          <w:szCs w:val="24"/>
          <w:u w:val="single"/>
          <w:lang w:val="it-IT"/>
        </w:rPr>
      </w:pPr>
    </w:p>
    <w:p w:rsidR="00867318" w:rsidRPr="00867318" w:rsidRDefault="00867318" w:rsidP="00E20DB8">
      <w:pPr>
        <w:suppressAutoHyphens/>
        <w:spacing w:after="120"/>
        <w:rPr>
          <w:rFonts w:asciiTheme="minorHAnsi" w:hAnsiTheme="minorHAnsi" w:cstheme="minorHAnsi"/>
          <w:sz w:val="24"/>
          <w:szCs w:val="24"/>
          <w:lang w:val="it-IT"/>
        </w:rPr>
      </w:pPr>
      <w:r w:rsidRPr="00867318">
        <w:rPr>
          <w:rFonts w:asciiTheme="minorHAnsi" w:hAnsiTheme="minorHAnsi" w:cstheme="minorHAnsi"/>
          <w:sz w:val="24"/>
          <w:szCs w:val="24"/>
          <w:u w:val="single"/>
          <w:lang w:val="it-IT"/>
        </w:rPr>
        <w:t>Allegati</w:t>
      </w:r>
      <w:r w:rsidRPr="00867318">
        <w:rPr>
          <w:rFonts w:asciiTheme="minorHAnsi" w:hAnsiTheme="minorHAnsi" w:cstheme="minorHAnsi"/>
          <w:sz w:val="24"/>
          <w:szCs w:val="24"/>
          <w:lang w:val="it-IT"/>
        </w:rPr>
        <w:t>:</w:t>
      </w:r>
    </w:p>
    <w:p w:rsidR="00867318" w:rsidRPr="00867318" w:rsidRDefault="00867318" w:rsidP="00E20DB8">
      <w:pPr>
        <w:numPr>
          <w:ilvl w:val="0"/>
          <w:numId w:val="24"/>
        </w:numPr>
        <w:suppressAutoHyphens/>
        <w:ind w:left="284" w:hanging="284"/>
        <w:rPr>
          <w:rFonts w:asciiTheme="minorHAnsi" w:hAnsiTheme="minorHAnsi" w:cstheme="minorHAnsi"/>
          <w:sz w:val="24"/>
          <w:szCs w:val="24"/>
          <w:lang w:val="it-IT"/>
        </w:rPr>
      </w:pPr>
      <w:r w:rsidRPr="00867318">
        <w:rPr>
          <w:rFonts w:asciiTheme="minorHAnsi" w:hAnsiTheme="minorHAnsi" w:cstheme="minorHAnsi"/>
          <w:color w:val="000000"/>
          <w:sz w:val="24"/>
          <w:szCs w:val="24"/>
          <w:lang w:val="it-IT"/>
        </w:rPr>
        <w:t>risoluzione governativa (RG) n. 2470 del 17 giugno 2015;</w:t>
      </w:r>
    </w:p>
    <w:p w:rsidR="00867318" w:rsidRPr="00867318" w:rsidRDefault="00867318" w:rsidP="00E20DB8">
      <w:pPr>
        <w:numPr>
          <w:ilvl w:val="0"/>
          <w:numId w:val="24"/>
        </w:numPr>
        <w:suppressAutoHyphens/>
        <w:ind w:left="284" w:hanging="284"/>
        <w:rPr>
          <w:rFonts w:asciiTheme="minorHAnsi" w:hAnsiTheme="minorHAnsi" w:cstheme="minorHAnsi"/>
          <w:sz w:val="24"/>
          <w:szCs w:val="24"/>
          <w:lang w:val="it-IT"/>
        </w:rPr>
      </w:pPr>
      <w:r w:rsidRPr="00867318">
        <w:rPr>
          <w:rFonts w:asciiTheme="minorHAnsi" w:hAnsiTheme="minorHAnsi" w:cstheme="minorHAnsi"/>
          <w:color w:val="000000"/>
          <w:sz w:val="24"/>
          <w:szCs w:val="24"/>
          <w:lang w:val="it-IT"/>
        </w:rPr>
        <w:t>risoluzione governativa (RG) n. 3814 del 23 agosto 2023;</w:t>
      </w:r>
    </w:p>
    <w:p w:rsidR="00867318" w:rsidRPr="00867318" w:rsidRDefault="00867318" w:rsidP="00867318">
      <w:pPr>
        <w:spacing w:after="57"/>
        <w:rPr>
          <w:lang w:val="it-IT"/>
        </w:rPr>
      </w:pPr>
    </w:p>
    <w:p w:rsidR="00E20DB8" w:rsidRDefault="00E20DB8" w:rsidP="00867318">
      <w:pPr>
        <w:spacing w:after="57"/>
        <w:rPr>
          <w:noProof/>
          <w:sz w:val="24"/>
          <w:szCs w:val="24"/>
          <w:lang w:eastAsia="it-CH"/>
        </w:rPr>
      </w:pPr>
      <w:r>
        <w:rPr>
          <w:rFonts w:asciiTheme="minorHAnsi" w:hAnsiTheme="minorHAnsi" w:cstheme="minorHAnsi"/>
          <w:sz w:val="24"/>
          <w:szCs w:val="24"/>
          <w:u w:val="single"/>
          <w:lang w:val="it-IT"/>
        </w:rPr>
        <w:t>Annesso</w:t>
      </w:r>
      <w:r w:rsidR="00867318" w:rsidRPr="00867318">
        <w:rPr>
          <w:rFonts w:asciiTheme="minorHAnsi" w:hAnsiTheme="minorHAnsi" w:cstheme="minorHAnsi"/>
          <w:sz w:val="24"/>
          <w:szCs w:val="24"/>
          <w:u w:val="single"/>
          <w:lang w:val="it-IT"/>
        </w:rPr>
        <w:t>:</w:t>
      </w:r>
      <w:r w:rsidR="00867318" w:rsidRPr="00867318">
        <w:rPr>
          <w:noProof/>
          <w:sz w:val="24"/>
          <w:szCs w:val="24"/>
          <w:lang w:eastAsia="it-CH"/>
        </w:rPr>
        <w:t xml:space="preserve"> </w:t>
      </w:r>
    </w:p>
    <w:p w:rsidR="00867318" w:rsidRPr="00867318" w:rsidRDefault="00E20DB8" w:rsidP="00867318">
      <w:pPr>
        <w:spacing w:after="57"/>
        <w:rPr>
          <w:noProof/>
          <w:sz w:val="24"/>
          <w:szCs w:val="24"/>
          <w:lang w:eastAsia="it-CH"/>
        </w:rPr>
      </w:pPr>
      <w:r>
        <w:rPr>
          <w:noProof/>
          <w:sz w:val="24"/>
          <w:szCs w:val="24"/>
          <w:lang w:eastAsia="it-CH"/>
        </w:rPr>
        <w:t xml:space="preserve">- </w:t>
      </w:r>
      <w:r w:rsidR="00867318" w:rsidRPr="00867318">
        <w:rPr>
          <w:noProof/>
          <w:sz w:val="24"/>
          <w:szCs w:val="24"/>
          <w:lang w:eastAsia="it-CH"/>
        </w:rPr>
        <w:t>screenshot della pagina internet del Cantone dedicata alle procedure di consultazione</w:t>
      </w:r>
    </w:p>
    <w:p w:rsidR="00867318" w:rsidRPr="00867318" w:rsidRDefault="00867318" w:rsidP="00867318">
      <w:pPr>
        <w:spacing w:after="57"/>
        <w:rPr>
          <w:noProof/>
          <w:lang w:eastAsia="it-CH"/>
        </w:rPr>
      </w:pPr>
    </w:p>
    <w:p w:rsidR="00867318" w:rsidRPr="00867318" w:rsidRDefault="00867318" w:rsidP="00867318">
      <w:pPr>
        <w:spacing w:after="57"/>
        <w:rPr>
          <w:noProof/>
          <w:lang w:eastAsia="it-CH"/>
        </w:rPr>
      </w:pPr>
    </w:p>
    <w:p w:rsidR="00867318" w:rsidRPr="00867318" w:rsidRDefault="00867318" w:rsidP="00867318">
      <w:pPr>
        <w:spacing w:after="57"/>
        <w:rPr>
          <w:noProof/>
          <w:lang w:eastAsia="it-CH"/>
        </w:rPr>
      </w:pPr>
    </w:p>
    <w:p w:rsidR="00867318" w:rsidRPr="00867318" w:rsidRDefault="00867318" w:rsidP="00867318">
      <w:pPr>
        <w:spacing w:after="57"/>
        <w:rPr>
          <w:lang w:val="it-IT"/>
        </w:rPr>
      </w:pPr>
      <w:r w:rsidRPr="00867318">
        <w:rPr>
          <w:noProof/>
          <w:lang w:eastAsia="it-CH"/>
        </w:rPr>
        <w:drawing>
          <wp:anchor distT="0" distB="0" distL="0" distR="0" simplePos="0" relativeHeight="251661312" behindDoc="0" locked="0" layoutInCell="0" allowOverlap="1" wp14:anchorId="2C309D4A" wp14:editId="600EDFF2">
            <wp:simplePos x="0" y="0"/>
            <wp:positionH relativeFrom="column">
              <wp:posOffset>0</wp:posOffset>
            </wp:positionH>
            <wp:positionV relativeFrom="paragraph">
              <wp:posOffset>-560705</wp:posOffset>
            </wp:positionV>
            <wp:extent cx="5281930" cy="808736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5"/>
                    <a:stretch>
                      <a:fillRect/>
                    </a:stretch>
                  </pic:blipFill>
                  <pic:spPr bwMode="auto">
                    <a:xfrm>
                      <a:off x="0" y="0"/>
                      <a:ext cx="5281930" cy="8087360"/>
                    </a:xfrm>
                    <a:prstGeom prst="rect">
                      <a:avLst/>
                    </a:prstGeom>
                  </pic:spPr>
                </pic:pic>
              </a:graphicData>
            </a:graphic>
          </wp:anchor>
        </w:drawing>
      </w:r>
    </w:p>
    <w:p w:rsidR="00867318" w:rsidRPr="00867318" w:rsidRDefault="00867318" w:rsidP="00867318">
      <w:pPr>
        <w:spacing w:after="57"/>
        <w:rPr>
          <w:lang w:val="it-IT"/>
        </w:rPr>
      </w:pPr>
    </w:p>
    <w:p w:rsidR="00867318" w:rsidRPr="00867318" w:rsidRDefault="00867318" w:rsidP="00867318">
      <w:pPr>
        <w:spacing w:after="57"/>
        <w:rPr>
          <w:lang w:val="it-IT"/>
        </w:rPr>
      </w:pPr>
    </w:p>
    <w:p w:rsidR="00867318" w:rsidRPr="00867318" w:rsidRDefault="00867318" w:rsidP="00867318">
      <w:pPr>
        <w:spacing w:after="57"/>
        <w:rPr>
          <w:lang w:val="it-IT"/>
        </w:rPr>
      </w:pPr>
      <w:r w:rsidRPr="00867318">
        <w:rPr>
          <w:noProof/>
          <w:lang w:eastAsia="it-CH"/>
        </w:rPr>
        <w:drawing>
          <wp:anchor distT="0" distB="0" distL="0" distR="0" simplePos="0" relativeHeight="251659264" behindDoc="0" locked="0" layoutInCell="0" allowOverlap="1" wp14:anchorId="35B22C5E" wp14:editId="0F5CE9BE">
            <wp:simplePos x="0" y="0"/>
            <wp:positionH relativeFrom="column">
              <wp:align>center</wp:align>
            </wp:positionH>
            <wp:positionV relativeFrom="paragraph">
              <wp:posOffset>635</wp:posOffset>
            </wp:positionV>
            <wp:extent cx="4614545" cy="517779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6"/>
                    <a:stretch>
                      <a:fillRect/>
                    </a:stretch>
                  </pic:blipFill>
                  <pic:spPr bwMode="auto">
                    <a:xfrm>
                      <a:off x="0" y="0"/>
                      <a:ext cx="4614545" cy="5177790"/>
                    </a:xfrm>
                    <a:prstGeom prst="rect">
                      <a:avLst/>
                    </a:prstGeom>
                  </pic:spPr>
                </pic:pic>
              </a:graphicData>
            </a:graphic>
          </wp:anchor>
        </w:drawing>
      </w:r>
    </w:p>
    <w:p w:rsidR="00867318" w:rsidRPr="00867318" w:rsidRDefault="00867318" w:rsidP="00867318">
      <w:pPr>
        <w:rPr>
          <w:sz w:val="24"/>
        </w:rPr>
      </w:pPr>
      <w:r w:rsidRPr="00867318">
        <w:br w:type="page"/>
      </w:r>
    </w:p>
    <w:p w:rsidR="00867318" w:rsidRPr="00867318" w:rsidRDefault="00867318" w:rsidP="00867318">
      <w:pPr>
        <w:ind w:right="-1"/>
        <w:rPr>
          <w:sz w:val="24"/>
        </w:rPr>
      </w:pPr>
      <w:r w:rsidRPr="00867318">
        <w:rPr>
          <w:noProof/>
          <w:sz w:val="24"/>
          <w:lang w:eastAsia="it-CH"/>
        </w:rPr>
        <w:lastRenderedPageBreak/>
        <w:drawing>
          <wp:anchor distT="0" distB="0" distL="0" distR="0" simplePos="0" relativeHeight="251660288" behindDoc="0" locked="0" layoutInCell="0" allowOverlap="1" wp14:anchorId="7A7FDE75" wp14:editId="168636CD">
            <wp:simplePos x="0" y="0"/>
            <wp:positionH relativeFrom="column">
              <wp:posOffset>0</wp:posOffset>
            </wp:positionH>
            <wp:positionV relativeFrom="paragraph">
              <wp:posOffset>180340</wp:posOffset>
            </wp:positionV>
            <wp:extent cx="4614545" cy="517779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6"/>
                    <a:stretch>
                      <a:fillRect/>
                    </a:stretch>
                  </pic:blipFill>
                  <pic:spPr bwMode="auto">
                    <a:xfrm>
                      <a:off x="0" y="0"/>
                      <a:ext cx="4614545" cy="5177790"/>
                    </a:xfrm>
                    <a:prstGeom prst="rect">
                      <a:avLst/>
                    </a:prstGeom>
                  </pic:spPr>
                </pic:pic>
              </a:graphicData>
            </a:graphic>
          </wp:anchor>
        </w:drawing>
      </w:r>
    </w:p>
    <w:p w:rsidR="00D649A8" w:rsidRPr="00867318" w:rsidRDefault="00D649A8" w:rsidP="00D33940">
      <w:pPr>
        <w:pStyle w:val="StandardRisoluzionedelConsigliodiStato"/>
        <w:ind w:right="-1"/>
      </w:pPr>
    </w:p>
    <w:p w:rsidR="00D649A8" w:rsidRPr="00867318" w:rsidRDefault="00D649A8" w:rsidP="00D33940">
      <w:pPr>
        <w:pStyle w:val="StandardRisoluzionedelConsigliodiStato"/>
        <w:ind w:right="-1"/>
      </w:pPr>
    </w:p>
    <w:sectPr w:rsidR="00D649A8" w:rsidRPr="00867318" w:rsidSect="00375115">
      <w:headerReference w:type="even" r:id="rId17"/>
      <w:headerReference w:type="default" r:id="rId18"/>
      <w:footerReference w:type="even"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318" w:rsidRDefault="00867318" w:rsidP="00F657BF">
      <w:r>
        <w:separator/>
      </w:r>
    </w:p>
  </w:endnote>
  <w:endnote w:type="continuationSeparator" w:id="0">
    <w:p w:rsidR="00867318" w:rsidRDefault="0086731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ongti S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F009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00928" w:rsidP="00912E34">
          <w:pPr>
            <w:tabs>
              <w:tab w:val="center" w:pos="2382"/>
            </w:tabs>
          </w:pPr>
        </w:p>
      </w:tc>
      <w:tc>
        <w:tcPr>
          <w:tcW w:w="721" w:type="dxa"/>
        </w:tcPr>
        <w:p w:rsidR="00912E34" w:rsidRPr="003D1008" w:rsidRDefault="0002191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2191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0092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0092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318" w:rsidRDefault="00867318" w:rsidP="00F657BF">
      <w:r>
        <w:separator/>
      </w:r>
    </w:p>
  </w:footnote>
  <w:footnote w:type="continuationSeparator" w:id="0">
    <w:p w:rsidR="00867318" w:rsidRDefault="00867318" w:rsidP="00F657BF">
      <w:r>
        <w:continuationSeparator/>
      </w:r>
    </w:p>
  </w:footnote>
  <w:footnote w:id="1">
    <w:p w:rsidR="00867318" w:rsidRPr="00EF720F" w:rsidRDefault="00867318" w:rsidP="00E20DB8">
      <w:pPr>
        <w:pStyle w:val="Testonotaapidipagina"/>
        <w:spacing w:after="0"/>
        <w:rPr>
          <w:rFonts w:cstheme="minorHAnsi"/>
          <w:sz w:val="20"/>
          <w:lang w:val="it-CH"/>
        </w:rPr>
      </w:pPr>
      <w:r>
        <w:rPr>
          <w:rStyle w:val="Rimandonotaapidipagina"/>
        </w:rPr>
        <w:footnoteRef/>
      </w:r>
      <w:r w:rsidRPr="0020012A">
        <w:rPr>
          <w:lang w:val="it-CH"/>
        </w:rPr>
        <w:t xml:space="preserve"> </w:t>
      </w:r>
      <w:r w:rsidRPr="00EF720F">
        <w:rPr>
          <w:rFonts w:cstheme="minorHAnsi"/>
          <w:sz w:val="20"/>
          <w:lang w:val="it-CH"/>
        </w:rPr>
        <w:fldChar w:fldCharType="begin"/>
      </w:r>
      <w:r w:rsidRPr="00EF720F">
        <w:rPr>
          <w:rFonts w:cstheme="minorHAnsi"/>
          <w:sz w:val="20"/>
          <w:lang w:val="it-CH"/>
        </w:rPr>
        <w:instrText xml:space="preserve"> HYPERLINK "https://www.fedlex.admin.ch/it/consultation-procedures?news_period=last_day&amp;news_pageNb=1&amp;news_order=desc&amp;news_itemsPerPage=10" </w:instrText>
      </w:r>
      <w:r w:rsidRPr="00EF720F">
        <w:rPr>
          <w:rFonts w:cstheme="minorHAnsi"/>
          <w:sz w:val="20"/>
          <w:lang w:val="it-CH"/>
        </w:rPr>
        <w:fldChar w:fldCharType="separate"/>
      </w:r>
      <w:r w:rsidRPr="0020012A">
        <w:rPr>
          <w:rStyle w:val="Collegamentoipertestuale"/>
          <w:rFonts w:cstheme="minorHAnsi"/>
          <w:color w:val="005580"/>
          <w:sz w:val="20"/>
          <w:lang w:val="it-CH"/>
        </w:rPr>
        <w:t>Pagina iniziale sulle procedure di consultazione (Fedlex)</w:t>
      </w:r>
    </w:p>
    <w:p w:rsidR="00867318" w:rsidRPr="0020012A" w:rsidRDefault="00867318" w:rsidP="00E20DB8">
      <w:pPr>
        <w:pStyle w:val="Testonotaapidipagina"/>
        <w:spacing w:after="0"/>
        <w:rPr>
          <w:rFonts w:cstheme="minorHAnsi"/>
          <w:color w:val="454545"/>
          <w:sz w:val="20"/>
          <w:lang w:val="it-CH"/>
        </w:rPr>
      </w:pPr>
      <w:r w:rsidRPr="00EF720F">
        <w:rPr>
          <w:rFonts w:cstheme="minorHAnsi"/>
          <w:sz w:val="20"/>
          <w:lang w:val="it-CH"/>
        </w:rPr>
        <w:fldChar w:fldCharType="end"/>
      </w:r>
      <w:hyperlink r:id="rId1" w:history="1">
        <w:r w:rsidRPr="0020012A">
          <w:rPr>
            <w:rStyle w:val="Collegamentoipertestuale"/>
            <w:rFonts w:cstheme="minorHAnsi"/>
            <w:color w:val="005580"/>
            <w:sz w:val="20"/>
            <w:lang w:val="it-CH"/>
          </w:rPr>
          <w:t>Procedure di consultazione previste</w:t>
        </w:r>
      </w:hyperlink>
    </w:p>
    <w:p w:rsidR="00867318" w:rsidRPr="0020012A" w:rsidRDefault="00F00928" w:rsidP="00E20DB8">
      <w:pPr>
        <w:pStyle w:val="Testonotaapidipagina"/>
        <w:spacing w:after="0"/>
        <w:rPr>
          <w:rFonts w:cstheme="minorHAnsi"/>
          <w:color w:val="454545"/>
          <w:sz w:val="20"/>
          <w:lang w:val="it-CH"/>
        </w:rPr>
      </w:pPr>
      <w:hyperlink r:id="rId2" w:history="1">
        <w:r w:rsidR="00867318" w:rsidRPr="0020012A">
          <w:rPr>
            <w:rStyle w:val="Collegamentoipertestuale"/>
            <w:rFonts w:cstheme="minorHAnsi"/>
            <w:color w:val="006699"/>
            <w:sz w:val="20"/>
            <w:lang w:val="it-CH"/>
          </w:rPr>
          <w:t>Procedure di consultazione in corso</w:t>
        </w:r>
      </w:hyperlink>
    </w:p>
    <w:p w:rsidR="00867318" w:rsidRPr="00EF720F" w:rsidRDefault="00F00928" w:rsidP="00E20DB8">
      <w:pPr>
        <w:pStyle w:val="Testonotaapidipagina"/>
        <w:spacing w:after="0"/>
        <w:rPr>
          <w:rFonts w:cstheme="minorHAnsi"/>
          <w:color w:val="454545"/>
          <w:sz w:val="20"/>
        </w:rPr>
      </w:pPr>
      <w:hyperlink r:id="rId3" w:history="1">
        <w:r w:rsidR="00867318" w:rsidRPr="00EF720F">
          <w:rPr>
            <w:rStyle w:val="Collegamentoipertestuale"/>
            <w:rFonts w:cstheme="minorHAnsi"/>
            <w:color w:val="006699"/>
            <w:sz w:val="20"/>
          </w:rPr>
          <w:t>Procedure di consultazione concluse</w:t>
        </w:r>
      </w:hyperlink>
    </w:p>
    <w:p w:rsidR="00867318" w:rsidRPr="00951673" w:rsidRDefault="00867318" w:rsidP="00867318">
      <w:pPr>
        <w:pStyle w:val="Testonotaapidipagina"/>
        <w:rPr>
          <w:lang w:val="it-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F009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86D19A1-DDC8-45F6-B926-A29A0E478818}"/>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496948" w:rsidP="00A532F6">
              <w:pPr>
                <w:pStyle w:val="Page"/>
                <w:rPr>
                  <w:rFonts w:ascii="Gill Alt One MT Light" w:hAnsi="Gill Alt One MT Light"/>
                  <w:sz w:val="16"/>
                  <w:szCs w:val="16"/>
                </w:rPr>
              </w:pPr>
              <w:r>
                <w:rPr>
                  <w:rFonts w:ascii="Gill Alt One MT Light" w:hAnsi="Gill Alt One MT Light"/>
                  <w:sz w:val="16"/>
                  <w:szCs w:val="16"/>
                </w:rPr>
                <w:t>Consiglio di Stato</w:t>
              </w:r>
            </w:p>
          </w:tc>
        </w:sdtContent>
      </w:sdt>
      <w:tc>
        <w:tcPr>
          <w:tcW w:w="1710" w:type="dxa"/>
          <w:tcBorders>
            <w:bottom w:val="single" w:sz="4" w:space="0" w:color="auto"/>
          </w:tcBorders>
          <w:vAlign w:val="bottom"/>
        </w:tcPr>
        <w:p w:rsidR="005012EC" w:rsidRPr="004204CB" w:rsidRDefault="0002191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05F01">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05F01">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86D19A1-DDC8-45F6-B926-A29A0E478818}"/>
          <w:text w:multiLine="1"/>
        </w:sdtPr>
        <w:sdtEndPr/>
        <w:sdtContent>
          <w:tc>
            <w:tcPr>
              <w:tcW w:w="8383" w:type="dxa"/>
              <w:tcBorders>
                <w:left w:val="single" w:sz="4" w:space="0" w:color="auto"/>
              </w:tcBorders>
              <w:tcMar>
                <w:top w:w="0" w:type="dxa"/>
                <w:left w:w="142" w:type="dxa"/>
              </w:tcMar>
            </w:tcPr>
            <w:p w:rsidR="005012EC" w:rsidRPr="00867318" w:rsidRDefault="0049694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8120 R del 3 ottobre 2023</w:t>
              </w:r>
            </w:p>
          </w:tc>
        </w:sdtContent>
      </w:sdt>
      <w:tc>
        <w:tcPr>
          <w:tcW w:w="1710" w:type="dxa"/>
          <w:tcBorders>
            <w:top w:val="single" w:sz="4" w:space="0" w:color="auto"/>
          </w:tcBorders>
        </w:tcPr>
        <w:p w:rsidR="005012EC" w:rsidRPr="00867318" w:rsidRDefault="00F00928" w:rsidP="00662409">
          <w:pPr>
            <w:pStyle w:val="InvisibleLine"/>
            <w:rPr>
              <w:lang w:val="it-CH"/>
            </w:rPr>
          </w:pPr>
        </w:p>
      </w:tc>
    </w:tr>
  </w:tbl>
  <w:p w:rsidR="00F657BF" w:rsidRPr="00980362" w:rsidRDefault="0002191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86D19A1-DDC8-45F6-B926-A29A0E478818}"/>
                            <w:text w:multiLine="1"/>
                          </w:sdtPr>
                          <w:sdtEndPr/>
                          <w:sdtContent>
                            <w:p w:rsidR="008065E8" w:rsidRPr="00411371" w:rsidRDefault="0002191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E9F1B04-E204-42BD-82AF-F787DB9DC04F}"/>
                      <w:text w:multiLine="1"/>
                    </w:sdtPr>
                    <w:sdtEndPr/>
                    <w:sdtContent>
                      <w:p w:rsidR="008065E8" w:rsidRPr="00411371" w:rsidRDefault="0002191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F00928" w:rsidP="00D07D6E">
          <w:pPr>
            <w:pStyle w:val="InvisibleLine"/>
            <w:ind w:left="150"/>
            <w:rPr>
              <w:sz w:val="16"/>
            </w:rPr>
          </w:pPr>
        </w:p>
      </w:tc>
      <w:tc>
        <w:tcPr>
          <w:tcW w:w="373" w:type="pct"/>
          <w:tcBorders>
            <w:top w:val="nil"/>
            <w:bottom w:val="single" w:sz="4" w:space="0" w:color="auto"/>
          </w:tcBorders>
          <w:vAlign w:val="bottom"/>
        </w:tcPr>
        <w:p w:rsidR="00662409" w:rsidRPr="003108C0" w:rsidRDefault="00F00928" w:rsidP="00D07D6E">
          <w:pPr>
            <w:pStyle w:val="Level"/>
            <w:ind w:left="150"/>
            <w:rPr>
              <w:sz w:val="16"/>
            </w:rPr>
          </w:pPr>
        </w:p>
      </w:tc>
      <w:tc>
        <w:tcPr>
          <w:tcW w:w="209" w:type="pct"/>
          <w:tcBorders>
            <w:top w:val="nil"/>
            <w:bottom w:val="single" w:sz="4" w:space="0" w:color="auto"/>
          </w:tcBorders>
        </w:tcPr>
        <w:p w:rsidR="00662409" w:rsidRDefault="0002191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3808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2191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05F0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05F01">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86D19A1-DDC8-45F6-B926-A29A0E478818}"/>
          <w:text w:multiLine="1"/>
        </w:sdtPr>
        <w:sdtEndPr/>
        <w:sdtContent>
          <w:tc>
            <w:tcPr>
              <w:tcW w:w="5000" w:type="pct"/>
              <w:gridSpan w:val="6"/>
              <w:tcBorders>
                <w:left w:val="nil"/>
                <w:right w:val="nil"/>
              </w:tcBorders>
              <w:noWrap/>
              <w:tcMar>
                <w:top w:w="0" w:type="dxa"/>
              </w:tcMar>
              <w:vAlign w:val="bottom"/>
            </w:tcPr>
            <w:p w:rsidR="00662409" w:rsidRPr="008C03B5" w:rsidRDefault="0049694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2191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0092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2191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0092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2191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0092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0092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86D19A1-DDC8-45F6-B926-A29A0E478818}"/>
              <w:text w:multiLine="1"/>
            </w:sdtPr>
            <w:sdtEndPr/>
            <w:sdtContent>
              <w:r w:rsidR="00496948">
                <w:rPr>
                  <w:rFonts w:cstheme="minorHAnsi"/>
                  <w:b/>
                  <w:sz w:val="24"/>
                  <w:szCs w:val="24"/>
                </w:rPr>
                <w:t>8120 R</w:t>
              </w:r>
            </w:sdtContent>
          </w:sdt>
        </w:p>
      </w:tc>
      <w:sdt>
        <w:sdtPr>
          <w:rPr>
            <w:sz w:val="24"/>
          </w:rPr>
          <w:alias w:val="DocParam.Date"/>
          <w:id w:val="-464426178"/>
          <w:dataBinding w:xpath="//DateTime[@id='DocParam.Date']" w:storeItemID="{486D19A1-DDC8-45F6-B926-A29A0E478818}"/>
          <w:date w:fullDate="2023-10-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96948" w:rsidP="00A532F6">
              <w:pPr>
                <w:pStyle w:val="Data"/>
              </w:pPr>
              <w:r>
                <w:rPr>
                  <w:sz w:val="24"/>
                </w:rPr>
                <w:t>3 ottobre 2023</w:t>
              </w:r>
            </w:p>
          </w:tc>
        </w:sdtContent>
      </w:sdt>
      <w:tc>
        <w:tcPr>
          <w:tcW w:w="3218" w:type="pct"/>
          <w:gridSpan w:val="4"/>
          <w:tcBorders>
            <w:top w:val="nil"/>
            <w:left w:val="nil"/>
            <w:bottom w:val="nil"/>
            <w:right w:val="nil"/>
          </w:tcBorders>
        </w:tcPr>
        <w:p w:rsidR="008C03B5" w:rsidRPr="00BE22A2" w:rsidRDefault="00F0092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86D19A1-DDC8-45F6-B926-A29A0E478818}"/>
              <w:text w:multiLine="1"/>
            </w:sdtPr>
            <w:sdtEndPr/>
            <w:sdtContent>
              <w:r w:rsidR="00496948">
                <w:rPr>
                  <w:smallCaps/>
                  <w:sz w:val="23"/>
                  <w:szCs w:val="23"/>
                </w:rPr>
                <w:t>Consiglio di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00928" w:rsidP="00D07D6E">
          <w:pPr>
            <w:pStyle w:val="Level"/>
            <w:ind w:left="150"/>
            <w:rPr>
              <w:rFonts w:ascii="Gill Alt One MT Light" w:hAnsi="Gill Alt One MT Light"/>
              <w:sz w:val="16"/>
              <w:szCs w:val="16"/>
            </w:rPr>
          </w:pPr>
        </w:p>
      </w:tc>
    </w:tr>
  </w:tbl>
  <w:p w:rsidR="00F657BF" w:rsidRPr="00DA2879" w:rsidRDefault="0002191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2571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86D19A1-DDC8-45F6-B926-A29A0E478818}"/>
                            <w:text w:multiLine="1"/>
                          </w:sdtPr>
                          <w:sdtEndPr/>
                          <w:sdtContent>
                            <w:p w:rsidR="00E93620" w:rsidRPr="00411371" w:rsidRDefault="0002191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E9F1B04-E204-42BD-82AF-F787DB9DC04F}"/>
                      <w:text w:multiLine="1"/>
                    </w:sdtPr>
                    <w:sdtEndPr/>
                    <w:sdtContent>
                      <w:p w:rsidR="00E93620" w:rsidRPr="00411371" w:rsidRDefault="0002191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30EA1"/>
    <w:multiLevelType w:val="hybridMultilevel"/>
    <w:tmpl w:val="CAF6D104"/>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1" w15:restartNumberingAfterBreak="0">
    <w:nsid w:val="09535D27"/>
    <w:multiLevelType w:val="hybridMultilevel"/>
    <w:tmpl w:val="E744A3E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97C13C5"/>
    <w:multiLevelType w:val="hybridMultilevel"/>
    <w:tmpl w:val="5E18173C"/>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3" w15:restartNumberingAfterBreak="0">
    <w:nsid w:val="0E27120B"/>
    <w:multiLevelType w:val="multilevel"/>
    <w:tmpl w:val="CE76205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16B96BE0"/>
    <w:multiLevelType w:val="hybridMultilevel"/>
    <w:tmpl w:val="6764CB5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1BE8494F"/>
    <w:multiLevelType w:val="multilevel"/>
    <w:tmpl w:val="1C16DB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69A93779"/>
    <w:multiLevelType w:val="hybridMultilevel"/>
    <w:tmpl w:val="C2F6D7D4"/>
    <w:lvl w:ilvl="0" w:tplc="4E10174A">
      <w:start w:val="1"/>
      <w:numFmt w:val="bullet"/>
      <w:lvlText w:val="-"/>
      <w:lvlJc w:val="left"/>
      <w:pPr>
        <w:ind w:left="644" w:hanging="360"/>
      </w:pPr>
      <w:rPr>
        <w:rFonts w:ascii="Arial" w:eastAsiaTheme="minorHAnsi" w:hAnsi="Arial" w:cs="Arial" w:hint="default"/>
        <w:color w:val="000000"/>
      </w:rPr>
    </w:lvl>
    <w:lvl w:ilvl="1" w:tplc="08100003" w:tentative="1">
      <w:start w:val="1"/>
      <w:numFmt w:val="bullet"/>
      <w:lvlText w:val="o"/>
      <w:lvlJc w:val="left"/>
      <w:pPr>
        <w:ind w:left="1364" w:hanging="360"/>
      </w:pPr>
      <w:rPr>
        <w:rFonts w:ascii="Courier New" w:hAnsi="Courier New" w:cs="Courier New" w:hint="default"/>
      </w:rPr>
    </w:lvl>
    <w:lvl w:ilvl="2" w:tplc="08100005" w:tentative="1">
      <w:start w:val="1"/>
      <w:numFmt w:val="bullet"/>
      <w:lvlText w:val=""/>
      <w:lvlJc w:val="left"/>
      <w:pPr>
        <w:ind w:left="2084" w:hanging="360"/>
      </w:pPr>
      <w:rPr>
        <w:rFonts w:ascii="Wingdings" w:hAnsi="Wingdings" w:hint="default"/>
      </w:rPr>
    </w:lvl>
    <w:lvl w:ilvl="3" w:tplc="08100001" w:tentative="1">
      <w:start w:val="1"/>
      <w:numFmt w:val="bullet"/>
      <w:lvlText w:val=""/>
      <w:lvlJc w:val="left"/>
      <w:pPr>
        <w:ind w:left="2804" w:hanging="360"/>
      </w:pPr>
      <w:rPr>
        <w:rFonts w:ascii="Symbol" w:hAnsi="Symbol" w:hint="default"/>
      </w:rPr>
    </w:lvl>
    <w:lvl w:ilvl="4" w:tplc="08100003" w:tentative="1">
      <w:start w:val="1"/>
      <w:numFmt w:val="bullet"/>
      <w:lvlText w:val="o"/>
      <w:lvlJc w:val="left"/>
      <w:pPr>
        <w:ind w:left="3524" w:hanging="360"/>
      </w:pPr>
      <w:rPr>
        <w:rFonts w:ascii="Courier New" w:hAnsi="Courier New" w:cs="Courier New" w:hint="default"/>
      </w:rPr>
    </w:lvl>
    <w:lvl w:ilvl="5" w:tplc="08100005" w:tentative="1">
      <w:start w:val="1"/>
      <w:numFmt w:val="bullet"/>
      <w:lvlText w:val=""/>
      <w:lvlJc w:val="left"/>
      <w:pPr>
        <w:ind w:left="4244" w:hanging="360"/>
      </w:pPr>
      <w:rPr>
        <w:rFonts w:ascii="Wingdings" w:hAnsi="Wingdings" w:hint="default"/>
      </w:rPr>
    </w:lvl>
    <w:lvl w:ilvl="6" w:tplc="08100001" w:tentative="1">
      <w:start w:val="1"/>
      <w:numFmt w:val="bullet"/>
      <w:lvlText w:val=""/>
      <w:lvlJc w:val="left"/>
      <w:pPr>
        <w:ind w:left="4964" w:hanging="360"/>
      </w:pPr>
      <w:rPr>
        <w:rFonts w:ascii="Symbol" w:hAnsi="Symbol" w:hint="default"/>
      </w:rPr>
    </w:lvl>
    <w:lvl w:ilvl="7" w:tplc="08100003" w:tentative="1">
      <w:start w:val="1"/>
      <w:numFmt w:val="bullet"/>
      <w:lvlText w:val="o"/>
      <w:lvlJc w:val="left"/>
      <w:pPr>
        <w:ind w:left="5684" w:hanging="360"/>
      </w:pPr>
      <w:rPr>
        <w:rFonts w:ascii="Courier New" w:hAnsi="Courier New" w:cs="Courier New" w:hint="default"/>
      </w:rPr>
    </w:lvl>
    <w:lvl w:ilvl="8" w:tplc="08100005" w:tentative="1">
      <w:start w:val="1"/>
      <w:numFmt w:val="bullet"/>
      <w:lvlText w:val=""/>
      <w:lvlJc w:val="left"/>
      <w:pPr>
        <w:ind w:left="6404" w:hanging="360"/>
      </w:pPr>
      <w:rPr>
        <w:rFonts w:ascii="Wingdings" w:hAnsi="Wingdings" w:hint="default"/>
      </w:rPr>
    </w:lvl>
  </w:abstractNum>
  <w:num w:numId="1">
    <w:abstractNumId w:val="17"/>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4"/>
  </w:num>
  <w:num w:numId="4">
    <w:abstractNumId w:val="21"/>
  </w:num>
  <w:num w:numId="5">
    <w:abstractNumId w:val="20"/>
  </w:num>
  <w:num w:numId="6">
    <w:abstractNumId w:val="18"/>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13"/>
  </w:num>
  <w:num w:numId="20">
    <w:abstractNumId w:val="11"/>
  </w:num>
  <w:num w:numId="21">
    <w:abstractNumId w:val="12"/>
  </w:num>
  <w:num w:numId="22">
    <w:abstractNumId w:val="23"/>
  </w:num>
  <w:num w:numId="23">
    <w:abstractNumId w:val="10"/>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18"/>
    <w:rsid w:val="00021916"/>
    <w:rsid w:val="00035585"/>
    <w:rsid w:val="000719CE"/>
    <w:rsid w:val="00124593"/>
    <w:rsid w:val="001A7CEE"/>
    <w:rsid w:val="002B5D9F"/>
    <w:rsid w:val="00381D33"/>
    <w:rsid w:val="003B756D"/>
    <w:rsid w:val="00403ADB"/>
    <w:rsid w:val="00496948"/>
    <w:rsid w:val="00572FD3"/>
    <w:rsid w:val="00822F39"/>
    <w:rsid w:val="00867318"/>
    <w:rsid w:val="008720C4"/>
    <w:rsid w:val="008F52AF"/>
    <w:rsid w:val="009C5E5A"/>
    <w:rsid w:val="00AF0268"/>
    <w:rsid w:val="00B22E16"/>
    <w:rsid w:val="00BF0A1F"/>
    <w:rsid w:val="00C820E5"/>
    <w:rsid w:val="00D20EDE"/>
    <w:rsid w:val="00D33940"/>
    <w:rsid w:val="00D600FD"/>
    <w:rsid w:val="00D649A8"/>
    <w:rsid w:val="00E05F01"/>
    <w:rsid w:val="00E20DB8"/>
    <w:rsid w:val="00EB088A"/>
    <w:rsid w:val="00F00928"/>
    <w:rsid w:val="00F52519"/>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CC88D4-0741-4DF5-A394-75F2FD41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rsid w:val="00867318"/>
    <w:rPr>
      <w:u w:val="single"/>
    </w:rPr>
  </w:style>
  <w:style w:type="paragraph" w:styleId="Testofumetto">
    <w:name w:val="Balloon Text"/>
    <w:basedOn w:val="Normale"/>
    <w:link w:val="TestofumettoCarattere"/>
    <w:uiPriority w:val="99"/>
    <w:semiHidden/>
    <w:unhideWhenUsed/>
    <w:rsid w:val="00822F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2F3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4.ti.ch/fileadmin/POTERI/CdS/Documenti/Direttive_consultazioni_cantonali.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4.ti.ch/user_librerie/php/GC/allegato.php?allid=14857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user_librerie/php/GC/allegato.php?allid=14857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ti.ch/fileadmin/POTERI/CdS/Documenti/Direttive_consultazioni_cantonali.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it/consultation-procedures/ended/2023" TargetMode="External"/><Relationship Id="rId2" Type="http://schemas.openxmlformats.org/officeDocument/2006/relationships/hyperlink" Target="https://www.fedlex.admin.ch/it/consultation-procedures/ongoing" TargetMode="External"/><Relationship Id="rId1" Type="http://schemas.openxmlformats.org/officeDocument/2006/relationships/hyperlink" Target="https://www.fedlex.admin.ch/it/consultation-procedures/forese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46a9c90f-c2d7-4e23-9e4d-a52e486a5ab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238082845</Id>
      <Width>0</Width>
      <Height>0</Height>
      <XPath>//Image[@id='Profile.Org.WappenSW']</XPath>
      <ImageHash>02f1c0cdac6aeac316213b2e7cb733a0</ImageHash>
    </ImageSizeDefinition>
    <ImageSizeDefinition>
      <Id>325715902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7 7 d 5 a 8 d - a 1 9 b - 4 3 1 5 - b e 8 9 - 7 d b 8 a 9 6 a f 3 1 6 "   t I d = " a 3 6 2 a 5 d 4 - 9 5 8 9 - 4 1 b f - a 4 e 6 - 4 f 8 7 c 4 e 4 1 2 3 9 "   i n t e r n a l T I d = " 9 0 6 4 c c 7 f - 3 1 6 d - 4 6 b 1 - a 4 a c - 7 4 8 6 0 c 3 f 8 a 5 b "   m t I d = " 2 7 5 a f 3 2 e - b c 4 0 - 4 5 c 2 - 8 5 b 7 - a f b 1 c 0 3 8 2 6 5 3 "   r e v i s i o n = " 0 "   c r e a t e d m a j o r v e r s i o n = " 0 "   c r e a t e d m i n o r v e r s i o n = " 0 "   c r e a t e d = " 2 0 2 3 - 1 0 - 0 3 T 1 3 : 0 0 : 0 3 . 2 6 7 0 8 1 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 2 0 2 3 - 1 0 - 0 3 T 0 0 : 0 0 : 0 0 Z < / D a t e T i m e >  
                 < T e x t   i d = " D o c P a r a m . N u m b e r " > < ! [ C D A T A [ 8 1 2 0   R ] ] > < / T e x t >  
                 < T e x t   i d = " D o c P a r a m . D o c u m e n t o " > < ! [ C D A T A [ R a p p o r t o ] ] > < / T e x t >  
                 < T e x t   i d = " D o c P a r a m . A g g i u n t a D o c "   t o o l t i p = " ( e s .   b i s ,   a g g i u n t i v o ,   a g g i u n t i v o   b i s ,   1 ,   2   e c c . ) " > < ! [ C D A T A [   ] ] > < / T e x t >  
                 < T e x t   i d = " D o c P a r a m . D i p a r t i m e n t i " > < ! [ C D A T A [ C o n s i g l i o   d i   S t a t o ] ] > < / T e x t >  
                 < T e x t   i d = " D o c P a r a m . A l t r i D i p a r t i m e n t i " > < ! [ C D A T A [   ] ] > < / T e x t >  
             < / P a r a m e t e r >  
             < S c r i p t i n g >  
                 < T e x t   i d = " C u s t o m E l e m e n t s . S u b T e m p l a t e . L a n d s c a p e . H e a d e r . O r g I n f o s "   l a b e l = " C u s t o m E l e m e n t s . S u b T e m p l a t e . L a n d s c a p e . H e a d e r . O r g I n f o s " > < ! [ C D A T A [ C o n s i g l i o   d i   S t a t o ] ] > < / T e x t >  
                 < T e x t   i d = " C u s t o m E l e m e n t s . S u b T e m p l a t e . L a n d s c a p e . H e a d e r . T i t o l o "   l a b e l = " C u s t o m E l e m e n t s . S u b T e m p l a t e . L a n d s c a p e . H e a d e r . T i t o l o " > < ! [ C D A T A [ R a p p o r t o   n .   8 1 2 0   R   d e l   0 3   o t t o b r e   2 0 2 3 ] ] > < / 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T e x t >  
                 < T e x t   i d = " C u s t o m E l e m e n t s . F i e l d s . T i t o l o 2 "   l a b e l = " C u s t o m E l e m e n t s . F i e l d s . T i t o l o 2 " > < ! [ C D A T A [ R a p p o r t o   n .   8 1 2 0   R   d e l   3 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3EA5012C-82AD-47DE-AEEC-F7C0B60E2CE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486D19A1-DDC8-45F6-B926-A29A0E47881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46a9c90f-c2d7-4e23-9e4d-a52e486a5ab8.dotx</Template>
  <TotalTime>29</TotalTime>
  <Pages>7</Pages>
  <Words>1705</Words>
  <Characters>9721</Characters>
  <Application>Microsoft Office Word</Application>
  <DocSecurity>0</DocSecurity>
  <Lines>81</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2023-10-24T07:54:00Z</cp:lastPrinted>
  <dcterms:created xsi:type="dcterms:W3CDTF">2023-10-03T13:00:00Z</dcterms:created>
  <dcterms:modified xsi:type="dcterms:W3CDTF">2023-10-24T07:55:00Z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