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7E2" w:rsidRPr="007F0C24" w:rsidRDefault="007857E2" w:rsidP="007857E2">
      <w:pPr>
        <w:pStyle w:val="StandardRisoluzionedelConsigliodiStato"/>
        <w:ind w:right="-1"/>
        <w:rPr>
          <w:b/>
          <w:sz w:val="28"/>
          <w:szCs w:val="28"/>
        </w:rPr>
      </w:pPr>
      <w:bookmarkStart w:id="0" w:name="_GoBack"/>
      <w:bookmarkEnd w:id="0"/>
      <w:r w:rsidRPr="007F0C24">
        <w:rPr>
          <w:b/>
          <w:sz w:val="28"/>
          <w:szCs w:val="28"/>
        </w:rPr>
        <w:t>della Commissione Costituzione e leggi</w:t>
      </w:r>
    </w:p>
    <w:p w:rsidR="007857E2" w:rsidRDefault="007857E2" w:rsidP="007857E2">
      <w:pPr>
        <w:pStyle w:val="StandardRisoluzionedelConsigliodiStato"/>
        <w:spacing w:after="120"/>
        <w:rPr>
          <w:b/>
          <w:sz w:val="28"/>
          <w:szCs w:val="28"/>
        </w:rPr>
      </w:pPr>
      <w:r>
        <w:rPr>
          <w:b/>
          <w:sz w:val="28"/>
          <w:szCs w:val="28"/>
        </w:rPr>
        <w:t xml:space="preserve">sulla mozione </w:t>
      </w:r>
      <w:r w:rsidRPr="007F0C24">
        <w:rPr>
          <w:b/>
          <w:sz w:val="28"/>
          <w:szCs w:val="28"/>
        </w:rPr>
        <w:t>22 novembre 2021 presentata da Anna Biscossa e cofirmatari (ripresa da Cristina Zanini Barzaghi) per il Gruppo PS “Coinvolgimento annuale del Parlamento sull’avanzamento del Piano d’azione cantonale per le pari opportunità in Ticino e sull’analisi della parità salariale da parte del Consiglio di Stato”</w:t>
      </w:r>
    </w:p>
    <w:p w:rsidR="00D649A8" w:rsidRPr="007857E2" w:rsidRDefault="007857E2" w:rsidP="007857E2">
      <w:pPr>
        <w:pStyle w:val="StandardRisoluzionedelConsigliodiStato"/>
        <w:ind w:right="-1"/>
      </w:pPr>
      <w:r w:rsidRPr="007F0C24">
        <w:rPr>
          <w:b/>
          <w:sz w:val="26"/>
          <w:szCs w:val="26"/>
        </w:rPr>
        <w:t>(v. messaggio 11 maggio 2022 n. 8151)</w:t>
      </w:r>
    </w:p>
    <w:p w:rsidR="00D649A8" w:rsidRDefault="00D649A8" w:rsidP="00D33940">
      <w:pPr>
        <w:pStyle w:val="StandardRisoluzionedelConsigliodiStato"/>
        <w:ind w:right="-1"/>
      </w:pPr>
    </w:p>
    <w:p w:rsidR="007857E2" w:rsidRDefault="007857E2" w:rsidP="00D33940">
      <w:pPr>
        <w:pStyle w:val="StandardRisoluzionedelConsigliodiStato"/>
        <w:ind w:right="-1"/>
      </w:pPr>
    </w:p>
    <w:p w:rsidR="007857E2" w:rsidRDefault="007857E2" w:rsidP="00D33940">
      <w:pPr>
        <w:pStyle w:val="StandardRisoluzionedelConsigliodiStato"/>
        <w:ind w:right="-1"/>
      </w:pPr>
    </w:p>
    <w:p w:rsidR="007857E2" w:rsidRPr="007857E2" w:rsidRDefault="007857E2" w:rsidP="007857E2">
      <w:pPr>
        <w:pStyle w:val="Titolo1"/>
        <w:tabs>
          <w:tab w:val="left" w:pos="567"/>
        </w:tabs>
        <w:spacing w:before="0"/>
        <w:ind w:left="567" w:hanging="567"/>
        <w:jc w:val="both"/>
        <w:rPr>
          <w:rFonts w:eastAsia="Calibri" w:cs="Times New Roman"/>
          <w:caps/>
          <w:sz w:val="24"/>
          <w:szCs w:val="24"/>
          <w:lang w:val="it-IT" w:eastAsia="it-IT"/>
        </w:rPr>
      </w:pPr>
      <w:r w:rsidRPr="007857E2">
        <w:rPr>
          <w:rFonts w:eastAsia="Calibri" w:cs="Times New Roman"/>
          <w:caps/>
          <w:sz w:val="24"/>
          <w:szCs w:val="24"/>
          <w:lang w:val="it-IT" w:eastAsia="it-IT"/>
        </w:rPr>
        <w:t xml:space="preserve">1. </w:t>
      </w:r>
      <w:r>
        <w:rPr>
          <w:rFonts w:eastAsia="Calibri" w:cs="Times New Roman"/>
          <w:caps/>
          <w:sz w:val="24"/>
          <w:szCs w:val="24"/>
          <w:lang w:val="it-IT" w:eastAsia="it-IT"/>
        </w:rPr>
        <w:tab/>
      </w:r>
      <w:r w:rsidRPr="007857E2">
        <w:rPr>
          <w:rFonts w:eastAsia="Calibri" w:cs="Times New Roman"/>
          <w:caps/>
          <w:sz w:val="24"/>
          <w:szCs w:val="24"/>
          <w:lang w:val="it-IT" w:eastAsia="it-IT"/>
        </w:rPr>
        <w:t>La mozione</w:t>
      </w:r>
    </w:p>
    <w:p w:rsidR="007857E2" w:rsidRPr="007857E2" w:rsidRDefault="007857E2" w:rsidP="007857E2">
      <w:pPr>
        <w:rPr>
          <w:rFonts w:asciiTheme="minorHAnsi" w:eastAsia="Times New Roman" w:hAnsiTheme="minorHAnsi" w:cstheme="minorHAnsi"/>
          <w:sz w:val="24"/>
          <w:szCs w:val="24"/>
          <w:lang w:eastAsia="it-CH"/>
        </w:rPr>
      </w:pPr>
      <w:r>
        <w:rPr>
          <w:rFonts w:asciiTheme="minorHAnsi" w:eastAsia="Times New Roman" w:hAnsiTheme="minorHAnsi" w:cstheme="minorHAnsi"/>
          <w:sz w:val="24"/>
          <w:szCs w:val="24"/>
          <w:lang w:eastAsia="it-CH"/>
        </w:rPr>
        <w:t>La mozione n.</w:t>
      </w:r>
      <w:r w:rsidRPr="007857E2">
        <w:rPr>
          <w:rFonts w:asciiTheme="minorHAnsi" w:eastAsia="Times New Roman" w:hAnsiTheme="minorHAnsi" w:cstheme="minorHAnsi"/>
          <w:sz w:val="24"/>
          <w:szCs w:val="24"/>
          <w:lang w:eastAsia="it-CH"/>
        </w:rPr>
        <w:t>1631 (Coinvolgimento annuale del Parlamento sull’avanzamento del Piano d’azione cantonale per le pari opportunità in Ticino e sull’analisi della parità salariale da parte del Consiglio di Stato) del 22 novembre 2021, presentata dalla deputata Anna Biscossa e cofirmatari (ripresa da Cristina Zanini Barzaghi), formula due richieste:</w:t>
      </w:r>
    </w:p>
    <w:p w:rsidR="007857E2" w:rsidRPr="007857E2" w:rsidRDefault="007857E2" w:rsidP="007857E2">
      <w:pPr>
        <w:numPr>
          <w:ilvl w:val="0"/>
          <w:numId w:val="22"/>
        </w:numPr>
        <w:spacing w:before="120"/>
        <w:ind w:left="284" w:hanging="284"/>
        <w:rPr>
          <w:rFonts w:asciiTheme="minorHAnsi" w:eastAsia="Times New Roman" w:hAnsiTheme="minorHAnsi" w:cstheme="minorHAnsi"/>
          <w:sz w:val="24"/>
          <w:szCs w:val="24"/>
          <w:lang w:eastAsia="it-CH"/>
        </w:rPr>
      </w:pPr>
      <w:r w:rsidRPr="007857E2">
        <w:rPr>
          <w:rFonts w:asciiTheme="minorHAnsi" w:eastAsia="Times New Roman" w:hAnsiTheme="minorHAnsi" w:cstheme="minorHAnsi"/>
          <w:sz w:val="24"/>
          <w:szCs w:val="24"/>
          <w:lang w:eastAsia="it-CH"/>
        </w:rPr>
        <w:t>che il Consiglio di Stato rediga annualmente un messaggio da sottoporre per discussione al Gran Consiglio inerente all’avanzamento del Piano d’azione cantonale per le pari opportunità in Ticino;</w:t>
      </w:r>
    </w:p>
    <w:p w:rsidR="007857E2" w:rsidRPr="007857E2" w:rsidRDefault="007857E2" w:rsidP="007857E2">
      <w:pPr>
        <w:numPr>
          <w:ilvl w:val="0"/>
          <w:numId w:val="22"/>
        </w:numPr>
        <w:spacing w:before="120"/>
        <w:ind w:left="284" w:hanging="284"/>
        <w:rPr>
          <w:rFonts w:asciiTheme="minorHAnsi" w:eastAsia="Times New Roman" w:hAnsiTheme="minorHAnsi" w:cstheme="minorHAnsi"/>
          <w:sz w:val="24"/>
          <w:szCs w:val="24"/>
          <w:lang w:eastAsia="it-CH"/>
        </w:rPr>
      </w:pPr>
      <w:r w:rsidRPr="007857E2">
        <w:rPr>
          <w:rFonts w:asciiTheme="minorHAnsi" w:eastAsia="Times New Roman" w:hAnsiTheme="minorHAnsi" w:cstheme="minorHAnsi"/>
          <w:sz w:val="24"/>
          <w:szCs w:val="24"/>
          <w:lang w:eastAsia="it-CH"/>
        </w:rPr>
        <w:t>che nel suddetto messaggio il Consiglio di Stato inserisca i risultati dell’analisi della parità salariale effettuata da parte del Cantone sul proprio personale e che questa analisi non venga effettuata solamente per l’insieme dei dipendenti, ma anche per ogni singolo Dipartimento.</w:t>
      </w:r>
    </w:p>
    <w:p w:rsidR="007857E2" w:rsidRPr="007857E2" w:rsidRDefault="007857E2" w:rsidP="007857E2">
      <w:pPr>
        <w:rPr>
          <w:rFonts w:asciiTheme="minorHAnsi" w:eastAsia="Times New Roman" w:hAnsiTheme="minorHAnsi" w:cstheme="minorHAnsi"/>
          <w:sz w:val="24"/>
          <w:szCs w:val="24"/>
          <w:lang w:eastAsia="it-CH"/>
        </w:rPr>
      </w:pPr>
    </w:p>
    <w:p w:rsidR="007857E2" w:rsidRDefault="007857E2" w:rsidP="007857E2">
      <w:pPr>
        <w:rPr>
          <w:rFonts w:asciiTheme="minorHAnsi" w:eastAsia="Times New Roman" w:hAnsiTheme="minorHAnsi" w:cstheme="minorHAnsi"/>
          <w:sz w:val="24"/>
          <w:szCs w:val="24"/>
          <w:lang w:eastAsia="it-CH"/>
        </w:rPr>
      </w:pPr>
    </w:p>
    <w:p w:rsidR="007857E2" w:rsidRPr="007857E2" w:rsidRDefault="007857E2" w:rsidP="007857E2">
      <w:pPr>
        <w:rPr>
          <w:rFonts w:asciiTheme="minorHAnsi" w:eastAsia="Times New Roman" w:hAnsiTheme="minorHAnsi" w:cstheme="minorHAnsi"/>
          <w:sz w:val="24"/>
          <w:szCs w:val="24"/>
          <w:lang w:eastAsia="it-CH"/>
        </w:rPr>
      </w:pPr>
    </w:p>
    <w:p w:rsidR="007857E2" w:rsidRPr="007857E2" w:rsidRDefault="007857E2" w:rsidP="007857E2">
      <w:pPr>
        <w:pStyle w:val="Titolo1"/>
        <w:tabs>
          <w:tab w:val="left" w:pos="567"/>
        </w:tabs>
        <w:spacing w:before="0"/>
        <w:ind w:left="567" w:hanging="567"/>
        <w:jc w:val="both"/>
        <w:rPr>
          <w:rFonts w:eastAsia="Calibri" w:cs="Times New Roman"/>
          <w:caps/>
          <w:sz w:val="24"/>
          <w:szCs w:val="24"/>
          <w:lang w:val="it-IT" w:eastAsia="it-IT"/>
        </w:rPr>
      </w:pPr>
      <w:r w:rsidRPr="007857E2">
        <w:rPr>
          <w:rFonts w:eastAsia="Calibri" w:cs="Times New Roman"/>
          <w:caps/>
          <w:sz w:val="24"/>
          <w:szCs w:val="24"/>
          <w:lang w:val="it-IT" w:eastAsia="it-IT"/>
        </w:rPr>
        <w:t xml:space="preserve">2. </w:t>
      </w:r>
      <w:r>
        <w:rPr>
          <w:rFonts w:eastAsia="Calibri" w:cs="Times New Roman"/>
          <w:caps/>
          <w:sz w:val="24"/>
          <w:szCs w:val="24"/>
          <w:lang w:val="it-IT" w:eastAsia="it-IT"/>
        </w:rPr>
        <w:tab/>
      </w:r>
      <w:r w:rsidRPr="007857E2">
        <w:rPr>
          <w:rFonts w:eastAsia="Calibri" w:cs="Times New Roman"/>
          <w:caps/>
          <w:sz w:val="24"/>
          <w:szCs w:val="24"/>
          <w:lang w:val="it-IT" w:eastAsia="it-IT"/>
        </w:rPr>
        <w:t>Il messaggio del Consiglio di Stato</w:t>
      </w:r>
    </w:p>
    <w:p w:rsidR="007857E2" w:rsidRPr="007857E2" w:rsidRDefault="007857E2" w:rsidP="007857E2">
      <w:pPr>
        <w:rPr>
          <w:rFonts w:asciiTheme="minorHAnsi" w:eastAsia="Times New Roman" w:hAnsiTheme="minorHAnsi" w:cstheme="minorHAnsi"/>
          <w:sz w:val="24"/>
          <w:szCs w:val="24"/>
          <w:lang w:eastAsia="it-CH"/>
        </w:rPr>
      </w:pPr>
      <w:r w:rsidRPr="007857E2">
        <w:rPr>
          <w:rFonts w:asciiTheme="minorHAnsi" w:eastAsia="Times New Roman" w:hAnsiTheme="minorHAnsi" w:cstheme="minorHAnsi"/>
          <w:sz w:val="24"/>
          <w:szCs w:val="24"/>
          <w:lang w:eastAsia="it-CH"/>
        </w:rPr>
        <w:t>Il Consiglio di Stato nel suo rapporto del 11 maggio 2022 inerente la mozione in oggetto, dopo la descrizione dei principali elementi che costituiscono il Piano d’azione cantonale per le pari opportunità in Ticino (che riprenderemo in seguito), evidenzia come l’analisi della parità salariale sia stata oggetto il 30 marzo 2022 di una comunicazione avente come destinatari: dipendenti dell’Amministrazione cantonale; deputate e deputati al Gran Consiglio; associazioni del personale e organi di comunicazione esterni. L’esito dell’analisi sulla parità salariale è stato inoltre illustrato nella risposta, nella stessa data, all’interrogazione n. 26.22 dell’11 febbraio 2022 presentata da Tamara Merlo e Maura Mossi Nembrini “Più Donne – Parità salariale: a quando i risultati dell’analisi?”. </w:t>
      </w:r>
    </w:p>
    <w:p w:rsidR="007857E2" w:rsidRPr="007857E2" w:rsidRDefault="007857E2" w:rsidP="007857E2">
      <w:pPr>
        <w:rPr>
          <w:rFonts w:asciiTheme="minorHAnsi" w:eastAsia="Times New Roman" w:hAnsiTheme="minorHAnsi" w:cstheme="minorHAnsi"/>
          <w:sz w:val="24"/>
          <w:szCs w:val="24"/>
          <w:lang w:eastAsia="it-CH"/>
        </w:rPr>
      </w:pPr>
    </w:p>
    <w:p w:rsidR="007857E2" w:rsidRPr="007857E2" w:rsidRDefault="007857E2" w:rsidP="007857E2">
      <w:pPr>
        <w:rPr>
          <w:rFonts w:asciiTheme="minorHAnsi" w:eastAsia="Times New Roman" w:hAnsiTheme="minorHAnsi" w:cstheme="minorHAnsi"/>
          <w:sz w:val="24"/>
          <w:szCs w:val="24"/>
          <w:lang w:eastAsia="it-CH"/>
        </w:rPr>
      </w:pPr>
      <w:r w:rsidRPr="007857E2">
        <w:rPr>
          <w:rFonts w:asciiTheme="minorHAnsi" w:eastAsia="Times New Roman" w:hAnsiTheme="minorHAnsi" w:cstheme="minorHAnsi"/>
          <w:sz w:val="24"/>
          <w:szCs w:val="24"/>
          <w:lang w:eastAsia="it-CH"/>
        </w:rPr>
        <w:t>Il Consiglio di Stato indica come il Piano d’azione e i rapporti sul suo stato di avanzamento sono presentati mediante documenti pubblici.</w:t>
      </w:r>
    </w:p>
    <w:p w:rsidR="007857E2" w:rsidRPr="007857E2" w:rsidRDefault="007857E2" w:rsidP="007857E2">
      <w:pPr>
        <w:rPr>
          <w:rFonts w:asciiTheme="minorHAnsi" w:eastAsia="Times New Roman" w:hAnsiTheme="minorHAnsi" w:cstheme="minorHAnsi"/>
          <w:sz w:val="24"/>
          <w:szCs w:val="24"/>
          <w:lang w:eastAsia="it-CH"/>
        </w:rPr>
      </w:pPr>
    </w:p>
    <w:p w:rsidR="007857E2" w:rsidRPr="007857E2" w:rsidRDefault="007857E2" w:rsidP="007857E2">
      <w:pPr>
        <w:rPr>
          <w:rFonts w:asciiTheme="minorHAnsi" w:eastAsia="Times New Roman" w:hAnsiTheme="minorHAnsi" w:cstheme="minorHAnsi"/>
          <w:sz w:val="24"/>
          <w:szCs w:val="24"/>
          <w:lang w:eastAsia="it-CH"/>
        </w:rPr>
      </w:pPr>
      <w:r w:rsidRPr="007857E2">
        <w:rPr>
          <w:rFonts w:asciiTheme="minorHAnsi" w:eastAsia="Times New Roman" w:hAnsiTheme="minorHAnsi" w:cstheme="minorHAnsi"/>
          <w:sz w:val="24"/>
          <w:szCs w:val="24"/>
          <w:lang w:eastAsia="it-CH"/>
        </w:rPr>
        <w:lastRenderedPageBreak/>
        <w:t>Per questi motivi, il Consiglio di Stato, nel suo rapporto, invita a respingere la mozione in oggetto, ritenendo che “il Gran Consiglio dispone già degli strumenti per discutere il tema” e che la presentazione di uno specifico messaggio sia per tanto non necessaria. </w:t>
      </w:r>
    </w:p>
    <w:p w:rsidR="007857E2" w:rsidRDefault="007857E2" w:rsidP="007857E2">
      <w:pPr>
        <w:rPr>
          <w:rFonts w:asciiTheme="minorHAnsi" w:eastAsia="Times New Roman" w:hAnsiTheme="minorHAnsi" w:cstheme="minorHAnsi"/>
          <w:sz w:val="24"/>
          <w:szCs w:val="24"/>
          <w:lang w:eastAsia="it-CH"/>
        </w:rPr>
      </w:pPr>
    </w:p>
    <w:p w:rsidR="007857E2" w:rsidRDefault="007857E2" w:rsidP="007857E2">
      <w:pPr>
        <w:rPr>
          <w:rFonts w:asciiTheme="minorHAnsi" w:eastAsia="Times New Roman" w:hAnsiTheme="minorHAnsi" w:cstheme="minorHAnsi"/>
          <w:sz w:val="24"/>
          <w:szCs w:val="24"/>
          <w:lang w:eastAsia="it-CH"/>
        </w:rPr>
      </w:pPr>
    </w:p>
    <w:p w:rsidR="007857E2" w:rsidRPr="007857E2" w:rsidRDefault="007857E2" w:rsidP="007857E2">
      <w:pPr>
        <w:rPr>
          <w:rFonts w:asciiTheme="minorHAnsi" w:eastAsia="Times New Roman" w:hAnsiTheme="minorHAnsi" w:cstheme="minorHAnsi"/>
          <w:sz w:val="24"/>
          <w:szCs w:val="24"/>
          <w:lang w:eastAsia="it-CH"/>
        </w:rPr>
      </w:pPr>
    </w:p>
    <w:p w:rsidR="007857E2" w:rsidRPr="007857E2" w:rsidRDefault="007857E2" w:rsidP="007857E2">
      <w:pPr>
        <w:pStyle w:val="Titolo1"/>
        <w:tabs>
          <w:tab w:val="left" w:pos="567"/>
        </w:tabs>
        <w:spacing w:before="0"/>
        <w:ind w:left="567" w:hanging="567"/>
        <w:jc w:val="both"/>
        <w:rPr>
          <w:rFonts w:eastAsia="Calibri" w:cs="Times New Roman"/>
          <w:caps/>
          <w:sz w:val="24"/>
          <w:szCs w:val="24"/>
          <w:lang w:val="it-IT" w:eastAsia="it-IT"/>
        </w:rPr>
      </w:pPr>
      <w:r w:rsidRPr="007857E2">
        <w:rPr>
          <w:rFonts w:eastAsia="Calibri" w:cs="Times New Roman"/>
          <w:caps/>
          <w:sz w:val="24"/>
          <w:szCs w:val="24"/>
          <w:lang w:val="it-IT" w:eastAsia="it-IT"/>
        </w:rPr>
        <w:t xml:space="preserve">3. </w:t>
      </w:r>
      <w:r>
        <w:rPr>
          <w:rFonts w:eastAsia="Calibri" w:cs="Times New Roman"/>
          <w:caps/>
          <w:sz w:val="24"/>
          <w:szCs w:val="24"/>
          <w:lang w:val="it-IT" w:eastAsia="it-IT"/>
        </w:rPr>
        <w:tab/>
      </w:r>
      <w:r w:rsidRPr="007857E2">
        <w:rPr>
          <w:rFonts w:eastAsia="Calibri" w:cs="Times New Roman"/>
          <w:caps/>
          <w:sz w:val="24"/>
          <w:szCs w:val="24"/>
          <w:lang w:val="it-IT" w:eastAsia="it-IT"/>
        </w:rPr>
        <w:t>Quadro normativo e politico</w:t>
      </w:r>
    </w:p>
    <w:p w:rsidR="007857E2" w:rsidRDefault="007857E2" w:rsidP="007857E2">
      <w:pPr>
        <w:rPr>
          <w:rFonts w:asciiTheme="minorHAnsi" w:eastAsia="Times New Roman" w:hAnsiTheme="minorHAnsi" w:cstheme="minorHAnsi"/>
          <w:sz w:val="24"/>
          <w:szCs w:val="24"/>
          <w:lang w:eastAsia="it-CH"/>
        </w:rPr>
      </w:pPr>
      <w:r>
        <w:rPr>
          <w:rFonts w:asciiTheme="minorHAnsi" w:eastAsia="Times New Roman" w:hAnsiTheme="minorHAnsi" w:cstheme="minorHAnsi"/>
          <w:sz w:val="24"/>
          <w:szCs w:val="24"/>
          <w:lang w:eastAsia="it-CH"/>
        </w:rPr>
        <w:t>L’a</w:t>
      </w:r>
      <w:r w:rsidRPr="007857E2">
        <w:rPr>
          <w:rFonts w:asciiTheme="minorHAnsi" w:eastAsia="Times New Roman" w:hAnsiTheme="minorHAnsi" w:cstheme="minorHAnsi"/>
          <w:sz w:val="24"/>
          <w:szCs w:val="24"/>
          <w:lang w:eastAsia="it-CH"/>
        </w:rPr>
        <w:t xml:space="preserve">rticolo 8 capoverso 3 della Costituzione federale, sancisce il principio dell’eguaglianza, di diritto e di fatto, fra uomo e donna, per quanto concerne famiglia, istruzione e lavoro. </w:t>
      </w:r>
    </w:p>
    <w:p w:rsidR="007857E2" w:rsidRPr="007857E2" w:rsidRDefault="007857E2" w:rsidP="007857E2">
      <w:pPr>
        <w:rPr>
          <w:rFonts w:asciiTheme="minorHAnsi" w:eastAsia="Times New Roman" w:hAnsiTheme="minorHAnsi" w:cstheme="minorHAnsi"/>
          <w:sz w:val="24"/>
          <w:szCs w:val="24"/>
          <w:lang w:eastAsia="it-CH"/>
        </w:rPr>
      </w:pPr>
    </w:p>
    <w:p w:rsidR="007857E2" w:rsidRPr="007857E2" w:rsidRDefault="007857E2" w:rsidP="007857E2">
      <w:pPr>
        <w:rPr>
          <w:rFonts w:asciiTheme="minorHAnsi" w:eastAsia="Times New Roman" w:hAnsiTheme="minorHAnsi" w:cstheme="minorHAnsi"/>
          <w:sz w:val="24"/>
          <w:szCs w:val="24"/>
          <w:lang w:eastAsia="it-CH"/>
        </w:rPr>
      </w:pPr>
      <w:r w:rsidRPr="007857E2">
        <w:rPr>
          <w:rFonts w:asciiTheme="minorHAnsi" w:eastAsia="Times New Roman" w:hAnsiTheme="minorHAnsi" w:cstheme="minorHAnsi"/>
          <w:sz w:val="24"/>
          <w:szCs w:val="24"/>
          <w:lang w:eastAsia="it-CH"/>
        </w:rPr>
        <w:t>In particolare, sancisce che “uomo e donna hanno diritto a un salario uguale per un lavoro di uguale valore”. La Costituzione della Repubblica e Cantone Ticino pure sancisce il principio della parità fra uomo e donna e in particolare, al capoverso 2, che “Donne e uomini sono uguali davanti alla legge” e, al capoverso 3, che “Per lavoro di pari valore donne e uomini ricevono retribuzione uguale”.</w:t>
      </w:r>
    </w:p>
    <w:p w:rsidR="007857E2" w:rsidRPr="007857E2" w:rsidRDefault="007857E2" w:rsidP="007857E2">
      <w:pPr>
        <w:rPr>
          <w:rFonts w:asciiTheme="minorHAnsi" w:eastAsia="Times New Roman" w:hAnsiTheme="minorHAnsi" w:cstheme="minorHAnsi"/>
          <w:sz w:val="24"/>
          <w:szCs w:val="24"/>
          <w:lang w:eastAsia="it-CH"/>
        </w:rPr>
      </w:pPr>
    </w:p>
    <w:p w:rsidR="007857E2" w:rsidRPr="007857E2" w:rsidRDefault="007857E2" w:rsidP="007857E2">
      <w:pPr>
        <w:rPr>
          <w:rFonts w:asciiTheme="minorHAnsi" w:eastAsia="Times New Roman" w:hAnsiTheme="minorHAnsi" w:cstheme="minorHAnsi"/>
          <w:sz w:val="24"/>
          <w:szCs w:val="24"/>
          <w:lang w:eastAsia="it-CH"/>
        </w:rPr>
      </w:pPr>
      <w:r w:rsidRPr="007857E2">
        <w:rPr>
          <w:rFonts w:asciiTheme="minorHAnsi" w:eastAsia="Times New Roman" w:hAnsiTheme="minorHAnsi" w:cstheme="minorHAnsi"/>
          <w:sz w:val="24"/>
          <w:szCs w:val="24"/>
          <w:lang w:eastAsia="it-CH"/>
        </w:rPr>
        <w:t>Il principio della parità fra i sessi è pure articolato nella Legge federale sulla parità dei sessi (di seguito LPar) del 24 marzo del 1995, che sancisce le norme nell’ambito dei rapporti di lavoro volte a promuovere l’uguaglianza effettiva fra donna e uomo (anche, ma non unicamente, salariale).</w:t>
      </w:r>
    </w:p>
    <w:p w:rsidR="007857E2" w:rsidRPr="007857E2" w:rsidRDefault="007857E2" w:rsidP="007857E2">
      <w:pPr>
        <w:rPr>
          <w:rFonts w:asciiTheme="minorHAnsi" w:eastAsia="Times New Roman" w:hAnsiTheme="minorHAnsi" w:cstheme="minorHAnsi"/>
          <w:sz w:val="24"/>
          <w:szCs w:val="24"/>
          <w:lang w:eastAsia="it-CH"/>
        </w:rPr>
      </w:pPr>
    </w:p>
    <w:p w:rsidR="007857E2" w:rsidRPr="007857E2" w:rsidRDefault="007857E2" w:rsidP="007857E2">
      <w:pPr>
        <w:rPr>
          <w:rFonts w:asciiTheme="minorHAnsi" w:eastAsia="Times New Roman" w:hAnsiTheme="minorHAnsi" w:cstheme="minorHAnsi"/>
          <w:sz w:val="24"/>
          <w:szCs w:val="24"/>
          <w:lang w:eastAsia="it-CH"/>
        </w:rPr>
      </w:pPr>
      <w:r w:rsidRPr="007857E2">
        <w:rPr>
          <w:rFonts w:asciiTheme="minorHAnsi" w:eastAsia="Times New Roman" w:hAnsiTheme="minorHAnsi" w:cstheme="minorHAnsi"/>
          <w:sz w:val="24"/>
          <w:szCs w:val="24"/>
          <w:lang w:eastAsia="it-CH"/>
        </w:rPr>
        <w:t>Con la revisione del 14 dicembre 2018 (entrata in vigore il 1° luglio del 2020), inoltre, la LPar impone alle aziende con più di 100 dipendenti (fatto salvo alcune eccezioni) di eseguire un’analisi della parità salariale e definisce il metodo e le modalità di verifica di questa analisi, con l’obiettivo di far valere il diritto costituzionale a un salario uguale fra uomo e donna a fronte di un lavoro di pari valore. </w:t>
      </w:r>
    </w:p>
    <w:p w:rsidR="007857E2" w:rsidRPr="007857E2" w:rsidRDefault="007857E2" w:rsidP="007857E2">
      <w:pPr>
        <w:rPr>
          <w:rFonts w:asciiTheme="minorHAnsi" w:eastAsia="Times New Roman" w:hAnsiTheme="minorHAnsi" w:cstheme="minorHAnsi"/>
          <w:sz w:val="24"/>
          <w:szCs w:val="24"/>
          <w:lang w:eastAsia="it-CH"/>
        </w:rPr>
      </w:pPr>
    </w:p>
    <w:p w:rsidR="007857E2" w:rsidRPr="007857E2" w:rsidRDefault="007857E2" w:rsidP="007857E2">
      <w:pPr>
        <w:rPr>
          <w:rFonts w:asciiTheme="minorHAnsi" w:eastAsia="Times New Roman" w:hAnsiTheme="minorHAnsi" w:cstheme="minorHAnsi"/>
          <w:sz w:val="24"/>
          <w:szCs w:val="24"/>
          <w:lang w:eastAsia="it-CH"/>
        </w:rPr>
      </w:pPr>
      <w:r w:rsidRPr="007857E2">
        <w:rPr>
          <w:rFonts w:asciiTheme="minorHAnsi" w:eastAsia="Times New Roman" w:hAnsiTheme="minorHAnsi" w:cstheme="minorHAnsi"/>
          <w:sz w:val="24"/>
          <w:szCs w:val="24"/>
          <w:lang w:eastAsia="it-CH"/>
        </w:rPr>
        <w:t>La LPar impone pure l’obbligo di informazione sui risultati della suddetta analisi da parte delle aziende verso i lavoratori e verso gli azionisti (per le società quotate in borsa). I datori di lavoro del settore pubblico sono infine tenuti a pubblicare i risultati delle singole analisi della parità salariale e delle relative verifiche.</w:t>
      </w:r>
    </w:p>
    <w:p w:rsidR="007857E2" w:rsidRPr="007857E2" w:rsidRDefault="007857E2" w:rsidP="007857E2">
      <w:pPr>
        <w:rPr>
          <w:rFonts w:asciiTheme="minorHAnsi" w:eastAsia="Times New Roman" w:hAnsiTheme="minorHAnsi" w:cstheme="minorHAnsi"/>
          <w:sz w:val="24"/>
          <w:szCs w:val="24"/>
          <w:lang w:eastAsia="it-CH"/>
        </w:rPr>
      </w:pPr>
    </w:p>
    <w:p w:rsidR="007857E2" w:rsidRPr="007857E2" w:rsidRDefault="007857E2" w:rsidP="007857E2">
      <w:pPr>
        <w:rPr>
          <w:rFonts w:asciiTheme="minorHAnsi" w:eastAsia="Times New Roman" w:hAnsiTheme="minorHAnsi" w:cstheme="minorHAnsi"/>
          <w:sz w:val="24"/>
          <w:szCs w:val="24"/>
          <w:lang w:eastAsia="it-CH"/>
        </w:rPr>
      </w:pPr>
      <w:r w:rsidRPr="007857E2">
        <w:rPr>
          <w:rFonts w:asciiTheme="minorHAnsi" w:eastAsia="Times New Roman" w:hAnsiTheme="minorHAnsi" w:cstheme="minorHAnsi"/>
          <w:sz w:val="24"/>
          <w:szCs w:val="24"/>
          <w:lang w:eastAsia="it-CH"/>
        </w:rPr>
        <w:t>In merito ai testi emanati dalle organizzazioni sovranazionali citiamo qui brevemente gli Obiettivi di sviluppo sostenibile dell’Agenda 2030 dell’ONU, che contengono diversi punti incentrati sull’uguaglianza di genere, e la Convenzione delle Nazioni Unite sull’eliminazione di ogni forma di discriminazione nei confronti della donna (CEDAW), testi questi ratificati dalla Svizzera.</w:t>
      </w:r>
    </w:p>
    <w:p w:rsidR="007857E2" w:rsidRPr="007857E2" w:rsidRDefault="007857E2" w:rsidP="007857E2">
      <w:pPr>
        <w:rPr>
          <w:rFonts w:asciiTheme="minorHAnsi" w:eastAsia="Times New Roman" w:hAnsiTheme="minorHAnsi" w:cstheme="minorHAnsi"/>
          <w:sz w:val="24"/>
          <w:szCs w:val="24"/>
          <w:lang w:eastAsia="it-CH"/>
        </w:rPr>
      </w:pPr>
    </w:p>
    <w:p w:rsidR="007857E2" w:rsidRPr="007857E2" w:rsidRDefault="007857E2" w:rsidP="007857E2">
      <w:pPr>
        <w:rPr>
          <w:rFonts w:asciiTheme="minorHAnsi" w:eastAsia="Times New Roman" w:hAnsiTheme="minorHAnsi" w:cstheme="minorHAnsi"/>
          <w:sz w:val="24"/>
          <w:szCs w:val="24"/>
          <w:lang w:eastAsia="it-CH"/>
        </w:rPr>
      </w:pPr>
      <w:r w:rsidRPr="007857E2">
        <w:rPr>
          <w:rFonts w:asciiTheme="minorHAnsi" w:eastAsia="Times New Roman" w:hAnsiTheme="minorHAnsi" w:cstheme="minorHAnsi"/>
          <w:sz w:val="24"/>
          <w:szCs w:val="24"/>
          <w:lang w:eastAsia="it-CH"/>
        </w:rPr>
        <w:t>Nel settembre 2016, la Confederazione ha varato la Carta per la parità salariale nel settore pubblico, di cui il Cantone Ticino è stato tra i primi firmatari.</w:t>
      </w:r>
    </w:p>
    <w:p w:rsidR="007857E2" w:rsidRPr="007857E2" w:rsidRDefault="007857E2" w:rsidP="007857E2">
      <w:pPr>
        <w:rPr>
          <w:rFonts w:asciiTheme="minorHAnsi" w:eastAsia="Times New Roman" w:hAnsiTheme="minorHAnsi" w:cstheme="minorHAnsi"/>
          <w:sz w:val="24"/>
          <w:szCs w:val="24"/>
          <w:lang w:eastAsia="it-CH"/>
        </w:rPr>
      </w:pPr>
      <w:r w:rsidRPr="007857E2">
        <w:rPr>
          <w:rFonts w:asciiTheme="minorHAnsi" w:eastAsia="Times New Roman" w:hAnsiTheme="minorHAnsi" w:cstheme="minorHAnsi"/>
          <w:sz w:val="24"/>
          <w:szCs w:val="24"/>
          <w:lang w:eastAsia="it-CH"/>
        </w:rPr>
        <w:t>Infine, la Strategia Parità 2030 adottata dal Consiglio federale nell’aprile del 2021 indica il seguente obiettivo per il 2030:</w:t>
      </w:r>
    </w:p>
    <w:p w:rsidR="007857E2" w:rsidRPr="007857E2" w:rsidRDefault="007857E2" w:rsidP="007857E2">
      <w:pPr>
        <w:rPr>
          <w:rFonts w:asciiTheme="minorHAnsi" w:eastAsia="Times New Roman" w:hAnsiTheme="minorHAnsi" w:cstheme="minorHAnsi"/>
          <w:sz w:val="24"/>
          <w:szCs w:val="24"/>
          <w:lang w:eastAsia="it-CH"/>
        </w:rPr>
      </w:pPr>
    </w:p>
    <w:p w:rsidR="007857E2" w:rsidRPr="007857E2" w:rsidRDefault="007857E2" w:rsidP="007857E2">
      <w:pPr>
        <w:rPr>
          <w:rFonts w:asciiTheme="minorHAnsi" w:eastAsia="Times New Roman" w:hAnsiTheme="minorHAnsi" w:cstheme="minorHAnsi"/>
          <w:sz w:val="24"/>
          <w:szCs w:val="24"/>
          <w:lang w:eastAsia="it-CH"/>
        </w:rPr>
      </w:pPr>
      <w:r w:rsidRPr="007857E2">
        <w:rPr>
          <w:rFonts w:asciiTheme="minorHAnsi" w:eastAsia="Times New Roman" w:hAnsiTheme="minorHAnsi" w:cstheme="minorHAnsi"/>
          <w:sz w:val="24"/>
          <w:szCs w:val="24"/>
          <w:lang w:eastAsia="it-CH"/>
        </w:rPr>
        <w:t>“Donne e uomini partecipano con le stesse opportunità alla vita economica, familiare e sociale, fruiscono per tutta la vita della stessa sicurezza sociale e realizzano le loro aspirazioni in un ambiente improntato al rispetto e privo di discriminazioni e violenza”.</w:t>
      </w:r>
    </w:p>
    <w:p w:rsidR="007857E2" w:rsidRPr="007857E2" w:rsidRDefault="007857E2" w:rsidP="007857E2">
      <w:pPr>
        <w:rPr>
          <w:rFonts w:asciiTheme="minorHAnsi" w:eastAsia="Times New Roman" w:hAnsiTheme="minorHAnsi" w:cstheme="minorHAnsi"/>
          <w:sz w:val="24"/>
          <w:szCs w:val="24"/>
          <w:lang w:eastAsia="it-CH"/>
        </w:rPr>
      </w:pPr>
    </w:p>
    <w:p w:rsidR="007857E2" w:rsidRDefault="007857E2" w:rsidP="007857E2">
      <w:pPr>
        <w:rPr>
          <w:rFonts w:asciiTheme="minorHAnsi" w:eastAsia="Times New Roman" w:hAnsiTheme="minorHAnsi" w:cstheme="minorHAnsi"/>
          <w:sz w:val="24"/>
          <w:szCs w:val="24"/>
          <w:lang w:eastAsia="it-CH"/>
        </w:rPr>
      </w:pPr>
    </w:p>
    <w:p w:rsidR="007857E2" w:rsidRPr="007857E2" w:rsidRDefault="007857E2" w:rsidP="007857E2">
      <w:pPr>
        <w:rPr>
          <w:rFonts w:asciiTheme="minorHAnsi" w:eastAsia="Times New Roman" w:hAnsiTheme="minorHAnsi" w:cstheme="minorHAnsi"/>
          <w:sz w:val="24"/>
          <w:szCs w:val="24"/>
          <w:lang w:eastAsia="it-CH"/>
        </w:rPr>
      </w:pPr>
    </w:p>
    <w:p w:rsidR="007857E2" w:rsidRPr="007857E2" w:rsidRDefault="007857E2" w:rsidP="007857E2">
      <w:pPr>
        <w:pStyle w:val="Titolo1"/>
        <w:tabs>
          <w:tab w:val="left" w:pos="567"/>
        </w:tabs>
        <w:spacing w:before="0"/>
        <w:ind w:left="567" w:hanging="567"/>
        <w:jc w:val="both"/>
        <w:rPr>
          <w:rFonts w:eastAsia="Calibri" w:cs="Times New Roman"/>
          <w:caps/>
          <w:sz w:val="24"/>
          <w:szCs w:val="24"/>
          <w:lang w:val="it-IT" w:eastAsia="it-IT"/>
        </w:rPr>
      </w:pPr>
      <w:r w:rsidRPr="007857E2">
        <w:rPr>
          <w:rFonts w:eastAsia="Calibri" w:cs="Times New Roman"/>
          <w:caps/>
          <w:sz w:val="24"/>
          <w:szCs w:val="24"/>
          <w:lang w:val="it-IT" w:eastAsia="it-IT"/>
        </w:rPr>
        <w:lastRenderedPageBreak/>
        <w:t xml:space="preserve">4. </w:t>
      </w:r>
      <w:r w:rsidRPr="007857E2">
        <w:rPr>
          <w:rFonts w:eastAsia="Calibri" w:cs="Times New Roman"/>
          <w:caps/>
          <w:sz w:val="24"/>
          <w:szCs w:val="24"/>
          <w:lang w:val="it-IT" w:eastAsia="it-IT"/>
        </w:rPr>
        <w:tab/>
        <w:t>Il Piano d’azione cantonale per le pari opportunità</w:t>
      </w:r>
    </w:p>
    <w:p w:rsidR="007857E2" w:rsidRPr="007857E2" w:rsidRDefault="007857E2" w:rsidP="007857E2">
      <w:pPr>
        <w:rPr>
          <w:rFonts w:asciiTheme="minorHAnsi" w:eastAsia="Times New Roman" w:hAnsiTheme="minorHAnsi" w:cstheme="minorHAnsi"/>
          <w:sz w:val="24"/>
          <w:szCs w:val="24"/>
          <w:lang w:eastAsia="it-CH"/>
        </w:rPr>
      </w:pPr>
      <w:r w:rsidRPr="007857E2">
        <w:rPr>
          <w:rFonts w:asciiTheme="minorHAnsi" w:eastAsia="Times New Roman" w:hAnsiTheme="minorHAnsi" w:cstheme="minorHAnsi"/>
          <w:sz w:val="24"/>
          <w:szCs w:val="24"/>
          <w:lang w:eastAsia="it-CH"/>
        </w:rPr>
        <w:t xml:space="preserve">È anche alla luce di queste premesse che il </w:t>
      </w:r>
      <w:r>
        <w:rPr>
          <w:rFonts w:asciiTheme="minorHAnsi" w:eastAsia="Times New Roman" w:hAnsiTheme="minorHAnsi" w:cstheme="minorHAnsi"/>
          <w:sz w:val="24"/>
          <w:szCs w:val="24"/>
          <w:lang w:eastAsia="it-CH"/>
        </w:rPr>
        <w:t>Consiglio di Stato, tramite il m</w:t>
      </w:r>
      <w:r w:rsidRPr="007857E2">
        <w:rPr>
          <w:rFonts w:asciiTheme="minorHAnsi" w:eastAsia="Times New Roman" w:hAnsiTheme="minorHAnsi" w:cstheme="minorHAnsi"/>
          <w:sz w:val="24"/>
          <w:szCs w:val="24"/>
          <w:lang w:eastAsia="it-CH"/>
        </w:rPr>
        <w:t xml:space="preserve">essaggio </w:t>
      </w:r>
      <w:r w:rsidRPr="007857E2">
        <w:rPr>
          <w:rFonts w:asciiTheme="minorHAnsi" w:eastAsia="Times New Roman" w:hAnsiTheme="minorHAnsi" w:cstheme="minorHAnsi"/>
          <w:sz w:val="24"/>
          <w:szCs w:val="24"/>
          <w:lang w:eastAsia="it-CH"/>
        </w:rPr>
        <w:br/>
        <w:t>n. 7492 del 30 gennaio 2018 (sulla mozione 14 dicembre 2015 presentata da Milena Garobbio e cofirmatarie/i “Adozione di un piano d’azione cantonale per la parità”), ha deciso di dotarsi di un documento programmatico sulle pari opportunità, dando incarico al Gruppo di lavoro interdipartimentale per le pari opportunità di elaborare un Piano di azione cantonale. </w:t>
      </w:r>
    </w:p>
    <w:p w:rsidR="007857E2" w:rsidRPr="007857E2" w:rsidRDefault="007857E2" w:rsidP="007857E2">
      <w:pPr>
        <w:rPr>
          <w:rFonts w:asciiTheme="minorHAnsi" w:eastAsia="Times New Roman" w:hAnsiTheme="minorHAnsi" w:cstheme="minorHAnsi"/>
          <w:sz w:val="24"/>
          <w:szCs w:val="24"/>
          <w:lang w:eastAsia="it-CH"/>
        </w:rPr>
      </w:pPr>
    </w:p>
    <w:p w:rsidR="007857E2" w:rsidRPr="007857E2" w:rsidRDefault="007857E2" w:rsidP="007857E2">
      <w:pPr>
        <w:rPr>
          <w:rFonts w:asciiTheme="minorHAnsi" w:eastAsia="Times New Roman" w:hAnsiTheme="minorHAnsi" w:cstheme="minorHAnsi"/>
          <w:sz w:val="24"/>
          <w:szCs w:val="24"/>
          <w:lang w:eastAsia="it-CH"/>
        </w:rPr>
      </w:pPr>
      <w:r w:rsidRPr="007857E2">
        <w:rPr>
          <w:rFonts w:asciiTheme="minorHAnsi" w:eastAsia="Times New Roman" w:hAnsiTheme="minorHAnsi" w:cstheme="minorHAnsi"/>
          <w:sz w:val="24"/>
          <w:szCs w:val="24"/>
          <w:lang w:eastAsia="it-CH"/>
        </w:rPr>
        <w:t>Nella sua seduta del 27 aprile 2022 il Consiglio di Stato ha approvato il Piano di azione cantonale per le pari opportunità. </w:t>
      </w:r>
    </w:p>
    <w:p w:rsidR="007857E2" w:rsidRPr="007857E2" w:rsidRDefault="007857E2" w:rsidP="007857E2">
      <w:pPr>
        <w:rPr>
          <w:rFonts w:asciiTheme="minorHAnsi" w:eastAsia="Times New Roman" w:hAnsiTheme="minorHAnsi" w:cstheme="minorHAnsi"/>
          <w:sz w:val="24"/>
          <w:szCs w:val="24"/>
          <w:lang w:eastAsia="it-CH"/>
        </w:rPr>
      </w:pPr>
    </w:p>
    <w:p w:rsidR="007857E2" w:rsidRPr="007857E2" w:rsidRDefault="007857E2" w:rsidP="007857E2">
      <w:pPr>
        <w:rPr>
          <w:rFonts w:asciiTheme="minorHAnsi" w:eastAsia="Times New Roman" w:hAnsiTheme="minorHAnsi" w:cstheme="minorHAnsi"/>
          <w:sz w:val="24"/>
          <w:szCs w:val="24"/>
          <w:lang w:eastAsia="it-CH"/>
        </w:rPr>
      </w:pPr>
      <w:r w:rsidRPr="007857E2">
        <w:rPr>
          <w:rFonts w:asciiTheme="minorHAnsi" w:eastAsia="Times New Roman" w:hAnsiTheme="minorHAnsi" w:cstheme="minorHAnsi"/>
          <w:sz w:val="24"/>
          <w:szCs w:val="24"/>
          <w:lang w:eastAsia="it-CH"/>
        </w:rPr>
        <w:t>Come indicato nello stesso documento esso è da intendersi come “uno strumento strategico per attuare il mandato costituzionale di promozione dell’uguaglianza di diritto e di fatto”. Inoltre, “il Piano di azione fornisce degli indirizzi strategici che orientano l’attività del Cantone, dei Comuni, del settore para-pubblico e dell’economia più in generale, settori all’interno dei quali le entità sono incoraggiate ad adottare ulteriori misure e rafforzare quelle già in atto”.</w:t>
      </w:r>
    </w:p>
    <w:p w:rsidR="007857E2" w:rsidRPr="007857E2" w:rsidRDefault="007857E2" w:rsidP="007857E2">
      <w:pPr>
        <w:rPr>
          <w:rFonts w:asciiTheme="minorHAnsi" w:eastAsia="Times New Roman" w:hAnsiTheme="minorHAnsi" w:cstheme="minorHAnsi"/>
          <w:sz w:val="24"/>
          <w:szCs w:val="24"/>
          <w:lang w:eastAsia="it-CH"/>
        </w:rPr>
      </w:pPr>
    </w:p>
    <w:p w:rsidR="007857E2" w:rsidRPr="007857E2" w:rsidRDefault="007857E2" w:rsidP="007857E2">
      <w:pPr>
        <w:rPr>
          <w:rFonts w:asciiTheme="minorHAnsi" w:eastAsia="Times New Roman" w:hAnsiTheme="minorHAnsi" w:cstheme="minorHAnsi"/>
          <w:sz w:val="24"/>
          <w:szCs w:val="24"/>
          <w:lang w:eastAsia="it-CH"/>
        </w:rPr>
      </w:pPr>
      <w:r w:rsidRPr="007857E2">
        <w:rPr>
          <w:rFonts w:asciiTheme="minorHAnsi" w:eastAsia="Times New Roman" w:hAnsiTheme="minorHAnsi" w:cstheme="minorHAnsi"/>
          <w:sz w:val="24"/>
          <w:szCs w:val="24"/>
          <w:lang w:eastAsia="it-CH"/>
        </w:rPr>
        <w:t>Il Piano cantonale di azione per le pari opportunità ruota intorno a tre principali ambiti:</w:t>
      </w:r>
    </w:p>
    <w:p w:rsidR="007857E2" w:rsidRPr="007857E2" w:rsidRDefault="007857E2" w:rsidP="007857E2">
      <w:pPr>
        <w:numPr>
          <w:ilvl w:val="0"/>
          <w:numId w:val="21"/>
        </w:numPr>
        <w:spacing w:before="120"/>
        <w:ind w:left="426" w:hanging="426"/>
        <w:jc w:val="left"/>
        <w:rPr>
          <w:rFonts w:asciiTheme="minorHAnsi" w:eastAsia="Times New Roman" w:hAnsiTheme="minorHAnsi" w:cstheme="minorHAnsi"/>
          <w:sz w:val="24"/>
          <w:szCs w:val="24"/>
          <w:lang w:eastAsia="it-CH"/>
        </w:rPr>
      </w:pPr>
      <w:r w:rsidRPr="007857E2">
        <w:rPr>
          <w:rFonts w:asciiTheme="minorHAnsi" w:eastAsia="Times New Roman" w:hAnsiTheme="minorHAnsi" w:cstheme="minorHAnsi"/>
          <w:sz w:val="24"/>
          <w:szCs w:val="24"/>
          <w:lang w:eastAsia="it-CH"/>
        </w:rPr>
        <w:t>pari opportunità nella sfera professionale;</w:t>
      </w:r>
    </w:p>
    <w:p w:rsidR="007857E2" w:rsidRPr="007857E2" w:rsidRDefault="007857E2" w:rsidP="007857E2">
      <w:pPr>
        <w:numPr>
          <w:ilvl w:val="0"/>
          <w:numId w:val="21"/>
        </w:numPr>
        <w:spacing w:before="120"/>
        <w:ind w:left="426" w:hanging="426"/>
        <w:jc w:val="left"/>
        <w:rPr>
          <w:rFonts w:asciiTheme="minorHAnsi" w:eastAsia="Times New Roman" w:hAnsiTheme="minorHAnsi" w:cstheme="minorHAnsi"/>
          <w:sz w:val="24"/>
          <w:szCs w:val="24"/>
          <w:lang w:eastAsia="it-CH"/>
        </w:rPr>
      </w:pPr>
      <w:r w:rsidRPr="007857E2">
        <w:rPr>
          <w:rFonts w:asciiTheme="minorHAnsi" w:eastAsia="Times New Roman" w:hAnsiTheme="minorHAnsi" w:cstheme="minorHAnsi"/>
          <w:sz w:val="24"/>
          <w:szCs w:val="24"/>
          <w:lang w:eastAsia="it-CH"/>
        </w:rPr>
        <w:t>pari opportunità nel contesto formativo;</w:t>
      </w:r>
    </w:p>
    <w:p w:rsidR="007857E2" w:rsidRPr="007857E2" w:rsidRDefault="007857E2" w:rsidP="007857E2">
      <w:pPr>
        <w:numPr>
          <w:ilvl w:val="0"/>
          <w:numId w:val="21"/>
        </w:numPr>
        <w:spacing w:before="120"/>
        <w:ind w:left="426" w:hanging="426"/>
        <w:jc w:val="left"/>
        <w:rPr>
          <w:rFonts w:asciiTheme="minorHAnsi" w:eastAsia="Times New Roman" w:hAnsiTheme="minorHAnsi" w:cstheme="minorHAnsi"/>
          <w:sz w:val="24"/>
          <w:szCs w:val="24"/>
          <w:lang w:eastAsia="it-CH"/>
        </w:rPr>
      </w:pPr>
      <w:r w:rsidRPr="007857E2">
        <w:rPr>
          <w:rFonts w:asciiTheme="minorHAnsi" w:eastAsia="Times New Roman" w:hAnsiTheme="minorHAnsi" w:cstheme="minorHAnsi"/>
          <w:sz w:val="24"/>
          <w:szCs w:val="24"/>
          <w:lang w:eastAsia="it-CH"/>
        </w:rPr>
        <w:t>pari opportunità nel settore pubblico e para-pubblico.</w:t>
      </w:r>
    </w:p>
    <w:p w:rsidR="007857E2" w:rsidRPr="007857E2" w:rsidRDefault="007857E2" w:rsidP="007857E2">
      <w:pPr>
        <w:rPr>
          <w:rFonts w:asciiTheme="minorHAnsi" w:eastAsia="Times New Roman" w:hAnsiTheme="minorHAnsi" w:cstheme="minorHAnsi"/>
          <w:sz w:val="24"/>
          <w:szCs w:val="24"/>
          <w:lang w:eastAsia="it-CH"/>
        </w:rPr>
      </w:pPr>
    </w:p>
    <w:p w:rsidR="007857E2" w:rsidRDefault="007857E2" w:rsidP="007857E2">
      <w:pPr>
        <w:rPr>
          <w:rFonts w:asciiTheme="minorHAnsi" w:eastAsia="Times New Roman" w:hAnsiTheme="minorHAnsi" w:cstheme="minorHAnsi"/>
          <w:sz w:val="24"/>
          <w:szCs w:val="24"/>
          <w:lang w:eastAsia="it-CH"/>
        </w:rPr>
      </w:pPr>
      <w:r w:rsidRPr="007857E2">
        <w:rPr>
          <w:rFonts w:asciiTheme="minorHAnsi" w:eastAsia="Times New Roman" w:hAnsiTheme="minorHAnsi" w:cstheme="minorHAnsi"/>
          <w:sz w:val="24"/>
          <w:szCs w:val="24"/>
          <w:lang w:eastAsia="it-CH"/>
        </w:rPr>
        <w:t>Esso propone obiettivi e misure per promuovere le pari opportunità in Ticino negli anni 2022 e 2023. L’implementazione di queste misure è in parte già avvenuta nel 2021, in fase di allestimento dello stesso piano.</w:t>
      </w:r>
    </w:p>
    <w:p w:rsidR="007857E2" w:rsidRPr="007857E2" w:rsidRDefault="007857E2" w:rsidP="007857E2">
      <w:pPr>
        <w:rPr>
          <w:rFonts w:asciiTheme="minorHAnsi" w:eastAsia="Times New Roman" w:hAnsiTheme="minorHAnsi" w:cstheme="minorHAnsi"/>
          <w:sz w:val="24"/>
          <w:szCs w:val="24"/>
          <w:lang w:eastAsia="it-CH"/>
        </w:rPr>
      </w:pPr>
    </w:p>
    <w:p w:rsidR="007857E2" w:rsidRPr="007857E2" w:rsidRDefault="007857E2" w:rsidP="007857E2">
      <w:pPr>
        <w:rPr>
          <w:rFonts w:asciiTheme="minorHAnsi" w:eastAsia="Times New Roman" w:hAnsiTheme="minorHAnsi" w:cstheme="minorHAnsi"/>
          <w:sz w:val="24"/>
          <w:szCs w:val="24"/>
          <w:lang w:eastAsia="it-CH"/>
        </w:rPr>
      </w:pPr>
      <w:r w:rsidRPr="007857E2">
        <w:rPr>
          <w:rFonts w:asciiTheme="minorHAnsi" w:eastAsia="Times New Roman" w:hAnsiTheme="minorHAnsi" w:cstheme="minorHAnsi"/>
          <w:sz w:val="24"/>
          <w:szCs w:val="24"/>
          <w:lang w:eastAsia="it-CH"/>
        </w:rPr>
        <w:t>Nel contesto di questi ambiti (sfera professionale, contesto formativo, settore pubblico e para-pubblico) vengono identificati 21 misure, 54 azioni concrete e 79 indicatori volti a monitorare lo stato di avanzamento delle pari opportunità. Nel primo trimestre di ogni anno civile viene pubblicato l’aggiornamento degli indicatori, mentre nella prima metà del 2024 sarà elaborato un rapporto sul raggiungimento degli obiettivi.</w:t>
      </w:r>
    </w:p>
    <w:p w:rsidR="007857E2" w:rsidRPr="007857E2" w:rsidRDefault="007857E2" w:rsidP="007857E2">
      <w:pPr>
        <w:rPr>
          <w:rFonts w:asciiTheme="minorHAnsi" w:eastAsia="Times New Roman" w:hAnsiTheme="minorHAnsi" w:cstheme="minorHAnsi"/>
          <w:sz w:val="24"/>
          <w:szCs w:val="24"/>
          <w:lang w:eastAsia="it-CH"/>
        </w:rPr>
      </w:pPr>
    </w:p>
    <w:p w:rsidR="007857E2" w:rsidRPr="007857E2" w:rsidRDefault="007857E2" w:rsidP="007857E2">
      <w:pPr>
        <w:rPr>
          <w:rFonts w:asciiTheme="minorHAnsi" w:eastAsia="Times New Roman" w:hAnsiTheme="minorHAnsi" w:cstheme="minorHAnsi"/>
          <w:sz w:val="24"/>
          <w:szCs w:val="24"/>
          <w:lang w:eastAsia="it-CH"/>
        </w:rPr>
      </w:pPr>
    </w:p>
    <w:p w:rsidR="007857E2" w:rsidRPr="007857E2" w:rsidRDefault="007857E2" w:rsidP="007857E2">
      <w:pPr>
        <w:pStyle w:val="Titolo1"/>
        <w:tabs>
          <w:tab w:val="left" w:pos="567"/>
        </w:tabs>
        <w:spacing w:before="0"/>
        <w:ind w:left="567" w:hanging="567"/>
        <w:jc w:val="both"/>
        <w:rPr>
          <w:rFonts w:eastAsia="Calibri" w:cs="Times New Roman"/>
          <w:caps/>
          <w:sz w:val="24"/>
          <w:szCs w:val="24"/>
          <w:lang w:val="it-IT" w:eastAsia="it-IT"/>
        </w:rPr>
      </w:pPr>
      <w:r w:rsidRPr="007857E2">
        <w:rPr>
          <w:rFonts w:eastAsia="Calibri" w:cs="Times New Roman"/>
          <w:caps/>
          <w:sz w:val="24"/>
          <w:szCs w:val="24"/>
          <w:lang w:val="it-IT" w:eastAsia="it-IT"/>
        </w:rPr>
        <w:t xml:space="preserve">5. </w:t>
      </w:r>
      <w:r>
        <w:rPr>
          <w:rFonts w:eastAsia="Calibri" w:cs="Times New Roman"/>
          <w:caps/>
          <w:sz w:val="24"/>
          <w:szCs w:val="24"/>
          <w:lang w:val="it-IT" w:eastAsia="it-IT"/>
        </w:rPr>
        <w:tab/>
      </w:r>
      <w:r w:rsidRPr="007857E2">
        <w:rPr>
          <w:rFonts w:eastAsia="Calibri" w:cs="Times New Roman"/>
          <w:caps/>
          <w:sz w:val="24"/>
          <w:szCs w:val="24"/>
          <w:lang w:val="it-IT" w:eastAsia="it-IT"/>
        </w:rPr>
        <w:t>L’analisi della parità salariale</w:t>
      </w:r>
    </w:p>
    <w:p w:rsidR="007857E2" w:rsidRPr="007857E2" w:rsidRDefault="007857E2" w:rsidP="007857E2">
      <w:pPr>
        <w:rPr>
          <w:rFonts w:asciiTheme="minorHAnsi" w:eastAsia="Times New Roman" w:hAnsiTheme="minorHAnsi" w:cstheme="minorHAnsi"/>
          <w:sz w:val="24"/>
          <w:szCs w:val="24"/>
          <w:lang w:eastAsia="it-CH"/>
        </w:rPr>
      </w:pPr>
      <w:r w:rsidRPr="007857E2">
        <w:rPr>
          <w:rFonts w:asciiTheme="minorHAnsi" w:eastAsia="Times New Roman" w:hAnsiTheme="minorHAnsi" w:cstheme="minorHAnsi"/>
          <w:sz w:val="24"/>
          <w:szCs w:val="24"/>
          <w:lang w:eastAsia="it-CH"/>
        </w:rPr>
        <w:t>Come già evidenziato, con l’entrata in vigore della modifica della Legge federale sulla parità dei sessi (LPar) il 1° luglio 2020 è previsto l’obbligo per i datori di lavoro con più di 100 dipendenti di condurre un’analisi interna della parità salariale e di comunicarne i risultati (entro giugno 2023).</w:t>
      </w:r>
    </w:p>
    <w:p w:rsidR="007857E2" w:rsidRPr="007857E2" w:rsidRDefault="007857E2" w:rsidP="007857E2">
      <w:pPr>
        <w:rPr>
          <w:rFonts w:asciiTheme="minorHAnsi" w:eastAsia="Times New Roman" w:hAnsiTheme="minorHAnsi" w:cstheme="minorHAnsi"/>
          <w:sz w:val="24"/>
          <w:szCs w:val="24"/>
          <w:lang w:eastAsia="it-CH"/>
        </w:rPr>
      </w:pPr>
    </w:p>
    <w:p w:rsidR="007857E2" w:rsidRPr="007857E2" w:rsidRDefault="007857E2" w:rsidP="007857E2">
      <w:pPr>
        <w:rPr>
          <w:rFonts w:asciiTheme="minorHAnsi" w:eastAsia="Times New Roman" w:hAnsiTheme="minorHAnsi" w:cstheme="minorHAnsi"/>
          <w:sz w:val="24"/>
          <w:szCs w:val="24"/>
          <w:lang w:eastAsia="it-CH"/>
        </w:rPr>
      </w:pPr>
      <w:r w:rsidRPr="007857E2">
        <w:rPr>
          <w:rFonts w:asciiTheme="minorHAnsi" w:eastAsia="Times New Roman" w:hAnsiTheme="minorHAnsi" w:cstheme="minorHAnsi"/>
          <w:sz w:val="24"/>
          <w:szCs w:val="24"/>
          <w:lang w:eastAsia="it-CH"/>
        </w:rPr>
        <w:t xml:space="preserve">Nel 2014 l’Amministrazione cantonale aveva già svolto una prima analisi della parità salariale attraverso lo strumento standardizzato Logib, messo a disposizione dalla Confederazione. Analisi ripetuta nel 2021, a seguito dell’entrata in vigore dell’obbligo previsto dalla LPar. Il risultato del rapporto, validato dal Controllo cantonale delle finanze in qualità di organo esterno di revisione accreditato dalla Confederazione, indica che nell’amministrazione cantonale le donne guadagnano mediamente l’1,9% in meno degli </w:t>
      </w:r>
      <w:r w:rsidRPr="007857E2">
        <w:rPr>
          <w:rFonts w:asciiTheme="minorHAnsi" w:eastAsia="Times New Roman" w:hAnsiTheme="minorHAnsi" w:cstheme="minorHAnsi"/>
          <w:sz w:val="24"/>
          <w:szCs w:val="24"/>
          <w:lang w:eastAsia="it-CH"/>
        </w:rPr>
        <w:lastRenderedPageBreak/>
        <w:t>uomini (divario che si riduce all’1,2% non considerando le indennità per picchetti, lavoro notturno e festivo). </w:t>
      </w:r>
    </w:p>
    <w:p w:rsidR="007857E2" w:rsidRPr="007857E2" w:rsidRDefault="007857E2" w:rsidP="007857E2">
      <w:pPr>
        <w:rPr>
          <w:rFonts w:asciiTheme="minorHAnsi" w:eastAsia="Times New Roman" w:hAnsiTheme="minorHAnsi" w:cstheme="minorHAnsi"/>
          <w:sz w:val="24"/>
          <w:szCs w:val="24"/>
          <w:lang w:eastAsia="it-CH"/>
        </w:rPr>
      </w:pPr>
    </w:p>
    <w:p w:rsidR="007857E2" w:rsidRDefault="007857E2" w:rsidP="007857E2">
      <w:pPr>
        <w:rPr>
          <w:rFonts w:asciiTheme="minorHAnsi" w:eastAsia="Times New Roman" w:hAnsiTheme="minorHAnsi" w:cstheme="minorHAnsi"/>
          <w:sz w:val="24"/>
          <w:szCs w:val="24"/>
          <w:lang w:eastAsia="it-CH"/>
        </w:rPr>
      </w:pPr>
    </w:p>
    <w:p w:rsidR="007857E2" w:rsidRPr="007857E2" w:rsidRDefault="007857E2" w:rsidP="007857E2">
      <w:pPr>
        <w:rPr>
          <w:rFonts w:asciiTheme="minorHAnsi" w:eastAsia="Times New Roman" w:hAnsiTheme="minorHAnsi" w:cstheme="minorHAnsi"/>
          <w:sz w:val="24"/>
          <w:szCs w:val="24"/>
          <w:lang w:eastAsia="it-CH"/>
        </w:rPr>
      </w:pPr>
    </w:p>
    <w:p w:rsidR="007857E2" w:rsidRPr="007857E2" w:rsidRDefault="007857E2" w:rsidP="007857E2">
      <w:pPr>
        <w:pStyle w:val="Titolo1"/>
        <w:tabs>
          <w:tab w:val="left" w:pos="567"/>
        </w:tabs>
        <w:spacing w:before="0"/>
        <w:ind w:left="567" w:hanging="567"/>
        <w:jc w:val="both"/>
        <w:rPr>
          <w:rFonts w:eastAsia="Calibri" w:cs="Times New Roman"/>
          <w:caps/>
          <w:sz w:val="24"/>
          <w:szCs w:val="24"/>
          <w:lang w:val="it-IT" w:eastAsia="it-IT"/>
        </w:rPr>
      </w:pPr>
      <w:r w:rsidRPr="007857E2">
        <w:rPr>
          <w:rFonts w:eastAsia="Calibri" w:cs="Times New Roman"/>
          <w:caps/>
          <w:sz w:val="24"/>
          <w:szCs w:val="24"/>
          <w:lang w:val="it-IT" w:eastAsia="it-IT"/>
        </w:rPr>
        <w:t xml:space="preserve">6. </w:t>
      </w:r>
      <w:r w:rsidRPr="007857E2">
        <w:rPr>
          <w:rFonts w:eastAsia="Calibri" w:cs="Times New Roman"/>
          <w:caps/>
          <w:sz w:val="24"/>
          <w:szCs w:val="24"/>
          <w:lang w:val="it-IT" w:eastAsia="it-IT"/>
        </w:rPr>
        <w:tab/>
        <w:t>Osservazioni della minoranza Commissione</w:t>
      </w:r>
    </w:p>
    <w:p w:rsidR="007857E2" w:rsidRPr="007857E2" w:rsidRDefault="007857E2" w:rsidP="007857E2">
      <w:pPr>
        <w:rPr>
          <w:rFonts w:asciiTheme="minorHAnsi" w:eastAsia="Times New Roman" w:hAnsiTheme="minorHAnsi" w:cstheme="minorHAnsi"/>
          <w:sz w:val="24"/>
          <w:szCs w:val="24"/>
          <w:lang w:eastAsia="it-CH"/>
        </w:rPr>
      </w:pPr>
      <w:r w:rsidRPr="007857E2">
        <w:rPr>
          <w:rFonts w:asciiTheme="minorHAnsi" w:eastAsia="Times New Roman" w:hAnsiTheme="minorHAnsi" w:cstheme="minorHAnsi"/>
          <w:sz w:val="24"/>
          <w:szCs w:val="24"/>
          <w:lang w:eastAsia="it-CH"/>
        </w:rPr>
        <w:t>Come attestano i passi intrapresi negli ultimi anni dal Cantone, dalla Confederazione, dagli Organismi internazionali, come pure la sempre maggiore attenzione nella politica e nell’opinione pubblica per questo tema, quelle della parità di genere e delle pari opportunità sono a giusta ragione percepite come delle conquiste sociali che, nonostante gli importanti progressi fatti negli ultimi decenni, mancano ancora di una piena e completa realizzazione.</w:t>
      </w:r>
    </w:p>
    <w:p w:rsidR="007857E2" w:rsidRDefault="007857E2" w:rsidP="007857E2">
      <w:pPr>
        <w:rPr>
          <w:rFonts w:asciiTheme="minorHAnsi" w:eastAsia="Times New Roman" w:hAnsiTheme="minorHAnsi" w:cstheme="minorHAnsi"/>
          <w:sz w:val="24"/>
          <w:szCs w:val="24"/>
          <w:lang w:eastAsia="it-CH"/>
        </w:rPr>
      </w:pPr>
    </w:p>
    <w:p w:rsidR="00ED1E2D" w:rsidRPr="007857E2" w:rsidRDefault="00ED1E2D" w:rsidP="007857E2">
      <w:pPr>
        <w:rPr>
          <w:rFonts w:asciiTheme="minorHAnsi" w:eastAsia="Times New Roman" w:hAnsiTheme="minorHAnsi" w:cstheme="minorHAnsi"/>
          <w:sz w:val="24"/>
          <w:szCs w:val="24"/>
          <w:lang w:eastAsia="it-CH"/>
        </w:rPr>
      </w:pPr>
    </w:p>
    <w:p w:rsidR="007857E2" w:rsidRPr="007857E2" w:rsidRDefault="007857E2" w:rsidP="00ED1E2D">
      <w:pPr>
        <w:pStyle w:val="Titolo2"/>
        <w:numPr>
          <w:ilvl w:val="0"/>
          <w:numId w:val="0"/>
        </w:numPr>
        <w:tabs>
          <w:tab w:val="left" w:pos="567"/>
        </w:tabs>
        <w:spacing w:before="0" w:after="120"/>
        <w:jc w:val="both"/>
        <w:rPr>
          <w:rFonts w:asciiTheme="minorHAnsi" w:eastAsia="Times New Roman" w:hAnsiTheme="minorHAnsi" w:cstheme="minorHAnsi"/>
          <w:bCs/>
          <w:sz w:val="24"/>
          <w:szCs w:val="24"/>
          <w:lang w:eastAsia="it-CH"/>
        </w:rPr>
      </w:pPr>
      <w:r w:rsidRPr="007857E2">
        <w:rPr>
          <w:rFonts w:eastAsia="Calibri" w:cs="Times New Roman"/>
          <w:sz w:val="24"/>
          <w:lang w:val="it-IT" w:eastAsia="it-IT"/>
        </w:rPr>
        <w:t xml:space="preserve">6.1 </w:t>
      </w:r>
      <w:r w:rsidR="00ED1E2D">
        <w:rPr>
          <w:rFonts w:eastAsia="Calibri" w:cs="Times New Roman"/>
          <w:sz w:val="24"/>
          <w:lang w:val="it-IT" w:eastAsia="it-IT"/>
        </w:rPr>
        <w:tab/>
      </w:r>
      <w:r w:rsidRPr="007857E2">
        <w:rPr>
          <w:rFonts w:eastAsia="Calibri" w:cs="Times New Roman"/>
          <w:sz w:val="24"/>
          <w:lang w:val="it-IT" w:eastAsia="it-IT"/>
        </w:rPr>
        <w:t>Piano d’azione cantonale per le pari opportunità</w:t>
      </w:r>
    </w:p>
    <w:p w:rsidR="007857E2" w:rsidRPr="007857E2" w:rsidRDefault="007857E2" w:rsidP="007857E2">
      <w:pPr>
        <w:rPr>
          <w:rFonts w:asciiTheme="minorHAnsi" w:eastAsia="Times New Roman" w:hAnsiTheme="minorHAnsi" w:cstheme="minorHAnsi"/>
          <w:sz w:val="24"/>
          <w:szCs w:val="24"/>
          <w:lang w:eastAsia="it-CH"/>
        </w:rPr>
      </w:pPr>
      <w:r w:rsidRPr="007857E2">
        <w:rPr>
          <w:rFonts w:asciiTheme="minorHAnsi" w:eastAsia="Times New Roman" w:hAnsiTheme="minorHAnsi" w:cstheme="minorHAnsi"/>
          <w:sz w:val="24"/>
          <w:szCs w:val="24"/>
          <w:lang w:eastAsia="it-CH"/>
        </w:rPr>
        <w:t>Lo stesso Piano d’azione cantonale per le pari opportunità argomenta così la sua necessità:</w:t>
      </w:r>
    </w:p>
    <w:p w:rsidR="007857E2" w:rsidRPr="007857E2" w:rsidRDefault="007857E2" w:rsidP="007857E2">
      <w:pPr>
        <w:rPr>
          <w:rFonts w:asciiTheme="minorHAnsi" w:eastAsia="Times New Roman" w:hAnsiTheme="minorHAnsi" w:cstheme="minorHAnsi"/>
          <w:sz w:val="24"/>
          <w:szCs w:val="24"/>
          <w:lang w:eastAsia="it-CH"/>
        </w:rPr>
      </w:pPr>
    </w:p>
    <w:p w:rsidR="007857E2" w:rsidRPr="007857E2" w:rsidRDefault="007857E2" w:rsidP="007857E2">
      <w:pPr>
        <w:rPr>
          <w:rFonts w:asciiTheme="minorHAnsi" w:eastAsia="Times New Roman" w:hAnsiTheme="minorHAnsi" w:cstheme="minorHAnsi"/>
          <w:sz w:val="24"/>
          <w:szCs w:val="24"/>
          <w:lang w:eastAsia="it-CH"/>
        </w:rPr>
      </w:pPr>
      <w:r w:rsidRPr="007857E2">
        <w:rPr>
          <w:rFonts w:asciiTheme="minorHAnsi" w:eastAsia="Times New Roman" w:hAnsiTheme="minorHAnsi" w:cstheme="minorHAnsi"/>
          <w:sz w:val="24"/>
          <w:szCs w:val="24"/>
          <w:lang w:eastAsia="it-CH"/>
        </w:rPr>
        <w:t>“A seguito dell’introduzione del suffragio femminile a livello federale nel 1971 (1969 sul piano cantonale in Ticino), dell’articolo costituzionale sull’uguaglianza nel 1981 e dell’entrata in vigore della legge federale sulla parità dei sessi (LPar) nel 1996, molti progressi sono stati compiuti in relazione alla parità tra donna e uomo nel nostro Paese, senza tuttavia giungere alla piena realizzazione della parità di diritto e di fatto come sancito nell’articolo 8 capoverso 3 della Costituzione federale”.</w:t>
      </w:r>
    </w:p>
    <w:p w:rsidR="007857E2" w:rsidRPr="007857E2" w:rsidRDefault="007857E2" w:rsidP="007857E2">
      <w:pPr>
        <w:rPr>
          <w:rFonts w:asciiTheme="minorHAnsi" w:eastAsia="Times New Roman" w:hAnsiTheme="minorHAnsi" w:cstheme="minorHAnsi"/>
          <w:sz w:val="24"/>
          <w:szCs w:val="24"/>
          <w:lang w:eastAsia="it-CH"/>
        </w:rPr>
      </w:pPr>
    </w:p>
    <w:p w:rsidR="007857E2" w:rsidRPr="007857E2" w:rsidRDefault="007857E2" w:rsidP="007857E2">
      <w:pPr>
        <w:rPr>
          <w:rFonts w:asciiTheme="minorHAnsi" w:eastAsia="Times New Roman" w:hAnsiTheme="minorHAnsi" w:cstheme="minorHAnsi"/>
          <w:sz w:val="24"/>
          <w:szCs w:val="24"/>
          <w:lang w:eastAsia="it-CH"/>
        </w:rPr>
      </w:pPr>
      <w:r w:rsidRPr="007857E2">
        <w:rPr>
          <w:rFonts w:asciiTheme="minorHAnsi" w:eastAsia="Times New Roman" w:hAnsiTheme="minorHAnsi" w:cstheme="minorHAnsi"/>
          <w:sz w:val="24"/>
          <w:szCs w:val="24"/>
          <w:lang w:eastAsia="it-CH"/>
        </w:rPr>
        <w:t>Elenchiamo, concretamente, a titolo di esempio, alcuni dati riportati dallo stesso Piano d’azione cantonale, che evidenziano, nonostante i progressi compiuti nel corso degli anni, come siano attualmente ancora vigenti importanti sotto-rappresentazioni di genere in vari organi/settori, limitandoci solo agli enti pubblici e para-pubblici.</w:t>
      </w:r>
    </w:p>
    <w:p w:rsidR="007857E2" w:rsidRPr="007857E2" w:rsidRDefault="007857E2" w:rsidP="00ED1E2D">
      <w:pPr>
        <w:numPr>
          <w:ilvl w:val="0"/>
          <w:numId w:val="23"/>
        </w:numPr>
        <w:tabs>
          <w:tab w:val="clear" w:pos="720"/>
          <w:tab w:val="num" w:pos="284"/>
        </w:tabs>
        <w:spacing w:before="120"/>
        <w:ind w:left="284" w:hanging="284"/>
        <w:jc w:val="left"/>
        <w:rPr>
          <w:rFonts w:asciiTheme="minorHAnsi" w:eastAsia="Times New Roman" w:hAnsiTheme="minorHAnsi" w:cstheme="minorHAnsi"/>
          <w:sz w:val="24"/>
          <w:szCs w:val="24"/>
          <w:lang w:eastAsia="it-CH"/>
        </w:rPr>
      </w:pPr>
      <w:r w:rsidRPr="007857E2">
        <w:rPr>
          <w:rFonts w:asciiTheme="minorHAnsi" w:eastAsia="Times New Roman" w:hAnsiTheme="minorHAnsi" w:cstheme="minorHAnsi"/>
          <w:sz w:val="24"/>
          <w:szCs w:val="24"/>
          <w:lang w:eastAsia="it-CH"/>
        </w:rPr>
        <w:t>La presenza femminile nelle commissioni e nei gruppi di lavoro dello Stato si attesta per gli anni 2020-2023 al 26,7%. </w:t>
      </w:r>
    </w:p>
    <w:p w:rsidR="007857E2" w:rsidRPr="007857E2" w:rsidRDefault="007857E2" w:rsidP="00ED1E2D">
      <w:pPr>
        <w:numPr>
          <w:ilvl w:val="0"/>
          <w:numId w:val="23"/>
        </w:numPr>
        <w:tabs>
          <w:tab w:val="clear" w:pos="720"/>
          <w:tab w:val="num" w:pos="284"/>
        </w:tabs>
        <w:spacing w:before="120"/>
        <w:ind w:left="284" w:hanging="284"/>
        <w:jc w:val="left"/>
        <w:rPr>
          <w:rFonts w:asciiTheme="minorHAnsi" w:eastAsia="Times New Roman" w:hAnsiTheme="minorHAnsi" w:cstheme="minorHAnsi"/>
          <w:sz w:val="24"/>
          <w:szCs w:val="24"/>
          <w:lang w:eastAsia="it-CH"/>
        </w:rPr>
      </w:pPr>
      <w:r w:rsidRPr="007857E2">
        <w:rPr>
          <w:rFonts w:asciiTheme="minorHAnsi" w:eastAsia="Times New Roman" w:hAnsiTheme="minorHAnsi" w:cstheme="minorHAnsi"/>
          <w:sz w:val="24"/>
          <w:szCs w:val="24"/>
          <w:lang w:eastAsia="it-CH"/>
        </w:rPr>
        <w:t>La Presenza femminile nelle posizioni dirigenziali dello Stato si attestava nel 2021 (ultimo dato) al 21%. </w:t>
      </w:r>
    </w:p>
    <w:p w:rsidR="007857E2" w:rsidRPr="007857E2" w:rsidRDefault="007857E2" w:rsidP="00ED1E2D">
      <w:pPr>
        <w:numPr>
          <w:ilvl w:val="0"/>
          <w:numId w:val="23"/>
        </w:numPr>
        <w:tabs>
          <w:tab w:val="clear" w:pos="720"/>
          <w:tab w:val="num" w:pos="284"/>
        </w:tabs>
        <w:spacing w:before="120"/>
        <w:ind w:left="284" w:hanging="284"/>
        <w:jc w:val="left"/>
        <w:rPr>
          <w:rFonts w:asciiTheme="minorHAnsi" w:eastAsia="Times New Roman" w:hAnsiTheme="minorHAnsi" w:cstheme="minorHAnsi"/>
          <w:sz w:val="24"/>
          <w:szCs w:val="24"/>
          <w:lang w:eastAsia="it-CH"/>
        </w:rPr>
      </w:pPr>
      <w:r w:rsidRPr="007857E2">
        <w:rPr>
          <w:rFonts w:asciiTheme="minorHAnsi" w:eastAsia="Times New Roman" w:hAnsiTheme="minorHAnsi" w:cstheme="minorHAnsi"/>
          <w:sz w:val="24"/>
          <w:szCs w:val="24"/>
          <w:lang w:eastAsia="it-CH"/>
        </w:rPr>
        <w:t>La presenza femminile nei Consigli d’amministrazione degli Enti Pubblici si attestava nel 2022 al 31,7%, nelle direzioni degli stessi al 23,1%.</w:t>
      </w:r>
    </w:p>
    <w:p w:rsidR="007857E2" w:rsidRPr="007857E2" w:rsidRDefault="007857E2" w:rsidP="007857E2">
      <w:pPr>
        <w:rPr>
          <w:rFonts w:asciiTheme="minorHAnsi" w:eastAsia="Times New Roman" w:hAnsiTheme="minorHAnsi" w:cstheme="minorHAnsi"/>
          <w:sz w:val="24"/>
          <w:szCs w:val="24"/>
          <w:lang w:eastAsia="it-CH"/>
        </w:rPr>
      </w:pPr>
    </w:p>
    <w:p w:rsidR="007857E2" w:rsidRDefault="007857E2" w:rsidP="007857E2">
      <w:pPr>
        <w:rPr>
          <w:rFonts w:asciiTheme="minorHAnsi" w:eastAsia="Times New Roman" w:hAnsiTheme="minorHAnsi" w:cstheme="minorHAnsi"/>
          <w:sz w:val="24"/>
          <w:szCs w:val="24"/>
          <w:lang w:eastAsia="it-CH"/>
        </w:rPr>
      </w:pPr>
      <w:r w:rsidRPr="007857E2">
        <w:rPr>
          <w:rFonts w:asciiTheme="minorHAnsi" w:eastAsia="Times New Roman" w:hAnsiTheme="minorHAnsi" w:cstheme="minorHAnsi"/>
          <w:sz w:val="24"/>
          <w:szCs w:val="24"/>
          <w:lang w:eastAsia="it-CH"/>
        </w:rPr>
        <w:t>Alla luce di quanto esposto, nel merito della prima richiesta formulata dalla mozione, ovvero quella che il Consiglio di Stato rediga annualmente un messaggio da sottoporre per discussione al Gran Consiglio, inerente all’avanzamento del Piano d’azione cantonale per le pari opportunità, la minoranza della Commissione ritiene sia da accogliere positivamente.</w:t>
      </w:r>
    </w:p>
    <w:p w:rsidR="00ED1E2D" w:rsidRPr="007857E2" w:rsidRDefault="00ED1E2D" w:rsidP="007857E2">
      <w:pPr>
        <w:rPr>
          <w:rFonts w:asciiTheme="minorHAnsi" w:eastAsia="Times New Roman" w:hAnsiTheme="minorHAnsi" w:cstheme="minorHAnsi"/>
          <w:sz w:val="24"/>
          <w:szCs w:val="24"/>
          <w:lang w:eastAsia="it-CH"/>
        </w:rPr>
      </w:pPr>
    </w:p>
    <w:p w:rsidR="007857E2" w:rsidRPr="007857E2" w:rsidRDefault="007857E2" w:rsidP="007857E2">
      <w:pPr>
        <w:rPr>
          <w:rFonts w:asciiTheme="minorHAnsi" w:eastAsia="Times New Roman" w:hAnsiTheme="minorHAnsi" w:cstheme="minorHAnsi"/>
          <w:sz w:val="24"/>
          <w:szCs w:val="24"/>
          <w:lang w:eastAsia="it-CH"/>
        </w:rPr>
      </w:pPr>
      <w:r w:rsidRPr="007857E2">
        <w:rPr>
          <w:rFonts w:asciiTheme="minorHAnsi" w:eastAsia="Times New Roman" w:hAnsiTheme="minorHAnsi" w:cstheme="minorHAnsi"/>
          <w:sz w:val="24"/>
          <w:szCs w:val="24"/>
          <w:lang w:eastAsia="it-CH"/>
        </w:rPr>
        <w:t xml:space="preserve">La presenza ancora parziale di una concreta e riscontrabile parità di opportunità fra uomini e donne, rappresenta una mancata realizzazione di diritti sanciti dalle nostre Costituzioni (federale e cantonale) che riguarda direttamente la metà della popolazione cantonale. La minoranza della Commissione ritiene che questo sia pertanto un tema fondamentale di discussione, che deve coinvolgere tutti i livelli dello Stato, come pure l’economia e la società civile. Chinarsi regolarmente, a cadenza annuale, su questa tema, è sicuramente </w:t>
      </w:r>
      <w:r w:rsidRPr="007857E2">
        <w:rPr>
          <w:rFonts w:asciiTheme="minorHAnsi" w:eastAsia="Times New Roman" w:hAnsiTheme="minorHAnsi" w:cstheme="minorHAnsi"/>
          <w:sz w:val="24"/>
          <w:szCs w:val="24"/>
          <w:lang w:eastAsia="it-CH"/>
        </w:rPr>
        <w:lastRenderedPageBreak/>
        <w:t>un compito che il Parlamento deve poter assumere, sia come referente ultimo per il funzionamento dell’amministrazione cantonale, che come organo Legislativo chiamato a definire le norme di funzionamento della società nel suo complesso.</w:t>
      </w:r>
    </w:p>
    <w:p w:rsidR="007857E2" w:rsidRPr="007857E2" w:rsidRDefault="007857E2" w:rsidP="007857E2">
      <w:pPr>
        <w:rPr>
          <w:rFonts w:asciiTheme="minorHAnsi" w:eastAsia="Times New Roman" w:hAnsiTheme="minorHAnsi" w:cstheme="minorHAnsi"/>
          <w:sz w:val="24"/>
          <w:szCs w:val="24"/>
          <w:lang w:eastAsia="it-CH"/>
        </w:rPr>
      </w:pPr>
    </w:p>
    <w:p w:rsidR="007857E2" w:rsidRPr="007857E2" w:rsidRDefault="007857E2" w:rsidP="007857E2">
      <w:pPr>
        <w:rPr>
          <w:rFonts w:asciiTheme="minorHAnsi" w:eastAsia="Times New Roman" w:hAnsiTheme="minorHAnsi" w:cstheme="minorHAnsi"/>
          <w:b/>
          <w:bCs/>
          <w:sz w:val="24"/>
          <w:szCs w:val="24"/>
          <w:lang w:eastAsia="it-CH"/>
        </w:rPr>
      </w:pPr>
    </w:p>
    <w:p w:rsidR="007857E2" w:rsidRPr="007857E2" w:rsidRDefault="007857E2" w:rsidP="00ED1E2D">
      <w:pPr>
        <w:pStyle w:val="Titolo2"/>
        <w:numPr>
          <w:ilvl w:val="0"/>
          <w:numId w:val="0"/>
        </w:numPr>
        <w:tabs>
          <w:tab w:val="left" w:pos="567"/>
        </w:tabs>
        <w:spacing w:before="0" w:after="120"/>
        <w:jc w:val="both"/>
        <w:rPr>
          <w:rFonts w:eastAsia="Calibri" w:cs="Times New Roman"/>
          <w:sz w:val="24"/>
          <w:lang w:val="it-IT" w:eastAsia="it-IT"/>
        </w:rPr>
      </w:pPr>
      <w:r w:rsidRPr="007857E2">
        <w:rPr>
          <w:rFonts w:eastAsia="Calibri" w:cs="Times New Roman"/>
          <w:sz w:val="24"/>
          <w:lang w:val="it-IT" w:eastAsia="it-IT"/>
        </w:rPr>
        <w:t xml:space="preserve">6.2 </w:t>
      </w:r>
      <w:r w:rsidR="00ED1E2D">
        <w:rPr>
          <w:rFonts w:eastAsia="Calibri" w:cs="Times New Roman"/>
          <w:sz w:val="24"/>
          <w:lang w:val="it-IT" w:eastAsia="it-IT"/>
        </w:rPr>
        <w:tab/>
      </w:r>
      <w:r w:rsidRPr="007857E2">
        <w:rPr>
          <w:rFonts w:eastAsia="Calibri" w:cs="Times New Roman"/>
          <w:sz w:val="24"/>
          <w:lang w:val="it-IT" w:eastAsia="it-IT"/>
        </w:rPr>
        <w:t>Analisi della parità salariale</w:t>
      </w:r>
    </w:p>
    <w:p w:rsidR="007857E2" w:rsidRPr="007857E2" w:rsidRDefault="007857E2" w:rsidP="007857E2">
      <w:pPr>
        <w:rPr>
          <w:rFonts w:asciiTheme="minorHAnsi" w:eastAsia="Times New Roman" w:hAnsiTheme="minorHAnsi" w:cstheme="minorHAnsi"/>
          <w:sz w:val="24"/>
          <w:szCs w:val="24"/>
          <w:lang w:eastAsia="it-CH"/>
        </w:rPr>
      </w:pPr>
      <w:r w:rsidRPr="007857E2">
        <w:rPr>
          <w:rFonts w:asciiTheme="minorHAnsi" w:eastAsia="Times New Roman" w:hAnsiTheme="minorHAnsi" w:cstheme="minorHAnsi"/>
          <w:sz w:val="24"/>
          <w:szCs w:val="24"/>
          <w:lang w:eastAsia="it-CH"/>
        </w:rPr>
        <w:t>I risultati dell’ultima analisi della parità salariale all’interno dell’amministrazione cantonale indicano come all’interno della stessa le donne guadagnano mediamente l’1.9% in meno degli uomini. Come evidenziato dal Consiglio di Stato nella sua risposta all’interrogazione n. 26/22 dell’11.02.2022 di Tamara Merlo e Maura Mossi Nembrini “sul risultato incidono le indennità per picchetti, lavoro notturno e festivi che sono versate per attività in cui gli uomini sono maggiormente rappresentati (in particolare per quanto concerne gli operai e gli agenti di polizia). L’inclusione di queste indennità incide per lo 0.7% (sul valore complessivo dell’1.9%)”.</w:t>
      </w:r>
    </w:p>
    <w:p w:rsidR="007857E2" w:rsidRPr="007857E2" w:rsidRDefault="007857E2" w:rsidP="007857E2">
      <w:pPr>
        <w:rPr>
          <w:rFonts w:asciiTheme="minorHAnsi" w:eastAsia="Times New Roman" w:hAnsiTheme="minorHAnsi" w:cstheme="minorHAnsi"/>
          <w:sz w:val="24"/>
          <w:szCs w:val="24"/>
          <w:lang w:eastAsia="it-CH"/>
        </w:rPr>
      </w:pPr>
    </w:p>
    <w:p w:rsidR="007857E2" w:rsidRPr="007857E2" w:rsidRDefault="007857E2" w:rsidP="007857E2">
      <w:pPr>
        <w:rPr>
          <w:rFonts w:asciiTheme="minorHAnsi" w:eastAsia="Times New Roman" w:hAnsiTheme="minorHAnsi" w:cstheme="minorHAnsi"/>
          <w:sz w:val="24"/>
          <w:szCs w:val="24"/>
          <w:lang w:eastAsia="it-CH"/>
        </w:rPr>
      </w:pPr>
      <w:r w:rsidRPr="007857E2">
        <w:rPr>
          <w:rFonts w:asciiTheme="minorHAnsi" w:eastAsia="Times New Roman" w:hAnsiTheme="minorHAnsi" w:cstheme="minorHAnsi"/>
          <w:sz w:val="24"/>
          <w:szCs w:val="24"/>
          <w:lang w:eastAsia="it-CH"/>
        </w:rPr>
        <w:t>Il Consiglio di Stato evidenzia pure che questo risultato “si attesta al di sotto della soglia di tolleranza del 5% prevista dalla Confederazione e significa che non è stata individuata alcuna disparità salariale sistematica”.</w:t>
      </w:r>
    </w:p>
    <w:p w:rsidR="007857E2" w:rsidRPr="007857E2" w:rsidRDefault="007857E2" w:rsidP="007857E2">
      <w:pPr>
        <w:rPr>
          <w:rFonts w:asciiTheme="minorHAnsi" w:eastAsia="Times New Roman" w:hAnsiTheme="minorHAnsi" w:cstheme="minorHAnsi"/>
          <w:sz w:val="24"/>
          <w:szCs w:val="24"/>
          <w:lang w:eastAsia="it-CH"/>
        </w:rPr>
      </w:pPr>
    </w:p>
    <w:p w:rsidR="007857E2" w:rsidRPr="007857E2" w:rsidRDefault="007857E2" w:rsidP="007857E2">
      <w:pPr>
        <w:rPr>
          <w:rFonts w:asciiTheme="minorHAnsi" w:eastAsia="Times New Roman" w:hAnsiTheme="minorHAnsi" w:cstheme="minorHAnsi"/>
          <w:sz w:val="24"/>
          <w:szCs w:val="24"/>
          <w:lang w:eastAsia="it-CH"/>
        </w:rPr>
      </w:pPr>
      <w:r w:rsidRPr="007857E2">
        <w:rPr>
          <w:rFonts w:asciiTheme="minorHAnsi" w:eastAsia="Times New Roman" w:hAnsiTheme="minorHAnsi" w:cstheme="minorHAnsi"/>
          <w:sz w:val="24"/>
          <w:szCs w:val="24"/>
          <w:lang w:eastAsia="it-CH"/>
        </w:rPr>
        <w:t xml:space="preserve">Se questi dati vanno senz’altro salutati positivamente, nel merito della richiesta della mozione, ovvero quella di fornire l’analisi della parità salariale riferita ad ogni singolo Dipartimento, la minoranza della Commissione ritiene che l’implementazione di questa proposta possa apportare un beneficio conoscitivo utile. Da un lato essa permetterebbe di individuare eventuali settori critici che richiedono maggiori sforzi; dall’altro di conoscere quali settori hanno invece compiuto i maggiori progressi ed individuare possibili </w:t>
      </w:r>
      <w:r w:rsidRPr="007857E2">
        <w:rPr>
          <w:rFonts w:asciiTheme="minorHAnsi" w:eastAsia="Times New Roman" w:hAnsiTheme="minorHAnsi" w:cstheme="minorHAnsi"/>
          <w:i/>
          <w:iCs/>
          <w:sz w:val="24"/>
          <w:szCs w:val="24"/>
          <w:lang w:eastAsia="it-CH"/>
        </w:rPr>
        <w:t>“best practice”</w:t>
      </w:r>
      <w:r w:rsidRPr="007857E2">
        <w:rPr>
          <w:rFonts w:asciiTheme="minorHAnsi" w:eastAsia="Times New Roman" w:hAnsiTheme="minorHAnsi" w:cstheme="minorHAnsi"/>
          <w:sz w:val="24"/>
          <w:szCs w:val="24"/>
          <w:lang w:eastAsia="it-CH"/>
        </w:rPr>
        <w:t xml:space="preserve"> da implementare in forma generalizzata.</w:t>
      </w:r>
    </w:p>
    <w:p w:rsidR="007857E2" w:rsidRPr="007857E2" w:rsidRDefault="007857E2" w:rsidP="007857E2">
      <w:pPr>
        <w:rPr>
          <w:rFonts w:asciiTheme="minorHAnsi" w:eastAsia="Times New Roman" w:hAnsiTheme="minorHAnsi" w:cstheme="minorHAnsi"/>
          <w:sz w:val="24"/>
          <w:szCs w:val="24"/>
          <w:lang w:eastAsia="it-CH"/>
        </w:rPr>
      </w:pPr>
    </w:p>
    <w:p w:rsidR="007857E2" w:rsidRPr="007857E2" w:rsidRDefault="007857E2" w:rsidP="007857E2">
      <w:pPr>
        <w:rPr>
          <w:rFonts w:asciiTheme="minorHAnsi" w:eastAsia="Times New Roman" w:hAnsiTheme="minorHAnsi" w:cstheme="minorHAnsi"/>
          <w:sz w:val="24"/>
          <w:szCs w:val="24"/>
          <w:lang w:eastAsia="it-CH"/>
        </w:rPr>
      </w:pPr>
    </w:p>
    <w:p w:rsidR="007857E2" w:rsidRPr="007857E2" w:rsidRDefault="007857E2" w:rsidP="00ED1E2D">
      <w:pPr>
        <w:pStyle w:val="Titolo2"/>
        <w:numPr>
          <w:ilvl w:val="0"/>
          <w:numId w:val="0"/>
        </w:numPr>
        <w:tabs>
          <w:tab w:val="left" w:pos="567"/>
        </w:tabs>
        <w:spacing w:before="0" w:after="120"/>
        <w:jc w:val="both"/>
        <w:rPr>
          <w:rFonts w:eastAsia="Calibri" w:cs="Times New Roman"/>
          <w:sz w:val="24"/>
          <w:lang w:val="it-IT" w:eastAsia="it-IT"/>
        </w:rPr>
      </w:pPr>
      <w:r w:rsidRPr="007857E2">
        <w:rPr>
          <w:rFonts w:eastAsia="Calibri" w:cs="Times New Roman"/>
          <w:sz w:val="24"/>
          <w:lang w:val="it-IT" w:eastAsia="it-IT"/>
        </w:rPr>
        <w:t xml:space="preserve">6.3 </w:t>
      </w:r>
      <w:r w:rsidR="00ED1E2D">
        <w:rPr>
          <w:rFonts w:eastAsia="Calibri" w:cs="Times New Roman"/>
          <w:sz w:val="24"/>
          <w:lang w:val="it-IT" w:eastAsia="it-IT"/>
        </w:rPr>
        <w:tab/>
      </w:r>
      <w:r w:rsidRPr="007857E2">
        <w:rPr>
          <w:rFonts w:eastAsia="Calibri" w:cs="Times New Roman"/>
          <w:sz w:val="24"/>
          <w:lang w:val="it-IT" w:eastAsia="it-IT"/>
        </w:rPr>
        <w:t>Proposta alternativa</w:t>
      </w:r>
    </w:p>
    <w:p w:rsidR="00ED1E2D" w:rsidRDefault="007857E2" w:rsidP="007857E2">
      <w:pPr>
        <w:rPr>
          <w:rFonts w:asciiTheme="minorHAnsi" w:eastAsia="Times New Roman" w:hAnsiTheme="minorHAnsi" w:cstheme="minorHAnsi"/>
          <w:sz w:val="24"/>
          <w:szCs w:val="24"/>
          <w:lang w:eastAsia="it-CH"/>
        </w:rPr>
      </w:pPr>
      <w:r w:rsidRPr="007857E2">
        <w:rPr>
          <w:rFonts w:asciiTheme="minorHAnsi" w:eastAsia="Times New Roman" w:hAnsiTheme="minorHAnsi" w:cstheme="minorHAnsi"/>
          <w:sz w:val="24"/>
          <w:szCs w:val="24"/>
          <w:lang w:eastAsia="it-CH"/>
        </w:rPr>
        <w:t xml:space="preserve">Nell’ambito dei lavori commissionali è stata esplorata la possibilità di riformulare le richieste della mozione, al fine di redigere un rapporto sostenuto dalla maggioranza della Commissione che accogliesse parzialmente le richieste della mozione in oggetto. </w:t>
      </w:r>
    </w:p>
    <w:p w:rsidR="00ED1E2D" w:rsidRDefault="00ED1E2D" w:rsidP="007857E2">
      <w:pPr>
        <w:rPr>
          <w:rFonts w:asciiTheme="minorHAnsi" w:eastAsia="Times New Roman" w:hAnsiTheme="minorHAnsi" w:cstheme="minorHAnsi"/>
          <w:sz w:val="24"/>
          <w:szCs w:val="24"/>
          <w:lang w:eastAsia="it-CH"/>
        </w:rPr>
      </w:pPr>
    </w:p>
    <w:p w:rsidR="00ED1E2D" w:rsidRDefault="007857E2" w:rsidP="007857E2">
      <w:pPr>
        <w:rPr>
          <w:rFonts w:asciiTheme="minorHAnsi" w:eastAsia="Times New Roman" w:hAnsiTheme="minorHAnsi" w:cstheme="minorHAnsi"/>
          <w:sz w:val="24"/>
          <w:szCs w:val="24"/>
          <w:lang w:eastAsia="it-CH"/>
        </w:rPr>
      </w:pPr>
      <w:r w:rsidRPr="007857E2">
        <w:rPr>
          <w:rFonts w:asciiTheme="minorHAnsi" w:eastAsia="Times New Roman" w:hAnsiTheme="minorHAnsi" w:cstheme="minorHAnsi"/>
          <w:sz w:val="24"/>
          <w:szCs w:val="24"/>
          <w:lang w:eastAsia="it-CH"/>
        </w:rPr>
        <w:t>Segnatamente, in relazione alla prima richiesta della mozione, è stata avanzata la proposta di informare annualmente il Parlamento sullo stato di avanzamento del Piano di azione cantonale per le pari opportunità attraverso un rapporto di bilancio intermedio del Cons</w:t>
      </w:r>
      <w:r w:rsidR="00ED1E2D">
        <w:rPr>
          <w:rFonts w:asciiTheme="minorHAnsi" w:eastAsia="Times New Roman" w:hAnsiTheme="minorHAnsi" w:cstheme="minorHAnsi"/>
          <w:sz w:val="24"/>
          <w:szCs w:val="24"/>
          <w:lang w:eastAsia="it-CH"/>
        </w:rPr>
        <w:t>iglio di Stato, trasmesso alle deputate e ai d</w:t>
      </w:r>
      <w:r w:rsidRPr="007857E2">
        <w:rPr>
          <w:rFonts w:asciiTheme="minorHAnsi" w:eastAsia="Times New Roman" w:hAnsiTheme="minorHAnsi" w:cstheme="minorHAnsi"/>
          <w:sz w:val="24"/>
          <w:szCs w:val="24"/>
          <w:lang w:eastAsia="it-CH"/>
        </w:rPr>
        <w:t xml:space="preserve">eputati. </w:t>
      </w:r>
    </w:p>
    <w:p w:rsidR="00ED1E2D" w:rsidRDefault="00ED1E2D" w:rsidP="007857E2">
      <w:pPr>
        <w:rPr>
          <w:rFonts w:asciiTheme="minorHAnsi" w:eastAsia="Times New Roman" w:hAnsiTheme="minorHAnsi" w:cstheme="minorHAnsi"/>
          <w:sz w:val="24"/>
          <w:szCs w:val="24"/>
          <w:lang w:eastAsia="it-CH"/>
        </w:rPr>
      </w:pPr>
    </w:p>
    <w:p w:rsidR="007857E2" w:rsidRPr="007857E2" w:rsidRDefault="007857E2" w:rsidP="007857E2">
      <w:pPr>
        <w:rPr>
          <w:rFonts w:asciiTheme="minorHAnsi" w:eastAsia="Times New Roman" w:hAnsiTheme="minorHAnsi" w:cstheme="minorHAnsi"/>
          <w:sz w:val="24"/>
          <w:szCs w:val="24"/>
          <w:lang w:eastAsia="it-CH"/>
        </w:rPr>
      </w:pPr>
      <w:r w:rsidRPr="007857E2">
        <w:rPr>
          <w:rFonts w:asciiTheme="minorHAnsi" w:eastAsia="Times New Roman" w:hAnsiTheme="minorHAnsi" w:cstheme="minorHAnsi"/>
          <w:sz w:val="24"/>
          <w:szCs w:val="24"/>
          <w:lang w:eastAsia="it-CH"/>
        </w:rPr>
        <w:t>Tale proposta prevedeva inoltre che il o la Presidente del Gran Consiglio, una volta ricevuto il rapporto di bilancio</w:t>
      </w:r>
      <w:r w:rsidR="00ED1E2D">
        <w:rPr>
          <w:rFonts w:asciiTheme="minorHAnsi" w:eastAsia="Times New Roman" w:hAnsiTheme="minorHAnsi" w:cstheme="minorHAnsi"/>
          <w:sz w:val="24"/>
          <w:szCs w:val="24"/>
          <w:lang w:eastAsia="it-CH"/>
        </w:rPr>
        <w:t xml:space="preserve"> intermedio, lo comunicasse ai deputati e alle d</w:t>
      </w:r>
      <w:r w:rsidRPr="007857E2">
        <w:rPr>
          <w:rFonts w:asciiTheme="minorHAnsi" w:eastAsia="Times New Roman" w:hAnsiTheme="minorHAnsi" w:cstheme="minorHAnsi"/>
          <w:sz w:val="24"/>
          <w:szCs w:val="24"/>
          <w:lang w:eastAsia="it-CH"/>
        </w:rPr>
        <w:t xml:space="preserve">eputate, inserendo la tematica nelle comunicazioni ad inizio seduta. Ciò avrebbe permesso al Parlamento di prendere atto della documentazione trasmessa e di formulare le eventuali richieste di approfondimento, senza la necessità di un messaggio specifico da parte del Consiglio di Stato. La proposta non ha raccolto il consenso della maggioranza della Commissione. </w:t>
      </w:r>
    </w:p>
    <w:p w:rsidR="007857E2" w:rsidRPr="007857E2" w:rsidRDefault="007857E2" w:rsidP="007857E2">
      <w:pPr>
        <w:rPr>
          <w:rFonts w:asciiTheme="minorHAnsi" w:eastAsia="Times New Roman" w:hAnsiTheme="minorHAnsi" w:cstheme="minorHAnsi"/>
          <w:sz w:val="24"/>
          <w:szCs w:val="24"/>
          <w:lang w:eastAsia="it-CH"/>
        </w:rPr>
      </w:pPr>
    </w:p>
    <w:p w:rsidR="007857E2" w:rsidRPr="007857E2" w:rsidRDefault="007857E2" w:rsidP="007857E2">
      <w:pPr>
        <w:rPr>
          <w:rFonts w:asciiTheme="minorHAnsi" w:eastAsia="Times New Roman" w:hAnsiTheme="minorHAnsi" w:cstheme="minorHAnsi"/>
          <w:sz w:val="24"/>
          <w:szCs w:val="24"/>
          <w:lang w:eastAsia="it-CH"/>
        </w:rPr>
      </w:pPr>
      <w:r w:rsidRPr="007857E2">
        <w:rPr>
          <w:rFonts w:asciiTheme="minorHAnsi" w:eastAsia="Times New Roman" w:hAnsiTheme="minorHAnsi" w:cstheme="minorHAnsi"/>
          <w:sz w:val="24"/>
          <w:szCs w:val="24"/>
          <w:lang w:eastAsia="it-CH"/>
        </w:rPr>
        <w:br w:type="page"/>
      </w:r>
    </w:p>
    <w:p w:rsidR="007857E2" w:rsidRPr="007857E2" w:rsidRDefault="007857E2" w:rsidP="00ED1E2D">
      <w:pPr>
        <w:pStyle w:val="Titolo1"/>
        <w:tabs>
          <w:tab w:val="left" w:pos="567"/>
        </w:tabs>
        <w:spacing w:before="0"/>
        <w:ind w:left="567" w:hanging="567"/>
        <w:jc w:val="both"/>
        <w:rPr>
          <w:rFonts w:eastAsia="Calibri" w:cs="Times New Roman"/>
          <w:caps/>
          <w:sz w:val="24"/>
          <w:szCs w:val="24"/>
          <w:lang w:val="it-IT" w:eastAsia="it-IT"/>
        </w:rPr>
      </w:pPr>
      <w:r w:rsidRPr="007857E2">
        <w:rPr>
          <w:rFonts w:eastAsia="Calibri" w:cs="Times New Roman"/>
          <w:caps/>
          <w:sz w:val="24"/>
          <w:szCs w:val="24"/>
          <w:lang w:val="it-IT" w:eastAsia="it-IT"/>
        </w:rPr>
        <w:lastRenderedPageBreak/>
        <w:t>7. Conclusioni</w:t>
      </w:r>
    </w:p>
    <w:p w:rsidR="007857E2" w:rsidRPr="007857E2" w:rsidRDefault="007857E2" w:rsidP="007857E2">
      <w:pPr>
        <w:rPr>
          <w:rFonts w:asciiTheme="minorHAnsi" w:eastAsia="Times New Roman" w:hAnsiTheme="minorHAnsi" w:cstheme="minorHAnsi"/>
          <w:sz w:val="24"/>
          <w:szCs w:val="24"/>
          <w:lang w:eastAsia="it-CH"/>
        </w:rPr>
      </w:pPr>
      <w:r w:rsidRPr="007857E2">
        <w:rPr>
          <w:rFonts w:asciiTheme="minorHAnsi" w:eastAsia="Times New Roman" w:hAnsiTheme="minorHAnsi" w:cstheme="minorHAnsi"/>
          <w:sz w:val="24"/>
          <w:szCs w:val="24"/>
          <w:lang w:eastAsia="it-CH"/>
        </w:rPr>
        <w:t>Alla luce di quanto esposto la minoranza della Commissione Costituzione e leggi invita il Gran Consiglio ad accogliere la mozione in oggetto.</w:t>
      </w:r>
    </w:p>
    <w:p w:rsidR="007857E2" w:rsidRPr="007857E2" w:rsidRDefault="007857E2" w:rsidP="007857E2">
      <w:pPr>
        <w:rPr>
          <w:rFonts w:asciiTheme="minorHAnsi" w:eastAsia="Times New Roman" w:hAnsiTheme="minorHAnsi" w:cstheme="minorHAnsi"/>
          <w:sz w:val="24"/>
          <w:szCs w:val="24"/>
          <w:lang w:eastAsia="it-CH"/>
        </w:rPr>
      </w:pPr>
    </w:p>
    <w:p w:rsidR="007857E2" w:rsidRDefault="007857E2" w:rsidP="007857E2">
      <w:pPr>
        <w:ind w:right="-1"/>
        <w:jc w:val="left"/>
        <w:rPr>
          <w:rFonts w:asciiTheme="minorHAnsi" w:hAnsiTheme="minorHAnsi" w:cstheme="minorHAnsi"/>
          <w:sz w:val="24"/>
          <w:szCs w:val="24"/>
          <w:lang w:eastAsia="it-CH"/>
        </w:rPr>
      </w:pPr>
    </w:p>
    <w:p w:rsidR="00ED1E2D" w:rsidRPr="007857E2" w:rsidRDefault="00ED1E2D" w:rsidP="007857E2">
      <w:pPr>
        <w:ind w:right="-1"/>
        <w:jc w:val="left"/>
        <w:rPr>
          <w:rFonts w:asciiTheme="minorHAnsi" w:hAnsiTheme="minorHAnsi" w:cstheme="minorHAnsi"/>
          <w:sz w:val="24"/>
          <w:szCs w:val="24"/>
          <w:lang w:eastAsia="it-CH"/>
        </w:rPr>
      </w:pPr>
    </w:p>
    <w:p w:rsidR="007857E2" w:rsidRPr="007857E2" w:rsidRDefault="007857E2" w:rsidP="00ED1E2D">
      <w:pPr>
        <w:spacing w:after="120"/>
        <w:jc w:val="left"/>
        <w:rPr>
          <w:rFonts w:asciiTheme="minorHAnsi" w:hAnsiTheme="minorHAnsi" w:cstheme="minorHAnsi"/>
          <w:sz w:val="24"/>
          <w:szCs w:val="24"/>
          <w:lang w:eastAsia="it-CH"/>
        </w:rPr>
      </w:pPr>
      <w:r w:rsidRPr="007857E2">
        <w:rPr>
          <w:rFonts w:asciiTheme="minorHAnsi" w:hAnsiTheme="minorHAnsi" w:cstheme="minorHAnsi"/>
          <w:sz w:val="24"/>
          <w:szCs w:val="24"/>
          <w:lang w:eastAsia="it-CH"/>
        </w:rPr>
        <w:t>Per la minoranza della Commissione Costituzione e leggi</w:t>
      </w:r>
      <w:r w:rsidR="00ED1E2D">
        <w:rPr>
          <w:rFonts w:asciiTheme="minorHAnsi" w:hAnsiTheme="minorHAnsi" w:cstheme="minorHAnsi"/>
          <w:sz w:val="24"/>
          <w:szCs w:val="24"/>
          <w:lang w:eastAsia="it-CH"/>
        </w:rPr>
        <w:t>:</w:t>
      </w:r>
    </w:p>
    <w:p w:rsidR="007857E2" w:rsidRPr="007857E2" w:rsidRDefault="007857E2" w:rsidP="007857E2">
      <w:pPr>
        <w:ind w:right="-1"/>
        <w:jc w:val="left"/>
        <w:rPr>
          <w:rFonts w:asciiTheme="minorHAnsi" w:hAnsiTheme="minorHAnsi" w:cstheme="minorHAnsi"/>
          <w:sz w:val="24"/>
          <w:szCs w:val="24"/>
          <w:lang w:eastAsia="it-CH"/>
        </w:rPr>
      </w:pPr>
      <w:r w:rsidRPr="007857E2">
        <w:rPr>
          <w:rFonts w:asciiTheme="minorHAnsi" w:hAnsiTheme="minorHAnsi" w:cstheme="minorHAnsi"/>
          <w:sz w:val="24"/>
          <w:szCs w:val="24"/>
          <w:lang w:eastAsia="it-CH"/>
        </w:rPr>
        <w:t>Roberta Passardi, relatrice</w:t>
      </w:r>
    </w:p>
    <w:p w:rsidR="007857E2" w:rsidRPr="007857E2" w:rsidRDefault="007857E2" w:rsidP="007857E2">
      <w:pPr>
        <w:rPr>
          <w:rFonts w:asciiTheme="minorHAnsi" w:eastAsia="Times New Roman" w:hAnsiTheme="minorHAnsi" w:cstheme="minorHAnsi"/>
          <w:sz w:val="24"/>
          <w:szCs w:val="24"/>
          <w:lang w:eastAsia="it-CH"/>
        </w:rPr>
      </w:pPr>
      <w:r w:rsidRPr="007857E2">
        <w:rPr>
          <w:rFonts w:asciiTheme="minorHAnsi" w:eastAsia="Times New Roman" w:hAnsiTheme="minorHAnsi" w:cstheme="minorHAnsi"/>
          <w:sz w:val="24"/>
          <w:szCs w:val="24"/>
          <w:lang w:eastAsia="it-CH"/>
        </w:rPr>
        <w:t>Boscolo - Gendotti - Ghisolfi - Lepori - Petralli</w:t>
      </w:r>
    </w:p>
    <w:p w:rsidR="007857E2" w:rsidRPr="007857E2" w:rsidRDefault="007857E2" w:rsidP="007857E2">
      <w:pPr>
        <w:ind w:right="-1"/>
        <w:jc w:val="left"/>
        <w:rPr>
          <w:rFonts w:asciiTheme="minorHAnsi" w:hAnsiTheme="minorHAnsi" w:cstheme="minorHAnsi"/>
          <w:sz w:val="24"/>
          <w:szCs w:val="24"/>
          <w:lang w:eastAsia="it-CH"/>
        </w:rPr>
      </w:pPr>
    </w:p>
    <w:p w:rsidR="007857E2" w:rsidRPr="007857E2" w:rsidRDefault="007857E2" w:rsidP="00D33940">
      <w:pPr>
        <w:pStyle w:val="StandardRisoluzionedelConsigliodiStato"/>
        <w:ind w:right="-1"/>
      </w:pPr>
    </w:p>
    <w:sectPr w:rsidR="007857E2" w:rsidRPr="007857E2"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7E2" w:rsidRDefault="007857E2" w:rsidP="00F657BF">
      <w:r>
        <w:separator/>
      </w:r>
    </w:p>
  </w:endnote>
  <w:endnote w:type="continuationSeparator" w:id="0">
    <w:p w:rsidR="007857E2" w:rsidRDefault="007857E2"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92380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923807" w:rsidP="00912E34">
          <w:pPr>
            <w:tabs>
              <w:tab w:val="center" w:pos="2382"/>
            </w:tabs>
          </w:pPr>
        </w:p>
      </w:tc>
      <w:tc>
        <w:tcPr>
          <w:tcW w:w="721" w:type="dxa"/>
        </w:tcPr>
        <w:p w:rsidR="00912E34" w:rsidRPr="003D1008" w:rsidRDefault="00D37FFA"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D37FFA"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923807"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923807">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7E2" w:rsidRDefault="007857E2" w:rsidP="00F657BF">
      <w:r>
        <w:separator/>
      </w:r>
    </w:p>
  </w:footnote>
  <w:footnote w:type="continuationSeparator" w:id="0">
    <w:p w:rsidR="007857E2" w:rsidRDefault="007857E2"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92380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D0865672-343A-424A-9855-AE93D12A2B0F}"/>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2755CC" w:rsidP="00A532F6">
              <w:pPr>
                <w:pStyle w:val="Page"/>
                <w:rPr>
                  <w:rFonts w:ascii="Gill Alt One MT Light" w:hAnsi="Gill Alt One MT Light"/>
                  <w:sz w:val="16"/>
                  <w:szCs w:val="16"/>
                </w:rPr>
              </w:pPr>
              <w:r>
                <w:rPr>
                  <w:rFonts w:ascii="Gill Alt One MT Light" w:hAnsi="Gill Alt One MT Light"/>
                  <w:sz w:val="16"/>
                  <w:szCs w:val="16"/>
                </w:rPr>
                <w:t>Cancelleria dello Stato</w:t>
              </w:r>
              <w:r>
                <w:rPr>
                  <w:rFonts w:ascii="Gill Alt One MT Light" w:hAnsi="Gill Alt One MT Light"/>
                  <w:sz w:val="16"/>
                  <w:szCs w:val="16"/>
                </w:rPr>
                <w:br/>
                <w:t>Dipartimento delle finanze e dell'economia</w:t>
              </w:r>
            </w:p>
          </w:tc>
        </w:sdtContent>
      </w:sdt>
      <w:tc>
        <w:tcPr>
          <w:tcW w:w="1710" w:type="dxa"/>
          <w:tcBorders>
            <w:bottom w:val="single" w:sz="4" w:space="0" w:color="auto"/>
          </w:tcBorders>
          <w:vAlign w:val="bottom"/>
        </w:tcPr>
        <w:p w:rsidR="005012EC" w:rsidRPr="004204CB" w:rsidRDefault="00D37FFA"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923807">
            <w:rPr>
              <w:noProof/>
              <w:sz w:val="24"/>
            </w:rPr>
            <w:t>6</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923807">
            <w:rPr>
              <w:noProof/>
              <w:sz w:val="24"/>
            </w:rPr>
            <w:t>6</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D0865672-343A-424A-9855-AE93D12A2B0F}"/>
          <w:text w:multiLine="1"/>
        </w:sdtPr>
        <w:sdtEndPr/>
        <w:sdtContent>
          <w:tc>
            <w:tcPr>
              <w:tcW w:w="8383" w:type="dxa"/>
              <w:tcBorders>
                <w:left w:val="single" w:sz="4" w:space="0" w:color="auto"/>
              </w:tcBorders>
              <w:tcMar>
                <w:top w:w="0" w:type="dxa"/>
                <w:left w:w="142" w:type="dxa"/>
              </w:tcMar>
            </w:tcPr>
            <w:p w:rsidR="005012EC" w:rsidRPr="007857E2" w:rsidRDefault="002755CC"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minoranza n. 8151 R2 del 3 ottobre 2023</w:t>
              </w:r>
            </w:p>
          </w:tc>
        </w:sdtContent>
      </w:sdt>
      <w:tc>
        <w:tcPr>
          <w:tcW w:w="1710" w:type="dxa"/>
          <w:tcBorders>
            <w:top w:val="single" w:sz="4" w:space="0" w:color="auto"/>
          </w:tcBorders>
        </w:tcPr>
        <w:p w:rsidR="005012EC" w:rsidRPr="007857E2" w:rsidRDefault="00923807" w:rsidP="00662409">
          <w:pPr>
            <w:pStyle w:val="InvisibleLine"/>
            <w:rPr>
              <w:lang w:val="it-CH"/>
            </w:rPr>
          </w:pPr>
        </w:p>
      </w:tc>
    </w:tr>
  </w:tbl>
  <w:p w:rsidR="00F657BF" w:rsidRPr="00980362" w:rsidRDefault="00D37FFA"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D0865672-343A-424A-9855-AE93D12A2B0F}"/>
                            <w:text w:multiLine="1"/>
                          </w:sdtPr>
                          <w:sdtEndPr/>
                          <w:sdtContent>
                            <w:p w:rsidR="008065E8" w:rsidRPr="00411371" w:rsidRDefault="00D37FFA"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F2951A8E-CB26-4ABA-8DCA-828BBE3EB6FC}"/>
                      <w:text w:multiLine="1"/>
                    </w:sdtPr>
                    <w:sdtEndPr/>
                    <w:sdtContent>
                      <w:p w:rsidR="008065E8" w:rsidRPr="00411371" w:rsidRDefault="00D37FFA"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923807" w:rsidP="00D07D6E">
          <w:pPr>
            <w:pStyle w:val="InvisibleLine"/>
            <w:ind w:left="150"/>
            <w:rPr>
              <w:sz w:val="16"/>
            </w:rPr>
          </w:pPr>
        </w:p>
      </w:tc>
      <w:tc>
        <w:tcPr>
          <w:tcW w:w="373" w:type="pct"/>
          <w:tcBorders>
            <w:top w:val="nil"/>
            <w:bottom w:val="single" w:sz="4" w:space="0" w:color="auto"/>
          </w:tcBorders>
          <w:vAlign w:val="bottom"/>
        </w:tcPr>
        <w:p w:rsidR="00662409" w:rsidRPr="003108C0" w:rsidRDefault="00923807" w:rsidP="00D07D6E">
          <w:pPr>
            <w:pStyle w:val="Level"/>
            <w:ind w:left="150"/>
            <w:rPr>
              <w:sz w:val="16"/>
            </w:rPr>
          </w:pPr>
        </w:p>
      </w:tc>
      <w:tc>
        <w:tcPr>
          <w:tcW w:w="209" w:type="pct"/>
          <w:tcBorders>
            <w:top w:val="nil"/>
            <w:bottom w:val="single" w:sz="4" w:space="0" w:color="auto"/>
          </w:tcBorders>
        </w:tcPr>
        <w:p w:rsidR="00662409" w:rsidRDefault="00D37FFA"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668370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D37FFA"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923807">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923807">
            <w:rPr>
              <w:rFonts w:asciiTheme="minorHAnsi" w:hAnsiTheme="minorHAnsi" w:cstheme="minorHAnsi"/>
              <w:noProof/>
              <w:sz w:val="24"/>
            </w:rPr>
            <w:t>6</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D0865672-343A-424A-9855-AE93D12A2B0F}"/>
          <w:text w:multiLine="1"/>
        </w:sdtPr>
        <w:sdtEndPr/>
        <w:sdtContent>
          <w:tc>
            <w:tcPr>
              <w:tcW w:w="5000" w:type="pct"/>
              <w:gridSpan w:val="6"/>
              <w:tcBorders>
                <w:left w:val="nil"/>
                <w:right w:val="nil"/>
              </w:tcBorders>
              <w:noWrap/>
              <w:tcMar>
                <w:top w:w="0" w:type="dxa"/>
              </w:tcMar>
              <w:vAlign w:val="bottom"/>
            </w:tcPr>
            <w:p w:rsidR="00662409" w:rsidRPr="008C03B5" w:rsidRDefault="002755CC"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minoranza</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D37FFA"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923807"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D37FFA"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923807"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D37FFA"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923807"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923807"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D0865672-343A-424A-9855-AE93D12A2B0F}"/>
              <w:text w:multiLine="1"/>
            </w:sdtPr>
            <w:sdtEndPr/>
            <w:sdtContent>
              <w:r w:rsidR="002755CC">
                <w:rPr>
                  <w:rFonts w:cstheme="minorHAnsi"/>
                  <w:b/>
                  <w:sz w:val="24"/>
                  <w:szCs w:val="24"/>
                </w:rPr>
                <w:t>8151 R2</w:t>
              </w:r>
            </w:sdtContent>
          </w:sdt>
        </w:p>
      </w:tc>
      <w:sdt>
        <w:sdtPr>
          <w:rPr>
            <w:sz w:val="24"/>
          </w:rPr>
          <w:alias w:val="DocParam.Date"/>
          <w:id w:val="-464426178"/>
          <w:dataBinding w:xpath="//DateTime[@id='DocParam.Date']" w:storeItemID="{D0865672-343A-424A-9855-AE93D12A2B0F}"/>
          <w:date w:fullDate="2023-10-03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2755CC" w:rsidP="00A532F6">
              <w:pPr>
                <w:pStyle w:val="Data"/>
              </w:pPr>
              <w:r>
                <w:rPr>
                  <w:sz w:val="24"/>
                </w:rPr>
                <w:t>3 ottobre 2023</w:t>
              </w:r>
            </w:p>
          </w:tc>
        </w:sdtContent>
      </w:sdt>
      <w:tc>
        <w:tcPr>
          <w:tcW w:w="3218" w:type="pct"/>
          <w:gridSpan w:val="4"/>
          <w:tcBorders>
            <w:top w:val="nil"/>
            <w:left w:val="nil"/>
            <w:bottom w:val="nil"/>
            <w:right w:val="nil"/>
          </w:tcBorders>
        </w:tcPr>
        <w:p w:rsidR="008C03B5" w:rsidRPr="00BE22A2" w:rsidRDefault="00923807"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D0865672-343A-424A-9855-AE93D12A2B0F}"/>
              <w:text w:multiLine="1"/>
            </w:sdtPr>
            <w:sdtEndPr/>
            <w:sdtContent>
              <w:r w:rsidR="002755CC">
                <w:rPr>
                  <w:smallCaps/>
                  <w:sz w:val="23"/>
                  <w:szCs w:val="23"/>
                </w:rPr>
                <w:t>Cancelleria dello Stato</w:t>
              </w:r>
              <w:r w:rsidR="002755CC">
                <w:rPr>
                  <w:smallCaps/>
                  <w:sz w:val="23"/>
                  <w:szCs w:val="23"/>
                </w:rPr>
                <w:br/>
                <w:t>Dipartimento delle finanze e dell'economia</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923807" w:rsidP="00D07D6E">
          <w:pPr>
            <w:pStyle w:val="Level"/>
            <w:ind w:left="150"/>
            <w:rPr>
              <w:rFonts w:ascii="Gill Alt One MT Light" w:hAnsi="Gill Alt One MT Light"/>
              <w:sz w:val="16"/>
              <w:szCs w:val="16"/>
            </w:rPr>
          </w:pPr>
        </w:p>
      </w:tc>
    </w:tr>
  </w:tbl>
  <w:p w:rsidR="00F657BF" w:rsidRPr="00DA2879" w:rsidRDefault="00D37FFA"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516507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D0865672-343A-424A-9855-AE93D12A2B0F}"/>
                            <w:text w:multiLine="1"/>
                          </w:sdtPr>
                          <w:sdtEndPr/>
                          <w:sdtContent>
                            <w:p w:rsidR="00E93620" w:rsidRPr="00411371" w:rsidRDefault="00D37FFA"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F2951A8E-CB26-4ABA-8DCA-828BBE3EB6FC}"/>
                      <w:text w:multiLine="1"/>
                    </w:sdtPr>
                    <w:sdtEndPr/>
                    <w:sdtContent>
                      <w:p w:rsidR="00E93620" w:rsidRPr="00411371" w:rsidRDefault="00D37FFA"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02E1F"/>
    <w:multiLevelType w:val="hybridMultilevel"/>
    <w:tmpl w:val="D08ACB64"/>
    <w:lvl w:ilvl="0" w:tplc="08100011">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BA769F5"/>
    <w:multiLevelType w:val="multilevel"/>
    <w:tmpl w:val="502CF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D524CC"/>
    <w:multiLevelType w:val="multilevel"/>
    <w:tmpl w:val="953CA1B2"/>
    <w:numStyleLink w:val="HeadingList"/>
  </w:abstractNum>
  <w:abstractNum w:abstractNumId="19" w15:restartNumberingAfterBreak="0">
    <w:nsid w:val="507F5685"/>
    <w:multiLevelType w:val="multilevel"/>
    <w:tmpl w:val="F4445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BC70EF"/>
    <w:multiLevelType w:val="multilevel"/>
    <w:tmpl w:val="B956B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0D1B62"/>
    <w:multiLevelType w:val="multilevel"/>
    <w:tmpl w:val="8A7E8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BC1AC9"/>
    <w:multiLevelType w:val="hybridMultilevel"/>
    <w:tmpl w:val="938CFA4E"/>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2"/>
  </w:num>
  <w:num w:numId="2">
    <w:abstractNumId w:val="18"/>
    <w:lvlOverride w:ilvl="0">
      <w:lvl w:ilvl="0">
        <w:start w:val="1"/>
        <w:numFmt w:val="decimal"/>
        <w:lvlText w:val="%1"/>
        <w:lvlJc w:val="left"/>
        <w:pPr>
          <w:ind w:left="363" w:hanging="363"/>
        </w:pPr>
        <w:rPr>
          <w:rFonts w:ascii="Arial" w:hAnsi="Arial" w:cs="Arial" w:hint="default"/>
        </w:rPr>
      </w:lvl>
    </w:lvlOverride>
  </w:num>
  <w:num w:numId="3">
    <w:abstractNumId w:val="11"/>
  </w:num>
  <w:num w:numId="4">
    <w:abstractNumId w:val="17"/>
  </w:num>
  <w:num w:numId="5">
    <w:abstractNumId w:val="16"/>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0"/>
  </w:num>
  <w:num w:numId="19">
    <w:abstractNumId w:val="21"/>
  </w:num>
  <w:num w:numId="20">
    <w:abstractNumId w:val="19"/>
  </w:num>
  <w:num w:numId="21">
    <w:abstractNumId w:val="10"/>
  </w:num>
  <w:num w:numId="22">
    <w:abstractNumId w:val="22"/>
  </w:num>
  <w:num w:numId="23">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7E2"/>
    <w:rsid w:val="002755CC"/>
    <w:rsid w:val="002B5D9F"/>
    <w:rsid w:val="002B64A1"/>
    <w:rsid w:val="003B756D"/>
    <w:rsid w:val="00403ADB"/>
    <w:rsid w:val="00493F2A"/>
    <w:rsid w:val="00533EB9"/>
    <w:rsid w:val="00572FD3"/>
    <w:rsid w:val="006C7CBB"/>
    <w:rsid w:val="007857E2"/>
    <w:rsid w:val="008720C4"/>
    <w:rsid w:val="008F52AF"/>
    <w:rsid w:val="009213D2"/>
    <w:rsid w:val="00923807"/>
    <w:rsid w:val="009C5E5A"/>
    <w:rsid w:val="009E601C"/>
    <w:rsid w:val="00AF0268"/>
    <w:rsid w:val="00BF0A1F"/>
    <w:rsid w:val="00C138AF"/>
    <w:rsid w:val="00D33940"/>
    <w:rsid w:val="00D37FFA"/>
    <w:rsid w:val="00D600FD"/>
    <w:rsid w:val="00D627C6"/>
    <w:rsid w:val="00D649A8"/>
    <w:rsid w:val="00E3763D"/>
    <w:rsid w:val="00EB088A"/>
    <w:rsid w:val="00ED1E2D"/>
    <w:rsid w:val="00F233AE"/>
    <w:rsid w:val="00F657BF"/>
    <w:rsid w:val="00F814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AE99441-C14A-48D7-BD40-9F3BF392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493F2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93F2A"/>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ecdb46eb-db22-4d1b-bb8c-805a5e05e60c.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668370373</Id>
      <Width>0</Width>
      <Height>0</Height>
      <XPath>//Image[@id='Profile.Org.WappenSW']</XPath>
      <ImageHash>02f1c0cdac6aeac316213b2e7cb733a0</ImageHash>
    </ImageSizeDefinition>
    <ImageSizeDefinition>
      <Id>1516507494</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e 7 5 4 f 1 4 7 - f e d 7 - 4 6 0 3 - b 0 4 7 - 8 0 d f 9 3 4 4 e 9 4 3 "   t I d = " a 3 6 2 a 5 d 4 - 9 5 8 9 - 4 1 b f - a 4 e 6 - 4 f 8 7 c 4 e 4 1 2 3 9 "   i n t e r n a l T I d = " 9 0 6 4 c c 7 f - 3 1 6 d - 4 6 b 1 - a 4 a c - 7 4 8 6 0 c 3 f 8 a 5 b "   m t I d = " 2 7 5 a f 3 2 e - b c 4 0 - 4 5 c 2 - 8 5 b 7 - a f b 1 c 0 3 8 2 6 5 3 "   r e v i s i o n = " 0 "   c r e a t e d m a j o r v e r s i o n = " 0 "   c r e a t e d m i n o r v e r s i o n = " 0 "   c r e a t e d = " 2 0 2 3 - 1 0 - 0 3 T 1 2 : 1 8 : 5 6 . 3 7 7 1 1 0 5 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 2 0 2 3 - 1 0 - 0 3 T 0 0 : 0 0 : 0 0 Z < / D a t e T i m e >  
                 < T e x t   i d = " D o c P a r a m . N u m b e r " > < ! [ C D A T A [ 8 1 5 1   R 2 ] ] > < / T e x t >  
                 < T e x t   i d = " D o c P a r a m . D o c u m e n t o " > < ! [ C D A T A [ R a p p o r t o   d i   m i n o r a n z a ] ] > < / T e x t >  
                 < T e x t   i d = " D o c P a r a m . A g g i u n t a D o c "   t o o l t i p = " ( e s .   b i s ,   a g g i u n t i v o ,   a g g i u n t i v o   b i s ,   1 ,   2   e c c . ) " > < ! [ C D A T A [   ] ] > < / T e x t >  
                 < T e x t   i d = " D o c P a r a m . D i p a r t i m e n t i " > < ! [ C D A T A [ C a n c e l l e r i a   d e l l o   S t a t o ] ] > < / T e x t >  
                 < T e x t   i d = " D o c P a r a m . A l t r i D i p a r t i m e n t i " > < ! [ C D A T A [ D i p a r t i m e n t o   d e l l e   f i n a n z e   e   d e l l ' e c o n o m i a ] ] > < / T e x t >  
             < / P a r a m e t e r >  
             < S c r i p t i n g >  
                 < T e x t   i d = " C u s t o m E l e m e n t s . S u b T e m p l a t e . L a n d s c a p e . H e a d e r . O r g I n f o s "   l a b e l = " C u s t o m E l e m e n t s . S u b T e m p l a t e . L a n d s c a p e . H e a d e r . O r g I n f o s " > < ! [ C D A T A [ C a n c e l l e r i a   d e l l o   S t a t o  
 D i p a r t i m e n t o   d e l l e   f i n a n z e   e   d e l l ' e c o n o m i a ] ] > < / T e x t >  
                 < T e x t   i d = " C u s t o m E l e m e n t s . S u b T e m p l a t e . L a n d s c a p e . H e a d e r . T i t o l o "   l a b e l = " C u s t o m E l e m e n t s . S u b T e m p l a t e . L a n d s c a p e . H e a d e r . T i t o l o " > < ! [ C D A T A [ R a p p o r t o   d i   m i n o r a n z a   n .   8 1 5 1   R 2   d e l   0 3   o t t o b r e   2 0 2 3 ] ] > < / T e x t >  
                 < T e x t   i d = " C u s t o m E l e m e n t s . T e x t s . D r a f t "   l a b e l = " C u s t o m E l e m e n t s . T e x t s . D r a f t " > < ! [ C D A T A [ B o z z a ] ] > < / T e x t >  
                 < T e x t   i d = " C u s t o m E l e m e n t s . F i e l d s . D i p a r t i m e n t i "   l a b e l = " C u s t o m E l e m e n t s . F i e l d s . D i p a r t i m e n t i " > < ! [ C D A T A [ C a n c e l l e r i a   d e l l o   S t a t o  
 D i p a r t i m e n t o   d e l l e   f i n a n z e   e   d e l l ' e c o n o m i a ] ] > < / T e x t >  
                 < T e x t   i d = " C u s t o m E l e m e n t s . F i e l d s . T i t o l o 1 "   l a b e l = " C u s t o m E l e m e n t s . F i e l d s . T i t o l o 1 " > < ! [ C D A T A [ R a p p o r t o   d i   m i n o r a n z a ] ] > < / T e x t >  
                 < T e x t   i d = " C u s t o m E l e m e n t s . F i e l d s . T i t o l o 2 "   l a b e l = " C u s t o m E l e m e n t s . F i e l d s . T i t o l o 2 " > < ! [ C D A T A [ R a p p o r t o   d i   m i n o r a n z a   n .   8 1 5 1   R 2   d e l   3   o t t o b r e   2 0 2 3 ] ] > < / 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07D28935-718A-414E-A158-EF41972CDBAA}">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D0865672-343A-424A-9855-AE93D12A2B0F}">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ecdb46eb-db22-4d1b-bb8c-805a5e05e60c.dotx</Template>
  <TotalTime>15</TotalTime>
  <Pages>6</Pages>
  <Words>2094</Words>
  <Characters>11939</Characters>
  <Application>Microsoft Office Word</Application>
  <DocSecurity>0</DocSecurity>
  <Lines>99</Lines>
  <Paragraphs>28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14</cp:revision>
  <cp:lastPrinted>2023-10-13T07:11:00Z</cp:lastPrinted>
  <dcterms:created xsi:type="dcterms:W3CDTF">2023-10-03T12:19:00Z</dcterms:created>
  <dcterms:modified xsi:type="dcterms:W3CDTF">2023-10-24T07:58:00Z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