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F" w:rsidRDefault="002F2AE1" w:rsidP="00D33940">
      <w:pPr>
        <w:pStyle w:val="StandardRisoluzionedelConsigliodiStato"/>
        <w:ind w:right="-1"/>
        <w:rPr>
          <w:b/>
          <w:sz w:val="28"/>
          <w:szCs w:val="28"/>
        </w:rPr>
      </w:pPr>
      <w:bookmarkStart w:id="0" w:name="_GoBack"/>
      <w:bookmarkEnd w:id="0"/>
      <w:r w:rsidRPr="002F2AE1">
        <w:rPr>
          <w:b/>
          <w:sz w:val="28"/>
          <w:szCs w:val="28"/>
        </w:rPr>
        <w:t xml:space="preserve">della Commissione formazione e cultura </w:t>
      </w:r>
    </w:p>
    <w:p w:rsidR="002F2AE1" w:rsidRPr="002F2AE1" w:rsidRDefault="002F2AE1" w:rsidP="00D33940">
      <w:pPr>
        <w:pStyle w:val="StandardRisoluzionedelConsigliodiStato"/>
        <w:ind w:right="-1"/>
        <w:rPr>
          <w:b/>
          <w:szCs w:val="24"/>
        </w:rPr>
      </w:pPr>
      <w:r>
        <w:rPr>
          <w:b/>
          <w:sz w:val="28"/>
          <w:szCs w:val="28"/>
        </w:rPr>
        <w:t>sul messaggio 2 agosto 2023 concernente la m</w:t>
      </w:r>
      <w:r w:rsidRPr="002F2AE1">
        <w:rPr>
          <w:b/>
          <w:sz w:val="28"/>
          <w:szCs w:val="28"/>
        </w:rPr>
        <w:t>odifica della Legge sull’orientamento scolastico e professionale e sulla formazione professionale e continua (Lorform) del 4 febbraio 1998 – Abbandono del fondo per il parziale finanziamento federale degli investimenti nel settore</w:t>
      </w:r>
      <w:r>
        <w:rPr>
          <w:b/>
          <w:sz w:val="28"/>
          <w:szCs w:val="28"/>
        </w:rPr>
        <w:t xml:space="preserve"> della formazione professionale</w:t>
      </w:r>
    </w:p>
    <w:p w:rsidR="002F2AE1" w:rsidRDefault="002F2AE1" w:rsidP="00D33940">
      <w:pPr>
        <w:pStyle w:val="StandardRisoluzionedelConsigliodiStato"/>
        <w:ind w:right="-1"/>
        <w:rPr>
          <w:b/>
          <w:szCs w:val="24"/>
        </w:rPr>
      </w:pPr>
    </w:p>
    <w:p w:rsidR="002F2AE1" w:rsidRPr="002F2AE1" w:rsidRDefault="002F2AE1" w:rsidP="00D33940">
      <w:pPr>
        <w:pStyle w:val="StandardRisoluzionedelConsigliodiStato"/>
        <w:ind w:right="-1"/>
        <w:rPr>
          <w:b/>
          <w:szCs w:val="24"/>
        </w:rPr>
      </w:pPr>
    </w:p>
    <w:p w:rsidR="002F2AE1" w:rsidRPr="002F2AE1" w:rsidRDefault="002F2AE1" w:rsidP="002F2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rFonts w:eastAsia="Arial" w:cs="Arial"/>
          <w:b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b/>
          <w:sz w:val="24"/>
          <w:szCs w:val="24"/>
          <w:u w:color="000000"/>
          <w:lang w:val="it-IT" w:eastAsia="it-IT"/>
        </w:rPr>
        <w:t>PREMESSA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>Con l’adozione il 13 dicembre 2002 da parte dell’Assemblea federale della Legge federale sulla formazione professionale (LFPr), entrata in vigore il 1° gennaio 2004, il sistema dei contributi finanziari riconosciuti dalla Confederazione per il sostegno della formazione professionale è cambiato, passando da un sistema di contributi orientati alla spesa a contributi forfetari, versati per ogni persona in formazione nella formazione professionale di base e, contestualmente a questo cambiamento, la Confederazione ha soppresso i contributi diretti sugli investimenti per la formazione professionale, salvo per le opere rientrate nella fase di transizione.</w:t>
      </w:r>
    </w:p>
    <w:p w:rsidR="002F2AE1" w:rsidRPr="002F2AE1" w:rsidRDefault="002F2AE1" w:rsidP="002F2AE1">
      <w:pPr>
        <w:rPr>
          <w:rFonts w:eastAsia="Arial" w:cs="Arial Unicode MS"/>
          <w:sz w:val="20"/>
          <w:szCs w:val="20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0"/>
          <w:szCs w:val="20"/>
          <w:u w:color="000000"/>
          <w:lang w:val="it-IT" w:eastAsia="it-IT"/>
        </w:rPr>
      </w:pPr>
    </w:p>
    <w:p w:rsidR="002F2AE1" w:rsidRPr="002F2AE1" w:rsidRDefault="002F2AE1" w:rsidP="002F2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rFonts w:eastAsia="Arial" w:cs="Arial"/>
          <w:b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b/>
          <w:bCs/>
          <w:color w:val="000000"/>
          <w:sz w:val="24"/>
          <w:szCs w:val="24"/>
          <w:u w:color="000000"/>
          <w:lang w:val="it-IT" w:eastAsia="it-IT"/>
        </w:rPr>
        <w:t>DESCRIZIONE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>La presente richiesta di modifica legislativa sottoposta ha lo scopo di adattare il diritto cantonale alla LFPr del 13 dicembre 2002, legge entrata in vigore il 1° gennaio 2004, che ha sancito il cambio di paradigma del sistema dei contributi finanziari riconosciuti dalla Confederazione per il sostegno della formazione professionale che è passato da una struttura organizzata con l’erogazione di contributi orientati alla spesa a contributi forfetari. Contributi versati per ogni persona in formazione nella formazione professionale di base. Modifica che ha portato per analogia diretta la Confederazione a sopprimere i contributi diretti sugli investimenti per la formazione professionale, salvo per le opere rientrate nella fase di transizione.</w:t>
      </w:r>
    </w:p>
    <w:p w:rsidR="002F2AE1" w:rsidRPr="002F2AE1" w:rsidRDefault="002F2AE1" w:rsidP="002F2AE1">
      <w:pPr>
        <w:rPr>
          <w:rFonts w:eastAsia="Arial" w:cs="Arial Unicode MS"/>
          <w:sz w:val="20"/>
          <w:szCs w:val="20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>Fase di transizione, non priva di ripercussioni anche critiche per il nostro Cantone ed i suoi diversi enti formativi ma che ormai è assunta a prassi operativa consolidata per l’intero sistema. Un nuovo quadro legislativo che aveva portato il Consiglio di Stato il 26 aprile 2005 a licenziare il messaggio n. 5645 e approvato dal Parlamento in data 17 ottobre 2006, con la conseguente costituzione nel bilancio dello Stato di un fondo per il parziale finanziamento federale degli investimenti del Cantone e delle organizzazioni del mondo del lavoro (OML). Fondo alimentato dal 10% dell’importo complessivo annuale degli importi forfetari proveniente dalla Confederazione, principio codificato all’art. 34 cpv. 4 Lorform.</w:t>
      </w:r>
    </w:p>
    <w:p w:rsidR="002F2AE1" w:rsidRPr="002F2AE1" w:rsidRDefault="002F2AE1" w:rsidP="002F2AE1">
      <w:pPr>
        <w:rPr>
          <w:rFonts w:eastAsia="Arial" w:cs="Arial Unicode MS"/>
          <w:sz w:val="20"/>
          <w:szCs w:val="20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 xml:space="preserve">Il fondo, attivo dal 2008, ha permesso negli anni di utilizzare in 15 anni 28 milioni di franchi della Confederazione a favore di investimenti relativi a costruzioni o attrezzature </w:t>
      </w: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lastRenderedPageBreak/>
        <w:t>tecniche/didattiche della formazione professionale del Cantone e delle OML, facendo da un lato risparmiare il Cantone in termini di crediti per investimenti, ma sottraendo d’altro canto pari importo al finanziamento della formazione professionale di base e superiore. Un fondo che di principio oggi ha esaurito il suo compito a completa transizione di sistema avvenuta.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567" w:hanging="567"/>
        <w:rPr>
          <w:rFonts w:eastAsia="Arial" w:cs="Arial"/>
          <w:b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b/>
          <w:bCs/>
          <w:color w:val="000000"/>
          <w:sz w:val="24"/>
          <w:szCs w:val="24"/>
          <w:u w:color="000000"/>
          <w:lang w:val="it-IT" w:eastAsia="it-IT"/>
        </w:rPr>
        <w:t>RICHIESTA MODIFICA</w:t>
      </w:r>
    </w:p>
    <w:p w:rsidR="002F2AE1" w:rsidRPr="002F2AE1" w:rsidRDefault="002F2AE1" w:rsidP="002F2AE1">
      <w:pPr>
        <w:tabs>
          <w:tab w:val="left" w:pos="7080"/>
          <w:tab w:val="right" w:pos="9600"/>
        </w:tabs>
        <w:ind w:right="-48"/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Alla luce delle considerazioni su esposte, il Consiglio di Stato chiede un adattamento legislativo che prevede che gli investimenti nella formazione professionale per costruzioni o attrezzature debbano essere assunti direttamente dal Cantone, come accade per tutti gli altri servizi del Dipartimento dell’educazione, della cultura e dello sport. Gli importi federali saranno quindi </w:t>
      </w:r>
      <w:r w:rsidRPr="002F2AE1">
        <w:rPr>
          <w:rFonts w:eastAsia="Arial" w:cs="Arial"/>
          <w:i/>
          <w:color w:val="000000"/>
          <w:sz w:val="24"/>
          <w:szCs w:val="24"/>
          <w:u w:color="000000"/>
          <w:lang w:val="it-IT" w:eastAsia="it-IT"/>
        </w:rPr>
        <w:t>de lege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nella loro integralità utilizzati a partire dal 1° gennaio 2024 a beneficio del finanziamento della formazione professionale e superiore, diminuendo conseguentemente il saldo netto annuo di questi costi a carico del Cantone, mentre gli investimenti saranno dal 2024 finanziati analogamente a quanto accade per tutti gli investimenti cantonali. </w:t>
      </w:r>
    </w:p>
    <w:p w:rsidR="002F2AE1" w:rsidRPr="002F2AE1" w:rsidRDefault="002F2AE1" w:rsidP="002F2AE1">
      <w:pPr>
        <w:tabs>
          <w:tab w:val="left" w:pos="7080"/>
          <w:tab w:val="right" w:pos="9600"/>
        </w:tabs>
        <w:ind w:right="-48"/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ind w:right="187"/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</w:pPr>
      <w:r w:rsidRPr="002F2AE1">
        <w:rPr>
          <w:rFonts w:eastAsia="Times New Roman" w:cs="Arial"/>
          <w:sz w:val="24"/>
          <w:szCs w:val="24"/>
          <w:u w:color="000000"/>
          <w:lang w:eastAsia="it-IT"/>
        </w:rPr>
        <w:t>In particolare la proposta legislativa, venendo a cadere l’esistenza dell’attuale fondo dedicato per il finanziamento degli investimenti effettuati dal Cantone o da terzi, prevede l’abrogazione del cpv. 4 dell’articolo 34, che regola il riversamento dei contributi federali forfetari.</w:t>
      </w:r>
      <w:r w:rsidRPr="002F2AE1">
        <w:rPr>
          <w:rFonts w:ascii="Times New Roman" w:eastAsia="Times New Roman" w:hAnsi="Times New Roman" w:cs="Times New Roman"/>
          <w:sz w:val="24"/>
          <w:szCs w:val="24"/>
          <w:u w:color="000000"/>
          <w:lang w:eastAsia="it-IT"/>
        </w:rPr>
        <w:t xml:space="preserve"> </w:t>
      </w:r>
    </w:p>
    <w:p w:rsidR="002F2AE1" w:rsidRPr="002F2AE1" w:rsidRDefault="002F2AE1" w:rsidP="002F2AE1">
      <w:pPr>
        <w:tabs>
          <w:tab w:val="left" w:pos="7080"/>
          <w:tab w:val="right" w:pos="9600"/>
        </w:tabs>
        <w:ind w:right="-48"/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In termini finanziari, in questo periodo di chiusura del fondo, come riportato nel messaggio governativo, comporterà, dal 2024, una maggiore entrata a gestione corrente di circa 3.7 milioni di franchi nei conti della formazione professionale distribuita sulle scuole professionali in base a una chiave di riparto già in uso. Parallelamente verrà sciolta la parte residua, valutata a circa 2.4 milioni di franchi, della posta di bilancio (conto 20090142 “deposito investimento”) dedicata a questo fondo non ancora impegnata per il finanziamento di investimenti già approvati (attualmente il deposito ammonta a circa 17.6 mio di franchi di cui circa 15.2 già impegnati per il finanziamento di investimenti approvati).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tabs>
          <w:tab w:val="left" w:pos="567"/>
        </w:tabs>
        <w:spacing w:after="120"/>
        <w:rPr>
          <w:rFonts w:eastAsia="Arial" w:cs="Arial"/>
          <w:b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b/>
          <w:sz w:val="24"/>
          <w:szCs w:val="24"/>
          <w:u w:color="000000"/>
          <w:lang w:val="it-IT" w:eastAsia="it-IT"/>
        </w:rPr>
        <w:t>4.</w:t>
      </w:r>
      <w:r w:rsidRPr="002F2AE1">
        <w:rPr>
          <w:rFonts w:eastAsia="Arial" w:cs="Arial"/>
          <w:b/>
          <w:sz w:val="24"/>
          <w:szCs w:val="24"/>
          <w:u w:color="000000"/>
          <w:lang w:val="it-IT" w:eastAsia="it-IT"/>
        </w:rPr>
        <w:tab/>
        <w:t>CONCLUSIONI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In conclusione, la maggioranza della Commissione formazione e cultura invita senza riserva il Gran Consiglio ad approvare il disegno di legge annesso al messaggio, che prevede la modifica della Legge sull’orientamento scolastico e professionale e sulla formazione professionale e continua (Lorform) del 4 febbraio 1998, attraverso l’abbandono del fondo per il parziale finanziamento federale degli investimenti nel settore della formazione professionale (abrogazione del cpv. 4 all’art. 34).</w:t>
      </w: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 xml:space="preserve"> </w:t>
      </w:r>
    </w:p>
    <w:p w:rsid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</w:p>
    <w:p w:rsidR="002F2AE1" w:rsidRPr="002F2AE1" w:rsidRDefault="002F2AE1" w:rsidP="002F2AE1">
      <w:pPr>
        <w:spacing w:after="120"/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Per la Commissione formazione e cultura:</w:t>
      </w:r>
    </w:p>
    <w:p w:rsidR="002F2AE1" w:rsidRPr="002F2AE1" w:rsidRDefault="002F2AE1" w:rsidP="002F2AE1">
      <w:pPr>
        <w:rPr>
          <w:rFonts w:eastAsia="Arial" w:cs="Arial Unicode MS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 Unicode MS"/>
          <w:sz w:val="24"/>
          <w:szCs w:val="24"/>
          <w:u w:color="000000"/>
          <w:lang w:val="it-IT" w:eastAsia="it-IT"/>
        </w:rPr>
        <w:t>Paolo Ortelli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, relatore</w:t>
      </w:r>
    </w:p>
    <w:p w:rsidR="002F2AE1" w:rsidRPr="002F2AE1" w:rsidRDefault="002F2AE1" w:rsidP="002F2AE1">
      <w:pPr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Ay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- Caccia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Canetta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Ermotti-Lepori - </w:t>
      </w:r>
    </w:p>
    <w:p w:rsidR="002F2AE1" w:rsidRDefault="002F2AE1" w:rsidP="002F2AE1">
      <w:pPr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Ghisla - Giudici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Guerra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  <w:r w:rsidRPr="00065027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Morisoli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Ortelli M.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</w:p>
    <w:p w:rsidR="002F2AE1" w:rsidRDefault="002F2AE1" w:rsidP="002F2AE1">
      <w:pPr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Piezzi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  <w:r w:rsidRPr="00691443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Prati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Sanvido - Speziali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Tenconi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</w:t>
      </w:r>
    </w:p>
    <w:p w:rsidR="00D649A8" w:rsidRPr="002F2AE1" w:rsidRDefault="002F2AE1" w:rsidP="002F2AE1">
      <w:pPr>
        <w:rPr>
          <w:rFonts w:eastAsia="Arial" w:cs="Arial"/>
          <w:color w:val="000000"/>
          <w:sz w:val="24"/>
          <w:szCs w:val="24"/>
          <w:u w:color="000000"/>
          <w:lang w:val="it-IT" w:eastAsia="it-IT"/>
        </w:rPr>
      </w:pPr>
      <w:r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>Tricarico -</w:t>
      </w:r>
      <w:r w:rsidRPr="002F2AE1">
        <w:rPr>
          <w:rFonts w:eastAsia="Arial" w:cs="Arial"/>
          <w:color w:val="000000"/>
          <w:sz w:val="24"/>
          <w:szCs w:val="24"/>
          <w:u w:color="000000"/>
          <w:lang w:val="it-IT" w:eastAsia="it-IT"/>
        </w:rPr>
        <w:t xml:space="preserve"> Valsangiacomo - Zanetti</w:t>
      </w:r>
    </w:p>
    <w:sectPr w:rsidR="00D649A8" w:rsidRPr="002F2AE1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E1" w:rsidRDefault="002F2AE1" w:rsidP="00F657BF">
      <w:r>
        <w:separator/>
      </w:r>
    </w:p>
  </w:endnote>
  <w:endnote w:type="continuationSeparator" w:id="0">
    <w:p w:rsidR="002F2AE1" w:rsidRDefault="002F2AE1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FF6ED2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427892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427892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FF6ED2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FF6ED2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E1" w:rsidRDefault="002F2AE1" w:rsidP="00F657BF">
      <w:r>
        <w:separator/>
      </w:r>
    </w:p>
  </w:footnote>
  <w:footnote w:type="continuationSeparator" w:id="0">
    <w:p w:rsidR="002F2AE1" w:rsidRDefault="002F2AE1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2F7AC0EC-F46A-4993-B321-8290D0F34D7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690B5C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dell’educazione, della cultura e dello sport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427892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FF6ED2">
            <w:rPr>
              <w:noProof/>
              <w:sz w:val="24"/>
            </w:rPr>
            <w:t>2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FF6ED2">
            <w:rPr>
              <w:noProof/>
              <w:sz w:val="24"/>
            </w:rPr>
            <w:t>2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2F7AC0EC-F46A-4993-B321-8290D0F34D7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2F2AE1" w:rsidRDefault="00690B5C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8313 R del 23 ottobre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2F2AE1" w:rsidRDefault="00FF6ED2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427892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2F7AC0EC-F46A-4993-B321-8290D0F34D71}"/>
                            <w:text w:multiLine="1"/>
                          </w:sdtPr>
                          <w:sdtEndPr/>
                          <w:sdtContent>
                            <w:p w:rsidR="008065E8" w:rsidRPr="00411371" w:rsidRDefault="00427892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A44769F1-16BE-47E2-8613-4569CF540F71}"/>
                      <w:text w:multiLine="1"/>
                    </w:sdtPr>
                    <w:sdtEndPr/>
                    <w:sdtContent>
                      <w:p w:rsidR="008065E8" w:rsidRPr="00411371" w:rsidRDefault="00427892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FF6ED2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FF6ED2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427892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856211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427892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FF6ED2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FF6ED2">
            <w:rPr>
              <w:rFonts w:asciiTheme="minorHAnsi" w:hAnsiTheme="minorHAnsi" w:cstheme="minorHAnsi"/>
              <w:noProof/>
              <w:sz w:val="24"/>
            </w:rPr>
            <w:t>2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2F7AC0EC-F46A-4993-B321-8290D0F34D71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690B5C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427892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FF6ED2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427892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FF6ED2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427892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FF6ED2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FF6ED2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2F7AC0EC-F46A-4993-B321-8290D0F34D71}"/>
              <w:text w:multiLine="1"/>
            </w:sdtPr>
            <w:sdtEndPr/>
            <w:sdtContent>
              <w:r w:rsidR="00690B5C">
                <w:rPr>
                  <w:rFonts w:cstheme="minorHAnsi"/>
                  <w:b/>
                  <w:sz w:val="24"/>
                  <w:szCs w:val="24"/>
                </w:rPr>
                <w:t>8313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2F7AC0EC-F46A-4993-B321-8290D0F34D71}"/>
          <w:date w:fullDate="2023-10-23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690B5C" w:rsidP="00A532F6">
              <w:pPr>
                <w:pStyle w:val="Data"/>
              </w:pPr>
              <w:r>
                <w:rPr>
                  <w:sz w:val="24"/>
                </w:rPr>
                <w:t>23 ottobre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FF6ED2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2F7AC0EC-F46A-4993-B321-8290D0F34D71}"/>
              <w:text w:multiLine="1"/>
            </w:sdtPr>
            <w:sdtEndPr/>
            <w:sdtContent>
              <w:r w:rsidR="00690B5C">
                <w:rPr>
                  <w:smallCaps/>
                  <w:sz w:val="23"/>
                  <w:szCs w:val="23"/>
                </w:rPr>
                <w:t>Dipartimento dell’educazione, della cultura e dello sport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FF6ED2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427892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906415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2F7AC0EC-F46A-4993-B321-8290D0F34D71}"/>
                            <w:text w:multiLine="1"/>
                          </w:sdtPr>
                          <w:sdtEndPr/>
                          <w:sdtContent>
                            <w:p w:rsidR="00E93620" w:rsidRPr="00411371" w:rsidRDefault="00427892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A44769F1-16BE-47E2-8613-4569CF540F71}"/>
                      <w:text w:multiLine="1"/>
                    </w:sdtPr>
                    <w:sdtEndPr/>
                    <w:sdtContent>
                      <w:p w:rsidR="00E93620" w:rsidRPr="00411371" w:rsidRDefault="00427892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49A6801"/>
    <w:multiLevelType w:val="multilevel"/>
    <w:tmpl w:val="9CAE632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7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E1"/>
    <w:rsid w:val="00065027"/>
    <w:rsid w:val="000B2C8B"/>
    <w:rsid w:val="002128B2"/>
    <w:rsid w:val="002B5D9F"/>
    <w:rsid w:val="002F2AE1"/>
    <w:rsid w:val="00302E80"/>
    <w:rsid w:val="00312DC7"/>
    <w:rsid w:val="003236A6"/>
    <w:rsid w:val="00361406"/>
    <w:rsid w:val="003B756D"/>
    <w:rsid w:val="00403ADB"/>
    <w:rsid w:val="00427892"/>
    <w:rsid w:val="004D0176"/>
    <w:rsid w:val="00572FD3"/>
    <w:rsid w:val="005B6826"/>
    <w:rsid w:val="006228B4"/>
    <w:rsid w:val="00690B5C"/>
    <w:rsid w:val="00691443"/>
    <w:rsid w:val="00724264"/>
    <w:rsid w:val="00790C8F"/>
    <w:rsid w:val="0083310D"/>
    <w:rsid w:val="008720C4"/>
    <w:rsid w:val="008C0608"/>
    <w:rsid w:val="008F52AF"/>
    <w:rsid w:val="00960C60"/>
    <w:rsid w:val="00991030"/>
    <w:rsid w:val="00994530"/>
    <w:rsid w:val="009C5E5A"/>
    <w:rsid w:val="00AF0268"/>
    <w:rsid w:val="00B70A2B"/>
    <w:rsid w:val="00BF0A1F"/>
    <w:rsid w:val="00C97A23"/>
    <w:rsid w:val="00CC05F1"/>
    <w:rsid w:val="00D33940"/>
    <w:rsid w:val="00D600FD"/>
    <w:rsid w:val="00D649A8"/>
    <w:rsid w:val="00E422CA"/>
    <w:rsid w:val="00E81CF9"/>
    <w:rsid w:val="00EB088A"/>
    <w:rsid w:val="00F657BF"/>
    <w:rsid w:val="00FA63AB"/>
    <w:rsid w:val="00FB267E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18702BB7-9B54-43BD-9B56-650921D6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e7972e55-f121-4d98-82e8-7f9c017bd9a3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856211621</Id>
      <Width>0</Width>
      <Height>0</Height>
      <XPath>//Image[@id='Profile.Org.WappenSW']</XPath>
      <ImageHash>02f1c0cdac6aeac316213b2e7cb733a0</ImageHash>
    </ImageSizeDefinition>
    <ImageSizeDefinition>
      <Id>1906415258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b 8 5 b 6 b 2 - 1 1 3 a - 4 d 9 6 - 9 f b 1 - c 2 c d c 4 e e 6 f 6 d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0 - 2 4 T 1 0 : 0 5 : 2 0 . 8 5 9 4 4 0 8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 2 0 2 3 - 1 0 - 2 3 T 0 0 : 0 0 : 0 0 Z < / D a t e T i m e >  
                 < T e x t   i d = " D o c P a r a m . N u m b e r " > < ! [ C D A T A [ 8 3 1 3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 e d u c a z i o n e ,   d e l l a   c u l t u r a   e   d e l l o   s p o r t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l  e d u c a z i o n e ,   d e l l a   c u l t u r a   e   d e l l o   s p o r t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1 3   R   d e l   2 3   o t t o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 e d u c a z i o n e ,   d e l l a   c u l t u r a   e   d e l l o   s p o r t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1 3   R   d e l   2 3   o t t o b r e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FCA8D620-70C5-4085-8AC0-971DF3DFB5AC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2F7AC0EC-F46A-4993-B321-8290D0F34D7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e7972e55-f121-4d98-82e8-7f9c017bd9a3.dotx</Template>
  <TotalTime>12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28</cp:revision>
  <dcterms:created xsi:type="dcterms:W3CDTF">2023-10-24T10:05:00Z</dcterms:created>
  <dcterms:modified xsi:type="dcterms:W3CDTF">2023-10-25T08:11:00Z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