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448" w:rsidRPr="009A0448" w:rsidRDefault="009A0448" w:rsidP="009A0448">
      <w:pPr>
        <w:widowControl w:val="0"/>
        <w:autoSpaceDE w:val="0"/>
        <w:autoSpaceDN w:val="0"/>
        <w:adjustRightInd w:val="0"/>
        <w:rPr>
          <w:rFonts w:eastAsia="Calibri" w:cs="Arial"/>
          <w:b/>
          <w:sz w:val="28"/>
          <w:szCs w:val="28"/>
          <w:lang w:val="it-IT"/>
        </w:rPr>
      </w:pPr>
      <w:bookmarkStart w:id="0" w:name="_GoBack"/>
      <w:bookmarkEnd w:id="0"/>
      <w:r w:rsidRPr="009A0448">
        <w:rPr>
          <w:rFonts w:eastAsia="Calibri" w:cs="Arial"/>
          <w:b/>
          <w:sz w:val="28"/>
          <w:szCs w:val="28"/>
          <w:lang w:val="it-IT"/>
        </w:rPr>
        <w:t>della Commissione economia e lavoro</w:t>
      </w:r>
    </w:p>
    <w:p w:rsidR="009A0448" w:rsidRPr="009A0448" w:rsidRDefault="009A0448" w:rsidP="009A0448">
      <w:pPr>
        <w:ind w:right="-1"/>
        <w:rPr>
          <w:b/>
          <w:sz w:val="28"/>
          <w:szCs w:val="28"/>
        </w:rPr>
      </w:pPr>
      <w:r w:rsidRPr="009A0448">
        <w:rPr>
          <w:b/>
          <w:sz w:val="28"/>
          <w:szCs w:val="28"/>
        </w:rPr>
        <w:t>sull'iniziativa parlamentare 15 maggio 2020 presentata nella forma generica da Massimiliano Ay e Lea Ferrari "Vietare i licenziamenti durante una pandemia"</w:t>
      </w:r>
    </w:p>
    <w:p w:rsidR="009A0448" w:rsidRPr="009A0448" w:rsidRDefault="009A0448" w:rsidP="009A0448">
      <w:pPr>
        <w:tabs>
          <w:tab w:val="left" w:pos="6716"/>
        </w:tabs>
        <w:ind w:right="-1"/>
        <w:rPr>
          <w:rFonts w:eastAsia="Calibri" w:cs="Times New Roman"/>
          <w:b/>
          <w:caps/>
          <w:sz w:val="24"/>
          <w:szCs w:val="24"/>
          <w:lang w:val="it-IT" w:eastAsia="it-IT"/>
        </w:rPr>
      </w:pPr>
      <w:r w:rsidRPr="009A0448">
        <w:rPr>
          <w:rFonts w:eastAsia="Calibri" w:cs="Times New Roman"/>
          <w:b/>
          <w:caps/>
          <w:sz w:val="24"/>
          <w:szCs w:val="24"/>
          <w:lang w:val="it-IT" w:eastAsia="it-IT"/>
        </w:rPr>
        <w:tab/>
      </w:r>
    </w:p>
    <w:p w:rsidR="009A0448" w:rsidRDefault="009A0448" w:rsidP="009A0448">
      <w:pPr>
        <w:tabs>
          <w:tab w:val="left" w:pos="426"/>
          <w:tab w:val="left" w:pos="709"/>
        </w:tabs>
        <w:rPr>
          <w:rFonts w:eastAsia="Calibri" w:cs="Times New Roman"/>
          <w:b/>
          <w:caps/>
          <w:sz w:val="24"/>
          <w:szCs w:val="24"/>
          <w:lang w:val="it-IT" w:eastAsia="it-IT"/>
        </w:rPr>
      </w:pPr>
    </w:p>
    <w:p w:rsidR="009A0448" w:rsidRPr="009A0448" w:rsidRDefault="009A0448" w:rsidP="009A0448">
      <w:pPr>
        <w:tabs>
          <w:tab w:val="left" w:pos="426"/>
          <w:tab w:val="left" w:pos="709"/>
        </w:tabs>
        <w:rPr>
          <w:rFonts w:eastAsia="Calibri" w:cs="Times New Roman"/>
          <w:b/>
          <w:caps/>
          <w:sz w:val="24"/>
          <w:szCs w:val="24"/>
          <w:lang w:val="it-IT" w:eastAsia="it-IT"/>
        </w:rPr>
      </w:pPr>
    </w:p>
    <w:p w:rsidR="009A0448" w:rsidRPr="009A0448" w:rsidRDefault="009A0448" w:rsidP="009A0448">
      <w:pPr>
        <w:pStyle w:val="Titolo1"/>
        <w:tabs>
          <w:tab w:val="left" w:pos="0"/>
          <w:tab w:val="left" w:pos="567"/>
        </w:tabs>
        <w:spacing w:before="0"/>
        <w:jc w:val="both"/>
        <w:rPr>
          <w:rFonts w:eastAsia="Calibri" w:cs="Times New Roman"/>
          <w:caps/>
          <w:sz w:val="24"/>
          <w:szCs w:val="24"/>
          <w:lang w:val="it-IT" w:eastAsia="it-IT"/>
        </w:rPr>
      </w:pPr>
      <w:r>
        <w:rPr>
          <w:rFonts w:eastAsia="Calibri" w:cs="Times New Roman"/>
          <w:caps/>
          <w:sz w:val="24"/>
          <w:szCs w:val="24"/>
          <w:lang w:val="it-IT" w:eastAsia="it-IT"/>
        </w:rPr>
        <w:t>1.</w:t>
      </w:r>
      <w:r>
        <w:rPr>
          <w:rFonts w:eastAsia="Calibri" w:cs="Times New Roman"/>
          <w:caps/>
          <w:sz w:val="24"/>
          <w:szCs w:val="24"/>
          <w:lang w:val="it-IT" w:eastAsia="it-IT"/>
        </w:rPr>
        <w:tab/>
      </w:r>
      <w:r w:rsidRPr="009A0448">
        <w:rPr>
          <w:rFonts w:eastAsia="Calibri" w:cs="Times New Roman"/>
          <w:caps/>
          <w:sz w:val="24"/>
          <w:szCs w:val="24"/>
          <w:lang w:val="it-IT" w:eastAsia="it-IT"/>
        </w:rPr>
        <w:t>L'atto PARLAMENTARE</w:t>
      </w:r>
    </w:p>
    <w:p w:rsidR="009A0448" w:rsidRPr="009A0448" w:rsidRDefault="009A0448" w:rsidP="009A0448">
      <w:pPr>
        <w:tabs>
          <w:tab w:val="left" w:pos="426"/>
          <w:tab w:val="left" w:pos="709"/>
        </w:tabs>
        <w:spacing w:after="120"/>
        <w:rPr>
          <w:rFonts w:eastAsia="Calibri" w:cs="Arial"/>
          <w:bCs/>
          <w:sz w:val="24"/>
          <w:szCs w:val="24"/>
        </w:rPr>
      </w:pPr>
      <w:r w:rsidRPr="009A0448">
        <w:rPr>
          <w:rFonts w:eastAsia="Calibri" w:cs="Arial"/>
          <w:bCs/>
          <w:sz w:val="24"/>
          <w:szCs w:val="24"/>
        </w:rPr>
        <w:t>L’iniziativa parlamentare presentata nella forma generica n.</w:t>
      </w:r>
      <w:r>
        <w:rPr>
          <w:rFonts w:eastAsia="Calibri" w:cs="Arial"/>
          <w:bCs/>
          <w:sz w:val="24"/>
          <w:szCs w:val="24"/>
        </w:rPr>
        <w:t xml:space="preserve"> </w:t>
      </w:r>
      <w:r w:rsidRPr="009A0448">
        <w:rPr>
          <w:rFonts w:eastAsia="Calibri" w:cs="Arial"/>
          <w:bCs/>
          <w:sz w:val="24"/>
          <w:szCs w:val="24"/>
        </w:rPr>
        <w:t xml:space="preserve">702 "Vietare i licenziamenti durante una pandemia" si apre con la seguente affermazione: </w:t>
      </w:r>
    </w:p>
    <w:p w:rsidR="009A0448" w:rsidRPr="009A0448" w:rsidRDefault="009A0448" w:rsidP="009A0448">
      <w:pPr>
        <w:tabs>
          <w:tab w:val="left" w:pos="426"/>
          <w:tab w:val="left" w:pos="709"/>
        </w:tabs>
        <w:spacing w:after="240"/>
        <w:rPr>
          <w:rFonts w:eastAsia="Calibri" w:cs="Arial"/>
          <w:bCs/>
          <w:i/>
          <w:iCs/>
          <w:sz w:val="24"/>
          <w:szCs w:val="24"/>
        </w:rPr>
      </w:pPr>
      <w:r w:rsidRPr="009A0448">
        <w:rPr>
          <w:rFonts w:eastAsia="Calibri" w:cs="Arial"/>
          <w:bCs/>
          <w:iCs/>
          <w:sz w:val="24"/>
          <w:szCs w:val="24"/>
        </w:rPr>
        <w:t>«</w:t>
      </w:r>
      <w:r w:rsidRPr="009A0448">
        <w:rPr>
          <w:rFonts w:eastAsia="Calibri" w:cs="Arial"/>
          <w:bCs/>
          <w:i/>
          <w:iCs/>
          <w:sz w:val="24"/>
          <w:szCs w:val="24"/>
        </w:rPr>
        <w:t xml:space="preserve">A seguito della crisi provocata dalla pandemia da Coronavirus, la Confederazione garantisce alle imprese 60 miliardi di franchi. Ciononostante, si susseguano i licenziamenti e i dati sulla disoccupazione sono in aumento. La perdita di posti di lavoro e i licenziamenti decisi da </w:t>
      </w:r>
      <w:proofErr w:type="spellStart"/>
      <w:r w:rsidRPr="009A0448">
        <w:rPr>
          <w:rFonts w:eastAsia="Calibri" w:cs="Arial"/>
          <w:bCs/>
          <w:i/>
          <w:iCs/>
          <w:sz w:val="24"/>
          <w:szCs w:val="24"/>
        </w:rPr>
        <w:t>Mikron</w:t>
      </w:r>
      <w:proofErr w:type="spellEnd"/>
      <w:r w:rsidRPr="009A0448">
        <w:rPr>
          <w:rFonts w:eastAsia="Calibri" w:cs="Arial"/>
          <w:bCs/>
          <w:i/>
          <w:iCs/>
          <w:sz w:val="24"/>
          <w:szCs w:val="24"/>
        </w:rPr>
        <w:t xml:space="preserve">, AGIE e </w:t>
      </w:r>
      <w:proofErr w:type="spellStart"/>
      <w:r w:rsidRPr="009A0448">
        <w:rPr>
          <w:rFonts w:eastAsia="Calibri" w:cs="Arial"/>
          <w:bCs/>
          <w:i/>
          <w:iCs/>
          <w:sz w:val="24"/>
          <w:szCs w:val="24"/>
        </w:rPr>
        <w:t>Tally</w:t>
      </w:r>
      <w:proofErr w:type="spellEnd"/>
      <w:r w:rsidRPr="009A0448">
        <w:rPr>
          <w:rFonts w:eastAsia="Calibri" w:cs="Arial"/>
          <w:bCs/>
          <w:i/>
          <w:iCs/>
          <w:sz w:val="24"/>
          <w:szCs w:val="24"/>
        </w:rPr>
        <w:t xml:space="preserve"> Weil sono preoccupanti e impongono un intervento da parte dello Stato a tutela dei lavoratori e del tessuto produttivo ticinese</w:t>
      </w:r>
      <w:r w:rsidRPr="009A0448">
        <w:rPr>
          <w:rFonts w:eastAsia="Calibri" w:cs="Arial"/>
          <w:bCs/>
          <w:iCs/>
          <w:sz w:val="24"/>
          <w:szCs w:val="24"/>
        </w:rPr>
        <w:t>»</w:t>
      </w:r>
      <w:r w:rsidRPr="009A0448">
        <w:rPr>
          <w:rFonts w:eastAsia="Calibri" w:cs="Arial"/>
          <w:bCs/>
          <w:i/>
          <w:iCs/>
          <w:sz w:val="24"/>
          <w:szCs w:val="24"/>
        </w:rPr>
        <w:t>.</w:t>
      </w:r>
    </w:p>
    <w:p w:rsidR="009A0448" w:rsidRPr="009A0448" w:rsidRDefault="009A0448" w:rsidP="009A0448">
      <w:pPr>
        <w:tabs>
          <w:tab w:val="left" w:pos="426"/>
          <w:tab w:val="left" w:pos="709"/>
        </w:tabs>
        <w:spacing w:after="120"/>
        <w:rPr>
          <w:rFonts w:eastAsia="Calibri" w:cs="Arial"/>
          <w:bCs/>
          <w:sz w:val="24"/>
          <w:szCs w:val="24"/>
        </w:rPr>
      </w:pPr>
      <w:r w:rsidRPr="009A0448">
        <w:rPr>
          <w:rFonts w:eastAsia="Calibri" w:cs="Arial"/>
          <w:bCs/>
          <w:sz w:val="24"/>
          <w:szCs w:val="24"/>
        </w:rPr>
        <w:t>E parte da una considerazione puntuale:</w:t>
      </w:r>
    </w:p>
    <w:p w:rsidR="009A0448" w:rsidRPr="009A0448" w:rsidRDefault="009A0448" w:rsidP="009A0448">
      <w:pPr>
        <w:tabs>
          <w:tab w:val="left" w:pos="426"/>
          <w:tab w:val="left" w:pos="709"/>
        </w:tabs>
        <w:rPr>
          <w:rFonts w:eastAsia="Calibri" w:cs="Arial"/>
          <w:bCs/>
          <w:i/>
          <w:iCs/>
          <w:sz w:val="24"/>
          <w:szCs w:val="24"/>
        </w:rPr>
      </w:pPr>
      <w:r w:rsidRPr="009A0448">
        <w:rPr>
          <w:rFonts w:eastAsia="Calibri" w:cs="Arial"/>
          <w:bCs/>
          <w:iCs/>
          <w:sz w:val="24"/>
          <w:szCs w:val="24"/>
        </w:rPr>
        <w:t>«</w:t>
      </w:r>
      <w:r w:rsidRPr="009A0448">
        <w:rPr>
          <w:rFonts w:eastAsia="Calibri" w:cs="Arial"/>
          <w:bCs/>
          <w:i/>
          <w:iCs/>
          <w:sz w:val="24"/>
          <w:szCs w:val="24"/>
        </w:rPr>
        <w:t>Gli aiuti previsti per fronteggiare la crisi dovrebbero essere atti a salvaguardare i posti di lavoro e a garantire il pagamento dei salari, non certo per aumentare produttività e margini di profitto come appare evidente nei casi citati. Occorre dunque evitare un effetto domino: le aziende non devono sentirsi legittimate a razionalizzare i costi sul personale solo per consolidare o migliorare la loro redditività</w:t>
      </w:r>
      <w:r w:rsidRPr="009A0448">
        <w:rPr>
          <w:rFonts w:eastAsia="Calibri" w:cs="Arial"/>
          <w:bCs/>
          <w:iCs/>
          <w:sz w:val="24"/>
          <w:szCs w:val="24"/>
        </w:rPr>
        <w:t>»</w:t>
      </w:r>
      <w:r w:rsidRPr="009A0448">
        <w:rPr>
          <w:rFonts w:eastAsia="Calibri" w:cs="Arial"/>
          <w:bCs/>
          <w:i/>
          <w:iCs/>
          <w:sz w:val="24"/>
          <w:szCs w:val="24"/>
        </w:rPr>
        <w:t xml:space="preserve">. </w:t>
      </w:r>
    </w:p>
    <w:p w:rsidR="009A0448" w:rsidRPr="009A0448" w:rsidRDefault="009A0448" w:rsidP="009A0448">
      <w:pPr>
        <w:tabs>
          <w:tab w:val="left" w:pos="426"/>
          <w:tab w:val="left" w:pos="709"/>
        </w:tabs>
        <w:rPr>
          <w:rFonts w:eastAsia="Calibri" w:cs="Arial"/>
          <w:bCs/>
          <w:sz w:val="24"/>
          <w:szCs w:val="24"/>
        </w:rPr>
      </w:pPr>
    </w:p>
    <w:p w:rsidR="009A0448" w:rsidRPr="009A0448" w:rsidRDefault="009A0448" w:rsidP="009A0448">
      <w:pPr>
        <w:tabs>
          <w:tab w:val="left" w:pos="426"/>
          <w:tab w:val="left" w:pos="709"/>
        </w:tabs>
        <w:spacing w:after="120"/>
        <w:rPr>
          <w:rFonts w:eastAsia="Calibri" w:cs="Arial"/>
          <w:bCs/>
          <w:sz w:val="24"/>
          <w:szCs w:val="24"/>
        </w:rPr>
      </w:pPr>
      <w:r w:rsidRPr="009A0448">
        <w:rPr>
          <w:rFonts w:eastAsia="Calibri" w:cs="Arial"/>
          <w:bCs/>
          <w:sz w:val="24"/>
          <w:szCs w:val="24"/>
        </w:rPr>
        <w:t>I firmatari chiedono quindi:</w:t>
      </w:r>
    </w:p>
    <w:p w:rsidR="009A0448" w:rsidRPr="009A0448" w:rsidRDefault="009A0448" w:rsidP="009A0448">
      <w:pPr>
        <w:tabs>
          <w:tab w:val="left" w:pos="426"/>
          <w:tab w:val="left" w:pos="709"/>
        </w:tabs>
        <w:rPr>
          <w:rFonts w:eastAsia="Calibri" w:cs="Arial"/>
          <w:bCs/>
          <w:i/>
          <w:iCs/>
          <w:sz w:val="24"/>
          <w:szCs w:val="24"/>
        </w:rPr>
      </w:pPr>
      <w:r w:rsidRPr="009A0448">
        <w:rPr>
          <w:rFonts w:eastAsia="Calibri" w:cs="Arial"/>
          <w:bCs/>
          <w:iCs/>
          <w:sz w:val="24"/>
          <w:szCs w:val="24"/>
        </w:rPr>
        <w:t>«</w:t>
      </w:r>
      <w:r w:rsidRPr="009A0448">
        <w:rPr>
          <w:rFonts w:eastAsia="Calibri" w:cs="Arial"/>
          <w:bCs/>
          <w:i/>
          <w:iCs/>
          <w:sz w:val="24"/>
          <w:szCs w:val="24"/>
        </w:rPr>
        <w:t>di valutare e definire una base legale che possa vietare il licenziamento durante il periodo in cui il Consiglio di Stato dichiari lo stato di necessità a seguito di pandemia o pubblica calamità</w:t>
      </w:r>
      <w:r w:rsidRPr="009A0448">
        <w:rPr>
          <w:rFonts w:eastAsia="Calibri" w:cs="Arial"/>
          <w:bCs/>
          <w:iCs/>
          <w:sz w:val="24"/>
          <w:szCs w:val="24"/>
        </w:rPr>
        <w:t>»</w:t>
      </w:r>
      <w:r w:rsidRPr="009A0448">
        <w:rPr>
          <w:rFonts w:eastAsia="Calibri" w:cs="Arial"/>
          <w:bCs/>
          <w:i/>
          <w:iCs/>
          <w:sz w:val="24"/>
          <w:szCs w:val="24"/>
        </w:rPr>
        <w:t xml:space="preserve">. </w:t>
      </w:r>
    </w:p>
    <w:p w:rsidR="009A0448" w:rsidRPr="009A0448" w:rsidRDefault="009A0448" w:rsidP="009A0448">
      <w:pPr>
        <w:tabs>
          <w:tab w:val="left" w:pos="426"/>
          <w:tab w:val="left" w:pos="709"/>
        </w:tabs>
        <w:rPr>
          <w:rFonts w:eastAsia="Calibri" w:cs="Arial"/>
          <w:bCs/>
          <w:sz w:val="24"/>
          <w:szCs w:val="24"/>
        </w:rPr>
      </w:pPr>
    </w:p>
    <w:p w:rsidR="009A0448" w:rsidRDefault="009A0448" w:rsidP="009A0448">
      <w:pPr>
        <w:tabs>
          <w:tab w:val="left" w:pos="426"/>
          <w:tab w:val="left" w:pos="709"/>
        </w:tabs>
        <w:rPr>
          <w:rFonts w:eastAsia="Calibri" w:cs="Arial"/>
          <w:bCs/>
          <w:sz w:val="24"/>
          <w:szCs w:val="24"/>
        </w:rPr>
      </w:pPr>
    </w:p>
    <w:p w:rsidR="009A0448" w:rsidRPr="009A0448" w:rsidRDefault="009A0448" w:rsidP="009A0448">
      <w:pPr>
        <w:tabs>
          <w:tab w:val="left" w:pos="426"/>
          <w:tab w:val="left" w:pos="709"/>
        </w:tabs>
        <w:rPr>
          <w:rFonts w:eastAsia="Calibri" w:cs="Arial"/>
          <w:bCs/>
          <w:sz w:val="24"/>
          <w:szCs w:val="24"/>
        </w:rPr>
      </w:pPr>
    </w:p>
    <w:p w:rsidR="009A0448" w:rsidRPr="009A0448" w:rsidRDefault="009A0448" w:rsidP="009A0448">
      <w:pPr>
        <w:pStyle w:val="Titolo1"/>
        <w:tabs>
          <w:tab w:val="left" w:pos="0"/>
          <w:tab w:val="left" w:pos="567"/>
        </w:tabs>
        <w:spacing w:before="0"/>
        <w:jc w:val="both"/>
        <w:rPr>
          <w:rFonts w:eastAsia="Calibri" w:cs="Times New Roman"/>
          <w:caps/>
          <w:sz w:val="24"/>
          <w:szCs w:val="24"/>
          <w:lang w:val="it-IT" w:eastAsia="it-IT"/>
        </w:rPr>
      </w:pPr>
      <w:r>
        <w:rPr>
          <w:rFonts w:eastAsia="Calibri" w:cs="Times New Roman"/>
          <w:caps/>
          <w:sz w:val="24"/>
          <w:szCs w:val="24"/>
          <w:lang w:val="it-IT" w:eastAsia="it-IT"/>
        </w:rPr>
        <w:t>2.</w:t>
      </w:r>
      <w:r>
        <w:rPr>
          <w:rFonts w:eastAsia="Calibri" w:cs="Times New Roman"/>
          <w:caps/>
          <w:sz w:val="24"/>
          <w:szCs w:val="24"/>
          <w:lang w:val="it-IT" w:eastAsia="it-IT"/>
        </w:rPr>
        <w:tab/>
      </w:r>
      <w:r w:rsidRPr="009A0448">
        <w:rPr>
          <w:rFonts w:eastAsia="Calibri" w:cs="Times New Roman"/>
          <w:caps/>
          <w:sz w:val="24"/>
          <w:szCs w:val="24"/>
          <w:lang w:val="it-IT" w:eastAsia="it-IT"/>
        </w:rPr>
        <w:t>LE Considerazioni DEL CONSIGLIO DI STATO</w:t>
      </w:r>
    </w:p>
    <w:p w:rsidR="009A0448" w:rsidRPr="009A0448" w:rsidRDefault="009A0448" w:rsidP="009A0448">
      <w:pPr>
        <w:tabs>
          <w:tab w:val="left" w:pos="426"/>
          <w:tab w:val="left" w:pos="709"/>
        </w:tabs>
        <w:spacing w:after="120"/>
        <w:rPr>
          <w:rFonts w:eastAsia="Calibri" w:cs="Arial"/>
          <w:bCs/>
          <w:sz w:val="24"/>
          <w:szCs w:val="24"/>
        </w:rPr>
      </w:pPr>
      <w:r w:rsidRPr="009A0448">
        <w:rPr>
          <w:rFonts w:eastAsia="Calibri" w:cs="Arial"/>
          <w:bCs/>
          <w:sz w:val="24"/>
          <w:szCs w:val="24"/>
        </w:rPr>
        <w:t>Il Consiglio di Stato, in risposta a una richiesta della Commissione, ha esposto alcune precisazioni in data 9 dicembre 2020:</w:t>
      </w:r>
    </w:p>
    <w:p w:rsidR="009A0448" w:rsidRPr="009A0448" w:rsidRDefault="009A0448" w:rsidP="009A0448">
      <w:pPr>
        <w:tabs>
          <w:tab w:val="left" w:pos="426"/>
          <w:tab w:val="left" w:pos="709"/>
        </w:tabs>
        <w:rPr>
          <w:rFonts w:eastAsia="Calibri" w:cs="Arial"/>
          <w:bCs/>
          <w:i/>
          <w:iCs/>
          <w:sz w:val="24"/>
          <w:szCs w:val="24"/>
        </w:rPr>
      </w:pPr>
      <w:r w:rsidRPr="009A0448">
        <w:rPr>
          <w:rFonts w:eastAsia="Calibri" w:cs="Arial"/>
          <w:bCs/>
          <w:iCs/>
          <w:sz w:val="24"/>
          <w:szCs w:val="24"/>
        </w:rPr>
        <w:t>«</w:t>
      </w:r>
      <w:r w:rsidRPr="009A0448">
        <w:rPr>
          <w:rFonts w:eastAsia="Calibri" w:cs="Arial"/>
          <w:bCs/>
          <w:i/>
          <w:iCs/>
          <w:sz w:val="24"/>
          <w:szCs w:val="24"/>
        </w:rPr>
        <w:t>In proposito il Consiglio di Stato precisa che la Legge sulla protezione della popolazione del 26 febbraio 2007 permette al Governo di operare superando limiti di competenza solo per far fronte all'urgenza. In ogni caso non è possibile per il Governo superare le leggi federali, in questo caso il Codice delle obbligazioni.</w:t>
      </w:r>
    </w:p>
    <w:p w:rsidR="009A0448" w:rsidRPr="009A0448" w:rsidRDefault="009A0448" w:rsidP="009A0448">
      <w:pPr>
        <w:tabs>
          <w:tab w:val="left" w:pos="426"/>
          <w:tab w:val="left" w:pos="709"/>
        </w:tabs>
        <w:rPr>
          <w:rFonts w:eastAsia="Calibri" w:cs="Arial"/>
          <w:bCs/>
          <w:i/>
          <w:iCs/>
          <w:sz w:val="24"/>
          <w:szCs w:val="24"/>
        </w:rPr>
      </w:pPr>
    </w:p>
    <w:p w:rsidR="009A0448" w:rsidRPr="009A0448" w:rsidRDefault="009A0448" w:rsidP="009A0448">
      <w:pPr>
        <w:tabs>
          <w:tab w:val="left" w:pos="426"/>
          <w:tab w:val="left" w:pos="709"/>
        </w:tabs>
        <w:rPr>
          <w:rFonts w:eastAsia="Calibri" w:cs="Arial"/>
          <w:bCs/>
          <w:i/>
          <w:iCs/>
          <w:sz w:val="24"/>
          <w:szCs w:val="24"/>
        </w:rPr>
      </w:pPr>
      <w:r w:rsidRPr="009A0448">
        <w:rPr>
          <w:rFonts w:eastAsia="Calibri" w:cs="Arial"/>
          <w:bCs/>
          <w:i/>
          <w:iCs/>
          <w:sz w:val="24"/>
          <w:szCs w:val="24"/>
        </w:rPr>
        <w:t xml:space="preserve">Indipendentemente da quanto precede, osserviamo che un efficace strumento volto a salvaguardare sia i posti di lavoro che la salute delle aziende già esiste ed è stato molto </w:t>
      </w:r>
      <w:r w:rsidRPr="009A0448">
        <w:rPr>
          <w:rFonts w:eastAsia="Calibri" w:cs="Arial"/>
          <w:bCs/>
          <w:i/>
          <w:iCs/>
          <w:sz w:val="24"/>
          <w:szCs w:val="24"/>
        </w:rPr>
        <w:lastRenderedPageBreak/>
        <w:t>sollecitato nel 2020. L'indennità per lavoro ridotto (ILR) mira, infatti, a superare improvvisi cali d'attività mantenendo i posti di lavoro. L'ILR rappresenta dunque un'alternativa al licenziamento offerta ai datori di lavoro dall'assicurazione contro la disoccupazione.</w:t>
      </w:r>
    </w:p>
    <w:p w:rsidR="009A0448" w:rsidRPr="009A0448" w:rsidRDefault="009A0448" w:rsidP="009A0448">
      <w:pPr>
        <w:tabs>
          <w:tab w:val="left" w:pos="426"/>
          <w:tab w:val="left" w:pos="709"/>
        </w:tabs>
        <w:rPr>
          <w:rFonts w:eastAsia="Calibri" w:cs="Arial"/>
          <w:bCs/>
          <w:i/>
          <w:iCs/>
          <w:sz w:val="24"/>
          <w:szCs w:val="24"/>
        </w:rPr>
      </w:pPr>
    </w:p>
    <w:p w:rsidR="009A0448" w:rsidRPr="009A0448" w:rsidRDefault="009A0448" w:rsidP="009A0448">
      <w:pPr>
        <w:tabs>
          <w:tab w:val="left" w:pos="426"/>
          <w:tab w:val="left" w:pos="709"/>
        </w:tabs>
        <w:rPr>
          <w:rFonts w:eastAsia="Calibri" w:cs="Arial"/>
          <w:bCs/>
          <w:i/>
          <w:iCs/>
          <w:sz w:val="24"/>
          <w:szCs w:val="24"/>
        </w:rPr>
      </w:pPr>
      <w:r w:rsidRPr="009A0448">
        <w:rPr>
          <w:rFonts w:eastAsia="Calibri" w:cs="Arial"/>
          <w:bCs/>
          <w:i/>
          <w:iCs/>
          <w:sz w:val="24"/>
          <w:szCs w:val="24"/>
        </w:rPr>
        <w:t>Questo strumento, ancorato a livello federale nella Legge sull'assicurazione contro la disoccupazione (LADI), sta dimostrando anche in questi mesi una buona efficacia, desumibile ad esempio dalla lettura dei dati relativi alle fattispecie acclarate (cfr. dati forniti dalla SECO). Dall'esame delle cifre concernenti le aziende beneficiarie, i dipendenti colpiti e le ore di lavoro perse si nota che a partire dal mese di marzo 2020 questa prestazione ha permesso di salvaguardare un cospicuo numero di posti di lavoro</w:t>
      </w:r>
      <w:r w:rsidRPr="009A0448">
        <w:rPr>
          <w:rFonts w:eastAsia="Calibri" w:cs="Arial"/>
          <w:bCs/>
          <w:iCs/>
          <w:sz w:val="24"/>
          <w:szCs w:val="24"/>
        </w:rPr>
        <w:t>»</w:t>
      </w:r>
      <w:r w:rsidRPr="009A0448">
        <w:rPr>
          <w:rFonts w:eastAsia="Calibri" w:cs="Arial"/>
          <w:bCs/>
          <w:i/>
          <w:iCs/>
          <w:sz w:val="24"/>
          <w:szCs w:val="24"/>
        </w:rPr>
        <w:t xml:space="preserve">. </w:t>
      </w:r>
    </w:p>
    <w:p w:rsidR="009A0448" w:rsidRDefault="009A0448" w:rsidP="009A0448">
      <w:pPr>
        <w:tabs>
          <w:tab w:val="left" w:pos="426"/>
          <w:tab w:val="left" w:pos="709"/>
        </w:tabs>
        <w:rPr>
          <w:rFonts w:eastAsia="Calibri" w:cs="Arial"/>
          <w:bCs/>
          <w:iCs/>
          <w:sz w:val="24"/>
          <w:szCs w:val="24"/>
        </w:rPr>
      </w:pPr>
    </w:p>
    <w:p w:rsidR="009A0448" w:rsidRPr="009A0448" w:rsidRDefault="009A0448" w:rsidP="009A0448">
      <w:pPr>
        <w:tabs>
          <w:tab w:val="left" w:pos="426"/>
          <w:tab w:val="left" w:pos="709"/>
        </w:tabs>
        <w:rPr>
          <w:rFonts w:eastAsia="Calibri" w:cs="Arial"/>
          <w:bCs/>
          <w:iCs/>
          <w:sz w:val="24"/>
          <w:szCs w:val="24"/>
        </w:rPr>
      </w:pPr>
    </w:p>
    <w:p w:rsidR="009A0448" w:rsidRPr="009A0448" w:rsidRDefault="009A0448" w:rsidP="009A0448">
      <w:pPr>
        <w:rPr>
          <w:lang w:val="it-IT" w:eastAsia="it-IT"/>
        </w:rPr>
      </w:pPr>
    </w:p>
    <w:p w:rsidR="009A0448" w:rsidRPr="009A0448" w:rsidRDefault="009A0448" w:rsidP="009A0448">
      <w:pPr>
        <w:pStyle w:val="Titolo1"/>
        <w:tabs>
          <w:tab w:val="left" w:pos="0"/>
          <w:tab w:val="left" w:pos="567"/>
        </w:tabs>
        <w:spacing w:before="0"/>
        <w:jc w:val="both"/>
        <w:rPr>
          <w:rFonts w:eastAsia="Calibri" w:cs="Times New Roman"/>
          <w:caps/>
          <w:sz w:val="24"/>
          <w:szCs w:val="24"/>
          <w:lang w:val="it-IT" w:eastAsia="it-IT"/>
        </w:rPr>
      </w:pPr>
      <w:r>
        <w:rPr>
          <w:rFonts w:eastAsia="Calibri" w:cs="Times New Roman"/>
          <w:caps/>
          <w:sz w:val="24"/>
          <w:szCs w:val="24"/>
          <w:lang w:val="it-IT" w:eastAsia="it-IT"/>
        </w:rPr>
        <w:t>3.</w:t>
      </w:r>
      <w:r>
        <w:rPr>
          <w:rFonts w:eastAsia="Calibri" w:cs="Times New Roman"/>
          <w:caps/>
          <w:sz w:val="24"/>
          <w:szCs w:val="24"/>
          <w:lang w:val="it-IT" w:eastAsia="it-IT"/>
        </w:rPr>
        <w:tab/>
      </w:r>
      <w:r w:rsidRPr="009A0448">
        <w:rPr>
          <w:rFonts w:eastAsia="Calibri" w:cs="Times New Roman"/>
          <w:caps/>
          <w:sz w:val="24"/>
          <w:szCs w:val="24"/>
          <w:lang w:val="it-IT" w:eastAsia="it-IT"/>
        </w:rPr>
        <w:t>LE Considerazioni COMMISSIONALI</w:t>
      </w:r>
    </w:p>
    <w:p w:rsidR="009A0448" w:rsidRPr="009A0448" w:rsidRDefault="009A0448" w:rsidP="009A0448">
      <w:pPr>
        <w:tabs>
          <w:tab w:val="left" w:pos="426"/>
          <w:tab w:val="left" w:pos="709"/>
        </w:tabs>
        <w:spacing w:after="120"/>
        <w:rPr>
          <w:rFonts w:eastAsia="Calibri" w:cs="Arial"/>
          <w:bCs/>
          <w:sz w:val="24"/>
          <w:szCs w:val="24"/>
        </w:rPr>
      </w:pPr>
      <w:r w:rsidRPr="009A0448">
        <w:rPr>
          <w:rFonts w:eastAsia="Calibri" w:cs="Arial"/>
          <w:bCs/>
          <w:sz w:val="24"/>
          <w:szCs w:val="24"/>
        </w:rPr>
        <w:t xml:space="preserve">I firmatari dell'atto parlamentare sono consapevoli che dal profilo della competenza la proposta sia suscettibile d'entrare in contrasto con il diritto superiore, a partire dalle disposizioni del Codice delle obbligazioni (CO) che disciplinano il contratto individuale di lavoro (art. 319 </w:t>
      </w:r>
      <w:proofErr w:type="spellStart"/>
      <w:r w:rsidRPr="009A0448">
        <w:rPr>
          <w:rFonts w:eastAsia="Calibri" w:cs="Arial"/>
          <w:bCs/>
          <w:sz w:val="24"/>
          <w:szCs w:val="24"/>
        </w:rPr>
        <w:t>ss</w:t>
      </w:r>
      <w:proofErr w:type="spellEnd"/>
      <w:r w:rsidRPr="009A0448">
        <w:rPr>
          <w:rFonts w:eastAsia="Calibri" w:cs="Arial"/>
          <w:bCs/>
          <w:sz w:val="24"/>
          <w:szCs w:val="24"/>
        </w:rPr>
        <w:t xml:space="preserve"> CO). Nello specifico, l'art. 336c CO che regola la disdetta in tempo inopportuno da parte del datore di lavoro, elencando una serie di circostanze che impediscono di fatto il licenziamento per un lasso di tempo prestabilito. </w:t>
      </w:r>
    </w:p>
    <w:p w:rsidR="009A0448" w:rsidRPr="009A0448" w:rsidRDefault="009A0448" w:rsidP="009A0448">
      <w:pPr>
        <w:rPr>
          <w:lang w:val="it-IT" w:eastAsia="it-IT"/>
        </w:rPr>
      </w:pPr>
    </w:p>
    <w:p w:rsidR="009A0448" w:rsidRPr="009A0448" w:rsidRDefault="009A0448" w:rsidP="009A0448">
      <w:pPr>
        <w:spacing w:after="120"/>
        <w:rPr>
          <w:i/>
          <w:iCs/>
          <w:sz w:val="24"/>
          <w:szCs w:val="24"/>
          <w:lang w:val="it-IT" w:eastAsia="it-IT"/>
        </w:rPr>
      </w:pPr>
      <w:r w:rsidRPr="009A0448">
        <w:rPr>
          <w:rFonts w:cs="Arial"/>
          <w:iCs/>
          <w:sz w:val="24"/>
          <w:szCs w:val="24"/>
          <w:lang w:val="it-IT" w:eastAsia="it-IT"/>
        </w:rPr>
        <w:t>«</w:t>
      </w:r>
      <w:r w:rsidRPr="009A0448">
        <w:rPr>
          <w:i/>
          <w:iCs/>
          <w:sz w:val="24"/>
          <w:szCs w:val="24"/>
          <w:lang w:val="it-IT" w:eastAsia="it-IT"/>
        </w:rPr>
        <w:t>Art. 336c</w:t>
      </w:r>
    </w:p>
    <w:p w:rsidR="009A0448" w:rsidRPr="009A0448" w:rsidRDefault="009A0448" w:rsidP="009A0448">
      <w:pPr>
        <w:rPr>
          <w:i/>
          <w:iCs/>
          <w:sz w:val="24"/>
          <w:szCs w:val="24"/>
          <w:lang w:val="it-IT" w:eastAsia="it-IT"/>
        </w:rPr>
      </w:pPr>
      <w:r w:rsidRPr="009A0448">
        <w:rPr>
          <w:i/>
          <w:iCs/>
          <w:sz w:val="24"/>
          <w:szCs w:val="24"/>
          <w:lang w:val="it-IT" w:eastAsia="it-IT"/>
        </w:rPr>
        <w:t>1 Dopo il tempo di prova, il datore di lavoro non può disdire il rapporto di lavoro:</w:t>
      </w:r>
    </w:p>
    <w:p w:rsidR="009A0448" w:rsidRPr="009A0448" w:rsidRDefault="009A0448" w:rsidP="009A0448">
      <w:pPr>
        <w:rPr>
          <w:i/>
          <w:iCs/>
          <w:sz w:val="24"/>
          <w:szCs w:val="24"/>
          <w:lang w:val="it-IT" w:eastAsia="it-IT"/>
        </w:rPr>
      </w:pPr>
    </w:p>
    <w:p w:rsidR="009A0448" w:rsidRPr="009A0448" w:rsidRDefault="009A0448" w:rsidP="009A0448">
      <w:pPr>
        <w:spacing w:after="120"/>
        <w:ind w:left="709" w:hanging="567"/>
        <w:rPr>
          <w:i/>
          <w:iCs/>
          <w:sz w:val="24"/>
          <w:szCs w:val="24"/>
          <w:lang w:val="it-IT" w:eastAsia="it-IT"/>
        </w:rPr>
      </w:pPr>
      <w:r w:rsidRPr="009A0448">
        <w:rPr>
          <w:i/>
          <w:iCs/>
          <w:sz w:val="24"/>
          <w:szCs w:val="24"/>
          <w:lang w:val="it-IT" w:eastAsia="it-IT"/>
        </w:rPr>
        <w:t>a.</w:t>
      </w:r>
      <w:r w:rsidRPr="009A0448">
        <w:rPr>
          <w:i/>
          <w:iCs/>
          <w:sz w:val="24"/>
          <w:szCs w:val="24"/>
          <w:lang w:val="it-IT" w:eastAsia="it-IT"/>
        </w:rPr>
        <w:tab/>
        <w:t>allorquando il lavoratore presta servizio obbligatorio svizzero, militare o di protezione civile, oppure servizio civile svizzero e, in quanto il servizio duri più di 11197 giorni, nelle quattro settimane precedenti e seguenti;</w:t>
      </w:r>
    </w:p>
    <w:p w:rsidR="009A0448" w:rsidRPr="009A0448" w:rsidRDefault="009A0448" w:rsidP="009A0448">
      <w:pPr>
        <w:ind w:left="709" w:hanging="567"/>
        <w:rPr>
          <w:i/>
          <w:iCs/>
          <w:sz w:val="24"/>
          <w:szCs w:val="24"/>
          <w:lang w:val="it-IT" w:eastAsia="it-IT"/>
        </w:rPr>
      </w:pPr>
      <w:r w:rsidRPr="009A0448">
        <w:rPr>
          <w:i/>
          <w:iCs/>
          <w:sz w:val="24"/>
          <w:szCs w:val="24"/>
          <w:lang w:val="it-IT" w:eastAsia="it-IT"/>
        </w:rPr>
        <w:t>b.</w:t>
      </w:r>
      <w:r w:rsidRPr="009A0448">
        <w:rPr>
          <w:i/>
          <w:iCs/>
          <w:sz w:val="24"/>
          <w:szCs w:val="24"/>
          <w:lang w:val="it-IT" w:eastAsia="it-IT"/>
        </w:rPr>
        <w:tab/>
        <w:t>allorquando il lavoratore è impedito di lavorare, in tutto o in parte, a causa di malattia o infortunio non imputabili a sua colpa, per 30 giorni nel primo anno di servizio, per 90 giorni dal secondo anno di servizio sino al quinto compreso e per 180 giorni dal sesto anno di servizio;</w:t>
      </w:r>
    </w:p>
    <w:p w:rsidR="009A0448" w:rsidRPr="009A0448" w:rsidRDefault="009A0448" w:rsidP="009A0448">
      <w:pPr>
        <w:spacing w:after="120"/>
        <w:ind w:left="709" w:hanging="567"/>
        <w:rPr>
          <w:i/>
          <w:iCs/>
          <w:sz w:val="24"/>
          <w:szCs w:val="24"/>
          <w:lang w:val="it-IT" w:eastAsia="it-IT"/>
        </w:rPr>
      </w:pPr>
      <w:r w:rsidRPr="009A0448">
        <w:rPr>
          <w:i/>
          <w:iCs/>
          <w:sz w:val="24"/>
          <w:szCs w:val="24"/>
          <w:lang w:val="it-IT" w:eastAsia="it-IT"/>
        </w:rPr>
        <w:t>c.</w:t>
      </w:r>
      <w:r w:rsidRPr="009A0448">
        <w:rPr>
          <w:i/>
          <w:iCs/>
          <w:sz w:val="24"/>
          <w:szCs w:val="24"/>
          <w:lang w:val="it-IT" w:eastAsia="it-IT"/>
        </w:rPr>
        <w:tab/>
        <w:t>durante la gravidanza e nelle 16 settimane dopo il parto della lavoratrice;</w:t>
      </w:r>
    </w:p>
    <w:p w:rsidR="009A0448" w:rsidRPr="009A0448" w:rsidRDefault="009A0448" w:rsidP="009A0448">
      <w:pPr>
        <w:spacing w:after="120"/>
        <w:ind w:left="709" w:hanging="567"/>
        <w:rPr>
          <w:i/>
          <w:iCs/>
          <w:sz w:val="24"/>
          <w:szCs w:val="24"/>
          <w:lang w:val="it-IT" w:eastAsia="it-IT"/>
        </w:rPr>
      </w:pPr>
      <w:proofErr w:type="spellStart"/>
      <w:r w:rsidRPr="009A0448">
        <w:rPr>
          <w:i/>
          <w:iCs/>
          <w:sz w:val="24"/>
          <w:szCs w:val="24"/>
          <w:lang w:val="it-IT" w:eastAsia="it-IT"/>
        </w:rPr>
        <w:t>c.bis</w:t>
      </w:r>
      <w:proofErr w:type="spellEnd"/>
      <w:r w:rsidRPr="009A0448">
        <w:rPr>
          <w:i/>
          <w:iCs/>
          <w:sz w:val="24"/>
          <w:szCs w:val="24"/>
          <w:lang w:val="it-IT" w:eastAsia="it-IT"/>
        </w:rPr>
        <w:t xml:space="preserve"> </w:t>
      </w:r>
      <w:r w:rsidRPr="009A0448">
        <w:rPr>
          <w:i/>
          <w:iCs/>
          <w:sz w:val="24"/>
          <w:szCs w:val="24"/>
          <w:lang w:val="it-IT" w:eastAsia="it-IT"/>
        </w:rPr>
        <w:tab/>
        <w:t>prima del termine del congedo di maternità prolungato conformemente all’articolo 329f capoverso 2;</w:t>
      </w:r>
    </w:p>
    <w:p w:rsidR="009A0448" w:rsidRPr="009A0448" w:rsidRDefault="009A0448" w:rsidP="009A0448">
      <w:pPr>
        <w:spacing w:after="120"/>
        <w:ind w:left="709" w:hanging="567"/>
        <w:rPr>
          <w:i/>
          <w:iCs/>
          <w:sz w:val="24"/>
          <w:szCs w:val="24"/>
          <w:lang w:val="it-IT" w:eastAsia="it-IT"/>
        </w:rPr>
      </w:pPr>
      <w:proofErr w:type="spellStart"/>
      <w:r w:rsidRPr="009A0448">
        <w:rPr>
          <w:i/>
          <w:iCs/>
          <w:sz w:val="24"/>
          <w:szCs w:val="24"/>
          <w:lang w:val="it-IT" w:eastAsia="it-IT"/>
        </w:rPr>
        <w:t>c.ter</w:t>
      </w:r>
      <w:proofErr w:type="spellEnd"/>
      <w:r w:rsidRPr="009A0448">
        <w:rPr>
          <w:i/>
          <w:iCs/>
          <w:sz w:val="24"/>
          <w:szCs w:val="24"/>
          <w:lang w:val="it-IT" w:eastAsia="it-IT"/>
        </w:rPr>
        <w:t xml:space="preserve"> </w:t>
      </w:r>
      <w:r w:rsidRPr="009A0448">
        <w:rPr>
          <w:i/>
          <w:iCs/>
          <w:sz w:val="24"/>
          <w:szCs w:val="24"/>
          <w:lang w:val="it-IT" w:eastAsia="it-IT"/>
        </w:rPr>
        <w:tab/>
        <w:t>finché sussiste il diritto al congedo di assistenza di cui all’articolo 329i, ma al massimo per sei mesi a decorrere dall’inizio del termine quadro;</w:t>
      </w:r>
    </w:p>
    <w:p w:rsidR="009A0448" w:rsidRPr="009A0448" w:rsidRDefault="009A0448" w:rsidP="009A0448">
      <w:pPr>
        <w:spacing w:after="120"/>
        <w:ind w:left="709" w:hanging="567"/>
        <w:rPr>
          <w:i/>
          <w:iCs/>
          <w:sz w:val="24"/>
          <w:szCs w:val="24"/>
          <w:lang w:val="it-IT" w:eastAsia="it-IT"/>
        </w:rPr>
      </w:pPr>
      <w:r w:rsidRPr="009A0448">
        <w:rPr>
          <w:i/>
          <w:iCs/>
          <w:sz w:val="24"/>
          <w:szCs w:val="24"/>
          <w:lang w:val="it-IT" w:eastAsia="it-IT"/>
        </w:rPr>
        <w:t xml:space="preserve">d. </w:t>
      </w:r>
      <w:r w:rsidRPr="009A0448">
        <w:rPr>
          <w:i/>
          <w:iCs/>
          <w:sz w:val="24"/>
          <w:szCs w:val="24"/>
          <w:lang w:val="it-IT" w:eastAsia="it-IT"/>
        </w:rPr>
        <w:tab/>
        <w:t>allorquando, con il suo consenso, il lavoratore partecipa a un servizio, ordinato dall’autorità federale competente, nell’ambito dell’aiuto all’estero</w:t>
      </w:r>
      <w:r w:rsidRPr="009A0448">
        <w:rPr>
          <w:rFonts w:cs="Arial"/>
          <w:iCs/>
          <w:sz w:val="24"/>
          <w:szCs w:val="24"/>
          <w:lang w:val="it-IT" w:eastAsia="it-IT"/>
        </w:rPr>
        <w:t xml:space="preserve">». </w:t>
      </w:r>
    </w:p>
    <w:p w:rsidR="009A0448" w:rsidRPr="009A0448" w:rsidRDefault="009A0448" w:rsidP="009A0448">
      <w:pPr>
        <w:rPr>
          <w:sz w:val="24"/>
          <w:szCs w:val="24"/>
          <w:lang w:val="it-IT" w:eastAsia="it-IT"/>
        </w:rPr>
      </w:pPr>
    </w:p>
    <w:p w:rsidR="009A0448" w:rsidRPr="009A0448" w:rsidRDefault="009A0448" w:rsidP="009A0448">
      <w:pPr>
        <w:rPr>
          <w:sz w:val="24"/>
          <w:szCs w:val="24"/>
          <w:lang w:val="it-IT" w:eastAsia="it-IT"/>
        </w:rPr>
      </w:pPr>
      <w:r w:rsidRPr="009A0448">
        <w:rPr>
          <w:sz w:val="24"/>
          <w:szCs w:val="24"/>
          <w:lang w:val="it-IT" w:eastAsia="it-IT"/>
        </w:rPr>
        <w:t xml:space="preserve">Un contrasto confermato anche dal Consiglio di Stato nella sopraccitata missiva. </w:t>
      </w:r>
    </w:p>
    <w:p w:rsidR="009A0448" w:rsidRPr="009A0448" w:rsidRDefault="009A0448" w:rsidP="009A0448">
      <w:pPr>
        <w:rPr>
          <w:sz w:val="24"/>
          <w:szCs w:val="24"/>
          <w:lang w:val="it-IT" w:eastAsia="it-IT"/>
        </w:rPr>
      </w:pPr>
    </w:p>
    <w:p w:rsidR="009A0448" w:rsidRPr="009A0448" w:rsidRDefault="009A0448" w:rsidP="009A0448">
      <w:pPr>
        <w:rPr>
          <w:sz w:val="24"/>
          <w:szCs w:val="24"/>
          <w:lang w:val="it-IT" w:eastAsia="it-IT"/>
        </w:rPr>
      </w:pPr>
      <w:r w:rsidRPr="009A0448">
        <w:rPr>
          <w:sz w:val="24"/>
          <w:szCs w:val="24"/>
          <w:lang w:val="it-IT" w:eastAsia="it-IT"/>
        </w:rPr>
        <w:t>Seppur i firmatari ritengano ci siano dei margini per i Cantoni di emanare norme di diritto pubblico in concorso con il diritto federale privato, la scrivente Commissione, alla luce del fatto che la gestione delle pandemie è primariamente di competenza federale, ritiene che un simile divieto debba innanzitutto esser emanato a livello federale.</w:t>
      </w:r>
    </w:p>
    <w:p w:rsidR="009A0448" w:rsidRPr="009A0448" w:rsidRDefault="009A0448" w:rsidP="009A0448">
      <w:pPr>
        <w:rPr>
          <w:sz w:val="24"/>
          <w:szCs w:val="24"/>
          <w:lang w:val="it-IT" w:eastAsia="it-IT"/>
        </w:rPr>
      </w:pPr>
    </w:p>
    <w:p w:rsidR="009A0448" w:rsidRDefault="009A0448" w:rsidP="009A0448">
      <w:pPr>
        <w:rPr>
          <w:sz w:val="24"/>
          <w:szCs w:val="24"/>
          <w:lang w:val="it-IT" w:eastAsia="it-IT"/>
        </w:rPr>
      </w:pPr>
      <w:r w:rsidRPr="009A0448">
        <w:rPr>
          <w:sz w:val="24"/>
          <w:szCs w:val="24"/>
          <w:lang w:val="it-IT" w:eastAsia="it-IT"/>
        </w:rPr>
        <w:lastRenderedPageBreak/>
        <w:t xml:space="preserve">La Commissione è inoltre del parere che misure di sostegno all'occupazione, come quelle introdotte a livello federale durante la pandemia tramite i crediti Covid-19 e le procedure agevolate per le richieste relative alle indennità per lavoro ridotto (ILR) siano da preferire a un semplice divieto generale di licenziamento. </w:t>
      </w:r>
    </w:p>
    <w:p w:rsidR="009A0448" w:rsidRPr="009A0448" w:rsidRDefault="009A0448" w:rsidP="009A0448">
      <w:pPr>
        <w:rPr>
          <w:sz w:val="24"/>
          <w:szCs w:val="24"/>
          <w:lang w:val="it-IT" w:eastAsia="it-IT"/>
        </w:rPr>
      </w:pPr>
    </w:p>
    <w:p w:rsidR="009A0448" w:rsidRDefault="009A0448" w:rsidP="009A0448">
      <w:pPr>
        <w:rPr>
          <w:sz w:val="24"/>
          <w:szCs w:val="24"/>
          <w:lang w:val="it-IT" w:eastAsia="it-IT"/>
        </w:rPr>
      </w:pPr>
      <w:r w:rsidRPr="009A0448">
        <w:rPr>
          <w:sz w:val="24"/>
          <w:szCs w:val="24"/>
          <w:lang w:val="it-IT" w:eastAsia="it-IT"/>
        </w:rPr>
        <w:t xml:space="preserve">Queste misure, lo ricordiamo, hanno toccato un numero ragguardevole di imprese e impiegati. </w:t>
      </w:r>
    </w:p>
    <w:p w:rsidR="009A0448" w:rsidRPr="009A0448" w:rsidRDefault="009A0448" w:rsidP="009A0448">
      <w:pPr>
        <w:rPr>
          <w:sz w:val="24"/>
          <w:szCs w:val="24"/>
          <w:lang w:val="it-IT" w:eastAsia="it-IT"/>
        </w:rPr>
      </w:pPr>
    </w:p>
    <w:p w:rsidR="009A0448" w:rsidRPr="009A0448" w:rsidRDefault="009A0448" w:rsidP="009A0448">
      <w:pPr>
        <w:rPr>
          <w:sz w:val="24"/>
          <w:szCs w:val="24"/>
          <w:lang w:val="it-IT" w:eastAsia="it-IT"/>
        </w:rPr>
      </w:pPr>
      <w:r w:rsidRPr="009A0448">
        <w:rPr>
          <w:sz w:val="24"/>
          <w:szCs w:val="24"/>
          <w:lang w:val="it-IT" w:eastAsia="it-IT"/>
        </w:rPr>
        <w:t xml:space="preserve">Per quanto riguarda le ILR, da marzo 2020 a dicembre 2022 vi erano infatti una media mensile di 19'000 lavoratori e 2'679 imprese al beneficio di questa preziosa prestazione, per un totale di 943.1 milioni di franchi versati nell'intero periodo. </w:t>
      </w:r>
    </w:p>
    <w:p w:rsidR="009A0448" w:rsidRPr="009A0448" w:rsidRDefault="009A0448" w:rsidP="009A0448">
      <w:pPr>
        <w:rPr>
          <w:sz w:val="24"/>
          <w:szCs w:val="24"/>
          <w:lang w:val="it-IT" w:eastAsia="it-IT"/>
        </w:rPr>
      </w:pPr>
    </w:p>
    <w:p w:rsidR="009A0448" w:rsidRPr="009A0448" w:rsidRDefault="009A0448" w:rsidP="009A0448">
      <w:pPr>
        <w:rPr>
          <w:sz w:val="24"/>
          <w:szCs w:val="24"/>
          <w:lang w:val="it-IT" w:eastAsia="it-IT"/>
        </w:rPr>
      </w:pPr>
      <w:r w:rsidRPr="009A0448">
        <w:rPr>
          <w:noProof/>
          <w:sz w:val="24"/>
          <w:szCs w:val="24"/>
          <w:lang w:eastAsia="it-CH"/>
        </w:rPr>
        <w:drawing>
          <wp:inline distT="0" distB="0" distL="0" distR="0" wp14:anchorId="4D87FD76" wp14:editId="751367BD">
            <wp:extent cx="6022975" cy="2791460"/>
            <wp:effectExtent l="0" t="0" r="0" b="8890"/>
            <wp:docPr id="205095110" name="Immagine 1" descr="Immagine che contiene testo, schermata, Carattere, nume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95110" name="Immagine 1" descr="Immagine che contiene testo, schermata, Carattere, numero&#10;&#10;Descrizione generata automaticamente"/>
                    <pic:cNvPicPr/>
                  </pic:nvPicPr>
                  <pic:blipFill>
                    <a:blip r:embed="rId11"/>
                    <a:stretch>
                      <a:fillRect/>
                    </a:stretch>
                  </pic:blipFill>
                  <pic:spPr>
                    <a:xfrm>
                      <a:off x="0" y="0"/>
                      <a:ext cx="6022975" cy="2791460"/>
                    </a:xfrm>
                    <a:prstGeom prst="rect">
                      <a:avLst/>
                    </a:prstGeom>
                  </pic:spPr>
                </pic:pic>
              </a:graphicData>
            </a:graphic>
          </wp:inline>
        </w:drawing>
      </w:r>
    </w:p>
    <w:p w:rsidR="009A0448" w:rsidRPr="009A0448" w:rsidRDefault="009A0448" w:rsidP="009A0448">
      <w:pPr>
        <w:rPr>
          <w:lang w:val="it-IT" w:eastAsia="it-IT"/>
        </w:rPr>
      </w:pPr>
      <w:r w:rsidRPr="009A0448">
        <w:rPr>
          <w:noProof/>
          <w:lang w:eastAsia="it-CH"/>
        </w:rPr>
        <w:drawing>
          <wp:inline distT="0" distB="0" distL="0" distR="0" wp14:anchorId="047FAFA1" wp14:editId="3181719B">
            <wp:extent cx="6022975" cy="3688080"/>
            <wp:effectExtent l="0" t="0" r="0" b="7620"/>
            <wp:docPr id="429484342" name="Immagine 1" descr="Immagine che contiene testo, Diagramma, linea,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484342" name="Immagine 1" descr="Immagine che contiene testo, Diagramma, linea, diagramma&#10;&#10;Descrizione generata automaticamente"/>
                    <pic:cNvPicPr/>
                  </pic:nvPicPr>
                  <pic:blipFill>
                    <a:blip r:embed="rId12"/>
                    <a:stretch>
                      <a:fillRect/>
                    </a:stretch>
                  </pic:blipFill>
                  <pic:spPr>
                    <a:xfrm>
                      <a:off x="0" y="0"/>
                      <a:ext cx="6022975" cy="3688080"/>
                    </a:xfrm>
                    <a:prstGeom prst="rect">
                      <a:avLst/>
                    </a:prstGeom>
                  </pic:spPr>
                </pic:pic>
              </a:graphicData>
            </a:graphic>
          </wp:inline>
        </w:drawing>
      </w:r>
    </w:p>
    <w:p w:rsidR="009A0448" w:rsidRPr="009A0448" w:rsidRDefault="009A0448" w:rsidP="009A0448">
      <w:pPr>
        <w:rPr>
          <w:lang w:val="it-IT" w:eastAsia="it-IT"/>
        </w:rPr>
      </w:pPr>
      <w:r w:rsidRPr="009A0448">
        <w:rPr>
          <w:noProof/>
          <w:lang w:eastAsia="it-CH"/>
        </w:rPr>
        <w:lastRenderedPageBreak/>
        <w:drawing>
          <wp:inline distT="0" distB="0" distL="0" distR="0" wp14:anchorId="4DF0110A" wp14:editId="0DCA7C49">
            <wp:extent cx="6022975" cy="3463290"/>
            <wp:effectExtent l="0" t="0" r="0" b="3810"/>
            <wp:docPr id="498347139" name="Immagine 1" descr="Immagine che contiene testo, schermata, Diagramm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347139" name="Immagine 1" descr="Immagine che contiene testo, schermata, Diagramma, Carattere&#10;&#10;Descrizione generata automaticamente"/>
                    <pic:cNvPicPr/>
                  </pic:nvPicPr>
                  <pic:blipFill>
                    <a:blip r:embed="rId13"/>
                    <a:stretch>
                      <a:fillRect/>
                    </a:stretch>
                  </pic:blipFill>
                  <pic:spPr>
                    <a:xfrm>
                      <a:off x="0" y="0"/>
                      <a:ext cx="6022975" cy="3463290"/>
                    </a:xfrm>
                    <a:prstGeom prst="rect">
                      <a:avLst/>
                    </a:prstGeom>
                  </pic:spPr>
                </pic:pic>
              </a:graphicData>
            </a:graphic>
          </wp:inline>
        </w:drawing>
      </w:r>
    </w:p>
    <w:p w:rsidR="009A0448" w:rsidRPr="009A0448" w:rsidRDefault="009A0448" w:rsidP="009A0448">
      <w:pPr>
        <w:rPr>
          <w:lang w:val="it-IT" w:eastAsia="it-IT"/>
        </w:rPr>
      </w:pPr>
    </w:p>
    <w:p w:rsidR="009A0448" w:rsidRPr="009A0448" w:rsidRDefault="009A0448" w:rsidP="009A0448">
      <w:pPr>
        <w:rPr>
          <w:lang w:val="it-IT" w:eastAsia="it-IT"/>
        </w:rPr>
      </w:pPr>
      <w:r w:rsidRPr="009A0448">
        <w:rPr>
          <w:noProof/>
          <w:lang w:eastAsia="it-CH"/>
        </w:rPr>
        <w:drawing>
          <wp:inline distT="0" distB="0" distL="0" distR="0" wp14:anchorId="2C0EB338" wp14:editId="4AFE35BF">
            <wp:extent cx="6022975" cy="3509645"/>
            <wp:effectExtent l="0" t="0" r="0" b="0"/>
            <wp:docPr id="1934558629" name="Immagine 1" descr="Immagine che contiene testo, schermata, Diagramma, line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558629" name="Immagine 1" descr="Immagine che contiene testo, schermata, Diagramma, linea&#10;&#10;Descrizione generata automaticamente"/>
                    <pic:cNvPicPr/>
                  </pic:nvPicPr>
                  <pic:blipFill>
                    <a:blip r:embed="rId14"/>
                    <a:stretch>
                      <a:fillRect/>
                    </a:stretch>
                  </pic:blipFill>
                  <pic:spPr>
                    <a:xfrm>
                      <a:off x="0" y="0"/>
                      <a:ext cx="6022975" cy="3509645"/>
                    </a:xfrm>
                    <a:prstGeom prst="rect">
                      <a:avLst/>
                    </a:prstGeom>
                  </pic:spPr>
                </pic:pic>
              </a:graphicData>
            </a:graphic>
          </wp:inline>
        </w:drawing>
      </w:r>
    </w:p>
    <w:p w:rsidR="009A0448" w:rsidRPr="009A0448" w:rsidRDefault="009A0448" w:rsidP="009A0448">
      <w:pPr>
        <w:rPr>
          <w:lang w:val="it-IT" w:eastAsia="it-IT"/>
        </w:rPr>
      </w:pPr>
    </w:p>
    <w:p w:rsidR="009A0448" w:rsidRPr="009A0448" w:rsidRDefault="009A0448" w:rsidP="009A0448">
      <w:pPr>
        <w:rPr>
          <w:sz w:val="24"/>
          <w:szCs w:val="24"/>
          <w:lang w:val="it-IT" w:eastAsia="it-IT"/>
        </w:rPr>
      </w:pPr>
      <w:r w:rsidRPr="009A0448">
        <w:rPr>
          <w:sz w:val="24"/>
          <w:szCs w:val="24"/>
          <w:lang w:val="it-IT" w:eastAsia="it-IT"/>
        </w:rPr>
        <w:t xml:space="preserve">È soprattutto grazie alle indennità per lavoro ridotto che un numero elevato di aziende ha potuto continuare la propria attività economica, superare la crisi pandemica e, di conseguenza, salvaguardare migliaia di posti di lavoro in Ticino. </w:t>
      </w:r>
    </w:p>
    <w:p w:rsidR="009A0448" w:rsidRPr="009A0448" w:rsidRDefault="009A0448" w:rsidP="009A0448">
      <w:pPr>
        <w:rPr>
          <w:lang w:val="it-IT" w:eastAsia="it-IT"/>
        </w:rPr>
      </w:pPr>
    </w:p>
    <w:p w:rsidR="009A0448" w:rsidRPr="009A0448" w:rsidRDefault="009A0448" w:rsidP="009A0448">
      <w:pPr>
        <w:rPr>
          <w:sz w:val="24"/>
          <w:szCs w:val="24"/>
          <w:lang w:val="it-IT" w:eastAsia="it-IT"/>
        </w:rPr>
      </w:pPr>
      <w:r w:rsidRPr="009A0448">
        <w:rPr>
          <w:sz w:val="24"/>
          <w:szCs w:val="24"/>
          <w:lang w:val="it-IT" w:eastAsia="it-IT"/>
        </w:rPr>
        <w:t>Alla luce di quanto esposto, la Commissione non ritiene quindi necessario dar seguito alla proposta oggetto della presente iniziativa parlamentare.</w:t>
      </w:r>
    </w:p>
    <w:p w:rsidR="009A0448" w:rsidRPr="009A0448" w:rsidRDefault="009A0448" w:rsidP="009A0448">
      <w:pPr>
        <w:rPr>
          <w:sz w:val="24"/>
          <w:szCs w:val="24"/>
          <w:lang w:val="it-IT" w:eastAsia="it-IT"/>
        </w:rPr>
      </w:pPr>
    </w:p>
    <w:p w:rsidR="009A0448" w:rsidRPr="009A0448" w:rsidRDefault="009A0448" w:rsidP="009A0448">
      <w:pPr>
        <w:rPr>
          <w:sz w:val="24"/>
          <w:szCs w:val="24"/>
          <w:lang w:val="it-IT" w:eastAsia="it-IT"/>
        </w:rPr>
      </w:pPr>
    </w:p>
    <w:p w:rsidR="009A0448" w:rsidRPr="009A0448" w:rsidRDefault="009A0448" w:rsidP="009A0448">
      <w:pPr>
        <w:pStyle w:val="Titolo1"/>
        <w:tabs>
          <w:tab w:val="left" w:pos="0"/>
          <w:tab w:val="left" w:pos="567"/>
        </w:tabs>
        <w:spacing w:before="0"/>
        <w:jc w:val="both"/>
        <w:rPr>
          <w:rFonts w:eastAsia="Calibri" w:cs="Times New Roman"/>
          <w:caps/>
          <w:sz w:val="24"/>
          <w:szCs w:val="24"/>
          <w:lang w:val="it-IT" w:eastAsia="it-IT"/>
        </w:rPr>
      </w:pPr>
      <w:r>
        <w:rPr>
          <w:rFonts w:eastAsia="Calibri" w:cs="Times New Roman"/>
          <w:caps/>
          <w:sz w:val="24"/>
          <w:szCs w:val="24"/>
          <w:lang w:val="it-IT" w:eastAsia="it-IT"/>
        </w:rPr>
        <w:lastRenderedPageBreak/>
        <w:t>3.</w:t>
      </w:r>
      <w:r>
        <w:rPr>
          <w:rFonts w:eastAsia="Calibri" w:cs="Times New Roman"/>
          <w:caps/>
          <w:sz w:val="24"/>
          <w:szCs w:val="24"/>
          <w:lang w:val="it-IT" w:eastAsia="it-IT"/>
        </w:rPr>
        <w:tab/>
      </w:r>
      <w:r w:rsidRPr="009A0448">
        <w:rPr>
          <w:rFonts w:eastAsia="Calibri" w:cs="Times New Roman"/>
          <w:caps/>
          <w:sz w:val="24"/>
          <w:szCs w:val="24"/>
          <w:lang w:val="it-IT" w:eastAsia="it-IT"/>
        </w:rPr>
        <w:t>Conclusioni</w:t>
      </w:r>
    </w:p>
    <w:p w:rsidR="009A0448" w:rsidRPr="009A0448" w:rsidRDefault="009A0448" w:rsidP="009A0448">
      <w:pPr>
        <w:tabs>
          <w:tab w:val="left" w:pos="426"/>
          <w:tab w:val="left" w:pos="709"/>
        </w:tabs>
        <w:rPr>
          <w:rFonts w:eastAsia="Times New Roman" w:cs="Arial"/>
          <w:bCs/>
          <w:strike/>
          <w:color w:val="FF0000"/>
          <w:sz w:val="24"/>
          <w:szCs w:val="24"/>
          <w:lang w:eastAsia="it-CH"/>
        </w:rPr>
      </w:pPr>
      <w:r w:rsidRPr="009A0448">
        <w:rPr>
          <w:rFonts w:eastAsia="Times New Roman" w:cs="Arial"/>
          <w:bCs/>
          <w:sz w:val="24"/>
          <w:szCs w:val="24"/>
          <w:lang w:eastAsia="it-CH"/>
        </w:rPr>
        <w:t xml:space="preserve">Per quanto sopra esposto, la Commissione economia e lavoro invita il Gran Consiglio a respingere l'iniziativa parlamentare del 15 maggio 2020 presentata nella forma generica da Massimiliano Ay e Lea Ferrari "Vietare i licenziamenti durante una pandemia". </w:t>
      </w:r>
    </w:p>
    <w:p w:rsidR="009A0448" w:rsidRPr="009A0448" w:rsidRDefault="009A0448" w:rsidP="009A0448">
      <w:pPr>
        <w:tabs>
          <w:tab w:val="left" w:pos="426"/>
          <w:tab w:val="left" w:pos="709"/>
        </w:tabs>
        <w:rPr>
          <w:rFonts w:eastAsia="Times New Roman" w:cs="Arial"/>
          <w:bCs/>
          <w:sz w:val="24"/>
          <w:szCs w:val="24"/>
          <w:lang w:eastAsia="it-CH"/>
        </w:rPr>
      </w:pPr>
    </w:p>
    <w:p w:rsidR="009A0448" w:rsidRPr="009A0448" w:rsidRDefault="009A0448" w:rsidP="009A0448">
      <w:pPr>
        <w:tabs>
          <w:tab w:val="left" w:pos="426"/>
          <w:tab w:val="left" w:pos="709"/>
        </w:tabs>
        <w:rPr>
          <w:rFonts w:eastAsia="Times New Roman" w:cs="Arial"/>
          <w:bCs/>
          <w:sz w:val="24"/>
          <w:szCs w:val="24"/>
          <w:lang w:eastAsia="it-CH"/>
        </w:rPr>
      </w:pPr>
    </w:p>
    <w:p w:rsidR="009A0448" w:rsidRPr="009A0448" w:rsidRDefault="009A0448" w:rsidP="009A0448">
      <w:pPr>
        <w:spacing w:after="120"/>
        <w:rPr>
          <w:rFonts w:eastAsia="Calibri" w:cs="Arial"/>
          <w:sz w:val="24"/>
          <w:szCs w:val="24"/>
        </w:rPr>
      </w:pPr>
      <w:r w:rsidRPr="009A0448">
        <w:rPr>
          <w:rFonts w:eastAsia="Calibri" w:cs="Arial"/>
          <w:sz w:val="24"/>
          <w:szCs w:val="24"/>
        </w:rPr>
        <w:t>Per la Commissione economia e lavoro:</w:t>
      </w:r>
    </w:p>
    <w:p w:rsidR="009A0448" w:rsidRDefault="009A0448" w:rsidP="009A0448">
      <w:pPr>
        <w:rPr>
          <w:rFonts w:eastAsia="Calibri" w:cs="Arial"/>
          <w:sz w:val="24"/>
          <w:szCs w:val="24"/>
        </w:rPr>
      </w:pPr>
      <w:r w:rsidRPr="009A0448">
        <w:rPr>
          <w:rFonts w:eastAsia="Calibri" w:cs="Arial"/>
          <w:sz w:val="24"/>
          <w:szCs w:val="24"/>
        </w:rPr>
        <w:t>Alain Bühler, relatore</w:t>
      </w:r>
    </w:p>
    <w:p w:rsidR="009A0448" w:rsidRDefault="009A0448" w:rsidP="009A0448">
      <w:pPr>
        <w:rPr>
          <w:rFonts w:eastAsia="Calibri" w:cs="Arial"/>
          <w:sz w:val="24"/>
          <w:szCs w:val="24"/>
        </w:rPr>
      </w:pPr>
      <w:r>
        <w:rPr>
          <w:rFonts w:eastAsia="Calibri" w:cs="Arial"/>
          <w:sz w:val="24"/>
          <w:szCs w:val="24"/>
        </w:rPr>
        <w:t xml:space="preserve">Balli - Censi - Corti - Demir - Ghisla - </w:t>
      </w:r>
    </w:p>
    <w:p w:rsidR="009A0448" w:rsidRDefault="009A0448" w:rsidP="009A0448">
      <w:pPr>
        <w:rPr>
          <w:rFonts w:eastAsia="Calibri" w:cs="Arial"/>
          <w:sz w:val="24"/>
          <w:szCs w:val="24"/>
        </w:rPr>
      </w:pPr>
      <w:r>
        <w:rPr>
          <w:rFonts w:eastAsia="Calibri" w:cs="Arial"/>
          <w:sz w:val="24"/>
          <w:szCs w:val="24"/>
        </w:rPr>
        <w:t xml:space="preserve">Isabella - Maderni - Minotti - Mirante - </w:t>
      </w:r>
    </w:p>
    <w:p w:rsidR="009A0448" w:rsidRPr="009A0448" w:rsidRDefault="009A0448" w:rsidP="009A0448">
      <w:pPr>
        <w:rPr>
          <w:rFonts w:eastAsia="Calibri" w:cs="Arial"/>
          <w:sz w:val="24"/>
          <w:szCs w:val="24"/>
        </w:rPr>
      </w:pPr>
      <w:r>
        <w:rPr>
          <w:rFonts w:eastAsia="Calibri" w:cs="Arial"/>
          <w:sz w:val="24"/>
          <w:szCs w:val="24"/>
        </w:rPr>
        <w:t>Passardi - Piezzi - Renzetti - Speziali</w:t>
      </w:r>
    </w:p>
    <w:p w:rsidR="00D649A8" w:rsidRPr="00D030C0" w:rsidRDefault="00D649A8" w:rsidP="00D33940">
      <w:pPr>
        <w:pStyle w:val="StandardRisoluzionedelConsigliodiStato"/>
        <w:ind w:right="-1"/>
      </w:pPr>
    </w:p>
    <w:sectPr w:rsidR="00D649A8" w:rsidRPr="00D030C0" w:rsidSect="00375115">
      <w:headerReference w:type="even" r:id="rId15"/>
      <w:headerReference w:type="default" r:id="rId16"/>
      <w:footerReference w:type="even" r:id="rId17"/>
      <w:footerReference w:type="default" r:id="rId18"/>
      <w:headerReference w:type="first" r:id="rId19"/>
      <w:footerReference w:type="first" r:id="rId20"/>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0C0" w:rsidRDefault="00D030C0" w:rsidP="00F657BF">
      <w:r>
        <w:separator/>
      </w:r>
    </w:p>
  </w:endnote>
  <w:endnote w:type="continuationSeparator" w:id="0">
    <w:p w:rsidR="00D030C0" w:rsidRDefault="00D030C0"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0C0" w:rsidRDefault="00D030C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D040F4" w:rsidP="00912E34">
          <w:pPr>
            <w:tabs>
              <w:tab w:val="center" w:pos="2382"/>
            </w:tabs>
          </w:pPr>
        </w:p>
      </w:tc>
      <w:tc>
        <w:tcPr>
          <w:tcW w:w="721" w:type="dxa"/>
        </w:tcPr>
        <w:p w:rsidR="00912E34" w:rsidRPr="003D1008" w:rsidRDefault="00F27D92"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F27D92"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D040F4" w:rsidP="00912E34"/>
      </w:tc>
    </w:tr>
  </w:tbl>
  <w:p w:rsidR="00F657BF" w:rsidRDefault="00F657BF" w:rsidP="00F5689F">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D040F4">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0C0" w:rsidRDefault="00D030C0" w:rsidP="00F657BF">
      <w:r>
        <w:separator/>
      </w:r>
    </w:p>
  </w:footnote>
  <w:footnote w:type="continuationSeparator" w:id="0">
    <w:p w:rsidR="00D030C0" w:rsidRDefault="00D030C0"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0C0" w:rsidRDefault="00D030C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sdt>
        <w:sdtPr>
          <w:rPr>
            <w:rFonts w:ascii="Gill Alt One MT Light" w:hAnsi="Gill Alt One MT Light"/>
            <w:sz w:val="16"/>
            <w:szCs w:val="16"/>
          </w:rPr>
          <w:alias w:val="CustomElements.Fields.Dipartimenti"/>
          <w:id w:val="1567676091"/>
          <w:dataBinding w:xpath="//Text[@id='CustomElements.Fields.Dipartimenti']" w:storeItemID="{DB1498F5-A733-4776-B556-5DFEC517BF54}"/>
          <w:text w:multiLine="1"/>
        </w:sdtPr>
        <w:sdtEndPr/>
        <w:sdtContent>
          <w:tc>
            <w:tcPr>
              <w:tcW w:w="8383" w:type="dxa"/>
              <w:tcBorders>
                <w:left w:val="single" w:sz="4" w:space="0" w:color="auto"/>
                <w:bottom w:val="single" w:sz="4" w:space="0" w:color="auto"/>
              </w:tcBorders>
              <w:tcMar>
                <w:left w:w="142" w:type="dxa"/>
              </w:tcMar>
              <w:vAlign w:val="bottom"/>
            </w:tcPr>
            <w:p w:rsidR="005012EC" w:rsidRPr="00E8185F" w:rsidRDefault="0099656E" w:rsidP="00A532F6">
              <w:pPr>
                <w:pStyle w:val="Page"/>
                <w:rPr>
                  <w:rFonts w:ascii="Gill Alt One MT Light" w:hAnsi="Gill Alt One MT Light"/>
                  <w:sz w:val="16"/>
                  <w:szCs w:val="16"/>
                </w:rPr>
              </w:pPr>
              <w:r>
                <w:rPr>
                  <w:rFonts w:ascii="Gill Alt One MT Light" w:hAnsi="Gill Alt One MT Light"/>
                  <w:sz w:val="16"/>
                  <w:szCs w:val="16"/>
                </w:rPr>
                <w:t>Dipartimento delle finanze e dell’economia</w:t>
              </w:r>
            </w:p>
          </w:tc>
        </w:sdtContent>
      </w:sdt>
      <w:tc>
        <w:tcPr>
          <w:tcW w:w="1710" w:type="dxa"/>
          <w:tcBorders>
            <w:bottom w:val="single" w:sz="4" w:space="0" w:color="auto"/>
          </w:tcBorders>
          <w:vAlign w:val="bottom"/>
        </w:tcPr>
        <w:p w:rsidR="005012EC" w:rsidRPr="004204CB" w:rsidRDefault="00F27D92"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39150F">
            <w:rPr>
              <w:noProof/>
              <w:sz w:val="24"/>
            </w:rPr>
            <w:t>2</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39150F">
            <w:rPr>
              <w:noProof/>
              <w:sz w:val="24"/>
            </w:rPr>
            <w:t>5</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DB1498F5-A733-4776-B556-5DFEC517BF54}"/>
          <w:text w:multiLine="1"/>
        </w:sdtPr>
        <w:sdtEndPr/>
        <w:sdtContent>
          <w:tc>
            <w:tcPr>
              <w:tcW w:w="8383" w:type="dxa"/>
              <w:tcBorders>
                <w:left w:val="single" w:sz="4" w:space="0" w:color="auto"/>
              </w:tcBorders>
              <w:tcMar>
                <w:top w:w="0" w:type="dxa"/>
                <w:left w:w="142" w:type="dxa"/>
              </w:tcMar>
            </w:tcPr>
            <w:p w:rsidR="005012EC" w:rsidRPr="00E8185F" w:rsidRDefault="00D030C0" w:rsidP="00A532F6">
              <w:pPr>
                <w:pStyle w:val="Information"/>
                <w:rPr>
                  <w:rFonts w:ascii="Gill Sans Display MT Pro BdCn" w:hAnsi="Gill Sans Display MT Pro BdCn"/>
                  <w:sz w:val="18"/>
                  <w:szCs w:val="18"/>
                  <w:lang w:val="de-DE"/>
                </w:rPr>
              </w:pPr>
              <w:r>
                <w:rPr>
                  <w:rFonts w:ascii="Gill Sans Display MT Pro BdCn" w:hAnsi="Gill Sans Display MT Pro BdCn"/>
                  <w:sz w:val="18"/>
                  <w:szCs w:val="18"/>
                </w:rPr>
                <w:t>Rapporto del 14 novembre 2023</w:t>
              </w:r>
            </w:p>
          </w:tc>
        </w:sdtContent>
      </w:sdt>
      <w:tc>
        <w:tcPr>
          <w:tcW w:w="1710" w:type="dxa"/>
          <w:tcBorders>
            <w:top w:val="single" w:sz="4" w:space="0" w:color="auto"/>
          </w:tcBorders>
        </w:tcPr>
        <w:p w:rsidR="005012EC" w:rsidRPr="00E043A3" w:rsidRDefault="00D040F4" w:rsidP="00662409">
          <w:pPr>
            <w:pStyle w:val="InvisibleLine"/>
            <w:rPr>
              <w:lang w:val="de-DE"/>
            </w:rPr>
          </w:pPr>
        </w:p>
      </w:tc>
    </w:tr>
  </w:tbl>
  <w:p w:rsidR="00F657BF" w:rsidRPr="00980362" w:rsidRDefault="00F27D92"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DB1498F5-A733-4776-B556-5DFEC517BF54}"/>
                            <w:text w:multiLine="1"/>
                          </w:sdtPr>
                          <w:sdtEndPr/>
                          <w:sdtContent>
                            <w:p w:rsidR="008065E8" w:rsidRPr="00411371" w:rsidRDefault="00F27D92"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5A9A8D07-0941-4DC8-A2DD-BEFE88D28B33}"/>
                      <w:text w:multiLine="1"/>
                    </w:sdtPr>
                    <w:sdtEndPr/>
                    <w:sdtContent>
                      <w:p w:rsidR="008065E8" w:rsidRPr="00411371" w:rsidRDefault="00F27D92"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98208F">
      <w:trPr>
        <w:trHeight w:val="586"/>
      </w:trPr>
      <w:tc>
        <w:tcPr>
          <w:tcW w:w="2440" w:type="pct"/>
          <w:gridSpan w:val="3"/>
          <w:tcBorders>
            <w:top w:val="nil"/>
            <w:left w:val="nil"/>
            <w:bottom w:val="single" w:sz="4" w:space="0" w:color="auto"/>
          </w:tcBorders>
          <w:vAlign w:val="bottom"/>
        </w:tcPr>
        <w:p w:rsidR="00662409" w:rsidRPr="003108C0" w:rsidRDefault="00D040F4" w:rsidP="00D07D6E">
          <w:pPr>
            <w:pStyle w:val="InvisibleLine"/>
            <w:ind w:left="150"/>
            <w:rPr>
              <w:sz w:val="16"/>
            </w:rPr>
          </w:pPr>
        </w:p>
      </w:tc>
      <w:tc>
        <w:tcPr>
          <w:tcW w:w="373" w:type="pct"/>
          <w:tcBorders>
            <w:top w:val="nil"/>
            <w:bottom w:val="single" w:sz="4" w:space="0" w:color="auto"/>
          </w:tcBorders>
          <w:vAlign w:val="bottom"/>
        </w:tcPr>
        <w:p w:rsidR="00662409" w:rsidRPr="003108C0" w:rsidRDefault="00D040F4" w:rsidP="00D07D6E">
          <w:pPr>
            <w:pStyle w:val="Level"/>
            <w:ind w:left="150"/>
            <w:rPr>
              <w:sz w:val="16"/>
            </w:rPr>
          </w:pPr>
        </w:p>
      </w:tc>
      <w:tc>
        <w:tcPr>
          <w:tcW w:w="209" w:type="pct"/>
          <w:tcBorders>
            <w:top w:val="nil"/>
            <w:bottom w:val="single" w:sz="4" w:space="0" w:color="auto"/>
          </w:tcBorders>
        </w:tcPr>
        <w:p w:rsidR="00662409" w:rsidRDefault="00F27D92"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1844714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F27D92"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39150F">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39150F">
            <w:rPr>
              <w:rFonts w:asciiTheme="minorHAnsi" w:hAnsiTheme="minorHAnsi" w:cstheme="minorHAnsi"/>
              <w:noProof/>
              <w:sz w:val="24"/>
            </w:rPr>
            <w:t>5</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DB1498F5-A733-4776-B556-5DFEC517BF54}"/>
          <w:text w:multiLine="1"/>
        </w:sdtPr>
        <w:sdtEndPr/>
        <w:sdtContent>
          <w:tc>
            <w:tcPr>
              <w:tcW w:w="5000" w:type="pct"/>
              <w:gridSpan w:val="6"/>
              <w:tcBorders>
                <w:left w:val="nil"/>
                <w:right w:val="nil"/>
              </w:tcBorders>
              <w:noWrap/>
              <w:tcMar>
                <w:top w:w="0" w:type="dxa"/>
              </w:tcMar>
              <w:vAlign w:val="bottom"/>
            </w:tcPr>
            <w:p w:rsidR="00662409" w:rsidRPr="008C03B5" w:rsidRDefault="0099656E"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F27D92"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D040F4"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F27D92"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D040F4"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F27D92"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D040F4"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D040F4"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DB1498F5-A733-4776-B556-5DFEC517BF54}"/>
              <w:text w:multiLine="1"/>
            </w:sdtPr>
            <w:sdtEndPr/>
            <w:sdtContent>
              <w:r w:rsidR="00F27D92" w:rsidRPr="00BE22A2">
                <w:rPr>
                  <w:rFonts w:cstheme="minorHAnsi"/>
                  <w:b/>
                  <w:sz w:val="24"/>
                  <w:szCs w:val="24"/>
                </w:rPr>
                <w:t xml:space="preserve"> </w:t>
              </w:r>
            </w:sdtContent>
          </w:sdt>
        </w:p>
      </w:tc>
      <w:sdt>
        <w:sdtPr>
          <w:rPr>
            <w:sz w:val="24"/>
          </w:rPr>
          <w:alias w:val="DocParam.Date"/>
          <w:id w:val="-464426178"/>
          <w:dataBinding w:xpath="//DateTime[@id='DocParam.Date']" w:storeItemID="{DB1498F5-A733-4776-B556-5DFEC517BF54}"/>
          <w:date w:fullDate="2023-11-14T01: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D030C0" w:rsidP="00A532F6">
              <w:pPr>
                <w:pStyle w:val="Data"/>
              </w:pPr>
              <w:r>
                <w:rPr>
                  <w:sz w:val="24"/>
                </w:rPr>
                <w:t>14 novembre 2023</w:t>
              </w:r>
            </w:p>
          </w:tc>
        </w:sdtContent>
      </w:sdt>
      <w:tc>
        <w:tcPr>
          <w:tcW w:w="3218" w:type="pct"/>
          <w:gridSpan w:val="4"/>
          <w:tcBorders>
            <w:top w:val="nil"/>
            <w:left w:val="nil"/>
            <w:bottom w:val="nil"/>
            <w:right w:val="nil"/>
          </w:tcBorders>
        </w:tcPr>
        <w:p w:rsidR="008C03B5" w:rsidRPr="00BE22A2" w:rsidRDefault="00D040F4"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DB1498F5-A733-4776-B556-5DFEC517BF54}"/>
              <w:text w:multiLine="1"/>
            </w:sdtPr>
            <w:sdtEndPr/>
            <w:sdtContent>
              <w:r w:rsidR="0099656E">
                <w:rPr>
                  <w:smallCaps/>
                  <w:sz w:val="23"/>
                  <w:szCs w:val="23"/>
                </w:rPr>
                <w:t>Dipartimento delle finanze e dell’economia</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D040F4" w:rsidP="00D07D6E">
          <w:pPr>
            <w:pStyle w:val="Level"/>
            <w:ind w:left="150"/>
            <w:rPr>
              <w:rFonts w:ascii="Gill Alt One MT Light" w:hAnsi="Gill Alt One MT Light"/>
              <w:sz w:val="16"/>
              <w:szCs w:val="16"/>
            </w:rPr>
          </w:pPr>
        </w:p>
      </w:tc>
    </w:tr>
  </w:tbl>
  <w:p w:rsidR="00F657BF" w:rsidRPr="00DA2879" w:rsidRDefault="00F27D92"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710281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DB1498F5-A733-4776-B556-5DFEC517BF54}"/>
                            <w:text w:multiLine="1"/>
                          </w:sdtPr>
                          <w:sdtEndPr/>
                          <w:sdtContent>
                            <w:p w:rsidR="00E93620" w:rsidRPr="00411371" w:rsidRDefault="00F27D92"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5A9A8D07-0941-4DC8-A2DD-BEFE88D28B33}"/>
                      <w:text w:multiLine="1"/>
                    </w:sdtPr>
                    <w:sdtEndPr/>
                    <w:sdtContent>
                      <w:p w:rsidR="00E93620" w:rsidRPr="00411371" w:rsidRDefault="00F27D92"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49D524CC"/>
    <w:multiLevelType w:val="multilevel"/>
    <w:tmpl w:val="953CA1B2"/>
    <w:numStyleLink w:val="HeadingList"/>
  </w:abstractNum>
  <w:num w:numId="1">
    <w:abstractNumId w:val="11"/>
  </w:num>
  <w:num w:numId="2">
    <w:abstractNumId w:val="16"/>
    <w:lvlOverride w:ilvl="0">
      <w:lvl w:ilvl="0">
        <w:start w:val="1"/>
        <w:numFmt w:val="decimal"/>
        <w:lvlText w:val="%1"/>
        <w:lvlJc w:val="left"/>
        <w:pPr>
          <w:ind w:left="363" w:hanging="363"/>
        </w:pPr>
        <w:rPr>
          <w:rFonts w:ascii="Arial" w:hAnsi="Arial" w:cs="Arial" w:hint="default"/>
        </w:rPr>
      </w:lvl>
    </w:lvlOverride>
  </w:num>
  <w:num w:numId="3">
    <w:abstractNumId w:val="10"/>
  </w:num>
  <w:num w:numId="4">
    <w:abstractNumId w:val="15"/>
  </w:num>
  <w:num w:numId="5">
    <w:abstractNumId w:val="14"/>
  </w:num>
  <w:num w:numId="6">
    <w:abstractNumId w:val="12"/>
  </w:num>
  <w:num w:numId="7">
    <w:abstractNumId w:val="13"/>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0C0"/>
    <w:rsid w:val="000A32D3"/>
    <w:rsid w:val="00171D3A"/>
    <w:rsid w:val="00191489"/>
    <w:rsid w:val="002B5D9F"/>
    <w:rsid w:val="0039150F"/>
    <w:rsid w:val="003B756D"/>
    <w:rsid w:val="00403ADB"/>
    <w:rsid w:val="00572FD3"/>
    <w:rsid w:val="006439A2"/>
    <w:rsid w:val="007A2593"/>
    <w:rsid w:val="008720C4"/>
    <w:rsid w:val="008C2C5D"/>
    <w:rsid w:val="008F52AF"/>
    <w:rsid w:val="0099656E"/>
    <w:rsid w:val="009A0448"/>
    <w:rsid w:val="009C5E5A"/>
    <w:rsid w:val="00AF0268"/>
    <w:rsid w:val="00BF0A1F"/>
    <w:rsid w:val="00D030C0"/>
    <w:rsid w:val="00D040F4"/>
    <w:rsid w:val="00D33940"/>
    <w:rsid w:val="00D600FD"/>
    <w:rsid w:val="00D649A8"/>
    <w:rsid w:val="00EB088A"/>
    <w:rsid w:val="00F27D92"/>
    <w:rsid w:val="00F657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2CEE356-3754-449B-8E22-7D132AAC7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iPriority w:val="9"/>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styleId="Testofumetto">
    <w:name w:val="Balloon Text"/>
    <w:basedOn w:val="Normale"/>
    <w:link w:val="TestofumettoCarattere"/>
    <w:uiPriority w:val="99"/>
    <w:semiHidden/>
    <w:unhideWhenUsed/>
    <w:rsid w:val="00171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71D3A"/>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5c3892cb-5e52-4503-bc68-b0a00b14f286.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ExtendedBindingPart xmlns:xsd="http://www.w3.org/2001/XMLSchema" xmlns:xsi="http://www.w3.org/2001/XMLSchema-instance" xmlns="http://schema.oneoffixx.com/OneOffixxExtendedBindingPart/1">
  <ExtendedBindings/>
</OneOffixxExtendedBindingPart>
</file>

<file path=customXml/item2.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3.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1844714230</Id>
      <Width>0</Width>
      <Height>0</Height>
      <XPath>//Image[@id='Profile.Org.WappenSW']</XPath>
      <ImageHash>02f1c0cdac6aeac316213b2e7cb733a0</ImageHash>
    </ImageSizeDefinition>
    <ImageSizeDefinition>
      <Id>710281870</Id>
      <Width>0</Width>
      <Height>0</Height>
      <XPath>//Image[@id='Profile.Org.Logo']</XPath>
      <ImageHash>c45d7cd7b68e3e6ca57220766e88079c</ImageHash>
    </ImageSizeDefinition>
  </ImageDefinitions>
</OneOffixxImageDefinitionPart>
</file>

<file path=customXml/item4.xml>��< ? x m l   v e r s i o n = " 1 . 0 "   e n c o d i n g = " u t f - 1 6 " ? > < O n e O f f i x x D o c u m e n t P a r t   x m l n s : x s d = " h t t p : / / w w w . w 3 . o r g / 2 0 0 1 / X M L S c h e m a "   x m l n s : x s i = " h t t p : / / w w w . w 3 . o r g / 2 0 0 1 / X M L S c h e m a - i n s t a n c e "   i d = " c 6 0 9 1 b 8 0 - 5 d b a - 4 2 2 3 - 9 3 b d - 6 c 1 5 6 1 1 0 2 4 2 8 "   t I d = " a 3 6 2 a 5 d 4 - 9 5 8 9 - 4 1 b f - a 4 e 6 - 4 f 8 7 c 4 e 4 1 2 3 9 "   i n t e r n a l T I d = " 9 0 6 4 c c 7 f - 3 1 6 d - 4 6 b 1 - a 4 a c - 7 4 8 6 0 c 3 f 8 a 5 b "   m t I d = " 2 7 5 a f 3 2 e - b c 4 0 - 4 5 c 2 - 8 5 b 7 - a f b 1 c 0 3 8 2 6 5 3 "   r e v i s i o n = " 0 "   c r e a t e d m a j o r v e r s i o n = " 0 "   c r e a t e d m i n o r v e r s i o n = " 0 "   c r e a t e d = " 2 0 2 3 - 1 1 - 2 3 T 1 2 : 4 8 : 5 6 . 2 6 0 8 3 4 6 Z "   m o d i f i e d m a j o r v e r s i o n = " 0 "   m o d i f i e d m i n o r v e r s i o n = " 0 "   m o d i f i e d = " 0 0 0 1 - 0 1 - 0 1 T 0 0 : 0 0 : 0 0 "   p r o f i l e = " 5 9 5 8 5 8 a 3 - 7 2 4 4 - 4 0 c 7 - b d b 3 - b c 5 b 5 5 b f f 6 f d "   m o d e = " S a v e d D o c u m e n t "   c o l o r m o d e = " C o l o r "   l c i d = " 2 0 6 4 "   x m l n s = " h t t p : / / s c h e m a . o n e o f f i x x . c o m / O n e O f f i x x D o c u m e n t P a r t / 1 " >  
     < C o n t e n t >  
         < D a t a M o d e l   x m l n s = " " >  
             < S c r i p t i n g >  
                 < T e x t   i d = " C u s t o m E l e m e n t s . S u b T e m p l a t e . L a n d s c a p e . H e a d e r . O r g I n f o s "   l a b e l = " C u s t o m E l e m e n t s . S u b T e m p l a t e . L a n d s c a p e . H e a d e r . O r g I n f o s " > < ! [ C D A T A [ D i p a r t i m e n t o   d e l l e   f i n a n z e   e   d e l l  e c o n o m i a ] ] > < / T e x t >  
                 < T e x t   i d = " C u s t o m E l e m e n t s . S u b T e m p l a t e . L a n d s c a p e . H e a d e r . T i t o l o "   l a b e l = " C u s t o m E l e m e n t s . S u b T e m p l a t e . L a n d s c a p e . H e a d e r . T i t o l o " > < ! [ C D A T A [ R a p p o r t o   d e l   1 4   n o v e m b r e   2 0 2 3 ] ] > < / T e x t >  
                 < T e x t   i d = " C u s t o m E l e m e n t s . T e x t s . D r a f t "   l a b e l = " C u s t o m E l e m e n t s . T e x t s . D r a f t " > < ! [ C D A T A [ B o z z a ] ] > < / T e x t >  
                 < T e x t   i d = " C u s t o m E l e m e n t s . F i e l d s . D i p a r t i m e n t i "   l a b e l = " C u s t o m E l e m e n t s . F i e l d s . D i p a r t i m e n t i " > < ! [ C D A T A [ D i p a r t i m e n t o   d e l l e   f i n a n z e   e   d e l l  e c o n o m i a ] ] > < / T e x t >  
                 < T e x t   i d = " C u s t o m E l e m e n t s . F i e l d s . T i t o l o 1 "   l a b e l = " C u s t o m E l e m e n t s . F i e l d s . T i t o l o 1 " > < ! [ C D A T A [ R a p p o r t o ] ] > < / T e x t >  
                 < T e x t   i d = " C u s t o m E l e m e n t s . F i e l d s . T i t o l o 2 "   l a b e l = " C u s t o m E l e m e n t s . F i e l d s . T i t o l o 2 " > < ! [ C D A T A [ R a p p o r t o   d e l   1 4   n o v e m b r e   2 0 2 3 ] ] > < / T e x t >  
             < / S c r i p t i n g > 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 2 0 2 3 - 1 1 - 1 4 T 0 0 : 0 0 : 0 0 Z < / D a t e T i m e >  
                 < T e x t   i d = " D o c P a r a m . N u m b e r " > < ! [ C D A T A [   ] ] > < / T e x t >  
                 < T e x t   i d = " D o c P a r a m . D o c u m e n t o " > < ! [ C D A T A [ R a p p o r t o ] ] > < / T e x t >  
                 < T e x t   i d = " D o c P a r a m . A g g i u n t a D o c "   t o o l t i p = " ( e s .   b i s ,   a g g i u n t i v o ,   a g g i u n t i v o   b i s ,   1 ,   2   e c c . ) " > < ! [ C D A T A [   ] ] > < / T e x t >  
                 < T e x t   i d = " D o c P a r a m . D i p a r t i m e n t i " > < ! [ C D A T A [ D i p a r t i m e n t o   d e l l e   f i n a n z e   e   d e l l  e c o n o m i a ] ] > < / T e x t >  
                 < T e x t   i d = " D o c P a r a m . A l t r i D i p a r t i m e n t i " > < ! [ C D A T A [   ] ] > < / T e x t >  
             < / P a r a m e t e r > 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2.xml><?xml version="1.0" encoding="utf-8"?>
<ds:datastoreItem xmlns:ds="http://schemas.openxmlformats.org/officeDocument/2006/customXml" ds:itemID="{AE9590B4-47A5-4666-870F-27F3FFDDFC02}">
  <ds:schemaRefs>
    <ds:schemaRef ds:uri="http://www.w3.org/2001/XMLSchema"/>
    <ds:schemaRef ds:uri="http://schema.oneoffixx.com/OneOffixxFormattingPart/1"/>
    <ds:schemaRef ds:uri=""/>
  </ds:schemaRefs>
</ds:datastoreItem>
</file>

<file path=customXml/itemProps3.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4.xml><?xml version="1.0" encoding="utf-8"?>
<ds:datastoreItem xmlns:ds="http://schemas.openxmlformats.org/officeDocument/2006/customXml" ds:itemID="{DB1498F5-A733-4776-B556-5DFEC517BF54}">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5c3892cb-5e52-4503-bc68-b0a00b14f286.dotx</Template>
  <TotalTime>32</TotalTime>
  <Pages>5</Pages>
  <Words>983</Words>
  <Characters>5607</Characters>
  <Application>Microsoft Office Word</Application>
  <DocSecurity>0</DocSecurity>
  <Lines>46</Lines>
  <Paragraphs>13</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11</cp:revision>
  <cp:lastPrinted>2023-11-27T13:02:00Z</cp:lastPrinted>
  <dcterms:created xsi:type="dcterms:W3CDTF">2023-11-23T12:49:00Z</dcterms:created>
  <dcterms:modified xsi:type="dcterms:W3CDTF">2023-11-27T13:03:00Z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