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31A" w:rsidRPr="00DF5DEA" w:rsidRDefault="0021231A" w:rsidP="0021231A">
      <w:pPr>
        <w:pStyle w:val="NormaleWeb"/>
        <w:spacing w:after="0" w:afterAutospacing="0"/>
        <w:jc w:val="both"/>
        <w:rPr>
          <w:rFonts w:ascii="ArialMT" w:hAnsi="ArialMT" w:cs="Arial"/>
          <w:b/>
          <w:bCs/>
          <w:sz w:val="28"/>
          <w:szCs w:val="28"/>
        </w:rPr>
      </w:pPr>
      <w:r w:rsidRPr="00DF5DEA">
        <w:rPr>
          <w:rFonts w:ascii="ArialMT" w:hAnsi="ArialMT" w:cs="Arial"/>
          <w:b/>
          <w:bCs/>
          <w:sz w:val="28"/>
          <w:szCs w:val="28"/>
        </w:rPr>
        <w:t xml:space="preserve">della Commissione gestione e finanze </w:t>
      </w:r>
    </w:p>
    <w:p w:rsidR="0021231A" w:rsidRDefault="0021231A" w:rsidP="0021231A">
      <w:pPr>
        <w:pStyle w:val="NormaleWeb"/>
        <w:spacing w:before="0" w:beforeAutospacing="0" w:after="0" w:afterAutospacing="0"/>
        <w:jc w:val="both"/>
        <w:rPr>
          <w:rFonts w:ascii="ArialMT" w:hAnsi="ArialMT" w:cs="Arial"/>
          <w:b/>
          <w:bCs/>
          <w:sz w:val="28"/>
          <w:szCs w:val="28"/>
        </w:rPr>
      </w:pPr>
      <w:r w:rsidRPr="00DF5DEA">
        <w:rPr>
          <w:rFonts w:ascii="ArialMT" w:hAnsi="ArialMT" w:cs="Arial"/>
          <w:b/>
          <w:bCs/>
          <w:sz w:val="28"/>
          <w:szCs w:val="28"/>
        </w:rPr>
        <w:t xml:space="preserve">sul messaggio </w:t>
      </w:r>
      <w:r>
        <w:rPr>
          <w:rFonts w:ascii="ArialMT" w:hAnsi="ArialMT" w:cs="Arial"/>
          <w:b/>
          <w:bCs/>
          <w:sz w:val="28"/>
          <w:szCs w:val="28"/>
        </w:rPr>
        <w:t>12 luglio 2023 concernente la m</w:t>
      </w:r>
      <w:r w:rsidRPr="0021231A">
        <w:rPr>
          <w:rFonts w:ascii="ArialMT" w:hAnsi="ArialMT" w:cs="Arial"/>
          <w:b/>
          <w:bCs/>
          <w:sz w:val="28"/>
          <w:szCs w:val="28"/>
        </w:rPr>
        <w:t>odifica della Legge tributaria del 21 giugno 1994 (LT) – Aggiornamento della fiscalità delle persone fisiche</w:t>
      </w:r>
      <w:r w:rsidRPr="00DF5DEA">
        <w:rPr>
          <w:rFonts w:ascii="ArialMT" w:hAnsi="ArialMT" w:cs="Arial"/>
          <w:b/>
          <w:bCs/>
          <w:sz w:val="28"/>
          <w:szCs w:val="28"/>
        </w:rPr>
        <w:t xml:space="preserve"> </w:t>
      </w:r>
    </w:p>
    <w:p w:rsidR="0021231A" w:rsidRDefault="0021231A" w:rsidP="0021231A">
      <w:pPr>
        <w:pStyle w:val="NormaleWeb"/>
        <w:spacing w:before="0" w:beforeAutospacing="0" w:after="0" w:afterAutospacing="0"/>
        <w:jc w:val="both"/>
        <w:rPr>
          <w:rFonts w:ascii="ArialMT" w:hAnsi="ArialMT" w:cs="Arial"/>
          <w:b/>
          <w:bCs/>
          <w:sz w:val="28"/>
          <w:szCs w:val="28"/>
        </w:rPr>
      </w:pPr>
    </w:p>
    <w:p w:rsidR="0021231A" w:rsidRDefault="0021231A" w:rsidP="0021231A">
      <w:pPr>
        <w:pStyle w:val="NormaleWeb"/>
        <w:spacing w:before="0" w:beforeAutospacing="0" w:after="0" w:afterAutospacing="0"/>
        <w:jc w:val="both"/>
        <w:rPr>
          <w:rFonts w:ascii="ArialMT" w:hAnsi="ArialMT" w:cs="Arial"/>
          <w:b/>
          <w:bCs/>
          <w:sz w:val="28"/>
          <w:szCs w:val="28"/>
        </w:rPr>
      </w:pPr>
    </w:p>
    <w:p w:rsidR="0021231A" w:rsidRPr="00DF5DEA" w:rsidRDefault="0021231A" w:rsidP="0021231A">
      <w:pPr>
        <w:pStyle w:val="NormaleWeb"/>
        <w:spacing w:before="0" w:beforeAutospacing="0" w:after="0" w:afterAutospacing="0"/>
        <w:jc w:val="both"/>
        <w:rPr>
          <w:rFonts w:ascii="ArialMT" w:hAnsi="ArialMT" w:cs="Arial"/>
          <w:b/>
          <w:bCs/>
          <w:sz w:val="28"/>
          <w:szCs w:val="28"/>
        </w:rPr>
      </w:pPr>
    </w:p>
    <w:p w:rsidR="0021231A" w:rsidRPr="009F02C3" w:rsidRDefault="0021231A" w:rsidP="0021231A">
      <w:pPr>
        <w:pStyle w:val="StandardRisoluzionedelConsigliodiStato"/>
        <w:ind w:left="4956" w:right="-1"/>
        <w:rPr>
          <w:i/>
          <w:sz w:val="22"/>
        </w:rPr>
      </w:pPr>
      <w:r w:rsidRPr="009F02C3">
        <w:rPr>
          <w:i/>
          <w:sz w:val="22"/>
        </w:rPr>
        <w:t xml:space="preserve">La matematica è stata il mio apprendistato alla rivoluzione, perché mi ha insegnato a diffidare di verità assolute e autorità indiscutibili. </w:t>
      </w:r>
    </w:p>
    <w:p w:rsidR="0021231A" w:rsidRPr="009F02C3" w:rsidRDefault="0021231A" w:rsidP="0021231A">
      <w:pPr>
        <w:pStyle w:val="StandardRisoluzionedelConsigliodiStato"/>
        <w:ind w:left="4956" w:right="-1"/>
        <w:rPr>
          <w:sz w:val="22"/>
        </w:rPr>
      </w:pPr>
      <w:r w:rsidRPr="009F02C3">
        <w:rPr>
          <w:sz w:val="22"/>
        </w:rPr>
        <w:t>Chiara Valerio – La matematica è politica</w:t>
      </w:r>
    </w:p>
    <w:p w:rsidR="0021231A" w:rsidRPr="009F02C3" w:rsidRDefault="0021231A" w:rsidP="0021231A">
      <w:pPr>
        <w:pStyle w:val="StandardRisoluzionedelConsigliodiStato"/>
        <w:ind w:right="-1"/>
        <w:rPr>
          <w:sz w:val="22"/>
        </w:rPr>
      </w:pPr>
    </w:p>
    <w:sdt>
      <w:sdtPr>
        <w:rPr>
          <w:rFonts w:asciiTheme="minorHAnsi" w:hAnsiTheme="minorHAnsi" w:cstheme="minorHAnsi"/>
          <w:b w:val="0"/>
          <w:sz w:val="24"/>
          <w:szCs w:val="24"/>
          <w:lang w:val="it-IT"/>
        </w:rPr>
        <w:id w:val="34549993"/>
        <w:docPartObj>
          <w:docPartGallery w:val="Table of Contents"/>
          <w:docPartUnique/>
        </w:docPartObj>
      </w:sdtPr>
      <w:sdtEndPr>
        <w:rPr>
          <w:rFonts w:ascii="Arial" w:hAnsi="Arial" w:cstheme="minorBidi"/>
          <w:bCs/>
          <w:sz w:val="20"/>
          <w:szCs w:val="22"/>
        </w:rPr>
      </w:sdtEndPr>
      <w:sdtContent>
        <w:p w:rsidR="009F02C3" w:rsidRPr="00FE60A1" w:rsidRDefault="00904FF6">
          <w:pPr>
            <w:pStyle w:val="Titolosommario"/>
            <w:rPr>
              <w:rFonts w:asciiTheme="minorHAnsi" w:hAnsiTheme="minorHAnsi" w:cstheme="minorHAnsi"/>
              <w:b w:val="0"/>
              <w:sz w:val="24"/>
              <w:szCs w:val="24"/>
            </w:rPr>
          </w:pPr>
          <w:r w:rsidRPr="00FE60A1">
            <w:rPr>
              <w:rFonts w:asciiTheme="minorHAnsi" w:hAnsiTheme="minorHAnsi" w:cstheme="minorHAnsi"/>
              <w:b w:val="0"/>
              <w:sz w:val="24"/>
              <w:szCs w:val="24"/>
              <w:lang w:val="it-IT"/>
            </w:rPr>
            <w:t>INDICE:</w:t>
          </w:r>
        </w:p>
        <w:p w:rsidR="00FE60A1" w:rsidRPr="00FE60A1" w:rsidRDefault="009F02C3">
          <w:pPr>
            <w:pStyle w:val="Sommario1"/>
            <w:rPr>
              <w:rFonts w:asciiTheme="minorHAnsi" w:eastAsiaTheme="minorEastAsia" w:hAnsiTheme="minorHAnsi"/>
              <w:b w:val="0"/>
              <w:noProof/>
              <w:lang w:eastAsia="it-CH"/>
            </w:rPr>
          </w:pPr>
          <w:r w:rsidRPr="00FE60A1">
            <w:rPr>
              <w:rFonts w:asciiTheme="minorHAnsi" w:hAnsiTheme="minorHAnsi" w:cstheme="minorHAnsi"/>
              <w:b w:val="0"/>
              <w:sz w:val="24"/>
              <w:szCs w:val="24"/>
            </w:rPr>
            <w:fldChar w:fldCharType="begin"/>
          </w:r>
          <w:r w:rsidRPr="00FE60A1">
            <w:rPr>
              <w:rFonts w:asciiTheme="minorHAnsi" w:hAnsiTheme="minorHAnsi" w:cstheme="minorHAnsi"/>
              <w:b w:val="0"/>
              <w:sz w:val="24"/>
              <w:szCs w:val="24"/>
            </w:rPr>
            <w:instrText xml:space="preserve"> TOC \o "1-3" \h \z \u </w:instrText>
          </w:r>
          <w:r w:rsidRPr="00FE60A1">
            <w:rPr>
              <w:rFonts w:asciiTheme="minorHAnsi" w:hAnsiTheme="minorHAnsi" w:cstheme="minorHAnsi"/>
              <w:b w:val="0"/>
              <w:sz w:val="24"/>
              <w:szCs w:val="24"/>
            </w:rPr>
            <w:fldChar w:fldCharType="separate"/>
          </w:r>
          <w:hyperlink w:anchor="_Toc152078518" w:history="1">
            <w:r w:rsidR="00FE60A1" w:rsidRPr="00FE60A1">
              <w:rPr>
                <w:rStyle w:val="Collegamentoipertestuale"/>
                <w:rFonts w:eastAsia="Calibri" w:cs="Times New Roman"/>
                <w:b w:val="0"/>
                <w:caps/>
                <w:noProof/>
                <w:lang w:val="it-IT" w:eastAsia="it-IT"/>
              </w:rPr>
              <w:t>1.</w:t>
            </w:r>
            <w:r w:rsidR="00FE60A1" w:rsidRPr="00FE60A1">
              <w:rPr>
                <w:rFonts w:asciiTheme="minorHAnsi" w:eastAsiaTheme="minorEastAsia" w:hAnsiTheme="minorHAnsi"/>
                <w:b w:val="0"/>
                <w:noProof/>
                <w:lang w:eastAsia="it-CH"/>
              </w:rPr>
              <w:tab/>
            </w:r>
            <w:r w:rsidR="00FE60A1" w:rsidRPr="00FE60A1">
              <w:rPr>
                <w:rStyle w:val="Collegamentoipertestuale"/>
                <w:rFonts w:eastAsia="Calibri" w:cs="Times New Roman"/>
                <w:b w:val="0"/>
                <w:caps/>
                <w:noProof/>
                <w:lang w:val="it-IT" w:eastAsia="it-IT"/>
              </w:rPr>
              <w:t>Concentrazione del capitale e disuguaglianze</w:t>
            </w:r>
            <w:r w:rsidR="00FE60A1" w:rsidRPr="00FE60A1">
              <w:rPr>
                <w:b w:val="0"/>
                <w:noProof/>
                <w:webHidden/>
              </w:rPr>
              <w:tab/>
            </w:r>
            <w:r w:rsidR="00FE60A1" w:rsidRPr="00FE60A1">
              <w:rPr>
                <w:b w:val="0"/>
                <w:noProof/>
                <w:webHidden/>
              </w:rPr>
              <w:fldChar w:fldCharType="begin"/>
            </w:r>
            <w:r w:rsidR="00FE60A1" w:rsidRPr="00FE60A1">
              <w:rPr>
                <w:b w:val="0"/>
                <w:noProof/>
                <w:webHidden/>
              </w:rPr>
              <w:instrText xml:space="preserve"> PAGEREF _Toc152078518 \h </w:instrText>
            </w:r>
            <w:r w:rsidR="00FE60A1" w:rsidRPr="00FE60A1">
              <w:rPr>
                <w:b w:val="0"/>
                <w:noProof/>
                <w:webHidden/>
              </w:rPr>
            </w:r>
            <w:r w:rsidR="00FE60A1" w:rsidRPr="00FE60A1">
              <w:rPr>
                <w:b w:val="0"/>
                <w:noProof/>
                <w:webHidden/>
              </w:rPr>
              <w:fldChar w:fldCharType="separate"/>
            </w:r>
            <w:r w:rsidR="00654DFF">
              <w:rPr>
                <w:b w:val="0"/>
                <w:noProof/>
                <w:webHidden/>
              </w:rPr>
              <w:t>2</w:t>
            </w:r>
            <w:r w:rsidR="00FE60A1" w:rsidRPr="00FE60A1">
              <w:rPr>
                <w:b w:val="0"/>
                <w:noProof/>
                <w:webHidden/>
              </w:rPr>
              <w:fldChar w:fldCharType="end"/>
            </w:r>
          </w:hyperlink>
        </w:p>
        <w:p w:rsidR="00FE60A1" w:rsidRPr="00FE60A1" w:rsidRDefault="00FE60A1">
          <w:pPr>
            <w:pStyle w:val="Sommario1"/>
            <w:rPr>
              <w:rFonts w:asciiTheme="minorHAnsi" w:eastAsiaTheme="minorEastAsia" w:hAnsiTheme="minorHAnsi"/>
              <w:b w:val="0"/>
              <w:noProof/>
              <w:lang w:eastAsia="it-CH"/>
            </w:rPr>
          </w:pPr>
          <w:hyperlink w:anchor="_Toc152078519" w:history="1">
            <w:r w:rsidRPr="00FE60A1">
              <w:rPr>
                <w:rStyle w:val="Collegamentoipertestuale"/>
                <w:rFonts w:eastAsia="Calibri" w:cs="Times New Roman"/>
                <w:b w:val="0"/>
                <w:caps/>
                <w:noProof/>
                <w:lang w:val="it-IT" w:eastAsia="it-IT"/>
              </w:rPr>
              <w:t>2.</w:t>
            </w:r>
            <w:r w:rsidRPr="00FE60A1">
              <w:rPr>
                <w:rFonts w:asciiTheme="minorHAnsi" w:eastAsiaTheme="minorEastAsia" w:hAnsiTheme="minorHAnsi"/>
                <w:b w:val="0"/>
                <w:noProof/>
                <w:lang w:eastAsia="it-CH"/>
              </w:rPr>
              <w:tab/>
            </w:r>
            <w:r w:rsidRPr="00FE60A1">
              <w:rPr>
                <w:rStyle w:val="Collegamentoipertestuale"/>
                <w:rFonts w:eastAsia="Calibri" w:cs="Times New Roman"/>
                <w:b w:val="0"/>
                <w:caps/>
                <w:noProof/>
                <w:lang w:val="it-IT" w:eastAsia="it-IT"/>
              </w:rPr>
              <w:t>Il caso Liz Truss</w:t>
            </w:r>
            <w:r w:rsidRPr="00FE60A1">
              <w:rPr>
                <w:b w:val="0"/>
                <w:noProof/>
                <w:webHidden/>
              </w:rPr>
              <w:tab/>
            </w:r>
            <w:r w:rsidRPr="00FE60A1">
              <w:rPr>
                <w:b w:val="0"/>
                <w:noProof/>
                <w:webHidden/>
              </w:rPr>
              <w:fldChar w:fldCharType="begin"/>
            </w:r>
            <w:r w:rsidRPr="00FE60A1">
              <w:rPr>
                <w:b w:val="0"/>
                <w:noProof/>
                <w:webHidden/>
              </w:rPr>
              <w:instrText xml:space="preserve"> PAGEREF _Toc152078519 \h </w:instrText>
            </w:r>
            <w:r w:rsidRPr="00FE60A1">
              <w:rPr>
                <w:b w:val="0"/>
                <w:noProof/>
                <w:webHidden/>
              </w:rPr>
            </w:r>
            <w:r w:rsidRPr="00FE60A1">
              <w:rPr>
                <w:b w:val="0"/>
                <w:noProof/>
                <w:webHidden/>
              </w:rPr>
              <w:fldChar w:fldCharType="separate"/>
            </w:r>
            <w:r w:rsidR="00654DFF">
              <w:rPr>
                <w:b w:val="0"/>
                <w:noProof/>
                <w:webHidden/>
              </w:rPr>
              <w:t>2</w:t>
            </w:r>
            <w:r w:rsidRPr="00FE60A1">
              <w:rPr>
                <w:b w:val="0"/>
                <w:noProof/>
                <w:webHidden/>
              </w:rPr>
              <w:fldChar w:fldCharType="end"/>
            </w:r>
          </w:hyperlink>
        </w:p>
        <w:p w:rsidR="00FE60A1" w:rsidRPr="00FE60A1" w:rsidRDefault="00FE60A1">
          <w:pPr>
            <w:pStyle w:val="Sommario1"/>
            <w:rPr>
              <w:rFonts w:asciiTheme="minorHAnsi" w:eastAsiaTheme="minorEastAsia" w:hAnsiTheme="minorHAnsi"/>
              <w:b w:val="0"/>
              <w:noProof/>
              <w:lang w:eastAsia="it-CH"/>
            </w:rPr>
          </w:pPr>
          <w:hyperlink w:anchor="_Toc152078520" w:history="1">
            <w:r w:rsidRPr="00FE60A1">
              <w:rPr>
                <w:rStyle w:val="Collegamentoipertestuale"/>
                <w:rFonts w:eastAsia="Calibri" w:cs="Times New Roman"/>
                <w:b w:val="0"/>
                <w:caps/>
                <w:noProof/>
                <w:lang w:val="it-IT" w:eastAsia="it-IT"/>
              </w:rPr>
              <w:t>3.</w:t>
            </w:r>
            <w:r w:rsidRPr="00FE60A1">
              <w:rPr>
                <w:rFonts w:asciiTheme="minorHAnsi" w:eastAsiaTheme="minorEastAsia" w:hAnsiTheme="minorHAnsi"/>
                <w:b w:val="0"/>
                <w:noProof/>
                <w:lang w:eastAsia="it-CH"/>
              </w:rPr>
              <w:tab/>
            </w:r>
            <w:r w:rsidRPr="00FE60A1">
              <w:rPr>
                <w:rStyle w:val="Collegamentoipertestuale"/>
                <w:rFonts w:eastAsia="Calibri" w:cs="Times New Roman"/>
                <w:b w:val="0"/>
                <w:caps/>
                <w:noProof/>
                <w:lang w:val="it-IT" w:eastAsia="it-IT"/>
              </w:rPr>
              <w:t>Incipit</w:t>
            </w:r>
            <w:r w:rsidRPr="00FE60A1">
              <w:rPr>
                <w:b w:val="0"/>
                <w:noProof/>
                <w:webHidden/>
              </w:rPr>
              <w:tab/>
            </w:r>
            <w:r w:rsidRPr="00FE60A1">
              <w:rPr>
                <w:b w:val="0"/>
                <w:noProof/>
                <w:webHidden/>
              </w:rPr>
              <w:fldChar w:fldCharType="begin"/>
            </w:r>
            <w:r w:rsidRPr="00FE60A1">
              <w:rPr>
                <w:b w:val="0"/>
                <w:noProof/>
                <w:webHidden/>
              </w:rPr>
              <w:instrText xml:space="preserve"> PAGEREF _Toc152078520 \h </w:instrText>
            </w:r>
            <w:r w:rsidRPr="00FE60A1">
              <w:rPr>
                <w:b w:val="0"/>
                <w:noProof/>
                <w:webHidden/>
              </w:rPr>
            </w:r>
            <w:r w:rsidRPr="00FE60A1">
              <w:rPr>
                <w:b w:val="0"/>
                <w:noProof/>
                <w:webHidden/>
              </w:rPr>
              <w:fldChar w:fldCharType="separate"/>
            </w:r>
            <w:r w:rsidR="00654DFF">
              <w:rPr>
                <w:b w:val="0"/>
                <w:noProof/>
                <w:webHidden/>
              </w:rPr>
              <w:t>3</w:t>
            </w:r>
            <w:r w:rsidRPr="00FE60A1">
              <w:rPr>
                <w:b w:val="0"/>
                <w:noProof/>
                <w:webHidden/>
              </w:rPr>
              <w:fldChar w:fldCharType="end"/>
            </w:r>
          </w:hyperlink>
        </w:p>
        <w:p w:rsidR="00FE60A1" w:rsidRPr="00FE60A1" w:rsidRDefault="00FE60A1">
          <w:pPr>
            <w:pStyle w:val="Sommario1"/>
            <w:rPr>
              <w:rFonts w:asciiTheme="minorHAnsi" w:eastAsiaTheme="minorEastAsia" w:hAnsiTheme="minorHAnsi"/>
              <w:b w:val="0"/>
              <w:noProof/>
              <w:lang w:eastAsia="it-CH"/>
            </w:rPr>
          </w:pPr>
          <w:hyperlink w:anchor="_Toc152078521" w:history="1">
            <w:r w:rsidRPr="00FE60A1">
              <w:rPr>
                <w:rStyle w:val="Collegamentoipertestuale"/>
                <w:rFonts w:eastAsia="Calibri" w:cs="Times New Roman"/>
                <w:b w:val="0"/>
                <w:caps/>
                <w:noProof/>
                <w:lang w:val="it-IT" w:eastAsia="it-IT"/>
              </w:rPr>
              <w:t>4.</w:t>
            </w:r>
            <w:r w:rsidRPr="00FE60A1">
              <w:rPr>
                <w:rFonts w:asciiTheme="minorHAnsi" w:eastAsiaTheme="minorEastAsia" w:hAnsiTheme="minorHAnsi"/>
                <w:b w:val="0"/>
                <w:noProof/>
                <w:lang w:eastAsia="it-CH"/>
              </w:rPr>
              <w:tab/>
            </w:r>
            <w:r w:rsidRPr="00FE60A1">
              <w:rPr>
                <w:rStyle w:val="Collegamentoipertestuale"/>
                <w:rFonts w:eastAsia="Calibri" w:cs="Times New Roman"/>
                <w:b w:val="0"/>
                <w:caps/>
                <w:noProof/>
                <w:lang w:val="it-IT" w:eastAsia="it-IT"/>
              </w:rPr>
              <w:t>I quattro pilastri della riforma</w:t>
            </w:r>
            <w:r w:rsidRPr="00FE60A1">
              <w:rPr>
                <w:b w:val="0"/>
                <w:noProof/>
                <w:webHidden/>
              </w:rPr>
              <w:tab/>
            </w:r>
            <w:r w:rsidRPr="00FE60A1">
              <w:rPr>
                <w:b w:val="0"/>
                <w:noProof/>
                <w:webHidden/>
              </w:rPr>
              <w:fldChar w:fldCharType="begin"/>
            </w:r>
            <w:r w:rsidRPr="00FE60A1">
              <w:rPr>
                <w:b w:val="0"/>
                <w:noProof/>
                <w:webHidden/>
              </w:rPr>
              <w:instrText xml:space="preserve"> PAGEREF _Toc152078521 \h </w:instrText>
            </w:r>
            <w:r w:rsidRPr="00FE60A1">
              <w:rPr>
                <w:b w:val="0"/>
                <w:noProof/>
                <w:webHidden/>
              </w:rPr>
            </w:r>
            <w:r w:rsidRPr="00FE60A1">
              <w:rPr>
                <w:b w:val="0"/>
                <w:noProof/>
                <w:webHidden/>
              </w:rPr>
              <w:fldChar w:fldCharType="separate"/>
            </w:r>
            <w:r w:rsidR="00654DFF">
              <w:rPr>
                <w:b w:val="0"/>
                <w:noProof/>
                <w:webHidden/>
              </w:rPr>
              <w:t>4</w:t>
            </w:r>
            <w:r w:rsidRPr="00FE60A1">
              <w:rPr>
                <w:b w:val="0"/>
                <w:noProof/>
                <w:webHidden/>
              </w:rPr>
              <w:fldChar w:fldCharType="end"/>
            </w:r>
          </w:hyperlink>
        </w:p>
        <w:p w:rsidR="00FE60A1" w:rsidRPr="00FE60A1" w:rsidRDefault="00FE60A1">
          <w:pPr>
            <w:pStyle w:val="Sommario1"/>
            <w:rPr>
              <w:rFonts w:asciiTheme="minorHAnsi" w:eastAsiaTheme="minorEastAsia" w:hAnsiTheme="minorHAnsi"/>
              <w:b w:val="0"/>
              <w:noProof/>
              <w:lang w:eastAsia="it-CH"/>
            </w:rPr>
          </w:pPr>
          <w:hyperlink w:anchor="_Toc152078522" w:history="1">
            <w:r w:rsidRPr="00FE60A1">
              <w:rPr>
                <w:rStyle w:val="Collegamentoipertestuale"/>
                <w:rFonts w:eastAsia="Calibri" w:cs="Times New Roman"/>
                <w:b w:val="0"/>
                <w:caps/>
                <w:noProof/>
                <w:lang w:val="it-IT" w:eastAsia="it-IT"/>
              </w:rPr>
              <w:t>5.</w:t>
            </w:r>
            <w:r w:rsidRPr="00FE60A1">
              <w:rPr>
                <w:rFonts w:asciiTheme="minorHAnsi" w:eastAsiaTheme="minorEastAsia" w:hAnsiTheme="minorHAnsi"/>
                <w:b w:val="0"/>
                <w:noProof/>
                <w:lang w:eastAsia="it-CH"/>
              </w:rPr>
              <w:tab/>
            </w:r>
            <w:r w:rsidRPr="00FE60A1">
              <w:rPr>
                <w:rStyle w:val="Collegamentoipertestuale"/>
                <w:rFonts w:eastAsia="Calibri" w:cs="Times New Roman"/>
                <w:b w:val="0"/>
                <w:caps/>
                <w:noProof/>
                <w:lang w:val="it-IT" w:eastAsia="it-IT"/>
              </w:rPr>
              <w:t>Introduzione</w:t>
            </w:r>
            <w:r w:rsidRPr="00FE60A1">
              <w:rPr>
                <w:b w:val="0"/>
                <w:noProof/>
                <w:webHidden/>
              </w:rPr>
              <w:tab/>
            </w:r>
            <w:r w:rsidRPr="00FE60A1">
              <w:rPr>
                <w:b w:val="0"/>
                <w:noProof/>
                <w:webHidden/>
              </w:rPr>
              <w:fldChar w:fldCharType="begin"/>
            </w:r>
            <w:r w:rsidRPr="00FE60A1">
              <w:rPr>
                <w:b w:val="0"/>
                <w:noProof/>
                <w:webHidden/>
              </w:rPr>
              <w:instrText xml:space="preserve"> PAGEREF _Toc152078522 \h </w:instrText>
            </w:r>
            <w:r w:rsidRPr="00FE60A1">
              <w:rPr>
                <w:b w:val="0"/>
                <w:noProof/>
                <w:webHidden/>
              </w:rPr>
            </w:r>
            <w:r w:rsidRPr="00FE60A1">
              <w:rPr>
                <w:b w:val="0"/>
                <w:noProof/>
                <w:webHidden/>
              </w:rPr>
              <w:fldChar w:fldCharType="separate"/>
            </w:r>
            <w:r w:rsidR="00654DFF">
              <w:rPr>
                <w:b w:val="0"/>
                <w:noProof/>
                <w:webHidden/>
              </w:rPr>
              <w:t>4</w:t>
            </w:r>
            <w:r w:rsidRPr="00FE60A1">
              <w:rPr>
                <w:b w:val="0"/>
                <w:noProof/>
                <w:webHidden/>
              </w:rPr>
              <w:fldChar w:fldCharType="end"/>
            </w:r>
          </w:hyperlink>
        </w:p>
        <w:p w:rsidR="00FE60A1" w:rsidRPr="00FE60A1" w:rsidRDefault="00FE60A1">
          <w:pPr>
            <w:pStyle w:val="Sommario1"/>
            <w:rPr>
              <w:rFonts w:asciiTheme="minorHAnsi" w:eastAsiaTheme="minorEastAsia" w:hAnsiTheme="minorHAnsi"/>
              <w:b w:val="0"/>
              <w:noProof/>
              <w:lang w:eastAsia="it-CH"/>
            </w:rPr>
          </w:pPr>
          <w:hyperlink w:anchor="_Toc152078523" w:history="1">
            <w:r w:rsidRPr="00FE60A1">
              <w:rPr>
                <w:rStyle w:val="Collegamentoipertestuale"/>
                <w:rFonts w:eastAsia="Calibri" w:cs="Times New Roman"/>
                <w:b w:val="0"/>
                <w:caps/>
                <w:noProof/>
                <w:lang w:val="it-IT" w:eastAsia="it-IT"/>
              </w:rPr>
              <w:t>6.</w:t>
            </w:r>
            <w:r w:rsidRPr="00FE60A1">
              <w:rPr>
                <w:rFonts w:asciiTheme="minorHAnsi" w:eastAsiaTheme="minorEastAsia" w:hAnsiTheme="minorHAnsi"/>
                <w:b w:val="0"/>
                <w:noProof/>
                <w:lang w:eastAsia="it-CH"/>
              </w:rPr>
              <w:tab/>
            </w:r>
            <w:r w:rsidRPr="00FE60A1">
              <w:rPr>
                <w:rStyle w:val="Collegamentoipertestuale"/>
                <w:rFonts w:eastAsia="Calibri" w:cs="Times New Roman"/>
                <w:b w:val="0"/>
                <w:caps/>
                <w:noProof/>
                <w:lang w:val="it-IT" w:eastAsia="it-IT"/>
              </w:rPr>
              <w:t>Contestualizzazione dell’attuale riforma della Legge tributaria</w:t>
            </w:r>
            <w:r w:rsidRPr="00FE60A1">
              <w:rPr>
                <w:b w:val="0"/>
                <w:noProof/>
                <w:webHidden/>
              </w:rPr>
              <w:tab/>
            </w:r>
            <w:r w:rsidRPr="00FE60A1">
              <w:rPr>
                <w:b w:val="0"/>
                <w:noProof/>
                <w:webHidden/>
              </w:rPr>
              <w:fldChar w:fldCharType="begin"/>
            </w:r>
            <w:r w:rsidRPr="00FE60A1">
              <w:rPr>
                <w:b w:val="0"/>
                <w:noProof/>
                <w:webHidden/>
              </w:rPr>
              <w:instrText xml:space="preserve"> PAGEREF _Toc152078523 \h </w:instrText>
            </w:r>
            <w:r w:rsidRPr="00FE60A1">
              <w:rPr>
                <w:b w:val="0"/>
                <w:noProof/>
                <w:webHidden/>
              </w:rPr>
            </w:r>
            <w:r w:rsidRPr="00FE60A1">
              <w:rPr>
                <w:b w:val="0"/>
                <w:noProof/>
                <w:webHidden/>
              </w:rPr>
              <w:fldChar w:fldCharType="separate"/>
            </w:r>
            <w:r w:rsidR="00654DFF">
              <w:rPr>
                <w:b w:val="0"/>
                <w:noProof/>
                <w:webHidden/>
              </w:rPr>
              <w:t>5</w:t>
            </w:r>
            <w:r w:rsidRPr="00FE60A1">
              <w:rPr>
                <w:b w:val="0"/>
                <w:noProof/>
                <w:webHidden/>
              </w:rPr>
              <w:fldChar w:fldCharType="end"/>
            </w:r>
          </w:hyperlink>
        </w:p>
        <w:p w:rsidR="00FE60A1" w:rsidRPr="00FE60A1" w:rsidRDefault="00FE60A1">
          <w:pPr>
            <w:pStyle w:val="Sommario1"/>
            <w:rPr>
              <w:rFonts w:asciiTheme="minorHAnsi" w:eastAsiaTheme="minorEastAsia" w:hAnsiTheme="minorHAnsi"/>
              <w:b w:val="0"/>
              <w:noProof/>
              <w:lang w:eastAsia="it-CH"/>
            </w:rPr>
          </w:pPr>
          <w:hyperlink w:anchor="_Toc152078524" w:history="1">
            <w:r w:rsidRPr="00FE60A1">
              <w:rPr>
                <w:rStyle w:val="Collegamentoipertestuale"/>
                <w:rFonts w:eastAsia="Calibri" w:cs="Times New Roman"/>
                <w:b w:val="0"/>
                <w:caps/>
                <w:noProof/>
                <w:lang w:val="it-IT" w:eastAsia="it-IT"/>
              </w:rPr>
              <w:t>7.</w:t>
            </w:r>
            <w:r w:rsidRPr="00FE60A1">
              <w:rPr>
                <w:rFonts w:asciiTheme="minorHAnsi" w:eastAsiaTheme="minorEastAsia" w:hAnsiTheme="minorHAnsi"/>
                <w:b w:val="0"/>
                <w:noProof/>
                <w:lang w:eastAsia="it-CH"/>
              </w:rPr>
              <w:tab/>
            </w:r>
            <w:r w:rsidRPr="00FE60A1">
              <w:rPr>
                <w:rStyle w:val="Collegamentoipertestuale"/>
                <w:rFonts w:eastAsia="Calibri" w:cs="Times New Roman"/>
                <w:b w:val="0"/>
                <w:caps/>
                <w:noProof/>
                <w:lang w:val="it-IT" w:eastAsia="it-IT"/>
              </w:rPr>
              <w:t>L’ipotesi di partenza</w:t>
            </w:r>
            <w:r w:rsidRPr="00FE60A1">
              <w:rPr>
                <w:b w:val="0"/>
                <w:noProof/>
                <w:webHidden/>
              </w:rPr>
              <w:tab/>
            </w:r>
            <w:r w:rsidRPr="00FE60A1">
              <w:rPr>
                <w:b w:val="0"/>
                <w:noProof/>
                <w:webHidden/>
              </w:rPr>
              <w:fldChar w:fldCharType="begin"/>
            </w:r>
            <w:r w:rsidRPr="00FE60A1">
              <w:rPr>
                <w:b w:val="0"/>
                <w:noProof/>
                <w:webHidden/>
              </w:rPr>
              <w:instrText xml:space="preserve"> PAGEREF _Toc152078524 \h </w:instrText>
            </w:r>
            <w:r w:rsidRPr="00FE60A1">
              <w:rPr>
                <w:b w:val="0"/>
                <w:noProof/>
                <w:webHidden/>
              </w:rPr>
            </w:r>
            <w:r w:rsidRPr="00FE60A1">
              <w:rPr>
                <w:b w:val="0"/>
                <w:noProof/>
                <w:webHidden/>
              </w:rPr>
              <w:fldChar w:fldCharType="separate"/>
            </w:r>
            <w:r w:rsidR="00654DFF">
              <w:rPr>
                <w:b w:val="0"/>
                <w:noProof/>
                <w:webHidden/>
              </w:rPr>
              <w:t>6</w:t>
            </w:r>
            <w:r w:rsidRPr="00FE60A1">
              <w:rPr>
                <w:b w:val="0"/>
                <w:noProof/>
                <w:webHidden/>
              </w:rPr>
              <w:fldChar w:fldCharType="end"/>
            </w:r>
          </w:hyperlink>
        </w:p>
        <w:p w:rsidR="00FE60A1" w:rsidRPr="00FE60A1" w:rsidRDefault="00FE60A1">
          <w:pPr>
            <w:pStyle w:val="Sommario1"/>
            <w:rPr>
              <w:rFonts w:asciiTheme="minorHAnsi" w:eastAsiaTheme="minorEastAsia" w:hAnsiTheme="minorHAnsi"/>
              <w:b w:val="0"/>
              <w:noProof/>
              <w:lang w:eastAsia="it-CH"/>
            </w:rPr>
          </w:pPr>
          <w:hyperlink w:anchor="_Toc152078525" w:history="1">
            <w:r w:rsidRPr="00FE60A1">
              <w:rPr>
                <w:rStyle w:val="Collegamentoipertestuale"/>
                <w:rFonts w:eastAsia="Calibri" w:cs="Times New Roman"/>
                <w:b w:val="0"/>
                <w:caps/>
                <w:noProof/>
                <w:lang w:val="it-IT" w:eastAsia="it-IT"/>
              </w:rPr>
              <w:t>8.</w:t>
            </w:r>
            <w:r w:rsidRPr="00FE60A1">
              <w:rPr>
                <w:rFonts w:asciiTheme="minorHAnsi" w:eastAsiaTheme="minorEastAsia" w:hAnsiTheme="minorHAnsi"/>
                <w:b w:val="0"/>
                <w:noProof/>
                <w:lang w:eastAsia="it-CH"/>
              </w:rPr>
              <w:tab/>
            </w:r>
            <w:r w:rsidRPr="00FE60A1">
              <w:rPr>
                <w:rStyle w:val="Collegamentoipertestuale"/>
                <w:rFonts w:eastAsia="Calibri" w:cs="Times New Roman"/>
                <w:b w:val="0"/>
                <w:caps/>
                <w:noProof/>
                <w:lang w:val="it-IT" w:eastAsia="it-IT"/>
              </w:rPr>
              <w:t>Quale economia vogliamo? Più sgravi o migliori condizioni quadro?</w:t>
            </w:r>
            <w:r w:rsidRPr="00FE60A1">
              <w:rPr>
                <w:b w:val="0"/>
                <w:noProof/>
                <w:webHidden/>
              </w:rPr>
              <w:tab/>
            </w:r>
            <w:r w:rsidRPr="00FE60A1">
              <w:rPr>
                <w:b w:val="0"/>
                <w:noProof/>
                <w:webHidden/>
              </w:rPr>
              <w:fldChar w:fldCharType="begin"/>
            </w:r>
            <w:r w:rsidRPr="00FE60A1">
              <w:rPr>
                <w:b w:val="0"/>
                <w:noProof/>
                <w:webHidden/>
              </w:rPr>
              <w:instrText xml:space="preserve"> PAGEREF _Toc152078525 \h </w:instrText>
            </w:r>
            <w:r w:rsidRPr="00FE60A1">
              <w:rPr>
                <w:b w:val="0"/>
                <w:noProof/>
                <w:webHidden/>
              </w:rPr>
            </w:r>
            <w:r w:rsidRPr="00FE60A1">
              <w:rPr>
                <w:b w:val="0"/>
                <w:noProof/>
                <w:webHidden/>
              </w:rPr>
              <w:fldChar w:fldCharType="separate"/>
            </w:r>
            <w:r w:rsidR="00654DFF">
              <w:rPr>
                <w:b w:val="0"/>
                <w:noProof/>
                <w:webHidden/>
              </w:rPr>
              <w:t>9</w:t>
            </w:r>
            <w:r w:rsidRPr="00FE60A1">
              <w:rPr>
                <w:b w:val="0"/>
                <w:noProof/>
                <w:webHidden/>
              </w:rPr>
              <w:fldChar w:fldCharType="end"/>
            </w:r>
          </w:hyperlink>
        </w:p>
        <w:p w:rsidR="00FE60A1" w:rsidRPr="00FE60A1" w:rsidRDefault="00FE60A1">
          <w:pPr>
            <w:pStyle w:val="Sommario1"/>
            <w:rPr>
              <w:rFonts w:asciiTheme="minorHAnsi" w:eastAsiaTheme="minorEastAsia" w:hAnsiTheme="minorHAnsi"/>
              <w:b w:val="0"/>
              <w:noProof/>
              <w:lang w:eastAsia="it-CH"/>
            </w:rPr>
          </w:pPr>
          <w:hyperlink w:anchor="_Toc152078526" w:history="1">
            <w:r w:rsidRPr="00FE60A1">
              <w:rPr>
                <w:rStyle w:val="Collegamentoipertestuale"/>
                <w:rFonts w:eastAsia="Calibri" w:cs="Times New Roman"/>
                <w:b w:val="0"/>
                <w:caps/>
                <w:noProof/>
                <w:lang w:val="it-IT" w:eastAsia="it-IT"/>
              </w:rPr>
              <w:t>9.</w:t>
            </w:r>
            <w:r w:rsidRPr="00FE60A1">
              <w:rPr>
                <w:rFonts w:asciiTheme="minorHAnsi" w:eastAsiaTheme="minorEastAsia" w:hAnsiTheme="minorHAnsi"/>
                <w:b w:val="0"/>
                <w:noProof/>
                <w:lang w:eastAsia="it-CH"/>
              </w:rPr>
              <w:tab/>
            </w:r>
            <w:r w:rsidRPr="00FE60A1">
              <w:rPr>
                <w:rStyle w:val="Collegamentoipertestuale"/>
                <w:rFonts w:eastAsia="Calibri" w:cs="Times New Roman"/>
                <w:b w:val="0"/>
                <w:caps/>
                <w:noProof/>
                <w:lang w:val="it-IT" w:eastAsia="it-IT"/>
              </w:rPr>
              <w:t>E la progettualità</w:t>
            </w:r>
            <w:r w:rsidRPr="00FE60A1">
              <w:rPr>
                <w:b w:val="0"/>
                <w:noProof/>
                <w:webHidden/>
              </w:rPr>
              <w:tab/>
            </w:r>
            <w:r w:rsidRPr="00FE60A1">
              <w:rPr>
                <w:b w:val="0"/>
                <w:noProof/>
                <w:webHidden/>
              </w:rPr>
              <w:fldChar w:fldCharType="begin"/>
            </w:r>
            <w:r w:rsidRPr="00FE60A1">
              <w:rPr>
                <w:b w:val="0"/>
                <w:noProof/>
                <w:webHidden/>
              </w:rPr>
              <w:instrText xml:space="preserve"> PAGEREF _Toc152078526 \h </w:instrText>
            </w:r>
            <w:r w:rsidRPr="00FE60A1">
              <w:rPr>
                <w:b w:val="0"/>
                <w:noProof/>
                <w:webHidden/>
              </w:rPr>
            </w:r>
            <w:r w:rsidRPr="00FE60A1">
              <w:rPr>
                <w:b w:val="0"/>
                <w:noProof/>
                <w:webHidden/>
              </w:rPr>
              <w:fldChar w:fldCharType="separate"/>
            </w:r>
            <w:r w:rsidR="00654DFF">
              <w:rPr>
                <w:b w:val="0"/>
                <w:noProof/>
                <w:webHidden/>
              </w:rPr>
              <w:t>9</w:t>
            </w:r>
            <w:r w:rsidRPr="00FE60A1">
              <w:rPr>
                <w:b w:val="0"/>
                <w:noProof/>
                <w:webHidden/>
              </w:rPr>
              <w:fldChar w:fldCharType="end"/>
            </w:r>
          </w:hyperlink>
        </w:p>
        <w:p w:rsidR="00FE60A1" w:rsidRPr="00FE60A1" w:rsidRDefault="00FE60A1">
          <w:pPr>
            <w:pStyle w:val="Sommario1"/>
            <w:rPr>
              <w:rFonts w:asciiTheme="minorHAnsi" w:eastAsiaTheme="minorEastAsia" w:hAnsiTheme="minorHAnsi"/>
              <w:b w:val="0"/>
              <w:noProof/>
              <w:lang w:eastAsia="it-CH"/>
            </w:rPr>
          </w:pPr>
          <w:hyperlink w:anchor="_Toc152078527" w:history="1">
            <w:r w:rsidRPr="00FE60A1">
              <w:rPr>
                <w:rStyle w:val="Collegamentoipertestuale"/>
                <w:rFonts w:eastAsia="Calibri" w:cs="Times New Roman"/>
                <w:b w:val="0"/>
                <w:caps/>
                <w:noProof/>
                <w:lang w:val="it-IT" w:eastAsia="it-IT"/>
              </w:rPr>
              <w:t>10.</w:t>
            </w:r>
            <w:r w:rsidRPr="00FE60A1">
              <w:rPr>
                <w:rFonts w:asciiTheme="minorHAnsi" w:eastAsiaTheme="minorEastAsia" w:hAnsiTheme="minorHAnsi"/>
                <w:b w:val="0"/>
                <w:noProof/>
                <w:lang w:eastAsia="it-CH"/>
              </w:rPr>
              <w:tab/>
            </w:r>
            <w:r w:rsidRPr="00FE60A1">
              <w:rPr>
                <w:rStyle w:val="Collegamentoipertestuale"/>
                <w:rFonts w:eastAsia="Calibri" w:cs="Times New Roman"/>
                <w:b w:val="0"/>
                <w:caps/>
                <w:noProof/>
                <w:lang w:val="it-IT" w:eastAsia="it-IT"/>
              </w:rPr>
              <w:t>Riduzione dell’aliquota massima sul reddito</w:t>
            </w:r>
            <w:r w:rsidRPr="00FE60A1">
              <w:rPr>
                <w:b w:val="0"/>
                <w:noProof/>
                <w:webHidden/>
              </w:rPr>
              <w:tab/>
            </w:r>
            <w:r w:rsidRPr="00FE60A1">
              <w:rPr>
                <w:b w:val="0"/>
                <w:noProof/>
                <w:webHidden/>
              </w:rPr>
              <w:fldChar w:fldCharType="begin"/>
            </w:r>
            <w:r w:rsidRPr="00FE60A1">
              <w:rPr>
                <w:b w:val="0"/>
                <w:noProof/>
                <w:webHidden/>
              </w:rPr>
              <w:instrText xml:space="preserve"> PAGEREF _Toc152078527 \h </w:instrText>
            </w:r>
            <w:r w:rsidRPr="00FE60A1">
              <w:rPr>
                <w:b w:val="0"/>
                <w:noProof/>
                <w:webHidden/>
              </w:rPr>
            </w:r>
            <w:r w:rsidRPr="00FE60A1">
              <w:rPr>
                <w:b w:val="0"/>
                <w:noProof/>
                <w:webHidden/>
              </w:rPr>
              <w:fldChar w:fldCharType="separate"/>
            </w:r>
            <w:r w:rsidR="00654DFF">
              <w:rPr>
                <w:b w:val="0"/>
                <w:noProof/>
                <w:webHidden/>
              </w:rPr>
              <w:t>10</w:t>
            </w:r>
            <w:r w:rsidRPr="00FE60A1">
              <w:rPr>
                <w:b w:val="0"/>
                <w:noProof/>
                <w:webHidden/>
              </w:rPr>
              <w:fldChar w:fldCharType="end"/>
            </w:r>
          </w:hyperlink>
        </w:p>
        <w:p w:rsidR="00FE60A1" w:rsidRPr="00FE60A1" w:rsidRDefault="00FE60A1">
          <w:pPr>
            <w:pStyle w:val="Sommario1"/>
            <w:rPr>
              <w:rFonts w:asciiTheme="minorHAnsi" w:eastAsiaTheme="minorEastAsia" w:hAnsiTheme="minorHAnsi"/>
              <w:b w:val="0"/>
              <w:noProof/>
              <w:lang w:eastAsia="it-CH"/>
            </w:rPr>
          </w:pPr>
          <w:hyperlink w:anchor="_Toc152078528" w:history="1">
            <w:r w:rsidRPr="00FE60A1">
              <w:rPr>
                <w:rStyle w:val="Collegamentoipertestuale"/>
                <w:rFonts w:eastAsia="Calibri" w:cs="Times New Roman"/>
                <w:b w:val="0"/>
                <w:caps/>
                <w:noProof/>
                <w:lang w:val="it-IT" w:eastAsia="it-IT"/>
              </w:rPr>
              <w:t>11.</w:t>
            </w:r>
            <w:r w:rsidRPr="00FE60A1">
              <w:rPr>
                <w:rFonts w:asciiTheme="minorHAnsi" w:eastAsiaTheme="minorEastAsia" w:hAnsiTheme="minorHAnsi"/>
                <w:b w:val="0"/>
                <w:noProof/>
                <w:lang w:eastAsia="it-CH"/>
              </w:rPr>
              <w:tab/>
            </w:r>
            <w:r w:rsidRPr="00FE60A1">
              <w:rPr>
                <w:rStyle w:val="Collegamentoipertestuale"/>
                <w:rFonts w:eastAsia="Calibri" w:cs="Times New Roman"/>
                <w:b w:val="0"/>
                <w:caps/>
                <w:noProof/>
                <w:lang w:val="it-IT" w:eastAsia="it-IT"/>
              </w:rPr>
              <w:t>Aumento della deduzione forfettaria per spese professionali</w:t>
            </w:r>
            <w:r w:rsidRPr="00FE60A1">
              <w:rPr>
                <w:b w:val="0"/>
                <w:noProof/>
                <w:webHidden/>
              </w:rPr>
              <w:tab/>
            </w:r>
            <w:r w:rsidRPr="00FE60A1">
              <w:rPr>
                <w:b w:val="0"/>
                <w:noProof/>
                <w:webHidden/>
              </w:rPr>
              <w:fldChar w:fldCharType="begin"/>
            </w:r>
            <w:r w:rsidRPr="00FE60A1">
              <w:rPr>
                <w:b w:val="0"/>
                <w:noProof/>
                <w:webHidden/>
              </w:rPr>
              <w:instrText xml:space="preserve"> PAGEREF _Toc152078528 \h </w:instrText>
            </w:r>
            <w:r w:rsidRPr="00FE60A1">
              <w:rPr>
                <w:b w:val="0"/>
                <w:noProof/>
                <w:webHidden/>
              </w:rPr>
            </w:r>
            <w:r w:rsidRPr="00FE60A1">
              <w:rPr>
                <w:b w:val="0"/>
                <w:noProof/>
                <w:webHidden/>
              </w:rPr>
              <w:fldChar w:fldCharType="separate"/>
            </w:r>
            <w:r w:rsidR="00654DFF">
              <w:rPr>
                <w:b w:val="0"/>
                <w:noProof/>
                <w:webHidden/>
              </w:rPr>
              <w:t>13</w:t>
            </w:r>
            <w:r w:rsidRPr="00FE60A1">
              <w:rPr>
                <w:b w:val="0"/>
                <w:noProof/>
                <w:webHidden/>
              </w:rPr>
              <w:fldChar w:fldCharType="end"/>
            </w:r>
          </w:hyperlink>
        </w:p>
        <w:p w:rsidR="00FE60A1" w:rsidRPr="00FE60A1" w:rsidRDefault="00FE60A1">
          <w:pPr>
            <w:pStyle w:val="Sommario1"/>
            <w:rPr>
              <w:rFonts w:asciiTheme="minorHAnsi" w:eastAsiaTheme="minorEastAsia" w:hAnsiTheme="minorHAnsi"/>
              <w:b w:val="0"/>
              <w:noProof/>
              <w:lang w:eastAsia="it-CH"/>
            </w:rPr>
          </w:pPr>
          <w:hyperlink w:anchor="_Toc152078529" w:history="1">
            <w:r w:rsidRPr="00FE60A1">
              <w:rPr>
                <w:rStyle w:val="Collegamentoipertestuale"/>
                <w:rFonts w:eastAsia="Calibri" w:cs="Times New Roman"/>
                <w:b w:val="0"/>
                <w:caps/>
                <w:noProof/>
                <w:lang w:val="it-IT" w:eastAsia="it-IT"/>
              </w:rPr>
              <w:t>12.</w:t>
            </w:r>
            <w:r w:rsidRPr="00FE60A1">
              <w:rPr>
                <w:rFonts w:asciiTheme="minorHAnsi" w:eastAsiaTheme="minorEastAsia" w:hAnsiTheme="minorHAnsi"/>
                <w:b w:val="0"/>
                <w:noProof/>
                <w:lang w:eastAsia="it-CH"/>
              </w:rPr>
              <w:tab/>
            </w:r>
            <w:r w:rsidRPr="00FE60A1">
              <w:rPr>
                <w:rStyle w:val="Collegamentoipertestuale"/>
                <w:rFonts w:eastAsia="Calibri" w:cs="Times New Roman"/>
                <w:b w:val="0"/>
                <w:caps/>
                <w:noProof/>
                <w:lang w:val="it-IT" w:eastAsia="it-IT"/>
              </w:rPr>
              <w:t>Imposizione delle prestazioni in capitale</w:t>
            </w:r>
            <w:r w:rsidRPr="00FE60A1">
              <w:rPr>
                <w:b w:val="0"/>
                <w:noProof/>
                <w:webHidden/>
              </w:rPr>
              <w:tab/>
            </w:r>
            <w:r w:rsidRPr="00FE60A1">
              <w:rPr>
                <w:b w:val="0"/>
                <w:noProof/>
                <w:webHidden/>
              </w:rPr>
              <w:fldChar w:fldCharType="begin"/>
            </w:r>
            <w:r w:rsidRPr="00FE60A1">
              <w:rPr>
                <w:b w:val="0"/>
                <w:noProof/>
                <w:webHidden/>
              </w:rPr>
              <w:instrText xml:space="preserve"> PAGEREF _Toc152078529 \h </w:instrText>
            </w:r>
            <w:r w:rsidRPr="00FE60A1">
              <w:rPr>
                <w:b w:val="0"/>
                <w:noProof/>
                <w:webHidden/>
              </w:rPr>
            </w:r>
            <w:r w:rsidRPr="00FE60A1">
              <w:rPr>
                <w:b w:val="0"/>
                <w:noProof/>
                <w:webHidden/>
              </w:rPr>
              <w:fldChar w:fldCharType="separate"/>
            </w:r>
            <w:r w:rsidR="00654DFF">
              <w:rPr>
                <w:b w:val="0"/>
                <w:noProof/>
                <w:webHidden/>
              </w:rPr>
              <w:t>13</w:t>
            </w:r>
            <w:r w:rsidRPr="00FE60A1">
              <w:rPr>
                <w:b w:val="0"/>
                <w:noProof/>
                <w:webHidden/>
              </w:rPr>
              <w:fldChar w:fldCharType="end"/>
            </w:r>
          </w:hyperlink>
        </w:p>
        <w:p w:rsidR="00FE60A1" w:rsidRPr="00FE60A1" w:rsidRDefault="00FE60A1">
          <w:pPr>
            <w:pStyle w:val="Sommario1"/>
            <w:rPr>
              <w:rFonts w:asciiTheme="minorHAnsi" w:eastAsiaTheme="minorEastAsia" w:hAnsiTheme="minorHAnsi"/>
              <w:b w:val="0"/>
              <w:noProof/>
              <w:lang w:eastAsia="it-CH"/>
            </w:rPr>
          </w:pPr>
          <w:hyperlink w:anchor="_Toc152078530" w:history="1">
            <w:r w:rsidRPr="00FE60A1">
              <w:rPr>
                <w:rStyle w:val="Collegamentoipertestuale"/>
                <w:rFonts w:eastAsia="Calibri" w:cs="Times New Roman"/>
                <w:b w:val="0"/>
                <w:caps/>
                <w:noProof/>
                <w:lang w:val="it-IT" w:eastAsia="it-IT"/>
              </w:rPr>
              <w:t>13.</w:t>
            </w:r>
            <w:r w:rsidRPr="00FE60A1">
              <w:rPr>
                <w:rFonts w:asciiTheme="minorHAnsi" w:eastAsiaTheme="minorEastAsia" w:hAnsiTheme="minorHAnsi"/>
                <w:b w:val="0"/>
                <w:noProof/>
                <w:lang w:eastAsia="it-CH"/>
              </w:rPr>
              <w:tab/>
            </w:r>
            <w:r w:rsidRPr="00FE60A1">
              <w:rPr>
                <w:rStyle w:val="Collegamentoipertestuale"/>
                <w:rFonts w:eastAsia="Calibri" w:cs="Times New Roman"/>
                <w:b w:val="0"/>
                <w:caps/>
                <w:noProof/>
                <w:lang w:val="it-IT" w:eastAsia="it-IT"/>
              </w:rPr>
              <w:t>Imposte di donazione e successione</w:t>
            </w:r>
            <w:r w:rsidRPr="00FE60A1">
              <w:rPr>
                <w:b w:val="0"/>
                <w:noProof/>
                <w:webHidden/>
              </w:rPr>
              <w:tab/>
            </w:r>
            <w:r w:rsidRPr="00FE60A1">
              <w:rPr>
                <w:b w:val="0"/>
                <w:noProof/>
                <w:webHidden/>
              </w:rPr>
              <w:fldChar w:fldCharType="begin"/>
            </w:r>
            <w:r w:rsidRPr="00FE60A1">
              <w:rPr>
                <w:b w:val="0"/>
                <w:noProof/>
                <w:webHidden/>
              </w:rPr>
              <w:instrText xml:space="preserve"> PAGEREF _Toc152078530 \h </w:instrText>
            </w:r>
            <w:r w:rsidRPr="00FE60A1">
              <w:rPr>
                <w:b w:val="0"/>
                <w:noProof/>
                <w:webHidden/>
              </w:rPr>
            </w:r>
            <w:r w:rsidRPr="00FE60A1">
              <w:rPr>
                <w:b w:val="0"/>
                <w:noProof/>
                <w:webHidden/>
              </w:rPr>
              <w:fldChar w:fldCharType="separate"/>
            </w:r>
            <w:r w:rsidR="00654DFF">
              <w:rPr>
                <w:b w:val="0"/>
                <w:noProof/>
                <w:webHidden/>
              </w:rPr>
              <w:t>14</w:t>
            </w:r>
            <w:r w:rsidRPr="00FE60A1">
              <w:rPr>
                <w:b w:val="0"/>
                <w:noProof/>
                <w:webHidden/>
              </w:rPr>
              <w:fldChar w:fldCharType="end"/>
            </w:r>
          </w:hyperlink>
        </w:p>
        <w:p w:rsidR="00FE60A1" w:rsidRPr="00FE60A1" w:rsidRDefault="00FE60A1">
          <w:pPr>
            <w:pStyle w:val="Sommario1"/>
            <w:rPr>
              <w:rFonts w:asciiTheme="minorHAnsi" w:eastAsiaTheme="minorEastAsia" w:hAnsiTheme="minorHAnsi"/>
              <w:b w:val="0"/>
              <w:noProof/>
              <w:lang w:eastAsia="it-CH"/>
            </w:rPr>
          </w:pPr>
          <w:hyperlink w:anchor="_Toc152078531" w:history="1">
            <w:r w:rsidRPr="00FE60A1">
              <w:rPr>
                <w:rStyle w:val="Collegamentoipertestuale"/>
                <w:rFonts w:eastAsia="Calibri" w:cs="Times New Roman"/>
                <w:b w:val="0"/>
                <w:caps/>
                <w:noProof/>
                <w:lang w:val="it-IT" w:eastAsia="it-IT"/>
              </w:rPr>
              <w:t>14.</w:t>
            </w:r>
            <w:r w:rsidRPr="00FE60A1">
              <w:rPr>
                <w:rFonts w:asciiTheme="minorHAnsi" w:eastAsiaTheme="minorEastAsia" w:hAnsiTheme="minorHAnsi"/>
                <w:b w:val="0"/>
                <w:noProof/>
                <w:lang w:eastAsia="it-CH"/>
              </w:rPr>
              <w:tab/>
            </w:r>
            <w:r w:rsidRPr="00FE60A1">
              <w:rPr>
                <w:rStyle w:val="Collegamentoipertestuale"/>
                <w:rFonts w:eastAsia="Calibri" w:cs="Times New Roman"/>
                <w:b w:val="0"/>
                <w:caps/>
                <w:noProof/>
                <w:lang w:val="it-IT" w:eastAsia="it-IT"/>
              </w:rPr>
              <w:t>Il rapporto di maggioranza</w:t>
            </w:r>
            <w:r w:rsidRPr="00FE60A1">
              <w:rPr>
                <w:b w:val="0"/>
                <w:noProof/>
                <w:webHidden/>
              </w:rPr>
              <w:tab/>
            </w:r>
            <w:r w:rsidRPr="00FE60A1">
              <w:rPr>
                <w:b w:val="0"/>
                <w:noProof/>
                <w:webHidden/>
              </w:rPr>
              <w:fldChar w:fldCharType="begin"/>
            </w:r>
            <w:r w:rsidRPr="00FE60A1">
              <w:rPr>
                <w:b w:val="0"/>
                <w:noProof/>
                <w:webHidden/>
              </w:rPr>
              <w:instrText xml:space="preserve"> PAGEREF _Toc152078531 \h </w:instrText>
            </w:r>
            <w:r w:rsidRPr="00FE60A1">
              <w:rPr>
                <w:b w:val="0"/>
                <w:noProof/>
                <w:webHidden/>
              </w:rPr>
            </w:r>
            <w:r w:rsidRPr="00FE60A1">
              <w:rPr>
                <w:b w:val="0"/>
                <w:noProof/>
                <w:webHidden/>
              </w:rPr>
              <w:fldChar w:fldCharType="separate"/>
            </w:r>
            <w:r w:rsidR="00654DFF">
              <w:rPr>
                <w:b w:val="0"/>
                <w:noProof/>
                <w:webHidden/>
              </w:rPr>
              <w:t>14</w:t>
            </w:r>
            <w:r w:rsidRPr="00FE60A1">
              <w:rPr>
                <w:b w:val="0"/>
                <w:noProof/>
                <w:webHidden/>
              </w:rPr>
              <w:fldChar w:fldCharType="end"/>
            </w:r>
          </w:hyperlink>
        </w:p>
        <w:p w:rsidR="00FE60A1" w:rsidRPr="00FE60A1" w:rsidRDefault="00FE60A1">
          <w:pPr>
            <w:pStyle w:val="Sommario1"/>
            <w:rPr>
              <w:rFonts w:asciiTheme="minorHAnsi" w:eastAsiaTheme="minorEastAsia" w:hAnsiTheme="minorHAnsi"/>
              <w:b w:val="0"/>
              <w:noProof/>
              <w:lang w:eastAsia="it-CH"/>
            </w:rPr>
          </w:pPr>
          <w:hyperlink w:anchor="_Toc152078532" w:history="1">
            <w:r w:rsidRPr="00FE60A1">
              <w:rPr>
                <w:rStyle w:val="Collegamentoipertestuale"/>
                <w:rFonts w:eastAsia="Calibri" w:cs="Times New Roman"/>
                <w:b w:val="0"/>
                <w:caps/>
                <w:noProof/>
                <w:lang w:val="it-IT" w:eastAsia="it-IT"/>
              </w:rPr>
              <w:t>15.</w:t>
            </w:r>
            <w:r w:rsidRPr="00FE60A1">
              <w:rPr>
                <w:rFonts w:asciiTheme="minorHAnsi" w:eastAsiaTheme="minorEastAsia" w:hAnsiTheme="minorHAnsi"/>
                <w:b w:val="0"/>
                <w:noProof/>
                <w:lang w:eastAsia="it-CH"/>
              </w:rPr>
              <w:tab/>
            </w:r>
            <w:r w:rsidRPr="00FE60A1">
              <w:rPr>
                <w:rStyle w:val="Collegamentoipertestuale"/>
                <w:rFonts w:eastAsia="Calibri" w:cs="Times New Roman"/>
                <w:b w:val="0"/>
                <w:caps/>
                <w:noProof/>
                <w:lang w:val="it-IT" w:eastAsia="it-IT"/>
              </w:rPr>
              <w:t>Conclusioni</w:t>
            </w:r>
            <w:r w:rsidRPr="00FE60A1">
              <w:rPr>
                <w:b w:val="0"/>
                <w:noProof/>
                <w:webHidden/>
              </w:rPr>
              <w:tab/>
            </w:r>
            <w:r w:rsidRPr="00FE60A1">
              <w:rPr>
                <w:b w:val="0"/>
                <w:noProof/>
                <w:webHidden/>
              </w:rPr>
              <w:fldChar w:fldCharType="begin"/>
            </w:r>
            <w:r w:rsidRPr="00FE60A1">
              <w:rPr>
                <w:b w:val="0"/>
                <w:noProof/>
                <w:webHidden/>
              </w:rPr>
              <w:instrText xml:space="preserve"> PAGEREF _Toc152078532 \h </w:instrText>
            </w:r>
            <w:r w:rsidRPr="00FE60A1">
              <w:rPr>
                <w:b w:val="0"/>
                <w:noProof/>
                <w:webHidden/>
              </w:rPr>
            </w:r>
            <w:r w:rsidRPr="00FE60A1">
              <w:rPr>
                <w:b w:val="0"/>
                <w:noProof/>
                <w:webHidden/>
              </w:rPr>
              <w:fldChar w:fldCharType="separate"/>
            </w:r>
            <w:r w:rsidR="00654DFF">
              <w:rPr>
                <w:b w:val="0"/>
                <w:noProof/>
                <w:webHidden/>
              </w:rPr>
              <w:t>15</w:t>
            </w:r>
            <w:r w:rsidRPr="00FE60A1">
              <w:rPr>
                <w:b w:val="0"/>
                <w:noProof/>
                <w:webHidden/>
              </w:rPr>
              <w:fldChar w:fldCharType="end"/>
            </w:r>
          </w:hyperlink>
        </w:p>
        <w:p w:rsidR="009F02C3" w:rsidRPr="009F02C3" w:rsidRDefault="009F02C3">
          <w:pPr>
            <w:rPr>
              <w:b/>
              <w:bCs/>
              <w:sz w:val="20"/>
              <w:lang w:val="it-IT"/>
            </w:rPr>
          </w:pPr>
          <w:r w:rsidRPr="00FE60A1">
            <w:rPr>
              <w:rFonts w:asciiTheme="minorHAnsi" w:hAnsiTheme="minorHAnsi" w:cstheme="minorHAnsi"/>
              <w:bCs/>
              <w:sz w:val="24"/>
              <w:szCs w:val="24"/>
              <w:lang w:val="it-IT"/>
            </w:rPr>
            <w:fldChar w:fldCharType="end"/>
          </w:r>
        </w:p>
      </w:sdtContent>
    </w:sdt>
    <w:p w:rsidR="0021231A" w:rsidRPr="005014D6" w:rsidRDefault="005014D6" w:rsidP="005014D6">
      <w:pPr>
        <w:pStyle w:val="Titolo1"/>
        <w:tabs>
          <w:tab w:val="left" w:pos="0"/>
          <w:tab w:val="left" w:pos="567"/>
        </w:tabs>
        <w:spacing w:before="0" w:after="120"/>
        <w:jc w:val="both"/>
        <w:rPr>
          <w:rFonts w:eastAsia="Calibri" w:cs="Times New Roman"/>
          <w:caps/>
          <w:sz w:val="24"/>
          <w:szCs w:val="24"/>
          <w:lang w:val="it-IT" w:eastAsia="it-IT"/>
        </w:rPr>
      </w:pPr>
      <w:bookmarkStart w:id="0" w:name="_Toc152078518"/>
      <w:r>
        <w:rPr>
          <w:rFonts w:eastAsia="Calibri" w:cs="Times New Roman"/>
          <w:caps/>
          <w:sz w:val="24"/>
          <w:szCs w:val="24"/>
          <w:lang w:val="it-IT" w:eastAsia="it-IT"/>
        </w:rPr>
        <w:lastRenderedPageBreak/>
        <w:t>1.</w:t>
      </w:r>
      <w:r>
        <w:rPr>
          <w:rFonts w:eastAsia="Calibri" w:cs="Times New Roman"/>
          <w:caps/>
          <w:sz w:val="24"/>
          <w:szCs w:val="24"/>
          <w:lang w:val="it-IT" w:eastAsia="it-IT"/>
        </w:rPr>
        <w:tab/>
      </w:r>
      <w:r w:rsidR="0021231A" w:rsidRPr="005014D6">
        <w:rPr>
          <w:rFonts w:eastAsia="Calibri" w:cs="Times New Roman"/>
          <w:caps/>
          <w:sz w:val="24"/>
          <w:szCs w:val="24"/>
          <w:lang w:val="it-IT" w:eastAsia="it-IT"/>
        </w:rPr>
        <w:t>Concentrazione del capitale e disuguaglianze</w:t>
      </w:r>
      <w:bookmarkEnd w:id="0"/>
    </w:p>
    <w:p w:rsidR="0021231A" w:rsidRDefault="0021231A" w:rsidP="00C12FE0">
      <w:pPr>
        <w:pStyle w:val="StandardRisoluzionedelConsigliodiStato"/>
        <w:spacing w:after="120"/>
        <w:ind w:right="-1"/>
      </w:pPr>
      <w:r>
        <w:t>S</w:t>
      </w:r>
      <w:r w:rsidR="009F02C3">
        <w:t>econdo Pi</w:t>
      </w:r>
      <w:r>
        <w:t>ketty il fatto che la concentrazione di capitale e le disuguaglianze siano restate pressoché uguali ai livelli della Rivoluzione francese è dovuto a un semplice fatto che si può riassumere in una formula:</w:t>
      </w:r>
    </w:p>
    <w:p w:rsidR="0021231A" w:rsidRDefault="0021231A" w:rsidP="00C12FE0">
      <w:pPr>
        <w:pStyle w:val="StandardRisoluzionedelConsigliodiStato"/>
        <w:spacing w:after="120"/>
        <w:ind w:right="-1"/>
        <w:jc w:val="center"/>
      </w:pPr>
      <w:r>
        <w:t>r &gt; g</w:t>
      </w:r>
    </w:p>
    <w:p w:rsidR="0021231A" w:rsidRDefault="0021231A" w:rsidP="00857F9A">
      <w:pPr>
        <w:pStyle w:val="StandardRisoluzionedelConsigliodiStato"/>
        <w:spacing w:after="240"/>
      </w:pPr>
      <w:r>
        <w:t>Ossia il capitale cresce più velocemente dell’economia. In altre parole</w:t>
      </w:r>
      <w:r w:rsidR="00C12FE0">
        <w:t>,</w:t>
      </w:r>
      <w:r>
        <w:t xml:space="preserve"> il capitale rende più del lavoro stesso.</w:t>
      </w:r>
    </w:p>
    <w:p w:rsidR="0021231A" w:rsidRDefault="0021231A" w:rsidP="00857F9A">
      <w:pPr>
        <w:pStyle w:val="StandardRisoluzionedelConsigliodiStato"/>
        <w:spacing w:after="240"/>
      </w:pPr>
      <w:r>
        <w:t xml:space="preserve">La teoria secondo cui il capitale rende più del lavoro è centrale nell'opera "Il Capitale nel XXI secolo". </w:t>
      </w:r>
    </w:p>
    <w:p w:rsidR="0021231A" w:rsidRDefault="0021231A" w:rsidP="00857F9A">
      <w:pPr>
        <w:pStyle w:val="StandardRisoluzionedelConsigliodiStato"/>
        <w:spacing w:after="240"/>
      </w:pPr>
      <w:r>
        <w:t>Piketty sostiene che quando il ritorno sul capitale supera il tasso di crescita economica, la ricchezza tende a concentrarsi nelle mani di pochi, alimentando la disuguaglianza di reddito e di ricchezza. Questa condizione, secondo Piketty, è stata la norma per la maggior parte della storia umana e rischia di tornare ad essere predominante se non vengono adottate misure di redistribuzione della ricchezza e del reddito.</w:t>
      </w:r>
    </w:p>
    <w:p w:rsidR="0021231A" w:rsidRDefault="0021231A" w:rsidP="00857F9A">
      <w:pPr>
        <w:pStyle w:val="StandardRisoluzionedelConsigliodiStato"/>
        <w:spacing w:after="240"/>
      </w:pPr>
      <w:r>
        <w:t>Egli propone che per ridurre la disuguaglianza economica e sociale si dovrebbe tassare di più le grandi ricchezze e il capitale, visto che il rendimento di questi supera spesso il ritorno dal lavoro.</w:t>
      </w:r>
    </w:p>
    <w:p w:rsidR="0021231A" w:rsidRDefault="0021231A" w:rsidP="00857F9A">
      <w:pPr>
        <w:pStyle w:val="StandardRisoluzionedelConsigliodiStato"/>
        <w:spacing w:after="240"/>
      </w:pPr>
      <w:r>
        <w:t>La riforma tributaria presentata nel Messaggio 8303 e anche la proposta del rapporto di maggioranza contribuiscono ad aumentare le disuguaglianze invece che a ridurle e questo non può trovarci d’accordo. Ancor più che parallelamente a queste modifiche viene presentato un Preventivo che propone di ridurre in maniera importante servizi e prestazioni alle fasce fragili della popolazione e anche al ceto medio tramite la riduzione dei sussidi di cassa malati ordinari.</w:t>
      </w:r>
    </w:p>
    <w:p w:rsidR="0021231A" w:rsidRDefault="0021231A" w:rsidP="0021231A">
      <w:pPr>
        <w:pStyle w:val="StandardRisoluzionedelConsigliodiStato"/>
        <w:ind w:right="-1"/>
      </w:pPr>
      <w:r>
        <w:t>E se è vero, aggiungiamo noi, che prima di valorizzare le persone tramite i sussidi - necessari ma mortificanti - alle persone dovrebbe essere riconosciuto un salario migliore, in una situazione critica come quella che stiamo vivendo, deve ancora essere lo Stato a garantire una più degna ridistribuzione e scongiurare una disuguaglianza di reddito e di ricchezza ancora più importanti.</w:t>
      </w:r>
    </w:p>
    <w:p w:rsidR="0021231A" w:rsidRDefault="0021231A" w:rsidP="0021231A">
      <w:pPr>
        <w:pStyle w:val="StandardRisoluzionedelConsigliodiStato"/>
        <w:ind w:right="-1"/>
      </w:pPr>
    </w:p>
    <w:p w:rsidR="005014D6" w:rsidRDefault="005014D6" w:rsidP="0021231A">
      <w:pPr>
        <w:pStyle w:val="StandardRisoluzionedelConsigliodiStato"/>
        <w:ind w:right="-1"/>
      </w:pPr>
    </w:p>
    <w:p w:rsidR="0021231A" w:rsidRPr="005014D6" w:rsidRDefault="005014D6" w:rsidP="005014D6">
      <w:pPr>
        <w:pStyle w:val="Titolo1"/>
        <w:tabs>
          <w:tab w:val="left" w:pos="0"/>
          <w:tab w:val="left" w:pos="567"/>
        </w:tabs>
        <w:spacing w:before="0" w:after="120"/>
        <w:jc w:val="both"/>
        <w:rPr>
          <w:rFonts w:eastAsia="Calibri" w:cs="Times New Roman"/>
          <w:caps/>
          <w:sz w:val="24"/>
          <w:szCs w:val="24"/>
          <w:lang w:val="it-IT" w:eastAsia="it-IT"/>
        </w:rPr>
      </w:pPr>
      <w:bookmarkStart w:id="1" w:name="_Toc152078519"/>
      <w:r>
        <w:rPr>
          <w:rFonts w:eastAsia="Calibri" w:cs="Times New Roman"/>
          <w:caps/>
          <w:sz w:val="24"/>
          <w:szCs w:val="24"/>
          <w:lang w:val="it-IT" w:eastAsia="it-IT"/>
        </w:rPr>
        <w:t>2.</w:t>
      </w:r>
      <w:r>
        <w:rPr>
          <w:rFonts w:eastAsia="Calibri" w:cs="Times New Roman"/>
          <w:caps/>
          <w:sz w:val="24"/>
          <w:szCs w:val="24"/>
          <w:lang w:val="it-IT" w:eastAsia="it-IT"/>
        </w:rPr>
        <w:tab/>
      </w:r>
      <w:r w:rsidR="0021231A" w:rsidRPr="005014D6">
        <w:rPr>
          <w:rFonts w:eastAsia="Calibri" w:cs="Times New Roman"/>
          <w:caps/>
          <w:sz w:val="24"/>
          <w:szCs w:val="24"/>
          <w:lang w:val="it-IT" w:eastAsia="it-IT"/>
        </w:rPr>
        <w:t>Il caso Liz Truss</w:t>
      </w:r>
      <w:bookmarkEnd w:id="1"/>
    </w:p>
    <w:p w:rsidR="0021231A" w:rsidRDefault="0021231A" w:rsidP="00C12FE0">
      <w:pPr>
        <w:pStyle w:val="StandardRisoluzionedelConsigliodiStato"/>
        <w:spacing w:after="120"/>
        <w:ind w:right="-1"/>
      </w:pPr>
      <w:r>
        <w:t xml:space="preserve">La trama di fondo di questa riforma della Legge tributaria è l’esatto </w:t>
      </w:r>
      <w:r w:rsidR="00C12FE0">
        <w:t>contrario della proposta di Pik</w:t>
      </w:r>
      <w:r>
        <w:t>etty, ossia ridurre le imposte sul reddito alle persone particolarmente facoltose. Questo sulla scia della modifica del 2017 quando si è abbassata l’aliquota dell’imposta sulla sostanza alle persone con un patrimonio superiore a 1’300’000 franchi.</w:t>
      </w:r>
    </w:p>
    <w:p w:rsidR="0021231A" w:rsidRDefault="0021231A" w:rsidP="00C12FE0">
      <w:pPr>
        <w:pStyle w:val="StandardRisoluzionedelConsigliodiStato"/>
        <w:spacing w:after="120"/>
        <w:ind w:right="-1"/>
      </w:pPr>
      <w:r>
        <w:t>Una riforma anacronistica simile a quella che voleva attuare Liz Truss in Inghilterra e che le è costata il posto di Primo ministro. Nemmeno la piazza finanziaria londinese crede più a</w:t>
      </w:r>
      <w:r w:rsidR="00C12FE0">
        <w:t>lla teoria dello sgocciolamento</w:t>
      </w:r>
      <w:r w:rsidR="00C12FE0">
        <w:rPr>
          <w:rStyle w:val="Rimandonotaapidipagina"/>
        </w:rPr>
        <w:footnoteReference w:id="1"/>
      </w:r>
      <w:r w:rsidR="00C12FE0">
        <w:t>,</w:t>
      </w:r>
      <w:r>
        <w:t xml:space="preserve"> secondo la quale le grandi fortune lasciano sgocciolare benefici economici al ceto medio e quindi all’intera società.</w:t>
      </w:r>
    </w:p>
    <w:p w:rsidR="0021231A" w:rsidRDefault="0021231A" w:rsidP="0021231A">
      <w:pPr>
        <w:pStyle w:val="StandardRisoluzionedelConsigliodiStato"/>
        <w:ind w:right="-1"/>
      </w:pPr>
      <w:r>
        <w:lastRenderedPageBreak/>
        <w:t>In un mondo dove i grandi capitali e le disuguaglianze continuano ad aumentare è necessaria una politica fiscale redistributiva, non solo per una questione di giustizia, ma anche di coesione e di pace sociale.</w:t>
      </w:r>
    </w:p>
    <w:p w:rsidR="005014D6" w:rsidRDefault="005014D6" w:rsidP="0021231A">
      <w:pPr>
        <w:pStyle w:val="StandardRisoluzionedelConsigliodiStato"/>
        <w:ind w:right="-1"/>
      </w:pPr>
    </w:p>
    <w:p w:rsidR="005014D6" w:rsidRDefault="005014D6" w:rsidP="0021231A">
      <w:pPr>
        <w:pStyle w:val="StandardRisoluzionedelConsigliodiStato"/>
        <w:ind w:right="-1"/>
      </w:pPr>
    </w:p>
    <w:p w:rsidR="005014D6" w:rsidRDefault="005014D6" w:rsidP="0021231A">
      <w:pPr>
        <w:pStyle w:val="StandardRisoluzionedelConsigliodiStato"/>
        <w:ind w:right="-1"/>
      </w:pPr>
    </w:p>
    <w:p w:rsidR="0021231A" w:rsidRPr="005014D6" w:rsidRDefault="00857F9A" w:rsidP="005014D6">
      <w:pPr>
        <w:pStyle w:val="Titolo1"/>
        <w:tabs>
          <w:tab w:val="left" w:pos="0"/>
          <w:tab w:val="left" w:pos="567"/>
        </w:tabs>
        <w:spacing w:before="0" w:after="120"/>
        <w:jc w:val="both"/>
        <w:rPr>
          <w:rFonts w:eastAsia="Calibri" w:cs="Times New Roman"/>
          <w:caps/>
          <w:sz w:val="24"/>
          <w:szCs w:val="24"/>
          <w:lang w:val="it-IT" w:eastAsia="it-IT"/>
        </w:rPr>
      </w:pPr>
      <w:bookmarkStart w:id="2" w:name="_Toc152078520"/>
      <w:r>
        <w:rPr>
          <w:rFonts w:eastAsia="Calibri" w:cs="Times New Roman"/>
          <w:caps/>
          <w:sz w:val="24"/>
          <w:szCs w:val="24"/>
          <w:lang w:val="it-IT" w:eastAsia="it-IT"/>
        </w:rPr>
        <w:t>3.</w:t>
      </w:r>
      <w:r>
        <w:rPr>
          <w:rFonts w:eastAsia="Calibri" w:cs="Times New Roman"/>
          <w:caps/>
          <w:sz w:val="24"/>
          <w:szCs w:val="24"/>
          <w:lang w:val="it-IT" w:eastAsia="it-IT"/>
        </w:rPr>
        <w:tab/>
      </w:r>
      <w:r w:rsidR="0021231A" w:rsidRPr="005014D6">
        <w:rPr>
          <w:rFonts w:eastAsia="Calibri" w:cs="Times New Roman"/>
          <w:caps/>
          <w:sz w:val="24"/>
          <w:szCs w:val="24"/>
          <w:lang w:val="it-IT" w:eastAsia="it-IT"/>
        </w:rPr>
        <w:t>Incipit</w:t>
      </w:r>
      <w:bookmarkEnd w:id="2"/>
    </w:p>
    <w:p w:rsidR="0021231A" w:rsidRDefault="0021231A" w:rsidP="005014D6">
      <w:pPr>
        <w:pStyle w:val="StandardRisoluzionedelConsigliodiStato"/>
        <w:spacing w:after="240"/>
      </w:pPr>
      <w:r>
        <w:t>Metter mano alle regole fiscali richiede un’attenzione massima, proporzionale ai possibili effetti che la riforma potrebbe generare. Soprattutto, deve considerare una molteplicità di soggetti, essendo il sistema tributario il perno attorno al quale si definiscono i rapporti – e di conseguenza gli impegni – tra il cittadino, il mondo produttivo e lo Stato. Non è perciò possibile valutare compiutamente una proposta di riforma fiscale se non vengono presi in considerazione tutti i punti di vista.</w:t>
      </w:r>
    </w:p>
    <w:p w:rsidR="0021231A" w:rsidRDefault="0021231A" w:rsidP="00C12FE0">
      <w:pPr>
        <w:pStyle w:val="StandardRisoluzionedelConsigliodiStato"/>
        <w:spacing w:after="120"/>
        <w:ind w:right="-1"/>
      </w:pPr>
      <w:r>
        <w:t>Questa riforma enuncia più volte il suo obbiettivo ossia quello di contrastare gli effetti della concorrenza fiscale intercantonale. Quello che ci chiediamo è se un tale obiettivo può essere perseguito ad ogni costo, a prescindere dagli impatti su tutti i soggetti suddetti? Ovvero a prescindere dalle implicazioni non solo per i beneficiari diretti della riforma – ovviamente e in primis le persone particolarmente facoltose – ma anche per le finanze pubbliche dello Stato (Cantone e comuni) e per i cittadini in quanto soggetti fiscali (diversi) ma anche in quanto utenti/beneficiari dei servizi e delle prestazioni dello Stato (con bisogni diversi)? La nostra risposta è no!</w:t>
      </w:r>
    </w:p>
    <w:p w:rsidR="00C12FE0" w:rsidRDefault="00C12FE0">
      <w:pPr>
        <w:rPr>
          <w:b/>
        </w:rPr>
      </w:pPr>
      <w:r>
        <w:br w:type="page"/>
      </w:r>
    </w:p>
    <w:p w:rsidR="0021231A" w:rsidRPr="00857F9A" w:rsidRDefault="00857F9A" w:rsidP="00857F9A">
      <w:pPr>
        <w:pStyle w:val="Titolo1"/>
        <w:tabs>
          <w:tab w:val="left" w:pos="0"/>
          <w:tab w:val="left" w:pos="567"/>
        </w:tabs>
        <w:spacing w:before="0" w:after="120"/>
        <w:jc w:val="both"/>
        <w:rPr>
          <w:rFonts w:eastAsia="Calibri" w:cs="Times New Roman"/>
          <w:caps/>
          <w:sz w:val="24"/>
          <w:szCs w:val="24"/>
          <w:lang w:val="it-IT" w:eastAsia="it-IT"/>
        </w:rPr>
      </w:pPr>
      <w:bookmarkStart w:id="3" w:name="_Toc152078521"/>
      <w:r>
        <w:rPr>
          <w:rFonts w:eastAsia="Calibri" w:cs="Times New Roman"/>
          <w:caps/>
          <w:sz w:val="24"/>
          <w:szCs w:val="24"/>
          <w:lang w:val="it-IT" w:eastAsia="it-IT"/>
        </w:rPr>
        <w:lastRenderedPageBreak/>
        <w:t>4.</w:t>
      </w:r>
      <w:r>
        <w:rPr>
          <w:rFonts w:eastAsia="Calibri" w:cs="Times New Roman"/>
          <w:caps/>
          <w:sz w:val="24"/>
          <w:szCs w:val="24"/>
          <w:lang w:val="it-IT" w:eastAsia="it-IT"/>
        </w:rPr>
        <w:tab/>
      </w:r>
      <w:r w:rsidR="0021231A" w:rsidRPr="00857F9A">
        <w:rPr>
          <w:rFonts w:eastAsia="Calibri" w:cs="Times New Roman"/>
          <w:caps/>
          <w:sz w:val="24"/>
          <w:szCs w:val="24"/>
          <w:lang w:val="it-IT" w:eastAsia="it-IT"/>
        </w:rPr>
        <w:t>I quattro pilastri della riforma</w:t>
      </w:r>
      <w:bookmarkEnd w:id="3"/>
    </w:p>
    <w:tbl>
      <w:tblPr>
        <w:tblStyle w:val="Grigliatab4"/>
        <w:tblW w:w="0" w:type="auto"/>
        <w:tblLook w:val="04A0" w:firstRow="1" w:lastRow="0" w:firstColumn="1" w:lastColumn="0" w:noHBand="0" w:noVBand="1"/>
      </w:tblPr>
      <w:tblGrid>
        <w:gridCol w:w="2389"/>
        <w:gridCol w:w="2375"/>
        <w:gridCol w:w="2357"/>
        <w:gridCol w:w="2354"/>
      </w:tblGrid>
      <w:tr w:rsidR="00C12FE0" w:rsidTr="009F02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tcPr>
          <w:p w:rsidR="00C12FE0" w:rsidRDefault="00C12FE0" w:rsidP="009F02C3">
            <w:r>
              <w:t>Misura</w:t>
            </w:r>
          </w:p>
        </w:tc>
        <w:tc>
          <w:tcPr>
            <w:tcW w:w="2407" w:type="dxa"/>
          </w:tcPr>
          <w:p w:rsidR="00C12FE0" w:rsidRDefault="00C12FE0" w:rsidP="009F02C3">
            <w:pPr>
              <w:cnfStyle w:val="100000000000" w:firstRow="1" w:lastRow="0" w:firstColumn="0" w:lastColumn="0" w:oddVBand="0" w:evenVBand="0" w:oddHBand="0" w:evenHBand="0" w:firstRowFirstColumn="0" w:firstRowLastColumn="0" w:lastRowFirstColumn="0" w:lastRowLastColumn="0"/>
            </w:pPr>
            <w:r>
              <w:t>Descrizione</w:t>
            </w:r>
          </w:p>
        </w:tc>
        <w:tc>
          <w:tcPr>
            <w:tcW w:w="2407" w:type="dxa"/>
          </w:tcPr>
          <w:p w:rsidR="00C12FE0" w:rsidRDefault="00C12FE0" w:rsidP="009F02C3">
            <w:pPr>
              <w:cnfStyle w:val="100000000000" w:firstRow="1" w:lastRow="0" w:firstColumn="0" w:lastColumn="0" w:oddVBand="0" w:evenVBand="0" w:oddHBand="0" w:evenHBand="0" w:firstRowFirstColumn="0" w:firstRowLastColumn="0" w:lastRowFirstColumn="0" w:lastRowLastColumn="0"/>
            </w:pPr>
            <w:r>
              <w:t>Costo Cantone</w:t>
            </w:r>
          </w:p>
        </w:tc>
        <w:tc>
          <w:tcPr>
            <w:tcW w:w="2407" w:type="dxa"/>
          </w:tcPr>
          <w:p w:rsidR="00C12FE0" w:rsidRDefault="00C12FE0" w:rsidP="009F02C3">
            <w:pPr>
              <w:cnfStyle w:val="100000000000" w:firstRow="1" w:lastRow="0" w:firstColumn="0" w:lastColumn="0" w:oddVBand="0" w:evenVBand="0" w:oddHBand="0" w:evenHBand="0" w:firstRowFirstColumn="0" w:firstRowLastColumn="0" w:lastRowFirstColumn="0" w:lastRowLastColumn="0"/>
            </w:pPr>
            <w:r>
              <w:t>Costo Comuni</w:t>
            </w:r>
          </w:p>
        </w:tc>
      </w:tr>
      <w:tr w:rsidR="00C12FE0" w:rsidTr="009F0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tcPr>
          <w:p w:rsidR="00C12FE0" w:rsidRDefault="00C12FE0" w:rsidP="009F02C3">
            <w:r w:rsidRPr="00AE3861">
              <w:t>Riduzione dell’aliquota massima dell’imposta sul reddito</w:t>
            </w:r>
          </w:p>
        </w:tc>
        <w:tc>
          <w:tcPr>
            <w:tcW w:w="2407" w:type="dxa"/>
          </w:tcPr>
          <w:p w:rsidR="00C12FE0" w:rsidRDefault="00C12FE0" w:rsidP="009F02C3">
            <w:pPr>
              <w:cnfStyle w:val="000000100000" w:firstRow="0" w:lastRow="0" w:firstColumn="0" w:lastColumn="0" w:oddVBand="0" w:evenVBand="0" w:oddHBand="1" w:evenHBand="0" w:firstRowFirstColumn="0" w:firstRowLastColumn="0" w:lastRowFirstColumn="0" w:lastRowLastColumn="0"/>
            </w:pPr>
            <w:r w:rsidRPr="00AE3861">
              <w:t>Riduzione dell’aliquota massima sul reddito al 12% (attualmente 15%)</w:t>
            </w:r>
          </w:p>
        </w:tc>
        <w:tc>
          <w:tcPr>
            <w:tcW w:w="2407" w:type="dxa"/>
          </w:tcPr>
          <w:p w:rsidR="00C12FE0" w:rsidRDefault="00C12FE0" w:rsidP="009F02C3">
            <w:pPr>
              <w:cnfStyle w:val="000000100000" w:firstRow="0" w:lastRow="0" w:firstColumn="0" w:lastColumn="0" w:oddVBand="0" w:evenVBand="0" w:oddHBand="1" w:evenHBand="0" w:firstRowFirstColumn="0" w:firstRowLastColumn="0" w:lastRowFirstColumn="0" w:lastRowLastColumn="0"/>
            </w:pPr>
            <w:r w:rsidRPr="00AE3861">
              <w:t>23.3 milioni</w:t>
            </w:r>
          </w:p>
        </w:tc>
        <w:tc>
          <w:tcPr>
            <w:tcW w:w="2407" w:type="dxa"/>
          </w:tcPr>
          <w:p w:rsidR="00C12FE0" w:rsidRDefault="00C12FE0" w:rsidP="009F02C3">
            <w:pPr>
              <w:cnfStyle w:val="000000100000" w:firstRow="0" w:lastRow="0" w:firstColumn="0" w:lastColumn="0" w:oddVBand="0" w:evenVBand="0" w:oddHBand="1" w:evenHBand="0" w:firstRowFirstColumn="0" w:firstRowLastColumn="0" w:lastRowFirstColumn="0" w:lastRowLastColumn="0"/>
            </w:pPr>
            <w:r>
              <w:t>18.6 milioni</w:t>
            </w:r>
          </w:p>
        </w:tc>
      </w:tr>
      <w:tr w:rsidR="00C12FE0" w:rsidTr="009F02C3">
        <w:tc>
          <w:tcPr>
            <w:cnfStyle w:val="001000000000" w:firstRow="0" w:lastRow="0" w:firstColumn="1" w:lastColumn="0" w:oddVBand="0" w:evenVBand="0" w:oddHBand="0" w:evenHBand="0" w:firstRowFirstColumn="0" w:firstRowLastColumn="0" w:lastRowFirstColumn="0" w:lastRowLastColumn="0"/>
            <w:tcW w:w="2407" w:type="dxa"/>
          </w:tcPr>
          <w:p w:rsidR="00C12FE0" w:rsidRDefault="00C12FE0" w:rsidP="009F02C3">
            <w:r w:rsidRPr="00AE3861">
              <w:t>Adeguamento dell’imposizione delle prestazioni in capitale della previdenza</w:t>
            </w:r>
          </w:p>
        </w:tc>
        <w:tc>
          <w:tcPr>
            <w:tcW w:w="2407" w:type="dxa"/>
          </w:tcPr>
          <w:p w:rsidR="00C12FE0" w:rsidRDefault="00C12FE0" w:rsidP="009F02C3">
            <w:pPr>
              <w:cnfStyle w:val="000000000000" w:firstRow="0" w:lastRow="0" w:firstColumn="0" w:lastColumn="0" w:oddVBand="0" w:evenVBand="0" w:oddHBand="0" w:evenHBand="0" w:firstRowFirstColumn="0" w:firstRowLastColumn="0" w:lastRowFirstColumn="0" w:lastRowLastColumn="0"/>
            </w:pPr>
            <w:r w:rsidRPr="00AE3861">
              <w:t>Riduzione dell’aliquota massima in caso di prelievo di capitale dal secondo o terzo pilastro al 3% (attualmente 15%).</w:t>
            </w:r>
          </w:p>
        </w:tc>
        <w:tc>
          <w:tcPr>
            <w:tcW w:w="2407" w:type="dxa"/>
          </w:tcPr>
          <w:p w:rsidR="00C12FE0" w:rsidRDefault="00C12FE0" w:rsidP="009F02C3">
            <w:pPr>
              <w:cnfStyle w:val="000000000000" w:firstRow="0" w:lastRow="0" w:firstColumn="0" w:lastColumn="0" w:oddVBand="0" w:evenVBand="0" w:oddHBand="0" w:evenHBand="0" w:firstRowFirstColumn="0" w:firstRowLastColumn="0" w:lastRowFirstColumn="0" w:lastRowLastColumn="0"/>
            </w:pPr>
            <w:r w:rsidRPr="00AE3861">
              <w:t>2.2 milioni</w:t>
            </w:r>
          </w:p>
        </w:tc>
        <w:tc>
          <w:tcPr>
            <w:tcW w:w="2407" w:type="dxa"/>
          </w:tcPr>
          <w:p w:rsidR="00C12FE0" w:rsidRDefault="00C12FE0" w:rsidP="009F02C3">
            <w:pPr>
              <w:cnfStyle w:val="000000000000" w:firstRow="0" w:lastRow="0" w:firstColumn="0" w:lastColumn="0" w:oddVBand="0" w:evenVBand="0" w:oddHBand="0" w:evenHBand="0" w:firstRowFirstColumn="0" w:firstRowLastColumn="0" w:lastRowFirstColumn="0" w:lastRowLastColumn="0"/>
            </w:pPr>
            <w:r>
              <w:t>1.8 milioni</w:t>
            </w:r>
          </w:p>
        </w:tc>
      </w:tr>
      <w:tr w:rsidR="00C12FE0" w:rsidTr="009F0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tcPr>
          <w:p w:rsidR="00C12FE0" w:rsidRPr="00AE3861" w:rsidRDefault="00C12FE0" w:rsidP="009F02C3">
            <w:r w:rsidRPr="000E55DC">
              <w:t>Aumento della deduzione forfettaria per le altre spese professionali</w:t>
            </w:r>
          </w:p>
        </w:tc>
        <w:tc>
          <w:tcPr>
            <w:tcW w:w="2407" w:type="dxa"/>
          </w:tcPr>
          <w:p w:rsidR="00C12FE0" w:rsidRPr="00AE3861" w:rsidRDefault="00C12FE0" w:rsidP="009F02C3">
            <w:pPr>
              <w:cnfStyle w:val="000000100000" w:firstRow="0" w:lastRow="0" w:firstColumn="0" w:lastColumn="0" w:oddVBand="0" w:evenVBand="0" w:oddHBand="1" w:evenHBand="0" w:firstRowFirstColumn="0" w:firstRowLastColumn="0" w:lastRowFirstColumn="0" w:lastRowLastColumn="0"/>
            </w:pPr>
            <w:r w:rsidRPr="000E55DC">
              <w:t>Aumento della deduzione forfettaria. Per ogni reddito da 2’500 a una forchetta che va dai 3’000 ai 5’000 a seconda dello stipendio.</w:t>
            </w:r>
          </w:p>
        </w:tc>
        <w:tc>
          <w:tcPr>
            <w:tcW w:w="2407" w:type="dxa"/>
          </w:tcPr>
          <w:p w:rsidR="00C12FE0" w:rsidRPr="00AE3861" w:rsidRDefault="00C12FE0" w:rsidP="009F02C3">
            <w:pPr>
              <w:cnfStyle w:val="000000100000" w:firstRow="0" w:lastRow="0" w:firstColumn="0" w:lastColumn="0" w:oddVBand="0" w:evenVBand="0" w:oddHBand="1" w:evenHBand="0" w:firstRowFirstColumn="0" w:firstRowLastColumn="0" w:lastRowFirstColumn="0" w:lastRowLastColumn="0"/>
            </w:pPr>
            <w:r w:rsidRPr="000E55DC">
              <w:t>9</w:t>
            </w:r>
            <w:r>
              <w:t>.1</w:t>
            </w:r>
            <w:r w:rsidRPr="000E55DC">
              <w:t xml:space="preserve"> milioni</w:t>
            </w:r>
          </w:p>
        </w:tc>
        <w:tc>
          <w:tcPr>
            <w:tcW w:w="2407" w:type="dxa"/>
          </w:tcPr>
          <w:p w:rsidR="00C12FE0" w:rsidRDefault="00C12FE0" w:rsidP="009F02C3">
            <w:pPr>
              <w:cnfStyle w:val="000000100000" w:firstRow="0" w:lastRow="0" w:firstColumn="0" w:lastColumn="0" w:oddVBand="0" w:evenVBand="0" w:oddHBand="1" w:evenHBand="0" w:firstRowFirstColumn="0" w:firstRowLastColumn="0" w:lastRowFirstColumn="0" w:lastRowLastColumn="0"/>
            </w:pPr>
            <w:r>
              <w:t>7.3 milioni</w:t>
            </w:r>
          </w:p>
        </w:tc>
      </w:tr>
      <w:tr w:rsidR="00C12FE0" w:rsidTr="009F02C3">
        <w:tc>
          <w:tcPr>
            <w:cnfStyle w:val="001000000000" w:firstRow="0" w:lastRow="0" w:firstColumn="1" w:lastColumn="0" w:oddVBand="0" w:evenVBand="0" w:oddHBand="0" w:evenHBand="0" w:firstRowFirstColumn="0" w:firstRowLastColumn="0" w:lastRowFirstColumn="0" w:lastRowLastColumn="0"/>
            <w:tcW w:w="2407" w:type="dxa"/>
          </w:tcPr>
          <w:p w:rsidR="00C12FE0" w:rsidRDefault="00C12FE0" w:rsidP="009F02C3">
            <w:r w:rsidRPr="00AE3861">
              <w:t>Riforma dell’imposta sulle successioni e donazioni</w:t>
            </w:r>
          </w:p>
        </w:tc>
        <w:tc>
          <w:tcPr>
            <w:tcW w:w="2407" w:type="dxa"/>
          </w:tcPr>
          <w:p w:rsidR="00C12FE0" w:rsidRDefault="00C12FE0" w:rsidP="009F02C3">
            <w:pPr>
              <w:cnfStyle w:val="000000000000" w:firstRow="0" w:lastRow="0" w:firstColumn="0" w:lastColumn="0" w:oddVBand="0" w:evenVBand="0" w:oddHBand="0" w:evenHBand="0" w:firstRowFirstColumn="0" w:firstRowLastColumn="0" w:lastRowFirstColumn="0" w:lastRowLastColumn="0"/>
            </w:pPr>
            <w:r w:rsidRPr="000E55DC">
              <w:t>Adeguamento della Legge alle nuove forme di convivenza. Riduzione dell’aliquota sulle donazioni. Agevolazione del trapasso aziendale ai non parenti.</w:t>
            </w:r>
          </w:p>
        </w:tc>
        <w:tc>
          <w:tcPr>
            <w:tcW w:w="2407" w:type="dxa"/>
          </w:tcPr>
          <w:p w:rsidR="00C12FE0" w:rsidRDefault="00C12FE0" w:rsidP="009F02C3">
            <w:pPr>
              <w:cnfStyle w:val="000000000000" w:firstRow="0" w:lastRow="0" w:firstColumn="0" w:lastColumn="0" w:oddVBand="0" w:evenVBand="0" w:oddHBand="0" w:evenHBand="0" w:firstRowFirstColumn="0" w:firstRowLastColumn="0" w:lastRowFirstColumn="0" w:lastRowLastColumn="0"/>
            </w:pPr>
            <w:r w:rsidRPr="000E55DC">
              <w:t>5.4 milioni</w:t>
            </w:r>
          </w:p>
        </w:tc>
        <w:tc>
          <w:tcPr>
            <w:tcW w:w="2407" w:type="dxa"/>
          </w:tcPr>
          <w:p w:rsidR="00C12FE0" w:rsidRDefault="00C12FE0" w:rsidP="009F02C3">
            <w:pPr>
              <w:cnfStyle w:val="000000000000" w:firstRow="0" w:lastRow="0" w:firstColumn="0" w:lastColumn="0" w:oddVBand="0" w:evenVBand="0" w:oddHBand="0" w:evenHBand="0" w:firstRowFirstColumn="0" w:firstRowLastColumn="0" w:lastRowFirstColumn="0" w:lastRowLastColumn="0"/>
            </w:pPr>
            <w:r>
              <w:t>0 milioni</w:t>
            </w:r>
          </w:p>
        </w:tc>
      </w:tr>
      <w:tr w:rsidR="00C12FE0" w:rsidTr="009F0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tcPr>
          <w:p w:rsidR="00C12FE0" w:rsidRDefault="00C12FE0" w:rsidP="009F02C3"/>
        </w:tc>
        <w:tc>
          <w:tcPr>
            <w:tcW w:w="2407" w:type="dxa"/>
          </w:tcPr>
          <w:p w:rsidR="00C12FE0" w:rsidRDefault="00C12FE0" w:rsidP="009F02C3">
            <w:pPr>
              <w:cnfStyle w:val="000000100000" w:firstRow="0" w:lastRow="0" w:firstColumn="0" w:lastColumn="0" w:oddVBand="0" w:evenVBand="0" w:oddHBand="1" w:evenHBand="0" w:firstRowFirstColumn="0" w:firstRowLastColumn="0" w:lastRowFirstColumn="0" w:lastRowLastColumn="0"/>
            </w:pPr>
            <w:r>
              <w:t>Totale</w:t>
            </w:r>
          </w:p>
        </w:tc>
        <w:tc>
          <w:tcPr>
            <w:tcW w:w="2407" w:type="dxa"/>
          </w:tcPr>
          <w:p w:rsidR="00C12FE0" w:rsidRDefault="00C12FE0" w:rsidP="009F02C3">
            <w:pPr>
              <w:cnfStyle w:val="000000100000" w:firstRow="0" w:lastRow="0" w:firstColumn="0" w:lastColumn="0" w:oddVBand="0" w:evenVBand="0" w:oddHBand="1" w:evenHBand="0" w:firstRowFirstColumn="0" w:firstRowLastColumn="0" w:lastRowFirstColumn="0" w:lastRowLastColumn="0"/>
            </w:pPr>
            <w:r>
              <w:t>40 milioni</w:t>
            </w:r>
          </w:p>
        </w:tc>
        <w:tc>
          <w:tcPr>
            <w:tcW w:w="2407" w:type="dxa"/>
          </w:tcPr>
          <w:p w:rsidR="00C12FE0" w:rsidRDefault="00C12FE0" w:rsidP="009F02C3">
            <w:pPr>
              <w:cnfStyle w:val="000000100000" w:firstRow="0" w:lastRow="0" w:firstColumn="0" w:lastColumn="0" w:oddVBand="0" w:evenVBand="0" w:oddHBand="1" w:evenHBand="0" w:firstRowFirstColumn="0" w:firstRowLastColumn="0" w:lastRowFirstColumn="0" w:lastRowLastColumn="0"/>
            </w:pPr>
            <w:r>
              <w:t>27.7 milioni</w:t>
            </w:r>
          </w:p>
        </w:tc>
      </w:tr>
    </w:tbl>
    <w:p w:rsidR="0021231A" w:rsidRDefault="0021231A" w:rsidP="0021231A">
      <w:pPr>
        <w:pStyle w:val="StandardRisoluzionedelConsigliodiStato"/>
        <w:ind w:right="-1"/>
      </w:pPr>
    </w:p>
    <w:p w:rsidR="006A6579" w:rsidRDefault="006A6579" w:rsidP="0021231A">
      <w:pPr>
        <w:pStyle w:val="StandardRisoluzionedelConsigliodiStato"/>
        <w:ind w:right="-1"/>
      </w:pPr>
    </w:p>
    <w:p w:rsidR="006A6579" w:rsidRDefault="006A6579" w:rsidP="0021231A">
      <w:pPr>
        <w:pStyle w:val="StandardRisoluzionedelConsigliodiStato"/>
        <w:ind w:right="-1"/>
      </w:pPr>
    </w:p>
    <w:p w:rsidR="0021231A" w:rsidRPr="006A6579" w:rsidRDefault="006A6579" w:rsidP="006A6579">
      <w:pPr>
        <w:pStyle w:val="Titolo1"/>
        <w:tabs>
          <w:tab w:val="left" w:pos="567"/>
        </w:tabs>
        <w:spacing w:before="0" w:after="120"/>
        <w:ind w:left="567" w:hanging="567"/>
        <w:jc w:val="both"/>
        <w:rPr>
          <w:rFonts w:eastAsia="Calibri" w:cs="Times New Roman"/>
          <w:caps/>
          <w:sz w:val="24"/>
          <w:szCs w:val="24"/>
          <w:lang w:val="it-IT" w:eastAsia="it-IT"/>
        </w:rPr>
      </w:pPr>
      <w:bookmarkStart w:id="4" w:name="_Toc152078522"/>
      <w:r>
        <w:rPr>
          <w:rFonts w:eastAsia="Calibri" w:cs="Times New Roman"/>
          <w:caps/>
          <w:sz w:val="24"/>
          <w:szCs w:val="24"/>
          <w:lang w:val="it-IT" w:eastAsia="it-IT"/>
        </w:rPr>
        <w:t>5.</w:t>
      </w:r>
      <w:r>
        <w:rPr>
          <w:rFonts w:eastAsia="Calibri" w:cs="Times New Roman"/>
          <w:caps/>
          <w:sz w:val="24"/>
          <w:szCs w:val="24"/>
          <w:lang w:val="it-IT" w:eastAsia="it-IT"/>
        </w:rPr>
        <w:tab/>
      </w:r>
      <w:r w:rsidR="0021231A" w:rsidRPr="006A6579">
        <w:rPr>
          <w:rFonts w:eastAsia="Calibri" w:cs="Times New Roman"/>
          <w:caps/>
          <w:sz w:val="24"/>
          <w:szCs w:val="24"/>
          <w:lang w:val="it-IT" w:eastAsia="it-IT"/>
        </w:rPr>
        <w:t>Introduzione</w:t>
      </w:r>
      <w:bookmarkEnd w:id="4"/>
    </w:p>
    <w:p w:rsidR="0021231A" w:rsidRDefault="0021231A" w:rsidP="00C12FE0">
      <w:pPr>
        <w:pStyle w:val="StandardRisoluzionedelConsigliodiStato"/>
        <w:spacing w:after="120"/>
        <w:ind w:right="-1"/>
      </w:pPr>
      <w:r>
        <w:t>Questa riforma fiscale pone non solo un problema politico, ma anche etico oltre che morale.  Si tratta di una questione di equità, di giustizia sociale e, fondamentalmente, di dignità umana. Una riforma che, se messa in relazione ai tagli alle prestazioni proposti con il Preventivo 2024, di fatto prevede la ridistribuzione delle risorse dai meno abbienti ai più facoltosi.</w:t>
      </w:r>
    </w:p>
    <w:p w:rsidR="0021231A" w:rsidRDefault="0021231A" w:rsidP="00C12FE0">
      <w:pPr>
        <w:pStyle w:val="StandardRisoluzionedelConsigliodiStato"/>
        <w:spacing w:after="120"/>
        <w:ind w:right="-1"/>
      </w:pPr>
      <w:r>
        <w:t>Non chiediamo una politica anti-ricchezza e nemmeno condanniamo il successo economico. Riconosciamo tutti il valore del lavoro, dell'innovazione e dell'imprenditorialità. È però necessario e doveroso condannare l'ingiustizia di una legge che prevede di togliere risorse ai meno fortunati per dare di più a chi ha già tanto.</w:t>
      </w:r>
    </w:p>
    <w:p w:rsidR="0021231A" w:rsidRDefault="0021231A" w:rsidP="00C12FE0">
      <w:pPr>
        <w:pStyle w:val="StandardRisoluzionedelConsigliodiStato"/>
        <w:spacing w:after="120"/>
        <w:ind w:right="-1"/>
      </w:pPr>
      <w:r>
        <w:t>Perché è un problema? In una società che si definisce democratica e giusta, è fondamentale che ci sia una distribuzione equa delle risorse. È invece ingiusto e profondamente anti-democratico che i più poveri debbano fare ancora più fatica, mentre i più ricchi diventano ancora più ricchi.</w:t>
      </w:r>
    </w:p>
    <w:p w:rsidR="0021231A" w:rsidRDefault="0021231A" w:rsidP="00C12FE0">
      <w:pPr>
        <w:pStyle w:val="StandardRisoluzionedelConsigliodiStato"/>
        <w:spacing w:after="120"/>
        <w:ind w:right="-1"/>
      </w:pPr>
      <w:r>
        <w:t xml:space="preserve">Ma ciò va oltre l'ingiustizia immediata perpetrata ai singoli individui. Il nostro benessere è intrinsecamente legato a quello degli altri. Privare i meno fortunati delle risorse essenziali </w:t>
      </w:r>
      <w:r>
        <w:lastRenderedPageBreak/>
        <w:t>non solo li fa soffrire, ma alla lunga provoca una destabilizzazione della società intera. La povertà estrema, l'istruzione inadeguata, la mancanza di opportunità - queste sono tutte questioni che possono avere effetti negativi sulla stabilità sociale e sul benessere collettivo.</w:t>
      </w:r>
    </w:p>
    <w:p w:rsidR="0021231A" w:rsidRDefault="0021231A" w:rsidP="00C12FE0">
      <w:pPr>
        <w:pStyle w:val="StandardRisoluzionedelConsigliodiStato"/>
        <w:spacing w:after="120"/>
        <w:ind w:right="-1"/>
      </w:pPr>
      <w:r>
        <w:t>E per i più ricchi? Questa riforma della Legge tributaria dovrebbe porre un dilemma morale. È giusto pagare meno imposte quando a pagarne le conseguenze saranno le persone già oggi meno fortunate?</w:t>
      </w:r>
    </w:p>
    <w:p w:rsidR="0021231A" w:rsidRDefault="0021231A" w:rsidP="00C12FE0">
      <w:pPr>
        <w:pStyle w:val="StandardRisoluzionedelConsigliodiStato"/>
        <w:spacing w:after="120"/>
        <w:ind w:right="-1"/>
      </w:pPr>
      <w:r>
        <w:t>Una società non può progredire se i suoi cittadini più vulnerabili rimangono indietro.</w:t>
      </w:r>
    </w:p>
    <w:p w:rsidR="0021231A" w:rsidRDefault="0021231A" w:rsidP="00C12FE0">
      <w:pPr>
        <w:pStyle w:val="StandardRisoluzionedelConsigliodiStato"/>
        <w:spacing w:after="240"/>
        <w:ind w:right="-1"/>
      </w:pPr>
      <w:r>
        <w:t>Ma non solo si pone un problema di equità e di etica, si pone un problema di dignità. Con i tagli a istituti per invalidi, istituti per anziani, centri per giovani con problemi psicologici e servizi di assistenza e cura a domicilio ci andrà necessariamente di mezzo la presa a carico e la qualità delle cure minando l’equilibrio delle persone più fragili di cui la società dovrebbe prendersi cura.</w:t>
      </w:r>
    </w:p>
    <w:p w:rsidR="00C12FE0" w:rsidRPr="00C12FE0" w:rsidRDefault="00C12FE0" w:rsidP="00C12FE0">
      <w:pPr>
        <w:pStyle w:val="StandardRisoluzionedelConsigliodiStato"/>
        <w:spacing w:after="120"/>
        <w:ind w:left="708" w:right="-1"/>
      </w:pPr>
      <w:r w:rsidRPr="00C12FE0">
        <w:t>«</w:t>
      </w:r>
      <w:r w:rsidR="0021231A" w:rsidRPr="00C12FE0">
        <w:rPr>
          <w:i/>
        </w:rPr>
        <w:t>Nel regno dei fini ogni cosa o ha un prezzo o ha una dignità. Ciò che ha un prezzo può essere rimpiazzato da qualcosa di equivalente ciò che dall'altro lato si innalza su ogni prezzo e dunque non ammette alcun equivalente ha dignità</w:t>
      </w:r>
      <w:r w:rsidR="0021231A" w:rsidRPr="00C12FE0">
        <w:t>.</w:t>
      </w:r>
      <w:r w:rsidRPr="00C12FE0">
        <w:t>»</w:t>
      </w:r>
      <w:r w:rsidR="0021231A" w:rsidRPr="00C12FE0">
        <w:t xml:space="preserve"> </w:t>
      </w:r>
    </w:p>
    <w:p w:rsidR="0021231A" w:rsidRPr="00C12FE0" w:rsidRDefault="00C12FE0" w:rsidP="00C12FE0">
      <w:pPr>
        <w:pStyle w:val="StandardRisoluzionedelConsigliodiStato"/>
        <w:spacing w:after="240"/>
        <w:ind w:left="708" w:right="-1"/>
      </w:pPr>
      <w:r>
        <w:t>(</w:t>
      </w:r>
      <w:r w:rsidRPr="00C12FE0">
        <w:t>Immanuel Kant</w:t>
      </w:r>
      <w:r w:rsidR="0021231A" w:rsidRPr="00C12FE0">
        <w:rPr>
          <w:i/>
        </w:rPr>
        <w:t>, Fondazio</w:t>
      </w:r>
      <w:r>
        <w:rPr>
          <w:i/>
        </w:rPr>
        <w:t>ne della Metafisica dei Costumi</w:t>
      </w:r>
      <w:r>
        <w:t>)</w:t>
      </w:r>
    </w:p>
    <w:p w:rsidR="0021231A" w:rsidRDefault="0021231A" w:rsidP="00C12FE0">
      <w:pPr>
        <w:pStyle w:val="StandardRisoluzionedelConsigliodiStato"/>
        <w:spacing w:before="120"/>
        <w:ind w:right="-1"/>
      </w:pPr>
      <w:r>
        <w:t>In parole semplici</w:t>
      </w:r>
      <w:r w:rsidR="00C12FE0">
        <w:t>,</w:t>
      </w:r>
      <w:r>
        <w:t xml:space="preserve"> la dignità non ha prezzo e non può essere scambiata con niente di equivalente, i vizi dei ricchi invece sì, e a maggior ragione quando si tratta di favorire la dignità dei meno fortunati.</w:t>
      </w:r>
    </w:p>
    <w:p w:rsidR="006A6579" w:rsidRDefault="006A6579" w:rsidP="00C12FE0">
      <w:pPr>
        <w:pStyle w:val="StandardRisoluzionedelConsigliodiStato"/>
        <w:spacing w:before="120"/>
        <w:ind w:right="-1"/>
      </w:pPr>
    </w:p>
    <w:p w:rsidR="006A6579" w:rsidRDefault="006A6579"/>
    <w:p w:rsidR="006A6579" w:rsidRDefault="006A6579">
      <w:pPr>
        <w:rPr>
          <w:b/>
        </w:rPr>
      </w:pPr>
    </w:p>
    <w:p w:rsidR="0021231A" w:rsidRPr="006A6579" w:rsidRDefault="006A6579" w:rsidP="006A6579">
      <w:pPr>
        <w:pStyle w:val="Titolo1"/>
        <w:tabs>
          <w:tab w:val="left" w:pos="567"/>
        </w:tabs>
        <w:spacing w:before="0" w:after="120"/>
        <w:ind w:left="567" w:hanging="567"/>
        <w:jc w:val="both"/>
        <w:rPr>
          <w:rFonts w:eastAsia="Calibri" w:cs="Times New Roman"/>
          <w:caps/>
          <w:sz w:val="24"/>
          <w:szCs w:val="24"/>
          <w:lang w:val="it-IT" w:eastAsia="it-IT"/>
        </w:rPr>
      </w:pPr>
      <w:bookmarkStart w:id="5" w:name="_Toc152078523"/>
      <w:r>
        <w:rPr>
          <w:rFonts w:eastAsia="Calibri" w:cs="Times New Roman"/>
          <w:caps/>
          <w:sz w:val="24"/>
          <w:szCs w:val="24"/>
          <w:lang w:val="it-IT" w:eastAsia="it-IT"/>
        </w:rPr>
        <w:t>6.</w:t>
      </w:r>
      <w:r>
        <w:rPr>
          <w:rFonts w:eastAsia="Calibri" w:cs="Times New Roman"/>
          <w:caps/>
          <w:sz w:val="24"/>
          <w:szCs w:val="24"/>
          <w:lang w:val="it-IT" w:eastAsia="it-IT"/>
        </w:rPr>
        <w:tab/>
      </w:r>
      <w:r w:rsidR="0021231A" w:rsidRPr="006A6579">
        <w:rPr>
          <w:rFonts w:eastAsia="Calibri" w:cs="Times New Roman"/>
          <w:caps/>
          <w:sz w:val="24"/>
          <w:szCs w:val="24"/>
          <w:lang w:val="it-IT" w:eastAsia="it-IT"/>
        </w:rPr>
        <w:t>Contestualizzazione dell’attuale riforma della Legge tributaria</w:t>
      </w:r>
      <w:bookmarkEnd w:id="5"/>
    </w:p>
    <w:p w:rsidR="0021231A" w:rsidRDefault="0021231A" w:rsidP="00C12FE0">
      <w:pPr>
        <w:pStyle w:val="StandardRisoluzionedelConsigliodiStato"/>
        <w:spacing w:after="120"/>
        <w:ind w:right="-1"/>
      </w:pPr>
      <w:r>
        <w:t>Questa riforma fiscale è la continuazione di una strategia di riduzione delle imposte iniziata nel 2017 subito dopo aver fatto una manovra di rientro finanziario da 180 milioni che ha ridotto gli assegni famigliari integrativi e i sussidi cassa malati.</w:t>
      </w:r>
    </w:p>
    <w:p w:rsidR="0021231A" w:rsidRDefault="0021231A" w:rsidP="00C12FE0">
      <w:pPr>
        <w:pStyle w:val="StandardRisoluzionedelConsigliodiStato"/>
        <w:spacing w:after="120"/>
        <w:ind w:right="-1"/>
      </w:pPr>
      <w:r>
        <w:t>Nella tabella seguente riassumiamo le principali misure.</w:t>
      </w:r>
    </w:p>
    <w:p w:rsidR="0021231A" w:rsidRDefault="0021231A" w:rsidP="00C12FE0">
      <w:pPr>
        <w:pStyle w:val="StandardRisoluzionedelConsigliodiStato"/>
        <w:spacing w:after="120"/>
        <w:ind w:right="-1"/>
      </w:pPr>
      <w:r>
        <w:t>L’attuale riforma riguarda le persone fisiche e, soprattutto per quanto concerne la riduzione proposta di riduzione dell’aliquota massima ai fini dell’imposta sul reddito, è il pendant alla riduzione dell’aliquota massima ai fini dell’imposta sulla sostanza votata nel 2017.</w:t>
      </w:r>
    </w:p>
    <w:p w:rsidR="0021231A" w:rsidRDefault="0021231A" w:rsidP="00C12FE0">
      <w:pPr>
        <w:pStyle w:val="StandardRisoluzionedelConsigliodiStato"/>
        <w:spacing w:after="120"/>
        <w:ind w:right="-1"/>
      </w:pPr>
      <w:r>
        <w:t>Insieme queste due misure vanno a premiare esclusivamente e in maniera importante le persone particolarmente facoltose.</w:t>
      </w:r>
    </w:p>
    <w:p w:rsidR="0021231A" w:rsidRDefault="0021231A" w:rsidP="00C12FE0">
      <w:pPr>
        <w:pStyle w:val="StandardRisoluzionedelConsigliodiStato"/>
        <w:spacing w:after="120"/>
        <w:ind w:right="-1"/>
      </w:pPr>
      <w:r>
        <w:t>L’impatto di queste due sole misure sui conti del Cantone è di 40 milioni di franchi (35 milioni per i Comuni).</w:t>
      </w:r>
    </w:p>
    <w:p w:rsidR="006A6579" w:rsidRDefault="006A6579">
      <w:r>
        <w:br w:type="page"/>
      </w:r>
    </w:p>
    <w:p w:rsidR="00C12FE0" w:rsidRDefault="00C12FE0"/>
    <w:tbl>
      <w:tblPr>
        <w:tblStyle w:val="Grigliatab4"/>
        <w:tblW w:w="0" w:type="auto"/>
        <w:tblLook w:val="04A0" w:firstRow="1" w:lastRow="0" w:firstColumn="1" w:lastColumn="0" w:noHBand="0" w:noVBand="1"/>
      </w:tblPr>
      <w:tblGrid>
        <w:gridCol w:w="2373"/>
        <w:gridCol w:w="2356"/>
        <w:gridCol w:w="2381"/>
        <w:gridCol w:w="2365"/>
      </w:tblGrid>
      <w:tr w:rsidR="00C12FE0" w:rsidTr="00C12F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3" w:type="dxa"/>
          </w:tcPr>
          <w:p w:rsidR="00C12FE0" w:rsidRDefault="00C12FE0" w:rsidP="009F02C3">
            <w:r>
              <w:t>Riduzione di imposte votate dal Parlamento</w:t>
            </w:r>
          </w:p>
        </w:tc>
        <w:tc>
          <w:tcPr>
            <w:tcW w:w="2356" w:type="dxa"/>
          </w:tcPr>
          <w:p w:rsidR="00C12FE0" w:rsidRDefault="00C12FE0" w:rsidP="009F02C3">
            <w:pPr>
              <w:cnfStyle w:val="100000000000" w:firstRow="1" w:lastRow="0" w:firstColumn="0" w:lastColumn="0" w:oddVBand="0" w:evenVBand="0" w:oddHBand="0" w:evenHBand="0" w:firstRowFirstColumn="0" w:firstRowLastColumn="0" w:lastRowFirstColumn="0" w:lastRowLastColumn="0"/>
            </w:pPr>
          </w:p>
        </w:tc>
        <w:tc>
          <w:tcPr>
            <w:tcW w:w="2381" w:type="dxa"/>
          </w:tcPr>
          <w:p w:rsidR="00C12FE0" w:rsidRDefault="00C12FE0" w:rsidP="009F02C3">
            <w:pPr>
              <w:cnfStyle w:val="100000000000" w:firstRow="1" w:lastRow="0" w:firstColumn="0" w:lastColumn="0" w:oddVBand="0" w:evenVBand="0" w:oddHBand="0" w:evenHBand="0" w:firstRowFirstColumn="0" w:firstRowLastColumn="0" w:lastRowFirstColumn="0" w:lastRowLastColumn="0"/>
            </w:pPr>
          </w:p>
        </w:tc>
        <w:tc>
          <w:tcPr>
            <w:tcW w:w="2365" w:type="dxa"/>
          </w:tcPr>
          <w:p w:rsidR="00C12FE0" w:rsidRDefault="00C12FE0" w:rsidP="009F02C3">
            <w:pPr>
              <w:cnfStyle w:val="100000000000" w:firstRow="1" w:lastRow="0" w:firstColumn="0" w:lastColumn="0" w:oddVBand="0" w:evenVBand="0" w:oddHBand="0" w:evenHBand="0" w:firstRowFirstColumn="0" w:firstRowLastColumn="0" w:lastRowFirstColumn="0" w:lastRowLastColumn="0"/>
            </w:pPr>
          </w:p>
        </w:tc>
      </w:tr>
      <w:tr w:rsidR="00C12FE0" w:rsidTr="00C12F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3" w:type="dxa"/>
          </w:tcPr>
          <w:p w:rsidR="00C12FE0" w:rsidRDefault="00C12FE0" w:rsidP="009F02C3">
            <w:r>
              <w:t>Anno di votazione</w:t>
            </w:r>
          </w:p>
        </w:tc>
        <w:tc>
          <w:tcPr>
            <w:tcW w:w="2356" w:type="dxa"/>
          </w:tcPr>
          <w:p w:rsidR="00C12FE0" w:rsidRDefault="00C12FE0" w:rsidP="009F02C3">
            <w:pPr>
              <w:cnfStyle w:val="000000100000" w:firstRow="0" w:lastRow="0" w:firstColumn="0" w:lastColumn="0" w:oddVBand="0" w:evenVBand="0" w:oddHBand="1" w:evenHBand="0" w:firstRowFirstColumn="0" w:firstRowLastColumn="0" w:lastRowFirstColumn="0" w:lastRowLastColumn="0"/>
            </w:pPr>
            <w:r>
              <w:t>Entrata in vigore</w:t>
            </w:r>
          </w:p>
        </w:tc>
        <w:tc>
          <w:tcPr>
            <w:tcW w:w="2381" w:type="dxa"/>
          </w:tcPr>
          <w:p w:rsidR="00C12FE0" w:rsidRDefault="00C12FE0" w:rsidP="009F02C3">
            <w:pPr>
              <w:cnfStyle w:val="000000100000" w:firstRow="0" w:lastRow="0" w:firstColumn="0" w:lastColumn="0" w:oddVBand="0" w:evenVBand="0" w:oddHBand="1" w:evenHBand="0" w:firstRowFirstColumn="0" w:firstRowLastColumn="0" w:lastRowFirstColumn="0" w:lastRowLastColumn="0"/>
            </w:pPr>
            <w:r>
              <w:t>Descrizione</w:t>
            </w:r>
          </w:p>
        </w:tc>
        <w:tc>
          <w:tcPr>
            <w:tcW w:w="2365" w:type="dxa"/>
          </w:tcPr>
          <w:p w:rsidR="00C12FE0" w:rsidRDefault="00C12FE0" w:rsidP="009F02C3">
            <w:pPr>
              <w:cnfStyle w:val="000000100000" w:firstRow="0" w:lastRow="0" w:firstColumn="0" w:lastColumn="0" w:oddVBand="0" w:evenVBand="0" w:oddHBand="1" w:evenHBand="0" w:firstRowFirstColumn="0" w:firstRowLastColumn="0" w:lastRowFirstColumn="0" w:lastRowLastColumn="0"/>
            </w:pPr>
            <w:r>
              <w:t>Importo stimato (Cantone)</w:t>
            </w:r>
          </w:p>
        </w:tc>
      </w:tr>
      <w:tr w:rsidR="00C12FE0" w:rsidTr="00C12FE0">
        <w:tc>
          <w:tcPr>
            <w:cnfStyle w:val="001000000000" w:firstRow="0" w:lastRow="0" w:firstColumn="1" w:lastColumn="0" w:oddVBand="0" w:evenVBand="0" w:oddHBand="0" w:evenHBand="0" w:firstRowFirstColumn="0" w:firstRowLastColumn="0" w:lastRowFirstColumn="0" w:lastRowLastColumn="0"/>
            <w:tcW w:w="2373" w:type="dxa"/>
          </w:tcPr>
          <w:p w:rsidR="00C12FE0" w:rsidRDefault="00C12FE0" w:rsidP="009F02C3">
            <w:r>
              <w:t>2017</w:t>
            </w:r>
          </w:p>
        </w:tc>
        <w:tc>
          <w:tcPr>
            <w:tcW w:w="2356" w:type="dxa"/>
          </w:tcPr>
          <w:p w:rsidR="00C12FE0" w:rsidRDefault="00C12FE0" w:rsidP="009F02C3">
            <w:pPr>
              <w:cnfStyle w:val="000000000000" w:firstRow="0" w:lastRow="0" w:firstColumn="0" w:lastColumn="0" w:oddVBand="0" w:evenVBand="0" w:oddHBand="0" w:evenHBand="0" w:firstRowFirstColumn="0" w:firstRowLastColumn="0" w:lastRowFirstColumn="0" w:lastRowLastColumn="0"/>
            </w:pPr>
            <w:r>
              <w:t>2020</w:t>
            </w:r>
          </w:p>
        </w:tc>
        <w:tc>
          <w:tcPr>
            <w:tcW w:w="2381" w:type="dxa"/>
          </w:tcPr>
          <w:p w:rsidR="00C12FE0" w:rsidRDefault="00C12FE0" w:rsidP="009F02C3">
            <w:pPr>
              <w:cnfStyle w:val="000000000000" w:firstRow="0" w:lastRow="0" w:firstColumn="0" w:lastColumn="0" w:oddVBand="0" w:evenVBand="0" w:oddHBand="0" w:evenHBand="0" w:firstRowFirstColumn="0" w:firstRowLastColumn="0" w:lastRowFirstColumn="0" w:lastRowLastColumn="0"/>
            </w:pPr>
            <w:r>
              <w:t>Riduzione dell’aliquota massima sulla sostanza</w:t>
            </w:r>
          </w:p>
        </w:tc>
        <w:tc>
          <w:tcPr>
            <w:tcW w:w="2365" w:type="dxa"/>
          </w:tcPr>
          <w:p w:rsidR="00C12FE0" w:rsidRDefault="00C12FE0" w:rsidP="009F02C3">
            <w:pPr>
              <w:cnfStyle w:val="000000000000" w:firstRow="0" w:lastRow="0" w:firstColumn="0" w:lastColumn="0" w:oddVBand="0" w:evenVBand="0" w:oddHBand="0" w:evenHBand="0" w:firstRowFirstColumn="0" w:firstRowLastColumn="0" w:lastRowFirstColumn="0" w:lastRowLastColumn="0"/>
            </w:pPr>
            <w:r>
              <w:t>20 milioni</w:t>
            </w:r>
          </w:p>
        </w:tc>
      </w:tr>
      <w:tr w:rsidR="00C12FE0" w:rsidTr="00C12F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3" w:type="dxa"/>
          </w:tcPr>
          <w:p w:rsidR="00C12FE0" w:rsidRDefault="00C12FE0" w:rsidP="009F02C3">
            <w:r>
              <w:t>2019</w:t>
            </w:r>
          </w:p>
        </w:tc>
        <w:tc>
          <w:tcPr>
            <w:tcW w:w="2356" w:type="dxa"/>
          </w:tcPr>
          <w:p w:rsidR="00C12FE0" w:rsidRDefault="00C12FE0" w:rsidP="009F02C3">
            <w:pPr>
              <w:cnfStyle w:val="000000100000" w:firstRow="0" w:lastRow="0" w:firstColumn="0" w:lastColumn="0" w:oddVBand="0" w:evenVBand="0" w:oddHBand="1" w:evenHBand="0" w:firstRowFirstColumn="0" w:firstRowLastColumn="0" w:lastRowFirstColumn="0" w:lastRowLastColumn="0"/>
            </w:pPr>
            <w:r>
              <w:t>2020</w:t>
            </w:r>
          </w:p>
        </w:tc>
        <w:tc>
          <w:tcPr>
            <w:tcW w:w="2381" w:type="dxa"/>
          </w:tcPr>
          <w:p w:rsidR="00C12FE0" w:rsidRDefault="00C12FE0" w:rsidP="009F02C3">
            <w:pPr>
              <w:cnfStyle w:val="000000100000" w:firstRow="0" w:lastRow="0" w:firstColumn="0" w:lastColumn="0" w:oddVBand="0" w:evenVBand="0" w:oddHBand="1" w:evenHBand="0" w:firstRowFirstColumn="0" w:firstRowLastColumn="0" w:lastRowFirstColumn="0" w:lastRowLastColumn="0"/>
            </w:pPr>
            <w:r>
              <w:t>Riduzione del coefficiente cantonale di imposta</w:t>
            </w:r>
          </w:p>
        </w:tc>
        <w:tc>
          <w:tcPr>
            <w:tcW w:w="2365" w:type="dxa"/>
          </w:tcPr>
          <w:p w:rsidR="00C12FE0" w:rsidRDefault="00C12FE0" w:rsidP="009F02C3">
            <w:pPr>
              <w:cnfStyle w:val="000000100000" w:firstRow="0" w:lastRow="0" w:firstColumn="0" w:lastColumn="0" w:oddVBand="0" w:evenVBand="0" w:oddHBand="1" w:evenHBand="0" w:firstRowFirstColumn="0" w:firstRowLastColumn="0" w:lastRowFirstColumn="0" w:lastRowLastColumn="0"/>
            </w:pPr>
            <w:r>
              <w:t>45 milioni</w:t>
            </w:r>
          </w:p>
        </w:tc>
      </w:tr>
      <w:tr w:rsidR="00C12FE0" w:rsidTr="00C12FE0">
        <w:tc>
          <w:tcPr>
            <w:cnfStyle w:val="001000000000" w:firstRow="0" w:lastRow="0" w:firstColumn="1" w:lastColumn="0" w:oddVBand="0" w:evenVBand="0" w:oddHBand="0" w:evenHBand="0" w:firstRowFirstColumn="0" w:firstRowLastColumn="0" w:lastRowFirstColumn="0" w:lastRowLastColumn="0"/>
            <w:tcW w:w="2373" w:type="dxa"/>
          </w:tcPr>
          <w:p w:rsidR="00C12FE0" w:rsidRDefault="00C12FE0" w:rsidP="009F02C3">
            <w:r>
              <w:t>2019</w:t>
            </w:r>
          </w:p>
        </w:tc>
        <w:tc>
          <w:tcPr>
            <w:tcW w:w="2356" w:type="dxa"/>
          </w:tcPr>
          <w:p w:rsidR="00C12FE0" w:rsidRDefault="00C12FE0" w:rsidP="009F02C3">
            <w:pPr>
              <w:cnfStyle w:val="000000000000" w:firstRow="0" w:lastRow="0" w:firstColumn="0" w:lastColumn="0" w:oddVBand="0" w:evenVBand="0" w:oddHBand="0" w:evenHBand="0" w:firstRowFirstColumn="0" w:firstRowLastColumn="0" w:lastRowFirstColumn="0" w:lastRowLastColumn="0"/>
            </w:pPr>
            <w:r>
              <w:t>2020 - 2025</w:t>
            </w:r>
          </w:p>
        </w:tc>
        <w:tc>
          <w:tcPr>
            <w:tcW w:w="2381" w:type="dxa"/>
          </w:tcPr>
          <w:p w:rsidR="00C12FE0" w:rsidRDefault="00C12FE0" w:rsidP="009F02C3">
            <w:pPr>
              <w:cnfStyle w:val="000000000000" w:firstRow="0" w:lastRow="0" w:firstColumn="0" w:lastColumn="0" w:oddVBand="0" w:evenVBand="0" w:oddHBand="0" w:evenHBand="0" w:firstRowFirstColumn="0" w:firstRowLastColumn="0" w:lastRowFirstColumn="0" w:lastRowLastColumn="0"/>
            </w:pPr>
            <w:r>
              <w:t>Riduzione dell’aliquota sull’utile</w:t>
            </w:r>
          </w:p>
        </w:tc>
        <w:tc>
          <w:tcPr>
            <w:tcW w:w="2365" w:type="dxa"/>
          </w:tcPr>
          <w:p w:rsidR="00C12FE0" w:rsidRDefault="00C12FE0" w:rsidP="009F02C3">
            <w:pPr>
              <w:cnfStyle w:val="000000000000" w:firstRow="0" w:lastRow="0" w:firstColumn="0" w:lastColumn="0" w:oddVBand="0" w:evenVBand="0" w:oddHBand="0" w:evenHBand="0" w:firstRowFirstColumn="0" w:firstRowLastColumn="0" w:lastRowFirstColumn="0" w:lastRowLastColumn="0"/>
            </w:pPr>
            <w:r>
              <w:t>80 milioni</w:t>
            </w:r>
          </w:p>
        </w:tc>
      </w:tr>
      <w:tr w:rsidR="00C12FE0" w:rsidTr="00C12F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3" w:type="dxa"/>
          </w:tcPr>
          <w:p w:rsidR="00C12FE0" w:rsidRDefault="00C12FE0" w:rsidP="009F02C3">
            <w:r>
              <w:t>2019</w:t>
            </w:r>
          </w:p>
        </w:tc>
        <w:tc>
          <w:tcPr>
            <w:tcW w:w="2356" w:type="dxa"/>
          </w:tcPr>
          <w:p w:rsidR="00C12FE0" w:rsidRDefault="00C12FE0" w:rsidP="009F02C3">
            <w:pPr>
              <w:cnfStyle w:val="000000100000" w:firstRow="0" w:lastRow="0" w:firstColumn="0" w:lastColumn="0" w:oddVBand="0" w:evenVBand="0" w:oddHBand="1" w:evenHBand="0" w:firstRowFirstColumn="0" w:firstRowLastColumn="0" w:lastRowFirstColumn="0" w:lastRowLastColumn="0"/>
            </w:pPr>
            <w:r>
              <w:t>2020</w:t>
            </w:r>
          </w:p>
        </w:tc>
        <w:tc>
          <w:tcPr>
            <w:tcW w:w="2381" w:type="dxa"/>
          </w:tcPr>
          <w:p w:rsidR="00C12FE0" w:rsidRDefault="00C12FE0" w:rsidP="009F02C3">
            <w:pPr>
              <w:cnfStyle w:val="000000100000" w:firstRow="0" w:lastRow="0" w:firstColumn="0" w:lastColumn="0" w:oddVBand="0" w:evenVBand="0" w:oddHBand="1" w:evenHBand="0" w:firstRowFirstColumn="0" w:firstRowLastColumn="0" w:lastRowFirstColumn="0" w:lastRowLastColumn="0"/>
            </w:pPr>
            <w:r>
              <w:t>Computo dell’imposta sul capitale all’imposta sull’utile</w:t>
            </w:r>
          </w:p>
        </w:tc>
        <w:tc>
          <w:tcPr>
            <w:tcW w:w="2365" w:type="dxa"/>
          </w:tcPr>
          <w:p w:rsidR="00C12FE0" w:rsidRDefault="00C12FE0" w:rsidP="009F02C3">
            <w:pPr>
              <w:cnfStyle w:val="000000100000" w:firstRow="0" w:lastRow="0" w:firstColumn="0" w:lastColumn="0" w:oddVBand="0" w:evenVBand="0" w:oddHBand="1" w:evenHBand="0" w:firstRowFirstColumn="0" w:firstRowLastColumn="0" w:lastRowFirstColumn="0" w:lastRowLastColumn="0"/>
            </w:pPr>
            <w:r>
              <w:t>12.5 milioni</w:t>
            </w:r>
          </w:p>
        </w:tc>
      </w:tr>
      <w:tr w:rsidR="00C12FE0" w:rsidTr="00C12FE0">
        <w:tc>
          <w:tcPr>
            <w:cnfStyle w:val="001000000000" w:firstRow="0" w:lastRow="0" w:firstColumn="1" w:lastColumn="0" w:oddVBand="0" w:evenVBand="0" w:oddHBand="0" w:evenHBand="0" w:firstRowFirstColumn="0" w:firstRowLastColumn="0" w:lastRowFirstColumn="0" w:lastRowLastColumn="0"/>
            <w:tcW w:w="2373" w:type="dxa"/>
          </w:tcPr>
          <w:p w:rsidR="00C12FE0" w:rsidRDefault="00C12FE0" w:rsidP="009F02C3">
            <w:r>
              <w:t>2020</w:t>
            </w:r>
          </w:p>
        </w:tc>
        <w:tc>
          <w:tcPr>
            <w:tcW w:w="2356" w:type="dxa"/>
          </w:tcPr>
          <w:p w:rsidR="00C12FE0" w:rsidRDefault="00C12FE0" w:rsidP="009F02C3">
            <w:pPr>
              <w:cnfStyle w:val="000000000000" w:firstRow="0" w:lastRow="0" w:firstColumn="0" w:lastColumn="0" w:oddVBand="0" w:evenVBand="0" w:oddHBand="0" w:evenHBand="0" w:firstRowFirstColumn="0" w:firstRowLastColumn="0" w:lastRowFirstColumn="0" w:lastRowLastColumn="0"/>
            </w:pPr>
            <w:r>
              <w:t>2020 - 2025</w:t>
            </w:r>
          </w:p>
        </w:tc>
        <w:tc>
          <w:tcPr>
            <w:tcW w:w="2381" w:type="dxa"/>
          </w:tcPr>
          <w:p w:rsidR="00C12FE0" w:rsidRDefault="00C12FE0" w:rsidP="009F02C3">
            <w:pPr>
              <w:cnfStyle w:val="000000000000" w:firstRow="0" w:lastRow="0" w:firstColumn="0" w:lastColumn="0" w:oddVBand="0" w:evenVBand="0" w:oddHBand="0" w:evenHBand="0" w:firstRowFirstColumn="0" w:firstRowLastColumn="0" w:lastRowFirstColumn="0" w:lastRowLastColumn="0"/>
            </w:pPr>
            <w:r>
              <w:t>Congelamento della Tassa di collegamento</w:t>
            </w:r>
          </w:p>
        </w:tc>
        <w:tc>
          <w:tcPr>
            <w:tcW w:w="2365" w:type="dxa"/>
          </w:tcPr>
          <w:p w:rsidR="00C12FE0" w:rsidRDefault="00C12FE0" w:rsidP="009F02C3">
            <w:pPr>
              <w:cnfStyle w:val="000000000000" w:firstRow="0" w:lastRow="0" w:firstColumn="0" w:lastColumn="0" w:oddVBand="0" w:evenVBand="0" w:oddHBand="0" w:evenHBand="0" w:firstRowFirstColumn="0" w:firstRowLastColumn="0" w:lastRowFirstColumn="0" w:lastRowLastColumn="0"/>
            </w:pPr>
            <w:r>
              <w:t>20 milioni</w:t>
            </w:r>
          </w:p>
        </w:tc>
      </w:tr>
      <w:tr w:rsidR="00C12FE0" w:rsidTr="00C12F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3" w:type="dxa"/>
          </w:tcPr>
          <w:p w:rsidR="00C12FE0" w:rsidRDefault="00C12FE0" w:rsidP="009F02C3">
            <w:r>
              <w:t>2022</w:t>
            </w:r>
          </w:p>
        </w:tc>
        <w:tc>
          <w:tcPr>
            <w:tcW w:w="2356" w:type="dxa"/>
          </w:tcPr>
          <w:p w:rsidR="00C12FE0" w:rsidRDefault="00C12FE0" w:rsidP="009F02C3">
            <w:pPr>
              <w:cnfStyle w:val="000000100000" w:firstRow="0" w:lastRow="0" w:firstColumn="0" w:lastColumn="0" w:oddVBand="0" w:evenVBand="0" w:oddHBand="1" w:evenHBand="0" w:firstRowFirstColumn="0" w:firstRowLastColumn="0" w:lastRowFirstColumn="0" w:lastRowLastColumn="0"/>
            </w:pPr>
            <w:r>
              <w:t>2023</w:t>
            </w:r>
          </w:p>
        </w:tc>
        <w:tc>
          <w:tcPr>
            <w:tcW w:w="2381" w:type="dxa"/>
          </w:tcPr>
          <w:p w:rsidR="00C12FE0" w:rsidRDefault="00C12FE0" w:rsidP="009F02C3">
            <w:pPr>
              <w:cnfStyle w:val="000000100000" w:firstRow="0" w:lastRow="0" w:firstColumn="0" w:lastColumn="0" w:oddVBand="0" w:evenVBand="0" w:oddHBand="1" w:evenHBand="0" w:firstRowFirstColumn="0" w:firstRowLastColumn="0" w:lastRowFirstColumn="0" w:lastRowLastColumn="0"/>
            </w:pPr>
            <w:r>
              <w:t>Deduzione per figli a carico</w:t>
            </w:r>
          </w:p>
        </w:tc>
        <w:tc>
          <w:tcPr>
            <w:tcW w:w="2365" w:type="dxa"/>
          </w:tcPr>
          <w:p w:rsidR="00C12FE0" w:rsidRDefault="00C12FE0" w:rsidP="009F02C3">
            <w:pPr>
              <w:cnfStyle w:val="000000100000" w:firstRow="0" w:lastRow="0" w:firstColumn="0" w:lastColumn="0" w:oddVBand="0" w:evenVBand="0" w:oddHBand="1" w:evenHBand="0" w:firstRowFirstColumn="0" w:firstRowLastColumn="0" w:lastRowFirstColumn="0" w:lastRowLastColumn="0"/>
            </w:pPr>
            <w:r>
              <w:t>6 milioni</w:t>
            </w:r>
          </w:p>
        </w:tc>
      </w:tr>
      <w:tr w:rsidR="00C12FE0" w:rsidTr="00C12FE0">
        <w:tc>
          <w:tcPr>
            <w:cnfStyle w:val="001000000000" w:firstRow="0" w:lastRow="0" w:firstColumn="1" w:lastColumn="0" w:oddVBand="0" w:evenVBand="0" w:oddHBand="0" w:evenHBand="0" w:firstRowFirstColumn="0" w:firstRowLastColumn="0" w:lastRowFirstColumn="0" w:lastRowLastColumn="0"/>
            <w:tcW w:w="2373" w:type="dxa"/>
          </w:tcPr>
          <w:p w:rsidR="00C12FE0" w:rsidRDefault="00C12FE0" w:rsidP="009F02C3">
            <w:r>
              <w:t>2022</w:t>
            </w:r>
          </w:p>
        </w:tc>
        <w:tc>
          <w:tcPr>
            <w:tcW w:w="2356" w:type="dxa"/>
          </w:tcPr>
          <w:p w:rsidR="00C12FE0" w:rsidRDefault="00C12FE0" w:rsidP="009F02C3">
            <w:pPr>
              <w:cnfStyle w:val="000000000000" w:firstRow="0" w:lastRow="0" w:firstColumn="0" w:lastColumn="0" w:oddVBand="0" w:evenVBand="0" w:oddHBand="0" w:evenHBand="0" w:firstRowFirstColumn="0" w:firstRowLastColumn="0" w:lastRowFirstColumn="0" w:lastRowLastColumn="0"/>
            </w:pPr>
            <w:r>
              <w:t>2023</w:t>
            </w:r>
          </w:p>
        </w:tc>
        <w:tc>
          <w:tcPr>
            <w:tcW w:w="2381" w:type="dxa"/>
          </w:tcPr>
          <w:p w:rsidR="00C12FE0" w:rsidRDefault="00C12FE0" w:rsidP="009F02C3">
            <w:pPr>
              <w:cnfStyle w:val="000000000000" w:firstRow="0" w:lastRow="0" w:firstColumn="0" w:lastColumn="0" w:oddVBand="0" w:evenVBand="0" w:oddHBand="0" w:evenHBand="0" w:firstRowFirstColumn="0" w:firstRowLastColumn="0" w:lastRowFirstColumn="0" w:lastRowLastColumn="0"/>
            </w:pPr>
            <w:r>
              <w:t>Riduzione dell’imposta di circolazione</w:t>
            </w:r>
          </w:p>
        </w:tc>
        <w:tc>
          <w:tcPr>
            <w:tcW w:w="2365" w:type="dxa"/>
          </w:tcPr>
          <w:p w:rsidR="00C12FE0" w:rsidRDefault="00C12FE0" w:rsidP="009F02C3">
            <w:pPr>
              <w:cnfStyle w:val="000000000000" w:firstRow="0" w:lastRow="0" w:firstColumn="0" w:lastColumn="0" w:oddVBand="0" w:evenVBand="0" w:oddHBand="0" w:evenHBand="0" w:firstRowFirstColumn="0" w:firstRowLastColumn="0" w:lastRowFirstColumn="0" w:lastRowLastColumn="0"/>
            </w:pPr>
            <w:r>
              <w:t>20 milioni + 10 milioni moratoria</w:t>
            </w:r>
          </w:p>
        </w:tc>
      </w:tr>
      <w:tr w:rsidR="00C12FE0" w:rsidTr="00C12F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3" w:type="dxa"/>
          </w:tcPr>
          <w:p w:rsidR="00C12FE0" w:rsidRDefault="00C12FE0" w:rsidP="009F02C3"/>
        </w:tc>
        <w:tc>
          <w:tcPr>
            <w:tcW w:w="2356" w:type="dxa"/>
          </w:tcPr>
          <w:p w:rsidR="00C12FE0" w:rsidRDefault="00C12FE0" w:rsidP="009F02C3">
            <w:pPr>
              <w:cnfStyle w:val="000000100000" w:firstRow="0" w:lastRow="0" w:firstColumn="0" w:lastColumn="0" w:oddVBand="0" w:evenVBand="0" w:oddHBand="1" w:evenHBand="0" w:firstRowFirstColumn="0" w:firstRowLastColumn="0" w:lastRowFirstColumn="0" w:lastRowLastColumn="0"/>
            </w:pPr>
          </w:p>
        </w:tc>
        <w:tc>
          <w:tcPr>
            <w:tcW w:w="2381" w:type="dxa"/>
          </w:tcPr>
          <w:p w:rsidR="00C12FE0" w:rsidRDefault="00C12FE0" w:rsidP="009F02C3">
            <w:pPr>
              <w:cnfStyle w:val="000000100000" w:firstRow="0" w:lastRow="0" w:firstColumn="0" w:lastColumn="0" w:oddVBand="0" w:evenVBand="0" w:oddHBand="1" w:evenHBand="0" w:firstRowFirstColumn="0" w:firstRowLastColumn="0" w:lastRowFirstColumn="0" w:lastRowLastColumn="0"/>
            </w:pPr>
            <w:r>
              <w:t>Totale</w:t>
            </w:r>
          </w:p>
        </w:tc>
        <w:tc>
          <w:tcPr>
            <w:tcW w:w="2365" w:type="dxa"/>
          </w:tcPr>
          <w:p w:rsidR="00C12FE0" w:rsidRDefault="00C12FE0" w:rsidP="009F02C3">
            <w:pPr>
              <w:cnfStyle w:val="000000100000" w:firstRow="0" w:lastRow="0" w:firstColumn="0" w:lastColumn="0" w:oddVBand="0" w:evenVBand="0" w:oddHBand="1" w:evenHBand="0" w:firstRowFirstColumn="0" w:firstRowLastColumn="0" w:lastRowFirstColumn="0" w:lastRowLastColumn="0"/>
            </w:pPr>
            <w:r>
              <w:t>213.5 milioni</w:t>
            </w:r>
          </w:p>
        </w:tc>
      </w:tr>
    </w:tbl>
    <w:p w:rsidR="0021231A" w:rsidRDefault="0021231A" w:rsidP="0021231A">
      <w:pPr>
        <w:pStyle w:val="StandardRisoluzionedelConsigliodiStato"/>
        <w:ind w:right="-1"/>
      </w:pPr>
    </w:p>
    <w:p w:rsidR="0021231A" w:rsidRDefault="0021231A" w:rsidP="0021231A">
      <w:pPr>
        <w:pStyle w:val="StandardRisoluzionedelConsigliodiStato"/>
        <w:ind w:right="-1"/>
      </w:pPr>
    </w:p>
    <w:p w:rsidR="006A6579" w:rsidRDefault="006A6579" w:rsidP="0021231A">
      <w:pPr>
        <w:pStyle w:val="StandardRisoluzionedelConsigliodiStato"/>
        <w:ind w:right="-1"/>
      </w:pPr>
    </w:p>
    <w:p w:rsidR="0021231A" w:rsidRPr="006A6579" w:rsidRDefault="006A6579" w:rsidP="006A6579">
      <w:pPr>
        <w:pStyle w:val="Titolo1"/>
        <w:tabs>
          <w:tab w:val="left" w:pos="567"/>
        </w:tabs>
        <w:spacing w:before="0" w:after="120"/>
        <w:ind w:left="567" w:hanging="567"/>
        <w:jc w:val="both"/>
        <w:rPr>
          <w:rFonts w:eastAsia="Calibri" w:cs="Times New Roman"/>
          <w:caps/>
          <w:sz w:val="24"/>
          <w:szCs w:val="24"/>
          <w:lang w:val="it-IT" w:eastAsia="it-IT"/>
        </w:rPr>
      </w:pPr>
      <w:bookmarkStart w:id="6" w:name="_Toc152078524"/>
      <w:r>
        <w:rPr>
          <w:rFonts w:eastAsia="Calibri" w:cs="Times New Roman"/>
          <w:caps/>
          <w:sz w:val="24"/>
          <w:szCs w:val="24"/>
          <w:lang w:val="it-IT" w:eastAsia="it-IT"/>
        </w:rPr>
        <w:t>7.</w:t>
      </w:r>
      <w:r>
        <w:rPr>
          <w:rFonts w:eastAsia="Calibri" w:cs="Times New Roman"/>
          <w:caps/>
          <w:sz w:val="24"/>
          <w:szCs w:val="24"/>
          <w:lang w:val="it-IT" w:eastAsia="it-IT"/>
        </w:rPr>
        <w:tab/>
      </w:r>
      <w:r w:rsidR="0021231A" w:rsidRPr="006A6579">
        <w:rPr>
          <w:rFonts w:eastAsia="Calibri" w:cs="Times New Roman"/>
          <w:caps/>
          <w:sz w:val="24"/>
          <w:szCs w:val="24"/>
          <w:lang w:val="it-IT" w:eastAsia="it-IT"/>
        </w:rPr>
        <w:t>L’ipotesi di partenza</w:t>
      </w:r>
      <w:bookmarkEnd w:id="6"/>
    </w:p>
    <w:p w:rsidR="0021231A" w:rsidRDefault="0021231A" w:rsidP="00C12FE0">
      <w:pPr>
        <w:pStyle w:val="StandardRisoluzionedelConsigliodiStato"/>
        <w:spacing w:after="120"/>
        <w:ind w:right="-1"/>
      </w:pPr>
      <w:r>
        <w:t>La verità o meno di una teoria dipende dalle ipotesi di partenza. O meglio le ipotesi iniziali stabiliscono il quadro di base su cui una teoria è costruita. Se queste ipotesi sono errate, incomplete o discutibili, possono influenzare negativamente la coerenza e l'affidabilità della teoria stessa.</w:t>
      </w:r>
    </w:p>
    <w:p w:rsidR="0021231A" w:rsidRDefault="0021231A" w:rsidP="00C12FE0">
      <w:pPr>
        <w:pStyle w:val="StandardRisoluzionedelConsigliodiStato"/>
        <w:spacing w:after="120"/>
        <w:ind w:right="-1"/>
      </w:pPr>
      <w:r>
        <w:t>Il principale, se non unico, presupposto su cui si basa questa riforma della Legge tributaria afferma che a causa della concorrenza intercantonale in materia fiscale dal Ticino vi sarebbe un’emorragia di contribuenti molto facoltosi.</w:t>
      </w:r>
    </w:p>
    <w:p w:rsidR="0021231A" w:rsidRDefault="0021231A" w:rsidP="00C12FE0">
      <w:pPr>
        <w:pStyle w:val="StandardRisoluzionedelConsigliodiStato"/>
        <w:spacing w:after="120"/>
        <w:ind w:right="-1"/>
      </w:pPr>
      <w:r>
        <w:t>Se questa ipotesi, che noi confutiamo, venisse meno allora l’unico motivo per proporre e votare questa riforma della Legge tributaria rimarrebbe quello di voler far pagare meno imposte a un gruppo ristretto di contribuenti. Interessante in questo senso l’articolo di Daniel Ritzer apparso su</w:t>
      </w:r>
      <w:r w:rsidR="00C12FE0">
        <w:t xml:space="preserve"> LaRegione del 17 novembre 2023:</w:t>
      </w:r>
    </w:p>
    <w:p w:rsidR="0021231A" w:rsidRDefault="00C12FE0" w:rsidP="006A6579">
      <w:pPr>
        <w:pStyle w:val="StandardRisoluzionedelConsigliodiStato"/>
        <w:spacing w:after="120"/>
        <w:ind w:left="284" w:right="-1"/>
      </w:pPr>
      <w:r>
        <w:t>«</w:t>
      </w:r>
      <w:r w:rsidR="0021231A" w:rsidRPr="00C12FE0">
        <w:rPr>
          <w:i/>
        </w:rPr>
        <w:t xml:space="preserve">Bisogna rendere il Ticino più attrattivo fiscalmente per evitare che dei grossi contribuenti lascino il nostro cantone” è il mantra che ripetono all’unisono Dfe, diversi specialisti e certi osservatori. Il paradosso della riforma fiscale riguarda il fatto di essere stata, in verità, concepita e voluta non tanto per chi potrebbe andarsene dal Ticino, ma per quel ristretto gruppo di famiglie che il cantone non lo lascerà mai. Non lo lascerà perché lo considera suo. Parliamo dei grandi facoltosi nostrani dai cognomi illustri: fondatori di fiduciarie, grossi clienti di fiduciarie, grandi imprenditori, capitani di industria. Signori pseudofeudali “stanchi” di finanziare con le loro tasse lo Stato sociale e che oggi, </w:t>
      </w:r>
      <w:r w:rsidR="0021231A" w:rsidRPr="00C12FE0">
        <w:rPr>
          <w:i/>
        </w:rPr>
        <w:lastRenderedPageBreak/>
        <w:t>di fronte a un contesto avverso, esigono dall’ente pubblico rigore finanziario da un lato e un alleggerimento della pressione fiscale dall’altro. Dopo la crisi del XIV secolo, nell’Europa medievale, la commutazione delle corvée in rendite monetarie diventò pratica sempre più diffusa e sancì l’inizio della fine del feudalesimo. Nel Canton Ticino del XXI secolo, nel bel mezzo di una grande crisi mondiale, le pretese e reticenze tributarie di un ristretto gruppo di persone molto potenti, facoltose all’inverosimile e strettamente legate al territorio – nonché la volontà politica della maggioranza di accontentarle – rischiano invece di spianare la strada alla piena restaurazione del regime feudale</w:t>
      </w:r>
      <w:r w:rsidR="0021231A">
        <w:t>.</w:t>
      </w:r>
      <w:r>
        <w:t>»</w:t>
      </w:r>
    </w:p>
    <w:p w:rsidR="0021231A" w:rsidRDefault="0021231A" w:rsidP="006A6579">
      <w:pPr>
        <w:pStyle w:val="StandardRisoluzionedelConsigliodiStato"/>
        <w:spacing w:after="240"/>
      </w:pPr>
      <w:r>
        <w:t>Sgravi alle persone molto ricche quando parallelamente ci saranno tagli a servizi e prestazioni fra cui verosimilmente sussidi cassa malati e contratti di prestazione a case anziani, istituti per invalidi e servizi di assistenza e cura a domicilio.</w:t>
      </w:r>
    </w:p>
    <w:p w:rsidR="00C12FE0" w:rsidRDefault="0021231A" w:rsidP="00C12FE0">
      <w:pPr>
        <w:pStyle w:val="StandardRisoluzionedelConsigliodiStato"/>
        <w:spacing w:after="240"/>
        <w:ind w:right="-1"/>
      </w:pPr>
      <w:r>
        <w:t>Proprio per questo questa riforma non pone solo un problema politico, ma anche etico oltre che morale per le persone particolarmente facoltose.</w:t>
      </w:r>
    </w:p>
    <w:tbl>
      <w:tblPr>
        <w:tblStyle w:val="Grigliatab4"/>
        <w:tblW w:w="0" w:type="auto"/>
        <w:tblLook w:val="04A0" w:firstRow="1" w:lastRow="0" w:firstColumn="1" w:lastColumn="0" w:noHBand="0" w:noVBand="1"/>
      </w:tblPr>
      <w:tblGrid>
        <w:gridCol w:w="2388"/>
        <w:gridCol w:w="2377"/>
        <w:gridCol w:w="2359"/>
        <w:gridCol w:w="2351"/>
      </w:tblGrid>
      <w:tr w:rsidR="00C12FE0" w:rsidTr="009F02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4"/>
          </w:tcPr>
          <w:p w:rsidR="00C12FE0" w:rsidRDefault="00C12FE0" w:rsidP="009F02C3">
            <w:r>
              <w:t>Partenze e arrivi 2016 2022</w:t>
            </w:r>
          </w:p>
        </w:tc>
      </w:tr>
      <w:tr w:rsidR="00C12FE0" w:rsidTr="009F0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tcPr>
          <w:p w:rsidR="00C12FE0" w:rsidRPr="004E273E" w:rsidRDefault="00C12FE0" w:rsidP="009F02C3">
            <w:pPr>
              <w:rPr>
                <w:b w:val="0"/>
                <w:bCs w:val="0"/>
              </w:rPr>
            </w:pPr>
            <w:r w:rsidRPr="004E273E">
              <w:rPr>
                <w:b w:val="0"/>
                <w:bCs w:val="0"/>
              </w:rPr>
              <w:t>Fine assoggettamento</w:t>
            </w:r>
          </w:p>
        </w:tc>
        <w:tc>
          <w:tcPr>
            <w:tcW w:w="2407" w:type="dxa"/>
          </w:tcPr>
          <w:p w:rsidR="00C12FE0" w:rsidRDefault="00C12FE0" w:rsidP="009F02C3">
            <w:pPr>
              <w:cnfStyle w:val="000000100000" w:firstRow="0" w:lastRow="0" w:firstColumn="0" w:lastColumn="0" w:oddVBand="0" w:evenVBand="0" w:oddHBand="1" w:evenHBand="0" w:firstRowFirstColumn="0" w:firstRowLastColumn="0" w:lastRowFirstColumn="0" w:lastRowLastColumn="0"/>
            </w:pPr>
            <w:r>
              <w:t>Cambiamento</w:t>
            </w:r>
          </w:p>
        </w:tc>
        <w:tc>
          <w:tcPr>
            <w:tcW w:w="2407" w:type="dxa"/>
          </w:tcPr>
          <w:p w:rsidR="00C12FE0" w:rsidRDefault="00C12FE0" w:rsidP="009F02C3">
            <w:pPr>
              <w:cnfStyle w:val="000000100000" w:firstRow="0" w:lastRow="0" w:firstColumn="0" w:lastColumn="0" w:oddVBand="0" w:evenVBand="0" w:oddHBand="1" w:evenHBand="0" w:firstRowFirstColumn="0" w:firstRowLastColumn="0" w:lastRowFirstColumn="0" w:lastRowLastColumn="0"/>
            </w:pPr>
            <w:r>
              <w:t>Totale partenze</w:t>
            </w:r>
          </w:p>
        </w:tc>
        <w:tc>
          <w:tcPr>
            <w:tcW w:w="2407" w:type="dxa"/>
          </w:tcPr>
          <w:p w:rsidR="00C12FE0" w:rsidRDefault="00C12FE0" w:rsidP="009F02C3">
            <w:pPr>
              <w:cnfStyle w:val="000000100000" w:firstRow="0" w:lastRow="0" w:firstColumn="0" w:lastColumn="0" w:oddVBand="0" w:evenVBand="0" w:oddHBand="1" w:evenHBand="0" w:firstRowFirstColumn="0" w:firstRowLastColumn="0" w:lastRowFirstColumn="0" w:lastRowLastColumn="0"/>
            </w:pPr>
            <w:r>
              <w:t>Nuovi arrivi tassati</w:t>
            </w:r>
          </w:p>
        </w:tc>
      </w:tr>
      <w:tr w:rsidR="00C12FE0" w:rsidTr="009F02C3">
        <w:tc>
          <w:tcPr>
            <w:cnfStyle w:val="001000000000" w:firstRow="0" w:lastRow="0" w:firstColumn="1" w:lastColumn="0" w:oddVBand="0" w:evenVBand="0" w:oddHBand="0" w:evenHBand="0" w:firstRowFirstColumn="0" w:firstRowLastColumn="0" w:lastRowFirstColumn="0" w:lastRowLastColumn="0"/>
            <w:tcW w:w="2407" w:type="dxa"/>
          </w:tcPr>
          <w:p w:rsidR="00C12FE0" w:rsidRPr="004E273E" w:rsidRDefault="00C12FE0" w:rsidP="009F02C3">
            <w:pPr>
              <w:rPr>
                <w:b w:val="0"/>
                <w:bCs w:val="0"/>
              </w:rPr>
            </w:pPr>
            <w:r w:rsidRPr="004E273E">
              <w:rPr>
                <w:b w:val="0"/>
                <w:bCs w:val="0"/>
              </w:rPr>
              <w:t>143</w:t>
            </w:r>
          </w:p>
        </w:tc>
        <w:tc>
          <w:tcPr>
            <w:tcW w:w="2407" w:type="dxa"/>
          </w:tcPr>
          <w:p w:rsidR="00C12FE0" w:rsidRDefault="00C12FE0" w:rsidP="009F02C3">
            <w:pPr>
              <w:cnfStyle w:val="000000000000" w:firstRow="0" w:lastRow="0" w:firstColumn="0" w:lastColumn="0" w:oddVBand="0" w:evenVBand="0" w:oddHBand="0" w:evenHBand="0" w:firstRowFirstColumn="0" w:firstRowLastColumn="0" w:lastRowFirstColumn="0" w:lastRowLastColumn="0"/>
            </w:pPr>
            <w:r>
              <w:t>252</w:t>
            </w:r>
          </w:p>
        </w:tc>
        <w:tc>
          <w:tcPr>
            <w:tcW w:w="2407" w:type="dxa"/>
          </w:tcPr>
          <w:p w:rsidR="00C12FE0" w:rsidRDefault="00C12FE0" w:rsidP="009F02C3">
            <w:pPr>
              <w:cnfStyle w:val="000000000000" w:firstRow="0" w:lastRow="0" w:firstColumn="0" w:lastColumn="0" w:oddVBand="0" w:evenVBand="0" w:oddHBand="0" w:evenHBand="0" w:firstRowFirstColumn="0" w:firstRowLastColumn="0" w:lastRowFirstColumn="0" w:lastRowLastColumn="0"/>
            </w:pPr>
            <w:r>
              <w:t>395</w:t>
            </w:r>
          </w:p>
        </w:tc>
        <w:tc>
          <w:tcPr>
            <w:tcW w:w="2407" w:type="dxa"/>
          </w:tcPr>
          <w:p w:rsidR="00C12FE0" w:rsidRDefault="00C12FE0" w:rsidP="009F02C3">
            <w:pPr>
              <w:cnfStyle w:val="000000000000" w:firstRow="0" w:lastRow="0" w:firstColumn="0" w:lastColumn="0" w:oddVBand="0" w:evenVBand="0" w:oddHBand="0" w:evenHBand="0" w:firstRowFirstColumn="0" w:firstRowLastColumn="0" w:lastRowFirstColumn="0" w:lastRowLastColumn="0"/>
            </w:pPr>
            <w:r>
              <w:t>190</w:t>
            </w:r>
          </w:p>
        </w:tc>
      </w:tr>
    </w:tbl>
    <w:p w:rsidR="0021231A" w:rsidRDefault="0021231A" w:rsidP="0021231A">
      <w:pPr>
        <w:pStyle w:val="StandardRisoluzionedelConsigliodiStato"/>
        <w:ind w:right="-1"/>
      </w:pPr>
    </w:p>
    <w:p w:rsidR="0021231A" w:rsidRDefault="0021231A" w:rsidP="006A6579">
      <w:pPr>
        <w:pStyle w:val="StandardRisoluzionedelConsigliodiStato"/>
        <w:spacing w:after="240"/>
      </w:pPr>
      <w:r>
        <w:t>Secondo il Consiglio di Stato tra il 2016 e il 2022 le partenze delle persone particolarmente facoltose sono state superiori agli arrivi.</w:t>
      </w:r>
    </w:p>
    <w:p w:rsidR="0021231A" w:rsidRDefault="0021231A" w:rsidP="006A6579">
      <w:pPr>
        <w:pStyle w:val="StandardRisoluzionedelConsigliodiStato"/>
        <w:spacing w:after="240"/>
      </w:pPr>
      <w:r>
        <w:t>Ci permettiamo di relativizzare i dati. Vista la complessità dei dossier gli arrivi degli ultimi 4 anni ci sono sicuramente decisioni di tassazione non ancora cresciute in giudicato e quindi di cui non si è tenuto conto. Questo perché i casi di tassazione delle persone particolarmente facoltoso necessitano di più anni per venir evase.</w:t>
      </w:r>
    </w:p>
    <w:p w:rsidR="0021231A" w:rsidRDefault="0021231A" w:rsidP="006A6579">
      <w:pPr>
        <w:pStyle w:val="StandardRisoluzionedelConsigliodiStato"/>
        <w:spacing w:after="240"/>
      </w:pPr>
      <w:r>
        <w:t>Confutiamo l’ipotesi di una fuga di persone particolarmente facoltose. Come mostreremo prendendo i dati dagli allegati statistici del Consiglio di Stato e dell’Ufficio federale di statistica infatti i casi di tassazione per i grandi capitali e i grandi redditi sono costantemente aumentati negli ultimi anni.</w:t>
      </w:r>
    </w:p>
    <w:p w:rsidR="0021231A" w:rsidRDefault="0021231A" w:rsidP="00C12FE0">
      <w:pPr>
        <w:pStyle w:val="StandardRisoluzionedelConsigliodiStato"/>
        <w:spacing w:after="240"/>
        <w:ind w:right="-1"/>
      </w:pPr>
      <w:r>
        <w:t>Infatti</w:t>
      </w:r>
      <w:r w:rsidR="00C12FE0">
        <w:t>,</w:t>
      </w:r>
      <w:r>
        <w:t xml:space="preserve"> il numero di persone con una sostanza superiore ai 5 milioni è quasi raddoppiato dal 2013 al 2019, mentre i casi di tassazione con redditi superiori a 200’000 franchi sono aumentati del 20%.</w:t>
      </w:r>
    </w:p>
    <w:p w:rsidR="0021231A" w:rsidRDefault="00C12FE0" w:rsidP="0021231A">
      <w:pPr>
        <w:pStyle w:val="StandardRisoluzionedelConsigliodiStato"/>
        <w:ind w:right="-1"/>
      </w:pPr>
      <w:r w:rsidRPr="004B108D">
        <w:rPr>
          <w:noProof/>
          <w:lang w:eastAsia="it-CH"/>
        </w:rPr>
        <w:lastRenderedPageBreak/>
        <w:drawing>
          <wp:inline distT="0" distB="0" distL="0" distR="0" wp14:anchorId="60D05B3C" wp14:editId="3448FC11">
            <wp:extent cx="6022975" cy="2750271"/>
            <wp:effectExtent l="0" t="0" r="15875" b="12065"/>
            <wp:docPr id="837717389" name="Grafico 1">
              <a:extLst xmlns:a="http://schemas.openxmlformats.org/drawingml/2006/main">
                <a:ext uri="{FF2B5EF4-FFF2-40B4-BE49-F238E27FC236}">
                  <a16:creationId xmlns:a16="http://schemas.microsoft.com/office/drawing/2014/main" id="{24B0B925-D8D9-5BA0-842E-2049C3C68D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1231A" w:rsidRDefault="0021231A" w:rsidP="0021231A">
      <w:pPr>
        <w:pStyle w:val="StandardRisoluzionedelConsigliodiStato"/>
        <w:ind w:right="-1"/>
      </w:pPr>
    </w:p>
    <w:p w:rsidR="0021231A" w:rsidRDefault="00C12FE0" w:rsidP="00C12FE0">
      <w:pPr>
        <w:pStyle w:val="StandardRisoluzionedelConsigliodiStato"/>
        <w:spacing w:after="240"/>
        <w:ind w:right="-1"/>
      </w:pPr>
      <w:r w:rsidRPr="004B108D">
        <w:rPr>
          <w:noProof/>
          <w:lang w:eastAsia="it-CH"/>
        </w:rPr>
        <w:drawing>
          <wp:inline distT="0" distB="0" distL="0" distR="0" wp14:anchorId="4488570A" wp14:editId="3D7FFA9E">
            <wp:extent cx="6022975" cy="2750271"/>
            <wp:effectExtent l="0" t="0" r="15875" b="12065"/>
            <wp:docPr id="1453932704" name="Grafico 1">
              <a:extLst xmlns:a="http://schemas.openxmlformats.org/drawingml/2006/main">
                <a:ext uri="{FF2B5EF4-FFF2-40B4-BE49-F238E27FC236}">
                  <a16:creationId xmlns:a16="http://schemas.microsoft.com/office/drawing/2014/main" id="{606DA441-EEDA-D78A-C1A2-F95502AB34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1231A" w:rsidRDefault="0021231A" w:rsidP="00C12FE0">
      <w:pPr>
        <w:pStyle w:val="StandardRisoluzionedelConsigliodiStato"/>
        <w:spacing w:after="120"/>
        <w:ind w:right="-1"/>
      </w:pPr>
      <w:r>
        <w:t>Come abbiamo avuto modo di ripetere più volte le aliquote fiscali non sono l’unico motivo per cui un’azienda e i suoi manager oppure persone facoltose si stabiliscono in Ticino.</w:t>
      </w:r>
    </w:p>
    <w:p w:rsidR="0021231A" w:rsidRDefault="0021231A" w:rsidP="00C12FE0">
      <w:pPr>
        <w:pStyle w:val="StandardRisoluzionedelConsigliodiStato"/>
        <w:spacing w:after="120"/>
        <w:ind w:right="-1"/>
      </w:pPr>
      <w:r>
        <w:t>Ci sono condizioni quadro molto più importanti:</w:t>
      </w:r>
    </w:p>
    <w:p w:rsidR="0021231A" w:rsidRDefault="0021231A" w:rsidP="00FE60A1">
      <w:pPr>
        <w:pStyle w:val="StandardRisoluzionedelConsigliodiStato"/>
        <w:tabs>
          <w:tab w:val="left" w:pos="284"/>
        </w:tabs>
        <w:spacing w:after="60"/>
        <w:ind w:right="-1"/>
      </w:pPr>
      <w:r>
        <w:t>-</w:t>
      </w:r>
      <w:r>
        <w:tab/>
        <w:t>Stabilità politica e sociale</w:t>
      </w:r>
    </w:p>
    <w:p w:rsidR="0021231A" w:rsidRDefault="0021231A" w:rsidP="00FE60A1">
      <w:pPr>
        <w:pStyle w:val="StandardRisoluzionedelConsigliodiStato"/>
        <w:tabs>
          <w:tab w:val="left" w:pos="284"/>
        </w:tabs>
        <w:spacing w:after="60"/>
        <w:ind w:right="-1"/>
      </w:pPr>
      <w:r>
        <w:t>-</w:t>
      </w:r>
      <w:r>
        <w:tab/>
        <w:t>Strutture scolastiche e universitarie molto buone</w:t>
      </w:r>
    </w:p>
    <w:p w:rsidR="0021231A" w:rsidRDefault="0021231A" w:rsidP="00FE60A1">
      <w:pPr>
        <w:pStyle w:val="StandardRisoluzionedelConsigliodiStato"/>
        <w:tabs>
          <w:tab w:val="left" w:pos="284"/>
        </w:tabs>
        <w:spacing w:after="60"/>
        <w:ind w:right="-1"/>
      </w:pPr>
      <w:r>
        <w:t>-</w:t>
      </w:r>
      <w:r>
        <w:tab/>
        <w:t>Sanità all’avanguardia</w:t>
      </w:r>
    </w:p>
    <w:p w:rsidR="0021231A" w:rsidRDefault="0021231A" w:rsidP="00FE60A1">
      <w:pPr>
        <w:pStyle w:val="StandardRisoluzionedelConsigliodiStato"/>
        <w:tabs>
          <w:tab w:val="left" w:pos="284"/>
        </w:tabs>
        <w:spacing w:after="60"/>
        <w:ind w:right="-1"/>
      </w:pPr>
      <w:r>
        <w:t>-</w:t>
      </w:r>
      <w:r>
        <w:tab/>
        <w:t>Amministrazione efficiente</w:t>
      </w:r>
    </w:p>
    <w:p w:rsidR="0021231A" w:rsidRDefault="0021231A" w:rsidP="00FE60A1">
      <w:pPr>
        <w:pStyle w:val="StandardRisoluzionedelConsigliodiStato"/>
        <w:tabs>
          <w:tab w:val="left" w:pos="284"/>
        </w:tabs>
        <w:spacing w:after="60"/>
        <w:ind w:right="-1"/>
      </w:pPr>
      <w:r>
        <w:t>-</w:t>
      </w:r>
      <w:r>
        <w:tab/>
        <w:t>Vicinanza alle principali vie di comunicazione internazionali</w:t>
      </w:r>
    </w:p>
    <w:p w:rsidR="00FE60A1" w:rsidRDefault="0021231A" w:rsidP="00FE60A1">
      <w:pPr>
        <w:pStyle w:val="StandardRisoluzionedelConsigliodiStato"/>
        <w:tabs>
          <w:tab w:val="left" w:pos="284"/>
        </w:tabs>
        <w:ind w:left="708" w:right="-1" w:hanging="708"/>
      </w:pPr>
      <w:r>
        <w:t>-</w:t>
      </w:r>
      <w:r>
        <w:tab/>
        <w:t xml:space="preserve">Manodopera frontaliera concorrenziale e quindi anche decisiva per la scelta della sede </w:t>
      </w:r>
    </w:p>
    <w:p w:rsidR="006A6579" w:rsidRDefault="00FE60A1" w:rsidP="00FE60A1">
      <w:pPr>
        <w:pStyle w:val="StandardRisoluzionedelConsigliodiStato"/>
        <w:tabs>
          <w:tab w:val="left" w:pos="284"/>
        </w:tabs>
        <w:ind w:left="708" w:right="-1" w:hanging="708"/>
      </w:pPr>
      <w:r>
        <w:tab/>
      </w:r>
      <w:r w:rsidR="0021231A">
        <w:t>aziendale</w:t>
      </w:r>
    </w:p>
    <w:p w:rsidR="006A6579" w:rsidRDefault="006A6579">
      <w:pPr>
        <w:rPr>
          <w:sz w:val="24"/>
        </w:rPr>
      </w:pPr>
      <w:r>
        <w:br w:type="page"/>
      </w:r>
    </w:p>
    <w:p w:rsidR="0021231A" w:rsidRPr="006A6579" w:rsidRDefault="006A6579" w:rsidP="006A6579">
      <w:pPr>
        <w:pStyle w:val="Titolo1"/>
        <w:tabs>
          <w:tab w:val="left" w:pos="567"/>
        </w:tabs>
        <w:spacing w:before="0" w:after="120"/>
        <w:ind w:left="567" w:hanging="567"/>
        <w:jc w:val="both"/>
        <w:rPr>
          <w:rFonts w:eastAsia="Calibri" w:cs="Times New Roman"/>
          <w:caps/>
          <w:sz w:val="24"/>
          <w:szCs w:val="24"/>
          <w:lang w:val="it-IT" w:eastAsia="it-IT"/>
        </w:rPr>
      </w:pPr>
      <w:bookmarkStart w:id="7" w:name="_Toc152078525"/>
      <w:r>
        <w:rPr>
          <w:rFonts w:eastAsia="Calibri" w:cs="Times New Roman"/>
          <w:caps/>
          <w:sz w:val="24"/>
          <w:szCs w:val="24"/>
          <w:lang w:val="it-IT" w:eastAsia="it-IT"/>
        </w:rPr>
        <w:lastRenderedPageBreak/>
        <w:t>8.</w:t>
      </w:r>
      <w:r>
        <w:rPr>
          <w:rFonts w:eastAsia="Calibri" w:cs="Times New Roman"/>
          <w:caps/>
          <w:sz w:val="24"/>
          <w:szCs w:val="24"/>
          <w:lang w:val="it-IT" w:eastAsia="it-IT"/>
        </w:rPr>
        <w:tab/>
      </w:r>
      <w:r w:rsidR="0021231A" w:rsidRPr="006A6579">
        <w:rPr>
          <w:rFonts w:eastAsia="Calibri" w:cs="Times New Roman"/>
          <w:caps/>
          <w:sz w:val="24"/>
          <w:szCs w:val="24"/>
          <w:lang w:val="it-IT" w:eastAsia="it-IT"/>
        </w:rPr>
        <w:t>Quale economia vogliamo? Più sgravi o migliori condizioni quadro?</w:t>
      </w:r>
      <w:bookmarkEnd w:id="7"/>
    </w:p>
    <w:p w:rsidR="0021231A" w:rsidRDefault="0021231A" w:rsidP="006A6579">
      <w:pPr>
        <w:pStyle w:val="StandardRisoluzionedelConsigliodiStato"/>
      </w:pPr>
      <w:r>
        <w:t>La Svizzera storicamente è un paese capace di generare ricchezza e benessere.</w:t>
      </w:r>
    </w:p>
    <w:p w:rsidR="006A6579" w:rsidRDefault="006A6579" w:rsidP="006A6579">
      <w:pPr>
        <w:pStyle w:val="StandardRisoluzionedelConsigliodiStato"/>
      </w:pPr>
    </w:p>
    <w:p w:rsidR="0021231A" w:rsidRDefault="0021231A" w:rsidP="006A6579">
      <w:pPr>
        <w:pStyle w:val="StandardRisoluzionedelConsigliodiStato"/>
      </w:pPr>
      <w:r>
        <w:t>Questo è dovuto innanzitutto a una società civile che si assume le sue responsabilità, in cui ognuno fa la sua parte.</w:t>
      </w:r>
    </w:p>
    <w:p w:rsidR="006A6579" w:rsidRDefault="006A6579" w:rsidP="006A6579">
      <w:pPr>
        <w:pStyle w:val="StandardRisoluzionedelConsigliodiStato"/>
      </w:pPr>
    </w:p>
    <w:p w:rsidR="0021231A" w:rsidRDefault="0021231A" w:rsidP="006A6579">
      <w:pPr>
        <w:pStyle w:val="StandardRisoluzionedelConsigliodiStato"/>
      </w:pPr>
      <w:r>
        <w:t>Una società civile che sa poi trovare la sua coesione, la sua unità nelle sue Istituzioni pubbliche, nello Stato.</w:t>
      </w:r>
    </w:p>
    <w:p w:rsidR="006A6579" w:rsidRDefault="006A6579" w:rsidP="006A6579">
      <w:pPr>
        <w:pStyle w:val="StandardRisoluzionedelConsigliodiStato"/>
      </w:pPr>
    </w:p>
    <w:p w:rsidR="0021231A" w:rsidRDefault="0021231A" w:rsidP="006A6579">
      <w:pPr>
        <w:pStyle w:val="StandardRisoluzionedelConsigliodiStato"/>
      </w:pPr>
      <w:r>
        <w:t>Uno Stato a cui compete il ruolo di sostenere il coordinamento dell'azione dei singoli, di promuovere le condizioni quadro atte a favorire lo sviluppo delle capacità e delle attività dei singoli.</w:t>
      </w:r>
    </w:p>
    <w:p w:rsidR="006A6579" w:rsidRDefault="006A6579" w:rsidP="006A6579">
      <w:pPr>
        <w:pStyle w:val="StandardRisoluzionedelConsigliodiStato"/>
      </w:pPr>
    </w:p>
    <w:p w:rsidR="0021231A" w:rsidRDefault="0021231A" w:rsidP="006A6579">
      <w:pPr>
        <w:pStyle w:val="StandardRisoluzionedelConsigliodiStato"/>
      </w:pPr>
      <w:r>
        <w:t>Lo sono l'educazione e la formazione, le infrastrutture, un territorio ordinato, gli incentivi economici mirati, un'amministrazione funzionante, la coesione sociale, la stabilità politica, la sicurezza.</w:t>
      </w:r>
    </w:p>
    <w:p w:rsidR="006A6579" w:rsidRDefault="006A6579" w:rsidP="006A6579">
      <w:pPr>
        <w:pStyle w:val="StandardRisoluzionedelConsigliodiStato"/>
      </w:pPr>
    </w:p>
    <w:p w:rsidR="0021231A" w:rsidRDefault="0021231A" w:rsidP="006A6579">
      <w:pPr>
        <w:pStyle w:val="StandardRisoluzionedelConsigliodiStato"/>
      </w:pPr>
      <w:r>
        <w:t>Per dare seguito a queste premesse favorevoli a una sana e solida struttura economica, per eseguire questi compiti è importante che lo Stato abbia le risorse necessarie.</w:t>
      </w:r>
    </w:p>
    <w:p w:rsidR="0021231A" w:rsidRDefault="0021231A" w:rsidP="006A6579">
      <w:pPr>
        <w:pStyle w:val="StandardRisoluzionedelConsigliodiStato"/>
      </w:pPr>
      <w:r>
        <w:t>Ognuno e in particolare chi beneficia di queste condizioni quadro, deve dunque dare il suo contributo, deve assumersi le sue responsabilità, non può pretendere di ottenerle a sbafo.</w:t>
      </w:r>
    </w:p>
    <w:p w:rsidR="006A6579" w:rsidRDefault="006A6579" w:rsidP="006A6579">
      <w:pPr>
        <w:pStyle w:val="StandardRisoluzionedelConsigliodiStato"/>
      </w:pPr>
    </w:p>
    <w:p w:rsidR="006A6579" w:rsidRDefault="006A6579" w:rsidP="006A6579">
      <w:pPr>
        <w:pStyle w:val="StandardRisoluzionedelConsigliodiStato"/>
      </w:pPr>
    </w:p>
    <w:p w:rsidR="006A6579" w:rsidRDefault="006A6579" w:rsidP="006A6579">
      <w:pPr>
        <w:pStyle w:val="StandardRisoluzionedelConsigliodiStato"/>
      </w:pPr>
    </w:p>
    <w:p w:rsidR="0021231A" w:rsidRPr="006A6579" w:rsidRDefault="006A6579" w:rsidP="006A6579">
      <w:pPr>
        <w:pStyle w:val="Titolo1"/>
        <w:tabs>
          <w:tab w:val="left" w:pos="567"/>
        </w:tabs>
        <w:spacing w:before="0" w:after="120"/>
        <w:ind w:left="567" w:hanging="567"/>
        <w:jc w:val="both"/>
        <w:rPr>
          <w:rFonts w:eastAsia="Calibri" w:cs="Times New Roman"/>
          <w:caps/>
          <w:sz w:val="24"/>
          <w:szCs w:val="24"/>
          <w:lang w:val="it-IT" w:eastAsia="it-IT"/>
        </w:rPr>
      </w:pPr>
      <w:bookmarkStart w:id="8" w:name="_Toc152078526"/>
      <w:r>
        <w:rPr>
          <w:rFonts w:eastAsia="Calibri" w:cs="Times New Roman"/>
          <w:caps/>
          <w:sz w:val="24"/>
          <w:szCs w:val="24"/>
          <w:lang w:val="it-IT" w:eastAsia="it-IT"/>
        </w:rPr>
        <w:t>9.</w:t>
      </w:r>
      <w:r>
        <w:rPr>
          <w:rFonts w:eastAsia="Calibri" w:cs="Times New Roman"/>
          <w:caps/>
          <w:sz w:val="24"/>
          <w:szCs w:val="24"/>
          <w:lang w:val="it-IT" w:eastAsia="it-IT"/>
        </w:rPr>
        <w:tab/>
      </w:r>
      <w:r w:rsidR="0021231A" w:rsidRPr="006A6579">
        <w:rPr>
          <w:rFonts w:eastAsia="Calibri" w:cs="Times New Roman"/>
          <w:caps/>
          <w:sz w:val="24"/>
          <w:szCs w:val="24"/>
          <w:lang w:val="it-IT" w:eastAsia="it-IT"/>
        </w:rPr>
        <w:t>E la progettualità</w:t>
      </w:r>
      <w:bookmarkEnd w:id="8"/>
    </w:p>
    <w:p w:rsidR="0021231A" w:rsidRPr="00C12FE0" w:rsidRDefault="00C12FE0" w:rsidP="006A6579">
      <w:pPr>
        <w:pStyle w:val="StandardRisoluzionedelConsigliodiStato"/>
        <w:ind w:right="-1"/>
        <w:rPr>
          <w:i/>
        </w:rPr>
      </w:pPr>
      <w:r>
        <w:t>«</w:t>
      </w:r>
      <w:r w:rsidR="0021231A" w:rsidRPr="00C12FE0">
        <w:rPr>
          <w:i/>
        </w:rPr>
        <w:t>Il modello economico con cui i promotori di questi sgravi pretendono di capire, descrivere e guidare la realtà economica del Ticino è ridotto alla sola variabile della fiscalità.</w:t>
      </w:r>
    </w:p>
    <w:p w:rsidR="0021231A" w:rsidRPr="00C12FE0" w:rsidRDefault="0021231A" w:rsidP="006A6579">
      <w:pPr>
        <w:pStyle w:val="StandardRisoluzionedelConsigliodiStato"/>
        <w:ind w:right="-1"/>
        <w:rPr>
          <w:i/>
        </w:rPr>
      </w:pPr>
      <w:r w:rsidRPr="00C12FE0">
        <w:rPr>
          <w:i/>
        </w:rPr>
        <w:t>Un'analisi che continua a perpetuare un'economia a rimorchio.</w:t>
      </w:r>
    </w:p>
    <w:p w:rsidR="0021231A" w:rsidRPr="00C12FE0" w:rsidRDefault="0021231A" w:rsidP="006A6579">
      <w:pPr>
        <w:pStyle w:val="StandardRisoluzionedelConsigliodiStato"/>
        <w:ind w:right="-1"/>
        <w:rPr>
          <w:i/>
        </w:rPr>
      </w:pPr>
      <w:r w:rsidRPr="00C12FE0">
        <w:rPr>
          <w:i/>
        </w:rPr>
        <w:t>Ma per promuovere la prosperità, il mantenimento delle prestazioni pubbliche, il sostegno della socialità e il contenimento delle diseguaglianze, la strada è un'altra. Due dovrebbero essere le vie principali da percorrere.</w:t>
      </w:r>
    </w:p>
    <w:p w:rsidR="0021231A" w:rsidRPr="00C12FE0" w:rsidRDefault="0021231A" w:rsidP="006A6579">
      <w:pPr>
        <w:pStyle w:val="StandardRisoluzionedelConsigliodiStato"/>
        <w:ind w:right="-1"/>
        <w:rPr>
          <w:i/>
        </w:rPr>
      </w:pPr>
      <w:r w:rsidRPr="00C12FE0">
        <w:rPr>
          <w:i/>
        </w:rPr>
        <w:t>Da una parte l'individuazione di progetti e di investimenti importanti da sviluppare a media lunga scadenza, che sappiano creare ricchezza e limitare la crescita di nuovi bisogni.</w:t>
      </w:r>
    </w:p>
    <w:p w:rsidR="0021231A" w:rsidRPr="00C12FE0" w:rsidRDefault="0021231A" w:rsidP="006A6579">
      <w:pPr>
        <w:pStyle w:val="StandardRisoluzionedelConsigliodiStato"/>
        <w:ind w:right="-1"/>
        <w:rPr>
          <w:i/>
        </w:rPr>
      </w:pPr>
      <w:r w:rsidRPr="00C12FE0">
        <w:rPr>
          <w:i/>
        </w:rPr>
        <w:t>Progetti che favoriscano le capacità radicate nel territorio, riorientando un sistema socio economico cantonale troppo affidato ai vantaggi di posizione.</w:t>
      </w:r>
    </w:p>
    <w:p w:rsidR="0021231A" w:rsidRPr="00C12FE0" w:rsidRDefault="0021231A" w:rsidP="006A6579">
      <w:pPr>
        <w:pStyle w:val="StandardRisoluzionedelConsigliodiStato"/>
        <w:ind w:right="-1"/>
        <w:rPr>
          <w:i/>
        </w:rPr>
      </w:pPr>
      <w:r w:rsidRPr="00C12FE0">
        <w:rPr>
          <w:i/>
        </w:rPr>
        <w:t>D'altra parte l'esigenza quotidiana e sistematica di utilizzare le risorse disponibili per i veri bisogni, non per i vizi privati dei ricchi.</w:t>
      </w:r>
    </w:p>
    <w:p w:rsidR="0021231A" w:rsidRPr="00C12FE0" w:rsidRDefault="0021231A" w:rsidP="006A6579">
      <w:pPr>
        <w:pStyle w:val="StandardRisoluzionedelConsigliodiStato"/>
        <w:ind w:right="-1"/>
        <w:rPr>
          <w:i/>
        </w:rPr>
      </w:pPr>
      <w:r w:rsidRPr="00C12FE0">
        <w:rPr>
          <w:i/>
        </w:rPr>
        <w:t>Un bisogno che oggi riguarda tutti i Paesi avanzati, lo ha ricordato il Direttore dell'Organizzazione per la cooperazione e lo sviluppo economico OCSE alla fine del 2017: le misure strutturali e di bilancio devono puntare al rafforzamento del potenziale di lungo termine i Paesi dovrebbero attuare riforme in grado di mobilitare il settore privato al servizio della produttività, dell'innalzamento dei salari e di una crescita economica inclusiva.</w:t>
      </w:r>
    </w:p>
    <w:p w:rsidR="0021231A" w:rsidRPr="00C12FE0" w:rsidRDefault="0021231A" w:rsidP="006A6579">
      <w:pPr>
        <w:pStyle w:val="StandardRisoluzionedelConsigliodiStato"/>
        <w:ind w:right="-1"/>
        <w:rPr>
          <w:i/>
        </w:rPr>
      </w:pPr>
      <w:r w:rsidRPr="00C12FE0">
        <w:rPr>
          <w:i/>
        </w:rPr>
        <w:t>Va in ogni caso osservato che prima o dopo questa politica fiscale genererà nuovi tagli di prestazioni pubbliche.</w:t>
      </w:r>
    </w:p>
    <w:p w:rsidR="0021231A" w:rsidRPr="00C12FE0" w:rsidRDefault="0021231A" w:rsidP="006A6579">
      <w:pPr>
        <w:pStyle w:val="StandardRisoluzionedelConsigliodiStato"/>
        <w:ind w:right="-1"/>
        <w:rPr>
          <w:i/>
        </w:rPr>
      </w:pPr>
      <w:r w:rsidRPr="00C12FE0">
        <w:rPr>
          <w:i/>
        </w:rPr>
        <w:t>Pertanto, il saldo tra il beneficio della riduzione delle imposte e la perdita di prestazioni, per la maggior parte della popolazione, ceto medio compreso, sarà negativo.</w:t>
      </w:r>
    </w:p>
    <w:p w:rsidR="0021231A" w:rsidRPr="00C12FE0" w:rsidRDefault="0021231A" w:rsidP="006A6579">
      <w:pPr>
        <w:pStyle w:val="StandardRisoluzionedelConsigliodiStato"/>
        <w:spacing w:after="120"/>
        <w:ind w:right="-1"/>
      </w:pPr>
      <w:r w:rsidRPr="00C12FE0">
        <w:rPr>
          <w:i/>
        </w:rPr>
        <w:t xml:space="preserve">A beneficiarne sarebbero solo </w:t>
      </w:r>
      <w:r w:rsidR="00C12FE0">
        <w:rPr>
          <w:i/>
        </w:rPr>
        <w:t>le fasce di reddito più ricche.</w:t>
      </w:r>
      <w:r w:rsidR="00C12FE0">
        <w:t>»</w:t>
      </w:r>
    </w:p>
    <w:p w:rsidR="0021231A" w:rsidRDefault="0021231A" w:rsidP="00C12FE0">
      <w:pPr>
        <w:pStyle w:val="StandardRisoluzionedelConsigliodiStato"/>
        <w:spacing w:after="120"/>
        <w:ind w:right="-1"/>
      </w:pPr>
      <w:r>
        <w:lastRenderedPageBreak/>
        <w:t>L’estratto di articolo riportato sopra metteva in guardia da una politica di sgravi.</w:t>
      </w:r>
    </w:p>
    <w:p w:rsidR="0021231A" w:rsidRDefault="0021231A" w:rsidP="0021231A">
      <w:pPr>
        <w:pStyle w:val="StandardRisoluzionedelConsigliodiStato"/>
        <w:ind w:right="-1"/>
      </w:pPr>
      <w:r>
        <w:t>Oggi siamo arrivati in una situazione dove i promotori di questa politica si apprestano a votare tagli a servizi e prestazioni, ma non solo hanno messo in ginocchio la capacità progettuale del Cantone di fronte a sfide epocali come i cambiamenti climatici e l’invecchiamento della popolazione</w:t>
      </w:r>
      <w:r w:rsidR="006A6579">
        <w:t>.</w:t>
      </w:r>
    </w:p>
    <w:p w:rsidR="006A6579" w:rsidRDefault="006A6579" w:rsidP="0021231A">
      <w:pPr>
        <w:pStyle w:val="StandardRisoluzionedelConsigliodiStato"/>
        <w:ind w:right="-1"/>
      </w:pPr>
    </w:p>
    <w:p w:rsidR="006A6579" w:rsidRDefault="006A6579" w:rsidP="0021231A">
      <w:pPr>
        <w:pStyle w:val="StandardRisoluzionedelConsigliodiStato"/>
        <w:ind w:right="-1"/>
      </w:pPr>
    </w:p>
    <w:p w:rsidR="006A6579" w:rsidRDefault="006A6579" w:rsidP="0021231A">
      <w:pPr>
        <w:pStyle w:val="StandardRisoluzionedelConsigliodiStato"/>
        <w:ind w:right="-1"/>
      </w:pPr>
    </w:p>
    <w:p w:rsidR="0021231A" w:rsidRPr="006A6579" w:rsidRDefault="006A6579" w:rsidP="006A6579">
      <w:pPr>
        <w:pStyle w:val="Titolo1"/>
        <w:tabs>
          <w:tab w:val="left" w:pos="567"/>
        </w:tabs>
        <w:spacing w:before="0" w:after="120"/>
        <w:ind w:left="567" w:hanging="567"/>
        <w:jc w:val="both"/>
        <w:rPr>
          <w:rFonts w:eastAsia="Calibri" w:cs="Times New Roman"/>
          <w:caps/>
          <w:sz w:val="24"/>
          <w:szCs w:val="24"/>
          <w:lang w:val="it-IT" w:eastAsia="it-IT"/>
        </w:rPr>
      </w:pPr>
      <w:bookmarkStart w:id="9" w:name="_Toc152078527"/>
      <w:r>
        <w:rPr>
          <w:rFonts w:eastAsia="Calibri" w:cs="Times New Roman"/>
          <w:caps/>
          <w:sz w:val="24"/>
          <w:szCs w:val="24"/>
          <w:lang w:val="it-IT" w:eastAsia="it-IT"/>
        </w:rPr>
        <w:t>10.</w:t>
      </w:r>
      <w:r>
        <w:rPr>
          <w:rFonts w:eastAsia="Calibri" w:cs="Times New Roman"/>
          <w:caps/>
          <w:sz w:val="24"/>
          <w:szCs w:val="24"/>
          <w:lang w:val="it-IT" w:eastAsia="it-IT"/>
        </w:rPr>
        <w:tab/>
      </w:r>
      <w:r w:rsidR="0021231A" w:rsidRPr="006A6579">
        <w:rPr>
          <w:rFonts w:eastAsia="Calibri" w:cs="Times New Roman"/>
          <w:caps/>
          <w:sz w:val="24"/>
          <w:szCs w:val="24"/>
          <w:lang w:val="it-IT" w:eastAsia="it-IT"/>
        </w:rPr>
        <w:t>Riduzione dell’aliquota massima sul reddito</w:t>
      </w:r>
      <w:bookmarkEnd w:id="9"/>
    </w:p>
    <w:p w:rsidR="0021231A" w:rsidRDefault="0021231A" w:rsidP="00C12FE0">
      <w:pPr>
        <w:pStyle w:val="StandardRisoluzionedelConsigliodiStato"/>
        <w:spacing w:after="120"/>
        <w:ind w:right="-1"/>
      </w:pPr>
      <w:r>
        <w:t>Come abbiamo visto questa misura è il pendant della riduzione dell’aliquota ai fini dell’imposta sulla sostanza. E questo perché normalmente grandi redditi e grandi fortune vanno a braccetto.</w:t>
      </w:r>
    </w:p>
    <w:p w:rsidR="0021231A" w:rsidRDefault="0021231A" w:rsidP="00C12FE0">
      <w:pPr>
        <w:pStyle w:val="StandardRisoluzionedelConsigliodiStato"/>
        <w:spacing w:after="120"/>
        <w:ind w:right="-1"/>
      </w:pPr>
      <w:r>
        <w:t>Per quanto riguarda le persone fisiche sono le due principali e più costose modifiche della legge tributaria che vanno a favore esclusivamente delle persone particolarmente facoltose avvenute negli ultimi anni.</w:t>
      </w:r>
    </w:p>
    <w:p w:rsidR="0021231A" w:rsidRPr="006A6579" w:rsidRDefault="0021231A" w:rsidP="009F02C3">
      <w:pPr>
        <w:pStyle w:val="StandardRisoluzionedelConsigliodiStato"/>
        <w:spacing w:after="120"/>
        <w:ind w:right="-1"/>
        <w:rPr>
          <w:b/>
        </w:rPr>
      </w:pPr>
      <w:r w:rsidRPr="006A6579">
        <w:rPr>
          <w:b/>
        </w:rPr>
        <w:t>2017</w:t>
      </w:r>
    </w:p>
    <w:p w:rsidR="0021231A" w:rsidRDefault="0021231A" w:rsidP="009F02C3">
      <w:pPr>
        <w:pStyle w:val="StandardRisoluzionedelConsigliodiStato"/>
        <w:spacing w:after="120"/>
        <w:ind w:right="-1"/>
      </w:pPr>
      <w:r>
        <w:t>Riduzione dell’aliquota massima ai fini dell’imposta sulla sostanza dal 3.5 ‰ al 2.5 ‰ (-28.5%)</w:t>
      </w:r>
    </w:p>
    <w:p w:rsidR="0021231A" w:rsidRDefault="0021231A" w:rsidP="009F02C3">
      <w:pPr>
        <w:pStyle w:val="StandardRisoluzionedelConsigliodiStato"/>
        <w:spacing w:after="120"/>
        <w:ind w:right="-1"/>
      </w:pPr>
      <w:r>
        <w:tab/>
      </w:r>
      <w:r w:rsidRPr="009F02C3">
        <w:rPr>
          <w:color w:val="FF0000"/>
        </w:rPr>
        <w:t>Costo per il Cantone 20 milioni</w:t>
      </w:r>
    </w:p>
    <w:p w:rsidR="0021231A" w:rsidRPr="006A6579" w:rsidRDefault="0021231A" w:rsidP="009F02C3">
      <w:pPr>
        <w:pStyle w:val="StandardRisoluzionedelConsigliodiStato"/>
        <w:spacing w:after="120"/>
        <w:ind w:right="-1"/>
        <w:rPr>
          <w:b/>
        </w:rPr>
      </w:pPr>
      <w:r w:rsidRPr="006A6579">
        <w:rPr>
          <w:b/>
        </w:rPr>
        <w:t>2024</w:t>
      </w:r>
    </w:p>
    <w:p w:rsidR="0021231A" w:rsidRDefault="0021231A" w:rsidP="009F02C3">
      <w:pPr>
        <w:pStyle w:val="StandardRisoluzionedelConsigliodiStato"/>
        <w:spacing w:after="120"/>
        <w:ind w:right="-1"/>
      </w:pPr>
      <w:r>
        <w:t>Riduzione dell’aliquota massima ai fini dell’imposta sul reddito dal 15% al 12% (-20%)</w:t>
      </w:r>
    </w:p>
    <w:p w:rsidR="0021231A" w:rsidRPr="009F02C3" w:rsidRDefault="0021231A" w:rsidP="009F02C3">
      <w:pPr>
        <w:pStyle w:val="StandardRisoluzionedelConsigliodiStato"/>
        <w:spacing w:after="120"/>
        <w:ind w:right="-1"/>
        <w:rPr>
          <w:color w:val="FF0000"/>
        </w:rPr>
      </w:pPr>
      <w:r>
        <w:tab/>
      </w:r>
      <w:r w:rsidRPr="009F02C3">
        <w:rPr>
          <w:color w:val="FF0000"/>
        </w:rPr>
        <w:t>Costo per il Cantone 23 milioni</w:t>
      </w:r>
    </w:p>
    <w:p w:rsidR="0021231A" w:rsidRDefault="0021231A" w:rsidP="009F02C3">
      <w:pPr>
        <w:pStyle w:val="StandardRisoluzionedelConsigliodiStato"/>
        <w:spacing w:after="240"/>
        <w:ind w:right="-1"/>
      </w:pPr>
      <w:r>
        <w:t>Sotto alcuni grafici che descrivono il beneficio cumulato reddito e sostanza di queste due modifiche.</w:t>
      </w:r>
    </w:p>
    <w:p w:rsidR="0021231A" w:rsidRDefault="009F02C3" w:rsidP="0021231A">
      <w:pPr>
        <w:pStyle w:val="StandardRisoluzionedelConsigliodiStato"/>
        <w:ind w:right="-1"/>
      </w:pPr>
      <w:r w:rsidRPr="00402322">
        <w:rPr>
          <w:noProof/>
          <w:lang w:eastAsia="it-CH"/>
        </w:rPr>
        <w:drawing>
          <wp:inline distT="0" distB="0" distL="0" distR="0" wp14:anchorId="732FE1E5" wp14:editId="0EFA1331">
            <wp:extent cx="6022975" cy="2539673"/>
            <wp:effectExtent l="0" t="0" r="15875" b="13335"/>
            <wp:docPr id="200595848" name="Grafico 1">
              <a:extLst xmlns:a="http://schemas.openxmlformats.org/drawingml/2006/main">
                <a:ext uri="{FF2B5EF4-FFF2-40B4-BE49-F238E27FC236}">
                  <a16:creationId xmlns:a16="http://schemas.microsoft.com/office/drawing/2014/main" id="{C915ED19-D1B9-4754-E5BE-BD77667F99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F02C3" w:rsidRDefault="009F02C3" w:rsidP="0021231A">
      <w:pPr>
        <w:pStyle w:val="StandardRisoluzionedelConsigliodiStato"/>
        <w:ind w:right="-1"/>
      </w:pPr>
      <w:r w:rsidRPr="00402322">
        <w:rPr>
          <w:noProof/>
          <w:lang w:eastAsia="it-CH"/>
        </w:rPr>
        <w:lastRenderedPageBreak/>
        <w:drawing>
          <wp:inline distT="0" distB="0" distL="0" distR="0" wp14:anchorId="6B47E5C2" wp14:editId="404636CB">
            <wp:extent cx="6022975" cy="2642160"/>
            <wp:effectExtent l="0" t="0" r="15875" b="6350"/>
            <wp:docPr id="2085917630" name="Grafico 1">
              <a:extLst xmlns:a="http://schemas.openxmlformats.org/drawingml/2006/main">
                <a:ext uri="{FF2B5EF4-FFF2-40B4-BE49-F238E27FC236}">
                  <a16:creationId xmlns:a16="http://schemas.microsoft.com/office/drawing/2014/main" id="{77C85BDE-91EB-0A81-20F9-CF66B83306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F02C3" w:rsidRDefault="009F02C3" w:rsidP="0021231A">
      <w:pPr>
        <w:pStyle w:val="StandardRisoluzionedelConsigliodiStato"/>
        <w:ind w:right="-1"/>
      </w:pPr>
    </w:p>
    <w:p w:rsidR="009F02C3" w:rsidRDefault="009F02C3" w:rsidP="0021231A">
      <w:pPr>
        <w:pStyle w:val="StandardRisoluzionedelConsigliodiStato"/>
        <w:ind w:right="-1"/>
      </w:pPr>
      <w:r w:rsidRPr="00402322">
        <w:rPr>
          <w:noProof/>
          <w:lang w:eastAsia="it-CH"/>
        </w:rPr>
        <w:drawing>
          <wp:inline distT="0" distB="0" distL="0" distR="0" wp14:anchorId="084F286D" wp14:editId="5FCE9677">
            <wp:extent cx="6022975" cy="2683405"/>
            <wp:effectExtent l="0" t="0" r="15875" b="3175"/>
            <wp:docPr id="1433696548" name="Grafico 1">
              <a:extLst xmlns:a="http://schemas.openxmlformats.org/drawingml/2006/main">
                <a:ext uri="{FF2B5EF4-FFF2-40B4-BE49-F238E27FC236}">
                  <a16:creationId xmlns:a16="http://schemas.microsoft.com/office/drawing/2014/main" id="{9106C639-3E0F-A950-CBC8-FFB93E478D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F02C3" w:rsidRDefault="009F02C3" w:rsidP="0021231A">
      <w:pPr>
        <w:pStyle w:val="StandardRisoluzionedelConsigliodiStato"/>
        <w:ind w:right="-1"/>
      </w:pPr>
    </w:p>
    <w:p w:rsidR="009F02C3" w:rsidRDefault="009F02C3">
      <w:pPr>
        <w:rPr>
          <w:sz w:val="24"/>
        </w:rPr>
      </w:pPr>
      <w:r>
        <w:br w:type="page"/>
      </w:r>
    </w:p>
    <w:p w:rsidR="0021231A" w:rsidRDefault="0021231A" w:rsidP="009F02C3">
      <w:pPr>
        <w:pStyle w:val="StandardRisoluzionedelConsigliodiStato"/>
        <w:spacing w:after="120"/>
        <w:ind w:right="-1"/>
      </w:pPr>
      <w:r>
        <w:lastRenderedPageBreak/>
        <w:t>Nelle immagini che seguono faremo alcuni esempi di nuclei famigliari con i benefici che traggono da queste due modifiche di Legge.</w:t>
      </w:r>
    </w:p>
    <w:p w:rsidR="0021231A" w:rsidRDefault="0021231A" w:rsidP="009F02C3">
      <w:pPr>
        <w:pStyle w:val="StandardRisoluzionedelConsigliodiStato"/>
        <w:spacing w:after="120"/>
        <w:ind w:right="-1"/>
      </w:pPr>
      <w:r>
        <w:t>Gli esempi si riferiscono a realtà diffuse sul nostro territorio.</w:t>
      </w:r>
    </w:p>
    <w:p w:rsidR="0021231A" w:rsidRDefault="0021231A" w:rsidP="009F02C3">
      <w:pPr>
        <w:pStyle w:val="StandardRisoluzionedelConsigliodiStato"/>
        <w:numPr>
          <w:ilvl w:val="0"/>
          <w:numId w:val="18"/>
        </w:numPr>
        <w:ind w:right="-1"/>
      </w:pPr>
      <w:r w:rsidRPr="009F02C3">
        <w:rPr>
          <w:b/>
        </w:rPr>
        <w:t>Famiglia o persona anziana pensionata del ceto medio basso in affitto</w:t>
      </w:r>
      <w:r>
        <w:t>.</w:t>
      </w:r>
    </w:p>
    <w:p w:rsidR="0021231A" w:rsidRDefault="009F02C3" w:rsidP="0021231A">
      <w:pPr>
        <w:pStyle w:val="StandardRisoluzionedelConsigliodiStato"/>
        <w:ind w:right="-1"/>
      </w:pPr>
      <w:r w:rsidRPr="00271C9E">
        <w:rPr>
          <w:noProof/>
          <w:lang w:eastAsia="it-CH"/>
        </w:rPr>
        <w:drawing>
          <wp:anchor distT="0" distB="0" distL="114300" distR="114300" simplePos="0" relativeHeight="251659264" behindDoc="0" locked="0" layoutInCell="1" allowOverlap="1" wp14:anchorId="51F0F35F" wp14:editId="23B568AB">
            <wp:simplePos x="0" y="0"/>
            <wp:positionH relativeFrom="column">
              <wp:posOffset>0</wp:posOffset>
            </wp:positionH>
            <wp:positionV relativeFrom="paragraph">
              <wp:posOffset>36195</wp:posOffset>
            </wp:positionV>
            <wp:extent cx="5658640" cy="2124371"/>
            <wp:effectExtent l="0" t="0" r="0" b="9525"/>
            <wp:wrapSquare wrapText="bothSides"/>
            <wp:docPr id="152734749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347496" name=""/>
                    <pic:cNvPicPr/>
                  </pic:nvPicPr>
                  <pic:blipFill>
                    <a:blip r:embed="rId17">
                      <a:extLst>
                        <a:ext uri="{28A0092B-C50C-407E-A947-70E740481C1C}">
                          <a14:useLocalDpi xmlns:a14="http://schemas.microsoft.com/office/drawing/2010/main" val="0"/>
                        </a:ext>
                      </a:extLst>
                    </a:blip>
                    <a:stretch>
                      <a:fillRect/>
                    </a:stretch>
                  </pic:blipFill>
                  <pic:spPr>
                    <a:xfrm>
                      <a:off x="0" y="0"/>
                      <a:ext cx="5658640" cy="2124371"/>
                    </a:xfrm>
                    <a:prstGeom prst="rect">
                      <a:avLst/>
                    </a:prstGeom>
                  </pic:spPr>
                </pic:pic>
              </a:graphicData>
            </a:graphic>
          </wp:anchor>
        </w:drawing>
      </w:r>
    </w:p>
    <w:p w:rsidR="0021231A" w:rsidRDefault="0021231A" w:rsidP="0021231A">
      <w:pPr>
        <w:pStyle w:val="StandardRisoluzionedelConsigliodiStato"/>
        <w:ind w:right="-1"/>
      </w:pPr>
    </w:p>
    <w:p w:rsidR="0021231A" w:rsidRDefault="0021231A" w:rsidP="0021231A">
      <w:pPr>
        <w:pStyle w:val="StandardRisoluzionedelConsigliodiStato"/>
        <w:ind w:right="-1"/>
      </w:pPr>
    </w:p>
    <w:p w:rsidR="0021231A" w:rsidRPr="009F02C3" w:rsidRDefault="0021231A" w:rsidP="009F02C3">
      <w:pPr>
        <w:pStyle w:val="StandardRisoluzionedelConsigliodiStato"/>
        <w:numPr>
          <w:ilvl w:val="0"/>
          <w:numId w:val="18"/>
        </w:numPr>
        <w:ind w:right="-1"/>
        <w:rPr>
          <w:b/>
        </w:rPr>
      </w:pPr>
      <w:r w:rsidRPr="009F02C3">
        <w:rPr>
          <w:b/>
        </w:rPr>
        <w:t>Famiglia del ceto medio con abitazione primaria</w:t>
      </w:r>
    </w:p>
    <w:p w:rsidR="0021231A" w:rsidRDefault="0021231A" w:rsidP="0021231A">
      <w:pPr>
        <w:pStyle w:val="StandardRisoluzionedelConsigliodiStato"/>
        <w:ind w:right="-1"/>
      </w:pPr>
      <w:r w:rsidRPr="009F02C3">
        <w:rPr>
          <w:b/>
        </w:rPr>
        <w:t xml:space="preserve"> </w:t>
      </w:r>
      <w:r w:rsidR="009F02C3" w:rsidRPr="00271C9E">
        <w:rPr>
          <w:noProof/>
          <w:lang w:eastAsia="it-CH"/>
        </w:rPr>
        <w:drawing>
          <wp:inline distT="0" distB="0" distL="0" distR="0" wp14:anchorId="2006BC6A" wp14:editId="3D76E6C8">
            <wp:extent cx="5658640" cy="2200582"/>
            <wp:effectExtent l="0" t="0" r="0" b="9525"/>
            <wp:docPr id="60161838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618381" name=""/>
                    <pic:cNvPicPr/>
                  </pic:nvPicPr>
                  <pic:blipFill>
                    <a:blip r:embed="rId18"/>
                    <a:stretch>
                      <a:fillRect/>
                    </a:stretch>
                  </pic:blipFill>
                  <pic:spPr>
                    <a:xfrm>
                      <a:off x="0" y="0"/>
                      <a:ext cx="5658640" cy="2200582"/>
                    </a:xfrm>
                    <a:prstGeom prst="rect">
                      <a:avLst/>
                    </a:prstGeom>
                  </pic:spPr>
                </pic:pic>
              </a:graphicData>
            </a:graphic>
          </wp:inline>
        </w:drawing>
      </w:r>
    </w:p>
    <w:p w:rsidR="0021231A" w:rsidRPr="009F02C3" w:rsidRDefault="0021231A" w:rsidP="009F02C3">
      <w:pPr>
        <w:pStyle w:val="StandardRisoluzionedelConsigliodiStato"/>
        <w:numPr>
          <w:ilvl w:val="0"/>
          <w:numId w:val="18"/>
        </w:numPr>
        <w:ind w:right="-1"/>
        <w:rPr>
          <w:b/>
        </w:rPr>
      </w:pPr>
      <w:r w:rsidRPr="009F02C3">
        <w:rPr>
          <w:b/>
        </w:rPr>
        <w:t>Famiglia del ceto medio alto con abitazione primaria</w:t>
      </w:r>
    </w:p>
    <w:p w:rsidR="0021231A" w:rsidRDefault="009F02C3" w:rsidP="0021231A">
      <w:pPr>
        <w:pStyle w:val="StandardRisoluzionedelConsigliodiStato"/>
        <w:ind w:right="-1"/>
      </w:pPr>
      <w:r w:rsidRPr="00271C9E">
        <w:rPr>
          <w:noProof/>
          <w:lang w:eastAsia="it-CH"/>
        </w:rPr>
        <w:drawing>
          <wp:inline distT="0" distB="0" distL="0" distR="0" wp14:anchorId="06EBC515" wp14:editId="1DF46636">
            <wp:extent cx="5820587" cy="2314898"/>
            <wp:effectExtent l="0" t="0" r="8890" b="9525"/>
            <wp:docPr id="15156047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0476" name=""/>
                    <pic:cNvPicPr/>
                  </pic:nvPicPr>
                  <pic:blipFill>
                    <a:blip r:embed="rId19"/>
                    <a:stretch>
                      <a:fillRect/>
                    </a:stretch>
                  </pic:blipFill>
                  <pic:spPr>
                    <a:xfrm>
                      <a:off x="0" y="0"/>
                      <a:ext cx="5820587" cy="2314898"/>
                    </a:xfrm>
                    <a:prstGeom prst="rect">
                      <a:avLst/>
                    </a:prstGeom>
                  </pic:spPr>
                </pic:pic>
              </a:graphicData>
            </a:graphic>
          </wp:inline>
        </w:drawing>
      </w:r>
    </w:p>
    <w:p w:rsidR="0021231A" w:rsidRDefault="0021231A" w:rsidP="0021231A">
      <w:pPr>
        <w:pStyle w:val="StandardRisoluzionedelConsigliodiStato"/>
        <w:ind w:right="-1"/>
      </w:pPr>
    </w:p>
    <w:p w:rsidR="009F02C3" w:rsidRDefault="009F02C3">
      <w:pPr>
        <w:rPr>
          <w:sz w:val="24"/>
        </w:rPr>
      </w:pPr>
      <w:r>
        <w:br w:type="page"/>
      </w:r>
    </w:p>
    <w:p w:rsidR="0021231A" w:rsidRPr="009F02C3" w:rsidRDefault="0021231A" w:rsidP="0021231A">
      <w:pPr>
        <w:pStyle w:val="StandardRisoluzionedelConsigliodiStato"/>
        <w:ind w:right="-1"/>
        <w:rPr>
          <w:b/>
        </w:rPr>
      </w:pPr>
      <w:r w:rsidRPr="009F02C3">
        <w:rPr>
          <w:b/>
        </w:rPr>
        <w:lastRenderedPageBreak/>
        <w:t>Famiglie facoltose e particolarmente facoltose</w:t>
      </w:r>
    </w:p>
    <w:p w:rsidR="0021231A" w:rsidRDefault="009F02C3" w:rsidP="0021231A">
      <w:pPr>
        <w:pStyle w:val="StandardRisoluzionedelConsigliodiStato"/>
        <w:ind w:right="-1"/>
      </w:pPr>
      <w:r w:rsidRPr="00252A6A">
        <w:rPr>
          <w:noProof/>
          <w:lang w:eastAsia="it-CH"/>
        </w:rPr>
        <w:drawing>
          <wp:inline distT="0" distB="0" distL="0" distR="0" wp14:anchorId="6B991B95" wp14:editId="6BC40C8D">
            <wp:extent cx="5544324" cy="2324424"/>
            <wp:effectExtent l="0" t="0" r="0" b="0"/>
            <wp:docPr id="182005015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050157" name=""/>
                    <pic:cNvPicPr/>
                  </pic:nvPicPr>
                  <pic:blipFill>
                    <a:blip r:embed="rId20"/>
                    <a:stretch>
                      <a:fillRect/>
                    </a:stretch>
                  </pic:blipFill>
                  <pic:spPr>
                    <a:xfrm>
                      <a:off x="0" y="0"/>
                      <a:ext cx="5544324" cy="2324424"/>
                    </a:xfrm>
                    <a:prstGeom prst="rect">
                      <a:avLst/>
                    </a:prstGeom>
                  </pic:spPr>
                </pic:pic>
              </a:graphicData>
            </a:graphic>
          </wp:inline>
        </w:drawing>
      </w:r>
      <w:r w:rsidR="0021231A">
        <w:t xml:space="preserve"> </w:t>
      </w:r>
    </w:p>
    <w:p w:rsidR="009F02C3" w:rsidRDefault="009F02C3" w:rsidP="0021231A">
      <w:pPr>
        <w:pStyle w:val="StandardRisoluzionedelConsigliodiStato"/>
        <w:ind w:right="-1"/>
      </w:pPr>
      <w:r w:rsidRPr="00252A6A">
        <w:rPr>
          <w:noProof/>
          <w:lang w:eastAsia="it-CH"/>
        </w:rPr>
        <w:drawing>
          <wp:inline distT="0" distB="0" distL="0" distR="0" wp14:anchorId="4B556061" wp14:editId="255F5403">
            <wp:extent cx="5906324" cy="2029108"/>
            <wp:effectExtent l="0" t="0" r="0" b="9525"/>
            <wp:docPr id="184401541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015415" name=""/>
                    <pic:cNvPicPr/>
                  </pic:nvPicPr>
                  <pic:blipFill>
                    <a:blip r:embed="rId21"/>
                    <a:stretch>
                      <a:fillRect/>
                    </a:stretch>
                  </pic:blipFill>
                  <pic:spPr>
                    <a:xfrm>
                      <a:off x="0" y="0"/>
                      <a:ext cx="5906324" cy="2029108"/>
                    </a:xfrm>
                    <a:prstGeom prst="rect">
                      <a:avLst/>
                    </a:prstGeom>
                  </pic:spPr>
                </pic:pic>
              </a:graphicData>
            </a:graphic>
          </wp:inline>
        </w:drawing>
      </w:r>
    </w:p>
    <w:p w:rsidR="0021231A" w:rsidRDefault="0021231A" w:rsidP="0021231A">
      <w:pPr>
        <w:pStyle w:val="StandardRisoluzionedelConsigliodiStato"/>
        <w:ind w:right="-1"/>
        <w:rPr>
          <w:color w:val="FF0000"/>
        </w:rPr>
      </w:pPr>
      <w:r w:rsidRPr="009F02C3">
        <w:rPr>
          <w:color w:val="FF0000"/>
        </w:rPr>
        <w:t>Con questo rapporto bocciamo la riduzione dell’aliquota massima sul reddito.</w:t>
      </w:r>
    </w:p>
    <w:p w:rsidR="00DD1A86" w:rsidRDefault="00DD1A86" w:rsidP="0021231A">
      <w:pPr>
        <w:pStyle w:val="StandardRisoluzionedelConsigliodiStato"/>
        <w:ind w:right="-1"/>
        <w:rPr>
          <w:color w:val="FF0000"/>
        </w:rPr>
      </w:pPr>
    </w:p>
    <w:p w:rsidR="00DD1A86" w:rsidRPr="009F02C3" w:rsidRDefault="00DD1A86" w:rsidP="0021231A">
      <w:pPr>
        <w:pStyle w:val="StandardRisoluzionedelConsigliodiStato"/>
        <w:ind w:right="-1"/>
        <w:rPr>
          <w:color w:val="FF0000"/>
        </w:rPr>
      </w:pPr>
    </w:p>
    <w:p w:rsidR="0021231A" w:rsidRPr="00DD1A86" w:rsidRDefault="00DD1A86" w:rsidP="00DD1A86">
      <w:pPr>
        <w:pStyle w:val="Titolo1"/>
        <w:tabs>
          <w:tab w:val="left" w:pos="567"/>
        </w:tabs>
        <w:spacing w:before="0" w:after="120"/>
        <w:ind w:left="567" w:hanging="567"/>
        <w:jc w:val="both"/>
        <w:rPr>
          <w:rFonts w:eastAsia="Calibri" w:cs="Times New Roman"/>
          <w:caps/>
          <w:sz w:val="24"/>
          <w:szCs w:val="24"/>
          <w:lang w:val="it-IT" w:eastAsia="it-IT"/>
        </w:rPr>
      </w:pPr>
      <w:bookmarkStart w:id="10" w:name="_Toc152078528"/>
      <w:r>
        <w:rPr>
          <w:rFonts w:eastAsia="Calibri" w:cs="Times New Roman"/>
          <w:caps/>
          <w:sz w:val="24"/>
          <w:szCs w:val="24"/>
          <w:lang w:val="it-IT" w:eastAsia="it-IT"/>
        </w:rPr>
        <w:t>11.</w:t>
      </w:r>
      <w:r>
        <w:rPr>
          <w:rFonts w:eastAsia="Calibri" w:cs="Times New Roman"/>
          <w:caps/>
          <w:sz w:val="24"/>
          <w:szCs w:val="24"/>
          <w:lang w:val="it-IT" w:eastAsia="it-IT"/>
        </w:rPr>
        <w:tab/>
      </w:r>
      <w:r w:rsidR="0021231A" w:rsidRPr="00DD1A86">
        <w:rPr>
          <w:rFonts w:eastAsia="Calibri" w:cs="Times New Roman"/>
          <w:caps/>
          <w:sz w:val="24"/>
          <w:szCs w:val="24"/>
          <w:lang w:val="it-IT" w:eastAsia="it-IT"/>
        </w:rPr>
        <w:t>Aumento della deduzione forfettaria per spese professionali</w:t>
      </w:r>
      <w:bookmarkEnd w:id="10"/>
    </w:p>
    <w:p w:rsidR="0021231A" w:rsidRDefault="0021231A" w:rsidP="009F02C3">
      <w:pPr>
        <w:pStyle w:val="StandardRisoluzionedelConsigliodiStato"/>
        <w:spacing w:after="120"/>
        <w:ind w:right="-1"/>
      </w:pPr>
      <w:r>
        <w:t>Anche l’aumento della deduzione forfettaria per le spese professionali, che di fatto potrebbe essere condivisibile, inserisce purtroppo un elemento a favore dei redditi alti.</w:t>
      </w:r>
    </w:p>
    <w:p w:rsidR="0021231A" w:rsidRDefault="0021231A" w:rsidP="009F02C3">
      <w:pPr>
        <w:pStyle w:val="StandardRisoluzionedelConsigliodiStato"/>
        <w:spacing w:after="120"/>
        <w:ind w:right="-1"/>
      </w:pPr>
      <w:r>
        <w:t>Infatti oltre ad essere, come ogni deduzione, già di per sé automaticamente a favore dei redditi maggiori (visto la progressione dell’aliquota), in questo caso si introduce un elemento aggiuntivo rendendola progressiva in base al reddito.</w:t>
      </w:r>
    </w:p>
    <w:p w:rsidR="0021231A" w:rsidRDefault="0021231A" w:rsidP="009F02C3">
      <w:pPr>
        <w:pStyle w:val="StandardRisoluzionedelConsigliodiStato"/>
        <w:spacing w:after="120"/>
        <w:ind w:right="-1"/>
      </w:pPr>
      <w:r>
        <w:t>Il costo di questa modifica è di 9 milioni per il Cantone.</w:t>
      </w:r>
    </w:p>
    <w:p w:rsidR="0021231A" w:rsidRDefault="0021231A" w:rsidP="0021231A">
      <w:pPr>
        <w:pStyle w:val="StandardRisoluzionedelConsigliodiStato"/>
        <w:ind w:right="-1"/>
        <w:rPr>
          <w:color w:val="FF0000"/>
        </w:rPr>
      </w:pPr>
      <w:r w:rsidRPr="009F02C3">
        <w:rPr>
          <w:color w:val="FF0000"/>
        </w:rPr>
        <w:t>La nostra controproposta è un forfait massimo per spese professionali uguale per tutti pari a 3’000 franchi. Il costo per il Cantone è di 4.7 milioni.</w:t>
      </w:r>
    </w:p>
    <w:p w:rsidR="00DD1A86" w:rsidRDefault="00DD1A86" w:rsidP="0021231A">
      <w:pPr>
        <w:pStyle w:val="StandardRisoluzionedelConsigliodiStato"/>
        <w:ind w:right="-1"/>
        <w:rPr>
          <w:color w:val="FF0000"/>
        </w:rPr>
      </w:pPr>
    </w:p>
    <w:p w:rsidR="00DD1A86" w:rsidRPr="009F02C3" w:rsidRDefault="00DD1A86" w:rsidP="0021231A">
      <w:pPr>
        <w:pStyle w:val="StandardRisoluzionedelConsigliodiStato"/>
        <w:ind w:right="-1"/>
        <w:rPr>
          <w:color w:val="FF0000"/>
        </w:rPr>
      </w:pPr>
    </w:p>
    <w:p w:rsidR="0021231A" w:rsidRPr="00DD1A86" w:rsidRDefault="00DD1A86" w:rsidP="00DD1A86">
      <w:pPr>
        <w:pStyle w:val="Titolo1"/>
        <w:tabs>
          <w:tab w:val="left" w:pos="567"/>
        </w:tabs>
        <w:spacing w:before="0" w:after="120"/>
        <w:ind w:left="567" w:hanging="567"/>
        <w:jc w:val="both"/>
        <w:rPr>
          <w:rFonts w:eastAsia="Calibri" w:cs="Times New Roman"/>
          <w:caps/>
          <w:sz w:val="24"/>
          <w:szCs w:val="24"/>
          <w:lang w:val="it-IT" w:eastAsia="it-IT"/>
        </w:rPr>
      </w:pPr>
      <w:bookmarkStart w:id="11" w:name="_Toc152078529"/>
      <w:r>
        <w:rPr>
          <w:rFonts w:eastAsia="Calibri" w:cs="Times New Roman"/>
          <w:caps/>
          <w:sz w:val="24"/>
          <w:szCs w:val="24"/>
          <w:lang w:val="it-IT" w:eastAsia="it-IT"/>
        </w:rPr>
        <w:t>12.</w:t>
      </w:r>
      <w:r>
        <w:rPr>
          <w:rFonts w:eastAsia="Calibri" w:cs="Times New Roman"/>
          <w:caps/>
          <w:sz w:val="24"/>
          <w:szCs w:val="24"/>
          <w:lang w:val="it-IT" w:eastAsia="it-IT"/>
        </w:rPr>
        <w:tab/>
      </w:r>
      <w:r w:rsidR="0021231A" w:rsidRPr="00DD1A86">
        <w:rPr>
          <w:rFonts w:eastAsia="Calibri" w:cs="Times New Roman"/>
          <w:caps/>
          <w:sz w:val="24"/>
          <w:szCs w:val="24"/>
          <w:lang w:val="it-IT" w:eastAsia="it-IT"/>
        </w:rPr>
        <w:t>Imposizione delle prestazioni in capitale</w:t>
      </w:r>
      <w:bookmarkEnd w:id="11"/>
    </w:p>
    <w:p w:rsidR="0021231A" w:rsidRDefault="0021231A" w:rsidP="009F02C3">
      <w:pPr>
        <w:pStyle w:val="StandardRisoluzionedelConsigliodiStato"/>
        <w:spacing w:after="120"/>
        <w:ind w:right="-1"/>
      </w:pPr>
      <w:r>
        <w:t>Anche se meno costosa delle precedenti questa modifica della Legge tributaria è altrettanto ingiusta.</w:t>
      </w:r>
    </w:p>
    <w:p w:rsidR="0021231A" w:rsidRDefault="009F02C3" w:rsidP="009F02C3">
      <w:pPr>
        <w:pStyle w:val="StandardRisoluzionedelConsigliodiStato"/>
        <w:spacing w:after="120"/>
        <w:ind w:right="-1"/>
      </w:pPr>
      <w:r>
        <w:t>L’ob</w:t>
      </w:r>
      <w:r w:rsidR="0021231A">
        <w:t>iettivo è evitare che contribuenti con grandi capitali previdenziali cambino domicilio se decidono di prelevare il capitale previdenziale.</w:t>
      </w:r>
    </w:p>
    <w:p w:rsidR="0021231A" w:rsidRDefault="0021231A" w:rsidP="009F02C3">
      <w:pPr>
        <w:pStyle w:val="StandardRisoluzionedelConsigliodiStato"/>
        <w:spacing w:after="120"/>
        <w:ind w:right="-1"/>
      </w:pPr>
      <w:r>
        <w:lastRenderedPageBreak/>
        <w:t>Per convincerci della bontà di questa misura viene fatto l’esempio di Lumino, molto vicino al Canton grigioni, che ha aliquote inferiori rispetto al nostro Cantone.</w:t>
      </w:r>
    </w:p>
    <w:p w:rsidR="0021231A" w:rsidRDefault="0021231A" w:rsidP="009F02C3">
      <w:pPr>
        <w:pStyle w:val="StandardRisoluzionedelConsigliodiStato"/>
        <w:spacing w:after="120"/>
        <w:ind w:right="-1"/>
      </w:pPr>
      <w:r>
        <w:t>A titolo esemplificativo, basti pensare che il prelievo fiscale su un capitale previdenziale di 2.5 milioni di franchi di un contribuente non coniugato domiciliato a Lumino (TI) ammonta a 522’531 franchi, mentre nel Comune limitrofo di San Vittore (GR) solo a 145’000 franchi. Spostando il domicilio di pochi passi, il risparmio ammonta a 377’531 franchi (-72%).</w:t>
      </w:r>
    </w:p>
    <w:p w:rsidR="0021231A" w:rsidRDefault="0021231A" w:rsidP="009F02C3">
      <w:pPr>
        <w:pStyle w:val="StandardRisoluzionedelConsigliodiStato"/>
        <w:spacing w:after="120"/>
        <w:ind w:right="-1"/>
        <w:rPr>
          <w:color w:val="FF0000"/>
        </w:rPr>
      </w:pPr>
      <w:r w:rsidRPr="009F02C3">
        <w:rPr>
          <w:color w:val="FF0000"/>
        </w:rPr>
        <w:t>A titolo di compromesso e visto che verosimilmente, essendo un problema reale, il costo finale per il Cantone sarà zero abbiamo deciso di approvare questa modifica.</w:t>
      </w:r>
    </w:p>
    <w:p w:rsidR="00DD1A86" w:rsidRPr="009F02C3" w:rsidRDefault="00DD1A86" w:rsidP="009F02C3">
      <w:pPr>
        <w:pStyle w:val="StandardRisoluzionedelConsigliodiStato"/>
        <w:spacing w:after="120"/>
        <w:ind w:right="-1"/>
        <w:rPr>
          <w:color w:val="FF0000"/>
        </w:rPr>
      </w:pPr>
    </w:p>
    <w:p w:rsidR="0021231A" w:rsidRPr="00DD1A86" w:rsidRDefault="00DD1A86" w:rsidP="00DD1A86">
      <w:pPr>
        <w:pStyle w:val="Titolo1"/>
        <w:tabs>
          <w:tab w:val="left" w:pos="567"/>
        </w:tabs>
        <w:spacing w:before="0" w:after="120"/>
        <w:ind w:left="567" w:hanging="567"/>
        <w:jc w:val="both"/>
        <w:rPr>
          <w:rFonts w:eastAsia="Calibri" w:cs="Times New Roman"/>
          <w:caps/>
          <w:sz w:val="24"/>
          <w:szCs w:val="24"/>
          <w:lang w:val="it-IT" w:eastAsia="it-IT"/>
        </w:rPr>
      </w:pPr>
      <w:bookmarkStart w:id="12" w:name="_Toc152078530"/>
      <w:r>
        <w:rPr>
          <w:rFonts w:eastAsia="Calibri" w:cs="Times New Roman"/>
          <w:caps/>
          <w:sz w:val="24"/>
          <w:szCs w:val="24"/>
          <w:lang w:val="it-IT" w:eastAsia="it-IT"/>
        </w:rPr>
        <w:t>13.</w:t>
      </w:r>
      <w:r>
        <w:rPr>
          <w:rFonts w:eastAsia="Calibri" w:cs="Times New Roman"/>
          <w:caps/>
          <w:sz w:val="24"/>
          <w:szCs w:val="24"/>
          <w:lang w:val="it-IT" w:eastAsia="it-IT"/>
        </w:rPr>
        <w:tab/>
      </w:r>
      <w:r w:rsidR="0021231A" w:rsidRPr="00DD1A86">
        <w:rPr>
          <w:rFonts w:eastAsia="Calibri" w:cs="Times New Roman"/>
          <w:caps/>
          <w:sz w:val="24"/>
          <w:szCs w:val="24"/>
          <w:lang w:val="it-IT" w:eastAsia="it-IT"/>
        </w:rPr>
        <w:t>Imposte di donazione e successione</w:t>
      </w:r>
      <w:bookmarkEnd w:id="12"/>
    </w:p>
    <w:p w:rsidR="0021231A" w:rsidRDefault="0021231A" w:rsidP="009F02C3">
      <w:pPr>
        <w:pStyle w:val="StandardRisoluzionedelConsigliodiStato"/>
        <w:spacing w:after="120"/>
        <w:ind w:right="-1"/>
      </w:pPr>
      <w:r>
        <w:t>La modifica dei criteri e delle aliquote ai fini dell’imposta di successione considerati i cambiamenti avvenuti nel corso degli anni nella società è condivisibile.</w:t>
      </w:r>
    </w:p>
    <w:p w:rsidR="0021231A" w:rsidRDefault="0021231A" w:rsidP="009F02C3">
      <w:pPr>
        <w:pStyle w:val="StandardRisoluzionedelConsigliodiStato"/>
        <w:spacing w:after="120"/>
        <w:ind w:right="-1"/>
      </w:pPr>
      <w:r>
        <w:t>Purtroppo anche qui, prendendo questo alibi, il Consiglio di Stato si spinge oltre il necessario riducendo le aliquote in maniera ingiustificata per il grado di parentela 4 che dal 41% passa al 35%.</w:t>
      </w:r>
    </w:p>
    <w:p w:rsidR="0021231A" w:rsidRDefault="0021231A" w:rsidP="009F02C3">
      <w:pPr>
        <w:pStyle w:val="StandardRisoluzionedelConsigliodiStato"/>
        <w:spacing w:after="120"/>
        <w:ind w:right="-1"/>
        <w:rPr>
          <w:color w:val="FF0000"/>
        </w:rPr>
      </w:pPr>
      <w:r w:rsidRPr="009F02C3">
        <w:rPr>
          <w:color w:val="FF0000"/>
        </w:rPr>
        <w:t>La nostra controproposta è di mantenere l’aliquota per grado di parentela 4 al 41%. Il costo per le finanze cantonali è di 1.9 milioni.</w:t>
      </w:r>
    </w:p>
    <w:p w:rsidR="00DD1A86" w:rsidRPr="009F02C3" w:rsidRDefault="00DD1A86" w:rsidP="009F02C3">
      <w:pPr>
        <w:pStyle w:val="StandardRisoluzionedelConsigliodiStato"/>
        <w:spacing w:after="120"/>
        <w:ind w:right="-1"/>
        <w:rPr>
          <w:color w:val="FF0000"/>
        </w:rPr>
      </w:pPr>
    </w:p>
    <w:p w:rsidR="0021231A" w:rsidRPr="00DD1A86" w:rsidRDefault="00DD1A86" w:rsidP="00DD1A86">
      <w:pPr>
        <w:pStyle w:val="Titolo1"/>
        <w:tabs>
          <w:tab w:val="left" w:pos="567"/>
        </w:tabs>
        <w:spacing w:before="0" w:after="120"/>
        <w:ind w:left="567" w:hanging="567"/>
        <w:jc w:val="both"/>
        <w:rPr>
          <w:rFonts w:eastAsia="Calibri" w:cs="Times New Roman"/>
          <w:caps/>
          <w:sz w:val="24"/>
          <w:szCs w:val="24"/>
          <w:lang w:val="it-IT" w:eastAsia="it-IT"/>
        </w:rPr>
      </w:pPr>
      <w:bookmarkStart w:id="13" w:name="_Toc152078531"/>
      <w:r>
        <w:rPr>
          <w:rFonts w:eastAsia="Calibri" w:cs="Times New Roman"/>
          <w:caps/>
          <w:sz w:val="24"/>
          <w:szCs w:val="24"/>
          <w:lang w:val="it-IT" w:eastAsia="it-IT"/>
        </w:rPr>
        <w:t>14.</w:t>
      </w:r>
      <w:r>
        <w:rPr>
          <w:rFonts w:eastAsia="Calibri" w:cs="Times New Roman"/>
          <w:caps/>
          <w:sz w:val="24"/>
          <w:szCs w:val="24"/>
          <w:lang w:val="it-IT" w:eastAsia="it-IT"/>
        </w:rPr>
        <w:tab/>
      </w:r>
      <w:r w:rsidR="0021231A" w:rsidRPr="00DD1A86">
        <w:rPr>
          <w:rFonts w:eastAsia="Calibri" w:cs="Times New Roman"/>
          <w:caps/>
          <w:sz w:val="24"/>
          <w:szCs w:val="24"/>
          <w:lang w:val="it-IT" w:eastAsia="it-IT"/>
        </w:rPr>
        <w:t>Il rapporto di maggioranza</w:t>
      </w:r>
      <w:bookmarkEnd w:id="13"/>
    </w:p>
    <w:p w:rsidR="0021231A" w:rsidRDefault="0021231A" w:rsidP="009F02C3">
      <w:pPr>
        <w:pStyle w:val="StandardRisoluzionedelConsigliodiStato"/>
        <w:spacing w:after="120"/>
        <w:ind w:right="-1"/>
      </w:pPr>
      <w:r>
        <w:t>Il rapporto di maggioranza mantiene la riduzione dell’aliquota massima sul reddito introducendola sull’arco di 6 anni.</w:t>
      </w:r>
    </w:p>
    <w:p w:rsidR="0021231A" w:rsidRDefault="0021231A" w:rsidP="009F02C3">
      <w:pPr>
        <w:pStyle w:val="StandardRisoluzionedelConsigliodiStato"/>
        <w:spacing w:after="120"/>
        <w:ind w:right="-1"/>
      </w:pPr>
      <w:r>
        <w:t>Per quanto riguarda le spese professionali le aumenta a 3'500 franchi partendo da 3'000 nel 2024 per poi andare a 3'600 nel 2026.</w:t>
      </w:r>
    </w:p>
    <w:p w:rsidR="0021231A" w:rsidRDefault="0021231A" w:rsidP="009F02C3">
      <w:pPr>
        <w:pStyle w:val="StandardRisoluzionedelConsigliodiStato"/>
        <w:spacing w:after="120"/>
        <w:ind w:right="-1"/>
      </w:pPr>
      <w:r>
        <w:t>Mantiene identica la modifica sulle imposte di successione e donazione e mantiene identica la modifica per quanto riguarda il prelievo sul capitale.</w:t>
      </w:r>
    </w:p>
    <w:p w:rsidR="0021231A" w:rsidRDefault="0021231A" w:rsidP="009F02C3">
      <w:pPr>
        <w:pStyle w:val="StandardRisoluzionedelConsigliodiStato"/>
        <w:spacing w:after="120"/>
        <w:ind w:right="-1"/>
      </w:pPr>
      <w:r>
        <w:t>Inoltre introduce la riduzione generalizzata di 1.66 punti percentuali per quanto riguarda le imposte sul reddito e le imposte alla fonte.</w:t>
      </w:r>
    </w:p>
    <w:p w:rsidR="0021231A" w:rsidRDefault="0021231A" w:rsidP="009F02C3">
      <w:pPr>
        <w:pStyle w:val="StandardRisoluzionedelConsigliodiStato"/>
        <w:spacing w:after="120"/>
        <w:ind w:right="-1"/>
      </w:pPr>
      <w:r>
        <w:t>Dal nostro punto di vista anche la riduzione dell’aliquota sull’imposta sul reddito va a beneficio principalmente delle persone facoltose e qui rigettiamo la tesi per cui sia una misura a favore del ceto medio.</w:t>
      </w:r>
    </w:p>
    <w:p w:rsidR="0021231A" w:rsidRDefault="0021231A" w:rsidP="009F02C3">
      <w:pPr>
        <w:pStyle w:val="StandardRisoluzionedelConsigliodiStato"/>
        <w:spacing w:after="120"/>
        <w:ind w:right="-1"/>
      </w:pPr>
      <w:r>
        <w:t>Bene lo dimostra questo grafico derivante dai dati della Divisione delle contribuzioni.</w:t>
      </w:r>
    </w:p>
    <w:p w:rsidR="0021231A" w:rsidRDefault="009F02C3" w:rsidP="0021231A">
      <w:pPr>
        <w:pStyle w:val="StandardRisoluzionedelConsigliodiStato"/>
        <w:ind w:right="-1"/>
      </w:pPr>
      <w:r>
        <w:rPr>
          <w:noProof/>
          <w:lang w:eastAsia="it-CH"/>
        </w:rPr>
        <w:lastRenderedPageBreak/>
        <w:drawing>
          <wp:inline distT="0" distB="0" distL="0" distR="0" wp14:anchorId="524A82AB" wp14:editId="0F83C951">
            <wp:extent cx="6022975" cy="3011488"/>
            <wp:effectExtent l="0" t="0" r="0" b="0"/>
            <wp:docPr id="99413470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22975" cy="3011488"/>
                    </a:xfrm>
                    <a:prstGeom prst="rect">
                      <a:avLst/>
                    </a:prstGeom>
                    <a:noFill/>
                    <a:ln>
                      <a:noFill/>
                    </a:ln>
                  </pic:spPr>
                </pic:pic>
              </a:graphicData>
            </a:graphic>
          </wp:inline>
        </w:drawing>
      </w:r>
    </w:p>
    <w:p w:rsidR="0021231A" w:rsidRDefault="0021231A" w:rsidP="009F02C3">
      <w:pPr>
        <w:pStyle w:val="StandardRisoluzionedelConsigliodiStato"/>
        <w:spacing w:after="120"/>
        <w:ind w:right="-1"/>
      </w:pPr>
      <w:r>
        <w:t>Il rapporto di maggioranza se inizialmente costa meno del Messaggio originale a tendere costerà di più.</w:t>
      </w:r>
    </w:p>
    <w:p w:rsidR="0021231A" w:rsidRDefault="0021231A" w:rsidP="009F02C3">
      <w:pPr>
        <w:pStyle w:val="StandardRisoluzionedelConsigliodiStato"/>
        <w:spacing w:after="120"/>
        <w:ind w:right="-1"/>
      </w:pPr>
      <w:r>
        <w:t>Oltre che essere una proposta ingiusta e ingiustificata il nostro Cantone oggi guardando il piano finanziario non può permettersela. La troviamo una proposta non responsabile di una maggioranza, che da una parte dice di voler risanare le finanze del Cantone e dall’altra le dissesta con riduzioni di imposte.</w:t>
      </w:r>
    </w:p>
    <w:p w:rsidR="00DD1A86" w:rsidRDefault="00DD1A86" w:rsidP="0021231A">
      <w:pPr>
        <w:pStyle w:val="StandardRisoluzionedelConsigliodiStato"/>
        <w:ind w:right="-1"/>
      </w:pPr>
    </w:p>
    <w:p w:rsidR="00DD1A86" w:rsidRDefault="00DD1A86" w:rsidP="0021231A">
      <w:pPr>
        <w:pStyle w:val="StandardRisoluzionedelConsigliodiStato"/>
        <w:ind w:right="-1"/>
      </w:pPr>
    </w:p>
    <w:p w:rsidR="00DD1A86" w:rsidRDefault="00DD1A86" w:rsidP="0021231A">
      <w:pPr>
        <w:pStyle w:val="StandardRisoluzionedelConsigliodiStato"/>
        <w:ind w:right="-1"/>
      </w:pPr>
    </w:p>
    <w:p w:rsidR="0021231A" w:rsidRPr="00DD1A86" w:rsidRDefault="00DD1A86" w:rsidP="00DD1A86">
      <w:pPr>
        <w:pStyle w:val="Titolo1"/>
        <w:tabs>
          <w:tab w:val="left" w:pos="567"/>
        </w:tabs>
        <w:spacing w:before="0" w:after="120"/>
        <w:ind w:left="567" w:hanging="567"/>
        <w:jc w:val="both"/>
        <w:rPr>
          <w:rFonts w:eastAsia="Calibri" w:cs="Times New Roman"/>
          <w:caps/>
          <w:sz w:val="24"/>
          <w:szCs w:val="24"/>
          <w:lang w:val="it-IT" w:eastAsia="it-IT"/>
        </w:rPr>
      </w:pPr>
      <w:bookmarkStart w:id="14" w:name="_Toc152078532"/>
      <w:r>
        <w:rPr>
          <w:rFonts w:eastAsia="Calibri" w:cs="Times New Roman"/>
          <w:caps/>
          <w:sz w:val="24"/>
          <w:szCs w:val="24"/>
          <w:lang w:val="it-IT" w:eastAsia="it-IT"/>
        </w:rPr>
        <w:t>15.</w:t>
      </w:r>
      <w:r>
        <w:rPr>
          <w:rFonts w:eastAsia="Calibri" w:cs="Times New Roman"/>
          <w:caps/>
          <w:sz w:val="24"/>
          <w:szCs w:val="24"/>
          <w:lang w:val="it-IT" w:eastAsia="it-IT"/>
        </w:rPr>
        <w:tab/>
      </w:r>
      <w:r w:rsidR="0021231A" w:rsidRPr="00DD1A86">
        <w:rPr>
          <w:rFonts w:eastAsia="Calibri" w:cs="Times New Roman"/>
          <w:caps/>
          <w:sz w:val="24"/>
          <w:szCs w:val="24"/>
          <w:lang w:val="it-IT" w:eastAsia="it-IT"/>
        </w:rPr>
        <w:t>Conclusioni</w:t>
      </w:r>
      <w:bookmarkEnd w:id="14"/>
    </w:p>
    <w:p w:rsidR="0021231A" w:rsidRDefault="0021231A" w:rsidP="009F02C3">
      <w:pPr>
        <w:pStyle w:val="StandardRisoluzionedelConsigliodiStato"/>
        <w:spacing w:after="120"/>
        <w:ind w:right="-1"/>
      </w:pPr>
      <w:r>
        <w:t>Visto quanto sopra invita a voler votare il seguente decreto di Legge che modifica la Legge tributaria per quanto riguarda le imposte di donazione e successione, le Prestazioni in capitale e previdenza.</w:t>
      </w:r>
    </w:p>
    <w:p w:rsidR="0021231A" w:rsidRDefault="0021231A" w:rsidP="009F02C3">
      <w:pPr>
        <w:pStyle w:val="StandardRisoluzionedelConsigliodiStato"/>
        <w:spacing w:after="120"/>
        <w:ind w:right="-1"/>
      </w:pPr>
      <w:r>
        <w:t>Inoltre si invita il Consiglio di Stato a modificare il regolamento sulle spese professionali come indicato nel rapporto.</w:t>
      </w:r>
    </w:p>
    <w:p w:rsidR="0021231A" w:rsidRDefault="0021231A" w:rsidP="009F02C3">
      <w:pPr>
        <w:pStyle w:val="StandardRisoluzionedelConsigliodiStato"/>
        <w:spacing w:after="120"/>
        <w:ind w:right="-1"/>
      </w:pPr>
      <w:r>
        <w:t>I costi per le finanze cantonali e comunali sono i seguenti:</w:t>
      </w:r>
    </w:p>
    <w:tbl>
      <w:tblPr>
        <w:tblStyle w:val="Grigliatab4"/>
        <w:tblW w:w="0" w:type="auto"/>
        <w:tblLook w:val="04A0" w:firstRow="1" w:lastRow="0" w:firstColumn="1" w:lastColumn="0" w:noHBand="0" w:noVBand="1"/>
      </w:tblPr>
      <w:tblGrid>
        <w:gridCol w:w="2389"/>
        <w:gridCol w:w="2375"/>
        <w:gridCol w:w="2357"/>
        <w:gridCol w:w="2354"/>
      </w:tblGrid>
      <w:tr w:rsidR="009F02C3" w:rsidTr="009F02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tcPr>
          <w:p w:rsidR="009F02C3" w:rsidRDefault="009F02C3" w:rsidP="009F02C3">
            <w:r>
              <w:t>Misura</w:t>
            </w:r>
          </w:p>
        </w:tc>
        <w:tc>
          <w:tcPr>
            <w:tcW w:w="2407" w:type="dxa"/>
          </w:tcPr>
          <w:p w:rsidR="009F02C3" w:rsidRDefault="009F02C3" w:rsidP="009F02C3">
            <w:pPr>
              <w:cnfStyle w:val="100000000000" w:firstRow="1" w:lastRow="0" w:firstColumn="0" w:lastColumn="0" w:oddVBand="0" w:evenVBand="0" w:oddHBand="0" w:evenHBand="0" w:firstRowFirstColumn="0" w:firstRowLastColumn="0" w:lastRowFirstColumn="0" w:lastRowLastColumn="0"/>
            </w:pPr>
            <w:r>
              <w:t>Descrizione</w:t>
            </w:r>
          </w:p>
        </w:tc>
        <w:tc>
          <w:tcPr>
            <w:tcW w:w="2407" w:type="dxa"/>
          </w:tcPr>
          <w:p w:rsidR="009F02C3" w:rsidRDefault="009F02C3" w:rsidP="009F02C3">
            <w:pPr>
              <w:cnfStyle w:val="100000000000" w:firstRow="1" w:lastRow="0" w:firstColumn="0" w:lastColumn="0" w:oddVBand="0" w:evenVBand="0" w:oddHBand="0" w:evenHBand="0" w:firstRowFirstColumn="0" w:firstRowLastColumn="0" w:lastRowFirstColumn="0" w:lastRowLastColumn="0"/>
            </w:pPr>
            <w:r>
              <w:t>Costo Cantone</w:t>
            </w:r>
          </w:p>
        </w:tc>
        <w:tc>
          <w:tcPr>
            <w:tcW w:w="2407" w:type="dxa"/>
          </w:tcPr>
          <w:p w:rsidR="009F02C3" w:rsidRDefault="009F02C3" w:rsidP="009F02C3">
            <w:pPr>
              <w:cnfStyle w:val="100000000000" w:firstRow="1" w:lastRow="0" w:firstColumn="0" w:lastColumn="0" w:oddVBand="0" w:evenVBand="0" w:oddHBand="0" w:evenHBand="0" w:firstRowFirstColumn="0" w:firstRowLastColumn="0" w:lastRowFirstColumn="0" w:lastRowLastColumn="0"/>
            </w:pPr>
            <w:r>
              <w:t>Costo Comuni</w:t>
            </w:r>
          </w:p>
        </w:tc>
      </w:tr>
      <w:tr w:rsidR="009F02C3" w:rsidTr="009F0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tcPr>
          <w:p w:rsidR="009F02C3" w:rsidRDefault="009F02C3" w:rsidP="009F02C3">
            <w:r w:rsidRPr="00AE3861">
              <w:t>Adeguamento dell’imposizione delle prestazioni in capitale della previdenza</w:t>
            </w:r>
          </w:p>
        </w:tc>
        <w:tc>
          <w:tcPr>
            <w:tcW w:w="2407" w:type="dxa"/>
          </w:tcPr>
          <w:p w:rsidR="009F02C3" w:rsidRDefault="009F02C3" w:rsidP="009F02C3">
            <w:pPr>
              <w:cnfStyle w:val="000000100000" w:firstRow="0" w:lastRow="0" w:firstColumn="0" w:lastColumn="0" w:oddVBand="0" w:evenVBand="0" w:oddHBand="1" w:evenHBand="0" w:firstRowFirstColumn="0" w:firstRowLastColumn="0" w:lastRowFirstColumn="0" w:lastRowLastColumn="0"/>
            </w:pPr>
            <w:r w:rsidRPr="00AE3861">
              <w:t>Riduzione dell’aliquota massima in caso di prelievo di capitale dal secondo o terzo pilastro al 3% (attualmente 15%).</w:t>
            </w:r>
          </w:p>
        </w:tc>
        <w:tc>
          <w:tcPr>
            <w:tcW w:w="2407" w:type="dxa"/>
          </w:tcPr>
          <w:p w:rsidR="009F02C3" w:rsidRDefault="009F02C3" w:rsidP="009F02C3">
            <w:pPr>
              <w:cnfStyle w:val="000000100000" w:firstRow="0" w:lastRow="0" w:firstColumn="0" w:lastColumn="0" w:oddVBand="0" w:evenVBand="0" w:oddHBand="1" w:evenHBand="0" w:firstRowFirstColumn="0" w:firstRowLastColumn="0" w:lastRowFirstColumn="0" w:lastRowLastColumn="0"/>
            </w:pPr>
            <w:r w:rsidRPr="00AE3861">
              <w:t>2.2 milioni</w:t>
            </w:r>
          </w:p>
        </w:tc>
        <w:tc>
          <w:tcPr>
            <w:tcW w:w="2407" w:type="dxa"/>
          </w:tcPr>
          <w:p w:rsidR="009F02C3" w:rsidRDefault="009F02C3" w:rsidP="009F02C3">
            <w:pPr>
              <w:cnfStyle w:val="000000100000" w:firstRow="0" w:lastRow="0" w:firstColumn="0" w:lastColumn="0" w:oddVBand="0" w:evenVBand="0" w:oddHBand="1" w:evenHBand="0" w:firstRowFirstColumn="0" w:firstRowLastColumn="0" w:lastRowFirstColumn="0" w:lastRowLastColumn="0"/>
            </w:pPr>
            <w:r>
              <w:t>1.8 milioni</w:t>
            </w:r>
          </w:p>
        </w:tc>
      </w:tr>
      <w:tr w:rsidR="009F02C3" w:rsidTr="009F02C3">
        <w:tc>
          <w:tcPr>
            <w:cnfStyle w:val="001000000000" w:firstRow="0" w:lastRow="0" w:firstColumn="1" w:lastColumn="0" w:oddVBand="0" w:evenVBand="0" w:oddHBand="0" w:evenHBand="0" w:firstRowFirstColumn="0" w:firstRowLastColumn="0" w:lastRowFirstColumn="0" w:lastRowLastColumn="0"/>
            <w:tcW w:w="2407" w:type="dxa"/>
          </w:tcPr>
          <w:p w:rsidR="009F02C3" w:rsidRPr="00AE3861" w:rsidRDefault="009F02C3" w:rsidP="009F02C3">
            <w:r w:rsidRPr="000E55DC">
              <w:t>Aumento della deduzione forfettaria per le altre spese professionali</w:t>
            </w:r>
          </w:p>
        </w:tc>
        <w:tc>
          <w:tcPr>
            <w:tcW w:w="2407" w:type="dxa"/>
          </w:tcPr>
          <w:p w:rsidR="009F02C3" w:rsidRPr="00AE3861" w:rsidRDefault="009F02C3" w:rsidP="009F02C3">
            <w:pPr>
              <w:cnfStyle w:val="000000000000" w:firstRow="0" w:lastRow="0" w:firstColumn="0" w:lastColumn="0" w:oddVBand="0" w:evenVBand="0" w:oddHBand="0" w:evenHBand="0" w:firstRowFirstColumn="0" w:firstRowLastColumn="0" w:lastRowFirstColumn="0" w:lastRowLastColumn="0"/>
            </w:pPr>
            <w:r w:rsidRPr="000E55DC">
              <w:t>Aumento della deduzione forfettaria</w:t>
            </w:r>
            <w:r>
              <w:t xml:space="preserve"> a 3'000 franchi.</w:t>
            </w:r>
            <w:r w:rsidRPr="000E55DC">
              <w:t xml:space="preserve"> </w:t>
            </w:r>
          </w:p>
        </w:tc>
        <w:tc>
          <w:tcPr>
            <w:tcW w:w="2407" w:type="dxa"/>
          </w:tcPr>
          <w:p w:rsidR="009F02C3" w:rsidRPr="00AE3861" w:rsidRDefault="009F02C3" w:rsidP="009F02C3">
            <w:pPr>
              <w:cnfStyle w:val="000000000000" w:firstRow="0" w:lastRow="0" w:firstColumn="0" w:lastColumn="0" w:oddVBand="0" w:evenVBand="0" w:oddHBand="0" w:evenHBand="0" w:firstRowFirstColumn="0" w:firstRowLastColumn="0" w:lastRowFirstColumn="0" w:lastRowLastColumn="0"/>
            </w:pPr>
            <w:r>
              <w:t>4.7</w:t>
            </w:r>
            <w:r w:rsidRPr="000E55DC">
              <w:t xml:space="preserve"> milioni</w:t>
            </w:r>
          </w:p>
        </w:tc>
        <w:tc>
          <w:tcPr>
            <w:tcW w:w="2407" w:type="dxa"/>
          </w:tcPr>
          <w:p w:rsidR="009F02C3" w:rsidRDefault="009F02C3" w:rsidP="009F02C3">
            <w:pPr>
              <w:cnfStyle w:val="000000000000" w:firstRow="0" w:lastRow="0" w:firstColumn="0" w:lastColumn="0" w:oddVBand="0" w:evenVBand="0" w:oddHBand="0" w:evenHBand="0" w:firstRowFirstColumn="0" w:firstRowLastColumn="0" w:lastRowFirstColumn="0" w:lastRowLastColumn="0"/>
            </w:pPr>
            <w:r>
              <w:t>3.7 milioni</w:t>
            </w:r>
          </w:p>
        </w:tc>
      </w:tr>
      <w:tr w:rsidR="009F02C3" w:rsidTr="009F0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tcPr>
          <w:p w:rsidR="009F02C3" w:rsidRDefault="009F02C3" w:rsidP="009F02C3">
            <w:r w:rsidRPr="00AE3861">
              <w:t xml:space="preserve">Riforma dell’imposta sulle </w:t>
            </w:r>
            <w:r w:rsidRPr="00AE3861">
              <w:lastRenderedPageBreak/>
              <w:t>successioni e donazioni</w:t>
            </w:r>
          </w:p>
        </w:tc>
        <w:tc>
          <w:tcPr>
            <w:tcW w:w="2407" w:type="dxa"/>
          </w:tcPr>
          <w:p w:rsidR="009F02C3" w:rsidRDefault="009F02C3" w:rsidP="009F02C3">
            <w:pPr>
              <w:cnfStyle w:val="000000100000" w:firstRow="0" w:lastRow="0" w:firstColumn="0" w:lastColumn="0" w:oddVBand="0" w:evenVBand="0" w:oddHBand="1" w:evenHBand="0" w:firstRowFirstColumn="0" w:firstRowLastColumn="0" w:lastRowFirstColumn="0" w:lastRowLastColumn="0"/>
            </w:pPr>
            <w:r w:rsidRPr="000E55DC">
              <w:lastRenderedPageBreak/>
              <w:t xml:space="preserve">Adeguamento della Legge alle nuove </w:t>
            </w:r>
            <w:r w:rsidRPr="000E55DC">
              <w:lastRenderedPageBreak/>
              <w:t>forme di convivenza. Riduzione dell’aliquota sulle donazioni. Agevolazione del trapasso aziendale ai non parenti.</w:t>
            </w:r>
          </w:p>
        </w:tc>
        <w:tc>
          <w:tcPr>
            <w:tcW w:w="2407" w:type="dxa"/>
          </w:tcPr>
          <w:p w:rsidR="009F02C3" w:rsidRDefault="009F02C3" w:rsidP="009F02C3">
            <w:pPr>
              <w:cnfStyle w:val="000000100000" w:firstRow="0" w:lastRow="0" w:firstColumn="0" w:lastColumn="0" w:oddVBand="0" w:evenVBand="0" w:oddHBand="1" w:evenHBand="0" w:firstRowFirstColumn="0" w:firstRowLastColumn="0" w:lastRowFirstColumn="0" w:lastRowLastColumn="0"/>
            </w:pPr>
            <w:r>
              <w:lastRenderedPageBreak/>
              <w:t>1.9</w:t>
            </w:r>
            <w:r w:rsidRPr="000E55DC">
              <w:t xml:space="preserve"> milioni</w:t>
            </w:r>
          </w:p>
        </w:tc>
        <w:tc>
          <w:tcPr>
            <w:tcW w:w="2407" w:type="dxa"/>
          </w:tcPr>
          <w:p w:rsidR="009F02C3" w:rsidRDefault="009F02C3" w:rsidP="009F02C3">
            <w:pPr>
              <w:cnfStyle w:val="000000100000" w:firstRow="0" w:lastRow="0" w:firstColumn="0" w:lastColumn="0" w:oddVBand="0" w:evenVBand="0" w:oddHBand="1" w:evenHBand="0" w:firstRowFirstColumn="0" w:firstRowLastColumn="0" w:lastRowFirstColumn="0" w:lastRowLastColumn="0"/>
            </w:pPr>
            <w:r>
              <w:t>0 milioni</w:t>
            </w:r>
          </w:p>
        </w:tc>
      </w:tr>
      <w:tr w:rsidR="009F02C3" w:rsidTr="009F02C3">
        <w:tc>
          <w:tcPr>
            <w:cnfStyle w:val="001000000000" w:firstRow="0" w:lastRow="0" w:firstColumn="1" w:lastColumn="0" w:oddVBand="0" w:evenVBand="0" w:oddHBand="0" w:evenHBand="0" w:firstRowFirstColumn="0" w:firstRowLastColumn="0" w:lastRowFirstColumn="0" w:lastRowLastColumn="0"/>
            <w:tcW w:w="2407" w:type="dxa"/>
          </w:tcPr>
          <w:p w:rsidR="009F02C3" w:rsidRDefault="009F02C3" w:rsidP="009F02C3"/>
        </w:tc>
        <w:tc>
          <w:tcPr>
            <w:tcW w:w="2407" w:type="dxa"/>
          </w:tcPr>
          <w:p w:rsidR="009F02C3" w:rsidRDefault="009F02C3" w:rsidP="009F02C3">
            <w:pPr>
              <w:cnfStyle w:val="000000000000" w:firstRow="0" w:lastRow="0" w:firstColumn="0" w:lastColumn="0" w:oddVBand="0" w:evenVBand="0" w:oddHBand="0" w:evenHBand="0" w:firstRowFirstColumn="0" w:firstRowLastColumn="0" w:lastRowFirstColumn="0" w:lastRowLastColumn="0"/>
            </w:pPr>
            <w:r>
              <w:t>Totale</w:t>
            </w:r>
          </w:p>
        </w:tc>
        <w:tc>
          <w:tcPr>
            <w:tcW w:w="2407" w:type="dxa"/>
          </w:tcPr>
          <w:p w:rsidR="009F02C3" w:rsidRDefault="009F02C3" w:rsidP="009F02C3">
            <w:pPr>
              <w:cnfStyle w:val="000000000000" w:firstRow="0" w:lastRow="0" w:firstColumn="0" w:lastColumn="0" w:oddVBand="0" w:evenVBand="0" w:oddHBand="0" w:evenHBand="0" w:firstRowFirstColumn="0" w:firstRowLastColumn="0" w:lastRowFirstColumn="0" w:lastRowLastColumn="0"/>
            </w:pPr>
            <w:r>
              <w:t>8.8 milioni</w:t>
            </w:r>
          </w:p>
        </w:tc>
        <w:tc>
          <w:tcPr>
            <w:tcW w:w="2407" w:type="dxa"/>
          </w:tcPr>
          <w:p w:rsidR="009F02C3" w:rsidRDefault="009F02C3" w:rsidP="009F02C3">
            <w:pPr>
              <w:cnfStyle w:val="000000000000" w:firstRow="0" w:lastRow="0" w:firstColumn="0" w:lastColumn="0" w:oddVBand="0" w:evenVBand="0" w:oddHBand="0" w:evenHBand="0" w:firstRowFirstColumn="0" w:firstRowLastColumn="0" w:lastRowFirstColumn="0" w:lastRowLastColumn="0"/>
            </w:pPr>
            <w:r>
              <w:t>5.5 milioni</w:t>
            </w:r>
          </w:p>
        </w:tc>
      </w:tr>
    </w:tbl>
    <w:p w:rsidR="0021231A" w:rsidRDefault="0021231A" w:rsidP="0021231A">
      <w:pPr>
        <w:pStyle w:val="StandardRisoluzionedelConsigliodiStato"/>
        <w:ind w:right="-1"/>
      </w:pPr>
    </w:p>
    <w:p w:rsidR="0021231A" w:rsidRDefault="0021231A" w:rsidP="00DD1A86">
      <w:pPr>
        <w:pStyle w:val="StandardRisoluzionedelConsigliodiStato"/>
      </w:pPr>
      <w:r>
        <w:t>Questi costi drasticamente inferiori al messaggio e al rapporto di maggioranza sono sostenibili e scaturiscono da modifiche di Legge che rispondono ai cambiamenti in atto nella società.</w:t>
      </w:r>
    </w:p>
    <w:p w:rsidR="00DD1A86" w:rsidRDefault="00DD1A86" w:rsidP="00DD1A86">
      <w:pPr>
        <w:pStyle w:val="StandardRisoluzionedelConsigliodiStato"/>
      </w:pPr>
    </w:p>
    <w:p w:rsidR="0021231A" w:rsidRDefault="00DD1A86" w:rsidP="00DD1A86">
      <w:pPr>
        <w:pStyle w:val="StandardRisoluzionedelConsigliodiStato"/>
      </w:pPr>
      <w:r>
        <w:t>Quanto proposto dal messaggio e dal r</w:t>
      </w:r>
      <w:r w:rsidR="0021231A">
        <w:t>apporto di maggioranza non corrisponde a bisogni della società, ma ai vizi di p</w:t>
      </w:r>
      <w:r w:rsidR="009F02C3">
        <w:t>ochi.</w:t>
      </w:r>
    </w:p>
    <w:p w:rsidR="00DD1A86" w:rsidRDefault="00DD1A86" w:rsidP="00DD1A86">
      <w:pPr>
        <w:pStyle w:val="StandardRisoluzionedelConsigliodiStato"/>
      </w:pPr>
    </w:p>
    <w:p w:rsidR="00DD1A86" w:rsidRDefault="00DD1A86" w:rsidP="00DD1A86">
      <w:pPr>
        <w:pStyle w:val="StandardRisoluzionedelConsigliodiStato"/>
      </w:pPr>
      <w:bookmarkStart w:id="15" w:name="_GoBack"/>
      <w:bookmarkEnd w:id="15"/>
    </w:p>
    <w:p w:rsidR="00DD1A86" w:rsidRDefault="00DD1A86" w:rsidP="00DD1A86">
      <w:pPr>
        <w:pStyle w:val="StandardRisoluzionedelConsigliodiStato"/>
      </w:pPr>
    </w:p>
    <w:p w:rsidR="00DD1A86" w:rsidRDefault="00DD1A86" w:rsidP="00DD1A86">
      <w:pPr>
        <w:pStyle w:val="StandardRisoluzionedelConsigliodiStato"/>
        <w:spacing w:after="120"/>
      </w:pPr>
      <w:r>
        <w:t>Per la minoranza 1 della Commissione gestione e finanze:</w:t>
      </w:r>
    </w:p>
    <w:p w:rsidR="009F02C3" w:rsidRDefault="0021231A" w:rsidP="00DD1A86">
      <w:pPr>
        <w:pStyle w:val="StandardRisoluzionedelConsigliodiStato"/>
      </w:pPr>
      <w:r>
        <w:t>Ivo Durisch</w:t>
      </w:r>
      <w:r w:rsidR="009F02C3">
        <w:t>, relatore</w:t>
      </w:r>
    </w:p>
    <w:p w:rsidR="009F02C3" w:rsidRDefault="00DD1A86" w:rsidP="00DD1A86">
      <w:pPr>
        <w:pStyle w:val="StandardRisoluzionedelConsigliodiStato"/>
      </w:pPr>
      <w:r>
        <w:t>Bourgoin -</w:t>
      </w:r>
      <w:r w:rsidR="009F02C3">
        <w:t xml:space="preserve"> Sirica </w:t>
      </w:r>
    </w:p>
    <w:p w:rsidR="0021231A" w:rsidRDefault="0021231A" w:rsidP="0021231A">
      <w:pPr>
        <w:pStyle w:val="StandardRisoluzionedelConsigliodiStato"/>
        <w:ind w:right="-1"/>
      </w:pPr>
    </w:p>
    <w:p w:rsidR="0021231A" w:rsidRDefault="0021231A" w:rsidP="0021231A">
      <w:pPr>
        <w:pStyle w:val="StandardRisoluzionedelConsigliodiStato"/>
        <w:ind w:right="-1"/>
      </w:pPr>
      <w:r>
        <w:t> </w:t>
      </w:r>
    </w:p>
    <w:p w:rsidR="009F02C3" w:rsidRDefault="009F02C3">
      <w:pPr>
        <w:rPr>
          <w:sz w:val="24"/>
        </w:rPr>
      </w:pPr>
      <w:r>
        <w:br w:type="page"/>
      </w:r>
    </w:p>
    <w:p w:rsidR="0021231A" w:rsidRDefault="0021231A" w:rsidP="0021231A">
      <w:pPr>
        <w:pStyle w:val="StandardRisoluzionedelConsigliodiStato"/>
        <w:ind w:right="-1"/>
      </w:pPr>
      <w:r>
        <w:lastRenderedPageBreak/>
        <w:t>Disegno di</w:t>
      </w:r>
    </w:p>
    <w:p w:rsidR="0021231A" w:rsidRDefault="0021231A" w:rsidP="0021231A">
      <w:pPr>
        <w:pStyle w:val="StandardRisoluzionedelConsigliodiStato"/>
        <w:ind w:right="-1"/>
      </w:pPr>
    </w:p>
    <w:p w:rsidR="0021231A" w:rsidRPr="009F02C3" w:rsidRDefault="0021231A" w:rsidP="0021231A">
      <w:pPr>
        <w:pStyle w:val="StandardRisoluzionedelConsigliodiStato"/>
        <w:ind w:right="-1"/>
        <w:rPr>
          <w:b/>
        </w:rPr>
      </w:pPr>
      <w:r w:rsidRPr="009F02C3">
        <w:rPr>
          <w:b/>
        </w:rPr>
        <w:t>Legge</w:t>
      </w:r>
    </w:p>
    <w:p w:rsidR="0021231A" w:rsidRPr="009F02C3" w:rsidRDefault="0021231A" w:rsidP="0021231A">
      <w:pPr>
        <w:pStyle w:val="StandardRisoluzionedelConsigliodiStato"/>
        <w:ind w:right="-1"/>
        <w:rPr>
          <w:b/>
        </w:rPr>
      </w:pPr>
      <w:r w:rsidRPr="009F02C3">
        <w:rPr>
          <w:b/>
        </w:rPr>
        <w:t xml:space="preserve">tributaria </w:t>
      </w:r>
    </w:p>
    <w:p w:rsidR="0021231A" w:rsidRPr="009F02C3" w:rsidRDefault="0021231A" w:rsidP="0021231A">
      <w:pPr>
        <w:pStyle w:val="StandardRisoluzionedelConsigliodiStato"/>
        <w:ind w:right="-1"/>
        <w:rPr>
          <w:b/>
        </w:rPr>
      </w:pPr>
      <w:r w:rsidRPr="009F02C3">
        <w:rPr>
          <w:b/>
        </w:rPr>
        <w:t>(LT)</w:t>
      </w:r>
    </w:p>
    <w:p w:rsidR="0021231A" w:rsidRDefault="0021231A" w:rsidP="0021231A">
      <w:pPr>
        <w:pStyle w:val="StandardRisoluzionedelConsigliodiStato"/>
        <w:ind w:right="-1"/>
      </w:pPr>
      <w:r>
        <w:t>modifica del ....................</w:t>
      </w:r>
    </w:p>
    <w:p w:rsidR="0021231A" w:rsidRDefault="0021231A" w:rsidP="0021231A">
      <w:pPr>
        <w:pStyle w:val="StandardRisoluzionedelConsigliodiStato"/>
        <w:ind w:right="-1"/>
      </w:pPr>
    </w:p>
    <w:p w:rsidR="0021231A" w:rsidRDefault="0021231A" w:rsidP="0021231A">
      <w:pPr>
        <w:pStyle w:val="StandardRisoluzionedelConsigliodiStato"/>
        <w:ind w:right="-1"/>
      </w:pPr>
      <w:r>
        <w:t>IL GRAN CONSIGLIO</w:t>
      </w:r>
    </w:p>
    <w:p w:rsidR="0021231A" w:rsidRDefault="0021231A" w:rsidP="0021231A">
      <w:pPr>
        <w:pStyle w:val="StandardRisoluzionedelConsigliodiStato"/>
        <w:ind w:right="-1"/>
      </w:pPr>
      <w:r>
        <w:t>DELLA REPUBBLICA E CANTONE TICINO</w:t>
      </w:r>
    </w:p>
    <w:p w:rsidR="0021231A" w:rsidRDefault="0021231A" w:rsidP="0021231A">
      <w:pPr>
        <w:pStyle w:val="StandardRisoluzionedelConsigliodiStato"/>
        <w:ind w:right="-1"/>
      </w:pPr>
    </w:p>
    <w:p w:rsidR="0021231A" w:rsidRDefault="0021231A" w:rsidP="0021231A">
      <w:pPr>
        <w:pStyle w:val="StandardRisoluzionedelConsigliodiStato"/>
        <w:ind w:right="-1"/>
      </w:pPr>
      <w:r>
        <w:t>visto il messaggio del Consiglio di Stato n. 8303 del 12 luglio 2023,</w:t>
      </w:r>
    </w:p>
    <w:p w:rsidR="0021231A" w:rsidRDefault="00395611" w:rsidP="0021231A">
      <w:pPr>
        <w:pStyle w:val="StandardRisoluzionedelConsigliodiStato"/>
        <w:ind w:right="-1"/>
      </w:pPr>
      <w:r>
        <w:t xml:space="preserve">visto il rapporto di minoranza 1 della Commissione gestione e finanze n. 8303 R1 </w:t>
      </w:r>
    </w:p>
    <w:p w:rsidR="00395611" w:rsidRDefault="00395611" w:rsidP="0021231A">
      <w:pPr>
        <w:pStyle w:val="StandardRisoluzionedelConsigliodiStato"/>
        <w:ind w:right="-1"/>
      </w:pPr>
    </w:p>
    <w:p w:rsidR="0021231A" w:rsidRDefault="0021231A" w:rsidP="0021231A">
      <w:pPr>
        <w:pStyle w:val="StandardRisoluzionedelConsigliodiStato"/>
        <w:ind w:right="-1"/>
      </w:pPr>
      <w:r>
        <w:t>decreta:</w:t>
      </w:r>
    </w:p>
    <w:p w:rsidR="0021231A" w:rsidRDefault="0021231A" w:rsidP="0021231A">
      <w:pPr>
        <w:pStyle w:val="StandardRisoluzionedelConsigliodiStato"/>
        <w:ind w:right="-1"/>
      </w:pPr>
    </w:p>
    <w:p w:rsidR="0021231A" w:rsidRDefault="0021231A" w:rsidP="0021231A">
      <w:pPr>
        <w:pStyle w:val="StandardRisoluzionedelConsigliodiStato"/>
        <w:ind w:right="-1"/>
      </w:pPr>
      <w:r>
        <w:t>I</w:t>
      </w:r>
    </w:p>
    <w:p w:rsidR="0021231A" w:rsidRDefault="0021231A" w:rsidP="0021231A">
      <w:pPr>
        <w:pStyle w:val="StandardRisoluzionedelConsigliodiStato"/>
        <w:ind w:right="-1"/>
      </w:pPr>
      <w:r>
        <w:t>La legge tributaria del 21 giugno 1994 (LT) è modificata come segue:</w:t>
      </w:r>
    </w:p>
    <w:p w:rsidR="0021231A" w:rsidRDefault="0021231A" w:rsidP="0021231A">
      <w:pPr>
        <w:pStyle w:val="StandardRisoluzionedelConsigliodiStato"/>
        <w:ind w:right="-1"/>
      </w:pPr>
    </w:p>
    <w:p w:rsidR="0021231A" w:rsidRDefault="0021231A" w:rsidP="0021231A">
      <w:pPr>
        <w:pStyle w:val="StandardRisoluzionedelConsigliodiStato"/>
        <w:ind w:right="-1"/>
      </w:pPr>
    </w:p>
    <w:p w:rsidR="0021231A" w:rsidRPr="008C12B9" w:rsidRDefault="0021231A" w:rsidP="0021231A">
      <w:pPr>
        <w:pStyle w:val="StandardRisoluzionedelConsigliodiStato"/>
        <w:ind w:right="-1"/>
        <w:rPr>
          <w:b/>
        </w:rPr>
      </w:pPr>
      <w:r w:rsidRPr="008C12B9">
        <w:rPr>
          <w:b/>
        </w:rPr>
        <w:t>3. Prestazioni in capitale della previdenza</w:t>
      </w:r>
    </w:p>
    <w:p w:rsidR="0021231A" w:rsidRPr="008C12B9" w:rsidRDefault="0021231A" w:rsidP="0021231A">
      <w:pPr>
        <w:pStyle w:val="StandardRisoluzionedelConsigliodiStato"/>
        <w:ind w:right="-1"/>
        <w:rPr>
          <w:b/>
        </w:rPr>
      </w:pPr>
      <w:r w:rsidRPr="008C12B9">
        <w:rPr>
          <w:b/>
        </w:rPr>
        <w:t>Art. 38 cpv. 2</w:t>
      </w:r>
    </w:p>
    <w:p w:rsidR="0021231A" w:rsidRDefault="0021231A" w:rsidP="0021231A">
      <w:pPr>
        <w:pStyle w:val="StandardRisoluzionedelConsigliodiStato"/>
        <w:ind w:right="-1"/>
      </w:pPr>
      <w:r w:rsidRPr="008C12B9">
        <w:rPr>
          <w:vertAlign w:val="superscript"/>
        </w:rPr>
        <w:t>2</w:t>
      </w:r>
      <w:r>
        <w:t>L’imposta è calcolata con l’aliquota che sarebbe applicabile se al posto della prestazione unica fosse versata una prestazione annua corrispondente, ritenuto un’aliquota minima del 2 per cento e un’aliquota massima del 3 per cento.</w:t>
      </w:r>
    </w:p>
    <w:p w:rsidR="0021231A" w:rsidRDefault="0021231A" w:rsidP="0021231A">
      <w:pPr>
        <w:pStyle w:val="StandardRisoluzionedelConsigliodiStato"/>
        <w:ind w:right="-1"/>
      </w:pPr>
    </w:p>
    <w:p w:rsidR="0021231A" w:rsidRPr="008C12B9" w:rsidRDefault="0021231A" w:rsidP="0021231A">
      <w:pPr>
        <w:pStyle w:val="StandardRisoluzionedelConsigliodiStato"/>
        <w:ind w:right="-1"/>
        <w:rPr>
          <w:b/>
        </w:rPr>
      </w:pPr>
      <w:r w:rsidRPr="008C12B9">
        <w:rPr>
          <w:b/>
        </w:rPr>
        <w:t>Art. 142 cpv. 2 lett. e)</w:t>
      </w:r>
    </w:p>
    <w:p w:rsidR="0021231A" w:rsidRDefault="008C12B9" w:rsidP="008C12B9">
      <w:pPr>
        <w:pStyle w:val="StandardRisoluzionedelConsigliodiStato"/>
        <w:ind w:left="284" w:right="-1" w:hanging="284"/>
      </w:pPr>
      <w:r>
        <w:t xml:space="preserve">e) </w:t>
      </w:r>
      <w:r w:rsidR="0021231A">
        <w:t>le liberalità contenute in un contratto misto o simulato quando la prestazione di una delle parti è manifestamente sproporzionata rispetto alla controprestazione. La differenza di valore è calcolata considerando il valore commerciale dei beni;</w:t>
      </w:r>
    </w:p>
    <w:p w:rsidR="0021231A" w:rsidRDefault="0021231A" w:rsidP="0021231A">
      <w:pPr>
        <w:pStyle w:val="StandardRisoluzionedelConsigliodiStato"/>
        <w:ind w:right="-1"/>
      </w:pPr>
    </w:p>
    <w:p w:rsidR="0021231A" w:rsidRPr="008C12B9" w:rsidRDefault="0021231A" w:rsidP="0021231A">
      <w:pPr>
        <w:pStyle w:val="StandardRisoluzionedelConsigliodiStato"/>
        <w:ind w:right="-1"/>
        <w:rPr>
          <w:b/>
        </w:rPr>
      </w:pPr>
      <w:r w:rsidRPr="008C12B9">
        <w:rPr>
          <w:b/>
        </w:rPr>
        <w:t>Art. 154 cpv. 1 lett. d) e f) e cpv. 3</w:t>
      </w:r>
    </w:p>
    <w:p w:rsidR="0021231A" w:rsidRDefault="0021231A" w:rsidP="0021231A">
      <w:pPr>
        <w:pStyle w:val="StandardRisoluzionedelConsigliodiStato"/>
        <w:ind w:right="-1"/>
      </w:pPr>
      <w:r w:rsidRPr="008C12B9">
        <w:rPr>
          <w:vertAlign w:val="superscript"/>
        </w:rPr>
        <w:t>1</w:t>
      </w:r>
      <w:r>
        <w:t xml:space="preserve">Sono esenti dall’imposta di successione e donazione: </w:t>
      </w:r>
    </w:p>
    <w:p w:rsidR="0021231A" w:rsidRDefault="0021231A" w:rsidP="008C12B9">
      <w:pPr>
        <w:pStyle w:val="StandardRisoluzionedelConsigliodiStato"/>
        <w:ind w:left="284" w:right="-1" w:hanging="284"/>
      </w:pPr>
      <w:r>
        <w:t>d)</w:t>
      </w:r>
      <w:r w:rsidR="008C12B9">
        <w:t xml:space="preserve"> </w:t>
      </w:r>
      <w:r>
        <w:t>le persone giuridiche con sede nel Cantone che perseguono uno scopo pubblico, di</w:t>
      </w:r>
      <w:r w:rsidR="008C12B9">
        <w:t xml:space="preserve"> </w:t>
      </w:r>
      <w:r>
        <w:t>utilità pubblica oppure scopi ideali in Svizzera per le devoluzioni o liberalità esclusivamente e irrevocabilmente destinate a tali fini;</w:t>
      </w:r>
    </w:p>
    <w:p w:rsidR="0021231A" w:rsidRDefault="008C12B9" w:rsidP="008C12B9">
      <w:pPr>
        <w:pStyle w:val="StandardRisoluzionedelConsigliodiStato"/>
        <w:ind w:left="284" w:right="-1" w:hanging="284"/>
      </w:pPr>
      <w:r>
        <w:t xml:space="preserve">f) </w:t>
      </w:r>
      <w:r w:rsidR="0021231A">
        <w:t xml:space="preserve">il coniuge, il partner registrato, gli ascendenti e discendenti in linea diretta, compresi </w:t>
      </w:r>
      <w:r>
        <w:t xml:space="preserve">gli </w:t>
      </w:r>
      <w:r w:rsidR="0021231A">
        <w:t xml:space="preserve">adottivi. </w:t>
      </w:r>
    </w:p>
    <w:p w:rsidR="0021231A" w:rsidRDefault="0021231A" w:rsidP="0021231A">
      <w:pPr>
        <w:pStyle w:val="StandardRisoluzionedelConsigliodiStato"/>
        <w:ind w:right="-1"/>
      </w:pPr>
      <w:r w:rsidRPr="008C12B9">
        <w:rPr>
          <w:vertAlign w:val="superscript"/>
        </w:rPr>
        <w:t>3</w:t>
      </w:r>
      <w:r>
        <w:t>L’autorità fiscale può esentare, su richiesta, in tutto o in parte, le istituzioni e le persone giuridiche che perseguono uno scopo pubblico, di utilità pubblica oppure scopi ideali per le devoluzioni o liberalità esclusivamente e irrevocabilmente destinate a tali fini:</w:t>
      </w:r>
    </w:p>
    <w:p w:rsidR="0021231A" w:rsidRDefault="008C12B9" w:rsidP="0021231A">
      <w:pPr>
        <w:pStyle w:val="StandardRisoluzionedelConsigliodiStato"/>
        <w:ind w:right="-1"/>
      </w:pPr>
      <w:r>
        <w:t xml:space="preserve">a) </w:t>
      </w:r>
      <w:r w:rsidR="0021231A">
        <w:t>se con sede nel Cantone, quando rivestono carattere prevalentemente internazionale;</w:t>
      </w:r>
    </w:p>
    <w:p w:rsidR="0021231A" w:rsidRDefault="0021231A" w:rsidP="008C12B9">
      <w:pPr>
        <w:pStyle w:val="StandardRisoluzionedelConsigliodiStato"/>
        <w:ind w:left="284" w:right="-1" w:hanging="284"/>
      </w:pPr>
      <w:r>
        <w:t>b)</w:t>
      </w:r>
      <w:r w:rsidR="008C12B9">
        <w:t xml:space="preserve"> </w:t>
      </w:r>
      <w:r>
        <w:t>se con sede in altro Cantone, quando le stesse sono esenti presso tale Cantone e quest’ultimo accorda la reciprocità in materia di esenzione.</w:t>
      </w:r>
    </w:p>
    <w:p w:rsidR="0021231A" w:rsidRDefault="0021231A" w:rsidP="0021231A">
      <w:pPr>
        <w:pStyle w:val="StandardRisoluzionedelConsigliodiStato"/>
        <w:ind w:right="-1"/>
      </w:pPr>
    </w:p>
    <w:p w:rsidR="0021231A" w:rsidRDefault="0021231A" w:rsidP="0021231A">
      <w:pPr>
        <w:pStyle w:val="StandardRisoluzionedelConsigliodiStato"/>
        <w:ind w:right="-1"/>
      </w:pPr>
    </w:p>
    <w:p w:rsidR="0021231A" w:rsidRPr="008C12B9" w:rsidRDefault="0021231A" w:rsidP="0021231A">
      <w:pPr>
        <w:pStyle w:val="StandardRisoluzionedelConsigliodiStato"/>
        <w:ind w:right="-1"/>
        <w:rPr>
          <w:b/>
        </w:rPr>
      </w:pPr>
      <w:r w:rsidRPr="008C12B9">
        <w:rPr>
          <w:b/>
        </w:rPr>
        <w:t>Art. 155 cpv. 1 lett. a) e cpv. 2</w:t>
      </w:r>
    </w:p>
    <w:p w:rsidR="0021231A" w:rsidRDefault="0021231A" w:rsidP="0021231A">
      <w:pPr>
        <w:pStyle w:val="StandardRisoluzionedelConsigliodiStato"/>
        <w:ind w:right="-1"/>
      </w:pPr>
      <w:r w:rsidRPr="008C12B9">
        <w:rPr>
          <w:vertAlign w:val="superscript"/>
        </w:rPr>
        <w:t>1</w:t>
      </w:r>
      <w:r>
        <w:t>Sono esenti dall’imposta di donazione:</w:t>
      </w:r>
    </w:p>
    <w:p w:rsidR="0021231A" w:rsidRDefault="0021231A" w:rsidP="0021231A">
      <w:pPr>
        <w:pStyle w:val="StandardRisoluzionedelConsigliodiStato"/>
        <w:ind w:right="-1"/>
      </w:pPr>
      <w:r>
        <w:t>a)</w:t>
      </w:r>
      <w:r w:rsidR="008C12B9">
        <w:t xml:space="preserve"> </w:t>
      </w:r>
      <w:r>
        <w:t>abrogata</w:t>
      </w:r>
    </w:p>
    <w:p w:rsidR="0021231A" w:rsidRDefault="0021231A" w:rsidP="0021231A">
      <w:pPr>
        <w:pStyle w:val="StandardRisoluzionedelConsigliodiStato"/>
        <w:ind w:right="-1"/>
      </w:pPr>
      <w:r w:rsidRPr="008C12B9">
        <w:rPr>
          <w:vertAlign w:val="superscript"/>
        </w:rPr>
        <w:lastRenderedPageBreak/>
        <w:t>2</w:t>
      </w:r>
      <w:r>
        <w:t xml:space="preserve">Sono esenti dall’imposta di successione o donazione i primi 10'000 franchi netti all’anno ricevuti da ogni singolo beneficiario da parte di un singolo disponente o donante. </w:t>
      </w:r>
    </w:p>
    <w:p w:rsidR="00395611" w:rsidRDefault="00395611" w:rsidP="0021231A">
      <w:pPr>
        <w:pStyle w:val="StandardRisoluzionedelConsigliodiStato"/>
        <w:ind w:right="-1"/>
        <w:rPr>
          <w:b/>
        </w:rPr>
      </w:pPr>
    </w:p>
    <w:p w:rsidR="0021231A" w:rsidRPr="008C12B9" w:rsidRDefault="0021231A" w:rsidP="0021231A">
      <w:pPr>
        <w:pStyle w:val="StandardRisoluzionedelConsigliodiStato"/>
        <w:ind w:right="-1"/>
        <w:rPr>
          <w:b/>
        </w:rPr>
      </w:pPr>
      <w:r w:rsidRPr="008C12B9">
        <w:rPr>
          <w:b/>
        </w:rPr>
        <w:t>CAPITOLO VI</w:t>
      </w:r>
    </w:p>
    <w:p w:rsidR="0021231A" w:rsidRPr="008C12B9" w:rsidRDefault="0021231A" w:rsidP="0021231A">
      <w:pPr>
        <w:pStyle w:val="StandardRisoluzionedelConsigliodiStato"/>
        <w:ind w:right="-1"/>
        <w:rPr>
          <w:b/>
        </w:rPr>
      </w:pPr>
      <w:r w:rsidRPr="008C12B9">
        <w:rPr>
          <w:b/>
        </w:rPr>
        <w:t>Riduzione di imposta</w:t>
      </w:r>
    </w:p>
    <w:p w:rsidR="0021231A" w:rsidRDefault="0021231A" w:rsidP="0021231A">
      <w:pPr>
        <w:pStyle w:val="StandardRisoluzionedelConsigliodiStato"/>
        <w:ind w:right="-1"/>
      </w:pPr>
    </w:p>
    <w:p w:rsidR="0021231A" w:rsidRPr="008C12B9" w:rsidRDefault="0021231A" w:rsidP="0021231A">
      <w:pPr>
        <w:pStyle w:val="StandardRisoluzionedelConsigliodiStato"/>
        <w:ind w:right="-1"/>
        <w:rPr>
          <w:b/>
        </w:rPr>
      </w:pPr>
      <w:r w:rsidRPr="008C12B9">
        <w:rPr>
          <w:b/>
        </w:rPr>
        <w:t>Successione aziendale</w:t>
      </w:r>
    </w:p>
    <w:p w:rsidR="0021231A" w:rsidRPr="008C12B9" w:rsidRDefault="0021231A" w:rsidP="0021231A">
      <w:pPr>
        <w:pStyle w:val="StandardRisoluzionedelConsigliodiStato"/>
        <w:ind w:right="-1"/>
        <w:rPr>
          <w:b/>
        </w:rPr>
      </w:pPr>
      <w:r w:rsidRPr="008C12B9">
        <w:rPr>
          <w:b/>
        </w:rPr>
        <w:t xml:space="preserve">Art. 156a </w:t>
      </w:r>
    </w:p>
    <w:p w:rsidR="0021231A" w:rsidRDefault="0021231A" w:rsidP="0021231A">
      <w:pPr>
        <w:pStyle w:val="StandardRisoluzionedelConsigliodiStato"/>
        <w:ind w:right="-1"/>
      </w:pPr>
      <w:r w:rsidRPr="008C12B9">
        <w:rPr>
          <w:vertAlign w:val="superscript"/>
        </w:rPr>
        <w:t>1</w:t>
      </w:r>
      <w:r>
        <w:t>L'imposta di successione e donazione è ridotta del 50 per cento se la sostanza commerciale di un’impresa di persone (ditta individuale o società di persone) domiciliata in Ticino, che serve integralmente o in modo preponderante all’attività lucrativa indipendente del beneficiario, è trasferita a titolo gratuito o per successione a una persona fisica che ricopre nell’impresa una posizione dirigenziale.</w:t>
      </w:r>
    </w:p>
    <w:p w:rsidR="0021231A" w:rsidRDefault="0021231A" w:rsidP="0021231A">
      <w:pPr>
        <w:pStyle w:val="StandardRisoluzionedelConsigliodiStato"/>
        <w:ind w:right="-1"/>
      </w:pPr>
      <w:r w:rsidRPr="008C12B9">
        <w:rPr>
          <w:vertAlign w:val="superscript"/>
        </w:rPr>
        <w:t>2</w:t>
      </w:r>
      <w:r>
        <w:t>La medesima riduzione di cui al capoverso 1 è concessa se una partecipazione del 51 per cento almeno al capitale azionario o sociale e/o ai diritti di voto di una società di capitali o di una società cooperativa con sede in Ticino che esercita un'attività commerciale, detenuta direttamente o indirettamente tramite una società interposta, è trasferita a titolo gratuito o per successione a una persona fisica che ricopre una posizione dirigenziale nella società operativa.</w:t>
      </w:r>
    </w:p>
    <w:p w:rsidR="0021231A" w:rsidRDefault="0021231A" w:rsidP="0021231A">
      <w:pPr>
        <w:pStyle w:val="StandardRisoluzionedelConsigliodiStato"/>
        <w:ind w:right="-1"/>
      </w:pPr>
      <w:r w:rsidRPr="008C12B9">
        <w:rPr>
          <w:vertAlign w:val="superscript"/>
        </w:rPr>
        <w:t>3</w:t>
      </w:r>
      <w:r>
        <w:t>La riduzione è revocata se nei successivi cinque anni dal trasferimento la sostanza commerciale è sottratta dall’azienda, se l'attività aziendale è alienata a titolo oneroso, cessa o è trasferita fuori Cantone o all’estero, se la posizione dirigenziale del beneficiario nell’impresa è interrotta, fatta eccezione in caso di decesso prematuro del beneficiario, nonché se la partecipazione determinante al capitale azionario o sociale e/o ai diritti di voto di una società di capitali o di una società cooperativa è alienata oppure scende al di sotto del 51 per cento. È riservata la procedura per il recupero di imposta secondo l’articolo 236.</w:t>
      </w:r>
    </w:p>
    <w:p w:rsidR="0021231A" w:rsidRDefault="0021231A" w:rsidP="0021231A">
      <w:pPr>
        <w:pStyle w:val="StandardRisoluzionedelConsigliodiStato"/>
        <w:ind w:right="-1"/>
      </w:pPr>
      <w:r w:rsidRPr="008C12B9">
        <w:rPr>
          <w:vertAlign w:val="superscript"/>
        </w:rPr>
        <w:t>4</w:t>
      </w:r>
      <w:r>
        <w:t>Sono riservate le disposizioni relative alla responsabilità solidale secondo l’articolo 152, nonché alla costituzione di garanzie secondo l’articolo 248.</w:t>
      </w:r>
    </w:p>
    <w:p w:rsidR="0021231A" w:rsidRDefault="0021231A" w:rsidP="0021231A">
      <w:pPr>
        <w:pStyle w:val="StandardRisoluzionedelConsigliodiStato"/>
        <w:ind w:right="-1"/>
      </w:pPr>
    </w:p>
    <w:p w:rsidR="0021231A" w:rsidRPr="008C12B9" w:rsidRDefault="0021231A" w:rsidP="0021231A">
      <w:pPr>
        <w:pStyle w:val="StandardRisoluzionedelConsigliodiStato"/>
        <w:ind w:right="-1"/>
        <w:rPr>
          <w:b/>
        </w:rPr>
      </w:pPr>
      <w:r w:rsidRPr="008C12B9">
        <w:rPr>
          <w:b/>
        </w:rPr>
        <w:t>Art. 164 cpv. 1 lett. b) e cpv. 3</w:t>
      </w:r>
    </w:p>
    <w:p w:rsidR="0021231A" w:rsidRDefault="008C12B9" w:rsidP="0021231A">
      <w:pPr>
        <w:pStyle w:val="StandardRisoluzionedelConsigliodiStato"/>
        <w:ind w:right="-1"/>
      </w:pPr>
      <w:r>
        <w:t xml:space="preserve">b) </w:t>
      </w:r>
      <w:r w:rsidR="0021231A">
        <w:t>coefficienti e aliquote massime per i singoli gradi di parentela:</w:t>
      </w:r>
    </w:p>
    <w:tbl>
      <w:tblPr>
        <w:tblStyle w:val="Grigliatabell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5387"/>
        <w:gridCol w:w="1275"/>
        <w:gridCol w:w="1134"/>
      </w:tblGrid>
      <w:tr w:rsidR="008C12B9" w:rsidRPr="00C57580" w:rsidTr="00906224">
        <w:tc>
          <w:tcPr>
            <w:tcW w:w="709" w:type="dxa"/>
          </w:tcPr>
          <w:p w:rsidR="008C12B9" w:rsidRPr="00C57580" w:rsidRDefault="008C12B9" w:rsidP="00906224">
            <w:pPr>
              <w:ind w:left="-107"/>
              <w:jc w:val="left"/>
              <w:rPr>
                <w:sz w:val="20"/>
                <w:szCs w:val="20"/>
              </w:rPr>
            </w:pPr>
            <w:r w:rsidRPr="00C57580">
              <w:rPr>
                <w:sz w:val="20"/>
                <w:szCs w:val="20"/>
              </w:rPr>
              <w:t>Grado</w:t>
            </w:r>
          </w:p>
        </w:tc>
        <w:tc>
          <w:tcPr>
            <w:tcW w:w="5387" w:type="dxa"/>
          </w:tcPr>
          <w:p w:rsidR="008C12B9" w:rsidRPr="00C57580" w:rsidRDefault="008C12B9" w:rsidP="00906224">
            <w:pPr>
              <w:ind w:right="32"/>
              <w:jc w:val="left"/>
              <w:rPr>
                <w:sz w:val="20"/>
                <w:szCs w:val="20"/>
              </w:rPr>
            </w:pPr>
            <w:r w:rsidRPr="00C57580">
              <w:rPr>
                <w:sz w:val="20"/>
                <w:szCs w:val="20"/>
              </w:rPr>
              <w:t xml:space="preserve">Categoria </w:t>
            </w:r>
          </w:p>
          <w:p w:rsidR="008C12B9" w:rsidRPr="00C57580" w:rsidRDefault="008C12B9" w:rsidP="00906224">
            <w:pPr>
              <w:ind w:right="32"/>
              <w:jc w:val="left"/>
              <w:rPr>
                <w:sz w:val="20"/>
                <w:szCs w:val="20"/>
              </w:rPr>
            </w:pPr>
            <w:r w:rsidRPr="00C57580">
              <w:rPr>
                <w:sz w:val="20"/>
                <w:szCs w:val="20"/>
              </w:rPr>
              <w:t>di contribuente</w:t>
            </w:r>
          </w:p>
        </w:tc>
        <w:tc>
          <w:tcPr>
            <w:tcW w:w="1275" w:type="dxa"/>
          </w:tcPr>
          <w:p w:rsidR="008C12B9" w:rsidRPr="00C57580" w:rsidRDefault="008C12B9" w:rsidP="00906224">
            <w:pPr>
              <w:jc w:val="left"/>
              <w:rPr>
                <w:sz w:val="20"/>
                <w:szCs w:val="20"/>
              </w:rPr>
            </w:pPr>
            <w:r w:rsidRPr="00C57580">
              <w:rPr>
                <w:sz w:val="20"/>
                <w:szCs w:val="20"/>
              </w:rPr>
              <w:t>Coefficiente</w:t>
            </w:r>
          </w:p>
        </w:tc>
        <w:tc>
          <w:tcPr>
            <w:tcW w:w="1134" w:type="dxa"/>
          </w:tcPr>
          <w:p w:rsidR="008C12B9" w:rsidRPr="00C57580" w:rsidRDefault="008C12B9" w:rsidP="00906224">
            <w:pPr>
              <w:jc w:val="left"/>
              <w:rPr>
                <w:sz w:val="20"/>
                <w:szCs w:val="20"/>
              </w:rPr>
            </w:pPr>
            <w:r w:rsidRPr="00C57580">
              <w:rPr>
                <w:sz w:val="20"/>
                <w:szCs w:val="20"/>
              </w:rPr>
              <w:t xml:space="preserve">Aliquota </w:t>
            </w:r>
          </w:p>
          <w:p w:rsidR="008C12B9" w:rsidRPr="00C57580" w:rsidRDefault="008C12B9" w:rsidP="00906224">
            <w:pPr>
              <w:jc w:val="left"/>
              <w:rPr>
                <w:sz w:val="20"/>
                <w:szCs w:val="20"/>
              </w:rPr>
            </w:pPr>
            <w:r w:rsidRPr="00C57580">
              <w:rPr>
                <w:sz w:val="20"/>
                <w:szCs w:val="20"/>
              </w:rPr>
              <w:t>massima</w:t>
            </w:r>
          </w:p>
        </w:tc>
      </w:tr>
      <w:tr w:rsidR="008C12B9" w:rsidRPr="00C57580" w:rsidTr="00906224">
        <w:tc>
          <w:tcPr>
            <w:tcW w:w="709" w:type="dxa"/>
          </w:tcPr>
          <w:p w:rsidR="008C12B9" w:rsidRPr="00C57580" w:rsidRDefault="008C12B9" w:rsidP="00906224">
            <w:pPr>
              <w:ind w:left="-107"/>
              <w:rPr>
                <w:sz w:val="20"/>
                <w:szCs w:val="20"/>
              </w:rPr>
            </w:pPr>
            <w:r w:rsidRPr="00C57580">
              <w:rPr>
                <w:sz w:val="20"/>
                <w:szCs w:val="20"/>
              </w:rPr>
              <w:t>1</w:t>
            </w:r>
          </w:p>
        </w:tc>
        <w:tc>
          <w:tcPr>
            <w:tcW w:w="5387" w:type="dxa"/>
          </w:tcPr>
          <w:p w:rsidR="008C12B9" w:rsidRPr="00C57580" w:rsidRDefault="008C12B9" w:rsidP="00906224">
            <w:pPr>
              <w:ind w:right="32"/>
              <w:rPr>
                <w:sz w:val="20"/>
                <w:szCs w:val="20"/>
              </w:rPr>
            </w:pPr>
            <w:r w:rsidRPr="00C57580">
              <w:rPr>
                <w:sz w:val="20"/>
                <w:szCs w:val="20"/>
              </w:rPr>
              <w:t>Fratelli e sorelle (germani, consanguinei e uterini), figliastri, figli di figliastri, partner consensuale, figli del partner consensuale, affiliati e affidatari</w:t>
            </w:r>
          </w:p>
        </w:tc>
        <w:tc>
          <w:tcPr>
            <w:tcW w:w="1275" w:type="dxa"/>
          </w:tcPr>
          <w:p w:rsidR="008C12B9" w:rsidRPr="00C57580" w:rsidRDefault="008C12B9" w:rsidP="00906224">
            <w:pPr>
              <w:jc w:val="left"/>
              <w:rPr>
                <w:sz w:val="20"/>
                <w:szCs w:val="20"/>
              </w:rPr>
            </w:pPr>
            <w:r w:rsidRPr="00C57580">
              <w:rPr>
                <w:sz w:val="20"/>
                <w:szCs w:val="20"/>
              </w:rPr>
              <w:t>1.0</w:t>
            </w:r>
          </w:p>
        </w:tc>
        <w:tc>
          <w:tcPr>
            <w:tcW w:w="1134" w:type="dxa"/>
          </w:tcPr>
          <w:p w:rsidR="008C12B9" w:rsidRPr="00C57580" w:rsidRDefault="008C12B9" w:rsidP="00906224">
            <w:pPr>
              <w:jc w:val="left"/>
              <w:rPr>
                <w:sz w:val="20"/>
                <w:szCs w:val="20"/>
              </w:rPr>
            </w:pPr>
            <w:r w:rsidRPr="00C57580">
              <w:rPr>
                <w:sz w:val="20"/>
                <w:szCs w:val="20"/>
              </w:rPr>
              <w:t>15.5%</w:t>
            </w:r>
          </w:p>
        </w:tc>
      </w:tr>
      <w:tr w:rsidR="008C12B9" w:rsidRPr="00C57580" w:rsidTr="00906224">
        <w:tc>
          <w:tcPr>
            <w:tcW w:w="709" w:type="dxa"/>
          </w:tcPr>
          <w:p w:rsidR="008C12B9" w:rsidRPr="00C57580" w:rsidRDefault="008C12B9" w:rsidP="00906224">
            <w:pPr>
              <w:ind w:left="-107"/>
              <w:rPr>
                <w:sz w:val="20"/>
                <w:szCs w:val="20"/>
              </w:rPr>
            </w:pPr>
            <w:r w:rsidRPr="00C57580">
              <w:rPr>
                <w:sz w:val="20"/>
                <w:szCs w:val="20"/>
              </w:rPr>
              <w:t>2</w:t>
            </w:r>
          </w:p>
        </w:tc>
        <w:tc>
          <w:tcPr>
            <w:tcW w:w="5387" w:type="dxa"/>
          </w:tcPr>
          <w:p w:rsidR="008C12B9" w:rsidRPr="00C57580" w:rsidRDefault="008C12B9" w:rsidP="00906224">
            <w:pPr>
              <w:ind w:right="32"/>
              <w:rPr>
                <w:sz w:val="20"/>
                <w:szCs w:val="20"/>
              </w:rPr>
            </w:pPr>
            <w:r w:rsidRPr="00C57580">
              <w:rPr>
                <w:sz w:val="20"/>
                <w:szCs w:val="20"/>
              </w:rPr>
              <w:t>Fratellastri e sorellastre, nipoti (consanguinei e affini), abiatici del partner consensuale</w:t>
            </w:r>
          </w:p>
        </w:tc>
        <w:tc>
          <w:tcPr>
            <w:tcW w:w="1275" w:type="dxa"/>
          </w:tcPr>
          <w:p w:rsidR="008C12B9" w:rsidRPr="00C57580" w:rsidRDefault="008C12B9" w:rsidP="00906224">
            <w:pPr>
              <w:jc w:val="left"/>
              <w:rPr>
                <w:sz w:val="20"/>
                <w:szCs w:val="20"/>
              </w:rPr>
            </w:pPr>
            <w:r w:rsidRPr="00C57580">
              <w:rPr>
                <w:sz w:val="20"/>
                <w:szCs w:val="20"/>
              </w:rPr>
              <w:t>1.3</w:t>
            </w:r>
          </w:p>
        </w:tc>
        <w:tc>
          <w:tcPr>
            <w:tcW w:w="1134" w:type="dxa"/>
          </w:tcPr>
          <w:p w:rsidR="008C12B9" w:rsidRPr="00C57580" w:rsidRDefault="008C12B9" w:rsidP="00906224">
            <w:pPr>
              <w:jc w:val="left"/>
              <w:rPr>
                <w:sz w:val="20"/>
                <w:szCs w:val="20"/>
              </w:rPr>
            </w:pPr>
            <w:r w:rsidRPr="00C57580">
              <w:rPr>
                <w:sz w:val="20"/>
                <w:szCs w:val="20"/>
              </w:rPr>
              <w:t>18.5%</w:t>
            </w:r>
          </w:p>
        </w:tc>
      </w:tr>
      <w:tr w:rsidR="008C12B9" w:rsidRPr="00C57580" w:rsidTr="00906224">
        <w:tc>
          <w:tcPr>
            <w:tcW w:w="709" w:type="dxa"/>
          </w:tcPr>
          <w:p w:rsidR="008C12B9" w:rsidRPr="00C57580" w:rsidRDefault="008C12B9" w:rsidP="00906224">
            <w:pPr>
              <w:ind w:left="-107"/>
              <w:rPr>
                <w:sz w:val="20"/>
                <w:szCs w:val="20"/>
              </w:rPr>
            </w:pPr>
            <w:r w:rsidRPr="00C57580">
              <w:rPr>
                <w:sz w:val="20"/>
                <w:szCs w:val="20"/>
              </w:rPr>
              <w:t>3</w:t>
            </w:r>
          </w:p>
        </w:tc>
        <w:tc>
          <w:tcPr>
            <w:tcW w:w="5387" w:type="dxa"/>
          </w:tcPr>
          <w:p w:rsidR="008C12B9" w:rsidRPr="00C57580" w:rsidRDefault="008C12B9" w:rsidP="00906224">
            <w:pPr>
              <w:ind w:right="32"/>
              <w:rPr>
                <w:sz w:val="20"/>
                <w:szCs w:val="20"/>
              </w:rPr>
            </w:pPr>
            <w:r w:rsidRPr="00C57580">
              <w:rPr>
                <w:sz w:val="20"/>
                <w:szCs w:val="20"/>
              </w:rPr>
              <w:t>Zii, pronipoti (consanguinei e affini), primi cugini, genero e nuora, matrigna e patrigno</w:t>
            </w:r>
          </w:p>
        </w:tc>
        <w:tc>
          <w:tcPr>
            <w:tcW w:w="1275" w:type="dxa"/>
          </w:tcPr>
          <w:p w:rsidR="008C12B9" w:rsidRPr="00C57580" w:rsidRDefault="008C12B9" w:rsidP="00906224">
            <w:pPr>
              <w:jc w:val="left"/>
              <w:rPr>
                <w:sz w:val="20"/>
                <w:szCs w:val="20"/>
              </w:rPr>
            </w:pPr>
            <w:r w:rsidRPr="00C57580">
              <w:rPr>
                <w:sz w:val="20"/>
                <w:szCs w:val="20"/>
              </w:rPr>
              <w:t>1.8</w:t>
            </w:r>
          </w:p>
        </w:tc>
        <w:tc>
          <w:tcPr>
            <w:tcW w:w="1134" w:type="dxa"/>
          </w:tcPr>
          <w:p w:rsidR="008C12B9" w:rsidRPr="00C57580" w:rsidRDefault="008C12B9" w:rsidP="00906224">
            <w:pPr>
              <w:jc w:val="left"/>
              <w:rPr>
                <w:sz w:val="20"/>
                <w:szCs w:val="20"/>
              </w:rPr>
            </w:pPr>
            <w:r w:rsidRPr="00C57580">
              <w:rPr>
                <w:sz w:val="20"/>
                <w:szCs w:val="20"/>
              </w:rPr>
              <w:t>27.0%</w:t>
            </w:r>
          </w:p>
        </w:tc>
      </w:tr>
      <w:tr w:rsidR="008C12B9" w:rsidRPr="00C57580" w:rsidTr="00906224">
        <w:tc>
          <w:tcPr>
            <w:tcW w:w="709" w:type="dxa"/>
          </w:tcPr>
          <w:p w:rsidR="008C12B9" w:rsidRPr="00C57580" w:rsidRDefault="008C12B9" w:rsidP="00906224">
            <w:pPr>
              <w:ind w:left="-107"/>
              <w:rPr>
                <w:sz w:val="20"/>
                <w:szCs w:val="20"/>
              </w:rPr>
            </w:pPr>
            <w:r w:rsidRPr="00C57580">
              <w:rPr>
                <w:sz w:val="20"/>
                <w:szCs w:val="20"/>
              </w:rPr>
              <w:t>4</w:t>
            </w:r>
          </w:p>
        </w:tc>
        <w:tc>
          <w:tcPr>
            <w:tcW w:w="5387" w:type="dxa"/>
          </w:tcPr>
          <w:p w:rsidR="008C12B9" w:rsidRPr="00C57580" w:rsidRDefault="008C12B9" w:rsidP="00906224">
            <w:pPr>
              <w:ind w:right="32"/>
              <w:rPr>
                <w:sz w:val="20"/>
                <w:szCs w:val="20"/>
              </w:rPr>
            </w:pPr>
            <w:r w:rsidRPr="00C57580">
              <w:rPr>
                <w:sz w:val="20"/>
                <w:szCs w:val="20"/>
              </w:rPr>
              <w:t>Parenti di altro grado, altri parenti per affinità, non parenti.</w:t>
            </w:r>
          </w:p>
        </w:tc>
        <w:tc>
          <w:tcPr>
            <w:tcW w:w="1275" w:type="dxa"/>
          </w:tcPr>
          <w:p w:rsidR="008C12B9" w:rsidRPr="00C57580" w:rsidRDefault="008C12B9" w:rsidP="00906224">
            <w:pPr>
              <w:jc w:val="left"/>
              <w:rPr>
                <w:sz w:val="20"/>
                <w:szCs w:val="20"/>
              </w:rPr>
            </w:pPr>
            <w:r w:rsidRPr="00C57580">
              <w:rPr>
                <w:sz w:val="20"/>
                <w:szCs w:val="20"/>
              </w:rPr>
              <w:t>3.0</w:t>
            </w:r>
          </w:p>
        </w:tc>
        <w:tc>
          <w:tcPr>
            <w:tcW w:w="1134" w:type="dxa"/>
          </w:tcPr>
          <w:p w:rsidR="008C12B9" w:rsidRPr="00C57580" w:rsidRDefault="008C12B9" w:rsidP="008C12B9">
            <w:pPr>
              <w:jc w:val="left"/>
              <w:rPr>
                <w:sz w:val="20"/>
                <w:szCs w:val="20"/>
              </w:rPr>
            </w:pPr>
            <w:r>
              <w:rPr>
                <w:sz w:val="20"/>
                <w:szCs w:val="20"/>
              </w:rPr>
              <w:t>41</w:t>
            </w:r>
            <w:r w:rsidRPr="00C57580">
              <w:rPr>
                <w:sz w:val="20"/>
                <w:szCs w:val="20"/>
              </w:rPr>
              <w:t>.0%</w:t>
            </w:r>
          </w:p>
        </w:tc>
      </w:tr>
    </w:tbl>
    <w:p w:rsidR="0021231A" w:rsidRDefault="0021231A" w:rsidP="0021231A">
      <w:pPr>
        <w:pStyle w:val="StandardRisoluzionedelConsigliodiStato"/>
        <w:ind w:right="-1"/>
      </w:pPr>
      <w:r w:rsidRPr="008C12B9">
        <w:rPr>
          <w:vertAlign w:val="superscript"/>
        </w:rPr>
        <w:t>3</w:t>
      </w:r>
      <w:r>
        <w:t>La parentela va intesa per consanguineità e per affinità conformemente ai gradi specificati al capoverso 1.</w:t>
      </w:r>
    </w:p>
    <w:p w:rsidR="0021231A" w:rsidRDefault="0021231A" w:rsidP="0021231A">
      <w:pPr>
        <w:pStyle w:val="StandardRisoluzionedelConsigliodiStato"/>
        <w:ind w:right="-1"/>
      </w:pPr>
    </w:p>
    <w:p w:rsidR="0021231A" w:rsidRPr="008C12B9" w:rsidRDefault="0021231A" w:rsidP="0021231A">
      <w:pPr>
        <w:pStyle w:val="StandardRisoluzionedelConsigliodiStato"/>
        <w:ind w:right="-1"/>
        <w:rPr>
          <w:b/>
        </w:rPr>
      </w:pPr>
      <w:r w:rsidRPr="008C12B9">
        <w:rPr>
          <w:b/>
        </w:rPr>
        <w:t>Art. 170 cpv. 1</w:t>
      </w:r>
    </w:p>
    <w:p w:rsidR="0021231A" w:rsidRDefault="0021231A" w:rsidP="0021231A">
      <w:pPr>
        <w:pStyle w:val="StandardRisoluzionedelConsigliodiStato"/>
        <w:ind w:right="-1"/>
      </w:pPr>
      <w:r w:rsidRPr="008C12B9">
        <w:rPr>
          <w:vertAlign w:val="superscript"/>
        </w:rPr>
        <w:t>1</w:t>
      </w:r>
      <w:r>
        <w:t>Qualora l’attivo successorio risulti in pericolo, i delegati comunali procedono immediatamente all’apposizione dei sigilli ai locali e mobili ove si presume possano trovarsi o dove sono deposti, a cura del delegato, oggetti di valore, registri, carte di famiglia, titoli, documenti o altri beni rilevanti ai fini della determinazione della sostanza, nonché alle casseforti e alle cassette di sicurezza presso istituti finanziari o presso terzi che ne abbiano la custodia.</w:t>
      </w:r>
    </w:p>
    <w:p w:rsidR="0021231A" w:rsidRDefault="0021231A" w:rsidP="0021231A">
      <w:pPr>
        <w:pStyle w:val="StandardRisoluzionedelConsigliodiStato"/>
        <w:ind w:right="-1"/>
      </w:pPr>
    </w:p>
    <w:p w:rsidR="0021231A" w:rsidRPr="008C12B9" w:rsidRDefault="0021231A" w:rsidP="0021231A">
      <w:pPr>
        <w:pStyle w:val="StandardRisoluzionedelConsigliodiStato"/>
        <w:ind w:right="-1"/>
        <w:rPr>
          <w:b/>
        </w:rPr>
      </w:pPr>
      <w:r w:rsidRPr="008C12B9">
        <w:rPr>
          <w:b/>
        </w:rPr>
        <w:t>Art. 300a cpv. 2</w:t>
      </w:r>
    </w:p>
    <w:p w:rsidR="0021231A" w:rsidRDefault="0021231A" w:rsidP="0021231A">
      <w:pPr>
        <w:pStyle w:val="StandardRisoluzionedelConsigliodiStato"/>
        <w:ind w:right="-1"/>
      </w:pPr>
      <w:r w:rsidRPr="008C12B9">
        <w:rPr>
          <w:vertAlign w:val="superscript"/>
        </w:rPr>
        <w:t>2</w:t>
      </w:r>
      <w:r>
        <w:t>abrogato</w:t>
      </w:r>
    </w:p>
    <w:p w:rsidR="0021231A" w:rsidRPr="008C12B9" w:rsidRDefault="0021231A" w:rsidP="0021231A">
      <w:pPr>
        <w:pStyle w:val="StandardRisoluzionedelConsigliodiStato"/>
        <w:ind w:right="-1"/>
        <w:rPr>
          <w:b/>
        </w:rPr>
      </w:pPr>
      <w:r w:rsidRPr="008C12B9">
        <w:rPr>
          <w:b/>
        </w:rPr>
        <w:t>II</w:t>
      </w:r>
    </w:p>
    <w:p w:rsidR="0021231A" w:rsidRDefault="0021231A" w:rsidP="008C12B9">
      <w:pPr>
        <w:pStyle w:val="StandardRisoluzionedelConsigliodiStato"/>
        <w:ind w:right="-1"/>
        <w:jc w:val="left"/>
      </w:pPr>
      <w:r w:rsidRPr="008C12B9">
        <w:rPr>
          <w:vertAlign w:val="superscript"/>
        </w:rPr>
        <w:t>1</w:t>
      </w:r>
      <w:r>
        <w:t>La presente legge sottostà a referendum facoltativo.</w:t>
      </w:r>
    </w:p>
    <w:p w:rsidR="0021231A" w:rsidRDefault="0021231A" w:rsidP="0021231A">
      <w:pPr>
        <w:pStyle w:val="StandardRisoluzionedelConsigliodiStato"/>
        <w:ind w:right="-1"/>
      </w:pPr>
      <w:r w:rsidRPr="008C12B9">
        <w:rPr>
          <w:vertAlign w:val="superscript"/>
        </w:rPr>
        <w:t>2</w:t>
      </w:r>
      <w:r>
        <w:t>Essa entra in vigore il 1° gennaio 2024.</w:t>
      </w:r>
    </w:p>
    <w:p w:rsidR="00D649A8" w:rsidRDefault="00D649A8" w:rsidP="00D33940">
      <w:pPr>
        <w:pStyle w:val="StandardRisoluzionedelConsigliodiStato"/>
        <w:ind w:right="-1"/>
      </w:pPr>
    </w:p>
    <w:p w:rsidR="00D649A8" w:rsidRPr="00D649A8" w:rsidRDefault="00D649A8" w:rsidP="00D33940">
      <w:pPr>
        <w:pStyle w:val="StandardRisoluzionedelConsigliodiStato"/>
        <w:ind w:right="-1"/>
      </w:pPr>
    </w:p>
    <w:sectPr w:rsidR="00D649A8" w:rsidRPr="00D649A8" w:rsidSect="009F02C3">
      <w:headerReference w:type="even" r:id="rId23"/>
      <w:headerReference w:type="default" r:id="rId24"/>
      <w:footerReference w:type="even" r:id="rId25"/>
      <w:footerReference w:type="default" r:id="rId26"/>
      <w:headerReference w:type="first" r:id="rId27"/>
      <w:footerReference w:type="first" r:id="rId28"/>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2C3" w:rsidRDefault="009F02C3" w:rsidP="00F657BF">
      <w:r>
        <w:separator/>
      </w:r>
    </w:p>
  </w:endnote>
  <w:endnote w:type="continuationSeparator" w:id="0">
    <w:p w:rsidR="009F02C3" w:rsidRDefault="009F02C3"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FF6" w:rsidRDefault="00904FF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F02C3" w:rsidRPr="003D1008" w:rsidTr="009F02C3">
      <w:trPr>
        <w:trHeight w:hRule="exact" w:val="737"/>
      </w:trPr>
      <w:tc>
        <w:tcPr>
          <w:tcW w:w="4695" w:type="dxa"/>
        </w:tcPr>
        <w:p w:rsidR="009F02C3" w:rsidRPr="003D1008" w:rsidRDefault="009F02C3" w:rsidP="009F02C3">
          <w:pPr>
            <w:tabs>
              <w:tab w:val="center" w:pos="2382"/>
            </w:tabs>
          </w:pPr>
        </w:p>
      </w:tc>
      <w:tc>
        <w:tcPr>
          <w:tcW w:w="721" w:type="dxa"/>
        </w:tcPr>
        <w:p w:rsidR="009F02C3" w:rsidRPr="003D1008" w:rsidRDefault="009F02C3" w:rsidP="009F02C3">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F02C3" w:rsidRPr="003D1008" w:rsidRDefault="009F02C3" w:rsidP="009F02C3">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F02C3" w:rsidRPr="003D1008" w:rsidRDefault="009F02C3" w:rsidP="009F02C3"/>
      </w:tc>
    </w:tr>
  </w:tbl>
  <w:p w:rsidR="009F02C3" w:rsidRDefault="009F02C3" w:rsidP="009F02C3">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2C3" w:rsidRDefault="009F02C3">
    <w:pPr>
      <w:pStyle w:val="Pidipagina"/>
      <w:jc w:val="center"/>
    </w:pPr>
  </w:p>
  <w:p w:rsidR="009F02C3" w:rsidRPr="008C6C46" w:rsidRDefault="009F02C3" w:rsidP="009F02C3">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2C3" w:rsidRDefault="009F02C3" w:rsidP="00F657BF">
      <w:r>
        <w:separator/>
      </w:r>
    </w:p>
  </w:footnote>
  <w:footnote w:type="continuationSeparator" w:id="0">
    <w:p w:rsidR="009F02C3" w:rsidRDefault="009F02C3" w:rsidP="00F657BF">
      <w:r>
        <w:continuationSeparator/>
      </w:r>
    </w:p>
  </w:footnote>
  <w:footnote w:id="1">
    <w:p w:rsidR="009F02C3" w:rsidRPr="00C12FE0" w:rsidRDefault="009F02C3">
      <w:pPr>
        <w:pStyle w:val="Testonotaapidipagina"/>
        <w:rPr>
          <w:sz w:val="20"/>
          <w:lang w:val="it-CH"/>
        </w:rPr>
      </w:pPr>
      <w:r w:rsidRPr="00C12FE0">
        <w:rPr>
          <w:rStyle w:val="Rimandonotaapidipagina"/>
          <w:sz w:val="20"/>
        </w:rPr>
        <w:footnoteRef/>
      </w:r>
      <w:r w:rsidRPr="00904FF6">
        <w:rPr>
          <w:sz w:val="20"/>
          <w:lang w:val="it-CH"/>
        </w:rPr>
        <w:t xml:space="preserve"> La teoria dello sgocciolamento è una teoria economica che sostiene che ridurre le tasse per le aziende e le persone più ricche nella società stimola l'economia. Secondo questa teoria, quando le aziende e gli investitori ricevono benefici fiscali, avranno più denaro da investire nel business, che porterà alla creazione di più posti di lavoro e benefici economici generali che alla fine sgoccioleranno a beneficio di tutti i livelli della società. La teoria dello sgocciolamento è un mito, un'illusione, una bugia. La diminuzione delle imposte per i ricchi non porta a un aumento degli investimenti. La teoria dello sgocciolamento non funziona perché i ricchi tendono a depositare i soldi che risparmiano nei mercati finanziari, piuttosto che investirli nell'economia locale.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FF6" w:rsidRDefault="00904FF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9F02C3" w:rsidRPr="002747E7" w:rsidTr="009F02C3">
      <w:trPr>
        <w:trHeight w:val="562"/>
      </w:trPr>
      <w:tc>
        <w:tcPr>
          <w:tcW w:w="8383" w:type="dxa"/>
          <w:tcBorders>
            <w:left w:val="single" w:sz="4" w:space="0" w:color="auto"/>
            <w:bottom w:val="single" w:sz="4" w:space="0" w:color="auto"/>
          </w:tcBorders>
          <w:tcMar>
            <w:left w:w="142" w:type="dxa"/>
          </w:tcMar>
          <w:vAlign w:val="bottom"/>
        </w:tcPr>
        <w:p w:rsidR="009F02C3" w:rsidRDefault="00582855" w:rsidP="009F02C3">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FA9F751A-1576-4E01-A78D-20F99823A139}"/>
              <w:text w:multiLine="1"/>
            </w:sdtPr>
            <w:sdtEndPr/>
            <w:sdtContent>
              <w:r w:rsidR="009F02C3">
                <w:rPr>
                  <w:rFonts w:ascii="Gill Alt One MT Light" w:hAnsi="Gill Alt One MT Light"/>
                  <w:sz w:val="16"/>
                  <w:szCs w:val="16"/>
                </w:rPr>
                <w:t>Repubblica e Cantone Ticino</w:t>
              </w:r>
            </w:sdtContent>
          </w:sdt>
        </w:p>
        <w:p w:rsidR="009F02C3" w:rsidRPr="00E8185F" w:rsidRDefault="00582855" w:rsidP="009F02C3">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FA9F751A-1576-4E01-A78D-20F99823A139}"/>
              <w:text w:multiLine="1"/>
            </w:sdtPr>
            <w:sdtEndPr/>
            <w:sdtContent>
              <w:r w:rsidR="009F02C3">
                <w:rPr>
                  <w:rFonts w:ascii="Gill Alt One MT Light" w:hAnsi="Gill Alt One MT Light"/>
                  <w:sz w:val="16"/>
                  <w:szCs w:val="16"/>
                </w:rPr>
                <w:t>Dipartimento delle finanze e dell’economia</w:t>
              </w:r>
            </w:sdtContent>
          </w:sdt>
        </w:p>
      </w:tc>
      <w:tc>
        <w:tcPr>
          <w:tcW w:w="1710" w:type="dxa"/>
          <w:tcBorders>
            <w:bottom w:val="single" w:sz="4" w:space="0" w:color="auto"/>
          </w:tcBorders>
          <w:vAlign w:val="bottom"/>
        </w:tcPr>
        <w:p w:rsidR="009F02C3" w:rsidRPr="004204CB" w:rsidRDefault="009F02C3" w:rsidP="009F02C3">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582855">
            <w:rPr>
              <w:noProof/>
              <w:sz w:val="24"/>
            </w:rPr>
            <w:t>14</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582855">
            <w:rPr>
              <w:noProof/>
              <w:sz w:val="24"/>
            </w:rPr>
            <w:t>19</w:t>
          </w:r>
          <w:r w:rsidRPr="004204CB">
            <w:rPr>
              <w:noProof/>
              <w:sz w:val="24"/>
            </w:rPr>
            <w:fldChar w:fldCharType="end"/>
          </w:r>
        </w:p>
      </w:tc>
    </w:tr>
    <w:tr w:rsidR="009F02C3" w:rsidRPr="009E444B" w:rsidTr="009F02C3">
      <w:trPr>
        <w:trHeight w:val="334"/>
      </w:trPr>
      <w:sdt>
        <w:sdtPr>
          <w:rPr>
            <w:rFonts w:ascii="Gill Sans Display MT Pro BdCn" w:hAnsi="Gill Sans Display MT Pro BdCn"/>
            <w:sz w:val="18"/>
            <w:szCs w:val="18"/>
          </w:rPr>
          <w:alias w:val="CustomElements.Fields.Titolo2"/>
          <w:id w:val="48588533"/>
          <w:dataBinding w:xpath="//Text[@id='CustomElements.Fields.Titolo2']" w:storeItemID="{FA9F751A-1576-4E01-A78D-20F99823A139}"/>
          <w:text w:multiLine="1"/>
        </w:sdtPr>
        <w:sdtEndPr/>
        <w:sdtContent>
          <w:tc>
            <w:tcPr>
              <w:tcW w:w="8383" w:type="dxa"/>
              <w:tcBorders>
                <w:left w:val="single" w:sz="4" w:space="0" w:color="auto"/>
              </w:tcBorders>
              <w:tcMar>
                <w:top w:w="0" w:type="dxa"/>
                <w:left w:w="142" w:type="dxa"/>
              </w:tcMar>
            </w:tcPr>
            <w:p w:rsidR="009F02C3" w:rsidRPr="00904FF6" w:rsidRDefault="00904FF6" w:rsidP="009F02C3">
              <w:pPr>
                <w:pStyle w:val="Information"/>
                <w:rPr>
                  <w:rFonts w:ascii="Gill Sans Display MT Pro BdCn" w:hAnsi="Gill Sans Display MT Pro BdCn"/>
                  <w:sz w:val="18"/>
                  <w:szCs w:val="18"/>
                </w:rPr>
              </w:pPr>
              <w:r>
                <w:rPr>
                  <w:rFonts w:ascii="Gill Sans Display MT Pro BdCn" w:hAnsi="Gill Sans Display MT Pro BdCn"/>
                  <w:sz w:val="18"/>
                  <w:szCs w:val="18"/>
                </w:rPr>
                <w:t>Rapporto di minoranza 1 n. 8303 R2 del 28 novembre 2023</w:t>
              </w:r>
            </w:p>
          </w:tc>
        </w:sdtContent>
      </w:sdt>
      <w:tc>
        <w:tcPr>
          <w:tcW w:w="1710" w:type="dxa"/>
          <w:tcBorders>
            <w:top w:val="single" w:sz="4" w:space="0" w:color="auto"/>
          </w:tcBorders>
        </w:tcPr>
        <w:p w:rsidR="009F02C3" w:rsidRPr="00904FF6" w:rsidRDefault="009F02C3" w:rsidP="009F02C3">
          <w:pPr>
            <w:pStyle w:val="InvisibleLine"/>
            <w:rPr>
              <w:lang w:val="it-CH"/>
            </w:rPr>
          </w:pPr>
        </w:p>
      </w:tc>
    </w:tr>
  </w:tbl>
  <w:p w:rsidR="009F02C3" w:rsidRPr="00980362" w:rsidRDefault="009F02C3" w:rsidP="009F02C3">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FA9F751A-1576-4E01-A78D-20F99823A139}"/>
                            <w:text w:multiLine="1"/>
                          </w:sdtPr>
                          <w:sdtEndPr/>
                          <w:sdtContent>
                            <w:p w:rsidR="009F02C3" w:rsidRPr="00411371" w:rsidRDefault="009F02C3" w:rsidP="009F02C3">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FA9F751A-1576-4E01-A78D-20F99823A139}"/>
                      <w:text w:multiLine="1"/>
                    </w:sdtPr>
                    <w:sdtEndPr/>
                    <w:sdtContent>
                      <w:p w:rsidR="009F02C3" w:rsidRPr="00411371" w:rsidRDefault="009F02C3" w:rsidP="009F02C3">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F02C3" w:rsidRPr="0004624C" w:rsidTr="009F02C3">
      <w:trPr>
        <w:trHeight w:hRule="exact" w:val="584"/>
      </w:trPr>
      <w:tc>
        <w:tcPr>
          <w:tcW w:w="2440" w:type="pct"/>
          <w:gridSpan w:val="3"/>
          <w:tcBorders>
            <w:top w:val="nil"/>
            <w:left w:val="nil"/>
            <w:bottom w:val="single" w:sz="4" w:space="0" w:color="auto"/>
          </w:tcBorders>
        </w:tcPr>
        <w:p w:rsidR="009F02C3" w:rsidRDefault="009F02C3" w:rsidP="009F02C3">
          <w:pPr>
            <w:pStyle w:val="InvisibleLine"/>
            <w:spacing w:line="240" w:lineRule="auto"/>
            <w:ind w:left="15"/>
            <w:rPr>
              <w:rFonts w:ascii="Gill Alt One MT Light" w:hAnsi="Gill Alt One MT Light"/>
              <w:sz w:val="16"/>
              <w:lang w:val="it-CH"/>
            </w:rPr>
          </w:pPr>
        </w:p>
        <w:p w:rsidR="009F02C3" w:rsidRDefault="009F02C3" w:rsidP="009F02C3">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9F02C3" w:rsidRPr="008966E7" w:rsidRDefault="009F02C3" w:rsidP="009F02C3">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9F02C3" w:rsidRPr="003108C0" w:rsidRDefault="009F02C3" w:rsidP="009F02C3">
          <w:pPr>
            <w:pStyle w:val="Level"/>
            <w:ind w:left="150"/>
            <w:rPr>
              <w:sz w:val="16"/>
            </w:rPr>
          </w:pPr>
        </w:p>
      </w:tc>
      <w:tc>
        <w:tcPr>
          <w:tcW w:w="209" w:type="pct"/>
          <w:tcBorders>
            <w:top w:val="nil"/>
            <w:bottom w:val="single" w:sz="4" w:space="0" w:color="auto"/>
          </w:tcBorders>
        </w:tcPr>
        <w:p w:rsidR="009F02C3" w:rsidRDefault="009F02C3" w:rsidP="009F02C3">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430820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9F02C3" w:rsidRPr="004204CB" w:rsidRDefault="009F02C3" w:rsidP="009F02C3">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D22D09">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D22D09">
            <w:rPr>
              <w:rFonts w:asciiTheme="minorHAnsi" w:hAnsiTheme="minorHAnsi" w:cstheme="minorHAnsi"/>
              <w:noProof/>
              <w:sz w:val="24"/>
            </w:rPr>
            <w:t>19</w:t>
          </w:r>
          <w:r w:rsidRPr="004204CB">
            <w:rPr>
              <w:rFonts w:asciiTheme="minorHAnsi" w:hAnsiTheme="minorHAnsi" w:cstheme="minorHAnsi"/>
              <w:noProof/>
              <w:sz w:val="24"/>
            </w:rPr>
            <w:fldChar w:fldCharType="end"/>
          </w:r>
        </w:p>
      </w:tc>
    </w:tr>
    <w:tr w:rsidR="009F02C3" w:rsidRPr="0004624C" w:rsidTr="009F02C3">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FA9F751A-1576-4E01-A78D-20F99823A139}"/>
          <w:text w:multiLine="1"/>
        </w:sdtPr>
        <w:sdtEndPr/>
        <w:sdtContent>
          <w:tc>
            <w:tcPr>
              <w:tcW w:w="5000" w:type="pct"/>
              <w:gridSpan w:val="6"/>
              <w:tcBorders>
                <w:left w:val="nil"/>
                <w:right w:val="nil"/>
              </w:tcBorders>
              <w:noWrap/>
              <w:tcMar>
                <w:top w:w="0" w:type="dxa"/>
              </w:tcMar>
              <w:vAlign w:val="bottom"/>
            </w:tcPr>
            <w:p w:rsidR="009F02C3" w:rsidRPr="008C03B5" w:rsidRDefault="00904FF6" w:rsidP="009F02C3">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 di minoranza 1</w:t>
              </w:r>
            </w:p>
          </w:tc>
        </w:sdtContent>
      </w:sdt>
    </w:tr>
    <w:tr w:rsidR="009F02C3" w:rsidRPr="0004624C" w:rsidTr="009F02C3">
      <w:trPr>
        <w:trHeight w:hRule="exact" w:val="306"/>
      </w:trPr>
      <w:tc>
        <w:tcPr>
          <w:tcW w:w="670" w:type="pct"/>
          <w:tcBorders>
            <w:left w:val="nil"/>
            <w:bottom w:val="nil"/>
          </w:tcBorders>
          <w:noWrap/>
          <w:tcMar>
            <w:top w:w="57" w:type="dxa"/>
            <w:left w:w="142" w:type="dxa"/>
          </w:tcMar>
        </w:tcPr>
        <w:p w:rsidR="009F02C3" w:rsidRPr="00C7320A" w:rsidRDefault="009F02C3" w:rsidP="009F02C3">
          <w:pPr>
            <w:pStyle w:val="Level"/>
            <w:spacing w:before="60"/>
            <w:rPr>
              <w:rFonts w:ascii="Gill Alt One MT Light" w:hAnsi="Gill Alt One MT Light"/>
              <w:sz w:val="16"/>
            </w:rPr>
          </w:pPr>
          <w:r w:rsidRPr="00C7320A">
            <w:rPr>
              <w:rFonts w:ascii="Gill Alt One MT Light" w:hAnsi="Gill Alt One MT Light"/>
              <w:sz w:val="16"/>
            </w:rPr>
            <w:t>numero</w:t>
          </w:r>
        </w:p>
        <w:p w:rsidR="009F02C3" w:rsidRPr="00C7320A" w:rsidRDefault="009F02C3" w:rsidP="009F02C3">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9F02C3" w:rsidRPr="00C7320A" w:rsidRDefault="009F02C3" w:rsidP="009F02C3">
          <w:pPr>
            <w:pStyle w:val="Level"/>
            <w:spacing w:before="60"/>
            <w:rPr>
              <w:rFonts w:ascii="Gill Alt One MT Light" w:hAnsi="Gill Alt One MT Light"/>
              <w:sz w:val="16"/>
            </w:rPr>
          </w:pPr>
          <w:r w:rsidRPr="00C7320A">
            <w:rPr>
              <w:rFonts w:ascii="Gill Alt One MT Light" w:hAnsi="Gill Alt One MT Light"/>
              <w:sz w:val="16"/>
            </w:rPr>
            <w:t>data</w:t>
          </w:r>
        </w:p>
        <w:p w:rsidR="009F02C3" w:rsidRPr="00C7320A" w:rsidRDefault="009F02C3" w:rsidP="009F02C3">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9F02C3" w:rsidRPr="00C7320A" w:rsidRDefault="009F02C3" w:rsidP="009F02C3">
          <w:pPr>
            <w:pStyle w:val="Level"/>
            <w:spacing w:before="60"/>
            <w:rPr>
              <w:rFonts w:ascii="Gill Alt One MT Light" w:hAnsi="Gill Alt One MT Light"/>
              <w:sz w:val="16"/>
            </w:rPr>
          </w:pPr>
          <w:r>
            <w:rPr>
              <w:rFonts w:ascii="Gill Alt One MT Light" w:hAnsi="Gill Alt One MT Light"/>
              <w:sz w:val="16"/>
            </w:rPr>
            <w:t>competenza</w:t>
          </w:r>
        </w:p>
        <w:p w:rsidR="009F02C3" w:rsidRPr="008C03B5" w:rsidRDefault="009F02C3" w:rsidP="009F02C3">
          <w:pPr>
            <w:pStyle w:val="Level"/>
            <w:spacing w:before="60" w:line="240" w:lineRule="auto"/>
            <w:rPr>
              <w:rFonts w:ascii="Gill Alt One MT Light" w:hAnsi="Gill Alt One MT Light"/>
              <w:sz w:val="16"/>
            </w:rPr>
          </w:pPr>
        </w:p>
      </w:tc>
    </w:tr>
    <w:tr w:rsidR="009F02C3" w:rsidRPr="0004624C" w:rsidTr="009F02C3">
      <w:trPr>
        <w:trHeight w:hRule="exact" w:val="699"/>
      </w:trPr>
      <w:tc>
        <w:tcPr>
          <w:tcW w:w="670" w:type="pct"/>
          <w:tcBorders>
            <w:top w:val="nil"/>
            <w:left w:val="nil"/>
            <w:bottom w:val="single" w:sz="4" w:space="0" w:color="auto"/>
            <w:right w:val="nil"/>
          </w:tcBorders>
          <w:noWrap/>
          <w:tcMar>
            <w:top w:w="0" w:type="dxa"/>
          </w:tcMar>
        </w:tcPr>
        <w:p w:rsidR="009F02C3" w:rsidRPr="00BE22A2" w:rsidRDefault="00582855" w:rsidP="009F02C3">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FA9F751A-1576-4E01-A78D-20F99823A139}"/>
              <w:text w:multiLine="1"/>
            </w:sdtPr>
            <w:sdtEndPr/>
            <w:sdtContent>
              <w:r w:rsidR="00904FF6">
                <w:rPr>
                  <w:rFonts w:cstheme="minorHAnsi"/>
                  <w:b/>
                  <w:sz w:val="24"/>
                  <w:szCs w:val="24"/>
                </w:rPr>
                <w:t>8303 R2</w:t>
              </w:r>
            </w:sdtContent>
          </w:sdt>
        </w:p>
      </w:tc>
      <w:sdt>
        <w:sdtPr>
          <w:rPr>
            <w:sz w:val="24"/>
          </w:rPr>
          <w:alias w:val="DocParam.Date"/>
          <w:id w:val="-464426178"/>
          <w:dataBinding w:xpath="//DateTime[@id='DocParam.Date']" w:storeItemID="{FA9F751A-1576-4E01-A78D-20F99823A139}"/>
          <w:date w:fullDate="2023-11-28T01: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9F02C3" w:rsidRPr="002A0371" w:rsidRDefault="00904FF6" w:rsidP="009F02C3">
              <w:pPr>
                <w:pStyle w:val="Data"/>
              </w:pPr>
              <w:r>
                <w:rPr>
                  <w:sz w:val="24"/>
                </w:rPr>
                <w:t>28 novembre 2023</w:t>
              </w:r>
            </w:p>
          </w:tc>
        </w:sdtContent>
      </w:sdt>
      <w:tc>
        <w:tcPr>
          <w:tcW w:w="3218" w:type="pct"/>
          <w:gridSpan w:val="4"/>
          <w:tcBorders>
            <w:top w:val="nil"/>
            <w:left w:val="nil"/>
            <w:bottom w:val="nil"/>
            <w:right w:val="nil"/>
          </w:tcBorders>
        </w:tcPr>
        <w:p w:rsidR="009F02C3" w:rsidRPr="00BE22A2" w:rsidRDefault="00582855" w:rsidP="009F02C3">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FA9F751A-1576-4E01-A78D-20F99823A139}"/>
              <w:text w:multiLine="1"/>
            </w:sdtPr>
            <w:sdtEndPr/>
            <w:sdtContent>
              <w:r w:rsidR="009F02C3">
                <w:rPr>
                  <w:smallCaps/>
                  <w:sz w:val="23"/>
                  <w:szCs w:val="23"/>
                </w:rPr>
                <w:t>Dipartimento delle finanze e dell’economia</w:t>
              </w:r>
            </w:sdtContent>
          </w:sdt>
        </w:p>
      </w:tc>
    </w:tr>
    <w:tr w:rsidR="009F02C3" w:rsidRPr="00C63927" w:rsidTr="009F02C3">
      <w:trPr>
        <w:trHeight w:hRule="exact" w:val="198"/>
      </w:trPr>
      <w:tc>
        <w:tcPr>
          <w:tcW w:w="5000" w:type="pct"/>
          <w:gridSpan w:val="6"/>
          <w:tcBorders>
            <w:left w:val="nil"/>
            <w:bottom w:val="nil"/>
            <w:right w:val="nil"/>
          </w:tcBorders>
          <w:noWrap/>
          <w:tcMar>
            <w:top w:w="57" w:type="dxa"/>
            <w:left w:w="85" w:type="dxa"/>
            <w:bottom w:w="170" w:type="dxa"/>
          </w:tcMar>
        </w:tcPr>
        <w:p w:rsidR="009F02C3" w:rsidRPr="00C7320A" w:rsidRDefault="009F02C3" w:rsidP="009F02C3">
          <w:pPr>
            <w:pStyle w:val="Level"/>
            <w:ind w:left="150"/>
            <w:rPr>
              <w:rFonts w:ascii="Gill Alt One MT Light" w:hAnsi="Gill Alt One MT Light"/>
              <w:sz w:val="16"/>
              <w:szCs w:val="16"/>
            </w:rPr>
          </w:pPr>
        </w:p>
      </w:tc>
    </w:tr>
  </w:tbl>
  <w:p w:rsidR="009F02C3" w:rsidRPr="00DA2879" w:rsidRDefault="009F02C3" w:rsidP="009F02C3">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1043828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FA9F751A-1576-4E01-A78D-20F99823A139}"/>
                            <w:text w:multiLine="1"/>
                          </w:sdtPr>
                          <w:sdtEndPr/>
                          <w:sdtContent>
                            <w:p w:rsidR="009F02C3" w:rsidRPr="00411371" w:rsidRDefault="009F02C3" w:rsidP="009F02C3">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FA9F751A-1576-4E01-A78D-20F99823A139}"/>
                      <w:text w:multiLine="1"/>
                    </w:sdtPr>
                    <w:sdtEndPr/>
                    <w:sdtContent>
                      <w:p w:rsidR="009F02C3" w:rsidRPr="00411371" w:rsidRDefault="009F02C3" w:rsidP="009F02C3">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158075A0"/>
    <w:multiLevelType w:val="hybridMultilevel"/>
    <w:tmpl w:val="64B020A0"/>
    <w:lvl w:ilvl="0" w:tplc="8270824E">
      <w:start w:val="213"/>
      <w:numFmt w:val="bullet"/>
      <w:lvlText w:val="-"/>
      <w:lvlJc w:val="left"/>
      <w:pPr>
        <w:ind w:left="720" w:hanging="360"/>
      </w:pPr>
      <w:rPr>
        <w:rFonts w:ascii="Arial" w:eastAsiaTheme="minorHAnsi" w:hAnsi="Arial" w:cs="Arial" w:hint="default"/>
        <w:b/>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2"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pStyle w:val="Titolo2"/>
      <w:lvlText w:val="%1.%2"/>
      <w:lvlJc w:val="left"/>
      <w:pPr>
        <w:ind w:left="544" w:hanging="544"/>
      </w:pPr>
      <w:rPr>
        <w:rFonts w:hint="default"/>
      </w:rPr>
    </w:lvl>
    <w:lvl w:ilvl="2">
      <w:start w:val="1"/>
      <w:numFmt w:val="decimal"/>
      <w:pStyle w:val="Titolo3"/>
      <w:lvlText w:val="%1.%2.%3"/>
      <w:lvlJc w:val="left"/>
      <w:pPr>
        <w:ind w:left="726" w:hanging="726"/>
      </w:pPr>
      <w:rPr>
        <w:rFonts w:hint="default"/>
      </w:rPr>
    </w:lvl>
    <w:lvl w:ilvl="3">
      <w:start w:val="1"/>
      <w:numFmt w:val="decimal"/>
      <w:pStyle w:val="Titolo4"/>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49D524CC"/>
    <w:multiLevelType w:val="multilevel"/>
    <w:tmpl w:val="953CA1B2"/>
    <w:numStyleLink w:val="HeadingList"/>
  </w:abstractNum>
  <w:num w:numId="1">
    <w:abstractNumId w:val="12"/>
  </w:num>
  <w:num w:numId="2">
    <w:abstractNumId w:val="17"/>
    <w:lvlOverride w:ilvl="0">
      <w:lvl w:ilvl="0">
        <w:start w:val="1"/>
        <w:numFmt w:val="decimal"/>
        <w:lvlText w:val="%1"/>
        <w:lvlJc w:val="left"/>
        <w:pPr>
          <w:ind w:left="363" w:hanging="363"/>
        </w:pPr>
        <w:rPr>
          <w:rFonts w:ascii="Arial" w:hAnsi="Arial" w:cs="Arial" w:hint="default"/>
        </w:rPr>
      </w:lvl>
    </w:lvlOverride>
  </w:num>
  <w:num w:numId="3">
    <w:abstractNumId w:val="10"/>
  </w:num>
  <w:num w:numId="4">
    <w:abstractNumId w:val="16"/>
  </w:num>
  <w:num w:numId="5">
    <w:abstractNumId w:val="15"/>
  </w:num>
  <w:num w:numId="6">
    <w:abstractNumId w:val="13"/>
  </w:num>
  <w:num w:numId="7">
    <w:abstractNumId w:val="14"/>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31A"/>
    <w:rsid w:val="000964AA"/>
    <w:rsid w:val="000C1CEE"/>
    <w:rsid w:val="000E346E"/>
    <w:rsid w:val="000E5E6F"/>
    <w:rsid w:val="00183645"/>
    <w:rsid w:val="0021231A"/>
    <w:rsid w:val="002206BD"/>
    <w:rsid w:val="002B5D9F"/>
    <w:rsid w:val="00332893"/>
    <w:rsid w:val="00395611"/>
    <w:rsid w:val="003B756D"/>
    <w:rsid w:val="00403ADB"/>
    <w:rsid w:val="004771EB"/>
    <w:rsid w:val="00486B4C"/>
    <w:rsid w:val="00495783"/>
    <w:rsid w:val="004A7FD3"/>
    <w:rsid w:val="005014D6"/>
    <w:rsid w:val="00531484"/>
    <w:rsid w:val="00572FD3"/>
    <w:rsid w:val="00582855"/>
    <w:rsid w:val="005C7D64"/>
    <w:rsid w:val="00630BCC"/>
    <w:rsid w:val="00654DFF"/>
    <w:rsid w:val="00682479"/>
    <w:rsid w:val="006945BE"/>
    <w:rsid w:val="006A6579"/>
    <w:rsid w:val="00723825"/>
    <w:rsid w:val="007C3230"/>
    <w:rsid w:val="007D555F"/>
    <w:rsid w:val="00857F9A"/>
    <w:rsid w:val="008720C4"/>
    <w:rsid w:val="008A2478"/>
    <w:rsid w:val="008C12B9"/>
    <w:rsid w:val="008C520F"/>
    <w:rsid w:val="008F52AF"/>
    <w:rsid w:val="00904FF6"/>
    <w:rsid w:val="00955BAC"/>
    <w:rsid w:val="009C5E5A"/>
    <w:rsid w:val="009F02C3"/>
    <w:rsid w:val="00A41308"/>
    <w:rsid w:val="00A77644"/>
    <w:rsid w:val="00A91957"/>
    <w:rsid w:val="00AF0268"/>
    <w:rsid w:val="00BA7529"/>
    <w:rsid w:val="00BF0A1F"/>
    <w:rsid w:val="00C12FE0"/>
    <w:rsid w:val="00CE329E"/>
    <w:rsid w:val="00D22D09"/>
    <w:rsid w:val="00D33940"/>
    <w:rsid w:val="00D600FD"/>
    <w:rsid w:val="00D649A8"/>
    <w:rsid w:val="00DD1A86"/>
    <w:rsid w:val="00DF4EA1"/>
    <w:rsid w:val="00EB088A"/>
    <w:rsid w:val="00EE3842"/>
    <w:rsid w:val="00F657BF"/>
    <w:rsid w:val="00FE60A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D6AB25"/>
  <w15:docId w15:val="{DC0053C2-E84A-4535-A062-B46EB6A51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190C3F"/>
    <w:rPr>
      <w:rFonts w:ascii="Arial" w:hAnsi="Arial"/>
      <w:lang w:val="it-CH"/>
    </w:rPr>
  </w:style>
  <w:style w:type="paragraph" w:styleId="Titolo1">
    <w:name w:val="heading 1"/>
    <w:basedOn w:val="Normale"/>
    <w:next w:val="Normale"/>
    <w:link w:val="Titolo1Carattere"/>
    <w:qFormat/>
    <w:rsid w:val="00C12FE0"/>
    <w:pPr>
      <w:keepNext/>
      <w:spacing w:before="360" w:after="240"/>
      <w:jc w:val="left"/>
      <w:outlineLvl w:val="0"/>
    </w:pPr>
    <w:rPr>
      <w:b/>
    </w:rPr>
  </w:style>
  <w:style w:type="paragraph" w:styleId="Titolo2">
    <w:name w:val="heading 2"/>
    <w:basedOn w:val="Titolo1"/>
    <w:next w:val="Normale"/>
    <w:link w:val="Titolo2Carattere"/>
    <w:uiPriority w:val="9"/>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C12FE0"/>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qFormat/>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rsid w:val="00B33B5E"/>
    <w:pPr>
      <w:ind w:left="153"/>
    </w:pPr>
    <w:rPr>
      <w:u w:val="single"/>
    </w:rPr>
  </w:style>
  <w:style w:type="paragraph" w:customStyle="1" w:styleId="EnclosuresBox1">
    <w:name w:val="EnclosuresBox1"/>
    <w:basedOn w:val="EnclosuresBox"/>
    <w:rsid w:val="00BE1F4B"/>
    <w:pPr>
      <w:tabs>
        <w:tab w:val="clear" w:pos="284"/>
        <w:tab w:val="left" w:pos="437"/>
      </w:tabs>
      <w:ind w:left="153"/>
    </w:pPr>
  </w:style>
  <w:style w:type="paragraph" w:customStyle="1" w:styleId="DatumBig">
    <w:name w:val="DatumBig"/>
    <w:basedOn w:val="EnclosuresBox1"/>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rsid w:val="00075E78"/>
    <w:pPr>
      <w:spacing w:before="60"/>
      <w:jc w:val="left"/>
    </w:pPr>
  </w:style>
  <w:style w:type="paragraph" w:customStyle="1" w:styleId="EnclosuresBoxRisoluzionedelConsigliodiStato">
    <w:name w:val="EnclosuresBoxRisoluzionedelConsigliodiStato"/>
    <w:basedOn w:val="EnclosuresBox"/>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rsid w:val="00955039"/>
    <w:pPr>
      <w:spacing w:before="60"/>
    </w:pPr>
  </w:style>
  <w:style w:type="paragraph" w:customStyle="1" w:styleId="PageRisoluzioneConsigliodiStato">
    <w:name w:val="PageRisoluzioneConsigliodiStato"/>
    <w:basedOn w:val="Page"/>
    <w:rsid w:val="00075E78"/>
    <w:rPr>
      <w:sz w:val="24"/>
    </w:rPr>
  </w:style>
  <w:style w:type="paragraph" w:customStyle="1" w:styleId="ListAlphabetic12">
    <w:name w:val="ListAlphabetic12"/>
    <w:basedOn w:val="ListAlphabetic"/>
    <w:rsid w:val="0040086C"/>
    <w:pPr>
      <w:numPr>
        <w:numId w:val="3"/>
      </w:numPr>
    </w:pPr>
    <w:rPr>
      <w:sz w:val="24"/>
      <w:szCs w:val="24"/>
    </w:rPr>
  </w:style>
  <w:style w:type="paragraph" w:customStyle="1" w:styleId="ListNumeric12">
    <w:name w:val="ListNumeric12"/>
    <w:basedOn w:val="ListNumeric"/>
    <w:rsid w:val="0040086C"/>
    <w:rPr>
      <w:sz w:val="24"/>
      <w:szCs w:val="24"/>
    </w:rPr>
  </w:style>
  <w:style w:type="paragraph" w:customStyle="1" w:styleId="ListBullet12">
    <w:name w:val="ListBullet12"/>
    <w:basedOn w:val="ListBullet"/>
    <w:rsid w:val="0040086C"/>
    <w:rPr>
      <w:sz w:val="24"/>
      <w:szCs w:val="24"/>
    </w:rPr>
  </w:style>
  <w:style w:type="paragraph" w:customStyle="1" w:styleId="ListLine12">
    <w:name w:val="ListLine12"/>
    <w:basedOn w:val="ListLine"/>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styleId="NormaleWeb">
    <w:name w:val="Normal (Web)"/>
    <w:basedOn w:val="Normale"/>
    <w:uiPriority w:val="99"/>
    <w:unhideWhenUsed/>
    <w:rsid w:val="0021231A"/>
    <w:pPr>
      <w:spacing w:before="100" w:beforeAutospacing="1" w:after="100" w:afterAutospacing="1"/>
      <w:jc w:val="left"/>
    </w:pPr>
    <w:rPr>
      <w:rFonts w:ascii="Times New Roman" w:eastAsia="Times New Roman" w:hAnsi="Times New Roman" w:cs="Times New Roman"/>
      <w:sz w:val="24"/>
      <w:szCs w:val="24"/>
      <w:lang w:eastAsia="it-IT"/>
    </w:rPr>
  </w:style>
  <w:style w:type="table" w:styleId="Grigliatab4">
    <w:name w:val="Grid Table 4"/>
    <w:basedOn w:val="Tabellanormale"/>
    <w:uiPriority w:val="49"/>
    <w:rsid w:val="00C12FE0"/>
    <w:pPr>
      <w:jc w:val="left"/>
    </w:pPr>
    <w:rPr>
      <w:lang w:val="it-CH"/>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llegamentoipertestuale">
    <w:name w:val="Hyperlink"/>
    <w:basedOn w:val="Carpredefinitoparagrafo"/>
    <w:uiPriority w:val="99"/>
    <w:unhideWhenUsed/>
    <w:rsid w:val="009F02C3"/>
    <w:rPr>
      <w:color w:val="0000FF" w:themeColor="hyperlink"/>
      <w:u w:val="single"/>
    </w:rPr>
  </w:style>
  <w:style w:type="table" w:styleId="Grigliatabella">
    <w:name w:val="Table Grid"/>
    <w:basedOn w:val="Tabellanormale"/>
    <w:uiPriority w:val="59"/>
    <w:rsid w:val="008C1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654DF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54DFF"/>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2.xml"/><Relationship Id="rId18" Type="http://schemas.openxmlformats.org/officeDocument/2006/relationships/image" Target="media/image2.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image" Target="media/image1.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chart" Target="charts/chart4.xm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3.xml"/><Relationship Id="rId22" Type="http://schemas.openxmlformats.org/officeDocument/2006/relationships/image" Target="media/image6.png"/><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54037\AppData\Local\Temp\OneOffixx\generated\40efa4ed-1b1f-4c5e-86a4-0a9e0f84fc84.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Documenti\Fiscalit&#224;_sostanza\Dat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Documenti\Fiscalit&#224;_sostanza\Dati.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Cartel2" TargetMode="External"/><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3" Type="http://schemas.openxmlformats.org/officeDocument/2006/relationships/oleObject" Target="Cartel2" TargetMode="External"/><Relationship Id="rId2" Type="http://schemas.microsoft.com/office/2011/relationships/chartColorStyle" Target="colors2.xml"/><Relationship Id="rId1" Type="http://schemas.microsoft.com/office/2011/relationships/chartStyle" Target="style2.xml"/></Relationships>
</file>

<file path=word/charts/_rels/chart5.xml.rels><?xml version="1.0" encoding="UTF-8" standalone="yes"?>
<Relationships xmlns="http://schemas.openxmlformats.org/package/2006/relationships"><Relationship Id="rId3" Type="http://schemas.openxmlformats.org/officeDocument/2006/relationships/oleObject" Target="Cartel2"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lIns="0" tIns="0" rIns="0" bIns="0"/>
          <a:lstStyle/>
          <a:p>
            <a:pPr marL="0" marR="0" indent="0" algn="ctr" defTabSz="914400" fontAlgn="auto" hangingPunct="1">
              <a:lnSpc>
                <a:spcPct val="100000"/>
              </a:lnSpc>
              <a:spcBef>
                <a:spcPts val="0"/>
              </a:spcBef>
              <a:spcAft>
                <a:spcPts val="0"/>
              </a:spcAft>
              <a:tabLst/>
              <a:defRPr sz="1400" b="0" i="0" u="none" strike="noStrike" kern="1200" spc="0" baseline="0">
                <a:solidFill>
                  <a:srgbClr val="595959"/>
                </a:solidFill>
                <a:latin typeface="Calibri"/>
              </a:defRPr>
            </a:pPr>
            <a:r>
              <a:rPr lang="it-CH" sz="1400" b="0" i="0" u="none" strike="noStrike" kern="1200" cap="none" spc="0" baseline="0">
                <a:solidFill>
                  <a:srgbClr val="595959"/>
                </a:solidFill>
                <a:uFillTx/>
                <a:latin typeface="Calibri"/>
              </a:rPr>
              <a:t>Numero casi sostanza &gt; 5 milioni</a:t>
            </a:r>
          </a:p>
        </c:rich>
      </c:tx>
      <c:layout/>
      <c:overlay val="0"/>
      <c:spPr>
        <a:noFill/>
        <a:ln>
          <a:noFill/>
        </a:ln>
      </c:spPr>
    </c:title>
    <c:autoTitleDeleted val="0"/>
    <c:plotArea>
      <c:layout/>
      <c:lineChart>
        <c:grouping val="standard"/>
        <c:varyColors val="0"/>
        <c:ser>
          <c:idx val="0"/>
          <c:order val="0"/>
          <c:spPr>
            <a:ln w="28575" cap="rnd">
              <a:solidFill>
                <a:srgbClr val="4472C4"/>
              </a:solidFill>
              <a:prstDash val="solid"/>
              <a:round/>
            </a:ln>
          </c:spPr>
          <c:marker>
            <c:symbol val="none"/>
          </c:marker>
          <c:cat>
            <c:numRef>
              <c:f>Sostanza!$A$2:$A$8</c:f>
              <c:numCache>
                <c:formatCode>General</c:formatCode>
                <c:ptCount val="7"/>
                <c:pt idx="0">
                  <c:v>2013</c:v>
                </c:pt>
                <c:pt idx="1">
                  <c:v>2014</c:v>
                </c:pt>
                <c:pt idx="2">
                  <c:v>2015</c:v>
                </c:pt>
                <c:pt idx="3">
                  <c:v>2016</c:v>
                </c:pt>
                <c:pt idx="4">
                  <c:v>2017</c:v>
                </c:pt>
                <c:pt idx="5">
                  <c:v>2018</c:v>
                </c:pt>
                <c:pt idx="6">
                  <c:v>2019</c:v>
                </c:pt>
              </c:numCache>
            </c:numRef>
          </c:cat>
          <c:val>
            <c:numRef>
              <c:f>Sostanza!$B$2:$B$8</c:f>
              <c:numCache>
                <c:formatCode>General</c:formatCode>
                <c:ptCount val="7"/>
                <c:pt idx="0">
                  <c:v>1241</c:v>
                </c:pt>
                <c:pt idx="1">
                  <c:v>1407</c:v>
                </c:pt>
                <c:pt idx="2">
                  <c:v>1550</c:v>
                </c:pt>
                <c:pt idx="3">
                  <c:v>1602</c:v>
                </c:pt>
                <c:pt idx="4">
                  <c:v>1971</c:v>
                </c:pt>
                <c:pt idx="5">
                  <c:v>2025</c:v>
                </c:pt>
                <c:pt idx="6">
                  <c:v>2136</c:v>
                </c:pt>
              </c:numCache>
            </c:numRef>
          </c:val>
          <c:smooth val="0"/>
          <c:extLst>
            <c:ext xmlns:c16="http://schemas.microsoft.com/office/drawing/2014/chart" uri="{C3380CC4-5D6E-409C-BE32-E72D297353CC}">
              <c16:uniqueId val="{00000000-D0B0-47AD-882D-1275A0C34868}"/>
            </c:ext>
          </c:extLst>
        </c:ser>
        <c:dLbls>
          <c:showLegendKey val="0"/>
          <c:showVal val="0"/>
          <c:showCatName val="0"/>
          <c:showSerName val="0"/>
          <c:showPercent val="0"/>
          <c:showBubbleSize val="0"/>
        </c:dLbls>
        <c:smooth val="0"/>
        <c:axId val="463148768"/>
        <c:axId val="463148440"/>
      </c:lineChart>
      <c:valAx>
        <c:axId val="463148440"/>
        <c:scaling>
          <c:orientation val="minMax"/>
          <c:min val="1000"/>
        </c:scaling>
        <c:delete val="0"/>
        <c:axPos val="l"/>
        <c:majorGridlines>
          <c:spPr>
            <a:ln w="9528" cap="flat">
              <a:solidFill>
                <a:srgbClr val="D9D9D9"/>
              </a:solidFill>
              <a:prstDash val="solid"/>
              <a:round/>
            </a:ln>
          </c:spPr>
        </c:majorGridlines>
        <c:numFmt formatCode="General" sourceLinked="1"/>
        <c:majorTickMark val="none"/>
        <c:minorTickMark val="none"/>
        <c:tickLblPos val="nextTo"/>
        <c:spPr>
          <a:noFill/>
          <a:ln>
            <a:noFill/>
          </a:ln>
        </c:spPr>
        <c:txPr>
          <a:bodyPr lIns="0" tIns="0" rIns="0" bIns="0"/>
          <a:lstStyle/>
          <a:p>
            <a:pPr marL="0" marR="0" indent="0" defTabSz="914400" fontAlgn="auto" hangingPunct="1">
              <a:lnSpc>
                <a:spcPct val="100000"/>
              </a:lnSpc>
              <a:spcBef>
                <a:spcPts val="0"/>
              </a:spcBef>
              <a:spcAft>
                <a:spcPts val="0"/>
              </a:spcAft>
              <a:tabLst/>
              <a:defRPr sz="900" b="0" i="0" u="none" strike="noStrike" kern="1200" baseline="0">
                <a:solidFill>
                  <a:srgbClr val="595959"/>
                </a:solidFill>
                <a:latin typeface="Calibri"/>
              </a:defRPr>
            </a:pPr>
            <a:endParaRPr lang="it-CH"/>
          </a:p>
        </c:txPr>
        <c:crossAx val="463148768"/>
        <c:crosses val="autoZero"/>
        <c:crossBetween val="between"/>
      </c:valAx>
      <c:catAx>
        <c:axId val="463148768"/>
        <c:scaling>
          <c:orientation val="minMax"/>
        </c:scaling>
        <c:delete val="0"/>
        <c:axPos val="b"/>
        <c:numFmt formatCode="General" sourceLinked="1"/>
        <c:majorTickMark val="none"/>
        <c:minorTickMark val="none"/>
        <c:tickLblPos val="nextTo"/>
        <c:spPr>
          <a:no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sz="900" b="0" i="0" u="none" strike="noStrike" kern="1200" baseline="0">
                <a:solidFill>
                  <a:srgbClr val="595959"/>
                </a:solidFill>
                <a:latin typeface="Calibri"/>
              </a:defRPr>
            </a:pPr>
            <a:endParaRPr lang="it-CH"/>
          </a:p>
        </c:txPr>
        <c:crossAx val="463148440"/>
        <c:crosses val="autoZero"/>
        <c:auto val="1"/>
        <c:lblAlgn val="ctr"/>
        <c:lblOffset val="100"/>
        <c:noMultiLvlLbl val="0"/>
      </c:catAx>
      <c:spPr>
        <a:noFill/>
        <a:ln>
          <a:noFill/>
        </a:ln>
      </c:spPr>
    </c:plotArea>
    <c:plotVisOnly val="1"/>
    <c:dispBlanksAs val="gap"/>
    <c:showDLblsOverMax val="0"/>
  </c:chart>
  <c:spPr>
    <a:solidFill>
      <a:srgbClr val="FFFFFF"/>
    </a:solid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it-IT" sz="1000" b="0" i="0" u="none" strike="noStrike" kern="1200" baseline="0">
          <a:solidFill>
            <a:srgbClr val="000000"/>
          </a:solidFill>
          <a:latin typeface="Calibri"/>
        </a:defRPr>
      </a:pPr>
      <a:endParaRPr lang="it-CH"/>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lIns="0" tIns="0" rIns="0" bIns="0"/>
          <a:lstStyle/>
          <a:p>
            <a:pPr marL="0" marR="0" indent="0" algn="ctr" defTabSz="914400" fontAlgn="auto" hangingPunct="1">
              <a:lnSpc>
                <a:spcPct val="100000"/>
              </a:lnSpc>
              <a:spcBef>
                <a:spcPts val="0"/>
              </a:spcBef>
              <a:spcAft>
                <a:spcPts val="0"/>
              </a:spcAft>
              <a:tabLst/>
              <a:defRPr sz="1400" b="0" i="0" u="none" strike="noStrike" kern="1200" spc="0" baseline="0">
                <a:solidFill>
                  <a:srgbClr val="595959"/>
                </a:solidFill>
                <a:latin typeface="Calibri"/>
              </a:defRPr>
            </a:pPr>
            <a:r>
              <a:rPr lang="it-CH" sz="1400" b="0" i="0" u="none" strike="noStrike" kern="1200" cap="none" spc="0" baseline="0">
                <a:solidFill>
                  <a:srgbClr val="595959"/>
                </a:solidFill>
                <a:uFillTx/>
                <a:latin typeface="Calibri"/>
              </a:rPr>
              <a:t>Casi di tassazione con reddito &gt; 200'000 CHF (fonte Rendiconto del Consiglio di Stato)</a:t>
            </a:r>
          </a:p>
        </c:rich>
      </c:tx>
      <c:layout/>
      <c:overlay val="0"/>
      <c:spPr>
        <a:noFill/>
        <a:ln>
          <a:noFill/>
        </a:ln>
      </c:spPr>
    </c:title>
    <c:autoTitleDeleted val="0"/>
    <c:plotArea>
      <c:layout/>
      <c:scatterChart>
        <c:scatterStyle val="lineMarker"/>
        <c:varyColors val="0"/>
        <c:ser>
          <c:idx val="0"/>
          <c:order val="0"/>
          <c:spPr>
            <a:ln w="19046" cap="rnd">
              <a:solidFill>
                <a:srgbClr val="4472C4"/>
              </a:solidFill>
              <a:prstDash val="solid"/>
              <a:round/>
            </a:ln>
          </c:spPr>
          <c:marker>
            <c:symbol val="circle"/>
            <c:size val="5"/>
          </c:marker>
          <c:xVal>
            <c:numRef>
              <c:f>Particolarmente_facoltosi!$A$2:$A$6</c:f>
              <c:numCache>
                <c:formatCode>General</c:formatCode>
                <c:ptCount val="5"/>
                <c:pt idx="0">
                  <c:v>2017</c:v>
                </c:pt>
                <c:pt idx="1">
                  <c:v>2016</c:v>
                </c:pt>
                <c:pt idx="2">
                  <c:v>2015</c:v>
                </c:pt>
                <c:pt idx="3">
                  <c:v>2014</c:v>
                </c:pt>
                <c:pt idx="4">
                  <c:v>2013</c:v>
                </c:pt>
              </c:numCache>
            </c:numRef>
          </c:xVal>
          <c:yVal>
            <c:numRef>
              <c:f>Particolarmente_facoltosi!$B$2:$B$6</c:f>
              <c:numCache>
                <c:formatCode>General</c:formatCode>
                <c:ptCount val="5"/>
                <c:pt idx="0">
                  <c:v>6119</c:v>
                </c:pt>
                <c:pt idx="1">
                  <c:v>5961</c:v>
                </c:pt>
                <c:pt idx="2">
                  <c:v>5882</c:v>
                </c:pt>
                <c:pt idx="3">
                  <c:v>5574</c:v>
                </c:pt>
                <c:pt idx="4">
                  <c:v>4940</c:v>
                </c:pt>
              </c:numCache>
            </c:numRef>
          </c:yVal>
          <c:smooth val="0"/>
          <c:extLst>
            <c:ext xmlns:c16="http://schemas.microsoft.com/office/drawing/2014/chart" uri="{C3380CC4-5D6E-409C-BE32-E72D297353CC}">
              <c16:uniqueId val="{00000000-9E7C-4489-B136-A64F65A7E0DC}"/>
            </c:ext>
          </c:extLst>
        </c:ser>
        <c:dLbls>
          <c:showLegendKey val="0"/>
          <c:showVal val="0"/>
          <c:showCatName val="0"/>
          <c:showSerName val="0"/>
          <c:showPercent val="0"/>
          <c:showBubbleSize val="0"/>
        </c:dLbls>
        <c:axId val="463146800"/>
        <c:axId val="463149424"/>
      </c:scatterChart>
      <c:valAx>
        <c:axId val="463149424"/>
        <c:scaling>
          <c:orientation val="minMax"/>
          <c:min val="4000"/>
        </c:scaling>
        <c:delete val="0"/>
        <c:axPos val="l"/>
        <c:majorGridlines>
          <c:spPr>
            <a:ln w="9528" cap="flat">
              <a:solidFill>
                <a:srgbClr val="D9D9D9"/>
              </a:solidFill>
              <a:prstDash val="solid"/>
              <a:round/>
            </a:ln>
          </c:spPr>
        </c:majorGridlines>
        <c:numFmt formatCode="General" sourceLinked="1"/>
        <c:majorTickMark val="none"/>
        <c:minorTickMark val="none"/>
        <c:tickLblPos val="nextTo"/>
        <c:spPr>
          <a:noFill/>
          <a:ln w="9528" cap="flat">
            <a:solidFill>
              <a:srgbClr val="BFBFBF"/>
            </a:solidFill>
            <a:prstDash val="solid"/>
            <a:round/>
          </a:ln>
        </c:spPr>
        <c:txPr>
          <a:bodyPr lIns="0" tIns="0" rIns="0" bIns="0"/>
          <a:lstStyle/>
          <a:p>
            <a:pPr marL="0" marR="0" indent="0" defTabSz="914400" fontAlgn="auto" hangingPunct="1">
              <a:lnSpc>
                <a:spcPct val="100000"/>
              </a:lnSpc>
              <a:spcBef>
                <a:spcPts val="0"/>
              </a:spcBef>
              <a:spcAft>
                <a:spcPts val="0"/>
              </a:spcAft>
              <a:tabLst/>
              <a:defRPr sz="900" b="0" i="0" u="none" strike="noStrike" kern="1200" baseline="0">
                <a:solidFill>
                  <a:srgbClr val="595959"/>
                </a:solidFill>
                <a:latin typeface="Calibri"/>
              </a:defRPr>
            </a:pPr>
            <a:endParaRPr lang="it-CH"/>
          </a:p>
        </c:txPr>
        <c:crossAx val="463146800"/>
        <c:crosses val="autoZero"/>
        <c:crossBetween val="midCat"/>
      </c:valAx>
      <c:valAx>
        <c:axId val="463146800"/>
        <c:scaling>
          <c:orientation val="minMax"/>
          <c:max val="2017"/>
          <c:min val="2013"/>
        </c:scaling>
        <c:delete val="0"/>
        <c:axPos val="b"/>
        <c:majorGridlines>
          <c:spPr>
            <a:ln w="9528" cap="flat">
              <a:solidFill>
                <a:srgbClr val="D9D9D9"/>
              </a:solidFill>
              <a:prstDash val="solid"/>
              <a:round/>
            </a:ln>
          </c:spPr>
        </c:majorGridlines>
        <c:numFmt formatCode="General" sourceLinked="1"/>
        <c:majorTickMark val="none"/>
        <c:minorTickMark val="none"/>
        <c:tickLblPos val="nextTo"/>
        <c:spPr>
          <a:noFill/>
          <a:ln w="9528" cap="flat">
            <a:solidFill>
              <a:srgbClr val="BFBFBF"/>
            </a:solidFill>
            <a:prstDash val="solid"/>
            <a:round/>
          </a:ln>
        </c:spPr>
        <c:txPr>
          <a:bodyPr lIns="0" tIns="0" rIns="0" bIns="0"/>
          <a:lstStyle/>
          <a:p>
            <a:pPr marL="0" marR="0" indent="0" defTabSz="914400" fontAlgn="auto" hangingPunct="1">
              <a:lnSpc>
                <a:spcPct val="100000"/>
              </a:lnSpc>
              <a:spcBef>
                <a:spcPts val="0"/>
              </a:spcBef>
              <a:spcAft>
                <a:spcPts val="0"/>
              </a:spcAft>
              <a:tabLst/>
              <a:defRPr sz="900" b="0" i="0" u="none" strike="noStrike" kern="1200" baseline="0">
                <a:solidFill>
                  <a:srgbClr val="595959"/>
                </a:solidFill>
                <a:latin typeface="Calibri"/>
              </a:defRPr>
            </a:pPr>
            <a:endParaRPr lang="it-CH"/>
          </a:p>
        </c:txPr>
        <c:crossAx val="463149424"/>
        <c:crosses val="autoZero"/>
        <c:crossBetween val="midCat"/>
        <c:majorUnit val="1"/>
      </c:valAx>
      <c:spPr>
        <a:noFill/>
        <a:ln>
          <a:noFill/>
        </a:ln>
      </c:spPr>
    </c:plotArea>
    <c:plotVisOnly val="1"/>
    <c:dispBlanksAs val="gap"/>
    <c:showDLblsOverMax val="0"/>
  </c:chart>
  <c:spPr>
    <a:solidFill>
      <a:srgbClr val="FFFFFF"/>
    </a:solid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it-IT" sz="1000" b="0" i="0" u="none" strike="noStrike" kern="1200" baseline="0">
          <a:solidFill>
            <a:srgbClr val="000000"/>
          </a:solidFill>
          <a:latin typeface="Calibri"/>
        </a:defRPr>
      </a:pPr>
      <a:endParaRPr lang="it-CH"/>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CH"/>
              <a:t>Beneficio per fasce di reddito della riduzione dell'aliquota massima ai fini dell'imposta sul reddito (CHF)</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CH"/>
        </a:p>
      </c:txPr>
    </c:title>
    <c:autoTitleDeleted val="0"/>
    <c:plotArea>
      <c:layout/>
      <c:barChart>
        <c:barDir val="col"/>
        <c:grouping val="clustered"/>
        <c:varyColors val="0"/>
        <c:ser>
          <c:idx val="0"/>
          <c:order val="0"/>
          <c:spPr>
            <a:solidFill>
              <a:schemeClr val="accent1"/>
            </a:solidFill>
            <a:ln>
              <a:noFill/>
            </a:ln>
            <a:effectLst/>
          </c:spPr>
          <c:invertIfNegative val="0"/>
          <c:cat>
            <c:numRef>
              <c:f>'Benefici sostanza reddito'!$A$3:$A$13</c:f>
              <c:numCache>
                <c:formatCode>_ * #,##0_ ;_ * \-#,##0_ ;_ * "-"??_ ;_ @_ </c:formatCode>
                <c:ptCount val="11"/>
                <c:pt idx="0">
                  <c:v>10000</c:v>
                </c:pt>
                <c:pt idx="1">
                  <c:v>50000</c:v>
                </c:pt>
                <c:pt idx="2">
                  <c:v>100000</c:v>
                </c:pt>
                <c:pt idx="3">
                  <c:v>200000</c:v>
                </c:pt>
                <c:pt idx="4">
                  <c:v>300000</c:v>
                </c:pt>
                <c:pt idx="5">
                  <c:v>400000</c:v>
                </c:pt>
                <c:pt idx="6">
                  <c:v>500000</c:v>
                </c:pt>
                <c:pt idx="7">
                  <c:v>750000</c:v>
                </c:pt>
                <c:pt idx="8">
                  <c:v>1000000</c:v>
                </c:pt>
                <c:pt idx="9">
                  <c:v>2000000</c:v>
                </c:pt>
                <c:pt idx="10">
                  <c:v>5000000</c:v>
                </c:pt>
              </c:numCache>
            </c:numRef>
          </c:cat>
          <c:val>
            <c:numRef>
              <c:f>'Benefici sostanza reddito'!$F$3:$F$13</c:f>
              <c:numCache>
                <c:formatCode>_ * #,##0_ ;_ * \-#,##0_ ;_ * "-"??_ ;_ @_ </c:formatCode>
                <c:ptCount val="11"/>
                <c:pt idx="0">
                  <c:v>0</c:v>
                </c:pt>
                <c:pt idx="1">
                  <c:v>0</c:v>
                </c:pt>
                <c:pt idx="2">
                  <c:v>0</c:v>
                </c:pt>
                <c:pt idx="3">
                  <c:v>0</c:v>
                </c:pt>
                <c:pt idx="4">
                  <c:v>0</c:v>
                </c:pt>
                <c:pt idx="5">
                  <c:v>2520</c:v>
                </c:pt>
                <c:pt idx="6">
                  <c:v>7740</c:v>
                </c:pt>
                <c:pt idx="7">
                  <c:v>20790</c:v>
                </c:pt>
                <c:pt idx="8">
                  <c:v>34560</c:v>
                </c:pt>
                <c:pt idx="9">
                  <c:v>90000</c:v>
                </c:pt>
                <c:pt idx="10">
                  <c:v>255600</c:v>
                </c:pt>
              </c:numCache>
            </c:numRef>
          </c:val>
          <c:extLst>
            <c:ext xmlns:c16="http://schemas.microsoft.com/office/drawing/2014/chart" uri="{C3380CC4-5D6E-409C-BE32-E72D297353CC}">
              <c16:uniqueId val="{00000000-DAEF-46FA-9937-EB01E6C3ED6C}"/>
            </c:ext>
          </c:extLst>
        </c:ser>
        <c:dLbls>
          <c:showLegendKey val="0"/>
          <c:showVal val="0"/>
          <c:showCatName val="0"/>
          <c:showSerName val="0"/>
          <c:showPercent val="0"/>
          <c:showBubbleSize val="0"/>
        </c:dLbls>
        <c:gapWidth val="219"/>
        <c:overlap val="-27"/>
        <c:axId val="629401672"/>
        <c:axId val="629352144"/>
      </c:barChart>
      <c:catAx>
        <c:axId val="629401672"/>
        <c:scaling>
          <c:orientation val="minMax"/>
        </c:scaling>
        <c:delete val="0"/>
        <c:axPos val="b"/>
        <c:numFmt formatCode="_ * #,##0_ ;_ * \-#,##0_ ;_ * &quot;-&quot;??_ ;_ @_ "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CH"/>
          </a:p>
        </c:txPr>
        <c:crossAx val="629352144"/>
        <c:crosses val="autoZero"/>
        <c:auto val="1"/>
        <c:lblAlgn val="ctr"/>
        <c:lblOffset val="100"/>
        <c:noMultiLvlLbl val="0"/>
      </c:catAx>
      <c:valAx>
        <c:axId val="629352144"/>
        <c:scaling>
          <c:orientation val="minMax"/>
        </c:scaling>
        <c:delete val="0"/>
        <c:axPos val="l"/>
        <c:majorGridlines>
          <c:spPr>
            <a:ln w="9525" cap="flat" cmpd="sng" algn="ctr">
              <a:solidFill>
                <a:schemeClr val="tx1">
                  <a:lumMod val="15000"/>
                  <a:lumOff val="85000"/>
                </a:schemeClr>
              </a:solidFill>
              <a:round/>
            </a:ln>
            <a:effectLst/>
          </c:spPr>
        </c:majorGridlines>
        <c:numFmt formatCode="_ * #,##0_ ;_ * \-#,##0_ ;_ * &quot;-&quot;??_ ;_ @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CH"/>
          </a:p>
        </c:txPr>
        <c:crossAx val="6294016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CH"/>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CH"/>
              <a:t>Beneficio per fasce di reddito della riduzione dell'aliquota massima ai fine dell'imposta sulla</a:t>
            </a:r>
            <a:r>
              <a:rPr lang="it-CH" baseline="0"/>
              <a:t> sostanza (CHF) entrata in vigore dal 2020</a:t>
            </a:r>
            <a:endParaRPr lang="it-CH"/>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CH"/>
        </a:p>
      </c:txPr>
    </c:title>
    <c:autoTitleDeleted val="0"/>
    <c:plotArea>
      <c:layout/>
      <c:barChart>
        <c:barDir val="col"/>
        <c:grouping val="clustered"/>
        <c:varyColors val="0"/>
        <c:ser>
          <c:idx val="0"/>
          <c:order val="0"/>
          <c:spPr>
            <a:solidFill>
              <a:schemeClr val="accent1"/>
            </a:solidFill>
            <a:ln>
              <a:noFill/>
            </a:ln>
            <a:effectLst/>
          </c:spPr>
          <c:invertIfNegative val="0"/>
          <c:cat>
            <c:numRef>
              <c:f>'Benefici sostanza reddito'!$A$16:$A$26</c:f>
              <c:numCache>
                <c:formatCode>_ * #,##0_ ;_ * \-#,##0_ ;_ * "-"??_ ;_ @_ </c:formatCode>
                <c:ptCount val="11"/>
                <c:pt idx="0">
                  <c:v>0</c:v>
                </c:pt>
                <c:pt idx="1">
                  <c:v>50000</c:v>
                </c:pt>
                <c:pt idx="2">
                  <c:v>100000</c:v>
                </c:pt>
                <c:pt idx="3">
                  <c:v>200000</c:v>
                </c:pt>
                <c:pt idx="4">
                  <c:v>500000</c:v>
                </c:pt>
                <c:pt idx="5">
                  <c:v>1000000</c:v>
                </c:pt>
                <c:pt idx="6">
                  <c:v>2000000</c:v>
                </c:pt>
                <c:pt idx="7">
                  <c:v>4000000</c:v>
                </c:pt>
                <c:pt idx="8">
                  <c:v>5000000</c:v>
                </c:pt>
                <c:pt idx="9">
                  <c:v>10000000</c:v>
                </c:pt>
                <c:pt idx="10">
                  <c:v>20000000</c:v>
                </c:pt>
              </c:numCache>
            </c:numRef>
          </c:cat>
          <c:val>
            <c:numRef>
              <c:f>'Benefici sostanza reddito'!$F$16:$F$26</c:f>
              <c:numCache>
                <c:formatCode>_ * #,##0_ ;_ * \-#,##0_ ;_ * "-"??_ ;_ @_ </c:formatCode>
                <c:ptCount val="11"/>
                <c:pt idx="0">
                  <c:v>0</c:v>
                </c:pt>
                <c:pt idx="1">
                  <c:v>0</c:v>
                </c:pt>
                <c:pt idx="2">
                  <c:v>0</c:v>
                </c:pt>
                <c:pt idx="3">
                  <c:v>0</c:v>
                </c:pt>
                <c:pt idx="4">
                  <c:v>0</c:v>
                </c:pt>
                <c:pt idx="5">
                  <c:v>0</c:v>
                </c:pt>
                <c:pt idx="6">
                  <c:v>828</c:v>
                </c:pt>
                <c:pt idx="7">
                  <c:v>7200</c:v>
                </c:pt>
                <c:pt idx="8">
                  <c:v>9000</c:v>
                </c:pt>
                <c:pt idx="9">
                  <c:v>18000</c:v>
                </c:pt>
                <c:pt idx="10">
                  <c:v>36000</c:v>
                </c:pt>
              </c:numCache>
            </c:numRef>
          </c:val>
          <c:extLst>
            <c:ext xmlns:c16="http://schemas.microsoft.com/office/drawing/2014/chart" uri="{C3380CC4-5D6E-409C-BE32-E72D297353CC}">
              <c16:uniqueId val="{00000000-0522-41E6-88A9-432EFAFD910F}"/>
            </c:ext>
          </c:extLst>
        </c:ser>
        <c:dLbls>
          <c:showLegendKey val="0"/>
          <c:showVal val="0"/>
          <c:showCatName val="0"/>
          <c:showSerName val="0"/>
          <c:showPercent val="0"/>
          <c:showBubbleSize val="0"/>
        </c:dLbls>
        <c:gapWidth val="219"/>
        <c:overlap val="-27"/>
        <c:axId val="576635544"/>
        <c:axId val="576632264"/>
      </c:barChart>
      <c:catAx>
        <c:axId val="576635544"/>
        <c:scaling>
          <c:orientation val="minMax"/>
        </c:scaling>
        <c:delete val="0"/>
        <c:axPos val="b"/>
        <c:numFmt formatCode="_ * #,##0_ ;_ * \-#,##0_ ;_ * &quot;-&quot;??_ ;_ @_ "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CH"/>
          </a:p>
        </c:txPr>
        <c:crossAx val="576632264"/>
        <c:crosses val="autoZero"/>
        <c:auto val="1"/>
        <c:lblAlgn val="ctr"/>
        <c:lblOffset val="100"/>
        <c:noMultiLvlLbl val="0"/>
      </c:catAx>
      <c:valAx>
        <c:axId val="576632264"/>
        <c:scaling>
          <c:orientation val="minMax"/>
        </c:scaling>
        <c:delete val="0"/>
        <c:axPos val="l"/>
        <c:majorGridlines>
          <c:spPr>
            <a:ln w="9525" cap="flat" cmpd="sng" algn="ctr">
              <a:solidFill>
                <a:schemeClr val="tx1">
                  <a:lumMod val="15000"/>
                  <a:lumOff val="85000"/>
                </a:schemeClr>
              </a:solidFill>
              <a:round/>
            </a:ln>
            <a:effectLst/>
          </c:spPr>
        </c:majorGridlines>
        <c:numFmt formatCode="_ * #,##0_ ;_ * \-#,##0_ ;_ * &quot;-&quot;??_ ;_ @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CH"/>
          </a:p>
        </c:txPr>
        <c:crossAx val="5766355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CH"/>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CH"/>
              <a:t>Benficio</a:t>
            </a:r>
            <a:r>
              <a:rPr lang="it-CH" baseline="0"/>
              <a:t> cumulato riduzione aliquote massime ai fini dell'imposta sulla sostanza e sul reddito (CHF)</a:t>
            </a:r>
            <a:endParaRPr lang="it-CH"/>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CH"/>
        </a:p>
      </c:txPr>
    </c:title>
    <c:autoTitleDeleted val="0"/>
    <c:plotArea>
      <c:layout/>
      <c:barChart>
        <c:barDir val="col"/>
        <c:grouping val="stacked"/>
        <c:varyColors val="0"/>
        <c:ser>
          <c:idx val="0"/>
          <c:order val="0"/>
          <c:tx>
            <c:strRef>
              <c:f>'Benefici sostanza reddito'!$B$29</c:f>
              <c:strCache>
                <c:ptCount val="1"/>
                <c:pt idx="0">
                  <c:v>Reddito</c:v>
                </c:pt>
              </c:strCache>
            </c:strRef>
          </c:tx>
          <c:spPr>
            <a:solidFill>
              <a:schemeClr val="accent1"/>
            </a:solidFill>
            <a:ln>
              <a:noFill/>
            </a:ln>
            <a:effectLst/>
          </c:spPr>
          <c:invertIfNegative val="0"/>
          <c:cat>
            <c:strRef>
              <c:f>'Benefici sostanza reddito'!$A$30:$A$37</c:f>
              <c:strCache>
                <c:ptCount val="8"/>
                <c:pt idx="0">
                  <c:v>10'000 - 0</c:v>
                </c:pt>
                <c:pt idx="1">
                  <c:v>50'000 - 100'000</c:v>
                </c:pt>
                <c:pt idx="2">
                  <c:v>100'000 - 200'000</c:v>
                </c:pt>
                <c:pt idx="3">
                  <c:v>200'000 - 750'000</c:v>
                </c:pt>
                <c:pt idx="4">
                  <c:v>500'000 - 2'000'000</c:v>
                </c:pt>
                <c:pt idx="5">
                  <c:v>1'000'000 - 5'000'000</c:v>
                </c:pt>
                <c:pt idx="6">
                  <c:v>2'000'000 - 10'000'000</c:v>
                </c:pt>
                <c:pt idx="7">
                  <c:v>5'000'000 - 20'000'000</c:v>
                </c:pt>
              </c:strCache>
            </c:strRef>
          </c:cat>
          <c:val>
            <c:numRef>
              <c:f>'Benefici sostanza reddito'!$B$30:$B$37</c:f>
              <c:numCache>
                <c:formatCode>_ * #,##0_ ;_ * \-#,##0_ ;_ * "-"??_ ;_ @_ </c:formatCode>
                <c:ptCount val="8"/>
                <c:pt idx="0">
                  <c:v>0</c:v>
                </c:pt>
                <c:pt idx="1">
                  <c:v>0</c:v>
                </c:pt>
                <c:pt idx="2">
                  <c:v>0</c:v>
                </c:pt>
                <c:pt idx="3">
                  <c:v>0</c:v>
                </c:pt>
                <c:pt idx="4">
                  <c:v>7740</c:v>
                </c:pt>
                <c:pt idx="5">
                  <c:v>34560</c:v>
                </c:pt>
                <c:pt idx="6">
                  <c:v>90000</c:v>
                </c:pt>
                <c:pt idx="7">
                  <c:v>255600</c:v>
                </c:pt>
              </c:numCache>
            </c:numRef>
          </c:val>
          <c:extLst>
            <c:ext xmlns:c16="http://schemas.microsoft.com/office/drawing/2014/chart" uri="{C3380CC4-5D6E-409C-BE32-E72D297353CC}">
              <c16:uniqueId val="{00000000-E290-435D-9A90-90C6D91B1072}"/>
            </c:ext>
          </c:extLst>
        </c:ser>
        <c:ser>
          <c:idx val="1"/>
          <c:order val="1"/>
          <c:tx>
            <c:strRef>
              <c:f>'Benefici sostanza reddito'!$C$29</c:f>
              <c:strCache>
                <c:ptCount val="1"/>
                <c:pt idx="0">
                  <c:v>Sostanza</c:v>
                </c:pt>
              </c:strCache>
            </c:strRef>
          </c:tx>
          <c:spPr>
            <a:solidFill>
              <a:schemeClr val="accent2"/>
            </a:solidFill>
            <a:ln>
              <a:noFill/>
            </a:ln>
            <a:effectLst/>
          </c:spPr>
          <c:invertIfNegative val="0"/>
          <c:cat>
            <c:strRef>
              <c:f>'Benefici sostanza reddito'!$A$30:$A$37</c:f>
              <c:strCache>
                <c:ptCount val="8"/>
                <c:pt idx="0">
                  <c:v>10'000 - 0</c:v>
                </c:pt>
                <c:pt idx="1">
                  <c:v>50'000 - 100'000</c:v>
                </c:pt>
                <c:pt idx="2">
                  <c:v>100'000 - 200'000</c:v>
                </c:pt>
                <c:pt idx="3">
                  <c:v>200'000 - 750'000</c:v>
                </c:pt>
                <c:pt idx="4">
                  <c:v>500'000 - 2'000'000</c:v>
                </c:pt>
                <c:pt idx="5">
                  <c:v>1'000'000 - 5'000'000</c:v>
                </c:pt>
                <c:pt idx="6">
                  <c:v>2'000'000 - 10'000'000</c:v>
                </c:pt>
                <c:pt idx="7">
                  <c:v>5'000'000 - 20'000'000</c:v>
                </c:pt>
              </c:strCache>
            </c:strRef>
          </c:cat>
          <c:val>
            <c:numRef>
              <c:f>'Benefici sostanza reddito'!$C$30:$C$37</c:f>
              <c:numCache>
                <c:formatCode>_ * #,##0_ ;_ * \-#,##0_ ;_ * "-"??_ ;_ @_ </c:formatCode>
                <c:ptCount val="8"/>
                <c:pt idx="0">
                  <c:v>0</c:v>
                </c:pt>
                <c:pt idx="1">
                  <c:v>0</c:v>
                </c:pt>
                <c:pt idx="2">
                  <c:v>0</c:v>
                </c:pt>
                <c:pt idx="3">
                  <c:v>0</c:v>
                </c:pt>
                <c:pt idx="4">
                  <c:v>828</c:v>
                </c:pt>
                <c:pt idx="5">
                  <c:v>9000</c:v>
                </c:pt>
                <c:pt idx="6">
                  <c:v>18000</c:v>
                </c:pt>
                <c:pt idx="7">
                  <c:v>36000</c:v>
                </c:pt>
              </c:numCache>
            </c:numRef>
          </c:val>
          <c:extLst>
            <c:ext xmlns:c16="http://schemas.microsoft.com/office/drawing/2014/chart" uri="{C3380CC4-5D6E-409C-BE32-E72D297353CC}">
              <c16:uniqueId val="{00000001-E290-435D-9A90-90C6D91B1072}"/>
            </c:ext>
          </c:extLst>
        </c:ser>
        <c:dLbls>
          <c:showLegendKey val="0"/>
          <c:showVal val="0"/>
          <c:showCatName val="0"/>
          <c:showSerName val="0"/>
          <c:showPercent val="0"/>
          <c:showBubbleSize val="0"/>
        </c:dLbls>
        <c:gapWidth val="150"/>
        <c:overlap val="100"/>
        <c:axId val="629364936"/>
        <c:axId val="629357392"/>
      </c:barChart>
      <c:catAx>
        <c:axId val="629364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CH"/>
          </a:p>
        </c:txPr>
        <c:crossAx val="629357392"/>
        <c:crosses val="autoZero"/>
        <c:auto val="1"/>
        <c:lblAlgn val="ctr"/>
        <c:lblOffset val="100"/>
        <c:noMultiLvlLbl val="0"/>
      </c:catAx>
      <c:valAx>
        <c:axId val="629357392"/>
        <c:scaling>
          <c:orientation val="minMax"/>
        </c:scaling>
        <c:delete val="0"/>
        <c:axPos val="l"/>
        <c:majorGridlines>
          <c:spPr>
            <a:ln w="9525" cap="flat" cmpd="sng" algn="ctr">
              <a:solidFill>
                <a:schemeClr val="tx1">
                  <a:lumMod val="15000"/>
                  <a:lumOff val="85000"/>
                </a:schemeClr>
              </a:solidFill>
              <a:round/>
            </a:ln>
            <a:effectLst/>
          </c:spPr>
        </c:majorGridlines>
        <c:numFmt formatCode="_ * #,##0_ ;_ * \-#,##0_ ;_ * &quot;-&quot;??_ ;_ @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CH"/>
          </a:p>
        </c:txPr>
        <c:crossAx val="62936493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CH"/>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CH"/>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2.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430820721</Id>
      <Width>0</Width>
      <Height>0</Height>
      <XPath>//Image[@id='Profile.Org.WappenSW']</XPath>
      <ImageHash>02f1c0cdac6aeac316213b2e7cb733a0</ImageHash>
    </ImageSizeDefinition>
    <ImageSizeDefinition>
      <Id>1043828531</Id>
      <Width>0</Width>
      <Height>0</Height>
      <XPath>//Image[@id='Profile.Org.Logo']</XPath>
      <ImageHash>c45d7cd7b68e3e6ca57220766e88079c</ImageHash>
    </ImageSizeDefinition>
  </ImageDefinitions>
</OneOffixxImageDefinitionPart>
</file>

<file path=customXml/item3.xml><?xml version="1.0" encoding="utf-8"?>
<OneOffixxExtendedBindingPart xmlns:xsd="http://www.w3.org/2001/XMLSchema" xmlns:xsi="http://www.w3.org/2001/XMLSchema-instance" xmlns="http://schema.oneoffixx.com/OneOffixxExtendedBindingPart/1">
  <ExtendedBindings/>
</OneOffixxExtendedBindingPart>
</file>

<file path=customXml/item4.xml>��< ? x m l   v e r s i o n = " 1 . 0 "   e n c o d i n g = " u t f - 1 6 " ? > < O n e O f f i x x D o c u m e n t P a r t   x m l n s : x s d = " h t t p : / / w w w . w 3 . o r g / 2 0 0 1 / X M L S c h e m a "   x m l n s : x s i = " h t t p : / / w w w . w 3 . o r g / 2 0 0 1 / X M L S c h e m a - i n s t a n c e "   i d = " e b b 9 4 c 1 e - 2 b b 3 - 4 7 0 a - b a a 2 - 5 4 1 f c e 3 5 0 d 3 a "   t I d = " a 3 6 2 a 5 d 4 - 9 5 8 9 - 4 1 b f - a 4 e 6 - 4 f 8 7 c 4 e 4 1 2 3 9 "   i n t e r n a l T I d = " 9 0 6 4 c c 7 f - 3 1 6 d - 4 6 b 1 - a 4 a c - 7 4 8 6 0 c 3 f 8 a 5 b "   m t I d = " 2 7 5 a f 3 2 e - b c 4 0 - 4 5 c 2 - 8 5 b 7 - a f b 1 c 0 3 8 2 6 5 3 "   r e v i s i o n = " 0 "   c r e a t e d m a j o r v e r s i o n = " 0 "   c r e a t e d m i n o r v e r s i o n = " 0 "   c r e a t e d = " 2 0 2 3 - 1 1 - 2 8 T 0 7 : 4 3 : 4 5 . 6 4 3 9 8 1 7 Z "   m o d i f i e d m a j o r v e r s i o n = " 0 "   m o d i f i e d m i n o r v e r s i o n = " 0 "   m o d i f i e d = " 0 0 0 1 - 0 1 - 0 1 T 0 0 : 0 0 : 0 0 "   p r o f i l e = " f 1 8 3 3 c d b - 6 0 3 6 - 4 1 8 d - a 7 7 e - 0 a c 7 a 9 a d 2 8 c 9 "   m o d e = " S a v e d D o c u m e n t "   c o l o r m o d e = " C o l o r "   l c i d = " 2 0 6 4 "   x m l n s = " h t t p : / / s c h e m a . o n e o f f i x x . c o m / O n e O f f i x x D o c u m e n t P a r t / 1 " >  
     < C o n t e n t >  
         < D a t a M o d e l   x m l n s = " " >  
             < P r o f i l e >  
                 < T e x t   i d = " P r o f i l e . I d "   l a b e l = " P r o f i l e . I d " > < ! [ C D A T A [ f 1 8 3 3 c d b - 6 0 3 6 - 4 1 8 d - a 7 7 e - 0 a c 7 a 9 a d 2 8 c 9 ] ] > < / T e x t >  
                 < T e x t   i d = " P r o f i l e . O r g a n i z a t i o n U n i t I d "   l a b e l = " P r o f i l e . O r g a n i z a t i o n U n i t I d " > < ! [ C D A T A [ d c 7 9 3 f c 0 - 4 0 a 3 - 4 a a b - b 1 d e - 7 7 b 2 d f c 5 8 3 c 2 ] ] > < / 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S e r v i z i   d e l   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M a t t e o . G i o t t o n i n i @ t i . c h ] ] > < / T e x t >  
                 < T e x t   i d = " P r o f i l e . U s e r . F i r s t N a m e "   l a b e l = " P r o f i l e . U s e r . F i r s t N a m e " > < ! [ C D A T A [ M a t t e o ] ] > < / T e x t >  
                 < T e x t   i d = " P r o f i l e . U s e r . F u n c t i o n "   l a b e l = " P r o f i l e . U s e r . F u n c t i o n " > < ! [ C D A T A [ S G C ] ] > < / T e x t >  
                 < T e x t   i d = " P r o f i l e . U s e r . L a s t N a m e "   l a b e l = " P r o f i l e . U s e r . L a s t N a m e " > < ! [ C D A T A [ G i o t t o n i n i ] ] > < / T e x t >  
                 < T e x t   i d = " P r o f i l e . U s e r . M o b i l e "   l a b e l = " P r o f i l e . U s e r . M o b i l e " > < ! [ C D A T A [   ] ] > < / T e x t >  
                 < T e x t   i d = " P r o f i l e . U s e r . P h o n e "   l a b e l = " P r o f i l e . U s e r . P h o n e " > < ! [ C D A T A [ + 4 1 9 1 8 1 4 4 3 6 8 ] ] > < / 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M a t t e o . G i o t t o n i n i @ t i . c h ] ] > < / T e x t >  
                 < T e x t   i d = " A u t h o r . U s e r . F i r s t N a m e "   l a b e l = " A u t h o r . U s e r . F i r s t N a m e " > < ! [ C D A T A [ M a t t e o ] ] > < / T e x t >  
                 < T e x t   i d = " A u t h o r . U s e r . F u n c t i o n "   l a b e l = " A u t h o r . U s e r . F u n c t i o n " > < ! [ C D A T A [ S G C ] ] > < / T e x t >  
                 < T e x t   i d = " A u t h o r . U s e r . L a s t N a m e "   l a b e l = " A u t h o r . U s e r . L a s t N a m e " > < ! [ C D A T A [ G i o t t o n i n i ] ] > < / T e x t >  
                 < T e x t   i d = " A u t h o r . U s e r . M o b i l e "   l a b e l = " A u t h o r . U s e r . M o b i l e " > < ! [ C D A T A [   ] ] > < / T e x t >  
                 < T e x t   i d = " A u t h o r . U s e r . P h o n e "   l a b e l = " A u t h o r . U s e r . P h o n e " > < ! [ C D A T A [ + 4 1 9 1 8 1 4 4 3 6 8 ] ] > < / T e x t >  
                 < T e x t   i d = " A u t h o r . U s e r . S a l u t a t i o n "   l a b e l = " A u t h o r . U s e r . S a l u t a t i o n " > < ! [ C D A T A [   ] ] > < / T e x t >  
                 < T e x t   i d = " A u t h o r . U s e r . T i t l e "   l a b e l = " A u t h o r . U s e r . T i t l e " > < ! [ C D A T A [   ] ] > < / T e x t >  
             < / A u t h o r >  
             < S i g n e r _ 0 >  
                 < T e x t   i d = " S i g n e r _ 0 . I d "   l a b e l = " S i g n e r _ 0 . I d " > < ! [ C D A T A [ f 1 8 3 3 c d b - 6 0 3 6 - 4 1 8 d - a 7 7 e - 0 a c 7 a 9 a d 2 8 c 9 ] ] > < / 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M a t t e o . G i o t t o n i n i @ t i . c h ] ] > < / T e x t >  
                 < T e x t   i d = " S i g n e r _ 0 . U s e r . F i r s t N a m e "   l a b e l = " S i g n e r _ 0 . U s e r . F i r s t N a m e " > < ! [ C D A T A [ M a t t e o ] ] > < / T e x t >  
                 < T e x t   i d = " S i g n e r _ 0 . U s e r . F u n c t i o n "   l a b e l = " S i g n e r _ 0 . U s e r . F u n c t i o n " > < ! [ C D A T A [ S G C ] ] > < / T e x t >  
                 < T e x t   i d = " S i g n e r _ 0 . U s e r . L a s t N a m e "   l a b e l = " S i g n e r _ 0 . U s e r . L a s t N a m e " > < ! [ C D A T A [ G i o t t o n i n i ] ] > < / T e x t >  
                 < T e x t   i d = " S i g n e r _ 0 . U s e r . M o b i l e "   l a b e l = " S i g n e r _ 0 . U s e r . M o b i l e " > < ! [ C D A T A [   ] ] > < / T e x t >  
                 < T e x t   i d = " S i g n e r _ 0 . U s e r . P h o n e "   l a b e l = " S i g n e r _ 0 . U s e r . P h o n e " > < ! [ C D A T A [ + 4 1 9 1 8 1 4 4 3 6 8 ] ] > < / 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S c r i p t i n g >  
                 < T e x t   i d = " C u s t o m E l e m e n t s . S u b T e m p l a t e . L a n d s c a p e . H e a d e r . O r g I n f o s "   l a b e l = " C u s t o m E l e m e n t s . S u b T e m p l a t e . L a n d s c a p e . H e a d e r . O r g I n f o s " > < ! [ C D A T A [ D i p a r t i m e n t o   d e l l e   f i n a n z e   e   d e l l  e c o n o m i a ] ] > < / T e x t >  
                 < T e x t   i d = " C u s t o m E l e m e n t s . S u b T e m p l a t e . L a n d s c a p e . H e a d e r . T i t o l o "   l a b e l = " C u s t o m E l e m e n t s . S u b T e m p l a t e . L a n d s c a p e . H e a d e r . T i t o l o " > < ! [ C D A T A [ R a p p o r t o   d i   m i n o r a n z a   n .   8 3 0 3   R 2   d e l   2 8   n o v e m b r e   2 0 2 3 ] ] > < / T e x t >  
                 < T e x t   i d = " C u s t o m E l e m e n t s . T e x t s . D r a f t "   l a b e l = " C u s t o m E l e m e n t s . T e x t s . D r a f t " > < ! [ C D A T A [ B o z z a ] ] > < / T e x t >  
                 < T e x t   i d = " C u s t o m E l e m e n t s . F i e l d s . D i p a r t i m e n t i "   l a b e l = " C u s t o m E l e m e n t s . F i e l d s . D i p a r t i m e n t i " > < ! [ C D A T A [ D i p a r t i m e n t o   d e l l e   f i n a n z e   e   d e l l  e c o n o m i a ] ] > < / T e x t >  
                 < T e x t   i d = " C u s t o m E l e m e n t s . F i e l d s . T i t o l o 1 "   l a b e l = " C u s t o m E l e m e n t s . F i e l d s . T i t o l o 1 " > < ! [ C D A T A [ R a p p o r t o   d i   m i n o r a n z a   1 ] ] > < / T e x t >  
                 < T e x t   i d = " C u s t o m E l e m e n t s . F i e l d s . T i t o l o 2 "   l a b e l = " C u s t o m E l e m e n t s . F i e l d s . T i t o l o 2 " > < ! [ C D A T A [ R a p p o r t o   d i   m i n o r a n z a   1   n .   8 3 0 3   R 2   d e l   2 8   n o v e m b r e   2 0 2 3 ] ] > < / T e x t >  
                 < T e x t   i d = " C u s t o m E l e m e n t s . F i e l d s . O r g L i v e l l o 1 "   l a b e l = " C u s t o m E l e m e n t s . F i e l d s . O r g L i v e l l o 1 " > < ! [ C D A T A [ R e p u b b l i c a   e   C a n t o n e   T i c i n o ] ] > < / T e x t >  
             < / S c r i p t i n g > 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 2 0 2 3 - 1 1 - 2 8 T 0 0 : 0 0 : 0 0 Z < / D a t e T i m e >  
                 < T e x t   i d = " D o c P a r a m . N u m b e r " > < ! [ C D A T A [ 8 3 0 3   R 2 ] ] > < / T e x t >  
                 < T e x t   i d = " D o c P a r a m . D o c u m e n t o " > < ! [ C D A T A [ R a p p o r t o   d i   m i n o r a n z a ] ] > < / T e x t >  
                 < T e x t   i d = " D o c P a r a m . A g g i u n t a D o c "   t o o l t i p = " ( e s .   b i s ,   a g g i u n t i v o ,   a g g i u n t i v o   b i s ,   1 ,   2   e c c . ) " > < ! [ C D A T A [ 1 ] ] > < / T e x t >  
                 < T e x t   i d = " D o c P a r a m . D i p a r t i m e n t i " > < ! [ C D A T A [ D i p a r t i m e n t o   d e l l e   f i n a n z e   e   d e l l  e c o n o m i a ] ] > < / T e x t >  
                 < T e x t   i d = " D o c P a r a m . A l t r i D i p a r t i m e n t i " > < ! [ C D A T A [   ] ] > < / T e x t >  
             < / P a r a m e t e r > 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C8C73-4B4B-4F9B-B3A4-DDDBADAD84F4}">
  <ds:schemaRefs>
    <ds:schemaRef ds:uri="http://www.w3.org/2001/XMLSchema"/>
    <ds:schemaRef ds:uri="http://schema.oneoffixx.com/OneOffixxFormattingPart/1"/>
    <ds:schemaRef ds:uri=""/>
  </ds:schemaRefs>
</ds:datastoreItem>
</file>

<file path=customXml/itemProps2.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3.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4.xml><?xml version="1.0" encoding="utf-8"?>
<ds:datastoreItem xmlns:ds="http://schemas.openxmlformats.org/officeDocument/2006/customXml" ds:itemID="{FA9F751A-1576-4E01-A78D-20F99823A139}">
  <ds:schemaRefs>
    <ds:schemaRef ds:uri="http://www.w3.org/2001/XMLSchema"/>
    <ds:schemaRef ds:uri="http://schema.oneoffixx.com/OneOffixxDocumentPart/1"/>
    <ds:schemaRef ds:uri=""/>
  </ds:schemaRefs>
</ds:datastoreItem>
</file>

<file path=customXml/itemProps5.xml><?xml version="1.0" encoding="utf-8"?>
<ds:datastoreItem xmlns:ds="http://schemas.openxmlformats.org/officeDocument/2006/customXml" ds:itemID="{93FD81E9-F900-4501-BFDD-383E4E2DA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40efa4ed-1b1f-4c5e-86a4-0a9e0f84fc84.dotx</Template>
  <TotalTime>35</TotalTime>
  <Pages>19</Pages>
  <Words>4631</Words>
  <Characters>25706</Characters>
  <Application>Microsoft Office Word</Application>
  <DocSecurity>0</DocSecurity>
  <Lines>1028</Lines>
  <Paragraphs>705</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Giottonini Matteo / t154037</dc:creator>
  <cp:lastModifiedBy>Venturi Luca</cp:lastModifiedBy>
  <cp:revision>39</cp:revision>
  <cp:lastPrinted>2023-11-28T14:44:00Z</cp:lastPrinted>
  <dcterms:created xsi:type="dcterms:W3CDTF">2023-11-28T14:22:00Z</dcterms:created>
  <dcterms:modified xsi:type="dcterms:W3CDTF">2023-11-28T15:09:00Z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